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3.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F5318" w:rsidRPr="00422380" w14:paraId="6B3176A7" w14:textId="77777777" w:rsidTr="003E1016">
        <w:tc>
          <w:tcPr>
            <w:tcW w:w="9061" w:type="dxa"/>
          </w:tcPr>
          <w:p w14:paraId="783D4154" w14:textId="77777777" w:rsidR="001F5318" w:rsidRPr="00CB2FBB" w:rsidRDefault="001F5318" w:rsidP="001F5318">
            <w:pPr>
              <w:rPr>
                <w:sz w:val="22"/>
                <w:szCs w:val="22"/>
                <w:lang w:val="el-GR"/>
              </w:rPr>
            </w:pPr>
            <w:r w:rsidRPr="00CB2FBB">
              <w:rPr>
                <w:sz w:val="22"/>
                <w:szCs w:val="22"/>
                <w:lang w:val="el-GR"/>
              </w:rPr>
              <w:t xml:space="preserve">Το παρόν έγγραφο αποτελεί τις εγκεκριμένες πληροφορίες προϊόντος για το </w:t>
            </w:r>
            <w:r w:rsidRPr="00CB2FBB">
              <w:rPr>
                <w:sz w:val="22"/>
                <w:szCs w:val="22"/>
                <w:lang w:val="de-DE"/>
              </w:rPr>
              <w:t>Amgevita</w:t>
            </w:r>
            <w:r w:rsidRPr="00CB2FBB">
              <w:rPr>
                <w:sz w:val="22"/>
                <w:szCs w:val="22"/>
                <w:lang w:val="el-GR"/>
              </w:rPr>
              <w:t xml:space="preserve">, ενώ επισημαίνονται οι αλλαγές που επήλθαν στις πληροφορίες προϊόντος σε συνέχεια της προηγούμενης διαδικασίας </w:t>
            </w:r>
            <w:r w:rsidRPr="00422380">
              <w:rPr>
                <w:sz w:val="22"/>
                <w:szCs w:val="22"/>
                <w:lang w:val="el-GR"/>
              </w:rPr>
              <w:t>(</w:t>
            </w:r>
            <w:r w:rsidRPr="00CB2FBB">
              <w:rPr>
                <w:sz w:val="22"/>
                <w:szCs w:val="22"/>
                <w:lang w:val="da-DK"/>
              </w:rPr>
              <w:t>EMA</w:t>
            </w:r>
            <w:r w:rsidRPr="00422380">
              <w:rPr>
                <w:sz w:val="22"/>
                <w:szCs w:val="22"/>
                <w:lang w:val="el-GR"/>
              </w:rPr>
              <w:t>/</w:t>
            </w:r>
            <w:r w:rsidRPr="00CB2FBB">
              <w:rPr>
                <w:sz w:val="22"/>
                <w:szCs w:val="22"/>
                <w:lang w:val="da-DK"/>
              </w:rPr>
              <w:t>N</w:t>
            </w:r>
            <w:r w:rsidRPr="00422380">
              <w:rPr>
                <w:sz w:val="22"/>
                <w:szCs w:val="22"/>
                <w:lang w:val="el-GR"/>
              </w:rPr>
              <w:t>/0000248712)</w:t>
            </w:r>
            <w:r w:rsidRPr="00CB2FBB">
              <w:rPr>
                <w:sz w:val="22"/>
                <w:szCs w:val="22"/>
                <w:lang w:val="el-GR"/>
              </w:rPr>
              <w:t>.</w:t>
            </w:r>
          </w:p>
          <w:p w14:paraId="61001CB7" w14:textId="77777777" w:rsidR="001F5318" w:rsidRPr="00CB2FBB" w:rsidRDefault="001F5318" w:rsidP="001F5318">
            <w:pPr>
              <w:rPr>
                <w:sz w:val="22"/>
                <w:szCs w:val="22"/>
                <w:lang w:val="el-GR"/>
              </w:rPr>
            </w:pPr>
          </w:p>
          <w:p w14:paraId="06D3174C" w14:textId="5C5A7338" w:rsidR="001F5318" w:rsidRPr="00CB2FBB" w:rsidRDefault="001F5318" w:rsidP="003E1016">
            <w:pPr>
              <w:widowControl/>
              <w:outlineLvl w:val="0"/>
              <w:rPr>
                <w:sz w:val="22"/>
                <w:szCs w:val="22"/>
                <w:lang w:val="el-GR"/>
              </w:rPr>
            </w:pPr>
            <w:r w:rsidRPr="00CB2FBB">
              <w:rPr>
                <w:sz w:val="22"/>
                <w:szCs w:val="22"/>
                <w:lang w:val="el-GR"/>
              </w:rPr>
              <w:t xml:space="preserve">Για περισσότερες πληροφορίες, βλ. τον δικτυακό τόπο του Ευρωπαϊκού Οργανισμού Φαρμάκων: </w:t>
            </w:r>
            <w:hyperlink r:id="rId10" w:history="1">
              <w:r w:rsidRPr="00CB2FBB">
                <w:rPr>
                  <w:rStyle w:val="Hyperlink"/>
                  <w:rFonts w:eastAsia="Arial"/>
                  <w:sz w:val="22"/>
                  <w:szCs w:val="22"/>
                  <w:lang w:val="cs-CZ"/>
                </w:rPr>
                <w:t>https://www.ema.europa.eu/en/medicines/human/EPAR/amgevita</w:t>
              </w:r>
            </w:hyperlink>
          </w:p>
        </w:tc>
      </w:tr>
    </w:tbl>
    <w:p w14:paraId="66507703" w14:textId="77777777" w:rsidR="00171824" w:rsidRDefault="00171824">
      <w:pPr>
        <w:widowControl/>
        <w:outlineLvl w:val="0"/>
        <w:rPr>
          <w:sz w:val="22"/>
          <w:lang w:val="el-GR"/>
        </w:rPr>
      </w:pPr>
    </w:p>
    <w:p w14:paraId="37F28C80" w14:textId="77777777" w:rsidR="00171824" w:rsidRDefault="00171824">
      <w:pPr>
        <w:widowControl/>
        <w:outlineLvl w:val="0"/>
        <w:rPr>
          <w:sz w:val="22"/>
          <w:lang w:val="el-GR"/>
        </w:rPr>
      </w:pPr>
    </w:p>
    <w:p w14:paraId="6F04DF3E" w14:textId="77777777" w:rsidR="00171824" w:rsidRDefault="00171824">
      <w:pPr>
        <w:widowControl/>
        <w:outlineLvl w:val="0"/>
        <w:rPr>
          <w:sz w:val="22"/>
          <w:lang w:val="el-GR"/>
        </w:rPr>
      </w:pPr>
    </w:p>
    <w:p w14:paraId="28F53813" w14:textId="77777777" w:rsidR="00171824" w:rsidRDefault="00171824">
      <w:pPr>
        <w:widowControl/>
        <w:outlineLvl w:val="0"/>
        <w:rPr>
          <w:sz w:val="22"/>
          <w:lang w:val="el-GR"/>
        </w:rPr>
      </w:pPr>
    </w:p>
    <w:p w14:paraId="6274EFC4" w14:textId="77777777" w:rsidR="00171824" w:rsidRDefault="00171824">
      <w:pPr>
        <w:widowControl/>
        <w:tabs>
          <w:tab w:val="left" w:pos="-1440"/>
          <w:tab w:val="left" w:pos="-720"/>
        </w:tabs>
        <w:rPr>
          <w:sz w:val="22"/>
          <w:lang w:val="el-GR"/>
        </w:rPr>
      </w:pPr>
    </w:p>
    <w:p w14:paraId="3B1F1B41" w14:textId="77777777" w:rsidR="00171824" w:rsidRDefault="00171824">
      <w:pPr>
        <w:widowControl/>
        <w:tabs>
          <w:tab w:val="left" w:pos="-1440"/>
          <w:tab w:val="left" w:pos="-720"/>
        </w:tabs>
        <w:rPr>
          <w:sz w:val="22"/>
          <w:lang w:val="el-GR"/>
        </w:rPr>
      </w:pPr>
    </w:p>
    <w:p w14:paraId="3365596A" w14:textId="77777777" w:rsidR="00171824" w:rsidRDefault="00171824">
      <w:pPr>
        <w:widowControl/>
        <w:tabs>
          <w:tab w:val="left" w:pos="-1440"/>
          <w:tab w:val="left" w:pos="-720"/>
        </w:tabs>
        <w:rPr>
          <w:sz w:val="22"/>
          <w:lang w:val="el-GR"/>
        </w:rPr>
      </w:pPr>
    </w:p>
    <w:p w14:paraId="52241850" w14:textId="77777777" w:rsidR="00171824" w:rsidRDefault="00171824">
      <w:pPr>
        <w:widowControl/>
        <w:tabs>
          <w:tab w:val="left" w:pos="-1440"/>
          <w:tab w:val="left" w:pos="-720"/>
        </w:tabs>
        <w:rPr>
          <w:sz w:val="22"/>
          <w:lang w:val="el-GR"/>
        </w:rPr>
      </w:pPr>
    </w:p>
    <w:p w14:paraId="4DC5A8FA" w14:textId="77777777" w:rsidR="00171824" w:rsidRDefault="00171824">
      <w:pPr>
        <w:widowControl/>
        <w:tabs>
          <w:tab w:val="left" w:pos="-1440"/>
          <w:tab w:val="left" w:pos="-720"/>
        </w:tabs>
        <w:rPr>
          <w:sz w:val="22"/>
          <w:lang w:val="el-GR"/>
        </w:rPr>
      </w:pPr>
    </w:p>
    <w:p w14:paraId="2E0D4099" w14:textId="77777777" w:rsidR="00171824" w:rsidRDefault="00171824">
      <w:pPr>
        <w:widowControl/>
        <w:tabs>
          <w:tab w:val="left" w:pos="-1440"/>
          <w:tab w:val="left" w:pos="-720"/>
        </w:tabs>
        <w:rPr>
          <w:sz w:val="22"/>
          <w:lang w:val="el-GR"/>
        </w:rPr>
      </w:pPr>
    </w:p>
    <w:p w14:paraId="4D73ED58" w14:textId="77777777" w:rsidR="00171824" w:rsidRDefault="00171824">
      <w:pPr>
        <w:widowControl/>
        <w:tabs>
          <w:tab w:val="left" w:pos="-1440"/>
          <w:tab w:val="left" w:pos="-720"/>
        </w:tabs>
        <w:rPr>
          <w:sz w:val="22"/>
          <w:lang w:val="el-GR"/>
        </w:rPr>
      </w:pPr>
    </w:p>
    <w:p w14:paraId="736538E9" w14:textId="77777777" w:rsidR="00171824" w:rsidRDefault="00171824">
      <w:pPr>
        <w:widowControl/>
        <w:tabs>
          <w:tab w:val="left" w:pos="-1440"/>
          <w:tab w:val="left" w:pos="-720"/>
        </w:tabs>
        <w:rPr>
          <w:sz w:val="22"/>
          <w:lang w:val="el-GR"/>
        </w:rPr>
      </w:pPr>
    </w:p>
    <w:p w14:paraId="0D452AB9" w14:textId="77777777" w:rsidR="00171824" w:rsidRDefault="00171824">
      <w:pPr>
        <w:widowControl/>
        <w:tabs>
          <w:tab w:val="left" w:pos="-1440"/>
          <w:tab w:val="left" w:pos="-720"/>
        </w:tabs>
        <w:rPr>
          <w:sz w:val="22"/>
          <w:lang w:val="el-GR"/>
        </w:rPr>
      </w:pPr>
    </w:p>
    <w:p w14:paraId="3184BA39" w14:textId="77777777" w:rsidR="00171824" w:rsidRDefault="00171824">
      <w:pPr>
        <w:widowControl/>
        <w:tabs>
          <w:tab w:val="left" w:pos="-1440"/>
          <w:tab w:val="left" w:pos="-720"/>
        </w:tabs>
        <w:rPr>
          <w:sz w:val="22"/>
          <w:lang w:val="el-GR"/>
        </w:rPr>
      </w:pPr>
    </w:p>
    <w:p w14:paraId="4BE8ED54" w14:textId="77777777" w:rsidR="00171824" w:rsidRDefault="00171824">
      <w:pPr>
        <w:widowControl/>
        <w:tabs>
          <w:tab w:val="left" w:pos="-1440"/>
          <w:tab w:val="left" w:pos="-720"/>
        </w:tabs>
        <w:rPr>
          <w:sz w:val="22"/>
          <w:lang w:val="el-GR"/>
        </w:rPr>
      </w:pPr>
    </w:p>
    <w:p w14:paraId="41E59A70" w14:textId="77777777" w:rsidR="00171824" w:rsidRDefault="00171824">
      <w:pPr>
        <w:widowControl/>
        <w:tabs>
          <w:tab w:val="left" w:pos="-1440"/>
          <w:tab w:val="left" w:pos="-720"/>
        </w:tabs>
        <w:rPr>
          <w:sz w:val="22"/>
          <w:lang w:val="el-GR"/>
        </w:rPr>
      </w:pPr>
    </w:p>
    <w:p w14:paraId="20629C3F" w14:textId="77777777" w:rsidR="00171824" w:rsidRDefault="00171824">
      <w:pPr>
        <w:widowControl/>
        <w:tabs>
          <w:tab w:val="left" w:pos="-1440"/>
          <w:tab w:val="left" w:pos="-720"/>
        </w:tabs>
        <w:rPr>
          <w:sz w:val="22"/>
          <w:lang w:val="el-GR"/>
        </w:rPr>
      </w:pPr>
    </w:p>
    <w:p w14:paraId="0210E366" w14:textId="77777777" w:rsidR="00171824" w:rsidRDefault="006D258C">
      <w:pPr>
        <w:widowControl/>
        <w:jc w:val="center"/>
        <w:rPr>
          <w:b/>
          <w:sz w:val="22"/>
          <w:lang w:val="el-GR"/>
        </w:rPr>
      </w:pPr>
      <w:r>
        <w:rPr>
          <w:b/>
          <w:sz w:val="22"/>
          <w:lang w:val="el-GR"/>
        </w:rPr>
        <w:t>ΠΑΡΑΡΤΗΜΑ Ι</w:t>
      </w:r>
    </w:p>
    <w:p w14:paraId="5CF0709B" w14:textId="77777777" w:rsidR="00171824" w:rsidRDefault="00171824">
      <w:pPr>
        <w:widowControl/>
        <w:jc w:val="center"/>
        <w:rPr>
          <w:b/>
          <w:sz w:val="22"/>
          <w:lang w:val="el-GR"/>
        </w:rPr>
      </w:pPr>
    </w:p>
    <w:p w14:paraId="0F1CDF21" w14:textId="77777777" w:rsidR="00171824" w:rsidRDefault="006D258C">
      <w:pPr>
        <w:pStyle w:val="TitleA"/>
        <w:widowControl/>
      </w:pPr>
      <w:r>
        <w:t>ΠΕΡΙΛΗΨΗ ΤΩΝ ΧΑΡΑΚΤΗΡΙΣΤΙΚΩΝ ΤΟΥ ΠΡΟΪΟΝΤΟΣ</w:t>
      </w:r>
    </w:p>
    <w:p w14:paraId="61A89FEC" w14:textId="77777777" w:rsidR="00171824" w:rsidRDefault="00171824">
      <w:pPr>
        <w:pStyle w:val="TitleA"/>
        <w:widowControl/>
        <w:rPr>
          <w:b w:val="0"/>
        </w:rPr>
      </w:pPr>
    </w:p>
    <w:p w14:paraId="1D0BFDA6" w14:textId="77777777" w:rsidR="00171824" w:rsidRDefault="006D258C">
      <w:pPr>
        <w:widowControl/>
        <w:tabs>
          <w:tab w:val="left" w:pos="0"/>
        </w:tabs>
        <w:rPr>
          <w:sz w:val="22"/>
          <w:szCs w:val="22"/>
          <w:lang w:val="el-GR"/>
        </w:rPr>
      </w:pPr>
      <w:r>
        <w:rPr>
          <w:sz w:val="22"/>
          <w:lang w:val="el-GR"/>
        </w:rPr>
        <w:br w:type="page"/>
      </w:r>
    </w:p>
    <w:p w14:paraId="700E85C5" w14:textId="77777777" w:rsidR="00171824" w:rsidRDefault="006D258C">
      <w:pPr>
        <w:pStyle w:val="Heading1"/>
        <w:widowControl/>
        <w:numPr>
          <w:ilvl w:val="0"/>
          <w:numId w:val="3"/>
        </w:numPr>
        <w:tabs>
          <w:tab w:val="left" w:pos="567"/>
        </w:tabs>
        <w:kinsoku w:val="0"/>
        <w:overflowPunct w:val="0"/>
        <w:ind w:left="567"/>
        <w:rPr>
          <w:b w:val="0"/>
          <w:bCs w:val="0"/>
          <w:lang w:val="el-GR"/>
        </w:rPr>
      </w:pPr>
      <w:r>
        <w:rPr>
          <w:lang w:val="el-GR"/>
        </w:rPr>
        <w:lastRenderedPageBreak/>
        <w:t>ΟΝΟΜΑΣΙΑ ΤΟΥ ΦΑΡΜΑΚΕΥΤΙΚΟΥ ΠΡΟΪΟΝΤΟΣ</w:t>
      </w:r>
    </w:p>
    <w:p w14:paraId="782EC6CE" w14:textId="77777777" w:rsidR="00171824" w:rsidRDefault="00171824">
      <w:pPr>
        <w:widowControl/>
        <w:kinsoku w:val="0"/>
        <w:overflowPunct w:val="0"/>
        <w:rPr>
          <w:sz w:val="22"/>
          <w:szCs w:val="22"/>
          <w:lang w:val="el-GR"/>
        </w:rPr>
      </w:pPr>
    </w:p>
    <w:p w14:paraId="358DD0EF" w14:textId="77777777" w:rsidR="00171824" w:rsidRDefault="006D258C">
      <w:pPr>
        <w:widowControl/>
        <w:kinsoku w:val="0"/>
        <w:overflowPunct w:val="0"/>
        <w:rPr>
          <w:sz w:val="22"/>
          <w:szCs w:val="22"/>
          <w:lang w:val="el-GR"/>
        </w:rPr>
      </w:pPr>
      <w:r>
        <w:rPr>
          <w:sz w:val="22"/>
          <w:szCs w:val="22"/>
          <w:lang w:val="el-GR"/>
        </w:rPr>
        <w:t>AMGEVITA 20 mg ενέσιμο διάλυμα σε προγεμισμένη σύριγγα.</w:t>
      </w:r>
    </w:p>
    <w:p w14:paraId="1C9543A8" w14:textId="77777777" w:rsidR="00171824" w:rsidRDefault="006D258C">
      <w:pPr>
        <w:pStyle w:val="BodyText"/>
        <w:widowControl/>
        <w:kinsoku w:val="0"/>
        <w:overflowPunct w:val="0"/>
        <w:ind w:left="0"/>
        <w:rPr>
          <w:lang w:val="el-GR"/>
        </w:rPr>
      </w:pPr>
      <w:r>
        <w:rPr>
          <w:lang w:val="el-GR"/>
        </w:rPr>
        <w:t>AMGEVITA 40 mg ενέσιμο διάλυμα σε προγεμισμένη σύριγγα.</w:t>
      </w:r>
    </w:p>
    <w:p w14:paraId="25514DEA" w14:textId="77777777" w:rsidR="00171824" w:rsidRDefault="006D258C">
      <w:pPr>
        <w:widowControl/>
        <w:kinsoku w:val="0"/>
        <w:overflowPunct w:val="0"/>
        <w:rPr>
          <w:sz w:val="22"/>
          <w:szCs w:val="22"/>
          <w:lang w:val="el-GR"/>
        </w:rPr>
      </w:pPr>
      <w:r>
        <w:rPr>
          <w:sz w:val="22"/>
          <w:szCs w:val="22"/>
          <w:lang w:val="el-GR"/>
        </w:rPr>
        <w:t>AMGEVITA 40 mg ενέσιμο διάλυμα σε προγεμισμένη συσκευή τύπου πένας.</w:t>
      </w:r>
    </w:p>
    <w:p w14:paraId="3B26C13B" w14:textId="77777777" w:rsidR="00171824" w:rsidRDefault="00171824">
      <w:pPr>
        <w:widowControl/>
        <w:kinsoku w:val="0"/>
        <w:overflowPunct w:val="0"/>
        <w:rPr>
          <w:sz w:val="22"/>
          <w:szCs w:val="22"/>
          <w:lang w:val="el-GR"/>
        </w:rPr>
      </w:pPr>
    </w:p>
    <w:p w14:paraId="58CFC940" w14:textId="77777777" w:rsidR="00171824" w:rsidRDefault="00171824">
      <w:pPr>
        <w:widowControl/>
        <w:kinsoku w:val="0"/>
        <w:overflowPunct w:val="0"/>
        <w:rPr>
          <w:sz w:val="22"/>
          <w:szCs w:val="22"/>
          <w:lang w:val="el-GR"/>
        </w:rPr>
      </w:pPr>
    </w:p>
    <w:p w14:paraId="36688DC4" w14:textId="77777777" w:rsidR="00171824" w:rsidRDefault="006D258C">
      <w:pPr>
        <w:pStyle w:val="Heading1"/>
        <w:widowControl/>
        <w:numPr>
          <w:ilvl w:val="0"/>
          <w:numId w:val="3"/>
        </w:numPr>
        <w:tabs>
          <w:tab w:val="left" w:pos="567"/>
        </w:tabs>
        <w:kinsoku w:val="0"/>
        <w:overflowPunct w:val="0"/>
        <w:ind w:left="567"/>
        <w:rPr>
          <w:b w:val="0"/>
          <w:bCs w:val="0"/>
          <w:lang w:val="el-GR"/>
        </w:rPr>
      </w:pPr>
      <w:r>
        <w:rPr>
          <w:lang w:val="el-GR"/>
        </w:rPr>
        <w:t>ΠΟΙΟΤΙΚΗ ΚΑΙ ΠΟΣΟΤΙΚΗ ΣΥΝΘΕΣΗ</w:t>
      </w:r>
    </w:p>
    <w:p w14:paraId="64137929" w14:textId="77777777" w:rsidR="00171824" w:rsidRDefault="00171824">
      <w:pPr>
        <w:widowControl/>
        <w:kinsoku w:val="0"/>
        <w:overflowPunct w:val="0"/>
        <w:rPr>
          <w:sz w:val="22"/>
          <w:szCs w:val="22"/>
          <w:lang w:val="el-GR"/>
        </w:rPr>
      </w:pPr>
    </w:p>
    <w:p w14:paraId="5A1BF561" w14:textId="77777777" w:rsidR="00171824" w:rsidRDefault="006D258C">
      <w:pPr>
        <w:pStyle w:val="BodyText"/>
        <w:widowControl/>
        <w:kinsoku w:val="0"/>
        <w:overflowPunct w:val="0"/>
        <w:ind w:left="0"/>
        <w:rPr>
          <w:u w:val="single"/>
          <w:lang w:val="el-GR"/>
        </w:rPr>
      </w:pPr>
      <w:r>
        <w:rPr>
          <w:u w:val="single"/>
          <w:lang w:val="el-GR"/>
        </w:rPr>
        <w:t>AMGEVITA 20 mg ενέσιμο διάλυμα σε προγεμισμένη σύριγγα</w:t>
      </w:r>
    </w:p>
    <w:p w14:paraId="7DA1821F" w14:textId="77777777" w:rsidR="00171824" w:rsidRDefault="00171824">
      <w:pPr>
        <w:pStyle w:val="BodyText"/>
        <w:widowControl/>
        <w:kinsoku w:val="0"/>
        <w:overflowPunct w:val="0"/>
        <w:ind w:left="0"/>
        <w:rPr>
          <w:u w:val="single"/>
          <w:lang w:val="el-GR"/>
        </w:rPr>
      </w:pPr>
    </w:p>
    <w:p w14:paraId="3809D114" w14:textId="77777777" w:rsidR="00171824" w:rsidRDefault="006D258C">
      <w:pPr>
        <w:pStyle w:val="BodyText"/>
        <w:widowControl/>
        <w:kinsoku w:val="0"/>
        <w:overflowPunct w:val="0"/>
        <w:ind w:left="0"/>
        <w:rPr>
          <w:lang w:val="el-GR"/>
        </w:rPr>
      </w:pPr>
      <w:r>
        <w:rPr>
          <w:lang w:val="el-GR"/>
        </w:rPr>
        <w:t>Κάθε προγεμισμένη σύριγγα μίας δόσης περιέχει 20 mg adalimumab σε 0,4 ml διαλύματος (50 mg/ml).</w:t>
      </w:r>
    </w:p>
    <w:p w14:paraId="6BA6C2CE" w14:textId="77777777" w:rsidR="00171824" w:rsidRDefault="00171824">
      <w:pPr>
        <w:widowControl/>
        <w:kinsoku w:val="0"/>
        <w:overflowPunct w:val="0"/>
        <w:rPr>
          <w:sz w:val="22"/>
          <w:szCs w:val="22"/>
          <w:lang w:val="el-GR"/>
        </w:rPr>
      </w:pPr>
    </w:p>
    <w:p w14:paraId="778C512B" w14:textId="77777777" w:rsidR="00171824" w:rsidRDefault="006D258C">
      <w:pPr>
        <w:pStyle w:val="Default"/>
        <w:rPr>
          <w:color w:val="auto"/>
          <w:sz w:val="22"/>
          <w:szCs w:val="22"/>
          <w:u w:val="single"/>
          <w:lang w:val="el-GR" w:eastAsia="en-GB"/>
        </w:rPr>
      </w:pPr>
      <w:r>
        <w:rPr>
          <w:sz w:val="22"/>
          <w:szCs w:val="22"/>
          <w:u w:val="single"/>
          <w:lang w:val="el-GR" w:eastAsia="en-GB"/>
        </w:rPr>
        <w:t>AMGEVITA</w:t>
      </w:r>
      <w:r>
        <w:rPr>
          <w:color w:val="auto"/>
          <w:sz w:val="22"/>
          <w:szCs w:val="22"/>
          <w:u w:val="single"/>
          <w:lang w:val="el-GR" w:eastAsia="en-GB"/>
        </w:rPr>
        <w:t xml:space="preserve"> 40</w:t>
      </w:r>
      <w:r>
        <w:rPr>
          <w:color w:val="auto"/>
          <w:sz w:val="22"/>
          <w:szCs w:val="22"/>
          <w:u w:val="single"/>
          <w:lang w:val="el-GR"/>
        </w:rPr>
        <w:t> </w:t>
      </w:r>
      <w:r>
        <w:rPr>
          <w:color w:val="auto"/>
          <w:sz w:val="22"/>
          <w:szCs w:val="22"/>
          <w:u w:val="single"/>
          <w:lang w:val="el-GR" w:eastAsia="en-GB"/>
        </w:rPr>
        <w:t>mg ενέσιμο διάλυμα σε προγεμισμένη σύριγγα</w:t>
      </w:r>
    </w:p>
    <w:p w14:paraId="5D12D408" w14:textId="77777777" w:rsidR="00171824" w:rsidRDefault="00171824">
      <w:pPr>
        <w:pStyle w:val="Default"/>
        <w:rPr>
          <w:color w:val="auto"/>
          <w:sz w:val="22"/>
          <w:szCs w:val="22"/>
          <w:u w:val="single"/>
          <w:lang w:val="el-GR" w:eastAsia="en-GB"/>
        </w:rPr>
      </w:pPr>
    </w:p>
    <w:p w14:paraId="365D2906" w14:textId="77777777" w:rsidR="00171824" w:rsidRDefault="006D258C">
      <w:pPr>
        <w:widowControl/>
        <w:rPr>
          <w:sz w:val="22"/>
          <w:szCs w:val="22"/>
          <w:lang w:val="el-GR" w:eastAsia="en-GB"/>
        </w:rPr>
      </w:pPr>
      <w:r>
        <w:rPr>
          <w:sz w:val="22"/>
          <w:szCs w:val="22"/>
          <w:lang w:val="el-GR" w:eastAsia="en-GB"/>
        </w:rPr>
        <w:t>Κάθε προγεμισμένη σύριγγα μίας δόσης περιέχει 40</w:t>
      </w:r>
      <w:r>
        <w:rPr>
          <w:sz w:val="22"/>
          <w:szCs w:val="22"/>
          <w:lang w:val="el-GR"/>
        </w:rPr>
        <w:t> </w:t>
      </w:r>
      <w:r>
        <w:rPr>
          <w:sz w:val="22"/>
          <w:szCs w:val="22"/>
          <w:lang w:val="el-GR" w:eastAsia="en-GB"/>
        </w:rPr>
        <w:t>mg adalimumab σε 0,8 ml διαλύματος (50 mg/ml).</w:t>
      </w:r>
    </w:p>
    <w:p w14:paraId="2EFB9729" w14:textId="77777777" w:rsidR="00171824" w:rsidRDefault="00171824">
      <w:pPr>
        <w:pStyle w:val="Default"/>
        <w:rPr>
          <w:color w:val="auto"/>
          <w:sz w:val="22"/>
          <w:szCs w:val="22"/>
          <w:u w:val="single"/>
          <w:lang w:val="el-GR" w:eastAsia="en-GB"/>
        </w:rPr>
      </w:pPr>
    </w:p>
    <w:p w14:paraId="04E2BA6B" w14:textId="77777777" w:rsidR="00171824" w:rsidRDefault="006D258C">
      <w:pPr>
        <w:pStyle w:val="Default"/>
        <w:rPr>
          <w:color w:val="auto"/>
          <w:sz w:val="22"/>
          <w:szCs w:val="22"/>
          <w:u w:val="single"/>
          <w:lang w:val="el-GR" w:eastAsia="en-GB"/>
        </w:rPr>
      </w:pPr>
      <w:r>
        <w:rPr>
          <w:sz w:val="22"/>
          <w:szCs w:val="22"/>
          <w:u w:val="single"/>
          <w:lang w:val="el-GR" w:eastAsia="en-GB"/>
        </w:rPr>
        <w:t>AMGEVITA</w:t>
      </w:r>
      <w:r>
        <w:rPr>
          <w:color w:val="auto"/>
          <w:sz w:val="22"/>
          <w:szCs w:val="22"/>
          <w:u w:val="single"/>
          <w:lang w:val="el-GR" w:eastAsia="en-GB"/>
        </w:rPr>
        <w:t xml:space="preserve"> 40</w:t>
      </w:r>
      <w:r>
        <w:rPr>
          <w:color w:val="auto"/>
          <w:sz w:val="22"/>
          <w:szCs w:val="22"/>
          <w:u w:val="single"/>
          <w:lang w:val="el-GR"/>
        </w:rPr>
        <w:t> </w:t>
      </w:r>
      <w:r>
        <w:rPr>
          <w:color w:val="auto"/>
          <w:sz w:val="22"/>
          <w:szCs w:val="22"/>
          <w:u w:val="single"/>
          <w:lang w:val="el-GR" w:eastAsia="en-GB"/>
        </w:rPr>
        <w:t>mg ενέσιμο διάλυμα σε προγεμισμένη συσκευή τύπου πένας</w:t>
      </w:r>
    </w:p>
    <w:p w14:paraId="09164908" w14:textId="77777777" w:rsidR="00171824" w:rsidRDefault="00171824">
      <w:pPr>
        <w:pStyle w:val="Default"/>
        <w:rPr>
          <w:color w:val="auto"/>
          <w:sz w:val="22"/>
          <w:szCs w:val="22"/>
          <w:u w:val="single"/>
          <w:lang w:val="el-GR" w:eastAsia="en-GB"/>
        </w:rPr>
      </w:pPr>
    </w:p>
    <w:p w14:paraId="36FC6730" w14:textId="77777777" w:rsidR="00171824" w:rsidRDefault="006D258C">
      <w:pPr>
        <w:widowControl/>
        <w:rPr>
          <w:sz w:val="22"/>
          <w:szCs w:val="22"/>
          <w:lang w:val="el-GR" w:eastAsia="en-GB"/>
        </w:rPr>
      </w:pPr>
      <w:r>
        <w:rPr>
          <w:sz w:val="22"/>
          <w:szCs w:val="22"/>
          <w:lang w:val="el-GR" w:eastAsia="en-GB"/>
        </w:rPr>
        <w:t>Κάθε προγεμισμένη συσκευή τύπου πένας μίας δόσης περιέχει 40</w:t>
      </w:r>
      <w:r>
        <w:rPr>
          <w:sz w:val="22"/>
          <w:szCs w:val="22"/>
          <w:lang w:val="el-GR"/>
        </w:rPr>
        <w:t> </w:t>
      </w:r>
      <w:r>
        <w:rPr>
          <w:sz w:val="22"/>
          <w:szCs w:val="22"/>
          <w:lang w:val="el-GR" w:eastAsia="en-GB"/>
        </w:rPr>
        <w:t>mg adalimumab σε 0,8 ml διαλύματος (50 mg/ml).</w:t>
      </w:r>
    </w:p>
    <w:p w14:paraId="0C0F6785" w14:textId="77777777" w:rsidR="00171824" w:rsidRDefault="00171824">
      <w:pPr>
        <w:pStyle w:val="BodyText"/>
        <w:widowControl/>
        <w:kinsoku w:val="0"/>
        <w:overflowPunct w:val="0"/>
        <w:ind w:left="0"/>
        <w:rPr>
          <w:lang w:val="el-GR"/>
        </w:rPr>
      </w:pPr>
    </w:p>
    <w:p w14:paraId="46030CF1" w14:textId="77777777" w:rsidR="00171824" w:rsidRDefault="006D258C">
      <w:pPr>
        <w:pStyle w:val="BodyText"/>
        <w:widowControl/>
        <w:kinsoku w:val="0"/>
        <w:overflowPunct w:val="0"/>
        <w:ind w:left="0"/>
        <w:rPr>
          <w:lang w:val="el-GR"/>
        </w:rPr>
      </w:pPr>
      <w:r>
        <w:rPr>
          <w:lang w:val="el-GR"/>
        </w:rPr>
        <w:t>Το adalimumab είναι ένα ανθρώπινο ανασυνδυασμένο μονοκλωνικό αντίσωμα που παράγεται σε κύτταρα Ωοθηκών Κινέζικων Ηamster.</w:t>
      </w:r>
    </w:p>
    <w:p w14:paraId="7E145928" w14:textId="77777777" w:rsidR="00171824" w:rsidRDefault="00171824">
      <w:pPr>
        <w:widowControl/>
        <w:kinsoku w:val="0"/>
        <w:overflowPunct w:val="0"/>
        <w:rPr>
          <w:sz w:val="22"/>
          <w:szCs w:val="22"/>
          <w:lang w:val="el-GR"/>
        </w:rPr>
      </w:pPr>
    </w:p>
    <w:p w14:paraId="6DAD4B0A" w14:textId="77777777" w:rsidR="00171824" w:rsidRDefault="006D258C">
      <w:pPr>
        <w:pStyle w:val="BodyText"/>
        <w:widowControl/>
        <w:kinsoku w:val="0"/>
        <w:overflowPunct w:val="0"/>
        <w:ind w:left="0"/>
        <w:rPr>
          <w:lang w:val="el-GR"/>
        </w:rPr>
      </w:pPr>
      <w:r>
        <w:rPr>
          <w:lang w:val="el-GR"/>
        </w:rPr>
        <w:t>Για τον πλήρη κατάλογο των εκδόχων, βλέπε παράγραφο 6.1.</w:t>
      </w:r>
    </w:p>
    <w:p w14:paraId="2C24B40C" w14:textId="77777777" w:rsidR="00171824" w:rsidRDefault="00171824">
      <w:pPr>
        <w:widowControl/>
        <w:kinsoku w:val="0"/>
        <w:overflowPunct w:val="0"/>
        <w:rPr>
          <w:sz w:val="22"/>
          <w:szCs w:val="22"/>
          <w:lang w:val="el-GR"/>
        </w:rPr>
      </w:pPr>
    </w:p>
    <w:p w14:paraId="171BFC1D" w14:textId="77777777" w:rsidR="00171824" w:rsidRDefault="00171824">
      <w:pPr>
        <w:widowControl/>
        <w:kinsoku w:val="0"/>
        <w:overflowPunct w:val="0"/>
        <w:rPr>
          <w:sz w:val="22"/>
          <w:szCs w:val="22"/>
          <w:lang w:val="el-GR"/>
        </w:rPr>
      </w:pPr>
    </w:p>
    <w:p w14:paraId="27A3B084" w14:textId="77777777" w:rsidR="00171824" w:rsidRDefault="006D258C">
      <w:pPr>
        <w:pStyle w:val="Heading1"/>
        <w:widowControl/>
        <w:numPr>
          <w:ilvl w:val="0"/>
          <w:numId w:val="3"/>
        </w:numPr>
        <w:tabs>
          <w:tab w:val="left" w:pos="567"/>
        </w:tabs>
        <w:kinsoku w:val="0"/>
        <w:overflowPunct w:val="0"/>
        <w:ind w:left="567"/>
        <w:rPr>
          <w:b w:val="0"/>
          <w:bCs w:val="0"/>
          <w:lang w:val="el-GR"/>
        </w:rPr>
      </w:pPr>
      <w:r>
        <w:rPr>
          <w:lang w:val="el-GR"/>
        </w:rPr>
        <w:t>ΦΑΡΜΑΚΟΤΕΧΝΙΚΗ ΜΟΡΦΗ</w:t>
      </w:r>
    </w:p>
    <w:p w14:paraId="4DB77279" w14:textId="77777777" w:rsidR="00171824" w:rsidRDefault="00171824">
      <w:pPr>
        <w:widowControl/>
        <w:kinsoku w:val="0"/>
        <w:overflowPunct w:val="0"/>
        <w:rPr>
          <w:sz w:val="22"/>
          <w:szCs w:val="22"/>
          <w:lang w:val="el-GR"/>
        </w:rPr>
      </w:pPr>
    </w:p>
    <w:p w14:paraId="11AF607B" w14:textId="77777777" w:rsidR="00171824" w:rsidRDefault="006D258C">
      <w:pPr>
        <w:pStyle w:val="BodyText"/>
        <w:widowControl/>
        <w:kinsoku w:val="0"/>
        <w:overflowPunct w:val="0"/>
        <w:ind w:left="0"/>
        <w:rPr>
          <w:lang w:val="el-GR"/>
        </w:rPr>
      </w:pPr>
      <w:r>
        <w:rPr>
          <w:lang w:val="el-GR"/>
        </w:rPr>
        <w:t>Ενέσιμο διάλυμα (ένεση)</w:t>
      </w:r>
    </w:p>
    <w:p w14:paraId="1014FDF7" w14:textId="77777777" w:rsidR="00171824" w:rsidRDefault="00171824">
      <w:pPr>
        <w:pStyle w:val="BodyText"/>
        <w:widowControl/>
        <w:kinsoku w:val="0"/>
        <w:overflowPunct w:val="0"/>
        <w:ind w:left="0"/>
        <w:rPr>
          <w:lang w:val="el-GR"/>
        </w:rPr>
      </w:pPr>
    </w:p>
    <w:p w14:paraId="105FB7D0" w14:textId="77777777" w:rsidR="00171824" w:rsidRDefault="006D258C">
      <w:pPr>
        <w:pStyle w:val="BodyText"/>
        <w:widowControl/>
        <w:kinsoku w:val="0"/>
        <w:overflowPunct w:val="0"/>
        <w:ind w:left="0"/>
        <w:rPr>
          <w:lang w:val="el-GR"/>
        </w:rPr>
      </w:pPr>
      <w:r>
        <w:rPr>
          <w:lang w:val="el-GR"/>
        </w:rPr>
        <w:t>Ενέσιμο διάλυμα (ένεση) σε προγεμισμένη συσκευή τύπου πένας (SureClick)</w:t>
      </w:r>
    </w:p>
    <w:p w14:paraId="431B5A30" w14:textId="77777777" w:rsidR="00171824" w:rsidRDefault="00171824">
      <w:pPr>
        <w:pStyle w:val="BodyText"/>
        <w:widowControl/>
        <w:kinsoku w:val="0"/>
        <w:overflowPunct w:val="0"/>
        <w:ind w:left="0"/>
        <w:rPr>
          <w:lang w:val="el-GR"/>
        </w:rPr>
      </w:pPr>
    </w:p>
    <w:p w14:paraId="0B5FC30D" w14:textId="77777777" w:rsidR="00171824" w:rsidRDefault="006D258C">
      <w:pPr>
        <w:pStyle w:val="BodyText"/>
        <w:widowControl/>
        <w:kinsoku w:val="0"/>
        <w:overflowPunct w:val="0"/>
        <w:ind w:left="0"/>
        <w:rPr>
          <w:lang w:val="el-GR"/>
        </w:rPr>
      </w:pPr>
      <w:r>
        <w:rPr>
          <w:lang w:val="el-GR"/>
        </w:rPr>
        <w:t>Διαυγές και άχρωμο έως ελαφρώς κίτρινο διάλυμα.</w:t>
      </w:r>
    </w:p>
    <w:p w14:paraId="73CA7481" w14:textId="77777777" w:rsidR="00171824" w:rsidRDefault="00171824">
      <w:pPr>
        <w:widowControl/>
        <w:kinsoku w:val="0"/>
        <w:overflowPunct w:val="0"/>
        <w:rPr>
          <w:sz w:val="22"/>
          <w:szCs w:val="22"/>
          <w:lang w:val="el-GR"/>
        </w:rPr>
      </w:pPr>
    </w:p>
    <w:p w14:paraId="38E46E34" w14:textId="77777777" w:rsidR="00171824" w:rsidRDefault="00171824">
      <w:pPr>
        <w:widowControl/>
        <w:kinsoku w:val="0"/>
        <w:overflowPunct w:val="0"/>
        <w:rPr>
          <w:sz w:val="22"/>
          <w:szCs w:val="22"/>
          <w:lang w:val="el-GR"/>
        </w:rPr>
      </w:pPr>
    </w:p>
    <w:p w14:paraId="2E6485C0" w14:textId="77777777" w:rsidR="00171824" w:rsidRDefault="006D258C">
      <w:pPr>
        <w:pStyle w:val="Heading1"/>
        <w:widowControl/>
        <w:numPr>
          <w:ilvl w:val="0"/>
          <w:numId w:val="3"/>
        </w:numPr>
        <w:tabs>
          <w:tab w:val="left" w:pos="567"/>
        </w:tabs>
        <w:kinsoku w:val="0"/>
        <w:overflowPunct w:val="0"/>
        <w:ind w:left="567"/>
        <w:rPr>
          <w:b w:val="0"/>
          <w:bCs w:val="0"/>
          <w:lang w:val="el-GR"/>
        </w:rPr>
      </w:pPr>
      <w:r>
        <w:rPr>
          <w:lang w:val="el-GR"/>
        </w:rPr>
        <w:t>ΚΛΙΝΙΚΕΣ ΠΛΗΡΟΦΟΡΙΕΣ</w:t>
      </w:r>
    </w:p>
    <w:p w14:paraId="616BEDD1" w14:textId="77777777" w:rsidR="00171824" w:rsidRDefault="00171824">
      <w:pPr>
        <w:widowControl/>
        <w:kinsoku w:val="0"/>
        <w:overflowPunct w:val="0"/>
        <w:rPr>
          <w:sz w:val="22"/>
          <w:szCs w:val="22"/>
          <w:lang w:val="el-GR"/>
        </w:rPr>
      </w:pPr>
    </w:p>
    <w:p w14:paraId="048F4751" w14:textId="77777777" w:rsidR="00171824" w:rsidRDefault="006D258C">
      <w:pPr>
        <w:widowControl/>
        <w:numPr>
          <w:ilvl w:val="1"/>
          <w:numId w:val="3"/>
        </w:numPr>
        <w:tabs>
          <w:tab w:val="left" w:pos="567"/>
        </w:tabs>
        <w:kinsoku w:val="0"/>
        <w:overflowPunct w:val="0"/>
        <w:ind w:left="567"/>
        <w:rPr>
          <w:sz w:val="22"/>
          <w:szCs w:val="22"/>
          <w:lang w:val="el-GR"/>
        </w:rPr>
      </w:pPr>
      <w:r>
        <w:rPr>
          <w:b/>
          <w:bCs/>
          <w:sz w:val="22"/>
          <w:szCs w:val="22"/>
          <w:lang w:val="el-GR"/>
        </w:rPr>
        <w:t>Θεραπευτικές ενδείξεις</w:t>
      </w:r>
    </w:p>
    <w:p w14:paraId="07AFA07B" w14:textId="77777777" w:rsidR="00171824" w:rsidRDefault="00171824">
      <w:pPr>
        <w:widowControl/>
        <w:kinsoku w:val="0"/>
        <w:overflowPunct w:val="0"/>
        <w:rPr>
          <w:sz w:val="22"/>
          <w:szCs w:val="22"/>
          <w:lang w:val="el-GR"/>
        </w:rPr>
      </w:pPr>
    </w:p>
    <w:p w14:paraId="77AC4F0B" w14:textId="77777777" w:rsidR="00171824" w:rsidRDefault="006D258C">
      <w:pPr>
        <w:pStyle w:val="BodyText"/>
        <w:widowControl/>
        <w:kinsoku w:val="0"/>
        <w:overflowPunct w:val="0"/>
        <w:ind w:left="0"/>
        <w:rPr>
          <w:lang w:val="el-GR"/>
        </w:rPr>
      </w:pPr>
      <w:r>
        <w:rPr>
          <w:u w:val="single"/>
          <w:lang w:val="el-GR"/>
        </w:rPr>
        <w:t>Ρευματοειδής αρθρίτιδα</w:t>
      </w:r>
    </w:p>
    <w:p w14:paraId="28615A53" w14:textId="77777777" w:rsidR="00171824" w:rsidRDefault="00171824">
      <w:pPr>
        <w:widowControl/>
        <w:kinsoku w:val="0"/>
        <w:overflowPunct w:val="0"/>
        <w:rPr>
          <w:sz w:val="22"/>
          <w:szCs w:val="22"/>
          <w:lang w:val="el-GR"/>
        </w:rPr>
      </w:pPr>
    </w:p>
    <w:p w14:paraId="39D2E969" w14:textId="77777777" w:rsidR="00171824" w:rsidRDefault="006D258C">
      <w:pPr>
        <w:pStyle w:val="BodyText"/>
        <w:widowControl/>
        <w:kinsoku w:val="0"/>
        <w:overflowPunct w:val="0"/>
        <w:ind w:left="0"/>
        <w:rPr>
          <w:lang w:val="el-GR"/>
        </w:rPr>
      </w:pPr>
      <w:r>
        <w:rPr>
          <w:lang w:val="el-GR"/>
        </w:rPr>
        <w:t>Το AMGEVITA σε συνδυασμό με τη μεθοτρεξάτη ενδείκνυται για:</w:t>
      </w:r>
    </w:p>
    <w:p w14:paraId="6B513104" w14:textId="77777777" w:rsidR="00171824" w:rsidRDefault="006D258C">
      <w:pPr>
        <w:pStyle w:val="BodyText"/>
        <w:widowControl/>
        <w:numPr>
          <w:ilvl w:val="0"/>
          <w:numId w:val="4"/>
        </w:numPr>
        <w:kinsoku w:val="0"/>
        <w:overflowPunct w:val="0"/>
        <w:ind w:left="567" w:hanging="567"/>
        <w:rPr>
          <w:lang w:val="el-GR"/>
        </w:rPr>
      </w:pPr>
      <w:r>
        <w:rPr>
          <w:lang w:val="el-GR"/>
        </w:rPr>
        <w:t>τη θεραπεία της μέτριας έως σοβαρής ενεργού ρευματοειδούς αρθρίτιδας των ενηλίκων ασθενών όταν η ανταπόκριση σε τροποποιητικά της νόσου αντιρευματικά φάρμακα (DMARDs) συμπεριλαμβανομένης και της μεθοτρεξάτης έχει αποδειχθεί ανεπαρκής.</w:t>
      </w:r>
    </w:p>
    <w:p w14:paraId="24D2586C" w14:textId="77777777" w:rsidR="00171824" w:rsidRDefault="006D258C">
      <w:pPr>
        <w:pStyle w:val="BodyText"/>
        <w:widowControl/>
        <w:numPr>
          <w:ilvl w:val="0"/>
          <w:numId w:val="4"/>
        </w:numPr>
        <w:kinsoku w:val="0"/>
        <w:overflowPunct w:val="0"/>
        <w:ind w:left="567" w:hanging="567"/>
        <w:rPr>
          <w:lang w:val="el-GR"/>
        </w:rPr>
      </w:pPr>
      <w:r>
        <w:rPr>
          <w:lang w:val="el-GR"/>
        </w:rPr>
        <w:t>τη θεραπεία της σοβαρής, ενεργού και εξελισσόμενης ρευματοειδούς αρθρίτιδας σε ενήλικες ασθενείς στους οποίους δεν είχε προηγουμένως χορηγηθεί μεθοτρεξάτη.</w:t>
      </w:r>
    </w:p>
    <w:p w14:paraId="3496E55A" w14:textId="77777777" w:rsidR="00171824" w:rsidRDefault="00171824">
      <w:pPr>
        <w:widowControl/>
        <w:kinsoku w:val="0"/>
        <w:overflowPunct w:val="0"/>
        <w:rPr>
          <w:sz w:val="22"/>
          <w:szCs w:val="22"/>
          <w:lang w:val="el-GR"/>
        </w:rPr>
      </w:pPr>
    </w:p>
    <w:p w14:paraId="1BE9776D" w14:textId="77777777" w:rsidR="00171824" w:rsidRDefault="006D258C">
      <w:pPr>
        <w:pStyle w:val="BodyText"/>
        <w:widowControl/>
        <w:kinsoku w:val="0"/>
        <w:overflowPunct w:val="0"/>
        <w:ind w:left="0"/>
        <w:rPr>
          <w:lang w:val="el-GR"/>
        </w:rPr>
      </w:pPr>
      <w:r>
        <w:rPr>
          <w:lang w:val="el-GR"/>
        </w:rPr>
        <w:t>Το AMGEVITA μπορεί να χορηγείται ως μονοθεραπεία στην περίπτωση δυσανεξίας σε μεθοτρεξάτη ή όταν η συνέχιση της θεραπείας με μεθοτρεξάτη κρίνεται ακατάλληλη.</w:t>
      </w:r>
    </w:p>
    <w:p w14:paraId="6697603F" w14:textId="77777777" w:rsidR="00171824" w:rsidRDefault="00171824">
      <w:pPr>
        <w:widowControl/>
        <w:kinsoku w:val="0"/>
        <w:overflowPunct w:val="0"/>
        <w:rPr>
          <w:sz w:val="22"/>
          <w:szCs w:val="22"/>
          <w:lang w:val="el-GR"/>
        </w:rPr>
      </w:pPr>
    </w:p>
    <w:p w14:paraId="58542DF2" w14:textId="77777777" w:rsidR="00171824" w:rsidRDefault="006D258C">
      <w:pPr>
        <w:pStyle w:val="BodyText"/>
        <w:widowControl/>
        <w:kinsoku w:val="0"/>
        <w:overflowPunct w:val="0"/>
        <w:ind w:left="0"/>
        <w:rPr>
          <w:lang w:val="el-GR"/>
        </w:rPr>
      </w:pPr>
      <w:r>
        <w:rPr>
          <w:lang w:val="el-GR"/>
        </w:rPr>
        <w:t>Το AMGEVITA επιβραδύνει την εξέλιξη της αρθρικής βλάβης, όπως αξιολογείται ακτινολογικά και βελτιώνει τη λειτουργικότητα όταν χορηγείται σε συνδυασμό με μεθοτρεξάτη.</w:t>
      </w:r>
    </w:p>
    <w:p w14:paraId="30738DAF" w14:textId="77777777" w:rsidR="00171824" w:rsidRDefault="00171824">
      <w:pPr>
        <w:widowControl/>
        <w:kinsoku w:val="0"/>
        <w:overflowPunct w:val="0"/>
        <w:rPr>
          <w:sz w:val="22"/>
          <w:szCs w:val="22"/>
          <w:lang w:val="el-GR"/>
        </w:rPr>
      </w:pPr>
    </w:p>
    <w:p w14:paraId="5C0F3436" w14:textId="77777777" w:rsidR="00171824" w:rsidRDefault="006D258C">
      <w:pPr>
        <w:pStyle w:val="BodyText"/>
        <w:widowControl/>
        <w:kinsoku w:val="0"/>
        <w:overflowPunct w:val="0"/>
        <w:ind w:left="0"/>
        <w:rPr>
          <w:u w:val="single"/>
          <w:lang w:val="el-GR"/>
        </w:rPr>
      </w:pPr>
      <w:r>
        <w:rPr>
          <w:u w:val="single"/>
          <w:lang w:val="el-GR"/>
        </w:rPr>
        <w:t>Νεανική ιδιοπαθής αρθρίτιδα</w:t>
      </w:r>
    </w:p>
    <w:p w14:paraId="4E52D9F4" w14:textId="77777777" w:rsidR="00171824" w:rsidRDefault="00171824">
      <w:pPr>
        <w:pStyle w:val="BodyText"/>
        <w:widowControl/>
        <w:kinsoku w:val="0"/>
        <w:overflowPunct w:val="0"/>
        <w:ind w:left="0"/>
        <w:rPr>
          <w:lang w:val="el-GR"/>
        </w:rPr>
      </w:pPr>
    </w:p>
    <w:p w14:paraId="5B80336A" w14:textId="77777777" w:rsidR="00171824" w:rsidRDefault="006D258C">
      <w:pPr>
        <w:widowControl/>
        <w:kinsoku w:val="0"/>
        <w:overflowPunct w:val="0"/>
        <w:rPr>
          <w:i/>
          <w:sz w:val="22"/>
          <w:szCs w:val="22"/>
          <w:lang w:val="el-GR"/>
        </w:rPr>
      </w:pPr>
      <w:r>
        <w:rPr>
          <w:i/>
          <w:iCs/>
          <w:sz w:val="22"/>
          <w:szCs w:val="22"/>
          <w:lang w:val="el-GR"/>
        </w:rPr>
        <w:t>Πολυαρθρική νεανική ιδιοπαθής αρθρίτιδα</w:t>
      </w:r>
    </w:p>
    <w:p w14:paraId="6041582D" w14:textId="77777777" w:rsidR="00171824" w:rsidRDefault="00171824">
      <w:pPr>
        <w:widowControl/>
        <w:kinsoku w:val="0"/>
        <w:overflowPunct w:val="0"/>
        <w:rPr>
          <w:sz w:val="22"/>
          <w:szCs w:val="22"/>
          <w:lang w:val="el-GR"/>
        </w:rPr>
      </w:pPr>
    </w:p>
    <w:p w14:paraId="45E09B0D" w14:textId="77777777" w:rsidR="00171824" w:rsidRDefault="006D258C">
      <w:pPr>
        <w:pStyle w:val="BodyText"/>
        <w:widowControl/>
        <w:kinsoku w:val="0"/>
        <w:overflowPunct w:val="0"/>
        <w:ind w:left="0"/>
        <w:rPr>
          <w:lang w:val="el-GR"/>
        </w:rPr>
      </w:pPr>
      <w:r>
        <w:rPr>
          <w:lang w:val="el-GR"/>
        </w:rPr>
        <w:t>Το AMGEVITA σε συνδυασμό με τη μεθοτρεξάτη ενδείκνυται για τη θεραπεία της ενεργού πολυαρθρικής νεανικής ιδιοπαθούς αρθρίτιδας σε ασθενείς από την ηλικία των 2 ετών των οποίων η ανταπόκριση σε ένα ή περισσότερα DMARDs είναι ανεπαρκής. Το AMGEVITA μπορεί να χορηγείται ως μονοθεραπεία στην περίπτωση δυσανεξίας σε μεθοτρεξάτη ή όταν η συνέχιση της θεραπείας με μεθοτρεξάτη κρίνεται ακατάλληλη (για την αποτελεσματικότητα στη μονοθεραπεία, βλέπε παράγραφο 5.1). Το adalimumab δεν έχει μελετηθεί σε ασθενείς μικρότερους των 2 ετών.</w:t>
      </w:r>
    </w:p>
    <w:p w14:paraId="54A9205B" w14:textId="77777777" w:rsidR="00171824" w:rsidRDefault="00171824">
      <w:pPr>
        <w:widowControl/>
        <w:kinsoku w:val="0"/>
        <w:overflowPunct w:val="0"/>
        <w:rPr>
          <w:iCs/>
          <w:sz w:val="22"/>
          <w:szCs w:val="22"/>
          <w:lang w:val="el-GR"/>
        </w:rPr>
      </w:pPr>
    </w:p>
    <w:p w14:paraId="774B2CB4" w14:textId="77777777" w:rsidR="00171824" w:rsidRDefault="006D258C">
      <w:pPr>
        <w:keepNext/>
        <w:widowControl/>
        <w:kinsoku w:val="0"/>
        <w:overflowPunct w:val="0"/>
        <w:rPr>
          <w:sz w:val="22"/>
          <w:szCs w:val="22"/>
          <w:lang w:val="el-GR"/>
        </w:rPr>
      </w:pPr>
      <w:r>
        <w:rPr>
          <w:i/>
          <w:iCs/>
          <w:sz w:val="22"/>
          <w:szCs w:val="22"/>
          <w:lang w:val="el-GR"/>
        </w:rPr>
        <w:t>Αρθρίτιδα σχετιζόμενη με ενθεσίτιδα</w:t>
      </w:r>
    </w:p>
    <w:p w14:paraId="19FEF9F1" w14:textId="77777777" w:rsidR="00171824" w:rsidRDefault="00171824">
      <w:pPr>
        <w:keepNext/>
        <w:widowControl/>
        <w:kinsoku w:val="0"/>
        <w:overflowPunct w:val="0"/>
        <w:rPr>
          <w:sz w:val="22"/>
          <w:szCs w:val="22"/>
          <w:lang w:val="el-GR"/>
        </w:rPr>
      </w:pPr>
    </w:p>
    <w:p w14:paraId="65C75276" w14:textId="77777777" w:rsidR="00171824" w:rsidRDefault="006D258C">
      <w:pPr>
        <w:pStyle w:val="BodyText"/>
        <w:widowControl/>
        <w:kinsoku w:val="0"/>
        <w:overflowPunct w:val="0"/>
        <w:ind w:left="0"/>
        <w:rPr>
          <w:lang w:val="el-GR"/>
        </w:rPr>
      </w:pPr>
      <w:r>
        <w:rPr>
          <w:lang w:val="el-GR"/>
        </w:rPr>
        <w:t>Το AMGEVITA ενδείκνυται για τη θεραπεία της ενεργού αρθρίτιδας που σχετίζεται με ενθεσίτιδα σε ασθενείς, ηλικίας 6 ετών και άνω, οι οποίοι εμφανίζουν ανεπαρκή ανταπόκριση ή δεν ανέχονται τη συμβατική θεραπεία (βλέπε παράγραφο 5.1).</w:t>
      </w:r>
    </w:p>
    <w:p w14:paraId="2AB376C0" w14:textId="77777777" w:rsidR="00171824" w:rsidRDefault="00171824">
      <w:pPr>
        <w:widowControl/>
        <w:kinsoku w:val="0"/>
        <w:overflowPunct w:val="0"/>
        <w:rPr>
          <w:sz w:val="22"/>
          <w:szCs w:val="22"/>
          <w:lang w:val="el-GR"/>
        </w:rPr>
      </w:pPr>
    </w:p>
    <w:p w14:paraId="41DF5D38" w14:textId="77777777" w:rsidR="00171824" w:rsidRDefault="006D258C">
      <w:pPr>
        <w:pStyle w:val="BodyText"/>
        <w:widowControl/>
        <w:kinsoku w:val="0"/>
        <w:overflowPunct w:val="0"/>
        <w:ind w:left="0"/>
        <w:rPr>
          <w:lang w:val="el-GR"/>
        </w:rPr>
      </w:pPr>
      <w:r>
        <w:rPr>
          <w:u w:val="single"/>
          <w:lang w:val="el-GR"/>
        </w:rPr>
        <w:t>Αξονική σπονδυλαρθρίτιδα</w:t>
      </w:r>
    </w:p>
    <w:p w14:paraId="31081366" w14:textId="77777777" w:rsidR="00171824" w:rsidRDefault="00171824">
      <w:pPr>
        <w:widowControl/>
        <w:kinsoku w:val="0"/>
        <w:overflowPunct w:val="0"/>
        <w:rPr>
          <w:sz w:val="22"/>
          <w:szCs w:val="22"/>
          <w:lang w:val="el-GR"/>
        </w:rPr>
      </w:pPr>
    </w:p>
    <w:p w14:paraId="1DDCF2AB" w14:textId="77777777" w:rsidR="00171824" w:rsidRDefault="006D258C">
      <w:pPr>
        <w:widowControl/>
        <w:kinsoku w:val="0"/>
        <w:overflowPunct w:val="0"/>
        <w:rPr>
          <w:sz w:val="22"/>
          <w:szCs w:val="22"/>
          <w:lang w:val="el-GR"/>
        </w:rPr>
      </w:pPr>
      <w:r>
        <w:rPr>
          <w:i/>
          <w:iCs/>
          <w:sz w:val="22"/>
          <w:szCs w:val="22"/>
          <w:lang w:val="el-GR"/>
        </w:rPr>
        <w:t>Αγκυλοποιητική σπονδυλίτιδα (ΑΣ)</w:t>
      </w:r>
    </w:p>
    <w:p w14:paraId="40564FF4" w14:textId="77777777" w:rsidR="00171824" w:rsidRDefault="00171824">
      <w:pPr>
        <w:widowControl/>
        <w:kinsoku w:val="0"/>
        <w:overflowPunct w:val="0"/>
        <w:rPr>
          <w:sz w:val="22"/>
          <w:szCs w:val="22"/>
          <w:lang w:val="el-GR"/>
        </w:rPr>
      </w:pPr>
    </w:p>
    <w:p w14:paraId="4A462892" w14:textId="77777777" w:rsidR="00171824" w:rsidRDefault="006D258C">
      <w:pPr>
        <w:pStyle w:val="BodyText"/>
        <w:widowControl/>
        <w:kinsoku w:val="0"/>
        <w:overflowPunct w:val="0"/>
        <w:ind w:left="0"/>
        <w:rPr>
          <w:lang w:val="el-GR"/>
        </w:rPr>
      </w:pPr>
      <w:r>
        <w:rPr>
          <w:lang w:val="el-GR"/>
        </w:rPr>
        <w:t>Το AMGEVITA ενδείκνυται για τη θεραπεία ενηλίκων ασθενών με σοβαρή ενεργό αγκυλοποιητική σπονδυλίτιδα, όταν η ανταπόκριση στη συμβατική θεραπεία έχει αποδειχθεί ανεπαρκής.</w:t>
      </w:r>
    </w:p>
    <w:p w14:paraId="008F3638" w14:textId="77777777" w:rsidR="00171824" w:rsidRDefault="00171824">
      <w:pPr>
        <w:widowControl/>
        <w:kinsoku w:val="0"/>
        <w:overflowPunct w:val="0"/>
        <w:rPr>
          <w:sz w:val="22"/>
          <w:szCs w:val="22"/>
          <w:lang w:val="el-GR"/>
        </w:rPr>
      </w:pPr>
    </w:p>
    <w:p w14:paraId="111FB945" w14:textId="77777777" w:rsidR="00171824" w:rsidRDefault="006D258C">
      <w:pPr>
        <w:widowControl/>
        <w:kinsoku w:val="0"/>
        <w:overflowPunct w:val="0"/>
        <w:rPr>
          <w:sz w:val="22"/>
          <w:szCs w:val="22"/>
          <w:lang w:val="el-GR"/>
        </w:rPr>
      </w:pPr>
      <w:r>
        <w:rPr>
          <w:i/>
          <w:iCs/>
          <w:sz w:val="22"/>
          <w:szCs w:val="22"/>
          <w:lang w:val="el-GR"/>
        </w:rPr>
        <w:t>Αξονική σπονδυλαρθρίτιδα χωρίς ακτινολογικά ευρήματα αγκυλοποιητικής σπονδυλίτιδας</w:t>
      </w:r>
    </w:p>
    <w:p w14:paraId="09134504" w14:textId="77777777" w:rsidR="00171824" w:rsidRDefault="00171824">
      <w:pPr>
        <w:widowControl/>
        <w:kinsoku w:val="0"/>
        <w:overflowPunct w:val="0"/>
        <w:rPr>
          <w:sz w:val="22"/>
          <w:szCs w:val="22"/>
          <w:lang w:val="el-GR"/>
        </w:rPr>
      </w:pPr>
    </w:p>
    <w:p w14:paraId="434B6B3B" w14:textId="77777777" w:rsidR="00171824" w:rsidRDefault="006D258C">
      <w:pPr>
        <w:pStyle w:val="BodyText"/>
        <w:widowControl/>
        <w:kinsoku w:val="0"/>
        <w:overflowPunct w:val="0"/>
        <w:ind w:left="0"/>
        <w:rPr>
          <w:lang w:val="el-GR"/>
        </w:rPr>
      </w:pPr>
      <w:r>
        <w:rPr>
          <w:lang w:val="el-GR"/>
        </w:rPr>
        <w:t>Το AMGEVITA ενδείκνυται για τη θεραπεία ενηλίκων ασθενών με σοβαρή αξονική σπονδυλαρθρίτιδα χωρίς ακτινολογικά ευρήματα αγκυλοποιητικής σπονδυλίτιδας (ΑΣ), αλλά με αντικειμενικά σημεία φλεγμονής με αυξημένη CRP και/ή μαγνητική τομογραφία (MRI), που είχαν ανεπαρκή ανταπόκριση ή έχουν δυσανεξία σε μη στεροειδή αντιφλεγμονώδη φάρμακα.</w:t>
      </w:r>
    </w:p>
    <w:p w14:paraId="3F5D7E2E" w14:textId="77777777" w:rsidR="00171824" w:rsidRDefault="00171824">
      <w:pPr>
        <w:widowControl/>
        <w:kinsoku w:val="0"/>
        <w:overflowPunct w:val="0"/>
        <w:rPr>
          <w:sz w:val="22"/>
          <w:szCs w:val="22"/>
          <w:lang w:val="el-GR"/>
        </w:rPr>
      </w:pPr>
    </w:p>
    <w:p w14:paraId="00BE6E4D" w14:textId="77777777" w:rsidR="00171824" w:rsidRDefault="006D258C">
      <w:pPr>
        <w:pStyle w:val="BodyText"/>
        <w:widowControl/>
        <w:kinsoku w:val="0"/>
        <w:overflowPunct w:val="0"/>
        <w:ind w:left="0"/>
        <w:rPr>
          <w:lang w:val="el-GR"/>
        </w:rPr>
      </w:pPr>
      <w:r>
        <w:rPr>
          <w:u w:val="single"/>
          <w:lang w:val="el-GR"/>
        </w:rPr>
        <w:t>Ψωριασική αρθρίτιδα</w:t>
      </w:r>
    </w:p>
    <w:p w14:paraId="249A2D4E" w14:textId="77777777" w:rsidR="00171824" w:rsidRDefault="00171824">
      <w:pPr>
        <w:widowControl/>
        <w:kinsoku w:val="0"/>
        <w:overflowPunct w:val="0"/>
        <w:rPr>
          <w:sz w:val="22"/>
          <w:szCs w:val="22"/>
          <w:lang w:val="el-GR"/>
        </w:rPr>
      </w:pPr>
    </w:p>
    <w:p w14:paraId="49C8DF0E" w14:textId="77777777" w:rsidR="00171824" w:rsidRDefault="006D258C">
      <w:pPr>
        <w:pStyle w:val="BodyText"/>
        <w:widowControl/>
        <w:kinsoku w:val="0"/>
        <w:overflowPunct w:val="0"/>
        <w:ind w:left="0"/>
        <w:rPr>
          <w:lang w:val="el-GR"/>
        </w:rPr>
      </w:pPr>
      <w:r>
        <w:rPr>
          <w:lang w:val="el-GR"/>
        </w:rPr>
        <w:t>Το AMGEVITA ενδείκνυται για τη θεραπεία της ενεργού και εξελισσόμενης ψωριασικής αρθρίτιδας σε ενήλικες ασθενείς όταν η ανταπόκριση σε προηγούμενη θεραπεία με DMARD έχει αποδειχθεί ανεπαρκής. To AMGEVITA επιβραδύνει την εξέλιξη της βλάβης των περιφερικών αρθρώσεων, όπως αξιολογείται ακτινολογικά σε ασθενείς με συμμετρικές πολυαρθρικές υποκατηγορίες της νόσου (βλέπε παράγραφο 5.1) και βελτιώνει τη λειτουργικότητα.</w:t>
      </w:r>
    </w:p>
    <w:p w14:paraId="3A21F9A2" w14:textId="77777777" w:rsidR="00171824" w:rsidRDefault="00171824">
      <w:pPr>
        <w:widowControl/>
        <w:kinsoku w:val="0"/>
        <w:overflowPunct w:val="0"/>
        <w:rPr>
          <w:sz w:val="22"/>
          <w:szCs w:val="22"/>
          <w:lang w:val="el-GR"/>
        </w:rPr>
      </w:pPr>
    </w:p>
    <w:p w14:paraId="4472A068" w14:textId="77777777" w:rsidR="00171824" w:rsidRDefault="006D258C">
      <w:pPr>
        <w:pStyle w:val="BodyText"/>
        <w:widowControl/>
        <w:kinsoku w:val="0"/>
        <w:overflowPunct w:val="0"/>
        <w:ind w:left="0"/>
        <w:rPr>
          <w:lang w:val="el-GR"/>
        </w:rPr>
      </w:pPr>
      <w:r>
        <w:rPr>
          <w:u w:val="single"/>
          <w:lang w:val="el-GR"/>
        </w:rPr>
        <w:t>Ψωρίαση</w:t>
      </w:r>
    </w:p>
    <w:p w14:paraId="7C80867A" w14:textId="77777777" w:rsidR="00171824" w:rsidRDefault="00171824">
      <w:pPr>
        <w:widowControl/>
        <w:kinsoku w:val="0"/>
        <w:overflowPunct w:val="0"/>
        <w:rPr>
          <w:sz w:val="22"/>
          <w:szCs w:val="22"/>
          <w:lang w:val="el-GR"/>
        </w:rPr>
      </w:pPr>
    </w:p>
    <w:p w14:paraId="69B3E836"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μέτριας έως σοβαρής χρόνιας ψωρίασης κατά πλάκας σε ενήλικες ασθενείς οι οποίοι είναι υποψήφιοι για συστηματική θεραπεία.</w:t>
      </w:r>
    </w:p>
    <w:p w14:paraId="35E03D0E" w14:textId="77777777" w:rsidR="00171824" w:rsidRDefault="00171824">
      <w:pPr>
        <w:widowControl/>
        <w:kinsoku w:val="0"/>
        <w:overflowPunct w:val="0"/>
        <w:rPr>
          <w:sz w:val="22"/>
          <w:szCs w:val="22"/>
          <w:lang w:val="el-GR"/>
        </w:rPr>
      </w:pPr>
    </w:p>
    <w:p w14:paraId="769308F7" w14:textId="77777777" w:rsidR="00171824" w:rsidRDefault="006D258C">
      <w:pPr>
        <w:pStyle w:val="BodyText"/>
        <w:widowControl/>
        <w:kinsoku w:val="0"/>
        <w:overflowPunct w:val="0"/>
        <w:ind w:left="0"/>
        <w:rPr>
          <w:lang w:val="el-GR"/>
        </w:rPr>
      </w:pPr>
      <w:r>
        <w:rPr>
          <w:u w:val="single"/>
          <w:lang w:val="el-GR"/>
        </w:rPr>
        <w:t>Παιδιατρική ψωρίαση κατά πλάκας</w:t>
      </w:r>
    </w:p>
    <w:p w14:paraId="01CBE57E" w14:textId="77777777" w:rsidR="00171824" w:rsidRDefault="00171824">
      <w:pPr>
        <w:widowControl/>
        <w:kinsoku w:val="0"/>
        <w:overflowPunct w:val="0"/>
        <w:rPr>
          <w:sz w:val="22"/>
          <w:szCs w:val="22"/>
          <w:lang w:val="el-GR"/>
        </w:rPr>
      </w:pPr>
    </w:p>
    <w:p w14:paraId="062FCCB2" w14:textId="77777777" w:rsidR="00171824" w:rsidRDefault="006D258C">
      <w:pPr>
        <w:pStyle w:val="BodyText"/>
        <w:widowControl/>
        <w:kinsoku w:val="0"/>
        <w:overflowPunct w:val="0"/>
        <w:ind w:left="0"/>
        <w:rPr>
          <w:lang w:val="el-GR"/>
        </w:rPr>
      </w:pPr>
      <w:r>
        <w:rPr>
          <w:lang w:val="el-GR"/>
        </w:rPr>
        <w:t>Το AMGEVITA ενδείκνυται για τη θεραπεία της σοβαρής χρόνιας ψωρίασης κατά πλάκας σε παιδιά και εφήβους από την ηλικία των 4 ετών οι οποίοι εμφάνισαν ανεπαρκή ανταπόκριση ή είναι ακατάλληλοι υποψήφιοι για τοπική θεραπεία και φωτοθεραπείες.</w:t>
      </w:r>
    </w:p>
    <w:p w14:paraId="72CC8BCD" w14:textId="77777777" w:rsidR="00171824" w:rsidRDefault="00171824">
      <w:pPr>
        <w:widowControl/>
        <w:kinsoku w:val="0"/>
        <w:overflowPunct w:val="0"/>
        <w:rPr>
          <w:sz w:val="22"/>
          <w:szCs w:val="22"/>
          <w:lang w:val="el-GR"/>
        </w:rPr>
      </w:pPr>
    </w:p>
    <w:p w14:paraId="2C1C1EB7" w14:textId="77777777" w:rsidR="00171824" w:rsidRDefault="006D258C">
      <w:pPr>
        <w:pStyle w:val="BodyText"/>
        <w:keepNext/>
        <w:widowControl/>
        <w:kinsoku w:val="0"/>
        <w:overflowPunct w:val="0"/>
        <w:ind w:left="0"/>
        <w:rPr>
          <w:lang w:val="el-GR"/>
        </w:rPr>
      </w:pPr>
      <w:r>
        <w:rPr>
          <w:u w:val="single"/>
          <w:lang w:val="el-GR"/>
        </w:rPr>
        <w:t>Διαπυητική ιδρωταδενίτιδα (HS)</w:t>
      </w:r>
    </w:p>
    <w:p w14:paraId="4DD328B9" w14:textId="77777777" w:rsidR="00171824" w:rsidRDefault="00171824">
      <w:pPr>
        <w:keepNext/>
        <w:widowControl/>
        <w:kinsoku w:val="0"/>
        <w:overflowPunct w:val="0"/>
        <w:rPr>
          <w:sz w:val="22"/>
          <w:szCs w:val="22"/>
          <w:lang w:val="el-GR"/>
        </w:rPr>
      </w:pPr>
    </w:p>
    <w:p w14:paraId="38CE1DAB"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μέτριας έως σοβαρής ενεργού διαπυητικής ιδρωταδενίτιδας (ανάστροφης ακµής) σε ενήλικες και εφήβους ηλικίας από 12 ετών με ανεπαρκή ανταπόκριση στη συμβατική συστηματική θεραπεία για τη διαπυητική ιδρωταδενίτιδα (βλέπε παραγράφους 5.1 και 5.2).</w:t>
      </w:r>
    </w:p>
    <w:p w14:paraId="56550881" w14:textId="77777777" w:rsidR="00171824" w:rsidRDefault="00171824">
      <w:pPr>
        <w:widowControl/>
        <w:kinsoku w:val="0"/>
        <w:overflowPunct w:val="0"/>
        <w:rPr>
          <w:sz w:val="22"/>
          <w:szCs w:val="22"/>
          <w:lang w:val="el-GR"/>
        </w:rPr>
      </w:pPr>
    </w:p>
    <w:p w14:paraId="17341F79" w14:textId="77777777" w:rsidR="00171824" w:rsidRDefault="006D258C">
      <w:pPr>
        <w:pStyle w:val="BodyText"/>
        <w:keepNext/>
        <w:widowControl/>
        <w:kinsoku w:val="0"/>
        <w:overflowPunct w:val="0"/>
        <w:ind w:left="0"/>
        <w:rPr>
          <w:lang w:val="el-GR"/>
        </w:rPr>
      </w:pPr>
      <w:r>
        <w:rPr>
          <w:u w:val="single"/>
          <w:lang w:val="el-GR"/>
        </w:rPr>
        <w:t>Nόσος του Crohn</w:t>
      </w:r>
    </w:p>
    <w:p w14:paraId="45A819EE" w14:textId="77777777" w:rsidR="00171824" w:rsidRDefault="00171824">
      <w:pPr>
        <w:keepNext/>
        <w:widowControl/>
        <w:kinsoku w:val="0"/>
        <w:overflowPunct w:val="0"/>
        <w:rPr>
          <w:sz w:val="22"/>
          <w:szCs w:val="22"/>
          <w:lang w:val="el-GR"/>
        </w:rPr>
      </w:pPr>
    </w:p>
    <w:p w14:paraId="5CF7A968" w14:textId="77777777" w:rsidR="00171824" w:rsidRDefault="006D258C">
      <w:pPr>
        <w:pStyle w:val="BodyText"/>
        <w:widowControl/>
        <w:kinsoku w:val="0"/>
        <w:overflowPunct w:val="0"/>
        <w:ind w:left="0"/>
        <w:rPr>
          <w:lang w:val="el-GR"/>
        </w:rPr>
      </w:pPr>
      <w:r>
        <w:rPr>
          <w:lang w:val="el-GR"/>
        </w:rPr>
        <w:t>To AMGEVITA ενδείκνυται για τη θεραπεία της μέτριας έως σοβαρής ενεργού νόσου του Crohn, σε ενήλικες ασθενείς οι οποίοι δεν έχουν ανταποκριθεί σε πλήρη, επαρκή θεραπευτική αγωγή με ένα κορτικοστεροειδές και /ή με ένα ανοσοκατασταλτικό, ή οι οποίοι έχουν δυσανεξία ή αντένδειξη για τέτοιες θεραπείες.</w:t>
      </w:r>
    </w:p>
    <w:p w14:paraId="242AF4D7" w14:textId="77777777" w:rsidR="00171824" w:rsidRDefault="00171824">
      <w:pPr>
        <w:widowControl/>
        <w:kinsoku w:val="0"/>
        <w:overflowPunct w:val="0"/>
        <w:rPr>
          <w:sz w:val="22"/>
          <w:szCs w:val="22"/>
          <w:lang w:val="el-GR"/>
        </w:rPr>
      </w:pPr>
    </w:p>
    <w:p w14:paraId="1EFFB1D3" w14:textId="77777777" w:rsidR="00171824" w:rsidRDefault="006D258C">
      <w:pPr>
        <w:pStyle w:val="BodyText"/>
        <w:widowControl/>
        <w:kinsoku w:val="0"/>
        <w:overflowPunct w:val="0"/>
        <w:ind w:left="0"/>
        <w:rPr>
          <w:lang w:val="el-GR"/>
        </w:rPr>
      </w:pPr>
      <w:r>
        <w:rPr>
          <w:u w:val="single"/>
          <w:lang w:val="el-GR"/>
        </w:rPr>
        <w:t>Παιδιατρική νόσος του Crohn</w:t>
      </w:r>
    </w:p>
    <w:p w14:paraId="5255BDB3" w14:textId="77777777" w:rsidR="00171824" w:rsidRDefault="00171824">
      <w:pPr>
        <w:widowControl/>
        <w:kinsoku w:val="0"/>
        <w:overflowPunct w:val="0"/>
        <w:rPr>
          <w:sz w:val="22"/>
          <w:szCs w:val="22"/>
          <w:lang w:val="el-GR"/>
        </w:rPr>
      </w:pPr>
    </w:p>
    <w:p w14:paraId="3E5B51E5"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μέτριας έως σοβαρής ενεργού νόσου του Crohn σε παιδιατρικούς ασθενείς (από 6 ετών) που είχαν ανεπαρκή ανταπόκριση στη συμβατική θεραπεία που περιλαμβάνει πρωτογενή διατροφική θεραπείακαι ένα κορτικοστεροειδές και/ή ένα ανοσοτροποποιητικό, ή που έχουν δυσανεξία ή αντένδειξη για τέτοιες θεραπείες.</w:t>
      </w:r>
    </w:p>
    <w:p w14:paraId="50619E2D" w14:textId="77777777" w:rsidR="00171824" w:rsidRDefault="00171824">
      <w:pPr>
        <w:widowControl/>
        <w:kinsoku w:val="0"/>
        <w:overflowPunct w:val="0"/>
        <w:rPr>
          <w:sz w:val="22"/>
          <w:szCs w:val="22"/>
          <w:lang w:val="el-GR"/>
        </w:rPr>
      </w:pPr>
    </w:p>
    <w:p w14:paraId="4BFDF1F9" w14:textId="77777777" w:rsidR="00171824" w:rsidRDefault="006D258C">
      <w:pPr>
        <w:pStyle w:val="BodyText"/>
        <w:widowControl/>
        <w:kinsoku w:val="0"/>
        <w:overflowPunct w:val="0"/>
        <w:ind w:left="0"/>
        <w:rPr>
          <w:lang w:val="el-GR"/>
        </w:rPr>
      </w:pPr>
      <w:r>
        <w:rPr>
          <w:u w:val="single"/>
          <w:lang w:val="el-GR"/>
        </w:rPr>
        <w:t>Ελκώδης κολίτιδα</w:t>
      </w:r>
    </w:p>
    <w:p w14:paraId="6838BE30" w14:textId="77777777" w:rsidR="00171824" w:rsidRDefault="00171824">
      <w:pPr>
        <w:widowControl/>
        <w:kinsoku w:val="0"/>
        <w:overflowPunct w:val="0"/>
        <w:rPr>
          <w:sz w:val="22"/>
          <w:szCs w:val="22"/>
          <w:lang w:val="el-GR"/>
        </w:rPr>
      </w:pPr>
    </w:p>
    <w:p w14:paraId="63E52462"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μέτριας έως σοβαρής ενεργού ελκώδους κολίτιδας σε ενήλικες ασθενείς που είχαν ανεπαρκή ανταπόκριση στη συμβατική θεραπεία συμπεριλαμβανομένων των κορτικοστεροειδών και των 6-mercaptopurine (6-MP) ή αζαθειοπρίνης (AZA) ή οι οποίοι έχουν δυσανεξία ή αντένδειξη για τέτοιες θεραπείες.</w:t>
      </w:r>
    </w:p>
    <w:p w14:paraId="68B1A17C" w14:textId="77777777" w:rsidR="00171824" w:rsidRDefault="00171824">
      <w:pPr>
        <w:pStyle w:val="BodyText"/>
        <w:widowControl/>
        <w:kinsoku w:val="0"/>
        <w:overflowPunct w:val="0"/>
        <w:ind w:left="0"/>
        <w:rPr>
          <w:lang w:val="el-GR"/>
        </w:rPr>
      </w:pPr>
    </w:p>
    <w:p w14:paraId="018D02BE" w14:textId="77777777" w:rsidR="00171824" w:rsidRDefault="006D258C">
      <w:pPr>
        <w:widowControl/>
        <w:rPr>
          <w:color w:val="000000"/>
          <w:sz w:val="22"/>
          <w:szCs w:val="22"/>
          <w:u w:val="single"/>
          <w:lang w:val="el-GR" w:eastAsia="ja-JP"/>
        </w:rPr>
      </w:pPr>
      <w:r>
        <w:rPr>
          <w:color w:val="000000"/>
          <w:sz w:val="22"/>
          <w:szCs w:val="22"/>
          <w:u w:val="single"/>
          <w:lang w:val="el-GR" w:eastAsia="ja-JP"/>
        </w:rPr>
        <w:t xml:space="preserve">Παιδιατρική ελκώδης κολίτιδα </w:t>
      </w:r>
    </w:p>
    <w:p w14:paraId="19AEEDB2" w14:textId="77777777" w:rsidR="00171824" w:rsidRDefault="00171824">
      <w:pPr>
        <w:widowControl/>
        <w:rPr>
          <w:color w:val="000000"/>
          <w:sz w:val="22"/>
          <w:szCs w:val="22"/>
          <w:lang w:val="el-GR" w:eastAsia="ja-JP"/>
        </w:rPr>
      </w:pPr>
    </w:p>
    <w:p w14:paraId="66E181C1" w14:textId="77777777" w:rsidR="00171824" w:rsidRDefault="006D258C">
      <w:pPr>
        <w:pStyle w:val="BodyText"/>
        <w:widowControl/>
        <w:kinsoku w:val="0"/>
        <w:overflowPunct w:val="0"/>
        <w:ind w:left="0"/>
        <w:rPr>
          <w:lang w:val="el-GR"/>
        </w:rPr>
      </w:pPr>
      <w:r>
        <w:rPr>
          <w:color w:val="000000"/>
          <w:lang w:val="el-GR" w:eastAsia="ja-JP"/>
        </w:rPr>
        <w:t>Το AMGEVITA ενδείκνυται για τη θεραπεία της μέτριας έως σοβαρής ενεργού ελκώδους κολίτιδας σε παιδιατρικούς ασθενείς (ηλικίας από 6 ετών) που είχαν ανεπαρκή ανταπόκριση στη συμβατική θεραπεία συμπεριλαμβανομένων των κορτικοστεροειδών ή/και των 6-mercaptopurine (6-MP) ή αζαθειοπρίνης (AZA), ή οι οποίοι έχουν δυσανεξία ή αντένδειξη για τέτοιες θεραπείες.</w:t>
      </w:r>
    </w:p>
    <w:p w14:paraId="743BC860" w14:textId="77777777" w:rsidR="00171824" w:rsidRDefault="00171824">
      <w:pPr>
        <w:widowControl/>
        <w:kinsoku w:val="0"/>
        <w:overflowPunct w:val="0"/>
        <w:rPr>
          <w:sz w:val="22"/>
          <w:szCs w:val="22"/>
          <w:lang w:val="el-GR"/>
        </w:rPr>
      </w:pPr>
    </w:p>
    <w:p w14:paraId="34830BC1" w14:textId="77777777" w:rsidR="00171824" w:rsidRDefault="006D258C">
      <w:pPr>
        <w:pStyle w:val="BodyText"/>
        <w:widowControl/>
        <w:kinsoku w:val="0"/>
        <w:overflowPunct w:val="0"/>
        <w:ind w:left="0"/>
        <w:rPr>
          <w:lang w:val="el-GR"/>
        </w:rPr>
      </w:pPr>
      <w:r>
        <w:rPr>
          <w:u w:val="single"/>
          <w:lang w:val="el-GR"/>
        </w:rPr>
        <w:t>Ραγοειδίτιδα</w:t>
      </w:r>
    </w:p>
    <w:p w14:paraId="2266AEC7" w14:textId="77777777" w:rsidR="00171824" w:rsidRDefault="00171824">
      <w:pPr>
        <w:widowControl/>
        <w:kinsoku w:val="0"/>
        <w:overflowPunct w:val="0"/>
        <w:rPr>
          <w:sz w:val="22"/>
          <w:szCs w:val="22"/>
          <w:lang w:val="el-GR"/>
        </w:rPr>
      </w:pPr>
    </w:p>
    <w:p w14:paraId="584BBC97"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μη-λοιμώδους ενδιάμεσης, οπίσθιας και πανραγοειδίτιδας σε ενήλικες ασθενείς, οι οποίοι είχαν ανεπαρκή ανταπόκριση σε κορτικοστεροειδή, σε ασθενείς που απαιτούν σταδιακή μείωση της δόσης των κορτικοστεροειδών, ή στους οποίους δεν είναι κατάλληλη η θεραπεία με κορτικοστεροειδή.</w:t>
      </w:r>
    </w:p>
    <w:p w14:paraId="6C8EE4D0" w14:textId="77777777" w:rsidR="00171824" w:rsidRDefault="00171824">
      <w:pPr>
        <w:widowControl/>
        <w:kinsoku w:val="0"/>
        <w:overflowPunct w:val="0"/>
        <w:rPr>
          <w:sz w:val="22"/>
          <w:szCs w:val="22"/>
          <w:lang w:val="el-GR"/>
        </w:rPr>
      </w:pPr>
    </w:p>
    <w:p w14:paraId="40ECF859" w14:textId="77777777" w:rsidR="00171824" w:rsidRDefault="006D258C">
      <w:pPr>
        <w:widowControl/>
        <w:kinsoku w:val="0"/>
        <w:overflowPunct w:val="0"/>
        <w:rPr>
          <w:sz w:val="22"/>
          <w:szCs w:val="22"/>
          <w:u w:val="single"/>
          <w:lang w:val="el-GR"/>
        </w:rPr>
      </w:pPr>
      <w:r>
        <w:rPr>
          <w:sz w:val="22"/>
          <w:szCs w:val="22"/>
          <w:u w:val="single"/>
          <w:lang w:val="el-GR"/>
        </w:rPr>
        <w:t>Παιδιατρική ραγοειδίτιδα</w:t>
      </w:r>
    </w:p>
    <w:p w14:paraId="5E0040AD" w14:textId="77777777" w:rsidR="00171824" w:rsidRDefault="006D258C">
      <w:pPr>
        <w:rPr>
          <w:sz w:val="22"/>
          <w:szCs w:val="22"/>
          <w:lang w:val="el-GR"/>
        </w:rPr>
      </w:pPr>
      <w:r>
        <w:rPr>
          <w:sz w:val="22"/>
          <w:szCs w:val="22"/>
          <w:lang w:val="el-GR"/>
        </w:rPr>
        <w:br/>
        <w:t>Το AMGEVITA ενδείκνυται για τη θεραπεία της παιδιατρικής χρόνιας μη-λοιμώδους πρόσθιας ραγοειδίτιδας σε ασθενείς από την ηλικία των 2 ετών που είχαν ανεπαρκή ανταπόκριση ή δεν ανέχονται τη συμβατική θεραπεία ή στους οποίους η συμβατική θεραπεία δεν είναι κατάλληλη.</w:t>
      </w:r>
    </w:p>
    <w:p w14:paraId="4ABE1E97" w14:textId="77777777" w:rsidR="00171824" w:rsidRDefault="00171824">
      <w:pPr>
        <w:widowControl/>
        <w:kinsoku w:val="0"/>
        <w:overflowPunct w:val="0"/>
        <w:rPr>
          <w:sz w:val="22"/>
          <w:szCs w:val="22"/>
          <w:lang w:val="el-GR"/>
        </w:rPr>
      </w:pPr>
    </w:p>
    <w:p w14:paraId="7AA8565A" w14:textId="77777777" w:rsidR="00171824" w:rsidRDefault="006D258C">
      <w:pPr>
        <w:pStyle w:val="Heading1"/>
        <w:widowControl/>
        <w:numPr>
          <w:ilvl w:val="1"/>
          <w:numId w:val="3"/>
        </w:numPr>
        <w:tabs>
          <w:tab w:val="left" w:pos="567"/>
        </w:tabs>
        <w:kinsoku w:val="0"/>
        <w:overflowPunct w:val="0"/>
        <w:ind w:left="567"/>
        <w:rPr>
          <w:b w:val="0"/>
          <w:bCs w:val="0"/>
          <w:lang w:val="el-GR"/>
        </w:rPr>
      </w:pPr>
      <w:r>
        <w:rPr>
          <w:lang w:val="el-GR"/>
        </w:rPr>
        <w:t>Δοσολογία και τρόπος χορήγησης</w:t>
      </w:r>
    </w:p>
    <w:p w14:paraId="2705B02F" w14:textId="77777777" w:rsidR="00171824" w:rsidRDefault="00171824">
      <w:pPr>
        <w:widowControl/>
        <w:kinsoku w:val="0"/>
        <w:overflowPunct w:val="0"/>
        <w:rPr>
          <w:sz w:val="22"/>
          <w:szCs w:val="22"/>
          <w:lang w:val="el-GR"/>
        </w:rPr>
      </w:pPr>
    </w:p>
    <w:p w14:paraId="2044CDB9" w14:textId="77777777" w:rsidR="00171824" w:rsidRDefault="006D258C">
      <w:pPr>
        <w:rPr>
          <w:rFonts w:ascii="Calibri" w:hAnsi="Calibri"/>
          <w:sz w:val="22"/>
          <w:szCs w:val="22"/>
          <w:lang w:val="el-GR" w:eastAsia="el-GR"/>
        </w:rPr>
      </w:pPr>
      <w:r>
        <w:rPr>
          <w:sz w:val="22"/>
          <w:lang w:val="el-GR"/>
        </w:rPr>
        <w:t xml:space="preserve">Η θεραπεία με το AMGEVITA θα πρέπει να αρχίσει και να παρακολουθείται από ειδικευμένους γιατρούς με εμπειρία στη διάγνωση και τη θεραπεία νόσων για τις οποίες ενδείκνυται το AMGEVITA. Οι οφθαλμίατροι συνιστάται να συμβουλεύονται έναν ειδικό ιατρό πριν την έναρξη της θεραπείας με AMGEVITA (βλέπε παράγραφο 4.4). Στους ασθενείς που λαμβάνουν AMGEVITA θα πρέπει να δίνεται η </w:t>
      </w:r>
      <w:r>
        <w:rPr>
          <w:sz w:val="22"/>
          <w:lang w:val="el-GR" w:eastAsia="el-GR"/>
        </w:rPr>
        <w:t>Κάρτα Υπενθύμισης του Ασθενούς</w:t>
      </w:r>
      <w:r>
        <w:rPr>
          <w:rFonts w:ascii="Segoe UI" w:hAnsi="Segoe UI" w:cs="Segoe UI"/>
          <w:color w:val="000000"/>
          <w:sz w:val="20"/>
          <w:szCs w:val="20"/>
          <w:lang w:val="el-GR" w:eastAsia="el-GR"/>
        </w:rPr>
        <w:t>.</w:t>
      </w:r>
    </w:p>
    <w:p w14:paraId="0A94F319" w14:textId="77777777" w:rsidR="00171824" w:rsidRDefault="00171824">
      <w:pPr>
        <w:pStyle w:val="BodyText"/>
        <w:widowControl/>
        <w:kinsoku w:val="0"/>
        <w:overflowPunct w:val="0"/>
        <w:ind w:left="0"/>
        <w:rPr>
          <w:lang w:val="el-GR"/>
        </w:rPr>
      </w:pPr>
    </w:p>
    <w:p w14:paraId="0F3EC51A" w14:textId="77777777" w:rsidR="00171824" w:rsidRDefault="006D258C">
      <w:pPr>
        <w:pStyle w:val="BodyText"/>
        <w:widowControl/>
        <w:kinsoku w:val="0"/>
        <w:overflowPunct w:val="0"/>
        <w:ind w:left="0"/>
        <w:rPr>
          <w:lang w:val="el-GR"/>
        </w:rPr>
      </w:pPr>
      <w:r>
        <w:rPr>
          <w:lang w:val="el-GR"/>
        </w:rPr>
        <w:t>Μετά από κατάλληλη εκπαίδευση στην τεχνική ένεσης, οι ασθενείς μπορούν να κάνουν μόνοι τους την ένεση AMGEVITA εάν ο γιατρός τους το κρίνει εφικτό και κάτω από ιατρική παρακολούθηση, εάν κρίνεται αναγκαίο.</w:t>
      </w:r>
    </w:p>
    <w:p w14:paraId="761C20B4" w14:textId="77777777" w:rsidR="00171824" w:rsidRDefault="00171824">
      <w:pPr>
        <w:widowControl/>
        <w:kinsoku w:val="0"/>
        <w:overflowPunct w:val="0"/>
        <w:rPr>
          <w:sz w:val="22"/>
          <w:szCs w:val="22"/>
          <w:lang w:val="el-GR"/>
        </w:rPr>
      </w:pPr>
    </w:p>
    <w:p w14:paraId="301F8451" w14:textId="77777777" w:rsidR="00171824" w:rsidRDefault="006D258C">
      <w:pPr>
        <w:pStyle w:val="BodyText"/>
        <w:widowControl/>
        <w:kinsoku w:val="0"/>
        <w:overflowPunct w:val="0"/>
        <w:ind w:left="0"/>
        <w:rPr>
          <w:lang w:val="el-GR"/>
        </w:rPr>
      </w:pPr>
      <w:r>
        <w:rPr>
          <w:lang w:val="el-GR"/>
        </w:rPr>
        <w:t>Kατά τη διάρκεια της θεραπείας με AMGEVITA, άλλες συγχορηγούμενες θεραπείες (π.χ. κορτικοστεροειδή και /ή ανοσοτροποποιητικοί παράγοντες) θα πρέπει να βελτιστοποιούνται.</w:t>
      </w:r>
    </w:p>
    <w:p w14:paraId="4423D2B2" w14:textId="77777777" w:rsidR="00171824" w:rsidRDefault="00171824">
      <w:pPr>
        <w:widowControl/>
        <w:kinsoku w:val="0"/>
        <w:overflowPunct w:val="0"/>
        <w:rPr>
          <w:sz w:val="22"/>
          <w:szCs w:val="22"/>
          <w:lang w:val="el-GR"/>
        </w:rPr>
      </w:pPr>
    </w:p>
    <w:p w14:paraId="2D56C424" w14:textId="77777777" w:rsidR="00171824" w:rsidRDefault="006D258C">
      <w:pPr>
        <w:pStyle w:val="BodyText"/>
        <w:keepNext/>
        <w:widowControl/>
        <w:kinsoku w:val="0"/>
        <w:overflowPunct w:val="0"/>
        <w:ind w:left="0"/>
        <w:rPr>
          <w:lang w:val="el-GR"/>
        </w:rPr>
      </w:pPr>
      <w:r>
        <w:rPr>
          <w:u w:val="single"/>
          <w:lang w:val="el-GR"/>
        </w:rPr>
        <w:lastRenderedPageBreak/>
        <w:t>Δοσολογία</w:t>
      </w:r>
    </w:p>
    <w:p w14:paraId="74AF6BDF" w14:textId="77777777" w:rsidR="00171824" w:rsidRDefault="00171824">
      <w:pPr>
        <w:widowControl/>
        <w:kinsoku w:val="0"/>
        <w:overflowPunct w:val="0"/>
        <w:rPr>
          <w:sz w:val="22"/>
          <w:szCs w:val="22"/>
          <w:lang w:val="el-GR"/>
        </w:rPr>
      </w:pPr>
    </w:p>
    <w:p w14:paraId="08CA3F34" w14:textId="77777777" w:rsidR="00171824" w:rsidRDefault="006D258C">
      <w:pPr>
        <w:widowControl/>
        <w:kinsoku w:val="0"/>
        <w:overflowPunct w:val="0"/>
        <w:rPr>
          <w:sz w:val="22"/>
          <w:szCs w:val="22"/>
          <w:lang w:val="el-GR"/>
        </w:rPr>
      </w:pPr>
      <w:r>
        <w:rPr>
          <w:i/>
          <w:iCs/>
          <w:sz w:val="22"/>
          <w:szCs w:val="22"/>
          <w:lang w:val="el-GR"/>
        </w:rPr>
        <w:t>Ρευματοειδής αρθρίτιδα</w:t>
      </w:r>
    </w:p>
    <w:p w14:paraId="51E764AA" w14:textId="77777777" w:rsidR="00171824" w:rsidRDefault="00171824">
      <w:pPr>
        <w:widowControl/>
        <w:kinsoku w:val="0"/>
        <w:overflowPunct w:val="0"/>
        <w:rPr>
          <w:sz w:val="22"/>
          <w:szCs w:val="22"/>
          <w:lang w:val="el-GR"/>
        </w:rPr>
      </w:pPr>
    </w:p>
    <w:p w14:paraId="350D9F22" w14:textId="77777777" w:rsidR="00171824" w:rsidRDefault="006D258C">
      <w:pPr>
        <w:pStyle w:val="BodyText"/>
        <w:widowControl/>
        <w:kinsoku w:val="0"/>
        <w:overflowPunct w:val="0"/>
        <w:ind w:left="0"/>
        <w:rPr>
          <w:lang w:val="el-GR"/>
        </w:rPr>
      </w:pPr>
      <w:r>
        <w:rPr>
          <w:lang w:val="el-GR"/>
        </w:rPr>
        <w:t>Η συνιστώμενη δόση του AMGEVITA στους ενήλικες ασθενείς με ρευματοειδή αρθρίτιδα είναι 40 mg adalimumab ως μία δόση χορηγούμενη υποδόρια κάθε δεύτερη εβδομάδα. Η μεθοτρεξάτη θα πρέπει να συνεχίζεται κατά τη διάρκεια της θεραπείας με AMGEVITA.</w:t>
      </w:r>
    </w:p>
    <w:p w14:paraId="669E98DE" w14:textId="77777777" w:rsidR="00171824" w:rsidRDefault="00171824">
      <w:pPr>
        <w:widowControl/>
        <w:kinsoku w:val="0"/>
        <w:overflowPunct w:val="0"/>
        <w:rPr>
          <w:sz w:val="22"/>
          <w:szCs w:val="22"/>
          <w:lang w:val="el-GR"/>
        </w:rPr>
      </w:pPr>
    </w:p>
    <w:p w14:paraId="6D5B5B5B" w14:textId="77777777" w:rsidR="00171824" w:rsidRDefault="006D258C">
      <w:pPr>
        <w:pStyle w:val="BodyText"/>
        <w:widowControl/>
        <w:kinsoku w:val="0"/>
        <w:overflowPunct w:val="0"/>
        <w:ind w:left="0"/>
        <w:rPr>
          <w:lang w:val="el-GR"/>
        </w:rPr>
      </w:pPr>
      <w:r>
        <w:rPr>
          <w:lang w:val="el-GR"/>
        </w:rPr>
        <w:t>Τα γλυκοκορτικοειδή, τα σαλικυλικά, τα μη στεροειδή αντιφλεγμονώδη φάρμακα, ή τα αναλγητικά μπορούν να συνεχισθούν κατά τη διάρκεια της θεραπείας με το AMGEVITA. Για το συνδυασμό με τροποποιητικά της νόσου αντιρευματικά φάρμακα εκτός της μεθοτρεξάτης, βλέπε παραγράφους 4.4 και 5.1.</w:t>
      </w:r>
    </w:p>
    <w:p w14:paraId="64CCA2AD" w14:textId="77777777" w:rsidR="00171824" w:rsidRDefault="00171824">
      <w:pPr>
        <w:widowControl/>
        <w:kinsoku w:val="0"/>
        <w:overflowPunct w:val="0"/>
        <w:rPr>
          <w:sz w:val="22"/>
          <w:szCs w:val="22"/>
          <w:lang w:val="el-GR"/>
        </w:rPr>
      </w:pPr>
    </w:p>
    <w:p w14:paraId="1989A0FD" w14:textId="77777777" w:rsidR="00171824" w:rsidRDefault="006D258C">
      <w:pPr>
        <w:pStyle w:val="BodyText"/>
        <w:widowControl/>
        <w:kinsoku w:val="0"/>
        <w:overflowPunct w:val="0"/>
        <w:ind w:left="0"/>
        <w:rPr>
          <w:lang w:val="el-GR"/>
        </w:rPr>
      </w:pPr>
      <w:r>
        <w:rPr>
          <w:lang w:val="el-GR"/>
        </w:rPr>
        <w:t>Στη μονοθεραπεία, μερικοί ασθενείς που παρουσιάζουν μειωμένη ανταπόκριση στο AMGEVITA 40 mg κάθε δεύτερη εβδομάδα μπορεί να ωφεληθούν από μια αυξημένη δόση της τάξεως των 40 mg adalimumab κάθε εβδομάδα ή 80 mg κάθε δεύτερη εβδομάδα.</w:t>
      </w:r>
    </w:p>
    <w:p w14:paraId="4FF1D117" w14:textId="77777777" w:rsidR="00171824" w:rsidRDefault="00171824">
      <w:pPr>
        <w:widowControl/>
        <w:kinsoku w:val="0"/>
        <w:overflowPunct w:val="0"/>
        <w:rPr>
          <w:sz w:val="22"/>
          <w:szCs w:val="22"/>
          <w:lang w:val="el-GR"/>
        </w:rPr>
      </w:pPr>
    </w:p>
    <w:p w14:paraId="0AEF4EA1" w14:textId="77777777" w:rsidR="00171824" w:rsidRDefault="006D258C">
      <w:pPr>
        <w:pStyle w:val="BodyText"/>
        <w:widowControl/>
        <w:kinsoku w:val="0"/>
        <w:overflowPunct w:val="0"/>
        <w:ind w:left="0"/>
        <w:rPr>
          <w:lang w:val="el-GR"/>
        </w:rPr>
      </w:pPr>
      <w:r>
        <w:rPr>
          <w:lang w:val="el-GR"/>
        </w:rPr>
        <w:t>Τα διαθέσιμα δεδομένα για το adalimumab υποδεικνύουν ότι η κλινική ανταπόκριση επιτυγχάνεται συνήθως μέσα σε 12 εβδομάδες θεραπείας. Η συνέχιση της θεραπείας πρέπει να επαναξιολογείται σε όποιον ασθενή δεν ανταποκρίνεται μέσα σε αυτή τη χρονική περίοδο.</w:t>
      </w:r>
    </w:p>
    <w:p w14:paraId="19A81FDA" w14:textId="77777777" w:rsidR="00171824" w:rsidRDefault="00171824">
      <w:pPr>
        <w:widowControl/>
        <w:kinsoku w:val="0"/>
        <w:overflowPunct w:val="0"/>
        <w:rPr>
          <w:sz w:val="22"/>
          <w:szCs w:val="22"/>
          <w:lang w:val="el-GR"/>
        </w:rPr>
      </w:pPr>
    </w:p>
    <w:p w14:paraId="61DAABDC" w14:textId="77777777" w:rsidR="00171824" w:rsidRDefault="006D258C">
      <w:pPr>
        <w:widowControl/>
        <w:kinsoku w:val="0"/>
        <w:overflowPunct w:val="0"/>
        <w:rPr>
          <w:sz w:val="22"/>
          <w:szCs w:val="22"/>
          <w:lang w:val="el-GR"/>
        </w:rPr>
      </w:pPr>
      <w:r>
        <w:rPr>
          <w:i/>
          <w:iCs/>
          <w:sz w:val="22"/>
          <w:szCs w:val="22"/>
          <w:u w:val="single"/>
          <w:lang w:val="el-GR"/>
        </w:rPr>
        <w:t>Διακοπή της δόσης</w:t>
      </w:r>
    </w:p>
    <w:p w14:paraId="1D000392" w14:textId="77777777" w:rsidR="00171824" w:rsidRDefault="00171824">
      <w:pPr>
        <w:widowControl/>
        <w:kinsoku w:val="0"/>
        <w:overflowPunct w:val="0"/>
        <w:rPr>
          <w:sz w:val="22"/>
          <w:szCs w:val="22"/>
          <w:lang w:val="el-GR"/>
        </w:rPr>
      </w:pPr>
    </w:p>
    <w:p w14:paraId="2495BA0E" w14:textId="77777777" w:rsidR="00171824" w:rsidRDefault="006D258C">
      <w:pPr>
        <w:pStyle w:val="BodyText"/>
        <w:widowControl/>
        <w:kinsoku w:val="0"/>
        <w:overflowPunct w:val="0"/>
        <w:ind w:left="0"/>
        <w:rPr>
          <w:lang w:val="el-GR"/>
        </w:rPr>
      </w:pPr>
      <w:r>
        <w:rPr>
          <w:lang w:val="el-GR"/>
        </w:rPr>
        <w:t>Μπορεί να υπάρξει ανάγκη για διακοπή της δόσης, π.χ. πριν από εγχείρηση ή εάν προκύψει μία σοβαρή λοίμωξη.</w:t>
      </w:r>
    </w:p>
    <w:p w14:paraId="1F0F5F8A" w14:textId="77777777" w:rsidR="00171824" w:rsidRDefault="00171824">
      <w:pPr>
        <w:widowControl/>
        <w:kinsoku w:val="0"/>
        <w:overflowPunct w:val="0"/>
        <w:rPr>
          <w:sz w:val="22"/>
          <w:szCs w:val="22"/>
          <w:lang w:val="el-GR"/>
        </w:rPr>
      </w:pPr>
    </w:p>
    <w:p w14:paraId="2BD0EA4E" w14:textId="77777777" w:rsidR="00171824" w:rsidRDefault="006D258C">
      <w:pPr>
        <w:pStyle w:val="BodyText"/>
        <w:widowControl/>
        <w:kinsoku w:val="0"/>
        <w:overflowPunct w:val="0"/>
        <w:ind w:left="0"/>
        <w:rPr>
          <w:lang w:val="el-GR"/>
        </w:rPr>
      </w:pPr>
      <w:r>
        <w:rPr>
          <w:lang w:val="el-GR"/>
        </w:rPr>
        <w:t>Τα διαθέσιμα δεδομένα υποδεικνύουν ότι η επανέναρξη του adalimumab μετά από διακοπή 70 ημερών ή περισσότερο είχε ως αποτέλεσμα το ίδιο μέγεθος κλινικής ανταπόκρισης και παρόμοιο προφίλ ασφάλειας όπως πριν από τη διακοπή της δόσης.</w:t>
      </w:r>
    </w:p>
    <w:p w14:paraId="08B97C85" w14:textId="77777777" w:rsidR="00171824" w:rsidRDefault="00171824">
      <w:pPr>
        <w:widowControl/>
        <w:kinsoku w:val="0"/>
        <w:overflowPunct w:val="0"/>
        <w:rPr>
          <w:sz w:val="22"/>
          <w:szCs w:val="22"/>
          <w:lang w:val="el-GR"/>
        </w:rPr>
      </w:pPr>
    </w:p>
    <w:p w14:paraId="4EEAA70C" w14:textId="77777777" w:rsidR="00171824" w:rsidRDefault="006D258C">
      <w:pPr>
        <w:widowControl/>
        <w:kinsoku w:val="0"/>
        <w:overflowPunct w:val="0"/>
        <w:rPr>
          <w:sz w:val="22"/>
          <w:szCs w:val="22"/>
          <w:lang w:val="el-GR"/>
        </w:rPr>
      </w:pPr>
      <w:r>
        <w:rPr>
          <w:i/>
          <w:iCs/>
          <w:sz w:val="22"/>
          <w:szCs w:val="22"/>
          <w:lang w:val="el-GR"/>
        </w:rPr>
        <w:t>Αγκυλοποιητική σπονδυλίτιδα, αξονική σπονδυλαρθρίτιδα χωρίς ακτινολογικά ευρήματα αγκυλοποιητικής σπονδυλίτιδας (ΑΣ) και ψωριασική αρθρίτιδα</w:t>
      </w:r>
    </w:p>
    <w:p w14:paraId="1B17620F" w14:textId="77777777" w:rsidR="00171824" w:rsidRDefault="00171824">
      <w:pPr>
        <w:widowControl/>
        <w:kinsoku w:val="0"/>
        <w:overflowPunct w:val="0"/>
        <w:rPr>
          <w:sz w:val="22"/>
          <w:szCs w:val="22"/>
          <w:lang w:val="el-GR"/>
        </w:rPr>
      </w:pPr>
    </w:p>
    <w:p w14:paraId="6B19A619" w14:textId="77777777" w:rsidR="00171824" w:rsidRDefault="006D258C">
      <w:pPr>
        <w:pStyle w:val="BodyText"/>
        <w:widowControl/>
        <w:kinsoku w:val="0"/>
        <w:overflowPunct w:val="0"/>
        <w:ind w:left="0"/>
        <w:rPr>
          <w:lang w:val="el-GR"/>
        </w:rPr>
      </w:pPr>
      <w:r>
        <w:rPr>
          <w:lang w:val="el-GR"/>
        </w:rPr>
        <w:t>Η συνιστώμενη δόση AMGEVITA για ασθενείς με αγκυλοποιητική σπονδυλίτιδα, αξονική σπονδυλαρθρίτιδα χωρίς ακτινολογικά ευρήματα ΑΣ και για ασθενείς με ψωριασική αρθρίτιδα είναι 40 mg adalimumab ως μία δόση, χορηγούμενη υποδόρια κάθε δεύτερη εβδομάδα.</w:t>
      </w:r>
    </w:p>
    <w:p w14:paraId="52060651" w14:textId="77777777" w:rsidR="00171824" w:rsidRDefault="00171824">
      <w:pPr>
        <w:widowControl/>
        <w:kinsoku w:val="0"/>
        <w:overflowPunct w:val="0"/>
        <w:rPr>
          <w:sz w:val="22"/>
          <w:szCs w:val="22"/>
          <w:lang w:val="el-GR"/>
        </w:rPr>
      </w:pPr>
    </w:p>
    <w:p w14:paraId="4C2D275E" w14:textId="77777777" w:rsidR="00171824" w:rsidRDefault="006D258C">
      <w:pPr>
        <w:pStyle w:val="BodyText"/>
        <w:widowControl/>
        <w:kinsoku w:val="0"/>
        <w:overflowPunct w:val="0"/>
        <w:ind w:left="0"/>
        <w:rPr>
          <w:lang w:val="el-GR"/>
        </w:rPr>
      </w:pPr>
      <w:r>
        <w:rPr>
          <w:lang w:val="el-GR"/>
        </w:rPr>
        <w:t>Διαθέσιμα δεδομένα υποδεικνύουν ότι η κλινική ανταπόκριση επιτυγχάνεται συνήθως μέσα σε 12 εβδομάδες θεραπείας. Η συνέχιση της θεραπείας πρέπει να επαναξιολογείται σε όποιον ασθενή δεν ανταποκρίνεται μέσα σε αυτή τη χρονική περίοδο.</w:t>
      </w:r>
    </w:p>
    <w:p w14:paraId="7B4C2819" w14:textId="77777777" w:rsidR="00171824" w:rsidRDefault="00171824">
      <w:pPr>
        <w:widowControl/>
        <w:kinsoku w:val="0"/>
        <w:overflowPunct w:val="0"/>
        <w:rPr>
          <w:sz w:val="22"/>
          <w:szCs w:val="22"/>
          <w:lang w:val="el-GR"/>
        </w:rPr>
      </w:pPr>
    </w:p>
    <w:p w14:paraId="33AB36F3" w14:textId="77777777" w:rsidR="00171824" w:rsidRDefault="006D258C">
      <w:pPr>
        <w:widowControl/>
        <w:kinsoku w:val="0"/>
        <w:overflowPunct w:val="0"/>
        <w:rPr>
          <w:sz w:val="22"/>
          <w:szCs w:val="22"/>
          <w:lang w:val="el-GR"/>
        </w:rPr>
      </w:pPr>
      <w:r>
        <w:rPr>
          <w:i/>
          <w:iCs/>
          <w:sz w:val="22"/>
          <w:szCs w:val="22"/>
          <w:lang w:val="el-GR"/>
        </w:rPr>
        <w:t>Ψωρίαση</w:t>
      </w:r>
    </w:p>
    <w:p w14:paraId="4A67E976" w14:textId="77777777" w:rsidR="00171824" w:rsidRDefault="00171824">
      <w:pPr>
        <w:widowControl/>
        <w:kinsoku w:val="0"/>
        <w:overflowPunct w:val="0"/>
        <w:rPr>
          <w:sz w:val="22"/>
          <w:szCs w:val="22"/>
          <w:lang w:val="el-GR"/>
        </w:rPr>
      </w:pPr>
    </w:p>
    <w:p w14:paraId="0F741DE6" w14:textId="77777777" w:rsidR="00171824" w:rsidRDefault="006D258C">
      <w:pPr>
        <w:pStyle w:val="BodyText"/>
        <w:widowControl/>
        <w:kinsoku w:val="0"/>
        <w:overflowPunct w:val="0"/>
        <w:ind w:left="0"/>
        <w:rPr>
          <w:lang w:val="el-GR"/>
        </w:rPr>
      </w:pPr>
      <w:r>
        <w:rPr>
          <w:lang w:val="el-GR"/>
        </w:rPr>
        <w:t>Η συνιστώμενη δόση του AMGEVITA για ενήλικες ασθενείς είναι μία αρχική δόση των 80 mg υποδορίως, ακολουθούμενη από 40 mg υποδορίως κάθε δεύτερη εβδομάδα, αρχίζοντας μία εβδομάδα μετά την αρχική δόση.</w:t>
      </w:r>
    </w:p>
    <w:p w14:paraId="74ABC5B6" w14:textId="77777777" w:rsidR="00171824" w:rsidRDefault="00171824">
      <w:pPr>
        <w:widowControl/>
        <w:kinsoku w:val="0"/>
        <w:overflowPunct w:val="0"/>
        <w:rPr>
          <w:sz w:val="22"/>
          <w:szCs w:val="22"/>
          <w:lang w:val="el-GR"/>
        </w:rPr>
      </w:pPr>
    </w:p>
    <w:p w14:paraId="7CCCCA0E" w14:textId="77777777" w:rsidR="00171824" w:rsidRDefault="006D258C">
      <w:pPr>
        <w:pStyle w:val="BodyText"/>
        <w:widowControl/>
        <w:kinsoku w:val="0"/>
        <w:overflowPunct w:val="0"/>
        <w:ind w:left="0"/>
        <w:rPr>
          <w:lang w:val="el-GR"/>
        </w:rPr>
      </w:pPr>
      <w:r>
        <w:rPr>
          <w:lang w:val="el-GR"/>
        </w:rPr>
        <w:t>Η συνέχιση της θεραπείας μετά την 16</w:t>
      </w:r>
      <w:r>
        <w:rPr>
          <w:vertAlign w:val="superscript"/>
          <w:lang w:val="el-GR"/>
        </w:rPr>
        <w:t>η</w:t>
      </w:r>
      <w:r>
        <w:rPr>
          <w:lang w:val="el-GR"/>
        </w:rPr>
        <w:t xml:space="preserve"> εβδομάδα πρέπει να επαναξιολογείται προσεκτικά σε όποιον ασθενή δεν ανταποκρίνεται μέσα σε αυτή τη χρονική περίοδο.</w:t>
      </w:r>
    </w:p>
    <w:p w14:paraId="57706D80" w14:textId="77777777" w:rsidR="00171824" w:rsidRDefault="00171824">
      <w:pPr>
        <w:widowControl/>
        <w:kinsoku w:val="0"/>
        <w:overflowPunct w:val="0"/>
        <w:rPr>
          <w:sz w:val="22"/>
          <w:szCs w:val="22"/>
          <w:lang w:val="el-GR"/>
        </w:rPr>
      </w:pPr>
    </w:p>
    <w:p w14:paraId="0F25AF6E" w14:textId="77777777" w:rsidR="00171824" w:rsidRDefault="006D258C">
      <w:pPr>
        <w:pStyle w:val="BodyText"/>
        <w:widowControl/>
        <w:kinsoku w:val="0"/>
        <w:overflowPunct w:val="0"/>
        <w:ind w:left="0"/>
        <w:rPr>
          <w:lang w:val="el-GR"/>
        </w:rPr>
      </w:pPr>
      <w:r>
        <w:rPr>
          <w:lang w:val="el-GR"/>
        </w:rPr>
        <w:t>Μετά τις 16 εβδομάδες, οι ασθενείς με ανεπαρκή ανταπόκριση στο AMGEVITA 40 mg κάθε δεύτερη εβδομάδα μπορεί να ωφεληθούν από μια αύξηση της δόσης σε 40 mg κάθε εβδομάδα ή 80 mg κάθε δεύτερη εβδομάδα. Τα οφέλη και οι κίνδυνοι της συνεχιζόμενης 40 mg εβδομαδιαίας θεραπείας ή 80 mg κάθε δεύτερη εβδομάδα πρέπει να επανεξετάζονται προσεκτικά σε έναν ασθενή με ανεπαρκή ανταπόκριση, μετά την αύξηση της δόσης (βλέπε παράγραφο 5.1). Σε περίπτωση που επιτευχθεί επαρκής ανταπόκριση με 40 mg κάθε δεύτερη εβδομάδα ή 80 mg κάθε δεύτερη εβδομάδα , η δόση μπορεί στη συνέχεια να μειωθεί σε 40 mg κάθε δεύτερη εβδομάδα.</w:t>
      </w:r>
    </w:p>
    <w:p w14:paraId="33C7BFF7" w14:textId="77777777" w:rsidR="00171824" w:rsidRDefault="00171824">
      <w:pPr>
        <w:widowControl/>
        <w:kinsoku w:val="0"/>
        <w:overflowPunct w:val="0"/>
        <w:rPr>
          <w:sz w:val="22"/>
          <w:szCs w:val="22"/>
          <w:lang w:val="el-GR"/>
        </w:rPr>
      </w:pPr>
    </w:p>
    <w:p w14:paraId="111C38A1" w14:textId="77777777" w:rsidR="00171824" w:rsidRDefault="006D258C">
      <w:pPr>
        <w:widowControl/>
        <w:kinsoku w:val="0"/>
        <w:overflowPunct w:val="0"/>
        <w:rPr>
          <w:sz w:val="22"/>
          <w:szCs w:val="22"/>
          <w:lang w:val="el-GR"/>
        </w:rPr>
      </w:pPr>
      <w:r>
        <w:rPr>
          <w:i/>
          <w:iCs/>
          <w:sz w:val="22"/>
          <w:szCs w:val="22"/>
          <w:lang w:val="el-GR"/>
        </w:rPr>
        <w:t>Διαπυητική ιδρωταδενίτιδα</w:t>
      </w:r>
    </w:p>
    <w:p w14:paraId="02B5406C" w14:textId="77777777" w:rsidR="00171824" w:rsidRDefault="00171824">
      <w:pPr>
        <w:widowControl/>
        <w:kinsoku w:val="0"/>
        <w:overflowPunct w:val="0"/>
        <w:rPr>
          <w:sz w:val="22"/>
          <w:szCs w:val="22"/>
          <w:lang w:val="el-GR"/>
        </w:rPr>
      </w:pPr>
    </w:p>
    <w:p w14:paraId="7E753118" w14:textId="77777777" w:rsidR="00171824" w:rsidRDefault="006D258C">
      <w:pPr>
        <w:pStyle w:val="BodyText"/>
        <w:widowControl/>
        <w:kinsoku w:val="0"/>
        <w:overflowPunct w:val="0"/>
        <w:ind w:left="0"/>
        <w:rPr>
          <w:lang w:val="el-GR"/>
        </w:rPr>
      </w:pPr>
      <w:r>
        <w:rPr>
          <w:lang w:val="el-GR"/>
        </w:rPr>
        <w:t>Η συνιστώμενη δόση του AMGEVITA σε ενήλικες ασθενείς με διαπυητική ιδρωταδενίτιδα (HS) είναι αρχικά 160 mg την ημέρα 1 (χορηγούμενα ως τέσσερις ενέσεις των 40 mg σε μία μέρα ή ως δύο ενέσεις των 40 mg ανά ημέρα για δύο συνεχείς ημέρες), ακολουθούμενα από 80 mg δύο εβδομάδες αργότερα την ημέρα 15 (χορηγούμενα ως δύο ενέσεις των 40 mg σε μία ημέρα). Δύο εβδομάδες αργότερα (ημέρα 29) συνεχίστε με μια δόση των 40 mg κάθε εβδομάδα ή 80 mg κάθε δεύτερη εβδομάδα (χορηγούμενη ως δύο ενέσεις των 40 mg σε μία ημέρα). Εάν κρίνεται απαραίτητο, κατά τη διάρκεια της θεραπείας με AMGEVITA μπορεί να συνεχισθεί η χρήση αντιβιοτικών. Κατά τη διάρκεια της θεραπείας με AMGEVITA ο ασθενής συνιστάται να χρησιμοποιεί σε καθημερινή βάση ένα τοπικό αντισηπτικό σαπούνι στις βλάβες της διαπυητικής ιδρωταδενίτιδας.</w:t>
      </w:r>
    </w:p>
    <w:p w14:paraId="70E958F5" w14:textId="77777777" w:rsidR="00171824" w:rsidRDefault="00171824">
      <w:pPr>
        <w:widowControl/>
        <w:kinsoku w:val="0"/>
        <w:overflowPunct w:val="0"/>
        <w:rPr>
          <w:sz w:val="22"/>
          <w:szCs w:val="22"/>
          <w:lang w:val="el-GR"/>
        </w:rPr>
      </w:pPr>
    </w:p>
    <w:p w14:paraId="4306ADDC" w14:textId="77777777" w:rsidR="00171824" w:rsidRDefault="006D258C">
      <w:pPr>
        <w:pStyle w:val="BodyText"/>
        <w:widowControl/>
        <w:kinsoku w:val="0"/>
        <w:overflowPunct w:val="0"/>
        <w:ind w:left="0"/>
        <w:rPr>
          <w:lang w:val="el-GR"/>
        </w:rPr>
      </w:pPr>
      <w:r>
        <w:rPr>
          <w:lang w:val="el-GR"/>
        </w:rPr>
        <w:t>Η συνέχιση της θεραπείας μετά τη 12</w:t>
      </w:r>
      <w:r>
        <w:rPr>
          <w:vertAlign w:val="superscript"/>
          <w:lang w:val="el-GR"/>
        </w:rPr>
        <w:t>η</w:t>
      </w:r>
      <w:r>
        <w:rPr>
          <w:lang w:val="el-GR"/>
        </w:rPr>
        <w:t xml:space="preserve"> εβδομάδα πρέπει να επαναξιολογείται προσεκτικά σε όποιον ασθενή δεν έχει παρουσιάσει βελτίωση μέσα σε αυτή τη χρονική περίοδο.</w:t>
      </w:r>
    </w:p>
    <w:p w14:paraId="72489853" w14:textId="77777777" w:rsidR="00171824" w:rsidRDefault="00171824">
      <w:pPr>
        <w:widowControl/>
        <w:kinsoku w:val="0"/>
        <w:overflowPunct w:val="0"/>
        <w:rPr>
          <w:sz w:val="22"/>
          <w:szCs w:val="22"/>
          <w:lang w:val="el-GR"/>
        </w:rPr>
      </w:pPr>
    </w:p>
    <w:p w14:paraId="6608AC53" w14:textId="77777777" w:rsidR="00171824" w:rsidRDefault="006D258C">
      <w:pPr>
        <w:pStyle w:val="BodyText"/>
        <w:widowControl/>
        <w:kinsoku w:val="0"/>
        <w:overflowPunct w:val="0"/>
        <w:ind w:left="0"/>
        <w:rPr>
          <w:lang w:val="el-GR"/>
        </w:rPr>
      </w:pPr>
      <w:r>
        <w:rPr>
          <w:lang w:val="el-GR"/>
        </w:rPr>
        <w:t>Σε περίπτωση διακοπής της θεραπείας, μπορεί να γίνει επανέναρξη με AMGEVITA 40 mg κάθε εβδομάδα ή 80 mg κάθε δεύτερη εβδομάδα (βλέπε παράγραφο 5.1).</w:t>
      </w:r>
    </w:p>
    <w:p w14:paraId="75C7D5E0" w14:textId="77777777" w:rsidR="00171824" w:rsidRDefault="00171824">
      <w:pPr>
        <w:widowControl/>
        <w:kinsoku w:val="0"/>
        <w:overflowPunct w:val="0"/>
        <w:rPr>
          <w:sz w:val="22"/>
          <w:szCs w:val="22"/>
          <w:lang w:val="el-GR"/>
        </w:rPr>
      </w:pPr>
    </w:p>
    <w:p w14:paraId="0E64D788" w14:textId="77777777" w:rsidR="00171824" w:rsidRDefault="006D258C">
      <w:pPr>
        <w:pStyle w:val="BodyText"/>
        <w:widowControl/>
        <w:kinsoku w:val="0"/>
        <w:overflowPunct w:val="0"/>
        <w:ind w:left="0"/>
        <w:rPr>
          <w:lang w:val="el-GR"/>
        </w:rPr>
      </w:pPr>
      <w:r>
        <w:rPr>
          <w:lang w:val="el-GR"/>
        </w:rPr>
        <w:t>Το όφελος και ο κίνδυνος της συνεχιζόμενης μακροχρόνιας θεραπείας πρέπει να επανεξετάζεται περιοδικά (βλέπε παράγραφο 5.1).</w:t>
      </w:r>
    </w:p>
    <w:p w14:paraId="4DAD3846" w14:textId="77777777" w:rsidR="00171824" w:rsidRDefault="00171824">
      <w:pPr>
        <w:pStyle w:val="BodyText"/>
        <w:widowControl/>
        <w:kinsoku w:val="0"/>
        <w:overflowPunct w:val="0"/>
        <w:ind w:left="0"/>
        <w:rPr>
          <w:lang w:val="el-GR"/>
        </w:rPr>
      </w:pPr>
    </w:p>
    <w:p w14:paraId="0954B44B" w14:textId="77777777" w:rsidR="00171824" w:rsidRDefault="006D258C">
      <w:pPr>
        <w:pStyle w:val="BodyText"/>
        <w:widowControl/>
        <w:kinsoku w:val="0"/>
        <w:overflowPunct w:val="0"/>
        <w:ind w:left="0"/>
        <w:rPr>
          <w:lang w:val="el-GR"/>
        </w:rPr>
      </w:pPr>
      <w:r>
        <w:rPr>
          <w:i/>
          <w:iCs/>
          <w:lang w:val="el-GR"/>
        </w:rPr>
        <w:t>Nόσος του Crohn</w:t>
      </w:r>
    </w:p>
    <w:p w14:paraId="11955314" w14:textId="77777777" w:rsidR="00171824" w:rsidRDefault="00171824">
      <w:pPr>
        <w:widowControl/>
        <w:kinsoku w:val="0"/>
        <w:overflowPunct w:val="0"/>
        <w:rPr>
          <w:sz w:val="22"/>
          <w:szCs w:val="22"/>
          <w:lang w:val="el-GR"/>
        </w:rPr>
      </w:pPr>
    </w:p>
    <w:p w14:paraId="28A0D1BA" w14:textId="77777777" w:rsidR="00171824" w:rsidRDefault="006D258C">
      <w:pPr>
        <w:pStyle w:val="BodyText"/>
        <w:widowControl/>
        <w:kinsoku w:val="0"/>
        <w:overflowPunct w:val="0"/>
        <w:ind w:left="0"/>
        <w:rPr>
          <w:lang w:val="el-GR"/>
        </w:rPr>
      </w:pPr>
      <w:r>
        <w:rPr>
          <w:lang w:val="el-GR"/>
        </w:rPr>
        <w:t>Η συνιστώμενη δόση του AMGEVITA σε ενήλικες ασθενείς με μέτρια έως σοβαρή ενεργή νόσο του Crohn είναι 80 mg την εβδομάδα 0, ακολουθούμενο από 40 mg την εβδομάδα 2. Στην περίπτωση που υπάρχει η αναγκαιότητα για μια πιο γρήγορη ανταπόκριση στη θεραπεία, μπορεί να χορηγηθεί δόση 160 mg την εβδομάδα 0 (χορηγούμενη ως τέσσερις ενέσεις των 40 mg σε μία μέρα ή ως δύο ενέσεις των 40 mg ανά ημέρα για δύο συνεχείς ημέρες), ακολουθούμενη από 80 mg την εβδομάδα 2 (χορηγούμενη ως δύο ενέσεις των 40 mg σε μία μέρα), γνωρίζοντας ότι ο κίνδυνος εκδήλωσης ανεπιθύμητων ενεργειών είναι μεγαλύτερος κατά τη διάρκεια της θεραπείας εφόδου.</w:t>
      </w:r>
    </w:p>
    <w:p w14:paraId="3C9A8D89" w14:textId="77777777" w:rsidR="00171824" w:rsidRDefault="00171824">
      <w:pPr>
        <w:widowControl/>
        <w:kinsoku w:val="0"/>
        <w:overflowPunct w:val="0"/>
        <w:rPr>
          <w:sz w:val="22"/>
          <w:szCs w:val="22"/>
          <w:lang w:val="el-GR"/>
        </w:rPr>
      </w:pPr>
    </w:p>
    <w:p w14:paraId="103486C1" w14:textId="77777777" w:rsidR="00171824" w:rsidRDefault="006D258C">
      <w:pPr>
        <w:pStyle w:val="BodyText"/>
        <w:widowControl/>
        <w:kinsoku w:val="0"/>
        <w:overflowPunct w:val="0"/>
        <w:ind w:left="0"/>
        <w:rPr>
          <w:lang w:val="el-GR"/>
        </w:rPr>
      </w:pPr>
      <w:r>
        <w:rPr>
          <w:lang w:val="el-GR"/>
        </w:rPr>
        <w:t>Μετά την αρχική θεραπεία, η συνιστώμενη δόση είναι 40 mg κάθε δεύτερη εβδομάδα με υποδόρια χορήγηση. Εναλλακτικά, εάν ένας ασθενής έχει διακόψει το AMGEVITA και τα σημεία και συμπτώματα της νόσου επανεμφανιστούν, το AMGEVITA μπορεί να επαναχορηγηθεί. Υπάρχει μικρή εμπειρία για την επαναχορήγηση μετά από 8 εβδομάδες από την προηγούμενη δόση.</w:t>
      </w:r>
    </w:p>
    <w:p w14:paraId="4A22669D" w14:textId="77777777" w:rsidR="00171824" w:rsidRDefault="00171824">
      <w:pPr>
        <w:widowControl/>
        <w:kinsoku w:val="0"/>
        <w:overflowPunct w:val="0"/>
        <w:rPr>
          <w:sz w:val="22"/>
          <w:szCs w:val="22"/>
          <w:lang w:val="el-GR"/>
        </w:rPr>
      </w:pPr>
    </w:p>
    <w:p w14:paraId="24C78056" w14:textId="77777777" w:rsidR="00171824" w:rsidRDefault="006D258C">
      <w:pPr>
        <w:pStyle w:val="BodyText"/>
        <w:widowControl/>
        <w:kinsoku w:val="0"/>
        <w:overflowPunct w:val="0"/>
        <w:ind w:left="0"/>
        <w:rPr>
          <w:lang w:val="el-GR"/>
        </w:rPr>
      </w:pPr>
      <w:r>
        <w:rPr>
          <w:lang w:val="el-GR"/>
        </w:rPr>
        <w:t>Κατά τη διάρκεια της θεραπείας συντήρησης, τα κορτικοστεροειδή μπορούν να διακοπούν σταδιακά με βάση τις οδηγίες της κλινικής πρακτικής.</w:t>
      </w:r>
    </w:p>
    <w:p w14:paraId="14931AEB" w14:textId="77777777" w:rsidR="00171824" w:rsidRDefault="00171824">
      <w:pPr>
        <w:widowControl/>
        <w:kinsoku w:val="0"/>
        <w:overflowPunct w:val="0"/>
        <w:rPr>
          <w:sz w:val="22"/>
          <w:szCs w:val="22"/>
          <w:lang w:val="el-GR"/>
        </w:rPr>
      </w:pPr>
    </w:p>
    <w:p w14:paraId="6A7C5B45" w14:textId="77777777" w:rsidR="00171824" w:rsidRDefault="006D258C">
      <w:pPr>
        <w:pStyle w:val="BodyText"/>
        <w:widowControl/>
        <w:kinsoku w:val="0"/>
        <w:overflowPunct w:val="0"/>
        <w:ind w:left="0"/>
        <w:rPr>
          <w:lang w:val="el-GR"/>
        </w:rPr>
      </w:pPr>
      <w:r>
        <w:rPr>
          <w:lang w:val="el-GR"/>
        </w:rPr>
        <w:t>Μερικοί ασθενείς που εμφανίζουν μειωμένη κλινική ανταπόκριση στο AMGEVITA 40 mg κάθε δεύτερη εβδομάδα είναι πιθανό να ωφεληθούν από την αύξηση της δόσης στα 40 mg AMGEVITA κάθε εβδομάδα ή 80 mg κάθε δεύτερη εβδομάδα.</w:t>
      </w:r>
    </w:p>
    <w:p w14:paraId="3FC66538" w14:textId="77777777" w:rsidR="00171824" w:rsidRDefault="00171824">
      <w:pPr>
        <w:widowControl/>
        <w:kinsoku w:val="0"/>
        <w:overflowPunct w:val="0"/>
        <w:rPr>
          <w:sz w:val="22"/>
          <w:szCs w:val="22"/>
          <w:lang w:val="el-GR"/>
        </w:rPr>
      </w:pPr>
    </w:p>
    <w:p w14:paraId="3925F88D" w14:textId="77777777" w:rsidR="00171824" w:rsidRDefault="006D258C">
      <w:pPr>
        <w:pStyle w:val="BodyText"/>
        <w:widowControl/>
        <w:kinsoku w:val="0"/>
        <w:overflowPunct w:val="0"/>
        <w:ind w:left="0"/>
        <w:rPr>
          <w:lang w:val="el-GR"/>
        </w:rPr>
      </w:pPr>
      <w:r>
        <w:rPr>
          <w:lang w:val="el-GR"/>
        </w:rPr>
        <w:t>Μερικοί ασθενείς που δεν έχουν ανταποκριθεί μέχρι την εβδομάδα 4 είναι πιθανό να επωφεληθούν από τη συνεχιζόμενη θεραπεία συντήρησης μέχρι την βδομάδα 12. Η συνέχιση της θεραπείας πρέπει να επαναξιολογείται προσεκτικά σε όποιον ασθενή δεν ανταποκρίνεται μέσα σε αυτή τη χρονική περίοδο.</w:t>
      </w:r>
    </w:p>
    <w:p w14:paraId="00BCFF96" w14:textId="77777777" w:rsidR="00171824" w:rsidRDefault="00171824">
      <w:pPr>
        <w:widowControl/>
        <w:kinsoku w:val="0"/>
        <w:overflowPunct w:val="0"/>
        <w:rPr>
          <w:sz w:val="22"/>
          <w:szCs w:val="22"/>
          <w:lang w:val="el-GR"/>
        </w:rPr>
      </w:pPr>
    </w:p>
    <w:p w14:paraId="6DA5C01B" w14:textId="77777777" w:rsidR="00171824" w:rsidRDefault="006D258C">
      <w:pPr>
        <w:keepNext/>
        <w:widowControl/>
        <w:kinsoku w:val="0"/>
        <w:overflowPunct w:val="0"/>
        <w:rPr>
          <w:sz w:val="22"/>
          <w:szCs w:val="22"/>
          <w:lang w:val="el-GR"/>
        </w:rPr>
      </w:pPr>
      <w:r>
        <w:rPr>
          <w:i/>
          <w:iCs/>
          <w:sz w:val="22"/>
          <w:szCs w:val="22"/>
          <w:lang w:val="el-GR"/>
        </w:rPr>
        <w:t>Ελκώδης κολίτιδα</w:t>
      </w:r>
    </w:p>
    <w:p w14:paraId="0AC7C8DE" w14:textId="77777777" w:rsidR="00171824" w:rsidRDefault="00171824">
      <w:pPr>
        <w:keepNext/>
        <w:widowControl/>
        <w:kinsoku w:val="0"/>
        <w:overflowPunct w:val="0"/>
        <w:rPr>
          <w:sz w:val="22"/>
          <w:szCs w:val="22"/>
          <w:lang w:val="el-GR"/>
        </w:rPr>
      </w:pPr>
    </w:p>
    <w:p w14:paraId="2D71B1CF" w14:textId="77777777" w:rsidR="00171824" w:rsidRDefault="006D258C">
      <w:pPr>
        <w:pStyle w:val="BodyText"/>
        <w:widowControl/>
        <w:kinsoku w:val="0"/>
        <w:overflowPunct w:val="0"/>
        <w:ind w:left="0"/>
        <w:rPr>
          <w:lang w:val="el-GR"/>
        </w:rPr>
      </w:pPr>
      <w:r>
        <w:rPr>
          <w:lang w:val="el-GR"/>
        </w:rPr>
        <w:t>Η συνιστώμενη δόση του AMGEVITA σε ενήλικες ασθενείς με μέτρια έως σοβαρή ελκώδη κολίτιδα είναι 160 mg την εβδομάδα 0 (χορηγούμενα ως τέσσερις ενέσεις των 40 mg σε μία μέρα ή ως δύο ενέσεις των 40 mg ανά ημέρα για δύο συνεχόμενες ημέρες) και 80 mg την εβδομάδα 2 (χορηγούμενα ως δύο ενέσεις των 40 mg σε μία μέρα). Μετά τη θεραπεία εφόδου, η συνιστώμενη δόση είναι 40 mg κάθε δεύτερη εβδομάδα με υποδόρια ένεση.</w:t>
      </w:r>
    </w:p>
    <w:p w14:paraId="7DBF1EC6" w14:textId="77777777" w:rsidR="00171824" w:rsidRDefault="00171824">
      <w:pPr>
        <w:widowControl/>
        <w:kinsoku w:val="0"/>
        <w:overflowPunct w:val="0"/>
        <w:rPr>
          <w:sz w:val="22"/>
          <w:szCs w:val="22"/>
          <w:lang w:val="el-GR"/>
        </w:rPr>
      </w:pPr>
    </w:p>
    <w:p w14:paraId="280C8432" w14:textId="77777777" w:rsidR="00171824" w:rsidRDefault="006D258C">
      <w:pPr>
        <w:pStyle w:val="BodyText"/>
        <w:widowControl/>
        <w:kinsoku w:val="0"/>
        <w:overflowPunct w:val="0"/>
        <w:ind w:left="0"/>
        <w:rPr>
          <w:lang w:val="el-GR"/>
        </w:rPr>
      </w:pPr>
      <w:r>
        <w:rPr>
          <w:lang w:val="el-GR"/>
        </w:rPr>
        <w:lastRenderedPageBreak/>
        <w:t>Κατά τη διάρκεια της θεραπείας συντήρησης, η δόση των κορτικοστεροειδών μπορεί να διακοπεί σταδιακά, σύμφωνα με τις κατευθυντήριες οδηγίες της κλινικής πρακτικής.</w:t>
      </w:r>
    </w:p>
    <w:p w14:paraId="03384C28" w14:textId="77777777" w:rsidR="00171824" w:rsidRDefault="00171824">
      <w:pPr>
        <w:widowControl/>
        <w:kinsoku w:val="0"/>
        <w:overflowPunct w:val="0"/>
        <w:rPr>
          <w:sz w:val="22"/>
          <w:szCs w:val="22"/>
          <w:lang w:val="el-GR"/>
        </w:rPr>
      </w:pPr>
    </w:p>
    <w:p w14:paraId="21CE53C7" w14:textId="77777777" w:rsidR="00171824" w:rsidRDefault="006D258C">
      <w:pPr>
        <w:pStyle w:val="BodyText"/>
        <w:widowControl/>
        <w:kinsoku w:val="0"/>
        <w:overflowPunct w:val="0"/>
        <w:ind w:left="0"/>
        <w:rPr>
          <w:lang w:val="el-GR"/>
        </w:rPr>
      </w:pPr>
      <w:r>
        <w:rPr>
          <w:lang w:val="el-GR"/>
        </w:rPr>
        <w:t>Μερικοί ασθενείς που εμφανίζουν μείωση της κλινικής ανταπόκρισης στο AMGEVITA 40 mg κάθε δεύτερη εβδομάδα είναι πιθανό να ωφεληθούν από την αύξηση της δόσης στα 40 mg AMGEVITA κάθε εβδομάδα ή 80 mg κάθε δεύτερη εβδομάδα.</w:t>
      </w:r>
    </w:p>
    <w:p w14:paraId="0370CA72" w14:textId="77777777" w:rsidR="00171824" w:rsidRDefault="00171824">
      <w:pPr>
        <w:widowControl/>
        <w:kinsoku w:val="0"/>
        <w:overflowPunct w:val="0"/>
        <w:rPr>
          <w:sz w:val="22"/>
          <w:szCs w:val="22"/>
          <w:lang w:val="el-GR"/>
        </w:rPr>
      </w:pPr>
    </w:p>
    <w:p w14:paraId="19133708" w14:textId="77777777" w:rsidR="00171824" w:rsidRDefault="006D258C">
      <w:pPr>
        <w:pStyle w:val="BodyText"/>
        <w:widowControl/>
        <w:kinsoku w:val="0"/>
        <w:overflowPunct w:val="0"/>
        <w:ind w:left="0"/>
        <w:jc w:val="both"/>
        <w:rPr>
          <w:lang w:val="el-GR"/>
        </w:rPr>
      </w:pPr>
      <w:r>
        <w:rPr>
          <w:lang w:val="el-GR"/>
        </w:rPr>
        <w:t>Διαθέσιμα δεδομένα υποδεικνύουν ότι η κλινική ανταπόκριση επιτυγχάνεται συνήθως μέσα σε 2</w:t>
      </w:r>
      <w:r>
        <w:rPr>
          <w:lang w:val="el-GR"/>
        </w:rPr>
        <w:noBreakHyphen/>
        <w:t>8 εβδομάδες θεραπείας. Η θεραπεία με AMGEVITA δεν θα πρέπει να συνεχιστεί σε ασθενείς που απέτυχαν να ανταποκριθούν σε αυτό το χρονικό διάστημα.</w:t>
      </w:r>
    </w:p>
    <w:p w14:paraId="1132E98D" w14:textId="77777777" w:rsidR="00171824" w:rsidRDefault="00171824">
      <w:pPr>
        <w:widowControl/>
        <w:kinsoku w:val="0"/>
        <w:overflowPunct w:val="0"/>
        <w:rPr>
          <w:sz w:val="22"/>
          <w:szCs w:val="22"/>
          <w:lang w:val="el-GR"/>
        </w:rPr>
      </w:pPr>
    </w:p>
    <w:p w14:paraId="6936902D" w14:textId="77777777" w:rsidR="00171824" w:rsidRDefault="006D258C">
      <w:pPr>
        <w:keepNext/>
        <w:widowControl/>
        <w:kinsoku w:val="0"/>
        <w:overflowPunct w:val="0"/>
        <w:rPr>
          <w:sz w:val="22"/>
          <w:szCs w:val="22"/>
          <w:lang w:val="el-GR"/>
        </w:rPr>
      </w:pPr>
      <w:r>
        <w:rPr>
          <w:i/>
          <w:iCs/>
          <w:sz w:val="22"/>
          <w:szCs w:val="22"/>
          <w:lang w:val="el-GR"/>
        </w:rPr>
        <w:t>Ραγοειδίτιδα</w:t>
      </w:r>
    </w:p>
    <w:p w14:paraId="6D45F2E6" w14:textId="77777777" w:rsidR="00171824" w:rsidRDefault="00171824">
      <w:pPr>
        <w:keepNext/>
        <w:widowControl/>
        <w:kinsoku w:val="0"/>
        <w:overflowPunct w:val="0"/>
        <w:rPr>
          <w:sz w:val="22"/>
          <w:szCs w:val="22"/>
          <w:lang w:val="el-GR"/>
        </w:rPr>
      </w:pPr>
    </w:p>
    <w:p w14:paraId="2F84589E" w14:textId="77777777" w:rsidR="00171824" w:rsidRDefault="006D258C">
      <w:pPr>
        <w:pStyle w:val="BodyText"/>
        <w:widowControl/>
        <w:kinsoku w:val="0"/>
        <w:overflowPunct w:val="0"/>
        <w:ind w:left="0"/>
        <w:rPr>
          <w:lang w:val="el-GR"/>
        </w:rPr>
      </w:pPr>
      <w:r>
        <w:rPr>
          <w:lang w:val="el-GR"/>
        </w:rPr>
        <w:t>Η συνιστώμενη δόση του AMGEVITA για ενήλικες ασθενείς με ραγοειδίτιδα είναι μία αρχική δόση 80 mg, ακολουθούμενη από 40 mg κάθε δεύτερη εβδομάδα, αρχίζοντας μία εβδομάδα μετά την αρχική δόση. Υπάρχει περιορισμένη εμπειρία στην έναρξη θεραπείας με adalimumab σε μονοθεραπεία. Η θεραπεία με AMGEVITA μπορεί να ξεκινήσει σε συνδυασμό με κορτικοστεροειδή και/ή με άλλους μη-βιολογικούς ανοσοτροποποιητικούς παράγοντες. Η ταυτόχρονη χορήγηση των κορτικοστεροειδών μπορεί να διακοπεί σταδιακά, σύμφωνα με την κλινική πρακτική ξεκινώντας δύο εβδομάδες μετά την έναρξη της θεραπείας με AMGEVITA.</w:t>
      </w:r>
    </w:p>
    <w:p w14:paraId="03487101" w14:textId="77777777" w:rsidR="00171824" w:rsidRDefault="00171824">
      <w:pPr>
        <w:widowControl/>
        <w:kinsoku w:val="0"/>
        <w:overflowPunct w:val="0"/>
        <w:rPr>
          <w:sz w:val="22"/>
          <w:szCs w:val="22"/>
          <w:lang w:val="el-GR"/>
        </w:rPr>
      </w:pPr>
    </w:p>
    <w:p w14:paraId="0D23F168" w14:textId="77777777" w:rsidR="00171824" w:rsidRDefault="006D258C">
      <w:pPr>
        <w:pStyle w:val="BodyText"/>
        <w:widowControl/>
        <w:kinsoku w:val="0"/>
        <w:overflowPunct w:val="0"/>
        <w:ind w:left="0"/>
        <w:rPr>
          <w:lang w:val="el-GR"/>
        </w:rPr>
      </w:pPr>
      <w:r>
        <w:rPr>
          <w:lang w:val="el-GR"/>
        </w:rPr>
        <w:t>Συνιστάται η αξιολόγηση του οφέλους και του κινδύνου της συνεχιζόμενης μακροχρόνιας θεραπείας, σε ετήσια βάση (βλέπε παράγραφο 5.1).</w:t>
      </w:r>
    </w:p>
    <w:p w14:paraId="36F0E58C" w14:textId="77777777" w:rsidR="00171824" w:rsidRDefault="00171824">
      <w:pPr>
        <w:pStyle w:val="BodyText"/>
        <w:widowControl/>
        <w:kinsoku w:val="0"/>
        <w:overflowPunct w:val="0"/>
        <w:ind w:left="0"/>
        <w:rPr>
          <w:lang w:val="el-GR"/>
        </w:rPr>
      </w:pPr>
    </w:p>
    <w:p w14:paraId="52A2F042" w14:textId="77777777" w:rsidR="00171824" w:rsidRDefault="006D258C">
      <w:pPr>
        <w:pStyle w:val="BodyText"/>
        <w:widowControl/>
        <w:kinsoku w:val="0"/>
        <w:overflowPunct w:val="0"/>
        <w:ind w:left="0"/>
        <w:rPr>
          <w:u w:val="single"/>
          <w:lang w:val="el-GR"/>
        </w:rPr>
      </w:pPr>
      <w:r>
        <w:rPr>
          <w:u w:val="single"/>
          <w:lang w:val="el-GR"/>
        </w:rPr>
        <w:t>Ειδικοί Πληθυσμοί</w:t>
      </w:r>
    </w:p>
    <w:p w14:paraId="4FE7FEAC" w14:textId="77777777" w:rsidR="00171824" w:rsidRDefault="00171824">
      <w:pPr>
        <w:pStyle w:val="BodyText"/>
        <w:widowControl/>
        <w:kinsoku w:val="0"/>
        <w:overflowPunct w:val="0"/>
        <w:ind w:left="0"/>
        <w:rPr>
          <w:lang w:val="el-GR"/>
        </w:rPr>
      </w:pPr>
    </w:p>
    <w:p w14:paraId="1221FF81" w14:textId="77777777" w:rsidR="00171824" w:rsidRDefault="006D258C">
      <w:pPr>
        <w:pStyle w:val="BodyText"/>
        <w:widowControl/>
        <w:kinsoku w:val="0"/>
        <w:overflowPunct w:val="0"/>
        <w:ind w:left="0"/>
        <w:rPr>
          <w:i/>
          <w:lang w:val="el-GR"/>
        </w:rPr>
      </w:pPr>
      <w:r>
        <w:rPr>
          <w:i/>
          <w:lang w:val="el-GR"/>
        </w:rPr>
        <w:t xml:space="preserve">Ηλικιωμένοι </w:t>
      </w:r>
    </w:p>
    <w:p w14:paraId="3D53A45F" w14:textId="77777777" w:rsidR="00171824" w:rsidRDefault="00171824">
      <w:pPr>
        <w:widowControl/>
        <w:kinsoku w:val="0"/>
        <w:overflowPunct w:val="0"/>
        <w:rPr>
          <w:sz w:val="22"/>
          <w:szCs w:val="22"/>
          <w:lang w:val="el-GR"/>
        </w:rPr>
      </w:pPr>
    </w:p>
    <w:p w14:paraId="4CD5A64E" w14:textId="77777777" w:rsidR="00171824" w:rsidRDefault="006D258C">
      <w:pPr>
        <w:pStyle w:val="BodyText"/>
        <w:widowControl/>
        <w:kinsoku w:val="0"/>
        <w:overflowPunct w:val="0"/>
        <w:ind w:left="0"/>
        <w:rPr>
          <w:lang w:val="el-GR"/>
        </w:rPr>
      </w:pPr>
      <w:r>
        <w:rPr>
          <w:lang w:val="el-GR"/>
        </w:rPr>
        <w:t>Δε χρειάζεται προσαρμογή της δόσης.</w:t>
      </w:r>
    </w:p>
    <w:p w14:paraId="3B59D75A" w14:textId="77777777" w:rsidR="00171824" w:rsidRDefault="00171824">
      <w:pPr>
        <w:pStyle w:val="BodyText"/>
        <w:widowControl/>
        <w:kinsoku w:val="0"/>
        <w:overflowPunct w:val="0"/>
        <w:ind w:left="0"/>
        <w:rPr>
          <w:lang w:val="el-GR"/>
        </w:rPr>
      </w:pPr>
    </w:p>
    <w:p w14:paraId="00A76972" w14:textId="77777777" w:rsidR="00171824" w:rsidRDefault="006D258C">
      <w:pPr>
        <w:pStyle w:val="BodyText"/>
        <w:widowControl/>
        <w:kinsoku w:val="0"/>
        <w:overflowPunct w:val="0"/>
        <w:ind w:left="0"/>
        <w:rPr>
          <w:i/>
          <w:lang w:val="el-GR"/>
        </w:rPr>
      </w:pPr>
      <w:r>
        <w:rPr>
          <w:i/>
          <w:lang w:val="el-GR"/>
        </w:rPr>
        <w:t>Νεφρική και/ή ηπατική ανεπάρκεια</w:t>
      </w:r>
    </w:p>
    <w:p w14:paraId="3184F469" w14:textId="77777777" w:rsidR="00171824" w:rsidRDefault="00171824">
      <w:pPr>
        <w:pStyle w:val="BodyText"/>
        <w:widowControl/>
        <w:kinsoku w:val="0"/>
        <w:overflowPunct w:val="0"/>
        <w:ind w:left="0"/>
        <w:rPr>
          <w:lang w:val="el-GR"/>
        </w:rPr>
      </w:pPr>
    </w:p>
    <w:p w14:paraId="54A12A40" w14:textId="77777777" w:rsidR="00171824" w:rsidRDefault="006D258C">
      <w:pPr>
        <w:pStyle w:val="BodyText"/>
        <w:widowControl/>
        <w:kinsoku w:val="0"/>
        <w:overflowPunct w:val="0"/>
        <w:ind w:left="0"/>
        <w:rPr>
          <w:lang w:val="el-GR"/>
        </w:rPr>
      </w:pPr>
      <w:r>
        <w:rPr>
          <w:lang w:val="el-GR"/>
        </w:rPr>
        <w:t>Το adalimumab δεν έχει μελετηθεί σε αυτόν τον πληθυσμό ασθενών. Δεν μπορούν να γίνουν υποδείξεις για τη δοσολογία.</w:t>
      </w:r>
    </w:p>
    <w:p w14:paraId="45DEB0E1" w14:textId="77777777" w:rsidR="00171824" w:rsidRDefault="00171824">
      <w:pPr>
        <w:widowControl/>
        <w:kinsoku w:val="0"/>
        <w:overflowPunct w:val="0"/>
        <w:rPr>
          <w:sz w:val="22"/>
          <w:szCs w:val="22"/>
          <w:lang w:val="el-GR"/>
        </w:rPr>
      </w:pPr>
    </w:p>
    <w:p w14:paraId="0B347ECF" w14:textId="77777777" w:rsidR="00171824" w:rsidRDefault="006D258C">
      <w:pPr>
        <w:pStyle w:val="BodyText"/>
        <w:widowControl/>
        <w:kinsoku w:val="0"/>
        <w:overflowPunct w:val="0"/>
        <w:ind w:left="0"/>
        <w:rPr>
          <w:i/>
          <w:lang w:val="el-GR"/>
        </w:rPr>
      </w:pPr>
      <w:r>
        <w:rPr>
          <w:i/>
          <w:lang w:val="el-GR"/>
        </w:rPr>
        <w:t>Παιδιατρικός πληθυσμός</w:t>
      </w:r>
    </w:p>
    <w:p w14:paraId="77F18138" w14:textId="77777777" w:rsidR="00171824" w:rsidRDefault="00171824">
      <w:pPr>
        <w:widowControl/>
        <w:kinsoku w:val="0"/>
        <w:overflowPunct w:val="0"/>
        <w:rPr>
          <w:sz w:val="22"/>
          <w:szCs w:val="22"/>
          <w:lang w:val="el-GR"/>
        </w:rPr>
      </w:pPr>
    </w:p>
    <w:p w14:paraId="06F74020" w14:textId="77777777" w:rsidR="00171824" w:rsidRDefault="006D258C">
      <w:pPr>
        <w:widowControl/>
        <w:kinsoku w:val="0"/>
        <w:overflowPunct w:val="0"/>
        <w:rPr>
          <w:i/>
          <w:iCs/>
          <w:sz w:val="22"/>
          <w:szCs w:val="22"/>
          <w:u w:val="single"/>
          <w:lang w:val="el-GR"/>
        </w:rPr>
      </w:pPr>
      <w:r>
        <w:rPr>
          <w:i/>
          <w:iCs/>
          <w:sz w:val="22"/>
          <w:szCs w:val="22"/>
          <w:u w:val="single"/>
          <w:lang w:val="el-GR"/>
        </w:rPr>
        <w:t>Νεανική ιδιοπαθής αρθρίτιδα</w:t>
      </w:r>
    </w:p>
    <w:p w14:paraId="5663CBFD" w14:textId="77777777" w:rsidR="00171824" w:rsidRDefault="00171824">
      <w:pPr>
        <w:widowControl/>
        <w:kinsoku w:val="0"/>
        <w:overflowPunct w:val="0"/>
        <w:rPr>
          <w:sz w:val="22"/>
          <w:szCs w:val="22"/>
          <w:lang w:val="el-GR"/>
        </w:rPr>
      </w:pPr>
    </w:p>
    <w:p w14:paraId="4D9583DF" w14:textId="77777777" w:rsidR="00171824" w:rsidRDefault="006D258C">
      <w:pPr>
        <w:widowControl/>
        <w:kinsoku w:val="0"/>
        <w:overflowPunct w:val="0"/>
        <w:rPr>
          <w:sz w:val="22"/>
          <w:szCs w:val="22"/>
          <w:lang w:val="el-GR"/>
        </w:rPr>
      </w:pPr>
      <w:r>
        <w:rPr>
          <w:sz w:val="22"/>
          <w:szCs w:val="22"/>
          <w:lang w:val="el-GR"/>
        </w:rPr>
        <w:t>Πολυαρθρική νεανική ιδιοπαθής αρθρίτιδα από 2 ετών</w:t>
      </w:r>
    </w:p>
    <w:p w14:paraId="7BF0EF7B" w14:textId="77777777" w:rsidR="00171824" w:rsidRDefault="00171824">
      <w:pPr>
        <w:widowControl/>
        <w:kinsoku w:val="0"/>
        <w:overflowPunct w:val="0"/>
        <w:rPr>
          <w:sz w:val="22"/>
          <w:szCs w:val="22"/>
          <w:lang w:val="el-GR"/>
        </w:rPr>
      </w:pPr>
    </w:p>
    <w:p w14:paraId="652029FB" w14:textId="77777777" w:rsidR="00171824" w:rsidRDefault="006D258C">
      <w:pPr>
        <w:pStyle w:val="BodyText"/>
        <w:widowControl/>
        <w:kinsoku w:val="0"/>
        <w:overflowPunct w:val="0"/>
        <w:ind w:left="0"/>
        <w:rPr>
          <w:lang w:val="el-GR"/>
        </w:rPr>
      </w:pPr>
      <w:r>
        <w:rPr>
          <w:lang w:val="el-GR"/>
        </w:rPr>
        <w:t xml:space="preserve">Η συνιστώμενη δόση του AMGEVITA για ασθενείς με πολυαρθρική νεανική ιδιοπαθή αρθρίτιδα, από 2ετών, βασίζεται στο σωματικό βάρος (πίνακας 1). Το AMGEVITA χορηγείται μέσω υποδόριας ένεσης κάθε δεύτερη εβδομάδα. </w:t>
      </w:r>
    </w:p>
    <w:p w14:paraId="1DF77C65" w14:textId="77777777" w:rsidR="00171824" w:rsidRDefault="00171824">
      <w:pPr>
        <w:widowControl/>
        <w:kinsoku w:val="0"/>
        <w:overflowPunct w:val="0"/>
        <w:rPr>
          <w:sz w:val="22"/>
          <w:szCs w:val="22"/>
          <w:lang w:val="el-GR"/>
        </w:rPr>
      </w:pPr>
    </w:p>
    <w:p w14:paraId="3A6BEBFC" w14:textId="77777777" w:rsidR="00171824" w:rsidRDefault="006D258C">
      <w:pPr>
        <w:keepNext/>
        <w:widowControl/>
        <w:kinsoku w:val="0"/>
        <w:overflowPunct w:val="0"/>
        <w:rPr>
          <w:rFonts w:eastAsia="Arial Unicode MS" w:cs="Arial Unicode MS"/>
          <w:b/>
          <w:sz w:val="22"/>
          <w:szCs w:val="22"/>
          <w:lang w:val="el-GR" w:bidi="en-US"/>
        </w:rPr>
      </w:pPr>
      <w:r>
        <w:rPr>
          <w:b/>
          <w:sz w:val="22"/>
          <w:szCs w:val="22"/>
          <w:lang w:val="el-GR"/>
        </w:rPr>
        <w:t>Πίνακας 1. Δόση AMGEVITA</w:t>
      </w:r>
      <w:r>
        <w:rPr>
          <w:rFonts w:eastAsia="Arial Unicode MS" w:cs="Arial Unicode MS"/>
          <w:b/>
          <w:sz w:val="22"/>
          <w:szCs w:val="22"/>
          <w:lang w:val="el-GR" w:bidi="en-US"/>
        </w:rPr>
        <w:t xml:space="preserve"> για ασθενείς με πολυαρθρική νεανική ιδιοπαθή αρθρίτιδα</w:t>
      </w:r>
    </w:p>
    <w:p w14:paraId="5948EC5A" w14:textId="77777777" w:rsidR="00171824" w:rsidRDefault="00171824">
      <w:pPr>
        <w:keepNext/>
        <w:widowControl/>
        <w:kinsoku w:val="0"/>
        <w:overflowPunct w:val="0"/>
        <w:rPr>
          <w:rFonts w:eastAsia="Arial Unicode MS" w:cs="Arial Unicode MS"/>
          <w:b/>
          <w:sz w:val="22"/>
          <w:szCs w:val="22"/>
          <w:lang w:val="el-GR" w:bidi="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171824" w14:paraId="01957625" w14:textId="77777777">
        <w:trPr>
          <w:tblHeader/>
        </w:trPr>
        <w:tc>
          <w:tcPr>
            <w:tcW w:w="4253" w:type="dxa"/>
          </w:tcPr>
          <w:p w14:paraId="5DA00F50" w14:textId="77777777" w:rsidR="00171824" w:rsidRDefault="006D258C">
            <w:pPr>
              <w:keepNext/>
              <w:rPr>
                <w:rFonts w:eastAsia="Calibri"/>
                <w:b/>
                <w:sz w:val="22"/>
                <w:szCs w:val="22"/>
                <w:lang w:val="el-GR" w:eastAsia="ja-JP"/>
              </w:rPr>
            </w:pPr>
            <w:r>
              <w:rPr>
                <w:rFonts w:eastAsia="Arial Unicode MS" w:cs="Arial Unicode MS"/>
                <w:b/>
                <w:sz w:val="22"/>
                <w:szCs w:val="22"/>
                <w:lang w:val="el-GR" w:bidi="en-US"/>
              </w:rPr>
              <w:t>Βάρος ασθενούς</w:t>
            </w:r>
          </w:p>
        </w:tc>
        <w:tc>
          <w:tcPr>
            <w:tcW w:w="5103" w:type="dxa"/>
          </w:tcPr>
          <w:p w14:paraId="60784900" w14:textId="77777777" w:rsidR="00171824" w:rsidRDefault="006D258C">
            <w:pPr>
              <w:keepNext/>
              <w:rPr>
                <w:rFonts w:eastAsia="Calibri"/>
                <w:b/>
                <w:sz w:val="22"/>
                <w:szCs w:val="22"/>
                <w:lang w:val="el-GR" w:eastAsia="ja-JP"/>
              </w:rPr>
            </w:pPr>
            <w:r>
              <w:rPr>
                <w:rFonts w:eastAsia="Arial Unicode MS" w:cs="Arial Unicode MS"/>
                <w:b/>
                <w:sz w:val="22"/>
                <w:szCs w:val="22"/>
                <w:lang w:val="el-GR" w:bidi="en-US"/>
              </w:rPr>
              <w:t>Δοσολογικό σχήμα</w:t>
            </w:r>
          </w:p>
        </w:tc>
      </w:tr>
      <w:tr w:rsidR="00171824" w14:paraId="511A8853" w14:textId="77777777">
        <w:trPr>
          <w:tblHeader/>
        </w:trPr>
        <w:tc>
          <w:tcPr>
            <w:tcW w:w="4253" w:type="dxa"/>
          </w:tcPr>
          <w:p w14:paraId="5DE2278E" w14:textId="77777777" w:rsidR="00171824" w:rsidRDefault="006D258C">
            <w:pPr>
              <w:keepNext/>
              <w:rPr>
                <w:rFonts w:eastAsia="Calibri"/>
                <w:b/>
                <w:sz w:val="22"/>
                <w:szCs w:val="22"/>
                <w:lang w:val="el-GR" w:eastAsia="ja-JP"/>
              </w:rPr>
            </w:pPr>
            <w:r>
              <w:rPr>
                <w:rFonts w:eastAsia="Calibri"/>
                <w:sz w:val="22"/>
                <w:szCs w:val="22"/>
                <w:lang w:val="el-GR" w:eastAsia="ja-JP"/>
              </w:rPr>
              <w:t>10 kg μέχρι &lt; 30 kg</w:t>
            </w:r>
          </w:p>
        </w:tc>
        <w:tc>
          <w:tcPr>
            <w:tcW w:w="5103" w:type="dxa"/>
          </w:tcPr>
          <w:p w14:paraId="481462AE" w14:textId="77777777" w:rsidR="00171824" w:rsidRDefault="006D258C">
            <w:pPr>
              <w:keepNext/>
              <w:rPr>
                <w:rFonts w:eastAsia="Calibri"/>
                <w:b/>
                <w:sz w:val="22"/>
                <w:szCs w:val="22"/>
                <w:lang w:val="el-GR" w:eastAsia="ja-JP"/>
              </w:rPr>
            </w:pPr>
            <w:r>
              <w:rPr>
                <w:rFonts w:eastAsia="Calibri"/>
                <w:sz w:val="22"/>
                <w:szCs w:val="22"/>
                <w:lang w:val="el-GR" w:eastAsia="ja-JP"/>
              </w:rPr>
              <w:t xml:space="preserve">20 mg </w:t>
            </w:r>
            <w:r>
              <w:rPr>
                <w:rFonts w:eastAsia="Arial Unicode MS" w:cs="Arial Unicode MS"/>
                <w:sz w:val="22"/>
                <w:szCs w:val="22"/>
                <w:lang w:val="el-GR" w:bidi="en-US"/>
              </w:rPr>
              <w:t>κάθε δεύτερη εβδομάδα</w:t>
            </w:r>
          </w:p>
        </w:tc>
      </w:tr>
      <w:tr w:rsidR="00171824" w14:paraId="48FC5A4E" w14:textId="77777777">
        <w:trPr>
          <w:tblHeader/>
        </w:trPr>
        <w:tc>
          <w:tcPr>
            <w:tcW w:w="4253" w:type="dxa"/>
          </w:tcPr>
          <w:p w14:paraId="01ECAD33" w14:textId="77777777" w:rsidR="00171824" w:rsidRDefault="006D258C">
            <w:pPr>
              <w:keepNext/>
              <w:rPr>
                <w:rFonts w:eastAsia="Calibri"/>
                <w:b/>
                <w:sz w:val="22"/>
                <w:szCs w:val="22"/>
                <w:lang w:val="el-GR" w:eastAsia="ja-JP"/>
              </w:rPr>
            </w:pPr>
            <w:r>
              <w:rPr>
                <w:rFonts w:eastAsia="Calibri"/>
                <w:sz w:val="22"/>
                <w:szCs w:val="22"/>
                <w:lang w:val="el-GR" w:eastAsia="ja-JP"/>
              </w:rPr>
              <w:t>≥ 30 kg</w:t>
            </w:r>
          </w:p>
        </w:tc>
        <w:tc>
          <w:tcPr>
            <w:tcW w:w="5103" w:type="dxa"/>
          </w:tcPr>
          <w:p w14:paraId="6FBD3738" w14:textId="77777777" w:rsidR="00171824" w:rsidRDefault="006D258C">
            <w:pPr>
              <w:keepNext/>
              <w:rPr>
                <w:rFonts w:eastAsia="Calibri"/>
                <w:b/>
                <w:sz w:val="22"/>
                <w:szCs w:val="22"/>
                <w:lang w:val="el-GR" w:eastAsia="ja-JP"/>
              </w:rPr>
            </w:pPr>
            <w:r>
              <w:rPr>
                <w:rFonts w:eastAsia="Calibri"/>
                <w:sz w:val="22"/>
                <w:szCs w:val="22"/>
                <w:lang w:val="el-GR" w:eastAsia="ja-JP"/>
              </w:rPr>
              <w:t xml:space="preserve">40 mg </w:t>
            </w:r>
            <w:r>
              <w:rPr>
                <w:rFonts w:eastAsia="Arial Unicode MS" w:cs="Arial Unicode MS"/>
                <w:sz w:val="22"/>
                <w:szCs w:val="22"/>
                <w:lang w:val="el-GR" w:bidi="en-US"/>
              </w:rPr>
              <w:t>κάθε δεύτερη εβδομάδα</w:t>
            </w:r>
          </w:p>
        </w:tc>
      </w:tr>
    </w:tbl>
    <w:p w14:paraId="14212F97" w14:textId="77777777" w:rsidR="00171824" w:rsidRDefault="00171824">
      <w:pPr>
        <w:widowControl/>
        <w:kinsoku w:val="0"/>
        <w:overflowPunct w:val="0"/>
        <w:rPr>
          <w:sz w:val="22"/>
          <w:szCs w:val="22"/>
          <w:lang w:val="el-GR"/>
        </w:rPr>
      </w:pPr>
    </w:p>
    <w:p w14:paraId="582B71BF" w14:textId="77777777" w:rsidR="00171824" w:rsidRDefault="006D258C">
      <w:pPr>
        <w:pStyle w:val="BodyText"/>
        <w:widowControl/>
        <w:kinsoku w:val="0"/>
        <w:overflowPunct w:val="0"/>
        <w:ind w:left="0"/>
        <w:rPr>
          <w:lang w:val="el-GR"/>
        </w:rPr>
      </w:pPr>
      <w:r>
        <w:rPr>
          <w:lang w:val="el-GR"/>
        </w:rPr>
        <w:t>Διαθέσιμα δεδομένα υποδεικνύουν ότι η κλινική ανταπόκριση επιτυγχάνεται συνήθως μέσα σε 12 εβδομάδες θεραπείας. Η συνέχιση της θεραπείας πρέπει να επαναξιολογείται προσεκτικά σε όποιον ασθενή δεν ανταποκρίνεται μέσα σε αυτή τη χρονική περίοδο.</w:t>
      </w:r>
    </w:p>
    <w:p w14:paraId="15B78794" w14:textId="77777777" w:rsidR="00171824" w:rsidRDefault="00171824">
      <w:pPr>
        <w:widowControl/>
        <w:kinsoku w:val="0"/>
        <w:overflowPunct w:val="0"/>
        <w:rPr>
          <w:sz w:val="22"/>
          <w:szCs w:val="22"/>
          <w:lang w:val="el-GR"/>
        </w:rPr>
      </w:pPr>
    </w:p>
    <w:p w14:paraId="3CD8EE6A" w14:textId="77777777" w:rsidR="00171824" w:rsidRDefault="006D258C">
      <w:pPr>
        <w:pStyle w:val="BodyText"/>
        <w:widowControl/>
        <w:kinsoku w:val="0"/>
        <w:overflowPunct w:val="0"/>
        <w:ind w:left="0"/>
        <w:rPr>
          <w:lang w:val="el-GR"/>
        </w:rPr>
      </w:pPr>
      <w:r>
        <w:rPr>
          <w:lang w:val="el-GR"/>
        </w:rPr>
        <w:t>Δεν υπάρχει σχετική χρήση του adalimumab σε ασθενείς ηλικίας κάτω των 2 ετών για αυτή την ένδειξη.</w:t>
      </w:r>
    </w:p>
    <w:p w14:paraId="693F3471" w14:textId="77777777" w:rsidR="00171824" w:rsidRDefault="00171824">
      <w:pPr>
        <w:widowControl/>
        <w:kinsoku w:val="0"/>
        <w:overflowPunct w:val="0"/>
        <w:rPr>
          <w:sz w:val="22"/>
          <w:szCs w:val="22"/>
          <w:lang w:val="el-GR"/>
        </w:rPr>
      </w:pPr>
    </w:p>
    <w:p w14:paraId="38CBCE62" w14:textId="77777777" w:rsidR="00171824" w:rsidRDefault="006D258C">
      <w:pPr>
        <w:widowControl/>
        <w:kinsoku w:val="0"/>
        <w:overflowPunct w:val="0"/>
        <w:rPr>
          <w:sz w:val="22"/>
          <w:szCs w:val="22"/>
          <w:u w:val="single"/>
          <w:lang w:val="el-GR"/>
        </w:rPr>
      </w:pPr>
      <w:r>
        <w:rPr>
          <w:i/>
          <w:iCs/>
          <w:sz w:val="22"/>
          <w:szCs w:val="22"/>
          <w:u w:val="single"/>
          <w:lang w:val="el-GR"/>
        </w:rPr>
        <w:t>Αρθρίτιδα σχετιζόμενη με ενθεσίτιδα</w:t>
      </w:r>
    </w:p>
    <w:p w14:paraId="7DB95EB0" w14:textId="77777777" w:rsidR="00171824" w:rsidRDefault="00171824">
      <w:pPr>
        <w:widowControl/>
        <w:kinsoku w:val="0"/>
        <w:overflowPunct w:val="0"/>
        <w:rPr>
          <w:sz w:val="22"/>
          <w:szCs w:val="22"/>
          <w:lang w:val="el-GR"/>
        </w:rPr>
      </w:pPr>
    </w:p>
    <w:p w14:paraId="4B728504" w14:textId="77777777" w:rsidR="00171824" w:rsidRDefault="006D258C">
      <w:pPr>
        <w:pStyle w:val="BodyText"/>
        <w:widowControl/>
        <w:kinsoku w:val="0"/>
        <w:overflowPunct w:val="0"/>
        <w:ind w:left="0"/>
        <w:rPr>
          <w:lang w:val="el-GR"/>
        </w:rPr>
      </w:pPr>
      <w:r>
        <w:rPr>
          <w:lang w:val="el-GR"/>
        </w:rPr>
        <w:t xml:space="preserve">Η συνιστώμενη δόση του AMGEVITA για ασθενείς με αρθρίτιδα σχετιζόμενη με ενθεσίτιδα ηλικίας από 6 ετών είναι βασισμένη στο σώματικό βάρος (πίνακας 2). Το AMGEVITA χορηγείται μέσω υποδόριας ένεσης κάθε δεύτερη εβδομάδα. </w:t>
      </w:r>
    </w:p>
    <w:p w14:paraId="0365C6B2" w14:textId="77777777" w:rsidR="00171824" w:rsidRDefault="00171824">
      <w:pPr>
        <w:pStyle w:val="BodyText"/>
        <w:widowControl/>
        <w:kinsoku w:val="0"/>
        <w:overflowPunct w:val="0"/>
        <w:ind w:left="0"/>
        <w:rPr>
          <w:lang w:val="el-GR"/>
        </w:rPr>
      </w:pPr>
    </w:p>
    <w:p w14:paraId="72843EC7" w14:textId="77777777" w:rsidR="00171824" w:rsidRDefault="006D258C">
      <w:pPr>
        <w:keepNext/>
        <w:suppressAutoHyphens/>
        <w:rPr>
          <w:b/>
          <w:sz w:val="22"/>
          <w:szCs w:val="22"/>
          <w:lang w:val="el-GR"/>
        </w:rPr>
      </w:pPr>
      <w:r>
        <w:rPr>
          <w:b/>
          <w:sz w:val="22"/>
          <w:szCs w:val="22"/>
          <w:lang w:val="el-GR"/>
        </w:rPr>
        <w:t>Πίνακας 2. Δόση AMGEVITA</w:t>
      </w:r>
      <w:r>
        <w:rPr>
          <w:rStyle w:val="CommentReference"/>
          <w:lang w:val="el-GR"/>
        </w:rPr>
        <w:t xml:space="preserve"> </w:t>
      </w:r>
      <w:r>
        <w:rPr>
          <w:b/>
          <w:sz w:val="22"/>
          <w:szCs w:val="22"/>
          <w:lang w:val="el-GR"/>
        </w:rPr>
        <w:t>σε ασθενείς με αρθρίτιδα σχετιζόμενη με ενθεσίτιδα</w:t>
      </w:r>
    </w:p>
    <w:p w14:paraId="56694743" w14:textId="77777777" w:rsidR="00171824" w:rsidRDefault="00171824">
      <w:pPr>
        <w:keepNext/>
        <w:suppressAutoHyphens/>
        <w:rPr>
          <w:sz w:val="22"/>
          <w:szCs w:val="22"/>
          <w:lang w:val="el-GR"/>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171824" w14:paraId="2FC28956" w14:textId="77777777">
        <w:trPr>
          <w:tblHeader/>
        </w:trPr>
        <w:tc>
          <w:tcPr>
            <w:tcW w:w="4255" w:type="dxa"/>
            <w:tcBorders>
              <w:top w:val="single" w:sz="4" w:space="0" w:color="auto"/>
              <w:left w:val="single" w:sz="4" w:space="0" w:color="auto"/>
              <w:bottom w:val="single" w:sz="4" w:space="0" w:color="auto"/>
              <w:right w:val="single" w:sz="4" w:space="0" w:color="auto"/>
            </w:tcBorders>
          </w:tcPr>
          <w:p w14:paraId="1FDFAFA1" w14:textId="77777777" w:rsidR="00171824" w:rsidRDefault="006D258C">
            <w:pPr>
              <w:keepNext/>
              <w:tabs>
                <w:tab w:val="left" w:pos="720"/>
              </w:tabs>
              <w:rPr>
                <w:rFonts w:eastAsia="Calibri"/>
                <w:b/>
                <w:sz w:val="22"/>
                <w:szCs w:val="22"/>
                <w:lang w:val="el-GR" w:eastAsia="ja-JP"/>
              </w:rPr>
            </w:pPr>
            <w:r>
              <w:rPr>
                <w:rFonts w:eastAsia="Calibri"/>
                <w:b/>
                <w:sz w:val="22"/>
                <w:szCs w:val="22"/>
                <w:lang w:val="el-GR" w:eastAsia="ja-JP"/>
              </w:rPr>
              <w:t>Βάρος ασθενούς</w:t>
            </w:r>
          </w:p>
        </w:tc>
        <w:tc>
          <w:tcPr>
            <w:tcW w:w="5105" w:type="dxa"/>
            <w:tcBorders>
              <w:top w:val="single" w:sz="4" w:space="0" w:color="auto"/>
              <w:left w:val="single" w:sz="4" w:space="0" w:color="auto"/>
              <w:bottom w:val="single" w:sz="4" w:space="0" w:color="auto"/>
              <w:right w:val="single" w:sz="4" w:space="0" w:color="auto"/>
            </w:tcBorders>
          </w:tcPr>
          <w:p w14:paraId="6361889B" w14:textId="77777777" w:rsidR="00171824" w:rsidRDefault="006D258C">
            <w:pPr>
              <w:keepNext/>
              <w:tabs>
                <w:tab w:val="left" w:pos="720"/>
              </w:tabs>
              <w:rPr>
                <w:rFonts w:eastAsia="Calibri"/>
                <w:b/>
                <w:sz w:val="22"/>
                <w:szCs w:val="22"/>
                <w:lang w:val="el-GR" w:eastAsia="ja-JP"/>
              </w:rPr>
            </w:pPr>
            <w:r>
              <w:rPr>
                <w:rFonts w:eastAsia="Calibri"/>
                <w:b/>
                <w:sz w:val="22"/>
                <w:szCs w:val="22"/>
                <w:lang w:val="el-GR" w:eastAsia="ja-JP"/>
              </w:rPr>
              <w:t>Δοσολογικό σχήμα</w:t>
            </w:r>
          </w:p>
        </w:tc>
      </w:tr>
      <w:tr w:rsidR="00171824" w14:paraId="15C07C08" w14:textId="77777777">
        <w:trPr>
          <w:tblHeader/>
        </w:trPr>
        <w:tc>
          <w:tcPr>
            <w:tcW w:w="4255" w:type="dxa"/>
            <w:tcBorders>
              <w:top w:val="single" w:sz="4" w:space="0" w:color="auto"/>
              <w:left w:val="single" w:sz="4" w:space="0" w:color="auto"/>
              <w:bottom w:val="single" w:sz="4" w:space="0" w:color="auto"/>
              <w:right w:val="single" w:sz="4" w:space="0" w:color="auto"/>
            </w:tcBorders>
          </w:tcPr>
          <w:p w14:paraId="551B78B7"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15 kg to &lt; 30 kg</w:t>
            </w:r>
          </w:p>
        </w:tc>
        <w:tc>
          <w:tcPr>
            <w:tcW w:w="5105" w:type="dxa"/>
            <w:tcBorders>
              <w:top w:val="single" w:sz="4" w:space="0" w:color="auto"/>
              <w:left w:val="single" w:sz="4" w:space="0" w:color="auto"/>
              <w:bottom w:val="single" w:sz="4" w:space="0" w:color="auto"/>
              <w:right w:val="single" w:sz="4" w:space="0" w:color="auto"/>
            </w:tcBorders>
          </w:tcPr>
          <w:p w14:paraId="19F2E178"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xml:space="preserve">20 mg </w:t>
            </w:r>
            <w:r>
              <w:rPr>
                <w:sz w:val="22"/>
                <w:szCs w:val="22"/>
                <w:lang w:val="el-GR"/>
              </w:rPr>
              <w:t>κάθε δεύτερη εβδομάδα</w:t>
            </w:r>
          </w:p>
        </w:tc>
      </w:tr>
      <w:tr w:rsidR="00171824" w14:paraId="40B22324" w14:textId="77777777">
        <w:trPr>
          <w:tblHeader/>
        </w:trPr>
        <w:tc>
          <w:tcPr>
            <w:tcW w:w="4255" w:type="dxa"/>
            <w:tcBorders>
              <w:top w:val="single" w:sz="4" w:space="0" w:color="auto"/>
              <w:left w:val="single" w:sz="4" w:space="0" w:color="auto"/>
              <w:bottom w:val="single" w:sz="4" w:space="0" w:color="auto"/>
              <w:right w:val="single" w:sz="4" w:space="0" w:color="auto"/>
            </w:tcBorders>
          </w:tcPr>
          <w:p w14:paraId="146304AB"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30 kg</w:t>
            </w:r>
          </w:p>
        </w:tc>
        <w:tc>
          <w:tcPr>
            <w:tcW w:w="5105" w:type="dxa"/>
            <w:tcBorders>
              <w:top w:val="single" w:sz="4" w:space="0" w:color="auto"/>
              <w:left w:val="single" w:sz="4" w:space="0" w:color="auto"/>
              <w:bottom w:val="single" w:sz="4" w:space="0" w:color="auto"/>
              <w:right w:val="single" w:sz="4" w:space="0" w:color="auto"/>
            </w:tcBorders>
          </w:tcPr>
          <w:p w14:paraId="35B6CBB8"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xml:space="preserve">40 mg </w:t>
            </w:r>
            <w:r>
              <w:rPr>
                <w:sz w:val="22"/>
                <w:szCs w:val="22"/>
                <w:lang w:val="el-GR"/>
              </w:rPr>
              <w:t>κάθε δεύτερη εβδομάδα</w:t>
            </w:r>
          </w:p>
        </w:tc>
      </w:tr>
    </w:tbl>
    <w:p w14:paraId="0CFAF8FE" w14:textId="77777777" w:rsidR="00171824" w:rsidRDefault="00171824">
      <w:pPr>
        <w:pStyle w:val="BodyText"/>
        <w:widowControl/>
        <w:kinsoku w:val="0"/>
        <w:overflowPunct w:val="0"/>
        <w:ind w:left="0"/>
        <w:rPr>
          <w:lang w:val="el-GR"/>
        </w:rPr>
      </w:pPr>
    </w:p>
    <w:p w14:paraId="132EE4BE" w14:textId="77777777" w:rsidR="00171824" w:rsidRDefault="006D258C">
      <w:pPr>
        <w:pStyle w:val="BodyText"/>
        <w:widowControl/>
        <w:kinsoku w:val="0"/>
        <w:overflowPunct w:val="0"/>
        <w:ind w:left="0"/>
        <w:rPr>
          <w:lang w:val="el-GR"/>
        </w:rPr>
      </w:pPr>
      <w:r>
        <w:rPr>
          <w:lang w:val="el-GR"/>
        </w:rPr>
        <w:t>Το adalimumab δεν έχει μελετηθεί σε ασθενείς μικρότερους των 6 ετών με αρθρίτιδα σχετιζόμενη με ενθεσίτιδα.</w:t>
      </w:r>
    </w:p>
    <w:p w14:paraId="090A16E8" w14:textId="77777777" w:rsidR="00171824" w:rsidRDefault="00171824">
      <w:pPr>
        <w:pStyle w:val="BodyText"/>
        <w:widowControl/>
        <w:kinsoku w:val="0"/>
        <w:overflowPunct w:val="0"/>
        <w:ind w:left="0"/>
        <w:rPr>
          <w:lang w:val="el-GR"/>
        </w:rPr>
      </w:pPr>
    </w:p>
    <w:p w14:paraId="631D7980" w14:textId="77777777" w:rsidR="00171824" w:rsidRDefault="006D258C">
      <w:pPr>
        <w:widowControl/>
        <w:rPr>
          <w:i/>
          <w:iCs/>
          <w:color w:val="000000"/>
          <w:sz w:val="22"/>
          <w:szCs w:val="22"/>
          <w:lang w:val="el-GR" w:eastAsia="ja-JP"/>
        </w:rPr>
      </w:pPr>
      <w:r>
        <w:rPr>
          <w:i/>
          <w:iCs/>
          <w:color w:val="000000"/>
          <w:sz w:val="22"/>
          <w:szCs w:val="22"/>
          <w:lang w:val="el-GR" w:eastAsia="ja-JP"/>
        </w:rPr>
        <w:t xml:space="preserve">Ψωριασική αρθρίτιδα και αξονική σπονδυλαρθρίτιδα συμπεριλαμβανομένης αγκυλοποιητικής σπονδυλίτιδας </w:t>
      </w:r>
    </w:p>
    <w:p w14:paraId="7CCB1EAE" w14:textId="77777777" w:rsidR="00171824" w:rsidRDefault="00171824">
      <w:pPr>
        <w:widowControl/>
        <w:rPr>
          <w:color w:val="000000"/>
          <w:sz w:val="22"/>
          <w:szCs w:val="22"/>
          <w:lang w:val="el-GR" w:eastAsia="ja-JP"/>
        </w:rPr>
      </w:pPr>
    </w:p>
    <w:p w14:paraId="1764EABB" w14:textId="77777777" w:rsidR="00171824" w:rsidRDefault="006D258C">
      <w:pPr>
        <w:pStyle w:val="BodyText"/>
        <w:widowControl/>
        <w:kinsoku w:val="0"/>
        <w:overflowPunct w:val="0"/>
        <w:ind w:left="0"/>
        <w:rPr>
          <w:lang w:val="el-GR"/>
        </w:rPr>
      </w:pPr>
      <w:r>
        <w:rPr>
          <w:color w:val="000000"/>
          <w:lang w:val="el-GR" w:eastAsia="ja-JP"/>
        </w:rPr>
        <w:t>Δεν υπάρχει σχετική χρήση του adalimumab σε παιδιατρικό πληθυσμό για τις ενδείξεις της αγκυλοποιητικής σπονδυλίτιδας και της ψωριασικής αρθρίτιδας.</w:t>
      </w:r>
    </w:p>
    <w:p w14:paraId="158DC29B" w14:textId="77777777" w:rsidR="00171824" w:rsidRDefault="00171824">
      <w:pPr>
        <w:widowControl/>
        <w:kinsoku w:val="0"/>
        <w:overflowPunct w:val="0"/>
        <w:rPr>
          <w:sz w:val="22"/>
          <w:szCs w:val="22"/>
          <w:lang w:val="el-GR"/>
        </w:rPr>
      </w:pPr>
    </w:p>
    <w:p w14:paraId="7A6F7066" w14:textId="77777777" w:rsidR="00171824" w:rsidRDefault="006D258C">
      <w:pPr>
        <w:widowControl/>
        <w:kinsoku w:val="0"/>
        <w:overflowPunct w:val="0"/>
        <w:rPr>
          <w:sz w:val="22"/>
          <w:szCs w:val="22"/>
          <w:lang w:val="el-GR"/>
        </w:rPr>
      </w:pPr>
      <w:r>
        <w:rPr>
          <w:i/>
          <w:iCs/>
          <w:sz w:val="22"/>
          <w:szCs w:val="22"/>
          <w:lang w:val="el-GR"/>
        </w:rPr>
        <w:t>Παιδιατρική ψωρίαση κατά πλάκας</w:t>
      </w:r>
    </w:p>
    <w:p w14:paraId="2037ECD2" w14:textId="77777777" w:rsidR="00171824" w:rsidRDefault="00171824">
      <w:pPr>
        <w:widowControl/>
        <w:kinsoku w:val="0"/>
        <w:overflowPunct w:val="0"/>
        <w:rPr>
          <w:sz w:val="22"/>
          <w:szCs w:val="22"/>
          <w:lang w:val="el-GR"/>
        </w:rPr>
      </w:pPr>
    </w:p>
    <w:p w14:paraId="1C850032" w14:textId="77777777" w:rsidR="00171824" w:rsidRDefault="006D258C">
      <w:pPr>
        <w:pStyle w:val="BodyText"/>
        <w:widowControl/>
        <w:kinsoku w:val="0"/>
        <w:overflowPunct w:val="0"/>
        <w:ind w:left="0"/>
        <w:rPr>
          <w:lang w:val="el-GR"/>
        </w:rPr>
      </w:pPr>
      <w:r>
        <w:rPr>
          <w:lang w:val="el-GR"/>
        </w:rPr>
        <w:t xml:space="preserve">Η συνιστώμενη δόση AMGEVITA είναι για ασθενείς με ψωρίαση κατά πλάκας ηλικίας από 4 μέχρι 17 ετών βασίζεται στο σωματικό βάρος (πίνακας 3). Το AMGEVITA χορηγείται μέσω υποδόριας ένεσης. </w:t>
      </w:r>
    </w:p>
    <w:p w14:paraId="356531B7" w14:textId="77777777" w:rsidR="00171824" w:rsidRDefault="00171824">
      <w:pPr>
        <w:pStyle w:val="BodyText"/>
        <w:widowControl/>
        <w:kinsoku w:val="0"/>
        <w:overflowPunct w:val="0"/>
        <w:ind w:left="0"/>
        <w:rPr>
          <w:lang w:val="el-GR"/>
        </w:rPr>
      </w:pPr>
    </w:p>
    <w:p w14:paraId="06311220" w14:textId="77777777" w:rsidR="00171824" w:rsidRDefault="006D258C">
      <w:pPr>
        <w:widowControl/>
        <w:kinsoku w:val="0"/>
        <w:overflowPunct w:val="0"/>
        <w:rPr>
          <w:sz w:val="22"/>
          <w:szCs w:val="22"/>
          <w:lang w:val="el-GR"/>
        </w:rPr>
      </w:pPr>
      <w:r>
        <w:rPr>
          <w:b/>
          <w:sz w:val="22"/>
          <w:szCs w:val="22"/>
          <w:lang w:val="el-GR"/>
        </w:rPr>
        <w:t xml:space="preserve">Πίνακας 3. Δόση AMGEVITA σε παιδιατρικούς ασθενείς με </w:t>
      </w:r>
      <w:r>
        <w:rPr>
          <w:b/>
          <w:iCs/>
          <w:sz w:val="22"/>
          <w:szCs w:val="22"/>
          <w:lang w:val="el-GR"/>
        </w:rPr>
        <w:t>ψωρίαση κατά πλάκας</w:t>
      </w:r>
    </w:p>
    <w:p w14:paraId="23910488" w14:textId="77777777" w:rsidR="00171824" w:rsidRDefault="00171824">
      <w:pPr>
        <w:suppressAutoHyphens/>
        <w:rPr>
          <w:sz w:val="22"/>
          <w:szCs w:val="22"/>
          <w:lang w:val="el-GR"/>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5105"/>
      </w:tblGrid>
      <w:tr w:rsidR="00171824" w14:paraId="465D9CBD" w14:textId="77777777">
        <w:trPr>
          <w:tblHeader/>
        </w:trPr>
        <w:tc>
          <w:tcPr>
            <w:tcW w:w="4253" w:type="dxa"/>
            <w:tcBorders>
              <w:top w:val="single" w:sz="4" w:space="0" w:color="auto"/>
              <w:left w:val="single" w:sz="4" w:space="0" w:color="auto"/>
              <w:bottom w:val="single" w:sz="4" w:space="0" w:color="auto"/>
              <w:right w:val="single" w:sz="4" w:space="0" w:color="auto"/>
            </w:tcBorders>
          </w:tcPr>
          <w:p w14:paraId="0D67A402" w14:textId="77777777" w:rsidR="00171824" w:rsidRDefault="006D258C">
            <w:pPr>
              <w:keepNext/>
              <w:tabs>
                <w:tab w:val="left" w:pos="720"/>
              </w:tabs>
              <w:rPr>
                <w:rFonts w:eastAsia="Calibri"/>
                <w:b/>
                <w:sz w:val="22"/>
                <w:szCs w:val="22"/>
                <w:lang w:val="el-GR" w:eastAsia="ja-JP"/>
              </w:rPr>
            </w:pPr>
            <w:r>
              <w:rPr>
                <w:rFonts w:eastAsia="Calibri"/>
                <w:b/>
                <w:sz w:val="22"/>
                <w:szCs w:val="22"/>
                <w:lang w:val="el-GR" w:eastAsia="ja-JP"/>
              </w:rPr>
              <w:t>Βάρος ασθενούς</w:t>
            </w:r>
          </w:p>
        </w:tc>
        <w:tc>
          <w:tcPr>
            <w:tcW w:w="5103" w:type="dxa"/>
            <w:tcBorders>
              <w:top w:val="single" w:sz="4" w:space="0" w:color="auto"/>
              <w:left w:val="single" w:sz="4" w:space="0" w:color="auto"/>
              <w:bottom w:val="single" w:sz="4" w:space="0" w:color="auto"/>
              <w:right w:val="single" w:sz="4" w:space="0" w:color="auto"/>
            </w:tcBorders>
          </w:tcPr>
          <w:p w14:paraId="5C0BA8F5" w14:textId="77777777" w:rsidR="00171824" w:rsidRDefault="006D258C">
            <w:pPr>
              <w:keepNext/>
              <w:tabs>
                <w:tab w:val="left" w:pos="720"/>
              </w:tabs>
              <w:rPr>
                <w:rFonts w:eastAsia="Calibri"/>
                <w:b/>
                <w:sz w:val="22"/>
                <w:szCs w:val="22"/>
                <w:lang w:val="el-GR" w:eastAsia="ja-JP"/>
              </w:rPr>
            </w:pPr>
            <w:r>
              <w:rPr>
                <w:rFonts w:eastAsia="Calibri"/>
                <w:b/>
                <w:sz w:val="22"/>
                <w:szCs w:val="22"/>
                <w:lang w:val="el-GR" w:eastAsia="ja-JP"/>
              </w:rPr>
              <w:t>Δοσολογικό σχήμα</w:t>
            </w:r>
          </w:p>
        </w:tc>
      </w:tr>
      <w:tr w:rsidR="00171824" w:rsidRPr="00422380" w14:paraId="1AF2425E" w14:textId="77777777">
        <w:trPr>
          <w:tblHeader/>
        </w:trPr>
        <w:tc>
          <w:tcPr>
            <w:tcW w:w="4253" w:type="dxa"/>
            <w:tcBorders>
              <w:top w:val="single" w:sz="4" w:space="0" w:color="auto"/>
              <w:left w:val="single" w:sz="4" w:space="0" w:color="auto"/>
              <w:bottom w:val="single" w:sz="4" w:space="0" w:color="auto"/>
              <w:right w:val="single" w:sz="4" w:space="0" w:color="auto"/>
            </w:tcBorders>
          </w:tcPr>
          <w:p w14:paraId="1052E16B"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15 kg to &lt; 30 kg</w:t>
            </w:r>
          </w:p>
        </w:tc>
        <w:tc>
          <w:tcPr>
            <w:tcW w:w="5103" w:type="dxa"/>
            <w:tcBorders>
              <w:top w:val="single" w:sz="4" w:space="0" w:color="auto"/>
              <w:left w:val="single" w:sz="4" w:space="0" w:color="auto"/>
              <w:bottom w:val="single" w:sz="4" w:space="0" w:color="auto"/>
              <w:right w:val="single" w:sz="4" w:space="0" w:color="auto"/>
            </w:tcBorders>
          </w:tcPr>
          <w:p w14:paraId="569E88C8"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xml:space="preserve">Αρχική δόση των 20 mg, ακολουθούμενη από την χορηγούμενη δόση των 20 mg κάθε δεύτερη εβδομάδα ξεκινώντας μία εβδομάδα μετά την αρχική δόση </w:t>
            </w:r>
          </w:p>
        </w:tc>
      </w:tr>
      <w:tr w:rsidR="00171824" w:rsidRPr="00422380" w14:paraId="1F957D60" w14:textId="77777777">
        <w:trPr>
          <w:tblHeader/>
        </w:trPr>
        <w:tc>
          <w:tcPr>
            <w:tcW w:w="4253" w:type="dxa"/>
            <w:tcBorders>
              <w:top w:val="single" w:sz="4" w:space="0" w:color="auto"/>
              <w:left w:val="single" w:sz="4" w:space="0" w:color="auto"/>
              <w:bottom w:val="single" w:sz="4" w:space="0" w:color="auto"/>
              <w:right w:val="single" w:sz="4" w:space="0" w:color="auto"/>
            </w:tcBorders>
          </w:tcPr>
          <w:p w14:paraId="5AE8BE3A"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30 kg</w:t>
            </w:r>
          </w:p>
        </w:tc>
        <w:tc>
          <w:tcPr>
            <w:tcW w:w="5103" w:type="dxa"/>
            <w:tcBorders>
              <w:top w:val="single" w:sz="4" w:space="0" w:color="auto"/>
              <w:left w:val="single" w:sz="4" w:space="0" w:color="auto"/>
              <w:bottom w:val="single" w:sz="4" w:space="0" w:color="auto"/>
              <w:right w:val="single" w:sz="4" w:space="0" w:color="auto"/>
            </w:tcBorders>
          </w:tcPr>
          <w:p w14:paraId="2DD6AC1C" w14:textId="77777777" w:rsidR="00171824" w:rsidRDefault="006D258C">
            <w:pPr>
              <w:suppressAutoHyphens/>
              <w:rPr>
                <w:b/>
                <w:sz w:val="22"/>
                <w:szCs w:val="22"/>
                <w:lang w:val="el-GR"/>
              </w:rPr>
            </w:pPr>
            <w:r>
              <w:rPr>
                <w:rFonts w:eastAsia="Calibri"/>
                <w:sz w:val="22"/>
                <w:szCs w:val="22"/>
                <w:lang w:val="el-GR" w:eastAsia="ja-JP"/>
              </w:rPr>
              <w:t>Αρχική δόση των 40 mg, ακολουθούμενη από την χορηγούμενη δόση των 40 mg κάθε δεύτερη εβδομάδα ξεκινώντας μία εβδομάδα μετά την αρχική δόση</w:t>
            </w:r>
          </w:p>
        </w:tc>
      </w:tr>
    </w:tbl>
    <w:p w14:paraId="44F77F20" w14:textId="77777777" w:rsidR="00171824" w:rsidRDefault="00171824">
      <w:pPr>
        <w:pStyle w:val="BodyText"/>
        <w:widowControl/>
        <w:kinsoku w:val="0"/>
        <w:overflowPunct w:val="0"/>
        <w:ind w:left="0"/>
        <w:rPr>
          <w:lang w:val="el-GR"/>
        </w:rPr>
      </w:pPr>
    </w:p>
    <w:p w14:paraId="65D4D1C1" w14:textId="77777777" w:rsidR="00171824" w:rsidRDefault="006D258C">
      <w:pPr>
        <w:pStyle w:val="BodyText"/>
        <w:widowControl/>
        <w:kinsoku w:val="0"/>
        <w:overflowPunct w:val="0"/>
        <w:ind w:left="0"/>
        <w:rPr>
          <w:lang w:val="el-GR"/>
        </w:rPr>
      </w:pPr>
      <w:r>
        <w:rPr>
          <w:lang w:val="el-GR"/>
        </w:rPr>
        <w:t>Η συνέχιση της θεραπείας μετά την 16</w:t>
      </w:r>
      <w:r>
        <w:rPr>
          <w:vertAlign w:val="superscript"/>
          <w:lang w:val="el-GR"/>
        </w:rPr>
        <w:t>η</w:t>
      </w:r>
      <w:r>
        <w:rPr>
          <w:lang w:val="el-GR"/>
        </w:rPr>
        <w:t xml:space="preserve"> εβδομάδα πρέπει να επαναξιολογείται προσεκτικά σε όποιον ασθενή δεν ανταποκρίνεται μέσα σε αυτή τη χρονική περίοδο.</w:t>
      </w:r>
    </w:p>
    <w:p w14:paraId="307FBEDE" w14:textId="77777777" w:rsidR="00171824" w:rsidRDefault="00171824">
      <w:pPr>
        <w:widowControl/>
        <w:kinsoku w:val="0"/>
        <w:overflowPunct w:val="0"/>
        <w:rPr>
          <w:sz w:val="22"/>
          <w:szCs w:val="22"/>
          <w:lang w:val="el-GR"/>
        </w:rPr>
      </w:pPr>
    </w:p>
    <w:p w14:paraId="2FCA17C0" w14:textId="77777777" w:rsidR="00171824" w:rsidRDefault="006D258C">
      <w:pPr>
        <w:pStyle w:val="BodyText"/>
        <w:widowControl/>
        <w:kinsoku w:val="0"/>
        <w:overflowPunct w:val="0"/>
        <w:ind w:left="0"/>
        <w:rPr>
          <w:lang w:val="el-GR"/>
        </w:rPr>
      </w:pPr>
      <w:r>
        <w:rPr>
          <w:lang w:val="el-GR"/>
        </w:rPr>
        <w:t>Σε περίπτωση που ενδείκνυται επανάληψη της θεραπείας με AMGEVITA, πρέπει να ακολουθούνται οι ανωτέρω συστάσεις σχετικά με τη δοσολογία και τη διάρκεια της θεραπείας.</w:t>
      </w:r>
    </w:p>
    <w:p w14:paraId="76FDF710" w14:textId="77777777" w:rsidR="00171824" w:rsidRDefault="00171824">
      <w:pPr>
        <w:pStyle w:val="BodyText"/>
        <w:widowControl/>
        <w:kinsoku w:val="0"/>
        <w:overflowPunct w:val="0"/>
        <w:ind w:left="0"/>
        <w:rPr>
          <w:lang w:val="el-GR"/>
        </w:rPr>
      </w:pPr>
    </w:p>
    <w:p w14:paraId="07FC2A9C" w14:textId="77777777" w:rsidR="00171824" w:rsidRDefault="006D258C">
      <w:pPr>
        <w:pStyle w:val="BodyText"/>
        <w:widowControl/>
        <w:kinsoku w:val="0"/>
        <w:overflowPunct w:val="0"/>
        <w:ind w:left="0"/>
        <w:rPr>
          <w:lang w:val="el-GR"/>
        </w:rPr>
      </w:pPr>
      <w:r>
        <w:rPr>
          <w:lang w:val="el-GR"/>
        </w:rPr>
        <w:t>Η ασφάλεια του adalimumab σε παιδιατρικούς ασθενείς με ψωρίαση κατά πλάκας έχει αξιολογηθεί για ένα μέσο διάστημα 13 μηνών.</w:t>
      </w:r>
    </w:p>
    <w:p w14:paraId="6FFB57A5" w14:textId="77777777" w:rsidR="00171824" w:rsidRDefault="00171824">
      <w:pPr>
        <w:pStyle w:val="BodyText"/>
        <w:widowControl/>
        <w:kinsoku w:val="0"/>
        <w:overflowPunct w:val="0"/>
        <w:ind w:left="0"/>
        <w:rPr>
          <w:lang w:val="el-GR"/>
        </w:rPr>
      </w:pPr>
    </w:p>
    <w:p w14:paraId="185E3EE5" w14:textId="77777777" w:rsidR="00171824" w:rsidRDefault="006D258C">
      <w:pPr>
        <w:pStyle w:val="BodyText"/>
        <w:widowControl/>
        <w:kinsoku w:val="0"/>
        <w:overflowPunct w:val="0"/>
        <w:ind w:left="0"/>
        <w:rPr>
          <w:lang w:val="el-GR"/>
        </w:rPr>
      </w:pPr>
      <w:r>
        <w:rPr>
          <w:lang w:val="el-GR"/>
        </w:rPr>
        <w:t>Δεν υπάρχει σχετική χρήση του adalimumab σε παιδιά ηλικίας κάτω των 4 ετών, για αυτήν την ένδειξη.</w:t>
      </w:r>
    </w:p>
    <w:p w14:paraId="729F84AC" w14:textId="77777777" w:rsidR="00171824" w:rsidRDefault="00171824">
      <w:pPr>
        <w:pStyle w:val="BodyText"/>
        <w:keepNext/>
        <w:widowControl/>
        <w:kinsoku w:val="0"/>
        <w:overflowPunct w:val="0"/>
        <w:ind w:left="0"/>
        <w:rPr>
          <w:lang w:val="el-GR"/>
        </w:rPr>
      </w:pPr>
    </w:p>
    <w:p w14:paraId="6CB19E23" w14:textId="77777777" w:rsidR="00171824" w:rsidRDefault="006D258C">
      <w:pPr>
        <w:keepNext/>
        <w:keepLines/>
        <w:widowControl/>
        <w:rPr>
          <w:i/>
          <w:sz w:val="22"/>
          <w:lang w:val="el-GR"/>
        </w:rPr>
      </w:pPr>
      <w:r>
        <w:rPr>
          <w:i/>
          <w:sz w:val="22"/>
          <w:szCs w:val="22"/>
          <w:lang w:val="el-GR"/>
        </w:rPr>
        <w:t>΄Εφηβοι με διαπυητική ιδρωταδενίτιδα (από την ηλικία των 12 ετών, βάρους τουλάχιστος 30 kg)</w:t>
      </w:r>
    </w:p>
    <w:p w14:paraId="750C9508" w14:textId="77777777" w:rsidR="00171824" w:rsidRDefault="00171824">
      <w:pPr>
        <w:pStyle w:val="BodyText"/>
        <w:keepNext/>
        <w:keepLines/>
        <w:widowControl/>
        <w:kinsoku w:val="0"/>
        <w:overflowPunct w:val="0"/>
        <w:ind w:left="0"/>
        <w:rPr>
          <w:lang w:val="el-GR"/>
        </w:rPr>
      </w:pPr>
    </w:p>
    <w:p w14:paraId="7EBE3888" w14:textId="77777777" w:rsidR="00171824" w:rsidRDefault="006D258C">
      <w:pPr>
        <w:pStyle w:val="BodyText"/>
        <w:keepNext/>
        <w:keepLines/>
        <w:widowControl/>
        <w:kinsoku w:val="0"/>
        <w:overflowPunct w:val="0"/>
        <w:ind w:left="0"/>
        <w:rPr>
          <w:lang w:val="el-GR"/>
        </w:rPr>
      </w:pPr>
      <w:r>
        <w:rPr>
          <w:lang w:val="el-GR"/>
        </w:rPr>
        <w:t>Δεν υπάρχουν κλινικές μελέτες με adalimumab σε εφήβους ασθενείς με διαπυητική ιδρωταδενίτιδα. Η δοσολογία του AMGEVITA σε αυτούς τους ασθενείς έχει προσδιοριστεί από τη φαρμακοκινητική μοντελοποίηση και προσομοίωση (βλέπε παράγραφο 5.2).</w:t>
      </w:r>
    </w:p>
    <w:p w14:paraId="628BB782" w14:textId="77777777" w:rsidR="00171824" w:rsidRDefault="00171824">
      <w:pPr>
        <w:pStyle w:val="BodyText"/>
        <w:widowControl/>
        <w:kinsoku w:val="0"/>
        <w:overflowPunct w:val="0"/>
        <w:ind w:left="0"/>
        <w:rPr>
          <w:lang w:val="el-GR"/>
        </w:rPr>
      </w:pPr>
    </w:p>
    <w:p w14:paraId="250BEB0B" w14:textId="77777777" w:rsidR="00171824" w:rsidRDefault="006D258C">
      <w:pPr>
        <w:pStyle w:val="BodyText"/>
        <w:widowControl/>
        <w:kinsoku w:val="0"/>
        <w:overflowPunct w:val="0"/>
        <w:ind w:left="0"/>
        <w:rPr>
          <w:lang w:val="el-GR"/>
        </w:rPr>
      </w:pPr>
      <w:r>
        <w:rPr>
          <w:lang w:val="el-GR"/>
        </w:rPr>
        <w:lastRenderedPageBreak/>
        <w:t>Η συνιστώμενη δόση του AMGEVITA είναι 80 mg την εβδομάδα 0 ακολουθούμενη από 40 mg κάθε δεύτερη εβδομάδα ξεκινώντας από την 1η εβδομάδα μέσω υποδόριας ένεσης.</w:t>
      </w:r>
    </w:p>
    <w:p w14:paraId="5544BF4A" w14:textId="77777777" w:rsidR="00171824" w:rsidRDefault="00171824">
      <w:pPr>
        <w:pStyle w:val="BodyText"/>
        <w:widowControl/>
        <w:kinsoku w:val="0"/>
        <w:overflowPunct w:val="0"/>
        <w:ind w:left="0"/>
        <w:rPr>
          <w:lang w:val="el-GR"/>
        </w:rPr>
      </w:pPr>
    </w:p>
    <w:p w14:paraId="496B5FDC" w14:textId="77777777" w:rsidR="00171824" w:rsidRDefault="006D258C">
      <w:pPr>
        <w:pStyle w:val="BodyText"/>
        <w:widowControl/>
        <w:kinsoku w:val="0"/>
        <w:overflowPunct w:val="0"/>
        <w:ind w:left="0"/>
        <w:rPr>
          <w:lang w:val="el-GR"/>
        </w:rPr>
      </w:pPr>
      <w:r>
        <w:rPr>
          <w:lang w:val="el-GR"/>
        </w:rPr>
        <w:t>Σε εφήβους ασθενείς με ανεπαρκή ανταπόκριση στο AMGEVITA 40 mg κάθε δεύτερη εβδομάδα, αύξηση της δόσης έως 40 mg κάθε εβδομάδα ή 80 mg κάθε δεύτερη εβδομάδα.</w:t>
      </w:r>
      <w:r>
        <w:rPr>
          <w:lang w:val="el-GR"/>
        </w:rPr>
        <w:br/>
      </w:r>
    </w:p>
    <w:p w14:paraId="37495CEE" w14:textId="77777777" w:rsidR="00171824" w:rsidRDefault="006D258C">
      <w:pPr>
        <w:pStyle w:val="BodyText"/>
        <w:widowControl/>
        <w:kinsoku w:val="0"/>
        <w:overflowPunct w:val="0"/>
        <w:ind w:left="0"/>
        <w:rPr>
          <w:lang w:val="el-GR"/>
        </w:rPr>
      </w:pPr>
      <w:r>
        <w:rPr>
          <w:lang w:val="el-GR"/>
        </w:rPr>
        <w:t>Τα αντιβιοτικά μπορεί να συνεχιστούν κατά τη διάρκεια της θεραπείας με AMGEVITA εάν είναι απαραίτητο. Συνιστάται ο ασθενής ότι θα πρέπει να χρησιμοποιεί για καθάρισμα ένα τοπικό αντισηπτικό στα μέρη με αλλοιώσεις διαπυητικής ιδρωταδενίτιδας σε καθημερινή βάση κατά τη διάρκεια της θεραπείας με AMGEVITA.</w:t>
      </w:r>
    </w:p>
    <w:p w14:paraId="147EE06B" w14:textId="77777777" w:rsidR="00171824" w:rsidRDefault="00171824">
      <w:pPr>
        <w:pStyle w:val="BodyText"/>
        <w:widowControl/>
        <w:kinsoku w:val="0"/>
        <w:overflowPunct w:val="0"/>
        <w:ind w:left="0"/>
        <w:rPr>
          <w:lang w:val="el-GR"/>
        </w:rPr>
      </w:pPr>
    </w:p>
    <w:p w14:paraId="6274270F" w14:textId="77777777" w:rsidR="00171824" w:rsidRDefault="006D258C">
      <w:pPr>
        <w:pStyle w:val="BodyText"/>
        <w:widowControl/>
        <w:kinsoku w:val="0"/>
        <w:overflowPunct w:val="0"/>
        <w:ind w:left="0"/>
        <w:rPr>
          <w:lang w:val="el-GR"/>
        </w:rPr>
      </w:pPr>
      <w:r>
        <w:rPr>
          <w:lang w:val="el-GR"/>
        </w:rPr>
        <w:t>Η συνέχιση της θεραπείας πέραν των 12 εβδομάδων θα πρέπει να επανεξεταστεί προσεκτικά σε έναν ασθενή που δεν έχει παρουσιάσει βελτίωση σε αυτό το χρονικό διάστημα.</w:t>
      </w:r>
      <w:r>
        <w:rPr>
          <w:lang w:val="el-GR"/>
        </w:rPr>
        <w:br/>
      </w:r>
    </w:p>
    <w:p w14:paraId="1D0B6183" w14:textId="77777777" w:rsidR="00171824" w:rsidRDefault="006D258C">
      <w:pPr>
        <w:pStyle w:val="BodyText"/>
        <w:widowControl/>
        <w:kinsoku w:val="0"/>
        <w:overflowPunct w:val="0"/>
        <w:ind w:left="0"/>
        <w:rPr>
          <w:lang w:val="el-GR"/>
        </w:rPr>
      </w:pPr>
      <w:r>
        <w:rPr>
          <w:lang w:val="el-GR"/>
        </w:rPr>
        <w:t>Σε περίπτωση διακοπής της θεραπείας, το AMGEVITA μπορεί να εισαχθεί εκ νέου ανάλογα με την περίπτωση.</w:t>
      </w:r>
    </w:p>
    <w:p w14:paraId="58A8AA1E" w14:textId="77777777" w:rsidR="00171824" w:rsidRDefault="00171824">
      <w:pPr>
        <w:widowControl/>
        <w:kinsoku w:val="0"/>
        <w:overflowPunct w:val="0"/>
        <w:rPr>
          <w:i/>
          <w:iCs/>
          <w:sz w:val="22"/>
          <w:szCs w:val="22"/>
          <w:lang w:val="el-GR"/>
        </w:rPr>
      </w:pPr>
    </w:p>
    <w:p w14:paraId="59931E55" w14:textId="77777777" w:rsidR="00171824" w:rsidRDefault="006D258C">
      <w:pPr>
        <w:pStyle w:val="BodyText"/>
        <w:widowControl/>
        <w:kinsoku w:val="0"/>
        <w:overflowPunct w:val="0"/>
        <w:ind w:left="0"/>
        <w:rPr>
          <w:lang w:val="el-GR"/>
        </w:rPr>
      </w:pPr>
      <w:r>
        <w:rPr>
          <w:lang w:val="el-GR"/>
        </w:rPr>
        <w:t>Το όφελος και ο κίνδυνος συνεχούς μακροχρόνιας θεραπείας θα πρέπει να αξιολογείται περιοδικά (βλέπε στοιχεία για ενήλικες στην παράγραφο 5.1).</w:t>
      </w:r>
      <w:r>
        <w:rPr>
          <w:lang w:val="el-GR"/>
        </w:rPr>
        <w:br/>
      </w:r>
    </w:p>
    <w:p w14:paraId="7BFF901F" w14:textId="77777777" w:rsidR="00171824" w:rsidRDefault="006D258C">
      <w:pPr>
        <w:pStyle w:val="BodyText"/>
        <w:widowControl/>
        <w:kinsoku w:val="0"/>
        <w:overflowPunct w:val="0"/>
        <w:ind w:left="0"/>
        <w:rPr>
          <w:lang w:val="el-GR"/>
        </w:rPr>
      </w:pPr>
      <w:r>
        <w:rPr>
          <w:lang w:val="el-GR"/>
        </w:rPr>
        <w:t>Δεν υπάρχει σχετική χρήση του AMGEVITA σε παιδιά ηλικίας κάτω των 12 ετών σε αυτή την ένδειξη.</w:t>
      </w:r>
    </w:p>
    <w:p w14:paraId="1648EF06" w14:textId="77777777" w:rsidR="00171824" w:rsidRDefault="00171824">
      <w:pPr>
        <w:widowControl/>
        <w:kinsoku w:val="0"/>
        <w:overflowPunct w:val="0"/>
        <w:rPr>
          <w:i/>
          <w:iCs/>
          <w:sz w:val="22"/>
          <w:szCs w:val="22"/>
          <w:lang w:val="el-GR"/>
        </w:rPr>
      </w:pPr>
    </w:p>
    <w:p w14:paraId="0706731A" w14:textId="77777777" w:rsidR="00171824" w:rsidRDefault="006D258C">
      <w:pPr>
        <w:widowControl/>
        <w:kinsoku w:val="0"/>
        <w:overflowPunct w:val="0"/>
        <w:rPr>
          <w:sz w:val="22"/>
          <w:szCs w:val="22"/>
          <w:lang w:val="el-GR"/>
        </w:rPr>
      </w:pPr>
      <w:r>
        <w:rPr>
          <w:i/>
          <w:iCs/>
          <w:sz w:val="22"/>
          <w:szCs w:val="22"/>
          <w:lang w:val="el-GR"/>
        </w:rPr>
        <w:t xml:space="preserve">Παδιατρική νόσος του Crohn </w:t>
      </w:r>
    </w:p>
    <w:p w14:paraId="1D7A6F95" w14:textId="77777777" w:rsidR="00171824" w:rsidRDefault="00171824">
      <w:pPr>
        <w:widowControl/>
        <w:kinsoku w:val="0"/>
        <w:overflowPunct w:val="0"/>
        <w:rPr>
          <w:sz w:val="22"/>
          <w:szCs w:val="22"/>
          <w:lang w:val="el-GR"/>
        </w:rPr>
      </w:pPr>
    </w:p>
    <w:p w14:paraId="7D177760" w14:textId="77777777" w:rsidR="00171824" w:rsidRDefault="006D258C">
      <w:pPr>
        <w:pStyle w:val="BodyText"/>
        <w:widowControl/>
        <w:kinsoku w:val="0"/>
        <w:overflowPunct w:val="0"/>
        <w:ind w:left="0"/>
        <w:rPr>
          <w:lang w:val="el-GR"/>
        </w:rPr>
      </w:pPr>
      <w:r>
        <w:rPr>
          <w:lang w:val="el-GR"/>
        </w:rPr>
        <w:t xml:space="preserve">Η συνιστώμενη δόση για το AMGEVITA σε ασθενείς με νόσο του Crohn ηλικίας από 6 έως 17 ετών βασίζεται στο σωματικό βάρος (πίνακας 4). Το AMGEVITA χορηγείται μέσω υποδόριας ένεσης. </w:t>
      </w:r>
    </w:p>
    <w:p w14:paraId="084B8C53" w14:textId="77777777" w:rsidR="00171824" w:rsidRDefault="00171824">
      <w:pPr>
        <w:pStyle w:val="BodyText"/>
        <w:widowControl/>
        <w:kinsoku w:val="0"/>
        <w:overflowPunct w:val="0"/>
        <w:ind w:left="0"/>
        <w:rPr>
          <w:lang w:val="el-GR"/>
        </w:rPr>
      </w:pPr>
    </w:p>
    <w:p w14:paraId="5552F5BD" w14:textId="77777777" w:rsidR="00171824" w:rsidRDefault="006D258C">
      <w:pPr>
        <w:keepNext/>
        <w:suppressAutoHyphens/>
        <w:rPr>
          <w:b/>
          <w:sz w:val="22"/>
          <w:szCs w:val="22"/>
          <w:lang w:val="el-GR"/>
        </w:rPr>
      </w:pPr>
      <w:bookmarkStart w:id="0" w:name="_Hlk530408073"/>
      <w:r>
        <w:rPr>
          <w:b/>
          <w:sz w:val="22"/>
          <w:szCs w:val="22"/>
          <w:lang w:val="el-GR"/>
        </w:rPr>
        <w:t>Πίνακας 4. Δόση AMGEVITA για</w:t>
      </w:r>
      <w:r>
        <w:rPr>
          <w:b/>
          <w:iCs/>
          <w:sz w:val="22"/>
          <w:szCs w:val="22"/>
          <w:lang w:val="el-GR"/>
        </w:rPr>
        <w:t xml:space="preserve"> παιδιατρικούς ασθενείς</w:t>
      </w:r>
      <w:r>
        <w:rPr>
          <w:b/>
          <w:sz w:val="22"/>
          <w:szCs w:val="22"/>
          <w:lang w:val="el-GR"/>
        </w:rPr>
        <w:t xml:space="preserve"> με </w:t>
      </w:r>
      <w:r>
        <w:rPr>
          <w:b/>
          <w:iCs/>
          <w:sz w:val="22"/>
          <w:szCs w:val="22"/>
          <w:lang w:val="el-GR"/>
        </w:rPr>
        <w:t>Νόσο του Crohn</w:t>
      </w:r>
      <w:r>
        <w:rPr>
          <w:b/>
          <w:sz w:val="22"/>
          <w:szCs w:val="22"/>
          <w:lang w:val="el-GR"/>
        </w:rPr>
        <w:t xml:space="preserve"> </w:t>
      </w:r>
    </w:p>
    <w:p w14:paraId="6AAA263B" w14:textId="77777777" w:rsidR="00171824" w:rsidRDefault="00171824">
      <w:pPr>
        <w:pStyle w:val="BodyText"/>
        <w:widowControl/>
        <w:kinsoku w:val="0"/>
        <w:overflowPunct w:val="0"/>
        <w:ind w:left="0"/>
        <w:rPr>
          <w:lang w:val="el-GR"/>
        </w:rPr>
      </w:pP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034"/>
        <w:gridCol w:w="6431"/>
        <w:gridCol w:w="1590"/>
      </w:tblGrid>
      <w:tr w:rsidR="00171824" w:rsidRPr="00422380" w14:paraId="1AA05968"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1C8985B8" w14:textId="77777777" w:rsidR="00171824" w:rsidRDefault="006D258C">
            <w:pPr>
              <w:suppressAutoHyphens/>
              <w:rPr>
                <w:sz w:val="22"/>
                <w:szCs w:val="22"/>
                <w:lang w:val="el-GR"/>
              </w:rPr>
            </w:pPr>
            <w:r>
              <w:rPr>
                <w:b/>
                <w:sz w:val="22"/>
                <w:szCs w:val="22"/>
                <w:lang w:val="el-GR"/>
              </w:rPr>
              <w:t>Βάρος ασθενούς</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62DBA6FA" w14:textId="77777777" w:rsidR="00171824" w:rsidRDefault="006D258C">
            <w:pPr>
              <w:suppressAutoHyphens/>
              <w:rPr>
                <w:sz w:val="22"/>
                <w:szCs w:val="22"/>
                <w:lang w:val="el-GR"/>
              </w:rPr>
            </w:pPr>
            <w:r>
              <w:rPr>
                <w:b/>
                <w:sz w:val="22"/>
                <w:szCs w:val="22"/>
                <w:lang w:val="el-GR"/>
              </w:rPr>
              <w:t>Δόση επαγωγής</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1FA1BB6F" w14:textId="77777777" w:rsidR="00171824" w:rsidRDefault="006D258C">
            <w:pPr>
              <w:suppressAutoHyphens/>
              <w:rPr>
                <w:sz w:val="22"/>
                <w:szCs w:val="22"/>
                <w:lang w:val="el-GR"/>
              </w:rPr>
            </w:pPr>
            <w:r>
              <w:rPr>
                <w:b/>
                <w:sz w:val="22"/>
                <w:szCs w:val="22"/>
                <w:lang w:val="el-GR"/>
              </w:rPr>
              <w:t>Δόση συντήρησης</w:t>
            </w:r>
            <w:r>
              <w:rPr>
                <w:b/>
                <w:sz w:val="22"/>
                <w:szCs w:val="22"/>
                <w:lang w:val="el-GR"/>
              </w:rPr>
              <w:br/>
              <w:t>ξεκινώντας από την 4η εβδομάδα</w:t>
            </w:r>
          </w:p>
        </w:tc>
      </w:tr>
      <w:tr w:rsidR="00171824" w14:paraId="3834AADC" w14:textId="77777777">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1492BA95" w14:textId="77777777" w:rsidR="00171824" w:rsidRDefault="006D258C">
            <w:pPr>
              <w:suppressAutoHyphens/>
              <w:jc w:val="center"/>
              <w:rPr>
                <w:sz w:val="22"/>
                <w:szCs w:val="22"/>
                <w:lang w:val="el-GR"/>
              </w:rPr>
            </w:pPr>
            <w:r>
              <w:rPr>
                <w:sz w:val="22"/>
                <w:szCs w:val="22"/>
                <w:lang w:val="el-GR"/>
              </w:rPr>
              <w:t>&lt; 40 kg</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C0CAAC3" w14:textId="77777777" w:rsidR="00171824" w:rsidRDefault="006D258C">
            <w:pPr>
              <w:widowControl/>
              <w:numPr>
                <w:ilvl w:val="0"/>
                <w:numId w:val="5"/>
              </w:numPr>
              <w:tabs>
                <w:tab w:val="left" w:pos="720"/>
              </w:tabs>
              <w:suppressAutoHyphens/>
              <w:autoSpaceDE/>
              <w:autoSpaceDN/>
              <w:adjustRightInd/>
              <w:ind w:left="307" w:hanging="180"/>
              <w:rPr>
                <w:sz w:val="22"/>
                <w:szCs w:val="22"/>
                <w:lang w:val="el-GR"/>
              </w:rPr>
            </w:pPr>
            <w:r>
              <w:rPr>
                <w:sz w:val="22"/>
                <w:szCs w:val="22"/>
                <w:lang w:val="el-GR"/>
              </w:rPr>
              <w:t>40 mg την εβδομάδα 0 και 20 mg την εβδομάδα 2</w:t>
            </w:r>
          </w:p>
          <w:p w14:paraId="6CFFE35D" w14:textId="77777777" w:rsidR="00171824" w:rsidRDefault="00171824">
            <w:pPr>
              <w:tabs>
                <w:tab w:val="left" w:pos="720"/>
              </w:tabs>
              <w:ind w:left="337"/>
              <w:rPr>
                <w:sz w:val="22"/>
                <w:szCs w:val="22"/>
                <w:lang w:val="el-GR"/>
              </w:rPr>
            </w:pPr>
          </w:p>
          <w:p w14:paraId="2FC24F89" w14:textId="77777777" w:rsidR="00171824" w:rsidRDefault="006D258C">
            <w:pPr>
              <w:widowControl/>
              <w:tabs>
                <w:tab w:val="left" w:pos="720"/>
              </w:tabs>
              <w:suppressAutoHyphens/>
              <w:autoSpaceDE/>
              <w:autoSpaceDN/>
              <w:adjustRightInd/>
              <w:ind w:left="307"/>
              <w:rPr>
                <w:iCs/>
                <w:sz w:val="22"/>
                <w:szCs w:val="22"/>
                <w:lang w:val="el-GR"/>
              </w:rPr>
            </w:pPr>
            <w:r>
              <w:rPr>
                <w:sz w:val="22"/>
                <w:szCs w:val="22"/>
                <w:lang w:val="el-GR"/>
              </w:rPr>
              <w:t>Στην περίπτωση που υπάρχει ανάγκη για μια ταχύτερη ανταπόκριση στη θεραπεία, γνωρίζοντας ότι ο κίνδυνος εκδήλωσης ανεπιθύμητων ενεργειών μπορεί να είναι μεγαλύτερος με τη χρήση μεγαλύτερης αρχικής δόσης, μπορεί να χρησιμοποιηθεί η παρακάτω δόση:</w:t>
            </w:r>
          </w:p>
          <w:p w14:paraId="4C721236" w14:textId="77777777" w:rsidR="00171824" w:rsidRDefault="006D258C">
            <w:pPr>
              <w:widowControl/>
              <w:numPr>
                <w:ilvl w:val="0"/>
                <w:numId w:val="6"/>
              </w:numPr>
              <w:tabs>
                <w:tab w:val="left" w:pos="720"/>
              </w:tabs>
              <w:suppressAutoHyphens/>
              <w:autoSpaceDE/>
              <w:autoSpaceDN/>
              <w:adjustRightInd/>
              <w:ind w:left="307" w:hanging="180"/>
              <w:rPr>
                <w:iCs/>
                <w:sz w:val="22"/>
                <w:szCs w:val="22"/>
                <w:lang w:val="el-GR"/>
              </w:rPr>
            </w:pPr>
            <w:r>
              <w:rPr>
                <w:sz w:val="22"/>
                <w:szCs w:val="22"/>
                <w:lang w:val="el-GR"/>
              </w:rPr>
              <w:t>80 mg την εβδομάδα 0 and 40 mg την εβδομάδα 2</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4F317A7B" w14:textId="77777777" w:rsidR="00171824" w:rsidRDefault="006D258C">
            <w:pPr>
              <w:tabs>
                <w:tab w:val="left" w:pos="720"/>
              </w:tabs>
              <w:ind w:left="16"/>
              <w:jc w:val="center"/>
              <w:rPr>
                <w:sz w:val="22"/>
                <w:szCs w:val="22"/>
                <w:lang w:val="el-GR"/>
              </w:rPr>
            </w:pPr>
            <w:r>
              <w:rPr>
                <w:sz w:val="22"/>
                <w:szCs w:val="22"/>
                <w:lang w:val="el-GR"/>
              </w:rPr>
              <w:t>20 mg</w:t>
            </w:r>
            <w:r>
              <w:rPr>
                <w:rFonts w:eastAsia="Calibri"/>
                <w:sz w:val="22"/>
                <w:szCs w:val="22"/>
                <w:lang w:val="el-GR" w:eastAsia="ja-JP"/>
              </w:rPr>
              <w:t xml:space="preserve"> κάθε δεύτερη εβδομάδα</w:t>
            </w:r>
          </w:p>
        </w:tc>
      </w:tr>
      <w:bookmarkEnd w:id="0"/>
      <w:tr w:rsidR="00171824" w14:paraId="4492BF65" w14:textId="77777777">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78B7C28" w14:textId="77777777" w:rsidR="00171824" w:rsidRDefault="006D258C">
            <w:pPr>
              <w:keepNext/>
              <w:widowControl/>
              <w:suppressAutoHyphens/>
              <w:jc w:val="center"/>
              <w:rPr>
                <w:sz w:val="22"/>
                <w:szCs w:val="22"/>
                <w:lang w:val="el-GR"/>
              </w:rPr>
            </w:pPr>
            <w:r>
              <w:rPr>
                <w:sz w:val="22"/>
                <w:szCs w:val="22"/>
                <w:lang w:val="el-GR"/>
              </w:rPr>
              <w:t>≥ 40 kg</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1D26FA40" w14:textId="77777777" w:rsidR="00171824" w:rsidRDefault="006D258C">
            <w:pPr>
              <w:keepNext/>
              <w:widowControl/>
              <w:numPr>
                <w:ilvl w:val="0"/>
                <w:numId w:val="7"/>
              </w:numPr>
              <w:tabs>
                <w:tab w:val="left" w:pos="720"/>
              </w:tabs>
              <w:suppressAutoHyphens/>
              <w:autoSpaceDE/>
              <w:autoSpaceDN/>
              <w:adjustRightInd/>
              <w:ind w:left="307" w:hanging="175"/>
              <w:rPr>
                <w:sz w:val="22"/>
                <w:szCs w:val="22"/>
                <w:lang w:val="el-GR"/>
              </w:rPr>
            </w:pPr>
            <w:r>
              <w:rPr>
                <w:sz w:val="22"/>
                <w:szCs w:val="22"/>
                <w:lang w:val="el-GR"/>
              </w:rPr>
              <w:t>80 mg την εβδομάδα 0 and 40 mg την εβδομάδα 2</w:t>
            </w:r>
          </w:p>
          <w:p w14:paraId="7B5B3C6B" w14:textId="77777777" w:rsidR="00171824" w:rsidRDefault="00171824">
            <w:pPr>
              <w:keepNext/>
              <w:widowControl/>
              <w:tabs>
                <w:tab w:val="left" w:pos="720"/>
              </w:tabs>
              <w:rPr>
                <w:sz w:val="22"/>
                <w:szCs w:val="22"/>
                <w:lang w:val="el-GR"/>
              </w:rPr>
            </w:pPr>
          </w:p>
          <w:p w14:paraId="7629C689" w14:textId="77777777" w:rsidR="00171824" w:rsidRDefault="006D258C">
            <w:pPr>
              <w:keepNext/>
              <w:widowControl/>
              <w:tabs>
                <w:tab w:val="left" w:pos="720"/>
              </w:tabs>
              <w:suppressAutoHyphens/>
              <w:autoSpaceDE/>
              <w:autoSpaceDN/>
              <w:adjustRightInd/>
              <w:ind w:left="307"/>
              <w:rPr>
                <w:iCs/>
                <w:sz w:val="22"/>
                <w:szCs w:val="22"/>
                <w:lang w:val="el-GR"/>
              </w:rPr>
            </w:pPr>
            <w:r>
              <w:rPr>
                <w:sz w:val="22"/>
                <w:szCs w:val="22"/>
                <w:lang w:val="el-GR"/>
              </w:rPr>
              <w:t>Στην περίπτωση που υπάρχει ανάγκη για ταχύτερη ανταπόκριση στη θεραπεία, γνωρίζοντας ότι ο κίνδυνος εκδήλωσης ανεπιθύμητων ενεργειών μπορεί να είναι μεγαλύτερος με τη χρήση της μεγαλύτερης αρχικής δόσης, μπορεί να χρησιμοποιηθεί η παρακάτω δόση</w:t>
            </w:r>
            <w:r>
              <w:rPr>
                <w:iCs/>
                <w:sz w:val="22"/>
                <w:szCs w:val="22"/>
                <w:lang w:val="el-GR"/>
              </w:rPr>
              <w:t>:</w:t>
            </w:r>
          </w:p>
          <w:p w14:paraId="3BB264BD" w14:textId="77777777" w:rsidR="00171824" w:rsidRDefault="006D258C">
            <w:pPr>
              <w:keepNext/>
              <w:widowControl/>
              <w:numPr>
                <w:ilvl w:val="0"/>
                <w:numId w:val="8"/>
              </w:numPr>
              <w:tabs>
                <w:tab w:val="left" w:pos="720"/>
              </w:tabs>
              <w:suppressAutoHyphens/>
              <w:autoSpaceDE/>
              <w:autoSpaceDN/>
              <w:adjustRightInd/>
              <w:ind w:left="314" w:hanging="187"/>
              <w:rPr>
                <w:sz w:val="22"/>
                <w:szCs w:val="22"/>
                <w:lang w:val="el-GR"/>
              </w:rPr>
            </w:pPr>
            <w:r>
              <w:rPr>
                <w:sz w:val="22"/>
                <w:szCs w:val="22"/>
                <w:lang w:val="el-GR"/>
              </w:rPr>
              <w:t>160 mg την εβδομάδα 0 και 80 mg την εβδομάδα 2</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45CF80F3" w14:textId="77777777" w:rsidR="00171824" w:rsidRDefault="006D258C">
            <w:pPr>
              <w:keepNext/>
              <w:widowControl/>
              <w:tabs>
                <w:tab w:val="left" w:pos="720"/>
              </w:tabs>
              <w:ind w:left="16"/>
              <w:jc w:val="center"/>
              <w:rPr>
                <w:sz w:val="22"/>
                <w:szCs w:val="22"/>
                <w:lang w:val="el-GR"/>
              </w:rPr>
            </w:pPr>
            <w:r>
              <w:rPr>
                <w:sz w:val="22"/>
                <w:szCs w:val="22"/>
                <w:lang w:val="el-GR"/>
              </w:rPr>
              <w:t xml:space="preserve">40 mg </w:t>
            </w:r>
            <w:r>
              <w:rPr>
                <w:rFonts w:eastAsia="Calibri"/>
                <w:sz w:val="22"/>
                <w:szCs w:val="22"/>
                <w:lang w:val="el-GR" w:eastAsia="ja-JP"/>
              </w:rPr>
              <w:t>κάθε δεύτερη εβδομάδα</w:t>
            </w:r>
          </w:p>
        </w:tc>
      </w:tr>
    </w:tbl>
    <w:p w14:paraId="4CC56CB8" w14:textId="77777777" w:rsidR="00171824" w:rsidRDefault="00171824">
      <w:pPr>
        <w:pStyle w:val="BodyText"/>
        <w:widowControl/>
        <w:kinsoku w:val="0"/>
        <w:overflowPunct w:val="0"/>
        <w:ind w:left="0"/>
        <w:rPr>
          <w:lang w:val="el-GR"/>
        </w:rPr>
      </w:pPr>
    </w:p>
    <w:p w14:paraId="4CE89F51" w14:textId="77777777" w:rsidR="00171824" w:rsidRDefault="006D258C">
      <w:pPr>
        <w:pStyle w:val="BodyText"/>
        <w:widowControl/>
        <w:kinsoku w:val="0"/>
        <w:overflowPunct w:val="0"/>
        <w:ind w:left="0"/>
        <w:rPr>
          <w:lang w:val="el-GR"/>
        </w:rPr>
      </w:pPr>
      <w:r>
        <w:rPr>
          <w:lang w:val="el-GR"/>
        </w:rPr>
        <w:t>Ασθενείς που εμφανίζουν μειωμένη κλινική ανταπόκριση είναι πιθανό να ωφεληθούν από την αύξηση της δόσης:</w:t>
      </w:r>
    </w:p>
    <w:p w14:paraId="1334C36A" w14:textId="77777777" w:rsidR="00171824" w:rsidRDefault="006D258C">
      <w:pPr>
        <w:pStyle w:val="BodyText"/>
        <w:widowControl/>
        <w:numPr>
          <w:ilvl w:val="0"/>
          <w:numId w:val="9"/>
        </w:numPr>
        <w:kinsoku w:val="0"/>
        <w:overflowPunct w:val="0"/>
        <w:ind w:left="567" w:hanging="567"/>
        <w:rPr>
          <w:lang w:val="el-GR"/>
        </w:rPr>
      </w:pPr>
      <w:r>
        <w:rPr>
          <w:szCs w:val="24"/>
          <w:lang w:val="el-GR"/>
        </w:rPr>
        <w:t>&lt; 40 kg: 20 mg</w:t>
      </w:r>
      <w:r>
        <w:rPr>
          <w:lang w:val="el-GR"/>
        </w:rPr>
        <w:t xml:space="preserve"> κάθε εβδομάδα</w:t>
      </w:r>
    </w:p>
    <w:p w14:paraId="6A397CF1" w14:textId="77777777" w:rsidR="00171824" w:rsidRDefault="006D258C">
      <w:pPr>
        <w:pStyle w:val="BodyText"/>
        <w:widowControl/>
        <w:numPr>
          <w:ilvl w:val="0"/>
          <w:numId w:val="9"/>
        </w:numPr>
        <w:kinsoku w:val="0"/>
        <w:overflowPunct w:val="0"/>
        <w:ind w:left="567" w:hanging="567"/>
        <w:rPr>
          <w:lang w:val="el-GR"/>
        </w:rPr>
      </w:pPr>
      <w:r>
        <w:rPr>
          <w:szCs w:val="24"/>
          <w:lang w:val="el-GR"/>
        </w:rPr>
        <w:t>≥ 40 kg: 40 mg</w:t>
      </w:r>
      <w:r>
        <w:rPr>
          <w:lang w:val="el-GR"/>
        </w:rPr>
        <w:t xml:space="preserve"> κάθε εβδομάδα ή 80 mg κάθε δεύτερη εβδομάδα.</w:t>
      </w:r>
    </w:p>
    <w:p w14:paraId="3A7B15AC" w14:textId="77777777" w:rsidR="00171824" w:rsidRDefault="00171824">
      <w:pPr>
        <w:widowControl/>
        <w:kinsoku w:val="0"/>
        <w:overflowPunct w:val="0"/>
        <w:rPr>
          <w:sz w:val="22"/>
          <w:szCs w:val="22"/>
          <w:lang w:val="el-GR"/>
        </w:rPr>
      </w:pPr>
    </w:p>
    <w:p w14:paraId="1EFB4572" w14:textId="77777777" w:rsidR="00171824" w:rsidRDefault="006D258C">
      <w:pPr>
        <w:pStyle w:val="BodyText"/>
        <w:widowControl/>
        <w:kinsoku w:val="0"/>
        <w:overflowPunct w:val="0"/>
        <w:ind w:left="0"/>
        <w:rPr>
          <w:lang w:val="el-GR"/>
        </w:rPr>
      </w:pPr>
      <w:r>
        <w:rPr>
          <w:lang w:val="el-GR"/>
        </w:rPr>
        <w:lastRenderedPageBreak/>
        <w:t>Η συνέχιση της θεραπείας σε έναν ασθενή που δεν έχει ανταποκριθεί μέχρι την εβδομάδα 12 πρέπει να επαναξιολογείται προσεκτικά.</w:t>
      </w:r>
    </w:p>
    <w:p w14:paraId="28A3F7B7" w14:textId="77777777" w:rsidR="00171824" w:rsidRDefault="00171824">
      <w:pPr>
        <w:widowControl/>
        <w:kinsoku w:val="0"/>
        <w:overflowPunct w:val="0"/>
        <w:rPr>
          <w:sz w:val="22"/>
          <w:szCs w:val="22"/>
          <w:lang w:val="el-GR"/>
        </w:rPr>
      </w:pPr>
    </w:p>
    <w:p w14:paraId="3562DE07" w14:textId="77777777" w:rsidR="00171824" w:rsidRDefault="006D258C">
      <w:pPr>
        <w:pStyle w:val="BodyText"/>
        <w:widowControl/>
        <w:kinsoku w:val="0"/>
        <w:overflowPunct w:val="0"/>
        <w:ind w:left="0"/>
        <w:rPr>
          <w:lang w:val="el-GR"/>
        </w:rPr>
      </w:pPr>
      <w:r>
        <w:rPr>
          <w:lang w:val="el-GR"/>
        </w:rPr>
        <w:t>Δεν υπάρχει σχετική χρήση του adalimumab σε παιδιά ηλικίας κάτω των 6 ετών για αυτή την ένδειξη.</w:t>
      </w:r>
    </w:p>
    <w:p w14:paraId="2CEC9560" w14:textId="77777777" w:rsidR="00171824" w:rsidRDefault="00171824">
      <w:pPr>
        <w:pStyle w:val="BodyText"/>
        <w:widowControl/>
        <w:kinsoku w:val="0"/>
        <w:overflowPunct w:val="0"/>
        <w:ind w:left="0"/>
        <w:rPr>
          <w:lang w:val="el-GR"/>
        </w:rPr>
      </w:pPr>
    </w:p>
    <w:p w14:paraId="0B2B4DC2" w14:textId="77777777" w:rsidR="00171824" w:rsidRDefault="006D258C">
      <w:pPr>
        <w:widowControl/>
        <w:rPr>
          <w:i/>
          <w:iCs/>
          <w:color w:val="000000"/>
          <w:sz w:val="22"/>
          <w:szCs w:val="22"/>
          <w:lang w:val="el-GR" w:eastAsia="ja-JP"/>
        </w:rPr>
      </w:pPr>
      <w:r>
        <w:rPr>
          <w:i/>
          <w:iCs/>
          <w:color w:val="000000"/>
          <w:sz w:val="22"/>
          <w:szCs w:val="22"/>
          <w:lang w:val="el-GR" w:eastAsia="ja-JP"/>
        </w:rPr>
        <w:t xml:space="preserve">Παιδιατρική ελκώδης κολίτιδα </w:t>
      </w:r>
    </w:p>
    <w:p w14:paraId="1752C2B4" w14:textId="77777777" w:rsidR="00171824" w:rsidRDefault="00171824">
      <w:pPr>
        <w:widowControl/>
        <w:rPr>
          <w:color w:val="000000"/>
          <w:sz w:val="22"/>
          <w:szCs w:val="22"/>
          <w:lang w:val="el-GR" w:eastAsia="ja-JP"/>
        </w:rPr>
      </w:pPr>
    </w:p>
    <w:p w14:paraId="5D0421D8" w14:textId="77777777" w:rsidR="00171824" w:rsidRDefault="006D258C">
      <w:pPr>
        <w:pStyle w:val="BodyText"/>
        <w:widowControl/>
        <w:kinsoku w:val="0"/>
        <w:overflowPunct w:val="0"/>
        <w:ind w:left="0"/>
        <w:rPr>
          <w:color w:val="000000"/>
          <w:lang w:val="el-GR" w:eastAsia="ja-JP"/>
        </w:rPr>
      </w:pPr>
      <w:r>
        <w:rPr>
          <w:color w:val="000000"/>
          <w:lang w:val="el-GR" w:eastAsia="ja-JP"/>
        </w:rPr>
        <w:t xml:space="preserve">Η συνιστώμενη δόση του </w:t>
      </w:r>
      <w:r>
        <w:rPr>
          <w:lang w:val="el-GR"/>
        </w:rPr>
        <w:t>AMGEVITA</w:t>
      </w:r>
      <w:r>
        <w:rPr>
          <w:color w:val="000000"/>
          <w:lang w:val="el-GR" w:eastAsia="ja-JP"/>
        </w:rPr>
        <w:t xml:space="preserve"> για ασθενείς από 6 έως 17 ετών με ελκώδη κολίτιδα επιλέγεται βάσει του βάρους σώματος του ασθενούς (Πίνακας 5). Το </w:t>
      </w:r>
      <w:r>
        <w:rPr>
          <w:lang w:val="el-GR"/>
        </w:rPr>
        <w:t>AMGEVITA</w:t>
      </w:r>
      <w:r>
        <w:rPr>
          <w:color w:val="000000"/>
          <w:lang w:val="el-GR" w:eastAsia="ja-JP"/>
        </w:rPr>
        <w:t xml:space="preserve"> χορηγείται μέσω υποδόριας ένεσης.</w:t>
      </w:r>
    </w:p>
    <w:p w14:paraId="02934CFD" w14:textId="77777777" w:rsidR="00171824" w:rsidRDefault="00171824">
      <w:pPr>
        <w:pStyle w:val="BodyText"/>
        <w:widowControl/>
        <w:kinsoku w:val="0"/>
        <w:overflowPunct w:val="0"/>
        <w:ind w:left="0"/>
        <w:rPr>
          <w:lang w:val="el-GR"/>
        </w:rPr>
      </w:pPr>
    </w:p>
    <w:p w14:paraId="67FD4081" w14:textId="77777777" w:rsidR="00171824" w:rsidRDefault="006D258C">
      <w:pPr>
        <w:pStyle w:val="BodyText"/>
        <w:widowControl/>
        <w:kinsoku w:val="0"/>
        <w:overflowPunct w:val="0"/>
        <w:ind w:left="0"/>
        <w:rPr>
          <w:b/>
          <w:bCs/>
          <w:lang w:val="el-GR"/>
        </w:rPr>
      </w:pPr>
      <w:r>
        <w:rPr>
          <w:b/>
          <w:bCs/>
          <w:lang w:val="el-GR"/>
        </w:rPr>
        <w:t>Πίνακας 5. Δόση AMGEVITA για παιδιατρικούς ασθενείς με ελκώδη κολίτιδα</w:t>
      </w:r>
    </w:p>
    <w:p w14:paraId="79A0705A" w14:textId="77777777" w:rsidR="00171824" w:rsidRDefault="00171824">
      <w:pPr>
        <w:pStyle w:val="BodyText"/>
        <w:widowControl/>
        <w:kinsoku w:val="0"/>
        <w:overflowPunct w:val="0"/>
        <w:ind w:left="0"/>
        <w:rPr>
          <w:b/>
          <w:bCs/>
          <w:lang w:val="el-GR"/>
        </w:rPr>
      </w:pPr>
    </w:p>
    <w:tbl>
      <w:tblPr>
        <w:tblW w:w="4884" w:type="pct"/>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797"/>
        <w:gridCol w:w="4009"/>
        <w:gridCol w:w="3039"/>
      </w:tblGrid>
      <w:tr w:rsidR="00171824" w:rsidRPr="00422380" w14:paraId="7DF635E8" w14:textId="77777777">
        <w:trPr>
          <w:cantSplit/>
          <w:trHeight w:val="121"/>
        </w:trPr>
        <w:tc>
          <w:tcPr>
            <w:tcW w:w="1016" w:type="pct"/>
            <w:tcBorders>
              <w:top w:val="single" w:sz="6" w:space="0" w:color="000000"/>
              <w:left w:val="single" w:sz="6" w:space="0" w:color="000000"/>
              <w:bottom w:val="single" w:sz="6" w:space="0" w:color="000000"/>
              <w:right w:val="single" w:sz="6" w:space="0" w:color="000000"/>
            </w:tcBorders>
            <w:vAlign w:val="center"/>
          </w:tcPr>
          <w:p w14:paraId="1B031539" w14:textId="77777777" w:rsidR="00171824" w:rsidRDefault="006D258C">
            <w:pPr>
              <w:keepNext/>
              <w:rPr>
                <w:b/>
                <w:sz w:val="22"/>
                <w:lang w:val="el-GR"/>
              </w:rPr>
            </w:pPr>
            <w:r>
              <w:rPr>
                <w:b/>
                <w:sz w:val="22"/>
                <w:lang w:val="el-GR"/>
              </w:rPr>
              <w:t>Βάρος  ασθενούς</w:t>
            </w:r>
          </w:p>
        </w:tc>
        <w:tc>
          <w:tcPr>
            <w:tcW w:w="2266" w:type="pct"/>
            <w:tcBorders>
              <w:top w:val="single" w:sz="6" w:space="0" w:color="000000"/>
              <w:left w:val="single" w:sz="6" w:space="0" w:color="000000"/>
              <w:bottom w:val="single" w:sz="6" w:space="0" w:color="000000"/>
              <w:right w:val="single" w:sz="6" w:space="0" w:color="000000"/>
            </w:tcBorders>
            <w:vAlign w:val="center"/>
          </w:tcPr>
          <w:p w14:paraId="6051EE2B" w14:textId="77777777" w:rsidR="00171824" w:rsidRDefault="006D258C">
            <w:pPr>
              <w:keepNext/>
              <w:rPr>
                <w:b/>
                <w:sz w:val="22"/>
                <w:lang w:val="el-GR"/>
              </w:rPr>
            </w:pPr>
            <w:r>
              <w:rPr>
                <w:b/>
                <w:sz w:val="22"/>
                <w:lang w:val="el-GR"/>
              </w:rPr>
              <w:t>Δόση επαγωγής</w:t>
            </w:r>
          </w:p>
        </w:tc>
        <w:tc>
          <w:tcPr>
            <w:tcW w:w="1718" w:type="pct"/>
            <w:tcBorders>
              <w:top w:val="single" w:sz="6" w:space="0" w:color="000000"/>
              <w:left w:val="single" w:sz="6" w:space="0" w:color="000000"/>
              <w:bottom w:val="single" w:sz="6" w:space="0" w:color="000000"/>
              <w:right w:val="single" w:sz="6" w:space="0" w:color="000000"/>
            </w:tcBorders>
          </w:tcPr>
          <w:p w14:paraId="422AC5E2" w14:textId="77777777" w:rsidR="00171824" w:rsidRDefault="006D258C">
            <w:pPr>
              <w:keepNext/>
              <w:rPr>
                <w:b/>
                <w:sz w:val="22"/>
                <w:lang w:val="el-GR"/>
              </w:rPr>
            </w:pPr>
            <w:r>
              <w:rPr>
                <w:b/>
                <w:sz w:val="22"/>
                <w:lang w:val="el-GR"/>
              </w:rPr>
              <w:t>Δόση συντήρησης</w:t>
            </w:r>
            <w:r>
              <w:rPr>
                <w:b/>
                <w:sz w:val="22"/>
                <w:lang w:val="el-GR"/>
              </w:rPr>
              <w:br/>
              <w:t>ξεκινώντας την εβδομάδα 4*</w:t>
            </w:r>
          </w:p>
        </w:tc>
      </w:tr>
      <w:tr w:rsidR="00171824" w14:paraId="474615E2" w14:textId="77777777">
        <w:trPr>
          <w:cantSplit/>
          <w:trHeight w:val="369"/>
        </w:trPr>
        <w:tc>
          <w:tcPr>
            <w:tcW w:w="1016" w:type="pct"/>
            <w:tcBorders>
              <w:top w:val="single" w:sz="6" w:space="0" w:color="000000"/>
              <w:left w:val="single" w:sz="6" w:space="0" w:color="000000"/>
              <w:bottom w:val="single" w:sz="6" w:space="0" w:color="000000"/>
              <w:right w:val="single" w:sz="6" w:space="0" w:color="000000"/>
            </w:tcBorders>
          </w:tcPr>
          <w:p w14:paraId="697EF812" w14:textId="77777777" w:rsidR="00171824" w:rsidRDefault="006D258C">
            <w:pPr>
              <w:keepNext/>
              <w:jc w:val="center"/>
              <w:rPr>
                <w:sz w:val="22"/>
                <w:lang w:val="el-GR"/>
              </w:rPr>
            </w:pPr>
            <w:r>
              <w:rPr>
                <w:sz w:val="22"/>
                <w:lang w:val="el-GR"/>
              </w:rPr>
              <w:t>&lt; 40 kg</w:t>
            </w:r>
          </w:p>
        </w:tc>
        <w:tc>
          <w:tcPr>
            <w:tcW w:w="2266" w:type="pct"/>
            <w:tcBorders>
              <w:top w:val="single" w:sz="6" w:space="0" w:color="000000"/>
              <w:left w:val="single" w:sz="6" w:space="0" w:color="000000"/>
              <w:bottom w:val="single" w:sz="6" w:space="0" w:color="000000"/>
              <w:right w:val="single" w:sz="6" w:space="0" w:color="000000"/>
            </w:tcBorders>
          </w:tcPr>
          <w:p w14:paraId="46FFAEDE" w14:textId="77777777" w:rsidR="00171824" w:rsidRDefault="006D258C">
            <w:pPr>
              <w:keepNext/>
              <w:widowControl/>
              <w:numPr>
                <w:ilvl w:val="0"/>
                <w:numId w:val="10"/>
              </w:numPr>
              <w:autoSpaceDE/>
              <w:autoSpaceDN/>
              <w:adjustRightInd/>
              <w:ind w:left="567" w:hanging="567"/>
              <w:rPr>
                <w:sz w:val="22"/>
                <w:lang w:val="el-GR"/>
              </w:rPr>
            </w:pPr>
            <w:r>
              <w:rPr>
                <w:sz w:val="22"/>
                <w:lang w:val="el-GR"/>
              </w:rPr>
              <w:t>80 mg την εβδομάδα 0 (χορηγούμενα ως δύο ενέσεις των 40 mg σε μία ημέρα) και</w:t>
            </w:r>
          </w:p>
          <w:p w14:paraId="59E45CCE" w14:textId="77777777" w:rsidR="00171824" w:rsidRDefault="006D258C">
            <w:pPr>
              <w:keepNext/>
              <w:widowControl/>
              <w:numPr>
                <w:ilvl w:val="0"/>
                <w:numId w:val="10"/>
              </w:numPr>
              <w:autoSpaceDE/>
              <w:autoSpaceDN/>
              <w:adjustRightInd/>
              <w:ind w:left="567" w:hanging="567"/>
              <w:rPr>
                <w:sz w:val="22"/>
                <w:lang w:val="el-GR"/>
              </w:rPr>
            </w:pPr>
            <w:r>
              <w:rPr>
                <w:sz w:val="22"/>
                <w:lang w:val="el-GR"/>
              </w:rPr>
              <w:t>40 mg την εβδομάδα 2 (χορηγούμενα ως μία ένεση των 40 mg)</w:t>
            </w:r>
          </w:p>
        </w:tc>
        <w:tc>
          <w:tcPr>
            <w:tcW w:w="1718" w:type="pct"/>
            <w:tcBorders>
              <w:top w:val="single" w:sz="6" w:space="0" w:color="000000"/>
              <w:left w:val="single" w:sz="6" w:space="0" w:color="000000"/>
              <w:bottom w:val="single" w:sz="6" w:space="0" w:color="000000"/>
              <w:right w:val="single" w:sz="6" w:space="0" w:color="000000"/>
            </w:tcBorders>
          </w:tcPr>
          <w:p w14:paraId="28C922BB" w14:textId="77777777" w:rsidR="00171824" w:rsidRDefault="006D258C">
            <w:pPr>
              <w:keepNext/>
              <w:widowControl/>
              <w:autoSpaceDE/>
              <w:autoSpaceDN/>
              <w:adjustRightInd/>
              <w:jc w:val="center"/>
              <w:rPr>
                <w:sz w:val="22"/>
                <w:lang w:val="el-GR"/>
              </w:rPr>
            </w:pPr>
            <w:r>
              <w:rPr>
                <w:sz w:val="22"/>
                <w:lang w:val="el-GR"/>
              </w:rPr>
              <w:t>40 mg κάθε δεύτερη εβδομάδα</w:t>
            </w:r>
          </w:p>
        </w:tc>
      </w:tr>
      <w:tr w:rsidR="00171824" w14:paraId="7F09A91F" w14:textId="77777777">
        <w:trPr>
          <w:cantSplit/>
          <w:trHeight w:val="559"/>
        </w:trPr>
        <w:tc>
          <w:tcPr>
            <w:tcW w:w="1016" w:type="pct"/>
            <w:tcBorders>
              <w:top w:val="single" w:sz="6" w:space="0" w:color="000000"/>
              <w:left w:val="single" w:sz="6" w:space="0" w:color="000000"/>
              <w:bottom w:val="single" w:sz="4" w:space="0" w:color="auto"/>
              <w:right w:val="single" w:sz="6" w:space="0" w:color="000000"/>
            </w:tcBorders>
          </w:tcPr>
          <w:p w14:paraId="66C2508C" w14:textId="77777777" w:rsidR="00171824" w:rsidRDefault="006D258C">
            <w:pPr>
              <w:keepNext/>
              <w:jc w:val="center"/>
              <w:rPr>
                <w:sz w:val="22"/>
                <w:lang w:val="el-GR"/>
              </w:rPr>
            </w:pPr>
            <w:r>
              <w:rPr>
                <w:sz w:val="22"/>
                <w:lang w:val="el-GR"/>
              </w:rPr>
              <w:t>≥ 40 kg</w:t>
            </w:r>
          </w:p>
        </w:tc>
        <w:tc>
          <w:tcPr>
            <w:tcW w:w="2266" w:type="pct"/>
            <w:tcBorders>
              <w:top w:val="single" w:sz="6" w:space="0" w:color="000000"/>
              <w:left w:val="single" w:sz="6" w:space="0" w:color="000000"/>
              <w:bottom w:val="single" w:sz="4" w:space="0" w:color="auto"/>
              <w:right w:val="single" w:sz="6" w:space="0" w:color="000000"/>
            </w:tcBorders>
          </w:tcPr>
          <w:p w14:paraId="4798F5B5" w14:textId="77777777" w:rsidR="00171824" w:rsidRDefault="006D258C">
            <w:pPr>
              <w:keepNext/>
              <w:widowControl/>
              <w:numPr>
                <w:ilvl w:val="0"/>
                <w:numId w:val="11"/>
              </w:numPr>
              <w:autoSpaceDE/>
              <w:autoSpaceDN/>
              <w:adjustRightInd/>
              <w:ind w:left="567" w:hanging="567"/>
              <w:rPr>
                <w:sz w:val="22"/>
                <w:lang w:val="el-GR"/>
              </w:rPr>
            </w:pPr>
            <w:r>
              <w:rPr>
                <w:sz w:val="22"/>
                <w:lang w:val="el-GR"/>
              </w:rPr>
              <w:t>160 mg την εβδομάδα 0 (χορηγούμενα ως τέσσερις ενέσεις των 40 mg σε μία ημέρα ή δύο ενέσεις των 40 mg ανά ημέρα για δύο διαδοχικές ημέρες) και</w:t>
            </w:r>
          </w:p>
          <w:p w14:paraId="5216FB57" w14:textId="77777777" w:rsidR="00171824" w:rsidRDefault="006D258C">
            <w:pPr>
              <w:keepNext/>
              <w:widowControl/>
              <w:numPr>
                <w:ilvl w:val="0"/>
                <w:numId w:val="11"/>
              </w:numPr>
              <w:autoSpaceDE/>
              <w:autoSpaceDN/>
              <w:adjustRightInd/>
              <w:ind w:left="567" w:hanging="567"/>
              <w:rPr>
                <w:sz w:val="22"/>
                <w:lang w:val="el-GR"/>
              </w:rPr>
            </w:pPr>
            <w:r>
              <w:rPr>
                <w:sz w:val="22"/>
                <w:lang w:val="el-GR"/>
              </w:rPr>
              <w:t>80 mg την εβδομάδα 2 (χορηγούμενα ως δύο ενέσεις των 40 mg σε μία ημέρα)</w:t>
            </w:r>
          </w:p>
        </w:tc>
        <w:tc>
          <w:tcPr>
            <w:tcW w:w="1718" w:type="pct"/>
            <w:tcBorders>
              <w:top w:val="single" w:sz="6" w:space="0" w:color="000000"/>
              <w:left w:val="single" w:sz="6" w:space="0" w:color="000000"/>
              <w:bottom w:val="single" w:sz="4" w:space="0" w:color="auto"/>
              <w:right w:val="single" w:sz="6" w:space="0" w:color="000000"/>
            </w:tcBorders>
          </w:tcPr>
          <w:p w14:paraId="56B52999" w14:textId="77777777" w:rsidR="00171824" w:rsidRDefault="006D258C">
            <w:pPr>
              <w:keepNext/>
              <w:widowControl/>
              <w:autoSpaceDE/>
              <w:autoSpaceDN/>
              <w:adjustRightInd/>
              <w:jc w:val="center"/>
              <w:rPr>
                <w:sz w:val="22"/>
                <w:lang w:val="el-GR"/>
              </w:rPr>
            </w:pPr>
            <w:r>
              <w:rPr>
                <w:sz w:val="22"/>
                <w:lang w:val="el-GR"/>
              </w:rPr>
              <w:t>80 mg κάθε δεύτερη εβδομάδα</w:t>
            </w:r>
          </w:p>
        </w:tc>
      </w:tr>
    </w:tbl>
    <w:p w14:paraId="30AA0299" w14:textId="77777777" w:rsidR="00171824" w:rsidRDefault="006D258C">
      <w:pPr>
        <w:widowControl/>
        <w:rPr>
          <w:color w:val="000000"/>
          <w:sz w:val="20"/>
          <w:szCs w:val="20"/>
          <w:lang w:val="el-GR" w:eastAsia="ja-JP"/>
        </w:rPr>
      </w:pPr>
      <w:r>
        <w:rPr>
          <w:color w:val="000000"/>
          <w:sz w:val="20"/>
          <w:szCs w:val="20"/>
          <w:lang w:val="el-GR" w:eastAsia="ja-JP"/>
        </w:rPr>
        <w:t xml:space="preserve">* Οι παιδιατρικοί ασθενείς που γίνονται 18 ετών ενώ λαμβάνουν το </w:t>
      </w:r>
      <w:r>
        <w:rPr>
          <w:sz w:val="20"/>
          <w:szCs w:val="20"/>
          <w:lang w:val="el-GR"/>
        </w:rPr>
        <w:t>AMGEVITA</w:t>
      </w:r>
      <w:r>
        <w:rPr>
          <w:color w:val="000000"/>
          <w:sz w:val="20"/>
          <w:szCs w:val="20"/>
          <w:lang w:val="el-GR" w:eastAsia="ja-JP"/>
        </w:rPr>
        <w:t xml:space="preserve"> θα πρέπει να συνεχίζουν τη συνιστώμενη δόση συντήρησης που τους έχει συνταγογραφηθεί. </w:t>
      </w:r>
    </w:p>
    <w:p w14:paraId="053276A3" w14:textId="77777777" w:rsidR="00171824" w:rsidRDefault="00171824">
      <w:pPr>
        <w:pStyle w:val="BodyText"/>
        <w:widowControl/>
        <w:kinsoku w:val="0"/>
        <w:overflowPunct w:val="0"/>
        <w:ind w:left="0"/>
        <w:rPr>
          <w:lang w:val="el-GR"/>
        </w:rPr>
      </w:pPr>
    </w:p>
    <w:p w14:paraId="7BFDF087" w14:textId="77777777" w:rsidR="00171824" w:rsidRDefault="006D258C">
      <w:pPr>
        <w:pStyle w:val="BodyText"/>
        <w:widowControl/>
        <w:kinsoku w:val="0"/>
        <w:overflowPunct w:val="0"/>
        <w:ind w:left="0"/>
        <w:rPr>
          <w:lang w:val="el-GR"/>
        </w:rPr>
      </w:pPr>
      <w:r>
        <w:rPr>
          <w:lang w:val="el-GR"/>
        </w:rPr>
        <w:t>Η συνέχιση της θεραπείας πέραν των 8 εβδομάδων θα πρέπει να αξιολογείται προσεκτικά σε ασθενείς που δεν επιδεικνύουν σημεία ανταπόκρισης κατά τη διάρκεια αυτής της χρονικής περιόδου.</w:t>
      </w:r>
    </w:p>
    <w:p w14:paraId="5801566A" w14:textId="77777777" w:rsidR="00171824" w:rsidRDefault="00171824">
      <w:pPr>
        <w:pStyle w:val="BodyText"/>
        <w:widowControl/>
        <w:kinsoku w:val="0"/>
        <w:overflowPunct w:val="0"/>
        <w:ind w:left="0"/>
        <w:rPr>
          <w:lang w:val="el-GR"/>
        </w:rPr>
      </w:pPr>
    </w:p>
    <w:p w14:paraId="465D0596" w14:textId="77777777" w:rsidR="00171824" w:rsidRDefault="006D258C">
      <w:pPr>
        <w:pStyle w:val="BodyText"/>
        <w:widowControl/>
        <w:kinsoku w:val="0"/>
        <w:overflowPunct w:val="0"/>
        <w:ind w:left="0"/>
        <w:rPr>
          <w:lang w:val="el-GR"/>
        </w:rPr>
      </w:pPr>
      <w:r>
        <w:rPr>
          <w:lang w:val="el-GR"/>
        </w:rPr>
        <w:t>Δεν υπάρχει σχετική χρήση του AMGEVITA σε παιδιά ηλικίας κάτω των 6 ετών για αυτήν την ένδειξη.</w:t>
      </w:r>
    </w:p>
    <w:p w14:paraId="79AC269A" w14:textId="77777777" w:rsidR="00171824" w:rsidRDefault="00171824">
      <w:pPr>
        <w:widowControl/>
        <w:kinsoku w:val="0"/>
        <w:overflowPunct w:val="0"/>
        <w:rPr>
          <w:sz w:val="22"/>
          <w:szCs w:val="22"/>
          <w:lang w:val="el-GR"/>
        </w:rPr>
      </w:pPr>
    </w:p>
    <w:p w14:paraId="5C51DD5A" w14:textId="77777777" w:rsidR="00171824" w:rsidRDefault="006D258C">
      <w:pPr>
        <w:keepNext/>
        <w:widowControl/>
        <w:kinsoku w:val="0"/>
        <w:overflowPunct w:val="0"/>
        <w:rPr>
          <w:i/>
          <w:sz w:val="22"/>
          <w:szCs w:val="22"/>
          <w:lang w:val="el-GR"/>
        </w:rPr>
      </w:pPr>
      <w:r>
        <w:rPr>
          <w:i/>
          <w:sz w:val="22"/>
          <w:szCs w:val="22"/>
          <w:lang w:val="el-GR"/>
        </w:rPr>
        <w:t>Παιδιατρική</w:t>
      </w:r>
      <w:r>
        <w:rPr>
          <w:sz w:val="22"/>
          <w:szCs w:val="22"/>
          <w:lang w:val="el-GR"/>
        </w:rPr>
        <w:t xml:space="preserve"> </w:t>
      </w:r>
      <w:r>
        <w:rPr>
          <w:i/>
          <w:sz w:val="22"/>
          <w:szCs w:val="22"/>
          <w:lang w:val="el-GR"/>
        </w:rPr>
        <w:t>ραγοειδίτιδα</w:t>
      </w:r>
    </w:p>
    <w:p w14:paraId="4BA5A5D4" w14:textId="77777777" w:rsidR="00171824" w:rsidRDefault="00171824">
      <w:pPr>
        <w:keepNext/>
        <w:widowControl/>
        <w:kinsoku w:val="0"/>
        <w:overflowPunct w:val="0"/>
        <w:rPr>
          <w:sz w:val="22"/>
          <w:szCs w:val="22"/>
          <w:lang w:val="el-GR"/>
        </w:rPr>
      </w:pPr>
    </w:p>
    <w:p w14:paraId="2CD79194" w14:textId="77777777" w:rsidR="00171824" w:rsidRDefault="006D258C">
      <w:pPr>
        <w:widowControl/>
        <w:kinsoku w:val="0"/>
        <w:overflowPunct w:val="0"/>
        <w:rPr>
          <w:sz w:val="22"/>
          <w:szCs w:val="22"/>
          <w:lang w:val="el-GR"/>
        </w:rPr>
      </w:pPr>
      <w:r>
        <w:rPr>
          <w:sz w:val="22"/>
          <w:szCs w:val="22"/>
          <w:lang w:val="el-GR"/>
        </w:rPr>
        <w:t>Η συνιστώμενη δόση του AMGEVITA για παιδιατρικούς ασθενείς με ραγοειδίτιδα, ηλικίας 2 ετών και άνω, επιλέγεται βάσει του βάρους σώματος του ασθενούς (Πίνακας 6). Το AMGEVITA χορηγείται μέσω υποδόριας ένεσης.</w:t>
      </w:r>
    </w:p>
    <w:p w14:paraId="64F8B341" w14:textId="77777777" w:rsidR="00171824" w:rsidRDefault="00171824">
      <w:pPr>
        <w:widowControl/>
        <w:kinsoku w:val="0"/>
        <w:overflowPunct w:val="0"/>
        <w:rPr>
          <w:sz w:val="22"/>
          <w:szCs w:val="22"/>
          <w:lang w:val="el-GR"/>
        </w:rPr>
      </w:pPr>
    </w:p>
    <w:p w14:paraId="3401B24F" w14:textId="77777777" w:rsidR="00171824" w:rsidRDefault="006D258C">
      <w:pPr>
        <w:pStyle w:val="EMEANormal"/>
        <w:rPr>
          <w:lang w:val="el-GR"/>
        </w:rPr>
      </w:pPr>
      <w:r>
        <w:rPr>
          <w:lang w:val="el-GR"/>
        </w:rPr>
        <w:t>Στην παιδιατρική ραγοειδίτιδα, δεν υπάρχει προηγούμενη εμπειρία στη θεραπεία με AMGEVITA χωρίς θεραπεία σε συνδυασμό με μεθοτρεξάτη.</w:t>
      </w:r>
    </w:p>
    <w:p w14:paraId="4022578B" w14:textId="77777777" w:rsidR="00171824" w:rsidRDefault="00171824">
      <w:pPr>
        <w:pStyle w:val="EMEANormal"/>
        <w:rPr>
          <w:lang w:val="el-GR"/>
        </w:rPr>
      </w:pPr>
    </w:p>
    <w:p w14:paraId="008536FB" w14:textId="77777777" w:rsidR="00171824" w:rsidRDefault="006D258C">
      <w:pPr>
        <w:keepNext/>
        <w:suppressAutoHyphens/>
        <w:rPr>
          <w:b/>
          <w:sz w:val="22"/>
          <w:szCs w:val="22"/>
          <w:lang w:val="el-GR"/>
        </w:rPr>
      </w:pPr>
      <w:r>
        <w:rPr>
          <w:b/>
          <w:sz w:val="22"/>
          <w:szCs w:val="22"/>
          <w:lang w:val="el-GR"/>
        </w:rPr>
        <w:t>Πίνακας 6. Δόση AMGEVITA για παιδιατρικούς ασθενείς με ραγοειδίτιδα</w:t>
      </w:r>
    </w:p>
    <w:p w14:paraId="119AF99A" w14:textId="77777777" w:rsidR="00171824" w:rsidRDefault="00171824">
      <w:pPr>
        <w:pStyle w:val="BodyText"/>
        <w:keepNext/>
        <w:widowControl/>
        <w:kinsoku w:val="0"/>
        <w:overflowPunct w:val="0"/>
        <w:ind w:left="0"/>
        <w:rPr>
          <w:lang w:val="el-GR"/>
        </w:rPr>
      </w:pPr>
    </w:p>
    <w:tbl>
      <w:tblPr>
        <w:tblW w:w="4948"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872"/>
        <w:gridCol w:w="7089"/>
      </w:tblGrid>
      <w:tr w:rsidR="00171824" w14:paraId="3D31E6A8"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01664831" w14:textId="77777777" w:rsidR="00171824" w:rsidRDefault="006D258C">
            <w:pPr>
              <w:suppressAutoHyphens/>
              <w:rPr>
                <w:sz w:val="22"/>
                <w:szCs w:val="22"/>
                <w:lang w:val="el-GR"/>
              </w:rPr>
            </w:pPr>
            <w:r>
              <w:rPr>
                <w:b/>
                <w:sz w:val="22"/>
                <w:szCs w:val="22"/>
                <w:lang w:val="el-GR"/>
              </w:rPr>
              <w:t>Βάρος ασθενούς</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4BEC241A" w14:textId="77777777" w:rsidR="00171824" w:rsidRDefault="006D258C">
            <w:pPr>
              <w:suppressAutoHyphens/>
              <w:rPr>
                <w:sz w:val="22"/>
                <w:szCs w:val="22"/>
                <w:lang w:val="el-GR"/>
              </w:rPr>
            </w:pPr>
            <w:r>
              <w:rPr>
                <w:b/>
                <w:sz w:val="22"/>
                <w:szCs w:val="22"/>
                <w:lang w:val="el-GR"/>
              </w:rPr>
              <w:t>Δοσολογικό σχήμα</w:t>
            </w:r>
          </w:p>
        </w:tc>
      </w:tr>
      <w:tr w:rsidR="00171824" w:rsidRPr="00422380" w14:paraId="3A29DEA9" w14:textId="77777777">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3E6A8343" w14:textId="77777777" w:rsidR="00171824" w:rsidRDefault="006D258C">
            <w:pPr>
              <w:keepNext/>
              <w:suppressAutoHyphens/>
              <w:jc w:val="center"/>
              <w:rPr>
                <w:sz w:val="22"/>
                <w:szCs w:val="22"/>
                <w:lang w:val="el-GR"/>
              </w:rPr>
            </w:pPr>
            <w:r>
              <w:rPr>
                <w:sz w:val="22"/>
                <w:szCs w:val="22"/>
                <w:lang w:val="el-GR"/>
              </w:rPr>
              <w:t>&lt; 30 kg</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173A7F14" w14:textId="77777777" w:rsidR="00171824" w:rsidRDefault="006D258C">
            <w:pPr>
              <w:widowControl/>
              <w:tabs>
                <w:tab w:val="left" w:pos="720"/>
              </w:tabs>
              <w:suppressAutoHyphens/>
              <w:autoSpaceDE/>
              <w:autoSpaceDN/>
              <w:adjustRightInd/>
              <w:ind w:left="307"/>
              <w:rPr>
                <w:sz w:val="22"/>
                <w:szCs w:val="20"/>
                <w:lang w:val="el-GR"/>
              </w:rPr>
            </w:pPr>
            <w:r>
              <w:rPr>
                <w:sz w:val="22"/>
                <w:szCs w:val="20"/>
                <w:lang w:val="el-GR"/>
              </w:rPr>
              <w:t>20 mg κάθε δεύτερη εβδομάδα σε συνδυασμό με μεθοτρεξάτη</w:t>
            </w:r>
          </w:p>
        </w:tc>
      </w:tr>
      <w:tr w:rsidR="00171824" w:rsidRPr="00422380" w14:paraId="440E2071" w14:textId="77777777">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734FBC4D" w14:textId="77777777" w:rsidR="00171824" w:rsidRDefault="006D258C">
            <w:pPr>
              <w:suppressAutoHyphens/>
              <w:jc w:val="center"/>
              <w:rPr>
                <w:sz w:val="22"/>
                <w:szCs w:val="22"/>
                <w:lang w:val="el-GR"/>
              </w:rPr>
            </w:pPr>
            <w:r>
              <w:rPr>
                <w:sz w:val="22"/>
                <w:szCs w:val="22"/>
                <w:lang w:val="el-GR"/>
              </w:rPr>
              <w:t>≥ 30 kg</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4F7DE0B" w14:textId="77777777" w:rsidR="00171824" w:rsidRDefault="006D258C">
            <w:pPr>
              <w:widowControl/>
              <w:tabs>
                <w:tab w:val="left" w:pos="720"/>
              </w:tabs>
              <w:suppressAutoHyphens/>
              <w:autoSpaceDE/>
              <w:autoSpaceDN/>
              <w:adjustRightInd/>
              <w:ind w:left="307"/>
              <w:rPr>
                <w:sz w:val="22"/>
                <w:szCs w:val="22"/>
                <w:lang w:val="el-GR"/>
              </w:rPr>
            </w:pPr>
            <w:r>
              <w:rPr>
                <w:sz w:val="22"/>
                <w:szCs w:val="20"/>
                <w:lang w:val="el-GR"/>
              </w:rPr>
              <w:t>40 mg κάθε δεύτερη εβδομάδα σε συνδυασμό με μεθοτρεξάτη</w:t>
            </w:r>
          </w:p>
        </w:tc>
      </w:tr>
    </w:tbl>
    <w:p w14:paraId="6CFF5DB9" w14:textId="77777777" w:rsidR="00171824" w:rsidRDefault="00171824">
      <w:pPr>
        <w:pStyle w:val="EMEANormal"/>
        <w:rPr>
          <w:lang w:val="el-GR"/>
        </w:rPr>
      </w:pPr>
    </w:p>
    <w:p w14:paraId="1BBB77C6" w14:textId="77777777" w:rsidR="00171824" w:rsidRDefault="006D258C">
      <w:pPr>
        <w:rPr>
          <w:sz w:val="22"/>
          <w:szCs w:val="20"/>
          <w:lang w:val="el-GR"/>
        </w:rPr>
      </w:pPr>
      <w:r>
        <w:rPr>
          <w:sz w:val="22"/>
          <w:szCs w:val="20"/>
          <w:lang w:val="el-GR"/>
        </w:rPr>
        <w:t xml:space="preserve">Κατά την έναρξη της θεραπείας με AMGEVITA, μπορεί να χορηγηθεί μια δόση εφόδου 40 mg σε ασθενείς &lt; 30 kg ή 80 mg σε ασθενείς ≥ 30 kg μία εβδομάδα πριν από την έναρξη της θεραπείας συντήρησης. Δεν υπάρχουν διαθέσιμα κλινικά δεδομένα σχετικά με τη χρήση της δόσης εφόδου του </w:t>
      </w:r>
      <w:r>
        <w:rPr>
          <w:sz w:val="22"/>
          <w:szCs w:val="20"/>
          <w:lang w:val="el-GR"/>
        </w:rPr>
        <w:lastRenderedPageBreak/>
        <w:t>AMGEVITA σε παιδιά ηλικίας &lt; 6 ετών (βλέπε παράγραφο 5.2).</w:t>
      </w:r>
    </w:p>
    <w:p w14:paraId="01EE9A42" w14:textId="77777777" w:rsidR="00171824" w:rsidRDefault="00171824">
      <w:pPr>
        <w:rPr>
          <w:sz w:val="22"/>
          <w:szCs w:val="20"/>
          <w:lang w:val="el-GR"/>
        </w:rPr>
      </w:pPr>
    </w:p>
    <w:p w14:paraId="39A099B6" w14:textId="77777777" w:rsidR="00171824" w:rsidRDefault="006D258C">
      <w:pPr>
        <w:rPr>
          <w:sz w:val="22"/>
          <w:szCs w:val="20"/>
          <w:lang w:val="el-GR"/>
        </w:rPr>
      </w:pPr>
      <w:r>
        <w:rPr>
          <w:sz w:val="22"/>
          <w:szCs w:val="20"/>
          <w:lang w:val="el-GR"/>
        </w:rPr>
        <w:t>Δεν υπάρχει σχετική χρήση του AMGEVITA σε παιδιά ηλικίας κάτω των 2 ετών για αυτή την ένδειξη.</w:t>
      </w:r>
    </w:p>
    <w:p w14:paraId="6135BCC0" w14:textId="77777777" w:rsidR="00171824" w:rsidRDefault="00171824">
      <w:pPr>
        <w:rPr>
          <w:sz w:val="22"/>
          <w:szCs w:val="20"/>
          <w:lang w:val="el-GR"/>
        </w:rPr>
      </w:pPr>
    </w:p>
    <w:p w14:paraId="6596F63A" w14:textId="77777777" w:rsidR="00171824" w:rsidRDefault="006D258C">
      <w:pPr>
        <w:rPr>
          <w:sz w:val="22"/>
          <w:szCs w:val="20"/>
          <w:lang w:val="el-GR"/>
        </w:rPr>
      </w:pPr>
      <w:r>
        <w:rPr>
          <w:sz w:val="22"/>
          <w:szCs w:val="20"/>
          <w:lang w:val="el-GR"/>
        </w:rPr>
        <w:t>Συνιστάται ότι το όφελος και ο κίνδυνος της συνεχιζόμενης μακροχρόνιας θεραπείας θα πρέπει να εξετάζονται σε ετήσια βάση (βλέπε παράγραφο 5.1).</w:t>
      </w:r>
    </w:p>
    <w:p w14:paraId="6B70FF29" w14:textId="77777777" w:rsidR="00171824" w:rsidRDefault="00171824">
      <w:pPr>
        <w:widowControl/>
        <w:kinsoku w:val="0"/>
        <w:overflowPunct w:val="0"/>
        <w:rPr>
          <w:sz w:val="22"/>
          <w:szCs w:val="22"/>
          <w:lang w:val="el-GR"/>
        </w:rPr>
      </w:pPr>
    </w:p>
    <w:p w14:paraId="68F9BDE8" w14:textId="77777777" w:rsidR="00171824" w:rsidRDefault="006D258C">
      <w:pPr>
        <w:pStyle w:val="BodyText"/>
        <w:widowControl/>
        <w:kinsoku w:val="0"/>
        <w:overflowPunct w:val="0"/>
        <w:ind w:left="0"/>
        <w:rPr>
          <w:lang w:val="el-GR"/>
        </w:rPr>
      </w:pPr>
      <w:r>
        <w:rPr>
          <w:u w:val="single"/>
          <w:lang w:val="el-GR"/>
        </w:rPr>
        <w:t>Τρόπος χορήγησης</w:t>
      </w:r>
    </w:p>
    <w:p w14:paraId="4FF74A6B" w14:textId="77777777" w:rsidR="00171824" w:rsidRDefault="00171824">
      <w:pPr>
        <w:widowControl/>
        <w:kinsoku w:val="0"/>
        <w:overflowPunct w:val="0"/>
        <w:rPr>
          <w:sz w:val="22"/>
          <w:szCs w:val="22"/>
          <w:lang w:val="el-GR"/>
        </w:rPr>
      </w:pPr>
    </w:p>
    <w:p w14:paraId="5CEEBC3E" w14:textId="77777777" w:rsidR="00171824" w:rsidRDefault="006D258C">
      <w:pPr>
        <w:pStyle w:val="BodyText"/>
        <w:widowControl/>
        <w:kinsoku w:val="0"/>
        <w:overflowPunct w:val="0"/>
        <w:ind w:left="0"/>
        <w:rPr>
          <w:lang w:val="el-GR"/>
        </w:rPr>
      </w:pPr>
      <w:r>
        <w:rPr>
          <w:lang w:val="el-GR"/>
        </w:rPr>
        <w:t>Το AMGEVITA χορηγείται με υποδόρια ένεση. Πλήρεις οδηγίες χρήσης παρέχονται στο φύλλο οδηγιών χρήσης.</w:t>
      </w:r>
    </w:p>
    <w:p w14:paraId="4DB87A67" w14:textId="77777777" w:rsidR="00171824" w:rsidRDefault="00171824">
      <w:pPr>
        <w:pStyle w:val="BodyText"/>
        <w:ind w:left="0"/>
        <w:rPr>
          <w:lang w:val="el-GR"/>
        </w:rPr>
      </w:pPr>
    </w:p>
    <w:p w14:paraId="393CA021" w14:textId="77777777" w:rsidR="00171824" w:rsidRDefault="006D258C">
      <w:pPr>
        <w:pStyle w:val="Heading1"/>
        <w:keepNext/>
        <w:widowControl/>
        <w:numPr>
          <w:ilvl w:val="1"/>
          <w:numId w:val="3"/>
        </w:numPr>
        <w:kinsoku w:val="0"/>
        <w:overflowPunct w:val="0"/>
        <w:ind w:left="567"/>
        <w:rPr>
          <w:b w:val="0"/>
          <w:bCs w:val="0"/>
          <w:lang w:val="el-GR"/>
        </w:rPr>
      </w:pPr>
      <w:r>
        <w:rPr>
          <w:lang w:val="el-GR"/>
        </w:rPr>
        <w:t>Αντενδείξεις</w:t>
      </w:r>
    </w:p>
    <w:p w14:paraId="65D7DC3E" w14:textId="77777777" w:rsidR="00171824" w:rsidRDefault="00171824">
      <w:pPr>
        <w:keepNext/>
        <w:widowControl/>
        <w:kinsoku w:val="0"/>
        <w:overflowPunct w:val="0"/>
        <w:rPr>
          <w:sz w:val="22"/>
          <w:szCs w:val="22"/>
          <w:lang w:val="el-GR"/>
        </w:rPr>
      </w:pPr>
    </w:p>
    <w:p w14:paraId="25291097" w14:textId="77777777" w:rsidR="00171824" w:rsidRDefault="006D258C">
      <w:pPr>
        <w:pStyle w:val="BodyText"/>
        <w:widowControl/>
        <w:kinsoku w:val="0"/>
        <w:overflowPunct w:val="0"/>
        <w:ind w:left="0"/>
        <w:rPr>
          <w:lang w:val="el-GR"/>
        </w:rPr>
      </w:pPr>
      <w:r>
        <w:rPr>
          <w:lang w:val="el-GR"/>
        </w:rPr>
        <w:t>Υπερευαισθησία στη δραστική ουσία ή σε κάποιο από τα έκδοχα που αναφέρονται στην παράγραφο 6.1.</w:t>
      </w:r>
    </w:p>
    <w:p w14:paraId="336E3112" w14:textId="77777777" w:rsidR="00171824" w:rsidRDefault="00171824">
      <w:pPr>
        <w:widowControl/>
        <w:kinsoku w:val="0"/>
        <w:overflowPunct w:val="0"/>
        <w:rPr>
          <w:sz w:val="22"/>
          <w:szCs w:val="22"/>
          <w:lang w:val="el-GR"/>
        </w:rPr>
      </w:pPr>
    </w:p>
    <w:p w14:paraId="255D4C91" w14:textId="77777777" w:rsidR="00171824" w:rsidRDefault="006D258C">
      <w:pPr>
        <w:pStyle w:val="BodyText"/>
        <w:widowControl/>
        <w:kinsoku w:val="0"/>
        <w:overflowPunct w:val="0"/>
        <w:ind w:left="0"/>
        <w:rPr>
          <w:lang w:val="el-GR"/>
        </w:rPr>
      </w:pPr>
      <w:r>
        <w:rPr>
          <w:lang w:val="el-GR"/>
        </w:rPr>
        <w:t>Ενεργός φυματίωση ή άλλες σοβαρές λοιμώξεις, όπως σήψη και ευκαιριακές λοιμώξεις (βλέπε παράγραφο 4.4).</w:t>
      </w:r>
    </w:p>
    <w:p w14:paraId="074F2607" w14:textId="77777777" w:rsidR="00171824" w:rsidRDefault="00171824">
      <w:pPr>
        <w:widowControl/>
        <w:kinsoku w:val="0"/>
        <w:overflowPunct w:val="0"/>
        <w:rPr>
          <w:sz w:val="22"/>
          <w:szCs w:val="22"/>
          <w:lang w:val="el-GR"/>
        </w:rPr>
      </w:pPr>
    </w:p>
    <w:p w14:paraId="02729BBC" w14:textId="77777777" w:rsidR="00171824" w:rsidRDefault="006D258C">
      <w:pPr>
        <w:pStyle w:val="BodyText"/>
        <w:widowControl/>
        <w:kinsoku w:val="0"/>
        <w:overflowPunct w:val="0"/>
        <w:ind w:left="0"/>
        <w:rPr>
          <w:lang w:val="el-GR"/>
        </w:rPr>
      </w:pPr>
      <w:r>
        <w:rPr>
          <w:lang w:val="el-GR"/>
        </w:rPr>
        <w:t>Μέτρια έως σοβαρή καρδιακή ανεπάρκεια (ΝΥΗΑ class III/IV) (βλέπε παράγραφο 4.4).</w:t>
      </w:r>
    </w:p>
    <w:p w14:paraId="01CD2FD3" w14:textId="77777777" w:rsidR="00171824" w:rsidRDefault="00171824">
      <w:pPr>
        <w:widowControl/>
        <w:kinsoku w:val="0"/>
        <w:overflowPunct w:val="0"/>
        <w:rPr>
          <w:sz w:val="22"/>
          <w:szCs w:val="22"/>
          <w:lang w:val="el-GR"/>
        </w:rPr>
      </w:pPr>
    </w:p>
    <w:p w14:paraId="37B071CB"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Ειδικές προειδοποιήσεις και προφυλάξεις κατά τη χρήση</w:t>
      </w:r>
    </w:p>
    <w:p w14:paraId="070A55CE" w14:textId="77777777" w:rsidR="00171824" w:rsidRDefault="00171824">
      <w:pPr>
        <w:keepNext/>
        <w:widowControl/>
        <w:kinsoku w:val="0"/>
        <w:overflowPunct w:val="0"/>
        <w:rPr>
          <w:sz w:val="22"/>
          <w:szCs w:val="22"/>
          <w:lang w:val="el-GR"/>
        </w:rPr>
      </w:pPr>
    </w:p>
    <w:p w14:paraId="328A8299" w14:textId="77777777" w:rsidR="00171824" w:rsidRDefault="006D258C">
      <w:pPr>
        <w:pStyle w:val="BodyText"/>
        <w:keepNext/>
        <w:widowControl/>
        <w:kinsoku w:val="0"/>
        <w:overflowPunct w:val="0"/>
        <w:ind w:left="0"/>
        <w:rPr>
          <w:u w:val="single"/>
          <w:lang w:val="el-GR"/>
        </w:rPr>
      </w:pPr>
      <w:r>
        <w:rPr>
          <w:u w:val="single"/>
          <w:lang w:val="el-GR"/>
        </w:rPr>
        <w:t>Ιχνηλασιμότητα</w:t>
      </w:r>
    </w:p>
    <w:p w14:paraId="06C0FB5B" w14:textId="77777777" w:rsidR="00171824" w:rsidRDefault="00171824">
      <w:pPr>
        <w:pStyle w:val="BodyText"/>
        <w:widowControl/>
        <w:kinsoku w:val="0"/>
        <w:overflowPunct w:val="0"/>
        <w:ind w:left="0"/>
        <w:rPr>
          <w:lang w:val="el-GR"/>
        </w:rPr>
      </w:pPr>
    </w:p>
    <w:p w14:paraId="34778862" w14:textId="77777777" w:rsidR="00171824" w:rsidRDefault="006D258C">
      <w:pPr>
        <w:pStyle w:val="BodyText"/>
        <w:widowControl/>
        <w:kinsoku w:val="0"/>
        <w:overflowPunct w:val="0"/>
        <w:ind w:left="0"/>
        <w:rPr>
          <w:lang w:val="el-GR"/>
        </w:rPr>
      </w:pPr>
      <w:r>
        <w:rPr>
          <w:lang w:val="el-GR"/>
        </w:rPr>
        <w:t>Προκειμένου να βελτιωθεί η ιχνηλασιμότητα των βιολογικών φαρμακευτικών προϊόντων, το όνομα και ο αριθμός παρτίδας του χορηγούμενου φαρμάκου πρέπει να καταγράφεται με σαφήνεια</w:t>
      </w:r>
    </w:p>
    <w:p w14:paraId="68B7E586" w14:textId="77777777" w:rsidR="00171824" w:rsidRDefault="00171824">
      <w:pPr>
        <w:widowControl/>
        <w:kinsoku w:val="0"/>
        <w:overflowPunct w:val="0"/>
        <w:rPr>
          <w:sz w:val="22"/>
          <w:szCs w:val="22"/>
          <w:lang w:val="el-GR"/>
        </w:rPr>
      </w:pPr>
    </w:p>
    <w:p w14:paraId="71ED4248" w14:textId="77777777" w:rsidR="00171824" w:rsidRDefault="006D258C">
      <w:pPr>
        <w:pStyle w:val="BodyText"/>
        <w:widowControl/>
        <w:kinsoku w:val="0"/>
        <w:overflowPunct w:val="0"/>
        <w:ind w:left="0"/>
        <w:rPr>
          <w:lang w:val="el-GR"/>
        </w:rPr>
      </w:pPr>
      <w:r>
        <w:rPr>
          <w:u w:val="single"/>
          <w:lang w:val="el-GR"/>
        </w:rPr>
        <w:t>Λοιμώξεις</w:t>
      </w:r>
    </w:p>
    <w:p w14:paraId="3614C6FB" w14:textId="77777777" w:rsidR="00171824" w:rsidRDefault="00171824">
      <w:pPr>
        <w:widowControl/>
        <w:kinsoku w:val="0"/>
        <w:overflowPunct w:val="0"/>
        <w:rPr>
          <w:sz w:val="22"/>
          <w:szCs w:val="22"/>
          <w:lang w:val="el-GR"/>
        </w:rPr>
      </w:pPr>
    </w:p>
    <w:p w14:paraId="56226AB7" w14:textId="77777777" w:rsidR="00171824" w:rsidRDefault="006D258C">
      <w:pPr>
        <w:pStyle w:val="BodyText"/>
        <w:widowControl/>
        <w:kinsoku w:val="0"/>
        <w:overflowPunct w:val="0"/>
        <w:ind w:left="0"/>
        <w:rPr>
          <w:lang w:val="el-GR"/>
        </w:rPr>
      </w:pPr>
      <w:r>
        <w:rPr>
          <w:lang w:val="el-GR"/>
        </w:rPr>
        <w:t>Ασθενείς που λαμβάνουν TNF-ανταγωνιστές είναι περισσότερο ευαίσθητοι σε σοβαρές λοιμώξεις. Η επηρεασμένη πνευμονική λειτουργία ενδέχεται να αυξήσει τον κίνδυνο εμφάνισης λοιμώξεων. Οι ασθενείς θα πρέπει ως εκ τούτου, να παρακολουθούνται προσεκτικά για λοιμώξεις, συμπεριλαμβανομένης της φυματίωσης, πριν, κατά τη διάρκεια και μετά τη θεραπεία με AMGEVITA. Επειδή η απέκκριση του adalimumab μπορεί να διαρκέσει μέχρι και τέσσερις μήνες, η παρακολούθηση θα πρέπει να συνεχιστεί στη διάρκεια αυτής της περιόδου.</w:t>
      </w:r>
    </w:p>
    <w:p w14:paraId="0164DF07" w14:textId="77777777" w:rsidR="00171824" w:rsidRDefault="00171824">
      <w:pPr>
        <w:widowControl/>
        <w:kinsoku w:val="0"/>
        <w:overflowPunct w:val="0"/>
        <w:rPr>
          <w:sz w:val="22"/>
          <w:szCs w:val="22"/>
          <w:lang w:val="el-GR"/>
        </w:rPr>
      </w:pPr>
    </w:p>
    <w:p w14:paraId="15CCBC47" w14:textId="77777777" w:rsidR="00171824" w:rsidRDefault="006D258C">
      <w:pPr>
        <w:pStyle w:val="BodyText"/>
        <w:widowControl/>
        <w:kinsoku w:val="0"/>
        <w:overflowPunct w:val="0"/>
        <w:ind w:left="0"/>
        <w:rPr>
          <w:lang w:val="el-GR"/>
        </w:rPr>
      </w:pPr>
      <w:r>
        <w:rPr>
          <w:lang w:val="el-GR"/>
        </w:rPr>
        <w:t xml:space="preserve">Η θεραπεία με το AMGEVITA δε θα πρέπει να ξεκινήσει σε ασθενείς με ενεργές λοιμώξεις συμπεριλαμβανομένων των χρόνιων ή τοπικών λοιμώξεων, μέχρις ότου οι λοιμώξεις τεθούν υπό έλεγχο. Σε ασθενείς που έχουν εκτεθεί σε φυματίωση και ασθενείς που ταξίδεψαν σε περιοχές υψηλού κινδύνου για φυματίωση ή ενδημικές μυκητιάσεις όπως ιστοπλάσμωση, κοκκιδιοειδομυκητίαση ή βλαστομυκητίαση θα πρέπει να λαμβάνεται υπόψη ο κίνδυνος και τα οφέλη της θεραπείας με AMGEVITA πριν από την έναρξη της αγωγής (βλέπε </w:t>
      </w:r>
      <w:r>
        <w:rPr>
          <w:i/>
          <w:iCs/>
          <w:lang w:val="el-GR"/>
        </w:rPr>
        <w:t>Ευκαιριακές λοιμώξεις</w:t>
      </w:r>
      <w:r>
        <w:rPr>
          <w:lang w:val="el-GR"/>
        </w:rPr>
        <w:t>).</w:t>
      </w:r>
    </w:p>
    <w:p w14:paraId="6A5FB420" w14:textId="77777777" w:rsidR="00171824" w:rsidRDefault="00171824">
      <w:pPr>
        <w:widowControl/>
        <w:kinsoku w:val="0"/>
        <w:overflowPunct w:val="0"/>
        <w:rPr>
          <w:sz w:val="22"/>
          <w:szCs w:val="22"/>
          <w:lang w:val="el-GR"/>
        </w:rPr>
      </w:pPr>
    </w:p>
    <w:p w14:paraId="748E2E23" w14:textId="77777777" w:rsidR="00171824" w:rsidRDefault="006D258C">
      <w:pPr>
        <w:pStyle w:val="BodyText"/>
        <w:widowControl/>
        <w:kinsoku w:val="0"/>
        <w:overflowPunct w:val="0"/>
        <w:ind w:left="0"/>
        <w:rPr>
          <w:lang w:val="el-GR"/>
        </w:rPr>
      </w:pPr>
      <w:r>
        <w:rPr>
          <w:lang w:val="el-GR"/>
        </w:rPr>
        <w:t>Οι ασθενείς που αναπτύσσουν μια νέα λοίμωξη ενώ υποβάλλονται σε θεραπεία με AMGEVITA θα πρέπει να παρακολουθούνται προσεκτικά και να υποβάλλονται σε πλήρη διαγνωστική αξιολόγηση. Η χορήγηση του AMGEVITA θα πρέπει να διακοπεί εάν ο ασθενής εμφανίσει μια νέα σοβαρή λοίμωξη ή σήψη και θα πρέπει να γίνεται έναρξη της κατάλληλης αντιμικροβιακής ή αντιμυκητιασικής αγωγής μέχρις ότου η λοίμωξη τεθεί υπό έλεγχο. Οι ιατροί θα πρέπει να είναι προσεκτικοί όταν πρόκειται να χορηγήσουν το AMGEVITA σε ασθενείς με ένα ιστορικό υποτροπιάζουσας λοίμωξης ή με προϋπάρχουσες καταστάσεις που ενδέχεται να προδιαθέτουν τους ασθενείς για λοιμώξεις, συμπεριλαμβανομένης της χρήσης συγχορηγούμενων ανοσοκατασταλτικών φαρμάκων.</w:t>
      </w:r>
    </w:p>
    <w:p w14:paraId="0D8CFCA3" w14:textId="77777777" w:rsidR="00171824" w:rsidRDefault="00171824">
      <w:pPr>
        <w:widowControl/>
        <w:kinsoku w:val="0"/>
        <w:overflowPunct w:val="0"/>
        <w:rPr>
          <w:sz w:val="22"/>
          <w:szCs w:val="22"/>
          <w:lang w:val="el-GR"/>
        </w:rPr>
      </w:pPr>
    </w:p>
    <w:p w14:paraId="74C4BFDF" w14:textId="77777777" w:rsidR="00171824" w:rsidRDefault="006D258C">
      <w:pPr>
        <w:widowControl/>
        <w:kinsoku w:val="0"/>
        <w:overflowPunct w:val="0"/>
        <w:rPr>
          <w:sz w:val="22"/>
          <w:szCs w:val="22"/>
          <w:lang w:val="el-GR"/>
        </w:rPr>
      </w:pPr>
      <w:r>
        <w:rPr>
          <w:i/>
          <w:iCs/>
          <w:sz w:val="22"/>
          <w:szCs w:val="22"/>
          <w:lang w:val="el-GR"/>
        </w:rPr>
        <w:t>Σοβαρές λοιμώξεις</w:t>
      </w:r>
    </w:p>
    <w:p w14:paraId="3B01B2DE" w14:textId="77777777" w:rsidR="00171824" w:rsidRDefault="00171824">
      <w:pPr>
        <w:widowControl/>
        <w:kinsoku w:val="0"/>
        <w:overflowPunct w:val="0"/>
        <w:rPr>
          <w:sz w:val="22"/>
          <w:szCs w:val="22"/>
          <w:lang w:val="el-GR"/>
        </w:rPr>
      </w:pPr>
    </w:p>
    <w:p w14:paraId="4B37B501" w14:textId="77777777" w:rsidR="00171824" w:rsidRDefault="006D258C">
      <w:pPr>
        <w:pStyle w:val="BodyText"/>
        <w:widowControl/>
        <w:kinsoku w:val="0"/>
        <w:overflowPunct w:val="0"/>
        <w:ind w:left="0"/>
        <w:rPr>
          <w:lang w:val="el-GR"/>
        </w:rPr>
      </w:pPr>
      <w:r>
        <w:rPr>
          <w:lang w:val="el-GR"/>
        </w:rPr>
        <w:lastRenderedPageBreak/>
        <w:t>Σοβαρές λοιμώξεις, συμπεριλαμβανομένης της σήψης λόγω βακτηριακών, μυκοβακτηριακών, διηθητικών μυκητιασικών, παρασιτικών, ιογενών ή άλλων ευκαιριακών λοιμώξεων, όπως η λιστερίωση, η λεγιονέλλωση και η πνευμονοκύστη έχουν αναφερθεί σε ασθενείς που λαμβάνουν adalimumab.</w:t>
      </w:r>
    </w:p>
    <w:p w14:paraId="3327D6B5" w14:textId="77777777" w:rsidR="00171824" w:rsidRDefault="00171824">
      <w:pPr>
        <w:widowControl/>
        <w:kinsoku w:val="0"/>
        <w:overflowPunct w:val="0"/>
        <w:rPr>
          <w:sz w:val="22"/>
          <w:szCs w:val="22"/>
          <w:lang w:val="el-GR"/>
        </w:rPr>
      </w:pPr>
    </w:p>
    <w:p w14:paraId="1A64B473" w14:textId="77777777" w:rsidR="00171824" w:rsidRDefault="006D258C">
      <w:pPr>
        <w:pStyle w:val="BodyText"/>
        <w:widowControl/>
        <w:kinsoku w:val="0"/>
        <w:overflowPunct w:val="0"/>
        <w:ind w:left="0"/>
        <w:rPr>
          <w:lang w:val="el-GR"/>
        </w:rPr>
      </w:pPr>
      <w:r>
        <w:rPr>
          <w:lang w:val="el-GR"/>
        </w:rPr>
        <w:t>Άλλες σοβαρές λοιμώξεις που παρατηρήθηκαν σε κλινικές μελέτες συμπεριλαμβάνουν πνευμονία, πυελονεφρίτιδα, σηπτική αρθρίτιδα και σηψαιμία. Έχουν αναφερθεί σχετιζόμενες με λοιμώξεις περιπτώσεις νοσηλείας ή με θανατηφόρα έκβαση.</w:t>
      </w:r>
    </w:p>
    <w:p w14:paraId="246B5953" w14:textId="77777777" w:rsidR="00171824" w:rsidRDefault="00171824">
      <w:pPr>
        <w:widowControl/>
        <w:kinsoku w:val="0"/>
        <w:overflowPunct w:val="0"/>
        <w:rPr>
          <w:sz w:val="22"/>
          <w:szCs w:val="22"/>
          <w:lang w:val="el-GR"/>
        </w:rPr>
      </w:pPr>
    </w:p>
    <w:p w14:paraId="454E8BCF" w14:textId="77777777" w:rsidR="00171824" w:rsidRDefault="006D258C">
      <w:pPr>
        <w:keepNext/>
        <w:widowControl/>
        <w:kinsoku w:val="0"/>
        <w:overflowPunct w:val="0"/>
        <w:rPr>
          <w:sz w:val="22"/>
          <w:szCs w:val="22"/>
          <w:lang w:val="el-GR"/>
        </w:rPr>
      </w:pPr>
      <w:r>
        <w:rPr>
          <w:i/>
          <w:iCs/>
          <w:sz w:val="22"/>
          <w:szCs w:val="22"/>
          <w:lang w:val="el-GR"/>
        </w:rPr>
        <w:t>Φυματίωση</w:t>
      </w:r>
    </w:p>
    <w:p w14:paraId="7156690D" w14:textId="77777777" w:rsidR="00171824" w:rsidRDefault="00171824">
      <w:pPr>
        <w:keepNext/>
        <w:widowControl/>
        <w:kinsoku w:val="0"/>
        <w:overflowPunct w:val="0"/>
        <w:rPr>
          <w:sz w:val="22"/>
          <w:szCs w:val="22"/>
          <w:lang w:val="el-GR"/>
        </w:rPr>
      </w:pPr>
    </w:p>
    <w:p w14:paraId="1B09044C" w14:textId="77777777" w:rsidR="00171824" w:rsidRDefault="006D258C">
      <w:pPr>
        <w:pStyle w:val="BodyText"/>
        <w:widowControl/>
        <w:kinsoku w:val="0"/>
        <w:overflowPunct w:val="0"/>
        <w:ind w:left="0"/>
        <w:rPr>
          <w:lang w:val="el-GR"/>
        </w:rPr>
      </w:pPr>
      <w:r>
        <w:rPr>
          <w:lang w:val="el-GR"/>
        </w:rPr>
        <w:t>Φυματίωση, συμπεριλαμβανομένης επανενεργοποίησης και πρωτοεμφανιζόμενης φυματίωσης, έχει αναφερθεί σε ασθενείς που λαμβάνουν adalimumab. Οι αναφορές συμπεριλαμβάνουν περιστατικά πνευμονικής και εξωπνευμονικής (π.χ. κεχροειδούς) φυματίωσης.</w:t>
      </w:r>
    </w:p>
    <w:p w14:paraId="43F692BA" w14:textId="77777777" w:rsidR="00171824" w:rsidRDefault="00171824">
      <w:pPr>
        <w:widowControl/>
        <w:kinsoku w:val="0"/>
        <w:overflowPunct w:val="0"/>
        <w:rPr>
          <w:sz w:val="22"/>
          <w:szCs w:val="22"/>
          <w:lang w:val="el-GR"/>
        </w:rPr>
      </w:pPr>
    </w:p>
    <w:p w14:paraId="6567CF79" w14:textId="77777777" w:rsidR="00171824" w:rsidRDefault="006D258C">
      <w:pPr>
        <w:pStyle w:val="BodyText"/>
        <w:widowControl/>
        <w:kinsoku w:val="0"/>
        <w:overflowPunct w:val="0"/>
        <w:ind w:left="0"/>
        <w:rPr>
          <w:lang w:val="el-GR"/>
        </w:rPr>
      </w:pPr>
      <w:r>
        <w:rPr>
          <w:lang w:val="el-GR"/>
        </w:rPr>
        <w:t>Πριν από την έναρξη της θεραπείας με AMGEVITA, όλοι οι ασθενείς θα πρέπει να αξιολογηθούν τόσο για ενεργό όσο και ανενεργό («λανθάνουσα») φυματίωση. Η αξιολόγηση αυτή θα πρέπει να περιλαμβάνει λεπτομερή ιατρική εκτίμηση του ιστορικού φυματίωσης των ασθενών ή πιθανή προηγούμενη επαφή με άτομα με ενεργό φυματίωση και προηγούμενη και/ή τρέχουσα ανοσοκατασταλτική θεραπεία. Οι κατάλληλοι έλεγχοι (π.χ. δερματική δοκιμασία φυματίνης και ακτινογραφία θώρακος) θα πρέπει να διενεργηθούν σε όλους τους ασθενείς (οι τοπικές οδηγίες μπορεί να εφαρμοσθούν). Συνιστάται να καταγράφεται η διεξαγωγή και τα αποτελέσματα αυτών των εξετάσεων στην Κάρτα Υπενθύμισης του Ασθενούς. Όσοι συνταγογραφούν θα πρέπει να λαμβάνουν υπόψιν τους τον κίνδυνο ψευδώς αρνητικού αποτελέσματος της δερματικής δοκιμασίας φυματίνης, ειδικά στους σοβαρά νοσούντες ή στους ανοσοκατασταλμένους ασθενείς.</w:t>
      </w:r>
    </w:p>
    <w:p w14:paraId="5A8F2FFE" w14:textId="77777777" w:rsidR="00171824" w:rsidRDefault="00171824">
      <w:pPr>
        <w:widowControl/>
        <w:kinsoku w:val="0"/>
        <w:overflowPunct w:val="0"/>
        <w:rPr>
          <w:sz w:val="22"/>
          <w:szCs w:val="22"/>
          <w:lang w:val="el-GR"/>
        </w:rPr>
      </w:pPr>
    </w:p>
    <w:p w14:paraId="423117B6" w14:textId="77777777" w:rsidR="00171824" w:rsidRDefault="006D258C">
      <w:pPr>
        <w:pStyle w:val="BodyText"/>
        <w:widowControl/>
        <w:kinsoku w:val="0"/>
        <w:overflowPunct w:val="0"/>
        <w:ind w:left="0"/>
        <w:rPr>
          <w:lang w:val="el-GR"/>
        </w:rPr>
      </w:pPr>
      <w:r>
        <w:rPr>
          <w:lang w:val="el-GR"/>
        </w:rPr>
        <w:t>Σε περίπτωση διάγνωσης ενεργού φυματίωσης δε θα πρέπει να αρχίσει η θεραπεία με AMGEVITA (βλέπε παράγραφο 4.3).</w:t>
      </w:r>
    </w:p>
    <w:p w14:paraId="7067854B" w14:textId="77777777" w:rsidR="00171824" w:rsidRDefault="00171824">
      <w:pPr>
        <w:widowControl/>
        <w:kinsoku w:val="0"/>
        <w:overflowPunct w:val="0"/>
        <w:rPr>
          <w:sz w:val="22"/>
          <w:szCs w:val="22"/>
          <w:lang w:val="el-GR"/>
        </w:rPr>
      </w:pPr>
    </w:p>
    <w:p w14:paraId="4E7188D4" w14:textId="77777777" w:rsidR="00171824" w:rsidRDefault="006D258C">
      <w:pPr>
        <w:pStyle w:val="BodyText"/>
        <w:widowControl/>
        <w:kinsoku w:val="0"/>
        <w:overflowPunct w:val="0"/>
        <w:ind w:left="0"/>
        <w:rPr>
          <w:lang w:val="el-GR"/>
        </w:rPr>
      </w:pPr>
      <w:r>
        <w:rPr>
          <w:lang w:val="el-GR"/>
        </w:rPr>
        <w:t>Σε όλες τις άλλες περιπτώσεις οι οποίες περιγράφονται παρακάτω, θα πρέπει να εξετάζεται προσεκτικά ο λόγος οφέλους/ασφάλειας της θεραπείας.</w:t>
      </w:r>
    </w:p>
    <w:p w14:paraId="749B0D25" w14:textId="77777777" w:rsidR="00171824" w:rsidRDefault="00171824">
      <w:pPr>
        <w:widowControl/>
        <w:kinsoku w:val="0"/>
        <w:overflowPunct w:val="0"/>
        <w:rPr>
          <w:sz w:val="22"/>
          <w:szCs w:val="22"/>
          <w:lang w:val="el-GR"/>
        </w:rPr>
      </w:pPr>
    </w:p>
    <w:p w14:paraId="7B54465D" w14:textId="77777777" w:rsidR="00171824" w:rsidRDefault="006D258C">
      <w:pPr>
        <w:pStyle w:val="BodyText"/>
        <w:keepNext/>
        <w:keepLines/>
        <w:widowControl/>
        <w:kinsoku w:val="0"/>
        <w:overflowPunct w:val="0"/>
        <w:ind w:left="0"/>
        <w:rPr>
          <w:lang w:val="el-GR"/>
        </w:rPr>
      </w:pPr>
      <w:r>
        <w:rPr>
          <w:lang w:val="el-GR"/>
        </w:rPr>
        <w:t>Εάν υπάρχει υποψία για λανθάνουσα φυματίωση, θα πρέπει να ζητηθεί συμβουλή από γιατρό με εμπειρία στη φυματίωση.</w:t>
      </w:r>
    </w:p>
    <w:p w14:paraId="6B1C5CC9" w14:textId="77777777" w:rsidR="00171824" w:rsidRDefault="00171824">
      <w:pPr>
        <w:keepNext/>
        <w:keepLines/>
        <w:widowControl/>
        <w:kinsoku w:val="0"/>
        <w:overflowPunct w:val="0"/>
        <w:rPr>
          <w:sz w:val="22"/>
          <w:szCs w:val="22"/>
          <w:lang w:val="el-GR"/>
        </w:rPr>
      </w:pPr>
    </w:p>
    <w:p w14:paraId="3A2086BA" w14:textId="77777777" w:rsidR="00171824" w:rsidRDefault="006D258C">
      <w:pPr>
        <w:pStyle w:val="BodyText"/>
        <w:widowControl/>
        <w:kinsoku w:val="0"/>
        <w:overflowPunct w:val="0"/>
        <w:ind w:left="0"/>
        <w:rPr>
          <w:lang w:val="el-GR"/>
        </w:rPr>
      </w:pPr>
      <w:r>
        <w:rPr>
          <w:lang w:val="el-GR"/>
        </w:rPr>
        <w:t>Εάν διαγνωσθεί λανθάνουσα φυματίωση, πρέπει να ξεκινήσει κατάλληλη θεραπεία με αντιφυματική προφυλακτική αγωγή πριν από την έναρξη του AMGEVITA και σύμφωνα με τις τοπικές οδηγίες.</w:t>
      </w:r>
    </w:p>
    <w:p w14:paraId="0CDD6338" w14:textId="77777777" w:rsidR="00171824" w:rsidRDefault="00171824">
      <w:pPr>
        <w:widowControl/>
        <w:kinsoku w:val="0"/>
        <w:overflowPunct w:val="0"/>
        <w:rPr>
          <w:sz w:val="22"/>
          <w:szCs w:val="22"/>
          <w:lang w:val="el-GR"/>
        </w:rPr>
      </w:pPr>
    </w:p>
    <w:p w14:paraId="24340010" w14:textId="77777777" w:rsidR="00171824" w:rsidRDefault="006D258C">
      <w:pPr>
        <w:pStyle w:val="BodyText"/>
        <w:widowControl/>
        <w:kinsoku w:val="0"/>
        <w:overflowPunct w:val="0"/>
        <w:ind w:left="0"/>
        <w:rPr>
          <w:lang w:val="el-GR"/>
        </w:rPr>
      </w:pPr>
      <w:r>
        <w:rPr>
          <w:lang w:val="el-GR"/>
        </w:rPr>
        <w:t>Η χρήση της αντιφυματικής προφυλακτικής θεραπείας θα πρέπει, επίσης, να εξεταστεί πριν την έναρξη του AMGEVITA σε ασθενείς με πολλαπλούς ή σημαντικούς παράγοντες κινδύνου για φυματίωση, ακόμη και εάν έχουν αρνητική δοκιμασία για φυματίωση και σε ασθενείς με παλιό ιστορικό λανθάνουσας ή ενεργού φυματίωσης, στους οποίους δεν μπορεί να επιβεβαιωθεί η επαρκής θεραπεία.</w:t>
      </w:r>
    </w:p>
    <w:p w14:paraId="79F3196F" w14:textId="77777777" w:rsidR="00171824" w:rsidRDefault="00171824">
      <w:pPr>
        <w:widowControl/>
        <w:kinsoku w:val="0"/>
        <w:overflowPunct w:val="0"/>
        <w:rPr>
          <w:sz w:val="22"/>
          <w:szCs w:val="22"/>
          <w:lang w:val="el-GR"/>
        </w:rPr>
      </w:pPr>
    </w:p>
    <w:p w14:paraId="7E23BD4B" w14:textId="77777777" w:rsidR="00171824" w:rsidRDefault="006D258C">
      <w:pPr>
        <w:pStyle w:val="BodyText"/>
        <w:widowControl/>
        <w:kinsoku w:val="0"/>
        <w:overflowPunct w:val="0"/>
        <w:ind w:left="0"/>
        <w:rPr>
          <w:lang w:val="el-GR"/>
        </w:rPr>
      </w:pPr>
      <w:r>
        <w:rPr>
          <w:lang w:val="el-GR"/>
        </w:rPr>
        <w:t>Παρά την προφυλακτική θεραπεία για φυματίωση, περιπτώσεις επανενεργοποίησης φυματίωσης έχουν αναφερθεί σε ασθενείς που λάμβαναν θεραπεία με adalimumab. Μερικοί ασθενείς οι οποίοι έχουν θεραπευτεί με επιτυχία για ενεργό φυματίωση έχουν αναπτύξει ξανά φυματίωση κατά τη διάρκεια της θεραπείας τους με adalimumab.</w:t>
      </w:r>
    </w:p>
    <w:p w14:paraId="3C21DDC2" w14:textId="77777777" w:rsidR="00171824" w:rsidRDefault="00171824">
      <w:pPr>
        <w:pStyle w:val="BodyText"/>
        <w:widowControl/>
        <w:kinsoku w:val="0"/>
        <w:overflowPunct w:val="0"/>
        <w:ind w:left="0"/>
        <w:rPr>
          <w:lang w:val="el-GR"/>
        </w:rPr>
      </w:pPr>
    </w:p>
    <w:p w14:paraId="7A452A86" w14:textId="77777777" w:rsidR="00171824" w:rsidRDefault="006D258C">
      <w:pPr>
        <w:pStyle w:val="BodyText"/>
        <w:widowControl/>
        <w:kinsoku w:val="0"/>
        <w:overflowPunct w:val="0"/>
        <w:ind w:left="0"/>
        <w:rPr>
          <w:lang w:val="el-GR"/>
        </w:rPr>
      </w:pPr>
      <w:r>
        <w:rPr>
          <w:lang w:val="el-GR"/>
        </w:rPr>
        <w:t>Οι ασθενείς θα πρέπει να λάβουν οδηγίες να καταφύγουν σε ιατρική συμβουλή εάν προκύψουν σημεία/συμπτώματα που μπορεί να υποδηλώνουν λοίμωξη από φυματίωση (π.χ. επίμονος βήχας, φυσική αδυναμία/απώλεια βάρους, χαμηλός πυρετός, νωθρότητα) κατά τη διάρκεια ή μετά τη θεραπεία με AMGEVITA.</w:t>
      </w:r>
    </w:p>
    <w:p w14:paraId="4A7D48B8" w14:textId="77777777" w:rsidR="00171824" w:rsidRDefault="00171824">
      <w:pPr>
        <w:widowControl/>
        <w:kinsoku w:val="0"/>
        <w:overflowPunct w:val="0"/>
        <w:rPr>
          <w:sz w:val="22"/>
          <w:szCs w:val="22"/>
          <w:lang w:val="el-GR"/>
        </w:rPr>
      </w:pPr>
    </w:p>
    <w:p w14:paraId="435BA65E" w14:textId="77777777" w:rsidR="00171824" w:rsidRDefault="006D258C">
      <w:pPr>
        <w:widowControl/>
        <w:kinsoku w:val="0"/>
        <w:overflowPunct w:val="0"/>
        <w:rPr>
          <w:sz w:val="22"/>
          <w:szCs w:val="22"/>
          <w:lang w:val="el-GR"/>
        </w:rPr>
      </w:pPr>
      <w:r>
        <w:rPr>
          <w:i/>
          <w:iCs/>
          <w:sz w:val="22"/>
          <w:szCs w:val="22"/>
          <w:lang w:val="el-GR"/>
        </w:rPr>
        <w:t>Άλλες ευκαιριακές λοιμώξεις</w:t>
      </w:r>
    </w:p>
    <w:p w14:paraId="2E0A30BA" w14:textId="77777777" w:rsidR="00171824" w:rsidRDefault="00171824">
      <w:pPr>
        <w:widowControl/>
        <w:kinsoku w:val="0"/>
        <w:overflowPunct w:val="0"/>
        <w:rPr>
          <w:sz w:val="22"/>
          <w:szCs w:val="22"/>
          <w:lang w:val="el-GR"/>
        </w:rPr>
      </w:pPr>
    </w:p>
    <w:p w14:paraId="57FC1B79" w14:textId="77777777" w:rsidR="00171824" w:rsidRDefault="006D258C">
      <w:pPr>
        <w:pStyle w:val="BodyText"/>
        <w:widowControl/>
        <w:kinsoku w:val="0"/>
        <w:overflowPunct w:val="0"/>
        <w:ind w:left="0"/>
        <w:rPr>
          <w:lang w:val="el-GR"/>
        </w:rPr>
      </w:pPr>
      <w:r>
        <w:rPr>
          <w:lang w:val="el-GR"/>
        </w:rPr>
        <w:lastRenderedPageBreak/>
        <w:t>Ευκαιριακές λοιμώξεις, συμπεριλαμβανομένων διηθητικών μυκητιασικών λοιμώξεων έχουν παρατηρηθεί σε ασθενείς που λαμβάνουν adalimumab. Αυτές οι λοιμώξεις δεν αναγνωρίζονται συστηματικά σε ασθενείς που λαμβάνουν TNF-ανταγωνιστές με αποτέλεσμα καθυστερήσεις στη κατάλληλη θεραπεία, με αποτέλεσμα κάποιες φορές να έχουν θανατηφόρα έκβαση.</w:t>
      </w:r>
    </w:p>
    <w:p w14:paraId="7DB6CADE" w14:textId="77777777" w:rsidR="00171824" w:rsidRDefault="00171824">
      <w:pPr>
        <w:widowControl/>
        <w:kinsoku w:val="0"/>
        <w:overflowPunct w:val="0"/>
        <w:ind w:right="-1418"/>
        <w:rPr>
          <w:sz w:val="22"/>
          <w:szCs w:val="22"/>
          <w:lang w:val="el-GR"/>
        </w:rPr>
      </w:pPr>
    </w:p>
    <w:p w14:paraId="6891A5A6" w14:textId="77777777" w:rsidR="00171824" w:rsidRDefault="006D258C">
      <w:pPr>
        <w:pStyle w:val="BodyText"/>
        <w:widowControl/>
        <w:kinsoku w:val="0"/>
        <w:overflowPunct w:val="0"/>
        <w:ind w:left="0"/>
        <w:rPr>
          <w:lang w:val="el-GR"/>
        </w:rPr>
      </w:pPr>
      <w:r>
        <w:rPr>
          <w:lang w:val="el-GR"/>
        </w:rPr>
        <w:t>Για ασθενείς που αναπτύσσουν σημεία και συμπτώματα όπως πυρετό, κακουχία, απώλεια βάρους, εφιδρώσεις, βήχα, δύσπνοια και/ή πνευμονικά διηθήματα ή άλλες σοβαρές συστηματικές ασθένειες με ή χωρίς ταυτόχρονη καταπληξία, θα πρέπει να υπάρχει υποψία για διηθητική μυκητιασική λοίμωξη και η χορήγηση του AMGEVITA θα πρέπει να διακόπτεται άμεσα. Η διάγνωση και η χορήγηση εμπειρικής αντιμυκητιασικής θεραπείας στους ασθενείς αυτούς θα πρέπει να γίνεται σε συνεννόηση με ιατρό ειδικό στην περίθαλψη ασθενών με διηθητικές μυκητιασικές λοιμώξεις.</w:t>
      </w:r>
    </w:p>
    <w:p w14:paraId="368CCD03" w14:textId="77777777" w:rsidR="00171824" w:rsidRDefault="00171824">
      <w:pPr>
        <w:widowControl/>
        <w:kinsoku w:val="0"/>
        <w:overflowPunct w:val="0"/>
        <w:rPr>
          <w:sz w:val="22"/>
          <w:szCs w:val="22"/>
          <w:lang w:val="el-GR"/>
        </w:rPr>
      </w:pPr>
    </w:p>
    <w:p w14:paraId="52A1C1A8" w14:textId="77777777" w:rsidR="00171824" w:rsidRDefault="006D258C">
      <w:pPr>
        <w:pStyle w:val="BodyText"/>
        <w:widowControl/>
        <w:kinsoku w:val="0"/>
        <w:overflowPunct w:val="0"/>
        <w:ind w:left="0"/>
        <w:rPr>
          <w:lang w:val="el-GR"/>
        </w:rPr>
      </w:pPr>
      <w:r>
        <w:rPr>
          <w:u w:val="single"/>
          <w:lang w:val="el-GR"/>
        </w:rPr>
        <w:t>Επανενεργοποίηση Ηπατίτιδας Β</w:t>
      </w:r>
    </w:p>
    <w:p w14:paraId="228F3482" w14:textId="77777777" w:rsidR="00171824" w:rsidRDefault="00171824">
      <w:pPr>
        <w:widowControl/>
        <w:kinsoku w:val="0"/>
        <w:overflowPunct w:val="0"/>
        <w:rPr>
          <w:sz w:val="22"/>
          <w:szCs w:val="22"/>
          <w:lang w:val="el-GR"/>
        </w:rPr>
      </w:pPr>
    </w:p>
    <w:p w14:paraId="6ADE16F9" w14:textId="77777777" w:rsidR="00171824" w:rsidRDefault="006D258C">
      <w:pPr>
        <w:pStyle w:val="BodyText"/>
        <w:widowControl/>
        <w:kinsoku w:val="0"/>
        <w:overflowPunct w:val="0"/>
        <w:ind w:left="0"/>
        <w:rPr>
          <w:lang w:val="el-GR"/>
        </w:rPr>
      </w:pPr>
      <w:r>
        <w:rPr>
          <w:lang w:val="el-GR"/>
        </w:rPr>
        <w:t>Επανενεργοποίηση της ηπατίτιδας Β έχει προκύψει σε ασθενείς που λαμβάνουν TNF-ανταγωνιστή συμπεριλαμβανομένου του adalimumab, οι οποίοι είναι χρόνιοι φορείς του ιού (π.χ., αντιγόνο επιφανείας θετικό). Μερικές περιπτώσεις είχαν θανατηφόρα έκβαση. Οι ασθενείς θα πρέπει να ελέγχονται για λοίμωξη από ιό ηπατίτιδας Β πριν την έναρξη της θεραπείας με AMGEVITA. Για τους ασθενείς που είναι θετικοί στον έλεγχο για λοίμωξη από ηπατίτιδα Β, συνιστάται να συμβουλεύονται ένα γιατρό με εμπειρία στη θεραπεία της ηπατίτιδας Β.</w:t>
      </w:r>
    </w:p>
    <w:p w14:paraId="65242DB0" w14:textId="77777777" w:rsidR="00171824" w:rsidRDefault="00171824">
      <w:pPr>
        <w:widowControl/>
        <w:kinsoku w:val="0"/>
        <w:overflowPunct w:val="0"/>
        <w:rPr>
          <w:sz w:val="22"/>
          <w:szCs w:val="22"/>
          <w:lang w:val="el-GR"/>
        </w:rPr>
      </w:pPr>
    </w:p>
    <w:p w14:paraId="37F9B40C" w14:textId="77777777" w:rsidR="00171824" w:rsidRDefault="006D258C">
      <w:pPr>
        <w:pStyle w:val="BodyText"/>
        <w:widowControl/>
        <w:kinsoku w:val="0"/>
        <w:overflowPunct w:val="0"/>
        <w:ind w:left="0"/>
        <w:rPr>
          <w:lang w:val="el-GR"/>
        </w:rPr>
      </w:pPr>
      <w:r>
        <w:rPr>
          <w:lang w:val="el-GR"/>
        </w:rPr>
        <w:t>Οι φορείς του ιού της ηπατίτιδας Β οι οποίοι απαιτούν θεραπεία με AMGEVITA θα πρέπει να παρακολουθούνται στενά για σημεία και συμπτώματα ενεργού λοίμωξης από ιό ηπατίτιδας Β κατά τη διάρκεια της θεραπείας και για αρκετούς μήνες μετά τη διακοπή της θεραπείας. Δεν υπάρχουν διαθέσιμα επαρκή δεδομένα από τη θεραπεία ασθενών οι οποίοι είναι φορείς του ιού της ηπατίτιδας Β και λαμβάνουν αντιιική θεραπεία σε συνδυασμό με TNF-ανταγωνιστή, ώστε να εμποδίσουν την επανενεργοποίηση του ιού της ηπατίτιδας Β. Σε ασθενείς που εμφανίζουν επανενεργοποίηση του ιού της ηπατίτιδας Β, θα πρέπει να διακοπεί το AMGEVITA και να γίνει έναρξη με αποτελεσματική αντιιική θεραπεία με κατάλληλη υποστηρικτική θεραπεία.</w:t>
      </w:r>
    </w:p>
    <w:p w14:paraId="017CF48C" w14:textId="77777777" w:rsidR="00171824" w:rsidRDefault="00171824">
      <w:pPr>
        <w:widowControl/>
        <w:kinsoku w:val="0"/>
        <w:overflowPunct w:val="0"/>
        <w:rPr>
          <w:sz w:val="22"/>
          <w:szCs w:val="22"/>
          <w:lang w:val="el-GR"/>
        </w:rPr>
      </w:pPr>
    </w:p>
    <w:p w14:paraId="31BE5D93" w14:textId="77777777" w:rsidR="00171824" w:rsidRDefault="006D258C">
      <w:pPr>
        <w:pStyle w:val="BodyText"/>
        <w:widowControl/>
        <w:kinsoku w:val="0"/>
        <w:overflowPunct w:val="0"/>
        <w:ind w:left="0"/>
        <w:rPr>
          <w:lang w:val="el-GR"/>
        </w:rPr>
      </w:pPr>
      <w:r>
        <w:rPr>
          <w:u w:val="single"/>
          <w:lang w:val="el-GR"/>
        </w:rPr>
        <w:t>Νευρολογικά περιστατικά</w:t>
      </w:r>
    </w:p>
    <w:p w14:paraId="6F18AB84" w14:textId="77777777" w:rsidR="00171824" w:rsidRDefault="00171824">
      <w:pPr>
        <w:widowControl/>
        <w:kinsoku w:val="0"/>
        <w:overflowPunct w:val="0"/>
        <w:rPr>
          <w:sz w:val="22"/>
          <w:szCs w:val="22"/>
          <w:lang w:val="el-GR"/>
        </w:rPr>
      </w:pPr>
    </w:p>
    <w:p w14:paraId="2078C780" w14:textId="77777777" w:rsidR="00171824" w:rsidRDefault="006D258C">
      <w:pPr>
        <w:pStyle w:val="BodyText"/>
        <w:widowControl/>
        <w:kinsoku w:val="0"/>
        <w:overflowPunct w:val="0"/>
        <w:ind w:left="0"/>
        <w:rPr>
          <w:lang w:val="el-GR"/>
        </w:rPr>
      </w:pPr>
      <w:r>
        <w:rPr>
          <w:lang w:val="el-GR"/>
        </w:rPr>
        <w:t>Οι TNF-ανταγωνιστές, συμπεριλαμβανομένου του adalimumab, έχουν συσχετισθεί σε σπάνιες περιπτώσεις με την εμφάνιση ή την επιδείνωση κλινικών συμπτωμάτων και/ή ακτινολογικών ευρημάτων απομυελινωτικής νόσου του κεντρικού νευρικού συστήματος συμπεριλαμβανομένης της σκλήρυνσης κατά πλάκας και της οπτικής νευρίτιδας, και περιφερικής απομυελινωτικής νόσου συμπεριλαμβανομένου του συνδρόμου Guillain-Barré. Απαιτείται προσοχή από όσους συνταγογραφούν όταν πρόκειται να χορηγήσουν το AMGEVITA σε ασθενείς με προϋπάρχουσα ή με πρόσφατη εκδήλωση απομυελινωτικών διαταραχών του κεντρικού ή περιφερικού νευρικού συστήματος :σε περίπτωση που αναπτυχθεί οποιαδήποτε από αυτές τις διαταραχές πρέπει να εξετάζεται το ενδεχόμενο διακοπής του AMGEVITA. Υπάρχει μια γνωστή συσχέτιση μεταξύ της ενδιάμεσης ραγοειδίτιδας και των απομυελινωτικών διαταραχών του κεντρικού νευρικού συστήματος. Σε ασθενείς με μη-λοιμώδη ενδιάμεση ραγοειδίτιδα πρέπει να γίνεται νευρολογική εκτίμηση πριν από την έναρξη της θεραπείας με AMGEVITA και τακτικά κατά τη διάρκεια της θεραπείας για την αξιολόγηση προ-υπαρχουσών ή υπό ανάπτυξη απομυελινωτικών διαταραχών του κεντρικού νευρικού συστήματος.</w:t>
      </w:r>
    </w:p>
    <w:p w14:paraId="548A41F4" w14:textId="77777777" w:rsidR="00171824" w:rsidRDefault="00171824">
      <w:pPr>
        <w:pStyle w:val="BodyText"/>
        <w:widowControl/>
        <w:kinsoku w:val="0"/>
        <w:overflowPunct w:val="0"/>
        <w:ind w:left="0"/>
        <w:rPr>
          <w:lang w:val="el-GR"/>
        </w:rPr>
      </w:pPr>
    </w:p>
    <w:p w14:paraId="57112048" w14:textId="77777777" w:rsidR="00171824" w:rsidRDefault="006D258C">
      <w:pPr>
        <w:pStyle w:val="BodyText"/>
        <w:keepNext/>
        <w:widowControl/>
        <w:kinsoku w:val="0"/>
        <w:overflowPunct w:val="0"/>
        <w:ind w:left="0"/>
        <w:rPr>
          <w:lang w:val="el-GR"/>
        </w:rPr>
      </w:pPr>
      <w:r>
        <w:rPr>
          <w:u w:val="single"/>
          <w:lang w:val="el-GR"/>
        </w:rPr>
        <w:t>Αλλεργικές αντιδράσεις</w:t>
      </w:r>
    </w:p>
    <w:p w14:paraId="4710408C" w14:textId="77777777" w:rsidR="00171824" w:rsidRDefault="00171824">
      <w:pPr>
        <w:keepNext/>
        <w:widowControl/>
        <w:kinsoku w:val="0"/>
        <w:overflowPunct w:val="0"/>
        <w:rPr>
          <w:sz w:val="22"/>
          <w:szCs w:val="22"/>
          <w:lang w:val="el-GR"/>
        </w:rPr>
      </w:pPr>
    </w:p>
    <w:p w14:paraId="55892542" w14:textId="77777777" w:rsidR="00171824" w:rsidRDefault="006D258C">
      <w:pPr>
        <w:pStyle w:val="BodyText"/>
        <w:widowControl/>
        <w:kinsoku w:val="0"/>
        <w:overflowPunct w:val="0"/>
        <w:ind w:left="0"/>
        <w:rPr>
          <w:lang w:val="el-GR"/>
        </w:rPr>
      </w:pPr>
      <w:r>
        <w:rPr>
          <w:lang w:val="el-GR"/>
        </w:rPr>
        <w:t>Κατά τη διάρκεια των κλινικών μελετών οι σοβαρές αλλεργικές αντιδράσεις που σχετίζονται με το adalimumab ήταν σπάνιες. Μη σοβαρές αλλεργικές αντιδράσεις σχετιζόμενες με το adalimumab ήταν όχι συχνές κατά τη διάρκεια των κλινικών μελετών. Αναφορές σοβαρών αλλεργικών αντιδράσεων συμπεριλαμβανομένης και της αναφυλαξίας έχουν προκύψει μετά τη χορήγηση adalimumab. Εάν προκύψει αναφυλακτική αντίδραση ή άλλη σοβαρή αλλεργική αντίδραση, η χορήγηση του AMGEVITA πρέπει να διακοπεί αμέσως και να ξεκινήσει η κατάλληλη θεραπεία.</w:t>
      </w:r>
    </w:p>
    <w:p w14:paraId="09672C1F" w14:textId="77777777" w:rsidR="00171824" w:rsidRDefault="00171824">
      <w:pPr>
        <w:widowControl/>
        <w:kinsoku w:val="0"/>
        <w:overflowPunct w:val="0"/>
        <w:rPr>
          <w:sz w:val="22"/>
          <w:szCs w:val="22"/>
          <w:lang w:val="el-GR"/>
        </w:rPr>
      </w:pPr>
    </w:p>
    <w:p w14:paraId="56145E41" w14:textId="77777777" w:rsidR="00171824" w:rsidRDefault="006D258C">
      <w:pPr>
        <w:pStyle w:val="BodyText"/>
        <w:keepNext/>
        <w:widowControl/>
        <w:kinsoku w:val="0"/>
        <w:overflowPunct w:val="0"/>
        <w:ind w:left="0"/>
        <w:rPr>
          <w:lang w:val="el-GR"/>
        </w:rPr>
      </w:pPr>
      <w:r>
        <w:rPr>
          <w:u w:val="single"/>
          <w:lang w:val="el-GR"/>
        </w:rPr>
        <w:lastRenderedPageBreak/>
        <w:t>Ανοσοκαταστολή</w:t>
      </w:r>
    </w:p>
    <w:p w14:paraId="6670B7E8" w14:textId="77777777" w:rsidR="00171824" w:rsidRDefault="00171824">
      <w:pPr>
        <w:keepNext/>
        <w:widowControl/>
        <w:kinsoku w:val="0"/>
        <w:overflowPunct w:val="0"/>
        <w:rPr>
          <w:sz w:val="22"/>
          <w:szCs w:val="22"/>
          <w:lang w:val="el-GR"/>
        </w:rPr>
      </w:pPr>
    </w:p>
    <w:p w14:paraId="0D4C2663" w14:textId="77777777" w:rsidR="00171824" w:rsidRDefault="006D258C">
      <w:pPr>
        <w:pStyle w:val="BodyText"/>
        <w:widowControl/>
        <w:kinsoku w:val="0"/>
        <w:overflowPunct w:val="0"/>
        <w:ind w:left="0"/>
        <w:rPr>
          <w:lang w:val="el-GR"/>
        </w:rPr>
      </w:pPr>
      <w:r>
        <w:rPr>
          <w:lang w:val="el-GR"/>
        </w:rPr>
        <w:t>Σε μια μελέτη 64 ασθενών με ρευματοειδή αρθρίτιδα στους οποίους χορηγήθηκε το adalimumab, δεν παρατηρήθηκε καταστολή της υπερευαισθησίας επιβραδυνόμενου τύπου, μείωση των επιπέδων ανοσοσφαιρίνης ή αλλαγή στον αριθμό των ενεργοποιητικών Τ-, Β-, ΝΚ κυττάρων, των μονοκυττάρων/μακροφάγων και των ουδετερόφιλων.</w:t>
      </w:r>
    </w:p>
    <w:p w14:paraId="3D69550B" w14:textId="77777777" w:rsidR="00171824" w:rsidRDefault="00171824">
      <w:pPr>
        <w:widowControl/>
        <w:kinsoku w:val="0"/>
        <w:overflowPunct w:val="0"/>
        <w:rPr>
          <w:sz w:val="22"/>
          <w:szCs w:val="22"/>
          <w:lang w:val="el-GR"/>
        </w:rPr>
      </w:pPr>
    </w:p>
    <w:p w14:paraId="0CF05FDD" w14:textId="77777777" w:rsidR="00171824" w:rsidRDefault="006D258C">
      <w:pPr>
        <w:pStyle w:val="BodyText"/>
        <w:keepNext/>
        <w:widowControl/>
        <w:kinsoku w:val="0"/>
        <w:overflowPunct w:val="0"/>
        <w:ind w:left="0"/>
        <w:rPr>
          <w:lang w:val="el-GR"/>
        </w:rPr>
      </w:pPr>
      <w:r>
        <w:rPr>
          <w:u w:val="single"/>
          <w:lang w:val="el-GR"/>
        </w:rPr>
        <w:t>Kακοήθειες και λεμφοϋπερπλαστικές διαταραχές</w:t>
      </w:r>
    </w:p>
    <w:p w14:paraId="7C9A6518" w14:textId="77777777" w:rsidR="00171824" w:rsidRDefault="00171824">
      <w:pPr>
        <w:keepNext/>
        <w:widowControl/>
        <w:kinsoku w:val="0"/>
        <w:overflowPunct w:val="0"/>
        <w:rPr>
          <w:sz w:val="22"/>
          <w:szCs w:val="22"/>
          <w:lang w:val="el-GR"/>
        </w:rPr>
      </w:pPr>
    </w:p>
    <w:p w14:paraId="4A253251" w14:textId="77777777" w:rsidR="00171824" w:rsidRDefault="006D258C">
      <w:pPr>
        <w:pStyle w:val="BodyText"/>
        <w:widowControl/>
        <w:kinsoku w:val="0"/>
        <w:overflowPunct w:val="0"/>
        <w:ind w:left="0"/>
        <w:rPr>
          <w:lang w:val="el-GR"/>
        </w:rPr>
      </w:pPr>
      <w:r>
        <w:rPr>
          <w:lang w:val="el-GR"/>
        </w:rPr>
        <w:t>Στις ελεγχόμενες ομάδες κλινικών μελετών του adalimumab με ΤΝF-ανταγωνιστές, περισσότερες περιπτώσεις κακοήθειας συμπεριλαμβανομένου και του λεμφώματος έχουν παρατηρηθεί μεταξύ ασθενών που λαμβάνουν ΤΝF-ανταγωνιστές συγκριτικά με τους μάρτυρες. Παρόλα αυτά, η συχνότητα εμφάνισης ήταν σπάνια. Μετά την κυκλοφορία, έχουν αναφερθεί περιπτώσεις λευχαιμίας σε ασθενείς που έλαβαν θεραπεία με TNF-ανταγωνιστή. Υπάρχει αυξημένος κίνδυνος ανάπτυξης λεμφώματος και λευχαιμίας σε ασθενείς με ρευματοειδή αρθρίτιδα πάσχοντες από χρόνια, υψηλής ενεργότητας, φλεγμονώδη νόσο, το οποίο περιπλέκει την αξιολόγηση του κινδύνου. Με την παρούσα γνώση, δεν μπορεί να αποκλειστεί πιθανός κίνδυνος ανάπτυξης λεμφώματος, λευχαιμίας και άλλων κακοηθειών σε ασθενείς που τους χορηγείται θεραπεία με TNF-ανταγωνιστή.</w:t>
      </w:r>
    </w:p>
    <w:p w14:paraId="10083D26" w14:textId="77777777" w:rsidR="00171824" w:rsidRDefault="00171824">
      <w:pPr>
        <w:widowControl/>
        <w:kinsoku w:val="0"/>
        <w:overflowPunct w:val="0"/>
        <w:rPr>
          <w:sz w:val="22"/>
          <w:szCs w:val="22"/>
          <w:lang w:val="el-GR"/>
        </w:rPr>
      </w:pPr>
    </w:p>
    <w:p w14:paraId="271E879D" w14:textId="77777777" w:rsidR="00171824" w:rsidRDefault="006D258C">
      <w:pPr>
        <w:pStyle w:val="BodyText"/>
        <w:widowControl/>
        <w:kinsoku w:val="0"/>
        <w:overflowPunct w:val="0"/>
        <w:ind w:left="0"/>
        <w:rPr>
          <w:lang w:val="el-GR"/>
        </w:rPr>
      </w:pPr>
      <w:r>
        <w:rPr>
          <w:lang w:val="el-GR"/>
        </w:rPr>
        <w:t>Μετά την κυκλοφορία, κακοήθειες, μερικές θανατηφόρες, έχουν αναφερθεί σε παιδιά, εφήβους και νεαρούς ενήλικες (έως 22 ετών) που έλαβαν θεραπεία με TNF-ανταγωνιστές (έναρξη θεραπείας σε ηλικία ≤ 18 ετών), συμπεριλαμβανομένου του adalimumab. Το ήμισυ περίπου των περιπτώσεων ήταν λεμφώματα. Οι άλλες περιπτώσεις αντιπροσώπευαν μια ποικιλία διαφορετικών κακοηθειών και συμπεριελάμβαναν σπάνιες κακοήθειες συνήθως συνδεόμενες με ανοσοκαταστολή. Δεν μπορεί να αποκλειστεί ο κίνδυνος για ανάπτυξη κακοηθειών σε παιδιά και εφήβους που έλαβαν θεραπεία με TNF</w:t>
      </w:r>
      <w:r>
        <w:rPr>
          <w:lang w:val="el-GR"/>
        </w:rPr>
        <w:noBreakHyphen/>
        <w:t>ανταγωνιστές.</w:t>
      </w:r>
    </w:p>
    <w:p w14:paraId="59455D56" w14:textId="77777777" w:rsidR="00171824" w:rsidRDefault="00171824">
      <w:pPr>
        <w:widowControl/>
        <w:kinsoku w:val="0"/>
        <w:overflowPunct w:val="0"/>
        <w:rPr>
          <w:sz w:val="22"/>
          <w:szCs w:val="22"/>
          <w:lang w:val="el-GR"/>
        </w:rPr>
      </w:pPr>
    </w:p>
    <w:p w14:paraId="551A9B23" w14:textId="77777777" w:rsidR="00171824" w:rsidRDefault="006D258C">
      <w:pPr>
        <w:pStyle w:val="BodyText"/>
        <w:widowControl/>
        <w:kinsoku w:val="0"/>
        <w:overflowPunct w:val="0"/>
        <w:ind w:left="0"/>
        <w:rPr>
          <w:lang w:val="el-GR"/>
        </w:rPr>
      </w:pPr>
      <w:r>
        <w:rPr>
          <w:lang w:val="el-GR"/>
        </w:rPr>
        <w:t>Μετά την κυκλοφορία έχουν ταυτοποιηθεί σπάνιες περιπτώσεις ηπατοσπληνικού Τ-cell λεμφώματος σε ασθενείς στους οποίους χορηγήθηκε adalimumab. Αυτός ο σπάνιος τύπος T-cell λεμφώματος έχει πολύ επιθετική πορεία και είναι συνήθως θανατηφόρος. Κάποιες από αυτές τις περιπτώσεις ηπατοσπληνικού Τ-cell λεμφώματος έχουν προκύψει σε νεαρούς ενήλικες ασθενείς στους οποίους χορηγείται adalimumab ταυτόχρονα με azathiοprine ή 6-mercaptopurine για φλεγμονώδη νοσήματα του εντέρου. Ο δυνητικός κίνδυνος με τον συνδυασμό αζαθειοπρίνης ή 6-mercaptopurine και AMGEVITA θα πρέπει να εξεταστεί προσεκτικά. Δεν μπορεί να αποκλειστεί ο κίνδυνος ανάπτυξης ηπατοσπληνικού Τ-cell λεμφώματος σε ασθενείς στους οποίους χορηγήθηκε AMGEVITA (βλέπε παράγραφο 4.8).</w:t>
      </w:r>
    </w:p>
    <w:p w14:paraId="78BE60F5" w14:textId="77777777" w:rsidR="00171824" w:rsidRDefault="00171824">
      <w:pPr>
        <w:widowControl/>
        <w:kinsoku w:val="0"/>
        <w:overflowPunct w:val="0"/>
        <w:rPr>
          <w:sz w:val="22"/>
          <w:szCs w:val="22"/>
          <w:lang w:val="el-GR"/>
        </w:rPr>
      </w:pPr>
    </w:p>
    <w:p w14:paraId="3A9A8FA4" w14:textId="77777777" w:rsidR="00171824" w:rsidRDefault="006D258C">
      <w:pPr>
        <w:pStyle w:val="BodyText"/>
        <w:widowControl/>
        <w:kinsoku w:val="0"/>
        <w:overflowPunct w:val="0"/>
        <w:ind w:left="0"/>
        <w:rPr>
          <w:lang w:val="el-GR"/>
        </w:rPr>
      </w:pPr>
      <w:r>
        <w:rPr>
          <w:lang w:val="el-GR"/>
        </w:rPr>
        <w:t>Δεν έχουν πραγματοποιηθεί μελέτες που περιέλαβαν ασθενείς με ιστορικό κακοήθειας ή με ασθενείς στους οποίους η θεραπεία με adalimumab συνεχίζεται παρά την ανάπτυξη κακοήθειας. Για αυτό απαιτείται ιδιαίτερη προσοχή κατά τη χορήγηση AMGEVITA σε αυτούς τους ασθενείς (βλέπε παράγραφο 4.8).</w:t>
      </w:r>
    </w:p>
    <w:p w14:paraId="56854B23" w14:textId="77777777" w:rsidR="00171824" w:rsidRDefault="00171824">
      <w:pPr>
        <w:widowControl/>
        <w:kinsoku w:val="0"/>
        <w:overflowPunct w:val="0"/>
        <w:rPr>
          <w:sz w:val="22"/>
          <w:szCs w:val="22"/>
          <w:lang w:val="el-GR"/>
        </w:rPr>
      </w:pPr>
    </w:p>
    <w:p w14:paraId="52A05F45" w14:textId="77777777" w:rsidR="00171824" w:rsidRDefault="006D258C">
      <w:pPr>
        <w:pStyle w:val="BodyText"/>
        <w:widowControl/>
        <w:kinsoku w:val="0"/>
        <w:overflowPunct w:val="0"/>
        <w:ind w:left="0"/>
        <w:rPr>
          <w:lang w:val="el-GR"/>
        </w:rPr>
      </w:pPr>
      <w:r>
        <w:rPr>
          <w:lang w:val="el-GR"/>
        </w:rPr>
        <w:t>Όλοι οι ασθενείς και ιδιαίτερα οι ασθενείς με ιατρικό ιστορικό εκτεταμένης ανοσοκατασταλτικής θεραπείας ή οι ασθενείς με ψωρίαση και με ιστορικό θεραπείας με PUVA θα πρέπει να εξετάζονται για την ύπαρξη μη μελανωματικού καρκίνου του δέρματος πριν και κατά τη διάρκεια της θεραπείας με AMGEVITA. Μελάνωμα και καρκίνωμα εκ κυττάρων Merkel (Merkel cell carcinoma) έχουν επίσης αναφερθεί σε ασθενείς που έλαβαν θεραπεία με TNF-ανταγωνιστές συμπεριλαμβανομένου του adalimumab (βλέπε παράγραφο 4.8).</w:t>
      </w:r>
    </w:p>
    <w:p w14:paraId="6D73C6EF" w14:textId="77777777" w:rsidR="00171824" w:rsidRDefault="00171824">
      <w:pPr>
        <w:pStyle w:val="BodyText"/>
        <w:widowControl/>
        <w:kinsoku w:val="0"/>
        <w:overflowPunct w:val="0"/>
        <w:ind w:left="0"/>
        <w:rPr>
          <w:lang w:val="el-GR"/>
        </w:rPr>
      </w:pPr>
    </w:p>
    <w:p w14:paraId="0DA3BC1C" w14:textId="77777777" w:rsidR="00171824" w:rsidRDefault="006D258C">
      <w:pPr>
        <w:pStyle w:val="BodyText"/>
        <w:widowControl/>
        <w:kinsoku w:val="0"/>
        <w:overflowPunct w:val="0"/>
        <w:ind w:left="0"/>
        <w:rPr>
          <w:lang w:val="el-GR"/>
        </w:rPr>
      </w:pPr>
      <w:r>
        <w:rPr>
          <w:lang w:val="el-GR"/>
        </w:rPr>
        <w:t>Σε μία ερευνητική κλινική μελέτη, η οποία αξιολογεί τη χρήση ενός άλλου TNF-ανταγωνιστή, του infliximab, σε ασθενείς με μέτρια έως σοβαρή χρόνια αποφρακτική πνευμονική νόσο (ΧΑΠ), έχουν αναφερθεί περισσότερες κακοήθειες, κυρίως στον πνεύμονα ή στην κεφαλή και στον τράχηλο, στους ασθενείς που λάμβαναν infliximab συγκριτικά με τους μάρτυρες. Όλοι οι ασθενείς είχαν ιστορικό συχνού καπνίσματος. Επομένως, θα πρέπει να δοθεί ιδιαίτερη προσοχή, όταν χρησιμοποιείται οποιοσδήποτε TNF-ανταγωνιστής σε ΧΑΠ ασθενείς, όπως επίσης και σε ασθενείς με αυξημένο κίνδυνο για κακοήθεια εξαιτίας του συχνού καπνίσματος.</w:t>
      </w:r>
    </w:p>
    <w:p w14:paraId="5D742642" w14:textId="77777777" w:rsidR="00171824" w:rsidRDefault="00171824">
      <w:pPr>
        <w:widowControl/>
        <w:kinsoku w:val="0"/>
        <w:overflowPunct w:val="0"/>
        <w:rPr>
          <w:sz w:val="22"/>
          <w:szCs w:val="22"/>
          <w:lang w:val="el-GR"/>
        </w:rPr>
      </w:pPr>
    </w:p>
    <w:p w14:paraId="4BEC92A2" w14:textId="77777777" w:rsidR="00171824" w:rsidRDefault="006D258C">
      <w:pPr>
        <w:pStyle w:val="BodyText"/>
        <w:widowControl/>
        <w:kinsoku w:val="0"/>
        <w:overflowPunct w:val="0"/>
        <w:ind w:left="0"/>
        <w:rPr>
          <w:lang w:val="el-GR"/>
        </w:rPr>
      </w:pPr>
      <w:r>
        <w:rPr>
          <w:lang w:val="el-GR"/>
        </w:rPr>
        <w:lastRenderedPageBreak/>
        <w:t>Με βάση τα τρέχοντα δεδομένα δεν είναι γνωστό εάν η θεραπεία με adalimumab επηρεάζει τον κίνδυνο για ανάπτυξη δυσπλασίας ή καρκίνου του παχέος εντέρου. Όλοι οι ασθενείς με ελκώδη κολίτιδα που διατρέχουν αυξημένο κίνδυνο για δυσπλασία ή καρκίνο του παχέος εντέρου (για παράδειγμα, ασθενείς με μακροχρόνια ελκώδη κολίτιδα ή πρωτοπαθή σκληρυντική χολαγγειίτιδα) ή οι οποίοι είχαν προηγούμενο ιστορικό δυσπλασίας ή καρκίνωμα του παχέος εντέρου θα πρέπει να εξετάζονται για δυσπλασία ανά τακτά χρονικά διαστήματα πριν τη θεραπεία και καθ' όλη την πορεία της νόσου τους. Η αξιολόγηση αυτή θα πρέπει να περιλαμβάνει κολονοσκόπηση και βιοψίες σύμφωνα με τις τοπικές οδηγίες.</w:t>
      </w:r>
    </w:p>
    <w:p w14:paraId="4DC236D4" w14:textId="77777777" w:rsidR="00171824" w:rsidRDefault="00171824">
      <w:pPr>
        <w:widowControl/>
        <w:kinsoku w:val="0"/>
        <w:overflowPunct w:val="0"/>
        <w:rPr>
          <w:sz w:val="22"/>
          <w:szCs w:val="22"/>
          <w:lang w:val="el-GR"/>
        </w:rPr>
      </w:pPr>
    </w:p>
    <w:p w14:paraId="2EBE4506" w14:textId="77777777" w:rsidR="00171824" w:rsidRDefault="006D258C">
      <w:pPr>
        <w:pStyle w:val="BodyText"/>
        <w:widowControl/>
        <w:kinsoku w:val="0"/>
        <w:overflowPunct w:val="0"/>
        <w:ind w:left="0"/>
        <w:rPr>
          <w:lang w:val="el-GR"/>
        </w:rPr>
      </w:pPr>
      <w:r>
        <w:rPr>
          <w:u w:val="single"/>
          <w:lang w:val="el-GR"/>
        </w:rPr>
        <w:t>Αιματολογικές αντιδράσεις</w:t>
      </w:r>
    </w:p>
    <w:p w14:paraId="546AC122" w14:textId="77777777" w:rsidR="00171824" w:rsidRDefault="00171824">
      <w:pPr>
        <w:widowControl/>
        <w:kinsoku w:val="0"/>
        <w:overflowPunct w:val="0"/>
        <w:rPr>
          <w:sz w:val="22"/>
          <w:szCs w:val="22"/>
          <w:lang w:val="el-GR"/>
        </w:rPr>
      </w:pPr>
    </w:p>
    <w:p w14:paraId="1E8019E8" w14:textId="77777777" w:rsidR="00171824" w:rsidRDefault="006D258C">
      <w:pPr>
        <w:pStyle w:val="BodyText"/>
        <w:widowControl/>
        <w:kinsoku w:val="0"/>
        <w:overflowPunct w:val="0"/>
        <w:ind w:left="0"/>
        <w:rPr>
          <w:lang w:val="el-GR"/>
        </w:rPr>
      </w:pPr>
      <w:r>
        <w:rPr>
          <w:lang w:val="el-GR"/>
        </w:rPr>
        <w:t>Έχουν αναφερθεί σπάνιες περιπτώσεις πανκυτταροπενίας συμπεριλαμβανομένης και της απλαστικής αναιμίας κατά τη χορήγηση ανταγωνιστών του ΤΝF. Ανεπιθύμητες ενέργειες του αιμοποιητικού συστήματος, συμπεριλαμβανομένης και κλινικά σημαντικής κυτταροπενίας (π.χ. θρομβοπενία, λευκοπενία) έχουν αναφερθεί με το adalimumab. Όλοι οι ασθενείς θα πρέπει να ενημερώνονται ώστε να αναζητήσουν άμεση ιατρική υποστήριξη εάν εμφανίσουν σημεία και συμπτώματα ύποπτα για δυσκρασία του αίματος (π.χ. επιμένων πυρετός, μώλωπες, αιμορραγία, ωχρότητα) ενώ τους έχει χορηγηθεί AMGEVITA. Διακοπή της θεραπείας με AMGEVITA θα πρέπει να εξετάζεται σε ασθενείς με επιβεβαιωμένα σημαντικές αιματολογικές ανωμαλίες.</w:t>
      </w:r>
    </w:p>
    <w:p w14:paraId="336EA9FB" w14:textId="77777777" w:rsidR="00171824" w:rsidRDefault="00171824">
      <w:pPr>
        <w:widowControl/>
        <w:kinsoku w:val="0"/>
        <w:overflowPunct w:val="0"/>
        <w:rPr>
          <w:sz w:val="22"/>
          <w:szCs w:val="22"/>
          <w:lang w:val="el-GR"/>
        </w:rPr>
      </w:pPr>
    </w:p>
    <w:p w14:paraId="377BCDB6" w14:textId="77777777" w:rsidR="00171824" w:rsidRDefault="006D258C">
      <w:pPr>
        <w:pStyle w:val="BodyText"/>
        <w:keepNext/>
        <w:widowControl/>
        <w:kinsoku w:val="0"/>
        <w:overflowPunct w:val="0"/>
        <w:ind w:left="0"/>
        <w:rPr>
          <w:lang w:val="el-GR"/>
        </w:rPr>
      </w:pPr>
      <w:r>
        <w:rPr>
          <w:u w:val="single"/>
          <w:lang w:val="el-GR"/>
        </w:rPr>
        <w:t>Εμβόλια</w:t>
      </w:r>
    </w:p>
    <w:p w14:paraId="238F9C8E" w14:textId="77777777" w:rsidR="00171824" w:rsidRDefault="00171824">
      <w:pPr>
        <w:keepNext/>
        <w:widowControl/>
        <w:kinsoku w:val="0"/>
        <w:overflowPunct w:val="0"/>
        <w:rPr>
          <w:sz w:val="22"/>
          <w:szCs w:val="22"/>
          <w:lang w:val="el-GR"/>
        </w:rPr>
      </w:pPr>
    </w:p>
    <w:p w14:paraId="5775BA78" w14:textId="77777777" w:rsidR="00171824" w:rsidRDefault="006D258C">
      <w:pPr>
        <w:pStyle w:val="BodyText"/>
        <w:keepNext/>
        <w:widowControl/>
        <w:kinsoku w:val="0"/>
        <w:overflowPunct w:val="0"/>
        <w:ind w:left="0"/>
        <w:rPr>
          <w:lang w:val="el-GR"/>
        </w:rPr>
      </w:pPr>
      <w:r>
        <w:rPr>
          <w:lang w:val="el-GR"/>
        </w:rPr>
        <w:t>Παρόμοιες ανταποκρίσεις αντισωμάτων ως προς το τυπικό 23-σθενές πνευμονιοκοκκικό εμβόλιο και του τριδύναμου εμβολιασμού κατά του ιού της γρίπης, παρατηρήθηκαν σε μία μελέτη σε 226 ενήλικες ασθενείς με ρευματοειδή αρθρίτιδα στους οποίους χορηγήθηκε adalimumab ή εικονικό φάρμακο. Δεν υπάρχουν διαθέσιμα στοιχεία για τη δευτερογενή μετάδοση της λοίμωξης από εμβόλια από ζώντες μικροοργανισμούς σε ασθενείς που λαμβάνουν adalimumab.</w:t>
      </w:r>
    </w:p>
    <w:p w14:paraId="5A7F60FD" w14:textId="77777777" w:rsidR="00171824" w:rsidRDefault="00171824">
      <w:pPr>
        <w:widowControl/>
        <w:kinsoku w:val="0"/>
        <w:overflowPunct w:val="0"/>
        <w:rPr>
          <w:sz w:val="22"/>
          <w:szCs w:val="22"/>
          <w:lang w:val="el-GR"/>
        </w:rPr>
      </w:pPr>
    </w:p>
    <w:p w14:paraId="63B8AA1E" w14:textId="77777777" w:rsidR="00171824" w:rsidRDefault="006D258C">
      <w:pPr>
        <w:pStyle w:val="BodyText"/>
        <w:widowControl/>
        <w:kinsoku w:val="0"/>
        <w:overflowPunct w:val="0"/>
        <w:ind w:left="0"/>
        <w:rPr>
          <w:lang w:val="el-GR"/>
        </w:rPr>
      </w:pPr>
      <w:r>
        <w:rPr>
          <w:lang w:val="el-GR"/>
        </w:rPr>
        <w:t>Συνιστάται, εφ’ όσον είναι εφικτό, οι παιδιατρικοί ασθενείς να έχουν πραγματοποιήσει τους απαραίτητους εμβολιασμούς σύμφωνα με τις ισχύουσες κατευθυντήριες οδηγίες για την ανοσοποίηση πριν από την έναρξη της θεραπείας με AMGEVITA.</w:t>
      </w:r>
    </w:p>
    <w:p w14:paraId="3E63236E" w14:textId="77777777" w:rsidR="00171824" w:rsidRDefault="00171824">
      <w:pPr>
        <w:widowControl/>
        <w:kinsoku w:val="0"/>
        <w:overflowPunct w:val="0"/>
        <w:rPr>
          <w:sz w:val="22"/>
          <w:szCs w:val="22"/>
          <w:lang w:val="el-GR"/>
        </w:rPr>
      </w:pPr>
    </w:p>
    <w:p w14:paraId="7C530754" w14:textId="77777777" w:rsidR="00171824" w:rsidRDefault="006D258C">
      <w:pPr>
        <w:pStyle w:val="BodyText"/>
        <w:keepNext/>
        <w:keepLines/>
        <w:widowControl/>
        <w:kinsoku w:val="0"/>
        <w:overflowPunct w:val="0"/>
        <w:ind w:left="0"/>
        <w:rPr>
          <w:lang w:val="el-GR"/>
        </w:rPr>
      </w:pPr>
      <w:r>
        <w:rPr>
          <w:lang w:val="el-GR"/>
        </w:rPr>
        <w:t>Oι ασθενείς που λαμβάνουν AMGEVITA είναι δυνατό να κάνουν ταυτόχρονα εμβολιασμούς, εκτός των εμβολίων από ζώντες μικροοργανισμούς. Η χορήγηση εμβολίων από ζώντες μικροοργανισμούς (π.χ. εμβόλιο BCG) για τα βρέφη που εκτίθενται σε AMGEVITA στη μήτρα δεν συνιστάται για 5 μήνες μετά την τελευταία ένεση AMGEVITA στη μητέρα κατά τη διάρκεια της εγκυμοσύνης.</w:t>
      </w:r>
    </w:p>
    <w:p w14:paraId="184D0F97" w14:textId="77777777" w:rsidR="00171824" w:rsidRDefault="00171824">
      <w:pPr>
        <w:pStyle w:val="BodyText"/>
        <w:widowControl/>
        <w:kinsoku w:val="0"/>
        <w:overflowPunct w:val="0"/>
        <w:ind w:left="0"/>
        <w:rPr>
          <w:lang w:val="el-GR"/>
        </w:rPr>
      </w:pPr>
    </w:p>
    <w:p w14:paraId="5F5BC0E3" w14:textId="77777777" w:rsidR="00171824" w:rsidRDefault="006D258C">
      <w:pPr>
        <w:pStyle w:val="BodyText"/>
        <w:keepNext/>
        <w:widowControl/>
        <w:kinsoku w:val="0"/>
        <w:overflowPunct w:val="0"/>
        <w:ind w:left="0"/>
        <w:rPr>
          <w:u w:val="single"/>
          <w:lang w:val="el-GR"/>
        </w:rPr>
      </w:pPr>
      <w:r>
        <w:rPr>
          <w:u w:val="single"/>
          <w:lang w:val="el-GR"/>
        </w:rPr>
        <w:t>Συμφορητική καρδιακή ανεπάρκεια</w:t>
      </w:r>
    </w:p>
    <w:p w14:paraId="5E03A4AC" w14:textId="77777777" w:rsidR="00171824" w:rsidRDefault="00171824">
      <w:pPr>
        <w:pStyle w:val="BodyText"/>
        <w:keepNext/>
        <w:widowControl/>
        <w:kinsoku w:val="0"/>
        <w:overflowPunct w:val="0"/>
        <w:ind w:left="0"/>
        <w:rPr>
          <w:lang w:val="el-GR"/>
        </w:rPr>
      </w:pPr>
    </w:p>
    <w:p w14:paraId="4CD13D04" w14:textId="77777777" w:rsidR="00171824" w:rsidRDefault="006D258C">
      <w:pPr>
        <w:pStyle w:val="BodyText"/>
        <w:widowControl/>
        <w:kinsoku w:val="0"/>
        <w:overflowPunct w:val="0"/>
        <w:ind w:left="0"/>
        <w:rPr>
          <w:lang w:val="el-GR"/>
        </w:rPr>
      </w:pPr>
      <w:r>
        <w:rPr>
          <w:lang w:val="el-GR"/>
        </w:rPr>
        <w:t>Σε μία κλινική μελέτη με έναν άλλο ανταγωνιστή του TNF, παρατηρήθηκε επιδείνωση της συμφορητικής καρδιακής ανεπάρκειας και αύξηση της θνησιμότητας λόγω συμφορητικής καρδιακής ανεπάρκειας. Έχουν παρατηρηθεί περιπτώσεις επιδείνωσης συμφορητικής καρδιακής ανεπάρκειας σε ασθενείς που έλαβαν adalimumab. Το AMGEVITA θα πρέπει να χρησιμοποιείται με προσοχή σε ασθενείς με ήπια καρδιακή ανεπάρκεια (ΝΥΗΑ class I/II). To AMGEVITA αντενδείκνυται στη μέτρια έως σοβαρή καρδιακή ανεπάρκεια (βλέπε παράγραφο 4.3). Η θεραπεία με το AMGEVITA θα πρέπει να διακόπτεται σε ασθενείς που αναπτύσσουν νέα συμπτώματα ή εμφανίζουν επιδείνωση συμπτωμάτων συμφορητικής καρδιακής ανεπάρκειας.</w:t>
      </w:r>
    </w:p>
    <w:p w14:paraId="121E96D3" w14:textId="77777777" w:rsidR="00171824" w:rsidRDefault="00171824">
      <w:pPr>
        <w:pStyle w:val="BodyText"/>
        <w:widowControl/>
        <w:kinsoku w:val="0"/>
        <w:overflowPunct w:val="0"/>
        <w:ind w:left="0"/>
        <w:rPr>
          <w:u w:val="single"/>
          <w:lang w:val="el-GR"/>
        </w:rPr>
      </w:pPr>
    </w:p>
    <w:p w14:paraId="3A8CE45C" w14:textId="77777777" w:rsidR="00171824" w:rsidRDefault="006D258C">
      <w:pPr>
        <w:pStyle w:val="BodyText"/>
        <w:widowControl/>
        <w:kinsoku w:val="0"/>
        <w:overflowPunct w:val="0"/>
        <w:ind w:left="0"/>
        <w:rPr>
          <w:lang w:val="el-GR"/>
        </w:rPr>
      </w:pPr>
      <w:r>
        <w:rPr>
          <w:u w:val="single"/>
          <w:lang w:val="el-GR"/>
        </w:rPr>
        <w:t>Αυτοάνοσες διεργασίες</w:t>
      </w:r>
    </w:p>
    <w:p w14:paraId="4A2170BE" w14:textId="77777777" w:rsidR="00171824" w:rsidRDefault="00171824">
      <w:pPr>
        <w:widowControl/>
        <w:kinsoku w:val="0"/>
        <w:overflowPunct w:val="0"/>
        <w:rPr>
          <w:sz w:val="22"/>
          <w:szCs w:val="22"/>
          <w:lang w:val="el-GR"/>
        </w:rPr>
      </w:pPr>
    </w:p>
    <w:p w14:paraId="7FEF0242" w14:textId="77777777" w:rsidR="00171824" w:rsidRDefault="006D258C">
      <w:pPr>
        <w:pStyle w:val="BodyText"/>
        <w:widowControl/>
        <w:kinsoku w:val="0"/>
        <w:overflowPunct w:val="0"/>
        <w:ind w:left="0"/>
        <w:rPr>
          <w:lang w:val="el-GR"/>
        </w:rPr>
      </w:pPr>
      <w:r>
        <w:rPr>
          <w:lang w:val="el-GR"/>
        </w:rPr>
        <w:t xml:space="preserve">Η θεραπεία με AMGEVITA ενδέχεται να έχει ως αποτέλεσμα το σχηματισμό αυτοάνοσων αντισωμάτων. Η επίδραση της μακροχρόνιας θεραπείας με AMGEVITA στην ανάπτυξη αυτοάνοσων νοσημάτων είναι άγνωστη. Εάν ένας ασθενής αναπτύσσει συμπτώματα ύποπτα για σύνδρομο προσομοιάζον με λύκο μετά τη χορήγηση με το AMGEVITA και έχει θετικά αντισώματα κατά διπλής έλικος DNA, δε θα πρέπει να χορηγείται περαιτέρω θεραπεία με AMGEVITA (βλέπε παράγραφο 4.8). </w:t>
      </w:r>
    </w:p>
    <w:p w14:paraId="0F36AAFF" w14:textId="77777777" w:rsidR="00171824" w:rsidRDefault="00171824">
      <w:pPr>
        <w:pStyle w:val="BodyText"/>
        <w:widowControl/>
        <w:kinsoku w:val="0"/>
        <w:overflowPunct w:val="0"/>
        <w:ind w:left="0"/>
        <w:rPr>
          <w:lang w:val="el-GR"/>
        </w:rPr>
      </w:pPr>
    </w:p>
    <w:p w14:paraId="3F4AA66B" w14:textId="77777777" w:rsidR="00171824" w:rsidRDefault="006D258C">
      <w:pPr>
        <w:pStyle w:val="BodyText"/>
        <w:keepNext/>
        <w:widowControl/>
        <w:kinsoku w:val="0"/>
        <w:overflowPunct w:val="0"/>
        <w:ind w:left="0"/>
        <w:rPr>
          <w:u w:val="single"/>
          <w:lang w:val="el-GR"/>
        </w:rPr>
      </w:pPr>
      <w:r>
        <w:rPr>
          <w:u w:val="single"/>
          <w:lang w:val="el-GR"/>
        </w:rPr>
        <w:lastRenderedPageBreak/>
        <w:t>Ταυτόχρονη χορήγηση βιολογικών DMARDs ή TNF-ανταγωνιστών</w:t>
      </w:r>
    </w:p>
    <w:p w14:paraId="2DDF300A" w14:textId="77777777" w:rsidR="00171824" w:rsidRDefault="00171824">
      <w:pPr>
        <w:pStyle w:val="BodyText"/>
        <w:widowControl/>
        <w:kinsoku w:val="0"/>
        <w:overflowPunct w:val="0"/>
        <w:ind w:left="0"/>
        <w:rPr>
          <w:lang w:val="el-GR"/>
        </w:rPr>
      </w:pPr>
    </w:p>
    <w:p w14:paraId="6642A8F3" w14:textId="77777777" w:rsidR="00171824" w:rsidRDefault="006D258C">
      <w:pPr>
        <w:pStyle w:val="BodyText"/>
        <w:widowControl/>
        <w:kinsoku w:val="0"/>
        <w:overflowPunct w:val="0"/>
        <w:ind w:left="0"/>
        <w:rPr>
          <w:lang w:val="el-GR"/>
        </w:rPr>
      </w:pPr>
      <w:r>
        <w:rPr>
          <w:lang w:val="el-GR"/>
        </w:rPr>
        <w:t>Σοβαρές λοιμώξεις παρατηρήθηκαν σε κλινικές μελέτες με ταυτόχρονη χορήγηση anakinra και άλλου ΤΝF-ανταγωνιστή, του etanercept, χωρίς κανένα επιπρόσθετο κλινικό όφελος σε σύγκριση με τη χορήγηση του etanercept ως μονοθεραπεία. Εξαιτίας της φύσης των ανεπιθύμητων ενεργειών που παρατηρήθηκαν με το συνδυασμό etanercept και anakinra, είναι πιθανό να προκύψουν όμοιες τοξικές επιδράσεις με το συνδυασμό anakinra και άλλου TNF-ανταγωνιστή. Ως εκ τούτου, ο συνδυασμός του AMGEVITA με anakinra δε συνιστάται (βλέπε παράγραφο 4.5).</w:t>
      </w:r>
    </w:p>
    <w:p w14:paraId="265870C2" w14:textId="77777777" w:rsidR="00171824" w:rsidRDefault="00171824">
      <w:pPr>
        <w:widowControl/>
        <w:kinsoku w:val="0"/>
        <w:overflowPunct w:val="0"/>
        <w:rPr>
          <w:sz w:val="22"/>
          <w:szCs w:val="22"/>
          <w:lang w:val="el-GR"/>
        </w:rPr>
      </w:pPr>
    </w:p>
    <w:p w14:paraId="29EA8D55" w14:textId="77777777" w:rsidR="00171824" w:rsidRDefault="006D258C">
      <w:pPr>
        <w:pStyle w:val="BodyText"/>
        <w:widowControl/>
        <w:kinsoku w:val="0"/>
        <w:overflowPunct w:val="0"/>
        <w:ind w:left="0"/>
        <w:rPr>
          <w:lang w:val="el-GR"/>
        </w:rPr>
      </w:pPr>
      <w:r>
        <w:rPr>
          <w:lang w:val="el-GR"/>
        </w:rPr>
        <w:t>Ταυτόχρονη χορήγηση του AMGEVITA με άλλα βιολογικά τροποποιητικά της νόσου αντιρευματικά φάρμακα (DMARDs) (π.χ. anakinra και abatacept) ή άλλους ΤΝF-ανταγωνιστές δεν συνιστάται, λόγω πιθανού αυξημένου κινδύνου για λοιμώξεις, συμπεριλαμβανομένων σοβαρών λοιμώξεων και για άλλες πιθανές φαρμακολογικές αλληλεπιδράσεις (βλέπε παράγραφο 4.5).</w:t>
      </w:r>
    </w:p>
    <w:p w14:paraId="263CBAF7" w14:textId="77777777" w:rsidR="00171824" w:rsidRDefault="00171824">
      <w:pPr>
        <w:widowControl/>
        <w:kinsoku w:val="0"/>
        <w:overflowPunct w:val="0"/>
        <w:rPr>
          <w:sz w:val="22"/>
          <w:lang w:val="el-GR"/>
        </w:rPr>
      </w:pPr>
    </w:p>
    <w:p w14:paraId="02DD5B58" w14:textId="77777777" w:rsidR="00171824" w:rsidRDefault="006D258C">
      <w:pPr>
        <w:pStyle w:val="BodyText"/>
        <w:keepNext/>
        <w:widowControl/>
        <w:kinsoku w:val="0"/>
        <w:overflowPunct w:val="0"/>
        <w:ind w:left="0"/>
        <w:rPr>
          <w:lang w:val="el-GR"/>
        </w:rPr>
      </w:pPr>
      <w:r>
        <w:rPr>
          <w:u w:val="single"/>
          <w:lang w:val="el-GR"/>
        </w:rPr>
        <w:t>Χειρουργικές επεμβάσεις</w:t>
      </w:r>
    </w:p>
    <w:p w14:paraId="0105E8A2" w14:textId="77777777" w:rsidR="00171824" w:rsidRDefault="00171824">
      <w:pPr>
        <w:keepNext/>
        <w:widowControl/>
        <w:kinsoku w:val="0"/>
        <w:overflowPunct w:val="0"/>
        <w:rPr>
          <w:sz w:val="22"/>
          <w:szCs w:val="22"/>
          <w:lang w:val="el-GR"/>
        </w:rPr>
      </w:pPr>
    </w:p>
    <w:p w14:paraId="5ABA4207" w14:textId="77777777" w:rsidR="00171824" w:rsidRDefault="006D258C">
      <w:pPr>
        <w:pStyle w:val="BodyText"/>
        <w:widowControl/>
        <w:kinsoku w:val="0"/>
        <w:overflowPunct w:val="0"/>
        <w:ind w:left="0"/>
        <w:rPr>
          <w:lang w:val="el-GR"/>
        </w:rPr>
      </w:pPr>
      <w:r>
        <w:rPr>
          <w:lang w:val="el-GR"/>
        </w:rPr>
        <w:t>Υπάρχει περιορισμένη εμπειρία για την ασφάλεια στις χειρουργικές επεμβάσεις ασθενών που λαμβάνουν adalimumab. Ο μεγάλος χρόνος ημίσειας ζωής του adalimumab θα πρέπει να λαμβάνεται υπόψη όταν προγραμματίζεται μια χειρουργική επέμβαση. Ο ασθενής o oποίος πρέπει να υποβληθεί σε επέμβαση ενώ είναι υπό θεραπεία με AMGEVITA θα πρέπει να παρακολουθείται στενά για λοιμώξεις και να λαμβάνονται τα ανάλογα μέτρα. Υπάρχει περιορισμένη εμπειρία για την ασφάλεια σε ασθενείς που υποβάλλονται σε αρθροπλαστική επέμβαση ενώ λαμβάνουν adalimumab.</w:t>
      </w:r>
    </w:p>
    <w:p w14:paraId="3683F9B4" w14:textId="77777777" w:rsidR="00171824" w:rsidRDefault="00171824">
      <w:pPr>
        <w:widowControl/>
        <w:kinsoku w:val="0"/>
        <w:overflowPunct w:val="0"/>
        <w:rPr>
          <w:sz w:val="22"/>
          <w:szCs w:val="22"/>
          <w:lang w:val="el-GR"/>
        </w:rPr>
      </w:pPr>
    </w:p>
    <w:p w14:paraId="000F3C18" w14:textId="77777777" w:rsidR="00171824" w:rsidRDefault="006D258C">
      <w:pPr>
        <w:pStyle w:val="BodyText"/>
        <w:keepNext/>
        <w:widowControl/>
        <w:kinsoku w:val="0"/>
        <w:overflowPunct w:val="0"/>
        <w:ind w:left="0"/>
        <w:rPr>
          <w:lang w:val="el-GR"/>
        </w:rPr>
      </w:pPr>
      <w:r>
        <w:rPr>
          <w:u w:val="single"/>
          <w:lang w:val="el-GR"/>
        </w:rPr>
        <w:t>Απόφραξη του λεπτού εντέρου</w:t>
      </w:r>
    </w:p>
    <w:p w14:paraId="6381260E" w14:textId="77777777" w:rsidR="00171824" w:rsidRDefault="00171824">
      <w:pPr>
        <w:keepNext/>
        <w:widowControl/>
        <w:kinsoku w:val="0"/>
        <w:overflowPunct w:val="0"/>
        <w:rPr>
          <w:sz w:val="22"/>
          <w:szCs w:val="22"/>
          <w:lang w:val="el-GR"/>
        </w:rPr>
      </w:pPr>
    </w:p>
    <w:p w14:paraId="6C9DCFE9" w14:textId="77777777" w:rsidR="00171824" w:rsidRDefault="006D258C">
      <w:pPr>
        <w:pStyle w:val="BodyText"/>
        <w:keepNext/>
        <w:widowControl/>
        <w:kinsoku w:val="0"/>
        <w:overflowPunct w:val="0"/>
        <w:ind w:left="0"/>
        <w:rPr>
          <w:lang w:val="el-GR"/>
        </w:rPr>
      </w:pPr>
      <w:r>
        <w:rPr>
          <w:lang w:val="el-GR"/>
        </w:rPr>
        <w:t>Η μη ανταπόκριση στη θεραπεία για τη νόσο του Crohn είναι πιθανό να υποδηλώνει τη παρουσία ινωτικού στενώματος το οποίο είναι πιθανό να απαιτεί χειρουργική αντιμετώπιση. Τα διαθέσιμα δεδομένα υποδεικνύουν ότι το adalimumab δεν επιδεινώνει ούτε προκαλεί στενώματα.</w:t>
      </w:r>
    </w:p>
    <w:p w14:paraId="7D3E098A" w14:textId="77777777" w:rsidR="00171824" w:rsidRDefault="00171824">
      <w:pPr>
        <w:widowControl/>
        <w:kinsoku w:val="0"/>
        <w:overflowPunct w:val="0"/>
        <w:rPr>
          <w:sz w:val="22"/>
          <w:szCs w:val="22"/>
          <w:lang w:val="el-GR"/>
        </w:rPr>
      </w:pPr>
    </w:p>
    <w:p w14:paraId="5000E28D" w14:textId="77777777" w:rsidR="00171824" w:rsidRDefault="006D258C">
      <w:pPr>
        <w:pStyle w:val="BodyText"/>
        <w:widowControl/>
        <w:kinsoku w:val="0"/>
        <w:overflowPunct w:val="0"/>
        <w:ind w:left="0"/>
        <w:rPr>
          <w:lang w:val="el-GR"/>
        </w:rPr>
      </w:pPr>
      <w:r>
        <w:rPr>
          <w:u w:val="single"/>
          <w:lang w:val="el-GR"/>
        </w:rPr>
        <w:t xml:space="preserve">Ηλικιωμένοι </w:t>
      </w:r>
    </w:p>
    <w:p w14:paraId="4D0018F5" w14:textId="77777777" w:rsidR="00171824" w:rsidRDefault="00171824">
      <w:pPr>
        <w:widowControl/>
        <w:kinsoku w:val="0"/>
        <w:overflowPunct w:val="0"/>
        <w:rPr>
          <w:sz w:val="22"/>
          <w:szCs w:val="22"/>
          <w:lang w:val="el-GR"/>
        </w:rPr>
      </w:pPr>
    </w:p>
    <w:p w14:paraId="17CA51C3" w14:textId="77777777" w:rsidR="00171824" w:rsidRDefault="006D258C">
      <w:pPr>
        <w:pStyle w:val="BodyText"/>
        <w:widowControl/>
        <w:kinsoku w:val="0"/>
        <w:overflowPunct w:val="0"/>
        <w:ind w:left="0"/>
        <w:rPr>
          <w:lang w:val="el-GR"/>
        </w:rPr>
      </w:pPr>
      <w:r>
        <w:rPr>
          <w:lang w:val="el-GR"/>
        </w:rPr>
        <w:t>Η συχνότητα σοβαρών λοιμώξεων μεταξύ ασθενών που λαμβάνουν adalimumab άνω των 65 ετών (3,7%) ήταν υψηλότερη από εκείνη για ασθενείς κάτω των 65 ετών (1,5%). Μερικοί εκ των οποίων είχαν θανατηφόρο έκβαση. Ιδιαίτερη προσοχή σχετικά με τον κίνδυνο λοιμώξεων εφιστάται κατά τη θεραπεία ηλικιωμένων.</w:t>
      </w:r>
    </w:p>
    <w:p w14:paraId="47AF68C0" w14:textId="77777777" w:rsidR="00171824" w:rsidRDefault="00171824">
      <w:pPr>
        <w:keepNext/>
        <w:keepLines/>
        <w:widowControl/>
        <w:kinsoku w:val="0"/>
        <w:overflowPunct w:val="0"/>
        <w:rPr>
          <w:sz w:val="22"/>
          <w:szCs w:val="22"/>
          <w:lang w:val="el-GR"/>
        </w:rPr>
      </w:pPr>
    </w:p>
    <w:p w14:paraId="2F526F75" w14:textId="77777777" w:rsidR="00171824" w:rsidRDefault="006D258C">
      <w:pPr>
        <w:pStyle w:val="BodyText"/>
        <w:keepNext/>
        <w:widowControl/>
        <w:kinsoku w:val="0"/>
        <w:overflowPunct w:val="0"/>
        <w:ind w:left="0"/>
        <w:rPr>
          <w:lang w:val="el-GR"/>
        </w:rPr>
      </w:pPr>
      <w:r>
        <w:rPr>
          <w:u w:val="single"/>
          <w:lang w:val="el-GR"/>
        </w:rPr>
        <w:t>Παιδιατρικός πληθυσμός</w:t>
      </w:r>
    </w:p>
    <w:p w14:paraId="088AAFF4" w14:textId="77777777" w:rsidR="00171824" w:rsidRDefault="00171824">
      <w:pPr>
        <w:keepNext/>
        <w:widowControl/>
        <w:kinsoku w:val="0"/>
        <w:overflowPunct w:val="0"/>
        <w:rPr>
          <w:sz w:val="22"/>
          <w:szCs w:val="22"/>
          <w:lang w:val="el-GR"/>
        </w:rPr>
      </w:pPr>
    </w:p>
    <w:p w14:paraId="4B8CCBF4" w14:textId="77777777" w:rsidR="00171824" w:rsidRDefault="006D258C">
      <w:pPr>
        <w:pStyle w:val="BodyText"/>
        <w:widowControl/>
        <w:kinsoku w:val="0"/>
        <w:overflowPunct w:val="0"/>
        <w:ind w:left="0"/>
        <w:rPr>
          <w:lang w:val="el-GR"/>
        </w:rPr>
      </w:pPr>
      <w:r>
        <w:rPr>
          <w:lang w:val="el-GR"/>
        </w:rPr>
        <w:t>Βλέπε «Εμβόλια» παραπάνω.</w:t>
      </w:r>
    </w:p>
    <w:p w14:paraId="73791ED6" w14:textId="77777777" w:rsidR="00171824" w:rsidRDefault="00171824">
      <w:pPr>
        <w:widowControl/>
        <w:kinsoku w:val="0"/>
        <w:overflowPunct w:val="0"/>
        <w:rPr>
          <w:sz w:val="22"/>
          <w:szCs w:val="22"/>
          <w:lang w:val="el-GR"/>
        </w:rPr>
      </w:pPr>
    </w:p>
    <w:p w14:paraId="08A0F7B9" w14:textId="77777777" w:rsidR="00171824" w:rsidRDefault="006D258C">
      <w:pPr>
        <w:widowControl/>
        <w:kinsoku w:val="0"/>
        <w:overflowPunct w:val="0"/>
        <w:rPr>
          <w:sz w:val="22"/>
          <w:szCs w:val="22"/>
          <w:lang w:val="el-GR"/>
        </w:rPr>
      </w:pPr>
      <w:r>
        <w:rPr>
          <w:sz w:val="22"/>
          <w:szCs w:val="22"/>
          <w:u w:val="single"/>
          <w:lang w:val="el-GR"/>
        </w:rPr>
        <w:t>Περιεχόμενο σε νάτριο</w:t>
      </w:r>
    </w:p>
    <w:p w14:paraId="224C30FA" w14:textId="77777777" w:rsidR="00171824" w:rsidRDefault="00171824">
      <w:pPr>
        <w:widowControl/>
        <w:kinsoku w:val="0"/>
        <w:overflowPunct w:val="0"/>
        <w:rPr>
          <w:sz w:val="22"/>
          <w:szCs w:val="22"/>
          <w:lang w:val="el-GR"/>
        </w:rPr>
      </w:pPr>
    </w:p>
    <w:p w14:paraId="5FFFA635" w14:textId="77777777" w:rsidR="00171824" w:rsidRDefault="006D258C">
      <w:pPr>
        <w:widowControl/>
        <w:kinsoku w:val="0"/>
        <w:overflowPunct w:val="0"/>
        <w:rPr>
          <w:sz w:val="22"/>
          <w:szCs w:val="22"/>
          <w:lang w:val="el-GR"/>
        </w:rPr>
      </w:pPr>
      <w:r>
        <w:rPr>
          <w:sz w:val="22"/>
          <w:szCs w:val="22"/>
          <w:lang w:val="el-GR"/>
        </w:rPr>
        <w:t>Αυτό το φαρμακευτικό προϊόν περιέχει λιγότερο από 1</w:t>
      </w:r>
      <w:r>
        <w:rPr>
          <w:sz w:val="22"/>
          <w:lang w:val="el-GR"/>
        </w:rPr>
        <w:t> </w:t>
      </w:r>
      <w:r>
        <w:rPr>
          <w:sz w:val="22"/>
          <w:szCs w:val="22"/>
          <w:lang w:val="el-GR"/>
        </w:rPr>
        <w:t>mmol νατρίου (23 mg) ανά δόση των 0,8 ml, είναι αυτό που ονομάζουμε «ελεύθερο νατρίου».</w:t>
      </w:r>
    </w:p>
    <w:p w14:paraId="6D9832B7" w14:textId="77777777" w:rsidR="00171824" w:rsidRDefault="00171824">
      <w:pPr>
        <w:widowControl/>
        <w:kinsoku w:val="0"/>
        <w:overflowPunct w:val="0"/>
        <w:rPr>
          <w:sz w:val="22"/>
          <w:szCs w:val="22"/>
          <w:lang w:val="el-GR"/>
        </w:rPr>
      </w:pPr>
    </w:p>
    <w:p w14:paraId="02DE932A"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Αλληλεπιδράσεις με άλλα φαρμακευτικά προϊόντα και άλλες μορφές αλληλεπίδρασης</w:t>
      </w:r>
    </w:p>
    <w:p w14:paraId="2FC06F53" w14:textId="77777777" w:rsidR="00171824" w:rsidRDefault="00171824">
      <w:pPr>
        <w:keepNext/>
        <w:widowControl/>
        <w:kinsoku w:val="0"/>
        <w:overflowPunct w:val="0"/>
        <w:rPr>
          <w:sz w:val="22"/>
          <w:szCs w:val="22"/>
          <w:lang w:val="el-GR"/>
        </w:rPr>
      </w:pPr>
    </w:p>
    <w:p w14:paraId="047B9E6C" w14:textId="77777777" w:rsidR="00171824" w:rsidRDefault="006D258C">
      <w:pPr>
        <w:pStyle w:val="BodyText"/>
        <w:widowControl/>
        <w:kinsoku w:val="0"/>
        <w:overflowPunct w:val="0"/>
        <w:ind w:left="0"/>
        <w:rPr>
          <w:lang w:val="el-GR"/>
        </w:rPr>
      </w:pPr>
      <w:r>
        <w:rPr>
          <w:lang w:val="el-GR"/>
        </w:rPr>
        <w:t>Το adalimumab έχει μελετηθεί σε ασθενείς με ρευματοειδή αρθρίτιδα, πολυαρθρική νεανική ιδιοπαθή αρθρίτιδα και ψωριασική αρθρίτιδα που λαμβάνουν adalimumab σαν μονοθεραπεία και σε ασθενείς που ταυτόχρονα λαμβάνουν και μεθοτρεξάτη. Ο σχηματισμός αντισωμάτων ήταν χαμηλότερος όταν το adalimumab δόθηκε σε συνδυασμό με μεθοτρεξάτη σε σύγκριση με τη χρήση του ως μονοθεραπεία. Η χορήγηση του adalimumab χωρίς μεθοτρεξάτη οδήγησε σε αυξημένο σχηματισμό αντισωμάτων, αύξηση ης κάθαρσης και μειωμένη αποτελεσματικότητα του adalimumab (βλέπε παράγραφο 5.1).</w:t>
      </w:r>
    </w:p>
    <w:p w14:paraId="1579427E" w14:textId="77777777" w:rsidR="00171824" w:rsidRDefault="00171824">
      <w:pPr>
        <w:widowControl/>
        <w:kinsoku w:val="0"/>
        <w:overflowPunct w:val="0"/>
        <w:rPr>
          <w:sz w:val="22"/>
          <w:szCs w:val="22"/>
          <w:lang w:val="el-GR"/>
        </w:rPr>
      </w:pPr>
    </w:p>
    <w:p w14:paraId="67F8AA85" w14:textId="77777777" w:rsidR="00171824" w:rsidRDefault="006D258C">
      <w:pPr>
        <w:pStyle w:val="BodyText"/>
        <w:widowControl/>
        <w:kinsoku w:val="0"/>
        <w:overflowPunct w:val="0"/>
        <w:ind w:left="0"/>
        <w:rPr>
          <w:lang w:val="el-GR"/>
        </w:rPr>
      </w:pPr>
      <w:r>
        <w:rPr>
          <w:lang w:val="el-GR"/>
        </w:rPr>
        <w:t>Ο συνδυασμός του AMGEVITA με anakinra δε συνιστάται (βλέπε παράγραφο 4.4 «Ταυτόχρονη χορήγηση βιολογικών DMARDs ή ΤΝF-ανταγωνιστών»).</w:t>
      </w:r>
    </w:p>
    <w:p w14:paraId="49B2ACD9" w14:textId="77777777" w:rsidR="00171824" w:rsidRDefault="00171824">
      <w:pPr>
        <w:widowControl/>
        <w:kinsoku w:val="0"/>
        <w:overflowPunct w:val="0"/>
        <w:rPr>
          <w:sz w:val="22"/>
          <w:szCs w:val="22"/>
          <w:lang w:val="el-GR"/>
        </w:rPr>
      </w:pPr>
    </w:p>
    <w:p w14:paraId="669DD653" w14:textId="77777777" w:rsidR="00171824" w:rsidRDefault="006D258C">
      <w:pPr>
        <w:pStyle w:val="BodyText"/>
        <w:widowControl/>
        <w:kinsoku w:val="0"/>
        <w:overflowPunct w:val="0"/>
        <w:ind w:left="0"/>
        <w:rPr>
          <w:lang w:val="el-GR"/>
        </w:rPr>
      </w:pPr>
      <w:r>
        <w:rPr>
          <w:lang w:val="el-GR"/>
        </w:rPr>
        <w:t>Ο συνδυασμός του AMGEVITA με abatacept δε συνιστάται (βλέπε παράγραφο 4.4 «Ταυτόχρονη χορήγηση βιολογικών DMARDs ή ΤΝF-ανταγωνιστών»).</w:t>
      </w:r>
    </w:p>
    <w:p w14:paraId="503411A8" w14:textId="77777777" w:rsidR="00171824" w:rsidRDefault="00171824">
      <w:pPr>
        <w:widowControl/>
        <w:kinsoku w:val="0"/>
        <w:overflowPunct w:val="0"/>
        <w:rPr>
          <w:sz w:val="22"/>
          <w:szCs w:val="22"/>
          <w:lang w:val="el-GR"/>
        </w:rPr>
      </w:pPr>
    </w:p>
    <w:p w14:paraId="78963C42"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Γονιμότητα, κύηση και γαλουχία</w:t>
      </w:r>
    </w:p>
    <w:p w14:paraId="3692B533" w14:textId="77777777" w:rsidR="00171824" w:rsidRDefault="00171824">
      <w:pPr>
        <w:keepNext/>
        <w:widowControl/>
        <w:kinsoku w:val="0"/>
        <w:overflowPunct w:val="0"/>
        <w:rPr>
          <w:sz w:val="22"/>
          <w:szCs w:val="22"/>
          <w:lang w:val="el-GR"/>
        </w:rPr>
      </w:pPr>
    </w:p>
    <w:p w14:paraId="353E3DDE" w14:textId="77777777" w:rsidR="00171824" w:rsidRDefault="006D258C">
      <w:pPr>
        <w:pStyle w:val="BodyText"/>
        <w:keepNext/>
        <w:widowControl/>
        <w:kinsoku w:val="0"/>
        <w:overflowPunct w:val="0"/>
        <w:ind w:left="0"/>
        <w:rPr>
          <w:lang w:val="el-GR"/>
        </w:rPr>
      </w:pPr>
      <w:r>
        <w:rPr>
          <w:u w:val="single"/>
          <w:lang w:val="el-GR"/>
        </w:rPr>
        <w:t>Γυναίκες σε αναπαραγωγική ηλικία</w:t>
      </w:r>
    </w:p>
    <w:p w14:paraId="2FD84D68" w14:textId="77777777" w:rsidR="00171824" w:rsidRDefault="00171824">
      <w:pPr>
        <w:keepNext/>
        <w:widowControl/>
        <w:kinsoku w:val="0"/>
        <w:overflowPunct w:val="0"/>
        <w:rPr>
          <w:sz w:val="22"/>
          <w:szCs w:val="22"/>
          <w:lang w:val="el-GR"/>
        </w:rPr>
      </w:pPr>
    </w:p>
    <w:p w14:paraId="181E6DDE" w14:textId="77777777" w:rsidR="00171824" w:rsidRDefault="006D258C">
      <w:pPr>
        <w:pStyle w:val="BodyText"/>
        <w:widowControl/>
        <w:kinsoku w:val="0"/>
        <w:overflowPunct w:val="0"/>
        <w:ind w:left="0"/>
        <w:jc w:val="both"/>
        <w:rPr>
          <w:lang w:val="el-GR"/>
        </w:rPr>
      </w:pPr>
      <w:r>
        <w:rPr>
          <w:lang w:val="el-GR"/>
        </w:rPr>
        <w:t>Σε γυναίκες που βρίσκονται σε αναπαραγωγική ηλικία πρέπει να εξετάζεται η χρήση κατάλληλης αντισύλληψης για την αποφυγή εγκυμοσύνης την οποία και να συνεχίζουν για τουλάχιστον πέντε μήνες μετά την τελευταία θεραπεία με AMGEVITA.</w:t>
      </w:r>
    </w:p>
    <w:p w14:paraId="6269A461" w14:textId="77777777" w:rsidR="00171824" w:rsidRDefault="00171824">
      <w:pPr>
        <w:widowControl/>
        <w:kinsoku w:val="0"/>
        <w:overflowPunct w:val="0"/>
        <w:rPr>
          <w:sz w:val="22"/>
          <w:szCs w:val="22"/>
          <w:lang w:val="el-GR"/>
        </w:rPr>
      </w:pPr>
    </w:p>
    <w:p w14:paraId="09D40910" w14:textId="77777777" w:rsidR="00171824" w:rsidRDefault="006D258C">
      <w:pPr>
        <w:pStyle w:val="BodyText"/>
        <w:widowControl/>
        <w:kinsoku w:val="0"/>
        <w:overflowPunct w:val="0"/>
        <w:ind w:left="0"/>
        <w:jc w:val="both"/>
        <w:rPr>
          <w:lang w:val="el-GR"/>
        </w:rPr>
      </w:pPr>
      <w:r>
        <w:rPr>
          <w:u w:val="single"/>
          <w:lang w:val="el-GR"/>
        </w:rPr>
        <w:t>Κύηση</w:t>
      </w:r>
    </w:p>
    <w:p w14:paraId="266C6CE7" w14:textId="77777777" w:rsidR="00171824" w:rsidRDefault="00171824">
      <w:pPr>
        <w:widowControl/>
        <w:kinsoku w:val="0"/>
        <w:overflowPunct w:val="0"/>
        <w:rPr>
          <w:sz w:val="22"/>
          <w:szCs w:val="22"/>
          <w:lang w:val="el-GR"/>
        </w:rPr>
      </w:pPr>
    </w:p>
    <w:p w14:paraId="289A9556" w14:textId="77777777" w:rsidR="00171824" w:rsidRDefault="006D258C">
      <w:pPr>
        <w:rPr>
          <w:sz w:val="22"/>
          <w:szCs w:val="22"/>
          <w:lang w:val="el-GR"/>
        </w:rPr>
      </w:pPr>
      <w:r>
        <w:rPr>
          <w:sz w:val="22"/>
          <w:szCs w:val="22"/>
          <w:lang w:val="el-GR"/>
        </w:rPr>
        <w:t>Ένας μεγάλος αριθμός (περίπου 2 100) προοπτικά συλλεγμένων κυήσεων που εκτέθηκαν σε adalimumab έχοντας ως αποτέλεσμα την γέννηση ζώντων νεογνών με γνωστές εκβάσεις, περιλαμβάνοντας περισσότερες από 1 500 κυήσεις με έκθεση στο adalimumab στη διάρκεια του πρώτου τριμήνου, δεν υποδεικνύει μια αύξηση στη συχνότητα δυσπλασίας στο νεογνό.</w:t>
      </w:r>
    </w:p>
    <w:p w14:paraId="4D5FDFA7" w14:textId="77777777" w:rsidR="00171824" w:rsidRDefault="00171824">
      <w:pPr>
        <w:widowControl/>
        <w:kinsoku w:val="0"/>
        <w:overflowPunct w:val="0"/>
        <w:rPr>
          <w:sz w:val="22"/>
          <w:szCs w:val="22"/>
          <w:lang w:val="el-GR"/>
        </w:rPr>
      </w:pPr>
    </w:p>
    <w:p w14:paraId="7213FA95" w14:textId="77777777" w:rsidR="00171824" w:rsidRDefault="006D258C">
      <w:pPr>
        <w:widowControl/>
        <w:rPr>
          <w:sz w:val="22"/>
          <w:lang w:val="el-GR"/>
        </w:rPr>
      </w:pPr>
      <w:r>
        <w:rPr>
          <w:sz w:val="22"/>
          <w:szCs w:val="22"/>
          <w:lang w:val="el-GR"/>
        </w:rPr>
        <w:t>Σε μία προοπτική καταγραφή εγγράφηκαν 257 γυναίκες με ρευματοειδή αρθρίτιδα (ΡΑ) ή νόσο του Crohn (CD) οι οποίες έλαβαν θεραπεία με adalimumab τουλάχιστον κατά τη διάρκεια του πρώτου τριμήνου και 120 γυναίκες με ΡΑ ή CD οι οποίες δεν έλαβαν θεραπεία με adalimumab. Το πρωτεύον καταληκτικό σημείο ήταν ο επιπολασμός της γέννησης με σημαντικές συγγενείς διαμαρτίες. Το ποσοστό των κυήσεων οι οποίες έληξαν με μια τουλάχιστον γέννηση ζωντανού νεογέννητου βρέφους με μια μείζονα συγγενή διαμαρτία ήταν 6/69 (8,7%) στις γυναίκες με ΡΑ που έλαβαν θεραπεία με adalimumab και 5/74 (6,8%) στις γυναίκες με ΡΑ που δεν έλαβαν θεραπεία (μη προσαρμοσμένο OR 1,31, 95% CI 0,38-4,52) και 16/152 (10,5%) στις γυναίκες με CD που έλαβαν θεραπεία με adalimumab και 3/32 (9,4%) στις γυναίκες με CD που δεν έλαβαν θεραπεία (μη προσαρμοσμένο OR 1,14, 95% CI 0,31-4,16). Το προσαρμοσμένο OR (λαμβάνεται υπόψη για τις διαφορές από την αρχική τιμή) ήταν 1,10 (95% CI 0,45-2,73) κατά τον συνδυασμό ΡΑ και CD. Δεν υπήρχαν διακριτές διαφορές μεταξύ των γυναικών που έλαβαν θεραπεία με adalimumab και γυναικών που δεν έλαβαν θεραπεία ως προς τα δευτερεύοντα καταληκτικά σημεία αυτόματων αποβολών, ελάσσονων συγγενών διαμαρτιών, πρόωρου τοκετού, μεγέθους νεογνού και σοβαρών ή ευκαιριακών λοιμώξεων και δεν αναφέρθηκαν τοκετοί νεκρού εμβρύου ή κακοήθειες. Η ερμηνεία των δεδομένων ενδέχεται να επηρεάστηκε λόγω των μεθοδολογικών περιορισμών της μελέτης, περιλαμβανομένων του μικρού μεγέθους δείγματος και του μη τυχαιοποιημένου σχεδιασμού</w:t>
      </w:r>
      <w:r>
        <w:rPr>
          <w:sz w:val="22"/>
          <w:lang w:val="el-GR"/>
        </w:rPr>
        <w:t>.</w:t>
      </w:r>
    </w:p>
    <w:p w14:paraId="03811C12" w14:textId="77777777" w:rsidR="00171824" w:rsidRDefault="00171824">
      <w:pPr>
        <w:widowControl/>
        <w:kinsoku w:val="0"/>
        <w:overflowPunct w:val="0"/>
        <w:rPr>
          <w:sz w:val="22"/>
          <w:szCs w:val="22"/>
          <w:lang w:val="el-GR"/>
        </w:rPr>
      </w:pPr>
    </w:p>
    <w:p w14:paraId="0B1E8E6C" w14:textId="77777777" w:rsidR="00171824" w:rsidRDefault="006D258C">
      <w:pPr>
        <w:pStyle w:val="BodyText"/>
        <w:widowControl/>
        <w:kinsoku w:val="0"/>
        <w:overflowPunct w:val="0"/>
        <w:ind w:left="0"/>
        <w:rPr>
          <w:lang w:val="el-GR"/>
        </w:rPr>
      </w:pPr>
      <w:r>
        <w:rPr>
          <w:lang w:val="el-GR"/>
        </w:rPr>
        <w:t>Σε μια μελέτη τοξικότητας στην ανάπτυξη που διεξήχθη σε πιθήκους, δεν υπήρξαν ενδείξεις μητρικής τοξικότητας, εμβρυοτοξικότητας ή τερατογένεσης. Δεν είναι διαθέσιμα προκλινικά δεδομένα για τη νεογνική τοξικότητα του adalimumab (βλέπε παράγραφο 5.3).</w:t>
      </w:r>
    </w:p>
    <w:p w14:paraId="2E4A7B56" w14:textId="77777777" w:rsidR="00171824" w:rsidRDefault="00171824">
      <w:pPr>
        <w:widowControl/>
        <w:kinsoku w:val="0"/>
        <w:overflowPunct w:val="0"/>
        <w:rPr>
          <w:sz w:val="22"/>
          <w:szCs w:val="22"/>
          <w:lang w:val="el-GR"/>
        </w:rPr>
      </w:pPr>
    </w:p>
    <w:p w14:paraId="7A6A4B42" w14:textId="77777777" w:rsidR="00171824" w:rsidRDefault="006D258C">
      <w:pPr>
        <w:pStyle w:val="BodyText"/>
        <w:widowControl/>
        <w:kinsoku w:val="0"/>
        <w:overflowPunct w:val="0"/>
        <w:ind w:left="0"/>
        <w:jc w:val="both"/>
        <w:rPr>
          <w:lang w:val="el-GR"/>
        </w:rPr>
      </w:pPr>
      <w:r>
        <w:rPr>
          <w:lang w:val="el-GR"/>
        </w:rPr>
        <w:t>Λόγω της αναστολής του TNFα, το adalimumab χορηγούμενο κατά τη διάρκεια της κύησης ενδέχεται να επηρεάσει τις φυσιολογικές άνοσες ανταποκρίσεις του νεογέννητου. Το AMGEVITA πρέπει να χρησιμοποιείται κατά τη διάρκεια της κύησης μόνο εφόσον σαφώς χρειάζεται.</w:t>
      </w:r>
    </w:p>
    <w:p w14:paraId="5AD62BF2" w14:textId="77777777" w:rsidR="00171824" w:rsidRDefault="00171824">
      <w:pPr>
        <w:widowControl/>
        <w:kinsoku w:val="0"/>
        <w:overflowPunct w:val="0"/>
        <w:rPr>
          <w:sz w:val="22"/>
          <w:szCs w:val="22"/>
          <w:lang w:val="el-GR"/>
        </w:rPr>
      </w:pPr>
    </w:p>
    <w:p w14:paraId="6560BE40" w14:textId="77777777" w:rsidR="00171824" w:rsidRDefault="006D258C">
      <w:pPr>
        <w:pStyle w:val="BodyText"/>
        <w:widowControl/>
        <w:kinsoku w:val="0"/>
        <w:overflowPunct w:val="0"/>
        <w:ind w:left="0"/>
        <w:rPr>
          <w:lang w:val="el-GR"/>
        </w:rPr>
      </w:pPr>
      <w:r>
        <w:rPr>
          <w:lang w:val="el-GR"/>
        </w:rPr>
        <w:t xml:space="preserve">Το adalimumab μπορεί να διαπεράσει τον πλακούντα και να εισέλθει στον ορό των νεογνών που γεννήθηκαν από γυναίκες που έλαβαν adalimumab κατά τη διάρκεια της εγκυμοσύνης. Κατά συνέπεια, αυτά τα βρέφη μπορεί να διατρέχουν αυξημένο κίνδυνο για λοίμωξη. Η χορήγηση εμβολίων από ζώντες μικροοργανισμούς (π.χ. εμβόλιο BCG) για τα βρέφη που εκτίθενται σε adalimumab </w:t>
      </w:r>
      <w:r>
        <w:rPr>
          <w:i/>
          <w:iCs/>
          <w:lang w:val="el-GR"/>
        </w:rPr>
        <w:t>in utero</w:t>
      </w:r>
      <w:r>
        <w:rPr>
          <w:lang w:val="el-GR"/>
        </w:rPr>
        <w:t xml:space="preserve"> δεν συνιστάται για 5 μήνες μετά την τελευταία ένεση adalimumab στη μητέρα κατά τη διάρκεια της εγκυμοσύνης.</w:t>
      </w:r>
    </w:p>
    <w:p w14:paraId="4B6F8733" w14:textId="77777777" w:rsidR="00171824" w:rsidRDefault="00171824">
      <w:pPr>
        <w:widowControl/>
        <w:kinsoku w:val="0"/>
        <w:overflowPunct w:val="0"/>
        <w:rPr>
          <w:sz w:val="22"/>
          <w:szCs w:val="22"/>
          <w:lang w:val="el-GR"/>
        </w:rPr>
      </w:pPr>
    </w:p>
    <w:p w14:paraId="10A2833A" w14:textId="77777777" w:rsidR="00171824" w:rsidRDefault="006D258C">
      <w:pPr>
        <w:pStyle w:val="BodyText"/>
        <w:widowControl/>
        <w:kinsoku w:val="0"/>
        <w:overflowPunct w:val="0"/>
        <w:ind w:left="0"/>
        <w:rPr>
          <w:lang w:val="el-GR"/>
        </w:rPr>
      </w:pPr>
      <w:r>
        <w:rPr>
          <w:u w:val="single"/>
          <w:lang w:val="el-GR"/>
        </w:rPr>
        <w:t>Θηλασμός</w:t>
      </w:r>
    </w:p>
    <w:p w14:paraId="4590F76D" w14:textId="77777777" w:rsidR="00171824" w:rsidRDefault="00171824">
      <w:pPr>
        <w:widowControl/>
        <w:kinsoku w:val="0"/>
        <w:overflowPunct w:val="0"/>
        <w:rPr>
          <w:sz w:val="22"/>
          <w:szCs w:val="22"/>
          <w:lang w:val="el-GR"/>
        </w:rPr>
      </w:pPr>
    </w:p>
    <w:p w14:paraId="6570E2A4" w14:textId="77777777" w:rsidR="00171824" w:rsidRDefault="006D258C">
      <w:pPr>
        <w:rPr>
          <w:sz w:val="22"/>
          <w:lang w:val="el-GR"/>
        </w:rPr>
      </w:pPr>
      <w:r>
        <w:rPr>
          <w:sz w:val="22"/>
          <w:szCs w:val="22"/>
          <w:lang w:val="el-GR"/>
        </w:rPr>
        <w:t xml:space="preserve">Περιορισμένες πληροφορίες από την δημοσιευμένη βιβλιογραφία υποδεικνύουν ότι το adalimumab απεκκρίνεται στο μητρικό γάλα σε πολύ χαμηλές συγκεντρώσεις με την παρουσία του adalimumab στο ανθρώπινο γάλα να είναι σε συγκεντρώσεις 0,1% έως 1% σε σχέση με τη συγκέντρωση στον ορό </w:t>
      </w:r>
      <w:r>
        <w:rPr>
          <w:sz w:val="22"/>
          <w:szCs w:val="22"/>
          <w:lang w:val="el-GR"/>
        </w:rPr>
        <w:lastRenderedPageBreak/>
        <w:t>του αίματος της μητέρας. Όταν χορηγούνται από του στόματος, οι πρωτεΐνες των ανοσοσφαιρινών G υφίστανται εντερική πρωτεόλυση και έχουν πτωχή βιοδιαθεσιμότητα. Δεν αναμένονται επιδράσεις στα θηλάζοντα νεογνά/βρέφη. Συνεπώς, το AMGEVITA μπορεί να χρησιμοποιηθεί κατά τη διάρκεια του θηλασμού.</w:t>
      </w:r>
    </w:p>
    <w:p w14:paraId="36B3A9CF" w14:textId="77777777" w:rsidR="00171824" w:rsidRDefault="00171824">
      <w:pPr>
        <w:widowControl/>
        <w:kinsoku w:val="0"/>
        <w:overflowPunct w:val="0"/>
        <w:rPr>
          <w:sz w:val="22"/>
          <w:szCs w:val="22"/>
          <w:lang w:val="el-GR"/>
        </w:rPr>
      </w:pPr>
    </w:p>
    <w:p w14:paraId="25864A2F" w14:textId="77777777" w:rsidR="00171824" w:rsidRDefault="006D258C">
      <w:pPr>
        <w:pStyle w:val="BodyText"/>
        <w:widowControl/>
        <w:kinsoku w:val="0"/>
        <w:overflowPunct w:val="0"/>
        <w:ind w:left="0"/>
        <w:rPr>
          <w:lang w:val="el-GR"/>
        </w:rPr>
      </w:pPr>
      <w:r>
        <w:rPr>
          <w:u w:val="single"/>
          <w:lang w:val="el-GR"/>
        </w:rPr>
        <w:t>Γονιμότητα</w:t>
      </w:r>
    </w:p>
    <w:p w14:paraId="2BD8BAB4" w14:textId="77777777" w:rsidR="00171824" w:rsidRDefault="00171824">
      <w:pPr>
        <w:widowControl/>
        <w:kinsoku w:val="0"/>
        <w:overflowPunct w:val="0"/>
        <w:rPr>
          <w:sz w:val="22"/>
          <w:szCs w:val="22"/>
          <w:lang w:val="el-GR"/>
        </w:rPr>
      </w:pPr>
    </w:p>
    <w:p w14:paraId="347F45C3" w14:textId="77777777" w:rsidR="00171824" w:rsidRDefault="006D258C">
      <w:pPr>
        <w:pStyle w:val="BodyText"/>
        <w:widowControl/>
        <w:kinsoku w:val="0"/>
        <w:overflowPunct w:val="0"/>
        <w:ind w:left="0"/>
        <w:rPr>
          <w:lang w:val="el-GR"/>
        </w:rPr>
      </w:pPr>
      <w:r>
        <w:rPr>
          <w:lang w:val="el-GR"/>
        </w:rPr>
        <w:t>Προκλινικά δεδομένα για τις επιδράσεις του adalimumab στη γονιμότητα δεν είναι διαθέσιμα.</w:t>
      </w:r>
    </w:p>
    <w:p w14:paraId="11A4106D" w14:textId="77777777" w:rsidR="00171824" w:rsidRDefault="00171824">
      <w:pPr>
        <w:widowControl/>
        <w:kinsoku w:val="0"/>
        <w:overflowPunct w:val="0"/>
        <w:rPr>
          <w:sz w:val="22"/>
          <w:szCs w:val="22"/>
          <w:lang w:val="el-GR"/>
        </w:rPr>
      </w:pPr>
    </w:p>
    <w:p w14:paraId="5E16DD1E"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Επιδράσεις στην ικανότητα οδήγησης και χειρισμού μηχανημάτων</w:t>
      </w:r>
    </w:p>
    <w:p w14:paraId="2E2DB898" w14:textId="77777777" w:rsidR="00171824" w:rsidRDefault="00171824">
      <w:pPr>
        <w:keepNext/>
        <w:widowControl/>
        <w:kinsoku w:val="0"/>
        <w:overflowPunct w:val="0"/>
        <w:rPr>
          <w:sz w:val="22"/>
          <w:szCs w:val="22"/>
          <w:lang w:val="el-GR"/>
        </w:rPr>
      </w:pPr>
    </w:p>
    <w:p w14:paraId="2B0F59E4" w14:textId="77777777" w:rsidR="00171824" w:rsidRDefault="006D258C">
      <w:pPr>
        <w:pStyle w:val="BodyText"/>
        <w:widowControl/>
        <w:kinsoku w:val="0"/>
        <w:overflowPunct w:val="0"/>
        <w:ind w:left="0"/>
        <w:rPr>
          <w:lang w:val="el-GR"/>
        </w:rPr>
      </w:pPr>
      <w:r>
        <w:rPr>
          <w:lang w:val="el-GR"/>
        </w:rPr>
        <w:t>Το AMGEVITA μπορεί να έχει μικρή επίδραση στην ικανότητα οδήγησης και χειρισμού μηχανημάτων. Ίλιγγος και διαταραχή της όρασης μπορεί να συμβούν μετά τη χορήγηση του AMGEVITA (βλέπε παράγραφο 4.8).</w:t>
      </w:r>
    </w:p>
    <w:p w14:paraId="06F83BED" w14:textId="77777777" w:rsidR="00171824" w:rsidRDefault="00171824">
      <w:pPr>
        <w:pStyle w:val="BodyText"/>
        <w:widowControl/>
        <w:kinsoku w:val="0"/>
        <w:overflowPunct w:val="0"/>
        <w:ind w:left="0"/>
        <w:rPr>
          <w:lang w:val="el-GR"/>
        </w:rPr>
      </w:pPr>
    </w:p>
    <w:p w14:paraId="7C1F9A22" w14:textId="77777777" w:rsidR="00171824" w:rsidRDefault="006D258C">
      <w:pPr>
        <w:pStyle w:val="Heading1"/>
        <w:widowControl/>
        <w:numPr>
          <w:ilvl w:val="1"/>
          <w:numId w:val="3"/>
        </w:numPr>
        <w:kinsoku w:val="0"/>
        <w:overflowPunct w:val="0"/>
        <w:ind w:left="567"/>
        <w:rPr>
          <w:b w:val="0"/>
          <w:bCs w:val="0"/>
          <w:lang w:val="el-GR"/>
        </w:rPr>
      </w:pPr>
      <w:r>
        <w:rPr>
          <w:lang w:val="el-GR"/>
        </w:rPr>
        <w:t>Ανεπιθύμητες ενέργειες</w:t>
      </w:r>
    </w:p>
    <w:p w14:paraId="6368FC8A" w14:textId="77777777" w:rsidR="00171824" w:rsidRDefault="00171824">
      <w:pPr>
        <w:widowControl/>
        <w:kinsoku w:val="0"/>
        <w:overflowPunct w:val="0"/>
        <w:rPr>
          <w:sz w:val="22"/>
          <w:szCs w:val="22"/>
          <w:lang w:val="el-GR"/>
        </w:rPr>
      </w:pPr>
    </w:p>
    <w:p w14:paraId="4DAD3371" w14:textId="77777777" w:rsidR="00171824" w:rsidRDefault="006D258C">
      <w:pPr>
        <w:pStyle w:val="BodyText"/>
        <w:widowControl/>
        <w:kinsoku w:val="0"/>
        <w:overflowPunct w:val="0"/>
        <w:ind w:left="0"/>
        <w:rPr>
          <w:lang w:val="el-GR"/>
        </w:rPr>
      </w:pPr>
      <w:r>
        <w:rPr>
          <w:u w:val="single"/>
          <w:lang w:val="el-GR"/>
        </w:rPr>
        <w:t>Περίληψη του προφίλ ασφάλειας</w:t>
      </w:r>
    </w:p>
    <w:p w14:paraId="089B52D1" w14:textId="77777777" w:rsidR="00171824" w:rsidRDefault="00171824">
      <w:pPr>
        <w:widowControl/>
        <w:kinsoku w:val="0"/>
        <w:overflowPunct w:val="0"/>
        <w:rPr>
          <w:sz w:val="22"/>
          <w:szCs w:val="22"/>
          <w:lang w:val="el-GR"/>
        </w:rPr>
      </w:pPr>
    </w:p>
    <w:p w14:paraId="49C4CA75" w14:textId="77777777" w:rsidR="00171824" w:rsidRDefault="006D258C">
      <w:pPr>
        <w:pStyle w:val="BodyText"/>
        <w:widowControl/>
        <w:kinsoku w:val="0"/>
        <w:overflowPunct w:val="0"/>
        <w:ind w:left="0"/>
        <w:rPr>
          <w:lang w:val="el-GR"/>
        </w:rPr>
      </w:pPr>
      <w:r>
        <w:rPr>
          <w:lang w:val="el-GR"/>
        </w:rPr>
        <w:t>Το adalimumab μελετήθηκε σε 9.506 ασθενείς κατά τη διάρκεια πιλοτικών ελεγχόμενων και ανοιχτών μελετών για περίοδο μέχρι 60 μήνες ή περισσότερο. Αυτές οι μελέτες περιελάμβαναν τόσο ασθενείς με πρώιμη ρευματοειδή αρθρίτιδα όσο και με μακροχρόνια νόσο, νεανική ιδιοπαθή αρθρίτιδα (πολυαρθρική νεανική ιδιοπαθή αρθρίτιδα και αρθρίτιδα σχετιζόμενη με ενθεσίτιδα), καθώς και ασθενείς με αξονική σπονδυλαρθρίτιδα (αγκυλοποιητική σπονδυλίτιδα και αξονική σπονδυλαρθρίτιδα χωρίς ακτινολογικά ευρήματα αγκυλοποιητικής σπονδυλίτιδας), ψωριασική αρθρίτιδα, νόσο του Crohn, ελκώδη κολίτιδα, ψωρίαση, διαπυητική ιδρωταδενίτιδα και ραγοειδίτιδα. Στις πιλοτικές ελεγχόμενες μελέτες συμμετείχαν 6.089 ασθενείς που έλαβαν adalimumab και 3.801 ασθενείς που έλαβαν εικονικό ή δραστικό φάρμακο κατά τη διάρκεια της περιόδου ελέγχου.</w:t>
      </w:r>
    </w:p>
    <w:p w14:paraId="1D97BCA1" w14:textId="77777777" w:rsidR="00171824" w:rsidRDefault="00171824">
      <w:pPr>
        <w:widowControl/>
        <w:kinsoku w:val="0"/>
        <w:overflowPunct w:val="0"/>
        <w:rPr>
          <w:sz w:val="22"/>
          <w:szCs w:val="22"/>
          <w:lang w:val="el-GR"/>
        </w:rPr>
      </w:pPr>
    </w:p>
    <w:p w14:paraId="612C22F6" w14:textId="77777777" w:rsidR="00171824" w:rsidRDefault="006D258C">
      <w:pPr>
        <w:pStyle w:val="BodyText"/>
        <w:widowControl/>
        <w:kinsoku w:val="0"/>
        <w:overflowPunct w:val="0"/>
        <w:ind w:left="0"/>
        <w:rPr>
          <w:lang w:val="el-GR"/>
        </w:rPr>
      </w:pPr>
      <w:r>
        <w:rPr>
          <w:lang w:val="el-GR"/>
        </w:rPr>
        <w:t>Το ποσοστό των ασθενών που διέκοψαν τη θεραπεία λόγω σοβαρών ανεπιθύμητων ενεργειών κατά τη διάρκεια της διπλής-τυφλής, ελεγχόμενης φάσης των πιλοτικών μελετών ήταν 5,9% για τους ασθενείς που έλαβαν το adalimumab και 5,4% για τους μάρτυρες ασθενείς.</w:t>
      </w:r>
    </w:p>
    <w:p w14:paraId="7546133A" w14:textId="77777777" w:rsidR="00171824" w:rsidRDefault="00171824">
      <w:pPr>
        <w:keepNext/>
        <w:widowControl/>
        <w:kinsoku w:val="0"/>
        <w:overflowPunct w:val="0"/>
        <w:rPr>
          <w:sz w:val="22"/>
          <w:szCs w:val="22"/>
          <w:lang w:val="el-GR"/>
        </w:rPr>
      </w:pPr>
    </w:p>
    <w:p w14:paraId="1C5C8C70" w14:textId="77777777" w:rsidR="00171824" w:rsidRDefault="006D258C">
      <w:pPr>
        <w:pStyle w:val="BodyText"/>
        <w:widowControl/>
        <w:kinsoku w:val="0"/>
        <w:overflowPunct w:val="0"/>
        <w:ind w:left="0"/>
        <w:rPr>
          <w:lang w:val="el-GR"/>
        </w:rPr>
      </w:pPr>
      <w:r>
        <w:rPr>
          <w:lang w:val="el-GR"/>
        </w:rPr>
        <w:t>Οι πιο συχνά αναφερόμενες ανεπιθύμητες ενέργειες είναι λοιμώξεις (όπως η ρινοφαρυγγίτιδα, λοιμώξεις του ανώτερου αναπνευστικού και παραρρινοκολπίτιδα), αντιδράσεις στη θέση της ένεσης (ερύθημα, κνησμός, αιμορραγία, πόνος ή οίδημα), κεφαλαλγία και μυοσκελετικός πόνος.</w:t>
      </w:r>
    </w:p>
    <w:p w14:paraId="25845B9D" w14:textId="77777777" w:rsidR="00171824" w:rsidRDefault="00171824">
      <w:pPr>
        <w:widowControl/>
        <w:kinsoku w:val="0"/>
        <w:overflowPunct w:val="0"/>
        <w:rPr>
          <w:sz w:val="22"/>
          <w:szCs w:val="22"/>
          <w:lang w:val="el-GR"/>
        </w:rPr>
      </w:pPr>
    </w:p>
    <w:p w14:paraId="61BB4EFB" w14:textId="77777777" w:rsidR="00171824" w:rsidRDefault="006D258C">
      <w:pPr>
        <w:pStyle w:val="BodyText"/>
        <w:widowControl/>
        <w:kinsoku w:val="0"/>
        <w:overflowPunct w:val="0"/>
        <w:ind w:left="0"/>
        <w:rPr>
          <w:lang w:val="el-GR"/>
        </w:rPr>
      </w:pPr>
      <w:r>
        <w:rPr>
          <w:lang w:val="el-GR"/>
        </w:rPr>
        <w:t>Σοβαρές ανεπιθύμητες ενέργειες έχουν αναφερθεί για το adalimumab. Οι TNF-ανταγωνιστές, όπως το AMGEVITA, επηρεάζουν το ανοσοποιητικό σύστημα και η χρήση τους μπορεί να επηρεάσει την άμυνα του οργανισμού κατά των λοιμώξεων και του καρκίνου.</w:t>
      </w:r>
    </w:p>
    <w:p w14:paraId="69D1CED2" w14:textId="77777777" w:rsidR="00171824" w:rsidRDefault="00171824">
      <w:pPr>
        <w:widowControl/>
        <w:kinsoku w:val="0"/>
        <w:overflowPunct w:val="0"/>
        <w:rPr>
          <w:sz w:val="22"/>
          <w:szCs w:val="22"/>
          <w:lang w:val="el-GR"/>
        </w:rPr>
      </w:pPr>
    </w:p>
    <w:p w14:paraId="30F82DC0" w14:textId="77777777" w:rsidR="00171824" w:rsidRDefault="006D258C">
      <w:pPr>
        <w:pStyle w:val="BodyText"/>
        <w:widowControl/>
        <w:kinsoku w:val="0"/>
        <w:overflowPunct w:val="0"/>
        <w:ind w:left="0"/>
        <w:rPr>
          <w:lang w:val="el-GR"/>
        </w:rPr>
      </w:pPr>
      <w:r>
        <w:rPr>
          <w:lang w:val="el-GR"/>
        </w:rPr>
        <w:t>Θανατηφόρες και απειλητικές για τη ζωή λοιμώξεις (συμπεριλαμβανομένης της σήψης, ευκαιριακών λοιμώξεων και φυματίωσης), επανενεργοποίηση του ιού ηπατίτιδας Β (HBV) και διάφορες κακοήθειες (συμπεριλαμβανομένης της λευχαιμίας, του λεμφώματος και του ηπατοσπληνικού λεμφώματος εκ Τ</w:t>
      </w:r>
      <w:r>
        <w:rPr>
          <w:lang w:val="el-GR"/>
        </w:rPr>
        <w:noBreakHyphen/>
        <w:t>κυττάρων (HSTCL)) έχουν επίσης αναφερθεί με τη χρήση του adalimumab.</w:t>
      </w:r>
    </w:p>
    <w:p w14:paraId="3BFFE1F6" w14:textId="77777777" w:rsidR="00171824" w:rsidRDefault="00171824">
      <w:pPr>
        <w:widowControl/>
        <w:kinsoku w:val="0"/>
        <w:overflowPunct w:val="0"/>
        <w:rPr>
          <w:sz w:val="22"/>
          <w:szCs w:val="22"/>
          <w:lang w:val="el-GR"/>
        </w:rPr>
      </w:pPr>
    </w:p>
    <w:p w14:paraId="628C7195" w14:textId="77777777" w:rsidR="00171824" w:rsidRDefault="006D258C">
      <w:pPr>
        <w:pStyle w:val="BodyText"/>
        <w:widowControl/>
        <w:kinsoku w:val="0"/>
        <w:overflowPunct w:val="0"/>
        <w:ind w:left="0"/>
        <w:rPr>
          <w:lang w:val="el-GR"/>
        </w:rPr>
      </w:pPr>
      <w:r>
        <w:rPr>
          <w:lang w:val="el-GR"/>
        </w:rPr>
        <w:t>Σοβαρές αιματολογικές, νευρολογικές και αυτοάνοσες αντιδράσεις έχουν επίσης αναφερθεί. Αυτά περιλαμβάνουν σπάνιες αναφορές πανκυτταροπενίας, απλαστικής αναιμίας, απομυελινωτικών συμβάντων κεντρικού και περιφερικού νευρικού συστήματος και αναφορές για συστηματικό ερυθηματώδη λύκο, καταστάσεων που προσομοιάζουν με λύκο και σύνδρομο Stevens-Johnson.</w:t>
      </w:r>
    </w:p>
    <w:p w14:paraId="40EE4B74" w14:textId="77777777" w:rsidR="00171824" w:rsidRDefault="00171824">
      <w:pPr>
        <w:widowControl/>
        <w:kinsoku w:val="0"/>
        <w:overflowPunct w:val="0"/>
        <w:rPr>
          <w:sz w:val="22"/>
          <w:szCs w:val="22"/>
          <w:lang w:val="el-GR"/>
        </w:rPr>
      </w:pPr>
    </w:p>
    <w:p w14:paraId="10D17151" w14:textId="77777777" w:rsidR="00171824" w:rsidRDefault="006D258C">
      <w:pPr>
        <w:pStyle w:val="BodyText"/>
        <w:widowControl/>
        <w:kinsoku w:val="0"/>
        <w:overflowPunct w:val="0"/>
        <w:ind w:left="0"/>
        <w:rPr>
          <w:lang w:val="el-GR"/>
        </w:rPr>
      </w:pPr>
      <w:r>
        <w:rPr>
          <w:u w:val="single"/>
          <w:lang w:val="el-GR"/>
        </w:rPr>
        <w:t>Παιδιατρικός πληθυσμός</w:t>
      </w:r>
    </w:p>
    <w:p w14:paraId="4DF4F18A" w14:textId="77777777" w:rsidR="00171824" w:rsidRDefault="00171824">
      <w:pPr>
        <w:widowControl/>
        <w:kinsoku w:val="0"/>
        <w:overflowPunct w:val="0"/>
        <w:rPr>
          <w:sz w:val="22"/>
          <w:szCs w:val="22"/>
          <w:lang w:val="el-GR"/>
        </w:rPr>
      </w:pPr>
    </w:p>
    <w:p w14:paraId="48E30F0D" w14:textId="77777777" w:rsidR="00171824" w:rsidRDefault="006D258C">
      <w:pPr>
        <w:pStyle w:val="BodyText"/>
        <w:widowControl/>
        <w:kinsoku w:val="0"/>
        <w:overflowPunct w:val="0"/>
        <w:ind w:left="0"/>
        <w:rPr>
          <w:lang w:val="el-GR"/>
        </w:rPr>
      </w:pPr>
      <w:r>
        <w:rPr>
          <w:lang w:val="el-GR"/>
        </w:rPr>
        <w:t>Οι ανεπιθύμητες ενέργειες σε παιδιατρικούς ασθενείς ήταν παρόμοιες στη συχνότητα και στον τύπο με εκείνες που εμφανίστηκαν σε ενήλικες ασθενείς.</w:t>
      </w:r>
    </w:p>
    <w:p w14:paraId="49C55058" w14:textId="77777777" w:rsidR="00171824" w:rsidRDefault="00171824">
      <w:pPr>
        <w:widowControl/>
        <w:kinsoku w:val="0"/>
        <w:overflowPunct w:val="0"/>
        <w:rPr>
          <w:sz w:val="22"/>
          <w:szCs w:val="22"/>
          <w:lang w:val="el-GR"/>
        </w:rPr>
      </w:pPr>
    </w:p>
    <w:p w14:paraId="31A82C04" w14:textId="77777777" w:rsidR="00171824" w:rsidRDefault="006D258C">
      <w:pPr>
        <w:pStyle w:val="BodyText"/>
        <w:keepNext/>
        <w:widowControl/>
        <w:kinsoku w:val="0"/>
        <w:overflowPunct w:val="0"/>
        <w:ind w:left="0"/>
        <w:rPr>
          <w:lang w:val="el-GR"/>
        </w:rPr>
      </w:pPr>
      <w:r>
        <w:rPr>
          <w:u w:val="single"/>
          <w:lang w:val="el-GR"/>
        </w:rPr>
        <w:lastRenderedPageBreak/>
        <w:t>Πίνακας με λίστα των ανεπιθύμητων ενεργειών</w:t>
      </w:r>
    </w:p>
    <w:p w14:paraId="1BAD6C73" w14:textId="77777777" w:rsidR="00171824" w:rsidRDefault="00171824">
      <w:pPr>
        <w:keepNext/>
        <w:widowControl/>
        <w:kinsoku w:val="0"/>
        <w:overflowPunct w:val="0"/>
        <w:rPr>
          <w:sz w:val="22"/>
          <w:szCs w:val="22"/>
          <w:lang w:val="el-GR"/>
        </w:rPr>
      </w:pPr>
    </w:p>
    <w:p w14:paraId="672626D5" w14:textId="7F693653" w:rsidR="00171824" w:rsidRDefault="006D258C">
      <w:pPr>
        <w:pStyle w:val="BodyText"/>
        <w:widowControl/>
        <w:kinsoku w:val="0"/>
        <w:overflowPunct w:val="0"/>
        <w:ind w:left="0"/>
        <w:rPr>
          <w:lang w:val="el-GR"/>
        </w:rPr>
      </w:pPr>
      <w:r>
        <w:rPr>
          <w:lang w:val="el-GR"/>
        </w:rPr>
        <w:t>Ο παρακάτω κατάλογος των ανεπιθύμητων ενεργειών βασίζεται στην εμπειρία από κλινικές μελέτες και στην εμπειρία μετά την κυκλοφορία και παρουσιάζεται ανά κατηγορία οργανικού συστήματος και συχνότητας στον πίνακα 7 που ακολουθεί: πολύ συχνές (≥ 1/10), συχνές (≥ 1/100 έως &lt; 1/10), όχι συχνές (≥ 1/1.000 έως &lt; 1/100), σπάνιες (≥ 1/10.000 έως &lt; 1/1.000) και μη γνωστ</w:t>
      </w:r>
      <w:ins w:id="1" w:author="Author">
        <w:r w:rsidR="00E10827">
          <w:rPr>
            <w:lang w:val="el-GR"/>
          </w:rPr>
          <w:t>ής συχνότητας</w:t>
        </w:r>
      </w:ins>
      <w:del w:id="2" w:author="Author">
        <w:r w:rsidDel="00E10827">
          <w:rPr>
            <w:lang w:val="el-GR"/>
          </w:rPr>
          <w:delText>ές</w:delText>
        </w:r>
      </w:del>
      <w:r>
        <w:rPr>
          <w:lang w:val="el-GR"/>
        </w:rPr>
        <w:t xml:space="preserve"> (δεν μπορούν να εκτιμηθούν με βάση τα διαθέσιμα δεδομένα). Εντός κάθε κατηγορίας συχνότητας εμφάνισης, οι ανεπιθύμητες ενέργειες παρατίθενται κατά φθίνουσα σειρά σοβαρότητας. Έχει συμπεριληφθεί η υψηλότερη συχνότητα που παρατηρήθηκε μεταξύ των διαφόρων ενδείξεων. Ένας αστερίσκος (*) εμφανίζεται στη στήλη ΚΟΣ (Κατηγορία Οργανικού Συστήματος) εάν περαιτέρω πληροφορίες βρίσκονται σε κάποια άλλα σημεία των παραγράφων 4.3, 4.4 και 4.8.</w:t>
      </w:r>
    </w:p>
    <w:p w14:paraId="3DAC95EA" w14:textId="77777777" w:rsidR="00171824" w:rsidRDefault="00171824">
      <w:pPr>
        <w:pStyle w:val="BodyText"/>
        <w:widowControl/>
        <w:kinsoku w:val="0"/>
        <w:overflowPunct w:val="0"/>
        <w:ind w:left="0"/>
        <w:rPr>
          <w:lang w:val="el-GR"/>
        </w:rPr>
      </w:pPr>
    </w:p>
    <w:p w14:paraId="2100185D" w14:textId="77777777" w:rsidR="00171824" w:rsidRDefault="006D258C">
      <w:pPr>
        <w:pStyle w:val="BodyText"/>
        <w:keepNext/>
        <w:keepLines/>
        <w:widowControl/>
        <w:ind w:left="0"/>
        <w:rPr>
          <w:b/>
          <w:lang w:val="el-GR"/>
        </w:rPr>
      </w:pPr>
      <w:r>
        <w:rPr>
          <w:b/>
          <w:lang w:val="el-GR"/>
        </w:rPr>
        <w:t>Πίνακας 7. Ανεπιθύμητες Ενέργειες</w:t>
      </w:r>
    </w:p>
    <w:p w14:paraId="1BB35FE9" w14:textId="77777777" w:rsidR="00171824" w:rsidRDefault="00171824">
      <w:pPr>
        <w:pStyle w:val="BodyText"/>
        <w:keepNext/>
        <w:keepLines/>
        <w:widowControl/>
        <w:ind w:left="0"/>
        <w:rPr>
          <w:bCs/>
          <w:lang w:val="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984"/>
        <w:gridCol w:w="4395"/>
      </w:tblGrid>
      <w:tr w:rsidR="00171824" w14:paraId="544DEE46" w14:textId="77777777">
        <w:trPr>
          <w:cantSplit/>
          <w:trHeight w:val="451"/>
          <w:tblHeader/>
        </w:trPr>
        <w:tc>
          <w:tcPr>
            <w:tcW w:w="2552" w:type="dxa"/>
            <w:vAlign w:val="center"/>
          </w:tcPr>
          <w:p w14:paraId="4B7322FE" w14:textId="77777777" w:rsidR="00171824" w:rsidRDefault="006D258C">
            <w:pPr>
              <w:pStyle w:val="TableParagraph"/>
              <w:keepNext/>
              <w:keepLines/>
              <w:widowControl/>
              <w:kinsoku w:val="0"/>
              <w:overflowPunct w:val="0"/>
              <w:rPr>
                <w:rFonts w:eastAsia="MS Mincho"/>
                <w:sz w:val="22"/>
                <w:szCs w:val="22"/>
                <w:lang w:val="el-GR"/>
              </w:rPr>
            </w:pPr>
            <w:r>
              <w:rPr>
                <w:rFonts w:eastAsia="MS Mincho"/>
                <w:b/>
                <w:bCs/>
                <w:sz w:val="22"/>
                <w:szCs w:val="22"/>
                <w:lang w:val="el-GR"/>
              </w:rPr>
              <w:t>Κατηγορία/Οργανικό συστημα</w:t>
            </w:r>
          </w:p>
        </w:tc>
        <w:tc>
          <w:tcPr>
            <w:tcW w:w="1984" w:type="dxa"/>
            <w:vAlign w:val="center"/>
          </w:tcPr>
          <w:p w14:paraId="1B1250B4" w14:textId="77777777" w:rsidR="00171824" w:rsidRDefault="006D258C">
            <w:pPr>
              <w:pStyle w:val="TableParagraph"/>
              <w:keepNext/>
              <w:keepLines/>
              <w:widowControl/>
              <w:kinsoku w:val="0"/>
              <w:overflowPunct w:val="0"/>
              <w:rPr>
                <w:rFonts w:eastAsia="MS Mincho"/>
                <w:sz w:val="22"/>
                <w:szCs w:val="22"/>
                <w:lang w:val="el-GR"/>
              </w:rPr>
            </w:pPr>
            <w:r>
              <w:rPr>
                <w:rFonts w:eastAsia="MS Mincho"/>
                <w:b/>
                <w:bCs/>
                <w:sz w:val="22"/>
                <w:szCs w:val="22"/>
                <w:lang w:val="el-GR"/>
              </w:rPr>
              <w:t>Συχνότητα</w:t>
            </w:r>
          </w:p>
        </w:tc>
        <w:tc>
          <w:tcPr>
            <w:tcW w:w="4395" w:type="dxa"/>
            <w:vAlign w:val="center"/>
          </w:tcPr>
          <w:p w14:paraId="28AEC87B" w14:textId="77777777" w:rsidR="00171824" w:rsidRDefault="006D258C">
            <w:pPr>
              <w:pStyle w:val="TableParagraph"/>
              <w:keepNext/>
              <w:keepLines/>
              <w:widowControl/>
              <w:kinsoku w:val="0"/>
              <w:overflowPunct w:val="0"/>
              <w:rPr>
                <w:rFonts w:eastAsia="MS Mincho"/>
                <w:sz w:val="22"/>
                <w:szCs w:val="22"/>
                <w:lang w:val="el-GR"/>
              </w:rPr>
            </w:pPr>
            <w:r>
              <w:rPr>
                <w:rFonts w:eastAsia="MS Mincho"/>
                <w:b/>
                <w:bCs/>
                <w:sz w:val="22"/>
                <w:szCs w:val="22"/>
                <w:lang w:val="el-GR"/>
              </w:rPr>
              <w:t>Ανεπιθύμητη ενέργεια</w:t>
            </w:r>
          </w:p>
        </w:tc>
      </w:tr>
      <w:tr w:rsidR="00171824" w:rsidRPr="00422380" w14:paraId="2B3E31DF" w14:textId="77777777">
        <w:trPr>
          <w:cantSplit/>
          <w:trHeight w:val="1520"/>
        </w:trPr>
        <w:tc>
          <w:tcPr>
            <w:tcW w:w="2552" w:type="dxa"/>
            <w:vMerge w:val="restart"/>
          </w:tcPr>
          <w:p w14:paraId="4CBADA3B"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και παρασιτώσεις*</w:t>
            </w:r>
          </w:p>
        </w:tc>
        <w:tc>
          <w:tcPr>
            <w:tcW w:w="1984" w:type="dxa"/>
          </w:tcPr>
          <w:p w14:paraId="3752EB5E"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031C3823"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αναπνευστικού συστήματος</w:t>
            </w:r>
          </w:p>
          <w:p w14:paraId="6CA25906"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(συμπεριλαμβάνεται λοίμωξη κατώτερου και ανώτερου αναπνευστικού συστήματος, πνευμονία, παραρρινοκολπίτιδα, φαρυγγίτιδα, ρινοφαρυγγίτιδα και πνευμονία από ιό του έρπητα)</w:t>
            </w:r>
          </w:p>
        </w:tc>
      </w:tr>
      <w:tr w:rsidR="00171824" w:rsidRPr="00422380" w14:paraId="7227DA57" w14:textId="77777777">
        <w:trPr>
          <w:cantSplit/>
          <w:trHeight w:val="2039"/>
        </w:trPr>
        <w:tc>
          <w:tcPr>
            <w:tcW w:w="2552" w:type="dxa"/>
            <w:vMerge/>
          </w:tcPr>
          <w:p w14:paraId="0C0BF7C7" w14:textId="77777777" w:rsidR="00171824" w:rsidRDefault="00171824">
            <w:pPr>
              <w:kinsoku w:val="0"/>
              <w:overflowPunct w:val="0"/>
              <w:rPr>
                <w:rFonts w:eastAsia="MS Mincho"/>
                <w:sz w:val="22"/>
                <w:szCs w:val="22"/>
                <w:lang w:val="el-GR"/>
              </w:rPr>
            </w:pPr>
          </w:p>
        </w:tc>
        <w:tc>
          <w:tcPr>
            <w:tcW w:w="1984" w:type="dxa"/>
          </w:tcPr>
          <w:p w14:paraId="422D56DF" w14:textId="77777777" w:rsidR="00171824" w:rsidRDefault="006D258C">
            <w:pPr>
              <w:kinsoku w:val="0"/>
              <w:overflowPunct w:val="0"/>
              <w:rPr>
                <w:rFonts w:eastAsia="MS Mincho"/>
                <w:sz w:val="22"/>
                <w:szCs w:val="22"/>
                <w:lang w:val="el-GR"/>
              </w:rPr>
            </w:pPr>
            <w:r>
              <w:rPr>
                <w:rFonts w:eastAsia="MS Mincho"/>
                <w:sz w:val="22"/>
                <w:szCs w:val="22"/>
                <w:lang w:val="el-GR"/>
              </w:rPr>
              <w:t>Συχνές</w:t>
            </w:r>
          </w:p>
        </w:tc>
        <w:tc>
          <w:tcPr>
            <w:tcW w:w="4395" w:type="dxa"/>
          </w:tcPr>
          <w:p w14:paraId="606A9116" w14:textId="77777777" w:rsidR="00171824" w:rsidRDefault="006D258C">
            <w:pPr>
              <w:kinsoku w:val="0"/>
              <w:overflowPunct w:val="0"/>
              <w:rPr>
                <w:rFonts w:eastAsia="MS Mincho"/>
                <w:sz w:val="22"/>
                <w:szCs w:val="22"/>
                <w:lang w:val="el-GR"/>
              </w:rPr>
            </w:pPr>
            <w:r>
              <w:rPr>
                <w:rFonts w:eastAsia="MS Mincho"/>
                <w:sz w:val="22"/>
                <w:szCs w:val="22"/>
                <w:lang w:val="el-GR"/>
              </w:rPr>
              <w:t>Συστηματικές λοιμώξεις (συμπεριλαμβάνεται σήψη, καντιντίαση και γρίπη),</w:t>
            </w:r>
          </w:p>
          <w:p w14:paraId="734CDE4B" w14:textId="77777777" w:rsidR="00171824" w:rsidRDefault="006D258C">
            <w:pPr>
              <w:kinsoku w:val="0"/>
              <w:overflowPunct w:val="0"/>
              <w:rPr>
                <w:rFonts w:eastAsia="MS Mincho"/>
                <w:sz w:val="22"/>
                <w:szCs w:val="22"/>
                <w:lang w:val="el-GR"/>
              </w:rPr>
            </w:pPr>
            <w:r>
              <w:rPr>
                <w:rFonts w:eastAsia="MS Mincho"/>
                <w:sz w:val="22"/>
                <w:szCs w:val="22"/>
                <w:lang w:val="el-GR"/>
              </w:rPr>
              <w:t>Εντερικές λοιμώξεις (συμπεριλαμβάνεται ιογενής γαστρεντερίτιδα),</w:t>
            </w:r>
          </w:p>
          <w:p w14:paraId="66F8D343" w14:textId="77777777" w:rsidR="00171824" w:rsidRDefault="006D258C">
            <w:pPr>
              <w:kinsoku w:val="0"/>
              <w:overflowPunct w:val="0"/>
              <w:rPr>
                <w:rFonts w:eastAsia="MS Mincho"/>
                <w:sz w:val="22"/>
                <w:szCs w:val="22"/>
                <w:lang w:val="el-GR"/>
              </w:rPr>
            </w:pPr>
            <w:r>
              <w:rPr>
                <w:rFonts w:eastAsia="MS Mincho"/>
                <w:sz w:val="22"/>
                <w:szCs w:val="22"/>
                <w:lang w:val="el-GR"/>
              </w:rPr>
              <w:t>Λοιμώξεις του δέρματος και των μαλακών μορίων (συμπεριλαμβάνεται παρονυχία, κυτταρίτιδα, λεύκη, νεκρωτική περιτονίτιδα και έρπητας ζωστήρας),</w:t>
            </w:r>
          </w:p>
          <w:p w14:paraId="72CDA075" w14:textId="77777777" w:rsidR="00171824" w:rsidRDefault="006D258C">
            <w:pPr>
              <w:kinsoku w:val="0"/>
              <w:overflowPunct w:val="0"/>
              <w:rPr>
                <w:rFonts w:eastAsia="MS Mincho"/>
                <w:sz w:val="22"/>
                <w:szCs w:val="22"/>
                <w:lang w:val="el-GR"/>
              </w:rPr>
            </w:pPr>
            <w:r>
              <w:rPr>
                <w:rFonts w:eastAsia="MS Mincho"/>
                <w:sz w:val="22"/>
                <w:szCs w:val="22"/>
                <w:lang w:val="el-GR"/>
              </w:rPr>
              <w:t>Λοιμώξεις των ώτων,</w:t>
            </w:r>
          </w:p>
          <w:p w14:paraId="559190A7" w14:textId="77777777" w:rsidR="00171824" w:rsidRDefault="006D258C">
            <w:pPr>
              <w:kinsoku w:val="0"/>
              <w:overflowPunct w:val="0"/>
              <w:rPr>
                <w:rFonts w:eastAsia="MS Mincho"/>
                <w:sz w:val="22"/>
                <w:szCs w:val="22"/>
                <w:lang w:val="el-GR"/>
              </w:rPr>
            </w:pPr>
            <w:r>
              <w:rPr>
                <w:rFonts w:eastAsia="MS Mincho"/>
                <w:sz w:val="22"/>
                <w:szCs w:val="22"/>
                <w:lang w:val="el-GR"/>
              </w:rPr>
              <w:t>Στοματικές λοιμώξεις (συμπεριλαμβάνεται έρπητας απλός, στοματικός έρπητας και οδοντικές λοιμώξεις),</w:t>
            </w:r>
          </w:p>
          <w:p w14:paraId="4C674317" w14:textId="77777777" w:rsidR="00171824" w:rsidRDefault="006D258C">
            <w:pPr>
              <w:kinsoku w:val="0"/>
              <w:overflowPunct w:val="0"/>
              <w:rPr>
                <w:rFonts w:eastAsia="MS Mincho"/>
                <w:sz w:val="22"/>
                <w:szCs w:val="22"/>
                <w:lang w:val="el-GR"/>
              </w:rPr>
            </w:pPr>
            <w:r>
              <w:rPr>
                <w:rFonts w:eastAsia="MS Mincho"/>
                <w:sz w:val="22"/>
                <w:szCs w:val="22"/>
                <w:lang w:val="el-GR"/>
              </w:rPr>
              <w:t>Λοιμώξεις αναπαραγωγικού συστήματος (συμπεριλαμβάνεται αιδοιοκολπική μυκητιασική λοίμωξη),</w:t>
            </w:r>
          </w:p>
          <w:p w14:paraId="30859CD4" w14:textId="77777777" w:rsidR="00171824" w:rsidRDefault="006D258C">
            <w:pPr>
              <w:kinsoku w:val="0"/>
              <w:overflowPunct w:val="0"/>
              <w:rPr>
                <w:rFonts w:eastAsia="MS Mincho"/>
                <w:sz w:val="22"/>
                <w:szCs w:val="22"/>
                <w:lang w:val="el-GR"/>
              </w:rPr>
            </w:pPr>
            <w:r>
              <w:rPr>
                <w:rFonts w:eastAsia="MS Mincho"/>
                <w:sz w:val="22"/>
                <w:szCs w:val="22"/>
                <w:lang w:val="el-GR"/>
              </w:rPr>
              <w:t>Λοιμώξεις ουροποιητικού συστήματος (συμπεριλαμβάνεται πυελονεφρίτιδα),</w:t>
            </w:r>
          </w:p>
          <w:p w14:paraId="10DE31D5" w14:textId="77777777" w:rsidR="00171824" w:rsidRDefault="006D258C">
            <w:pPr>
              <w:kinsoku w:val="0"/>
              <w:overflowPunct w:val="0"/>
              <w:rPr>
                <w:rFonts w:eastAsia="MS Mincho"/>
                <w:sz w:val="22"/>
                <w:szCs w:val="22"/>
                <w:lang w:val="el-GR"/>
              </w:rPr>
            </w:pPr>
            <w:r>
              <w:rPr>
                <w:rFonts w:eastAsia="MS Mincho"/>
                <w:sz w:val="22"/>
                <w:szCs w:val="22"/>
                <w:lang w:val="el-GR"/>
              </w:rPr>
              <w:t>Μυκητιασικές λοιμώξεις,</w:t>
            </w:r>
          </w:p>
          <w:p w14:paraId="372A706D" w14:textId="77777777" w:rsidR="00171824" w:rsidRDefault="006D258C">
            <w:pPr>
              <w:kinsoku w:val="0"/>
              <w:overflowPunct w:val="0"/>
              <w:rPr>
                <w:rFonts w:eastAsia="MS Mincho"/>
                <w:sz w:val="22"/>
                <w:szCs w:val="22"/>
                <w:lang w:val="el-GR"/>
              </w:rPr>
            </w:pPr>
            <w:r>
              <w:rPr>
                <w:rFonts w:eastAsia="MS Mincho"/>
                <w:sz w:val="22"/>
                <w:szCs w:val="22"/>
                <w:lang w:val="el-GR"/>
              </w:rPr>
              <w:t>Λοιμώξεις των αρθρώσεων</w:t>
            </w:r>
          </w:p>
        </w:tc>
      </w:tr>
      <w:tr w:rsidR="00171824" w14:paraId="5A1371D9" w14:textId="77777777">
        <w:trPr>
          <w:cantSplit/>
          <w:trHeight w:val="2322"/>
        </w:trPr>
        <w:tc>
          <w:tcPr>
            <w:tcW w:w="2552" w:type="dxa"/>
            <w:vMerge/>
          </w:tcPr>
          <w:p w14:paraId="7DF02626" w14:textId="77777777" w:rsidR="00171824" w:rsidRDefault="00171824">
            <w:pPr>
              <w:widowControl/>
              <w:kinsoku w:val="0"/>
              <w:overflowPunct w:val="0"/>
              <w:rPr>
                <w:rFonts w:eastAsia="MS Mincho"/>
                <w:sz w:val="22"/>
                <w:szCs w:val="22"/>
                <w:lang w:val="el-GR"/>
              </w:rPr>
            </w:pPr>
          </w:p>
        </w:tc>
        <w:tc>
          <w:tcPr>
            <w:tcW w:w="1984" w:type="dxa"/>
          </w:tcPr>
          <w:p w14:paraId="00F48B66" w14:textId="77777777" w:rsidR="00171824" w:rsidRDefault="006D258C">
            <w:pPr>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40948AD1" w14:textId="77777777" w:rsidR="00171824" w:rsidRDefault="006D258C">
            <w:pPr>
              <w:kinsoku w:val="0"/>
              <w:overflowPunct w:val="0"/>
              <w:rPr>
                <w:rFonts w:eastAsia="MS Mincho"/>
                <w:sz w:val="22"/>
                <w:szCs w:val="22"/>
                <w:lang w:val="el-GR"/>
              </w:rPr>
            </w:pPr>
            <w:r>
              <w:rPr>
                <w:rFonts w:eastAsia="MS Mincho"/>
                <w:sz w:val="22"/>
                <w:szCs w:val="22"/>
                <w:lang w:val="el-GR"/>
              </w:rPr>
              <w:t>Νευρολογικές λοιμώξεις (συμπεριλαμβάνεται ιογενής μηνιγγίτιδα),</w:t>
            </w:r>
          </w:p>
          <w:p w14:paraId="1D9E47B3" w14:textId="77777777" w:rsidR="00171824" w:rsidRDefault="006D258C">
            <w:pPr>
              <w:kinsoku w:val="0"/>
              <w:overflowPunct w:val="0"/>
              <w:rPr>
                <w:rFonts w:eastAsia="MS Mincho"/>
                <w:sz w:val="22"/>
                <w:szCs w:val="22"/>
                <w:lang w:val="el-GR"/>
              </w:rPr>
            </w:pPr>
            <w:r>
              <w:rPr>
                <w:rFonts w:eastAsia="MS Mincho"/>
                <w:sz w:val="22"/>
                <w:szCs w:val="22"/>
                <w:lang w:val="el-GR"/>
              </w:rPr>
              <w:t>Ευκαιριακές λοιμώξεις και φυματίωση (συμπεριλαμβάνεται κοκκιδιοειδομύκωση, Ιστοπλάσμωση και λοίμωξη από mycobacterium avium complex),</w:t>
            </w:r>
          </w:p>
          <w:p w14:paraId="5C315FD0" w14:textId="77777777" w:rsidR="00171824" w:rsidRDefault="006D258C">
            <w:pPr>
              <w:kinsoku w:val="0"/>
              <w:overflowPunct w:val="0"/>
              <w:rPr>
                <w:rFonts w:eastAsia="MS Mincho"/>
                <w:sz w:val="22"/>
                <w:szCs w:val="22"/>
                <w:lang w:val="el-GR"/>
              </w:rPr>
            </w:pPr>
            <w:r>
              <w:rPr>
                <w:rFonts w:eastAsia="MS Mincho"/>
                <w:sz w:val="22"/>
                <w:szCs w:val="22"/>
                <w:lang w:val="el-GR"/>
              </w:rPr>
              <w:t>Βακτηριακές λοιμώξεις,</w:t>
            </w:r>
          </w:p>
          <w:p w14:paraId="6D359AD5" w14:textId="77777777" w:rsidR="00171824" w:rsidRDefault="006D258C">
            <w:pPr>
              <w:kinsoku w:val="0"/>
              <w:overflowPunct w:val="0"/>
              <w:rPr>
                <w:rFonts w:eastAsia="MS Mincho"/>
                <w:sz w:val="22"/>
                <w:szCs w:val="22"/>
                <w:lang w:val="el-GR"/>
              </w:rPr>
            </w:pPr>
            <w:r>
              <w:rPr>
                <w:rFonts w:eastAsia="MS Mincho"/>
                <w:sz w:val="22"/>
                <w:szCs w:val="22"/>
                <w:lang w:val="el-GR"/>
              </w:rPr>
              <w:t>Εοιμώξεις των οφθαλμών,</w:t>
            </w:r>
          </w:p>
          <w:p w14:paraId="3C81C947" w14:textId="77777777" w:rsidR="00171824" w:rsidRDefault="006D258C">
            <w:pPr>
              <w:kinsoku w:val="0"/>
              <w:overflowPunct w:val="0"/>
              <w:rPr>
                <w:rFonts w:eastAsia="MS Mincho"/>
                <w:sz w:val="22"/>
                <w:szCs w:val="22"/>
                <w:lang w:val="el-GR"/>
              </w:rPr>
            </w:pPr>
            <w:r>
              <w:rPr>
                <w:rFonts w:eastAsia="MS Mincho"/>
                <w:sz w:val="22"/>
                <w:szCs w:val="22"/>
                <w:lang w:val="el-GR"/>
              </w:rPr>
              <w:t>Εκκολπωματίτιδα</w:t>
            </w:r>
            <w:r>
              <w:rPr>
                <w:rFonts w:eastAsia="MS Mincho"/>
                <w:sz w:val="22"/>
                <w:szCs w:val="22"/>
                <w:vertAlign w:val="superscript"/>
                <w:lang w:val="el-GR"/>
              </w:rPr>
              <w:t>1)</w:t>
            </w:r>
          </w:p>
        </w:tc>
      </w:tr>
      <w:tr w:rsidR="00171824" w14:paraId="15E04778" w14:textId="77777777">
        <w:trPr>
          <w:cantSplit/>
          <w:trHeight w:val="1098"/>
        </w:trPr>
        <w:tc>
          <w:tcPr>
            <w:tcW w:w="2552" w:type="dxa"/>
            <w:vMerge w:val="restart"/>
          </w:tcPr>
          <w:p w14:paraId="37036F7E" w14:textId="71D117FB" w:rsidR="00171824" w:rsidRDefault="006D258C">
            <w:pPr>
              <w:widowControl/>
              <w:kinsoku w:val="0"/>
              <w:overflowPunct w:val="0"/>
              <w:rPr>
                <w:rFonts w:eastAsia="MS Mincho"/>
                <w:sz w:val="22"/>
                <w:szCs w:val="22"/>
                <w:lang w:val="el-GR"/>
              </w:rPr>
            </w:pPr>
            <w:r>
              <w:rPr>
                <w:rFonts w:eastAsia="MS Mincho"/>
                <w:sz w:val="22"/>
                <w:szCs w:val="22"/>
                <w:lang w:val="el-GR"/>
              </w:rPr>
              <w:t>Νεοπλάσματα καλοήθη, κακοήθη και μη καθορι</w:t>
            </w:r>
            <w:ins w:id="3" w:author="Author">
              <w:r w:rsidR="00801512">
                <w:rPr>
                  <w:rFonts w:eastAsia="MS Mincho"/>
                  <w:sz w:val="22"/>
                  <w:szCs w:val="22"/>
                  <w:lang w:val="el-GR"/>
                </w:rPr>
                <w:t>σ</w:t>
              </w:r>
            </w:ins>
            <w:del w:id="4" w:author="Author">
              <w:r w:rsidDel="00801512">
                <w:rPr>
                  <w:rFonts w:eastAsia="MS Mincho"/>
                  <w:sz w:val="22"/>
                  <w:szCs w:val="22"/>
                  <w:lang w:val="el-GR"/>
                </w:rPr>
                <w:delText>ζό</w:delText>
              </w:r>
            </w:del>
            <w:r>
              <w:rPr>
                <w:rFonts w:eastAsia="MS Mincho"/>
                <w:sz w:val="22"/>
                <w:szCs w:val="22"/>
                <w:lang w:val="el-GR"/>
              </w:rPr>
              <w:t>μ</w:t>
            </w:r>
            <w:ins w:id="5" w:author="Author">
              <w:r w:rsidR="00801512">
                <w:rPr>
                  <w:rFonts w:eastAsia="MS Mincho"/>
                  <w:sz w:val="22"/>
                  <w:szCs w:val="22"/>
                  <w:lang w:val="el-GR"/>
                </w:rPr>
                <w:t>έ</w:t>
              </w:r>
            </w:ins>
            <w:del w:id="6" w:author="Author">
              <w:r w:rsidDel="00801512">
                <w:rPr>
                  <w:rFonts w:eastAsia="MS Mincho"/>
                  <w:sz w:val="22"/>
                  <w:szCs w:val="22"/>
                  <w:lang w:val="el-GR"/>
                </w:rPr>
                <w:delText>ε</w:delText>
              </w:r>
            </w:del>
            <w:r>
              <w:rPr>
                <w:rFonts w:eastAsia="MS Mincho"/>
                <w:sz w:val="22"/>
                <w:szCs w:val="22"/>
                <w:lang w:val="el-GR"/>
              </w:rPr>
              <w:t xml:space="preserve">να </w:t>
            </w:r>
            <w:r>
              <w:rPr>
                <w:rFonts w:eastAsia="MS Mincho"/>
                <w:sz w:val="22"/>
                <w:szCs w:val="22"/>
                <w:lang w:val="el-GR"/>
              </w:rPr>
              <w:lastRenderedPageBreak/>
              <w:t>(</w:t>
            </w:r>
            <w:ins w:id="7" w:author="Author">
              <w:r w:rsidR="00801512">
                <w:rPr>
                  <w:rFonts w:eastAsia="MS Mincho"/>
                  <w:sz w:val="22"/>
                  <w:szCs w:val="22"/>
                  <w:lang w:val="el-GR"/>
                </w:rPr>
                <w:t>συμπ.</w:t>
              </w:r>
            </w:ins>
            <w:del w:id="8" w:author="Author">
              <w:r w:rsidDel="00801512">
                <w:rPr>
                  <w:rFonts w:eastAsia="MS Mincho"/>
                  <w:sz w:val="22"/>
                  <w:szCs w:val="22"/>
                  <w:lang w:val="el-GR"/>
                </w:rPr>
                <w:delText>περιλαμβάνονται</w:delText>
              </w:r>
            </w:del>
            <w:r>
              <w:rPr>
                <w:rFonts w:eastAsia="MS Mincho"/>
                <w:sz w:val="22"/>
                <w:szCs w:val="22"/>
                <w:lang w:val="el-GR"/>
              </w:rPr>
              <w:t xml:space="preserve"> κύστε</w:t>
            </w:r>
            <w:ins w:id="9" w:author="Author">
              <w:r w:rsidR="00801512">
                <w:rPr>
                  <w:rFonts w:eastAsia="MS Mincho"/>
                  <w:sz w:val="22"/>
                  <w:szCs w:val="22"/>
                  <w:lang w:val="el-GR"/>
                </w:rPr>
                <w:t>ων</w:t>
              </w:r>
            </w:ins>
            <w:del w:id="10" w:author="Author">
              <w:r w:rsidDel="00801512">
                <w:rPr>
                  <w:rFonts w:eastAsia="MS Mincho"/>
                  <w:sz w:val="22"/>
                  <w:szCs w:val="22"/>
                  <w:lang w:val="el-GR"/>
                </w:rPr>
                <w:delText>ις</w:delText>
              </w:r>
            </w:del>
          </w:p>
          <w:p w14:paraId="19D91090" w14:textId="3866932D" w:rsidR="00171824" w:rsidRDefault="006D258C">
            <w:pPr>
              <w:widowControl/>
              <w:kinsoku w:val="0"/>
              <w:overflowPunct w:val="0"/>
              <w:rPr>
                <w:rFonts w:eastAsia="MS Mincho"/>
                <w:sz w:val="22"/>
                <w:szCs w:val="22"/>
                <w:lang w:val="el-GR"/>
              </w:rPr>
            </w:pPr>
            <w:r>
              <w:rPr>
                <w:rFonts w:eastAsia="MS Mincho"/>
                <w:sz w:val="22"/>
                <w:szCs w:val="22"/>
                <w:lang w:val="el-GR"/>
              </w:rPr>
              <w:t>και πολύποδ</w:t>
            </w:r>
            <w:ins w:id="11" w:author="Author">
              <w:r w:rsidR="00801512">
                <w:rPr>
                  <w:rFonts w:eastAsia="MS Mincho"/>
                  <w:sz w:val="22"/>
                  <w:szCs w:val="22"/>
                  <w:lang w:val="el-GR"/>
                </w:rPr>
                <w:t>ων</w:t>
              </w:r>
            </w:ins>
            <w:del w:id="12" w:author="Author">
              <w:r w:rsidDel="00801512">
                <w:rPr>
                  <w:rFonts w:eastAsia="MS Mincho"/>
                  <w:sz w:val="22"/>
                  <w:szCs w:val="22"/>
                  <w:lang w:val="el-GR"/>
                </w:rPr>
                <w:delText>ες</w:delText>
              </w:r>
            </w:del>
            <w:r>
              <w:rPr>
                <w:rFonts w:eastAsia="MS Mincho"/>
                <w:sz w:val="22"/>
                <w:szCs w:val="22"/>
                <w:lang w:val="el-GR"/>
              </w:rPr>
              <w:t>)*</w:t>
            </w:r>
          </w:p>
        </w:tc>
        <w:tc>
          <w:tcPr>
            <w:tcW w:w="1984" w:type="dxa"/>
          </w:tcPr>
          <w:p w14:paraId="375D2B58" w14:textId="77777777" w:rsidR="00171824" w:rsidRDefault="006D258C">
            <w:pPr>
              <w:kinsoku w:val="0"/>
              <w:overflowPunct w:val="0"/>
              <w:rPr>
                <w:rFonts w:eastAsia="MS Mincho"/>
                <w:sz w:val="22"/>
                <w:szCs w:val="22"/>
                <w:lang w:val="el-GR"/>
              </w:rPr>
            </w:pPr>
            <w:r>
              <w:rPr>
                <w:rFonts w:eastAsia="MS Mincho"/>
                <w:sz w:val="22"/>
                <w:szCs w:val="22"/>
                <w:lang w:val="el-GR"/>
              </w:rPr>
              <w:lastRenderedPageBreak/>
              <w:t>Συχνές</w:t>
            </w:r>
          </w:p>
        </w:tc>
        <w:tc>
          <w:tcPr>
            <w:tcW w:w="4395" w:type="dxa"/>
          </w:tcPr>
          <w:p w14:paraId="0C54B04E" w14:textId="77777777" w:rsidR="00171824" w:rsidRDefault="006D258C">
            <w:pPr>
              <w:kinsoku w:val="0"/>
              <w:overflowPunct w:val="0"/>
              <w:rPr>
                <w:rFonts w:eastAsia="MS Mincho"/>
                <w:sz w:val="22"/>
                <w:szCs w:val="22"/>
                <w:lang w:val="el-GR"/>
              </w:rPr>
            </w:pPr>
            <w:r>
              <w:rPr>
                <w:rFonts w:eastAsia="MS Mincho"/>
                <w:sz w:val="22"/>
                <w:szCs w:val="22"/>
                <w:lang w:val="el-GR"/>
              </w:rPr>
              <w:t>Καρκίνος του δέρματος εκτός μελανώματος (συμπεριλαμβάνεται βασικοκυτταρικό καρκίνωμα και πλακώδες καρκίνωμα),</w:t>
            </w:r>
          </w:p>
          <w:p w14:paraId="27FC51F1" w14:textId="77777777" w:rsidR="00171824" w:rsidRDefault="006D258C">
            <w:pPr>
              <w:kinsoku w:val="0"/>
              <w:overflowPunct w:val="0"/>
              <w:rPr>
                <w:rFonts w:eastAsia="MS Mincho"/>
                <w:sz w:val="22"/>
                <w:szCs w:val="22"/>
                <w:lang w:val="el-GR"/>
              </w:rPr>
            </w:pPr>
            <w:r>
              <w:rPr>
                <w:rFonts w:eastAsia="MS Mincho"/>
                <w:sz w:val="22"/>
                <w:szCs w:val="22"/>
                <w:lang w:val="el-GR"/>
              </w:rPr>
              <w:t>καλοήθες νεόπλασμα</w:t>
            </w:r>
          </w:p>
        </w:tc>
      </w:tr>
      <w:tr w:rsidR="00171824" w:rsidRPr="00422380" w14:paraId="5D9973B2" w14:textId="77777777">
        <w:trPr>
          <w:cantSplit/>
          <w:trHeight w:val="1461"/>
        </w:trPr>
        <w:tc>
          <w:tcPr>
            <w:tcW w:w="2552" w:type="dxa"/>
            <w:vMerge/>
          </w:tcPr>
          <w:p w14:paraId="582293EB" w14:textId="77777777" w:rsidR="00171824" w:rsidRDefault="00171824">
            <w:pPr>
              <w:widowControl/>
              <w:kinsoku w:val="0"/>
              <w:overflowPunct w:val="0"/>
              <w:rPr>
                <w:rFonts w:eastAsia="MS Mincho"/>
                <w:sz w:val="22"/>
                <w:szCs w:val="22"/>
                <w:lang w:val="el-GR"/>
              </w:rPr>
            </w:pPr>
          </w:p>
        </w:tc>
        <w:tc>
          <w:tcPr>
            <w:tcW w:w="1984" w:type="dxa"/>
          </w:tcPr>
          <w:p w14:paraId="41918998" w14:textId="77777777" w:rsidR="00171824" w:rsidRDefault="006D258C">
            <w:pPr>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0758634A" w14:textId="77777777" w:rsidR="00171824" w:rsidRDefault="006D258C">
            <w:pPr>
              <w:kinsoku w:val="0"/>
              <w:overflowPunct w:val="0"/>
              <w:rPr>
                <w:rFonts w:eastAsia="MS Mincho"/>
                <w:sz w:val="22"/>
                <w:szCs w:val="22"/>
                <w:lang w:val="el-GR"/>
              </w:rPr>
            </w:pPr>
            <w:r>
              <w:rPr>
                <w:rFonts w:eastAsia="MS Mincho"/>
                <w:sz w:val="22"/>
                <w:szCs w:val="22"/>
                <w:lang w:val="el-GR"/>
              </w:rPr>
              <w:t>Λέμφωμα**,</w:t>
            </w:r>
          </w:p>
          <w:p w14:paraId="64E5C3E7" w14:textId="77777777" w:rsidR="00171824" w:rsidRDefault="006D258C">
            <w:pPr>
              <w:kinsoku w:val="0"/>
              <w:overflowPunct w:val="0"/>
              <w:rPr>
                <w:rFonts w:eastAsia="MS Mincho"/>
                <w:sz w:val="22"/>
                <w:szCs w:val="22"/>
                <w:lang w:val="el-GR"/>
              </w:rPr>
            </w:pPr>
            <w:r>
              <w:rPr>
                <w:rFonts w:eastAsia="MS Mincho"/>
                <w:sz w:val="22"/>
                <w:szCs w:val="22"/>
                <w:lang w:val="el-GR"/>
              </w:rPr>
              <w:t>νεόπλασμα συμπαγών οργάνων (συμπεριλαμβάνεται καρκίνος μαστού, νεόπλασμα πνεύμονος και νεόπλασμα θυρεοειδούς), μελάνωμα**</w:t>
            </w:r>
          </w:p>
        </w:tc>
      </w:tr>
      <w:tr w:rsidR="00171824" w14:paraId="662C6A12" w14:textId="77777777">
        <w:trPr>
          <w:cantSplit/>
          <w:trHeight w:val="299"/>
        </w:trPr>
        <w:tc>
          <w:tcPr>
            <w:tcW w:w="2552" w:type="dxa"/>
            <w:vMerge/>
          </w:tcPr>
          <w:p w14:paraId="62F85A64" w14:textId="77777777" w:rsidR="00171824" w:rsidRDefault="00171824">
            <w:pPr>
              <w:widowControl/>
              <w:kinsoku w:val="0"/>
              <w:overflowPunct w:val="0"/>
              <w:rPr>
                <w:rFonts w:eastAsia="MS Mincho"/>
                <w:sz w:val="22"/>
                <w:szCs w:val="22"/>
                <w:lang w:val="el-GR"/>
              </w:rPr>
            </w:pPr>
          </w:p>
        </w:tc>
        <w:tc>
          <w:tcPr>
            <w:tcW w:w="1984" w:type="dxa"/>
          </w:tcPr>
          <w:p w14:paraId="6CB0894A" w14:textId="77777777" w:rsidR="00171824" w:rsidRDefault="006D258C">
            <w:pPr>
              <w:kinsoku w:val="0"/>
              <w:overflowPunct w:val="0"/>
              <w:rPr>
                <w:rFonts w:eastAsia="MS Mincho"/>
                <w:sz w:val="22"/>
                <w:szCs w:val="22"/>
                <w:lang w:val="el-GR"/>
              </w:rPr>
            </w:pPr>
            <w:r>
              <w:rPr>
                <w:rFonts w:eastAsia="MS Mincho"/>
                <w:sz w:val="22"/>
                <w:szCs w:val="22"/>
                <w:lang w:val="el-GR"/>
              </w:rPr>
              <w:t>Σπάνιες</w:t>
            </w:r>
          </w:p>
        </w:tc>
        <w:tc>
          <w:tcPr>
            <w:tcW w:w="4395" w:type="dxa"/>
          </w:tcPr>
          <w:p w14:paraId="4B8FC95A" w14:textId="77777777" w:rsidR="00171824" w:rsidRDefault="006D258C">
            <w:pPr>
              <w:kinsoku w:val="0"/>
              <w:overflowPunct w:val="0"/>
              <w:rPr>
                <w:rFonts w:eastAsia="MS Mincho"/>
                <w:sz w:val="22"/>
                <w:szCs w:val="22"/>
                <w:lang w:val="el-GR"/>
              </w:rPr>
            </w:pPr>
            <w:r>
              <w:rPr>
                <w:rFonts w:eastAsia="MS Mincho"/>
                <w:sz w:val="22"/>
                <w:szCs w:val="22"/>
                <w:lang w:val="el-GR"/>
              </w:rPr>
              <w:t>Λευχαιμία</w:t>
            </w:r>
            <w:r>
              <w:rPr>
                <w:rFonts w:eastAsia="MS Mincho"/>
                <w:sz w:val="22"/>
                <w:szCs w:val="22"/>
                <w:vertAlign w:val="superscript"/>
                <w:lang w:val="el-GR"/>
              </w:rPr>
              <w:t>1)</w:t>
            </w:r>
          </w:p>
        </w:tc>
      </w:tr>
      <w:tr w:rsidR="00171824" w14:paraId="306DE697" w14:textId="77777777">
        <w:trPr>
          <w:cantSplit/>
          <w:trHeight w:val="842"/>
        </w:trPr>
        <w:tc>
          <w:tcPr>
            <w:tcW w:w="2552" w:type="dxa"/>
            <w:vMerge/>
          </w:tcPr>
          <w:p w14:paraId="50EE0F5A" w14:textId="77777777" w:rsidR="00171824" w:rsidRDefault="00171824">
            <w:pPr>
              <w:widowControl/>
              <w:kinsoku w:val="0"/>
              <w:overflowPunct w:val="0"/>
              <w:rPr>
                <w:rFonts w:eastAsia="MS Mincho"/>
                <w:sz w:val="22"/>
                <w:szCs w:val="22"/>
                <w:lang w:val="el-GR"/>
              </w:rPr>
            </w:pPr>
          </w:p>
        </w:tc>
        <w:tc>
          <w:tcPr>
            <w:tcW w:w="1984" w:type="dxa"/>
          </w:tcPr>
          <w:p w14:paraId="57CFCF3A" w14:textId="42229670" w:rsidR="00171824" w:rsidRDefault="006D258C">
            <w:pPr>
              <w:kinsoku w:val="0"/>
              <w:overflowPunct w:val="0"/>
              <w:rPr>
                <w:rFonts w:eastAsia="MS Mincho"/>
                <w:sz w:val="22"/>
                <w:szCs w:val="22"/>
                <w:lang w:val="el-GR"/>
              </w:rPr>
            </w:pPr>
            <w:r>
              <w:rPr>
                <w:rFonts w:eastAsia="MS Mincho"/>
                <w:sz w:val="22"/>
                <w:szCs w:val="22"/>
                <w:lang w:val="el-GR"/>
              </w:rPr>
              <w:t>Μη γνωστ</w:t>
            </w:r>
            <w:ins w:id="13" w:author="Author">
              <w:r w:rsidR="002424FF">
                <w:rPr>
                  <w:rFonts w:eastAsia="MS Mincho"/>
                  <w:sz w:val="22"/>
                  <w:szCs w:val="22"/>
                  <w:lang w:val="el-GR"/>
                </w:rPr>
                <w:t>ής συχνότητας</w:t>
              </w:r>
            </w:ins>
            <w:del w:id="14" w:author="Author">
              <w:r w:rsidDel="002424FF">
                <w:rPr>
                  <w:rFonts w:eastAsia="MS Mincho"/>
                  <w:sz w:val="22"/>
                  <w:szCs w:val="22"/>
                  <w:lang w:val="el-GR"/>
                </w:rPr>
                <w:delText>ές</w:delText>
              </w:r>
            </w:del>
          </w:p>
        </w:tc>
        <w:tc>
          <w:tcPr>
            <w:tcW w:w="4395" w:type="dxa"/>
          </w:tcPr>
          <w:p w14:paraId="5A4DD49C" w14:textId="77777777" w:rsidR="00171824" w:rsidRDefault="006D258C">
            <w:pPr>
              <w:kinsoku w:val="0"/>
              <w:overflowPunct w:val="0"/>
              <w:rPr>
                <w:rFonts w:eastAsia="MS Mincho"/>
                <w:sz w:val="22"/>
                <w:szCs w:val="22"/>
                <w:lang w:val="el-GR"/>
              </w:rPr>
            </w:pPr>
            <w:r>
              <w:rPr>
                <w:rFonts w:eastAsia="MS Mincho"/>
                <w:sz w:val="22"/>
                <w:szCs w:val="22"/>
                <w:lang w:val="el-GR"/>
              </w:rPr>
              <w:t>Ηπατοσπληνικό λέμφωμα εκ Τ-κυττάρων</w:t>
            </w:r>
            <w:r>
              <w:rPr>
                <w:rFonts w:eastAsia="MS Mincho"/>
                <w:sz w:val="22"/>
                <w:szCs w:val="22"/>
                <w:vertAlign w:val="superscript"/>
                <w:lang w:val="el-GR"/>
              </w:rPr>
              <w:t>1)</w:t>
            </w:r>
            <w:r>
              <w:rPr>
                <w:rFonts w:eastAsia="MS Mincho"/>
                <w:sz w:val="22"/>
                <w:szCs w:val="22"/>
                <w:lang w:val="el-GR"/>
              </w:rPr>
              <w:t>,</w:t>
            </w:r>
          </w:p>
          <w:p w14:paraId="76E25E21" w14:textId="77777777" w:rsidR="00171824" w:rsidRDefault="006D258C">
            <w:pPr>
              <w:rPr>
                <w:color w:val="000000"/>
                <w:sz w:val="22"/>
                <w:szCs w:val="22"/>
                <w:lang w:val="el-GR" w:eastAsia="en-GB"/>
              </w:rPr>
            </w:pPr>
            <w:r>
              <w:rPr>
                <w:rFonts w:eastAsia="MS Mincho"/>
                <w:sz w:val="22"/>
                <w:szCs w:val="22"/>
                <w:lang w:val="el-GR"/>
              </w:rPr>
              <w:t>καρκίνωμα εκ κυττάρων Merkel (νευροενδοκρινικό καρκίνωμα δέρματος)</w:t>
            </w:r>
            <w:r>
              <w:rPr>
                <w:rFonts w:eastAsia="MS Mincho"/>
                <w:sz w:val="22"/>
                <w:szCs w:val="22"/>
                <w:vertAlign w:val="superscript"/>
                <w:lang w:val="el-GR"/>
              </w:rPr>
              <w:t>1)</w:t>
            </w:r>
            <w:r>
              <w:rPr>
                <w:color w:val="000000"/>
                <w:sz w:val="22"/>
                <w:szCs w:val="22"/>
                <w:lang w:val="el-GR" w:eastAsia="en-GB"/>
              </w:rPr>
              <w:t>,</w:t>
            </w:r>
          </w:p>
          <w:p w14:paraId="654202AF" w14:textId="77777777" w:rsidR="00171824" w:rsidRDefault="006D258C">
            <w:pPr>
              <w:kinsoku w:val="0"/>
              <w:overflowPunct w:val="0"/>
              <w:rPr>
                <w:rFonts w:eastAsia="MS Mincho"/>
                <w:sz w:val="22"/>
                <w:szCs w:val="22"/>
                <w:lang w:val="el-GR"/>
              </w:rPr>
            </w:pPr>
            <w:r>
              <w:rPr>
                <w:color w:val="000000"/>
                <w:sz w:val="22"/>
                <w:szCs w:val="22"/>
                <w:lang w:val="el-GR" w:eastAsia="en-GB"/>
              </w:rPr>
              <w:t>Σάρκωμα Kaposi</w:t>
            </w:r>
          </w:p>
        </w:tc>
      </w:tr>
      <w:tr w:rsidR="00171824" w14:paraId="60B931B7" w14:textId="77777777">
        <w:trPr>
          <w:cantSplit/>
          <w:trHeight w:val="924"/>
        </w:trPr>
        <w:tc>
          <w:tcPr>
            <w:tcW w:w="2552" w:type="dxa"/>
            <w:vMerge w:val="restart"/>
          </w:tcPr>
          <w:p w14:paraId="033401BB"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Διαταραχές του</w:t>
            </w:r>
          </w:p>
          <w:p w14:paraId="7D33125C" w14:textId="2C8EFE07" w:rsidR="00171824" w:rsidRDefault="006D258C">
            <w:pPr>
              <w:keepNext/>
              <w:widowControl/>
              <w:kinsoku w:val="0"/>
              <w:overflowPunct w:val="0"/>
              <w:rPr>
                <w:rFonts w:eastAsia="MS Mincho"/>
                <w:sz w:val="22"/>
                <w:szCs w:val="22"/>
                <w:lang w:val="el-GR"/>
              </w:rPr>
            </w:pPr>
            <w:r>
              <w:rPr>
                <w:rFonts w:eastAsia="MS Mincho"/>
                <w:sz w:val="22"/>
                <w:szCs w:val="22"/>
                <w:lang w:val="el-GR"/>
              </w:rPr>
              <w:t>α</w:t>
            </w:r>
            <w:ins w:id="15" w:author="Author">
              <w:r w:rsidR="002424FF">
                <w:rPr>
                  <w:rFonts w:eastAsia="MS Mincho"/>
                  <w:sz w:val="22"/>
                  <w:szCs w:val="22"/>
                  <w:lang w:val="el-GR"/>
                </w:rPr>
                <w:t>ίματος</w:t>
              </w:r>
            </w:ins>
            <w:del w:id="16" w:author="Author">
              <w:r w:rsidDel="002424FF">
                <w:rPr>
                  <w:rFonts w:eastAsia="MS Mincho"/>
                  <w:sz w:val="22"/>
                  <w:szCs w:val="22"/>
                  <w:lang w:val="el-GR"/>
                </w:rPr>
                <w:delText>ιμοποιητικού</w:delText>
              </w:r>
            </w:del>
            <w:r>
              <w:rPr>
                <w:rFonts w:eastAsia="MS Mincho"/>
                <w:sz w:val="22"/>
                <w:szCs w:val="22"/>
                <w:lang w:val="el-GR"/>
              </w:rPr>
              <w:t xml:space="preserve"> και του</w:t>
            </w:r>
          </w:p>
          <w:p w14:paraId="2B5452CE"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λεμφικού συστήματος*</w:t>
            </w:r>
          </w:p>
        </w:tc>
        <w:tc>
          <w:tcPr>
            <w:tcW w:w="1984" w:type="dxa"/>
          </w:tcPr>
          <w:p w14:paraId="5CF96B4C"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679620DE"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Λευκοπενία (συμπεριλαμβάνεται ουδετεροπενία και ακοκκιοκυτταραιμία),</w:t>
            </w:r>
          </w:p>
          <w:p w14:paraId="0577D1D3"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αναιμία</w:t>
            </w:r>
          </w:p>
        </w:tc>
      </w:tr>
      <w:tr w:rsidR="00171824" w14:paraId="1D24DA4E" w14:textId="77777777">
        <w:trPr>
          <w:cantSplit/>
          <w:trHeight w:val="612"/>
        </w:trPr>
        <w:tc>
          <w:tcPr>
            <w:tcW w:w="2552" w:type="dxa"/>
            <w:vMerge/>
          </w:tcPr>
          <w:p w14:paraId="3BB51DCF" w14:textId="77777777" w:rsidR="00171824" w:rsidRDefault="00171824">
            <w:pPr>
              <w:widowControl/>
              <w:kinsoku w:val="0"/>
              <w:overflowPunct w:val="0"/>
              <w:rPr>
                <w:rFonts w:eastAsia="MS Mincho"/>
                <w:sz w:val="22"/>
                <w:szCs w:val="22"/>
                <w:lang w:val="el-GR"/>
              </w:rPr>
            </w:pPr>
          </w:p>
        </w:tc>
        <w:tc>
          <w:tcPr>
            <w:tcW w:w="1984" w:type="dxa"/>
          </w:tcPr>
          <w:p w14:paraId="2E45705B"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38F42AF3" w14:textId="77777777" w:rsidR="00171824" w:rsidRDefault="006D258C">
            <w:pPr>
              <w:widowControl/>
              <w:kinsoku w:val="0"/>
              <w:overflowPunct w:val="0"/>
              <w:rPr>
                <w:rFonts w:eastAsia="MS Mincho"/>
                <w:sz w:val="22"/>
                <w:szCs w:val="22"/>
                <w:lang w:val="el-GR"/>
              </w:rPr>
            </w:pPr>
            <w:r>
              <w:rPr>
                <w:rFonts w:eastAsia="MS Mincho"/>
                <w:sz w:val="22"/>
                <w:szCs w:val="22"/>
                <w:lang w:val="el-GR"/>
              </w:rPr>
              <w:t>Λευκοκυττάρωση,</w:t>
            </w:r>
          </w:p>
          <w:p w14:paraId="0A208898" w14:textId="77777777" w:rsidR="00171824" w:rsidRDefault="006D258C">
            <w:pPr>
              <w:widowControl/>
              <w:kinsoku w:val="0"/>
              <w:overflowPunct w:val="0"/>
              <w:rPr>
                <w:rFonts w:eastAsia="MS Mincho"/>
                <w:sz w:val="22"/>
                <w:szCs w:val="22"/>
                <w:lang w:val="el-GR"/>
              </w:rPr>
            </w:pPr>
            <w:r>
              <w:rPr>
                <w:rFonts w:eastAsia="MS Mincho"/>
                <w:sz w:val="22"/>
                <w:szCs w:val="22"/>
                <w:lang w:val="el-GR"/>
              </w:rPr>
              <w:t>Θρομβοπενία</w:t>
            </w:r>
          </w:p>
        </w:tc>
      </w:tr>
      <w:tr w:rsidR="00171824" w14:paraId="3B88C6B1" w14:textId="77777777">
        <w:trPr>
          <w:cantSplit/>
          <w:trHeight w:val="225"/>
        </w:trPr>
        <w:tc>
          <w:tcPr>
            <w:tcW w:w="2552" w:type="dxa"/>
            <w:vMerge/>
          </w:tcPr>
          <w:p w14:paraId="29D7A6D2" w14:textId="77777777" w:rsidR="00171824" w:rsidRDefault="00171824">
            <w:pPr>
              <w:widowControl/>
              <w:kinsoku w:val="0"/>
              <w:overflowPunct w:val="0"/>
              <w:rPr>
                <w:rFonts w:eastAsia="MS Mincho"/>
                <w:sz w:val="22"/>
                <w:szCs w:val="22"/>
                <w:lang w:val="el-GR"/>
              </w:rPr>
            </w:pPr>
          </w:p>
        </w:tc>
        <w:tc>
          <w:tcPr>
            <w:tcW w:w="1984" w:type="dxa"/>
          </w:tcPr>
          <w:p w14:paraId="5127A0E0" w14:textId="77777777" w:rsidR="00171824" w:rsidRDefault="006D258C">
            <w:pPr>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7853A25D" w14:textId="77777777" w:rsidR="00171824" w:rsidRDefault="006D258C">
            <w:pPr>
              <w:kinsoku w:val="0"/>
              <w:overflowPunct w:val="0"/>
              <w:rPr>
                <w:rFonts w:eastAsia="MS Mincho"/>
                <w:sz w:val="22"/>
                <w:szCs w:val="22"/>
                <w:lang w:val="el-GR"/>
              </w:rPr>
            </w:pPr>
            <w:r>
              <w:rPr>
                <w:rFonts w:eastAsia="MS Mincho"/>
                <w:sz w:val="22"/>
                <w:szCs w:val="22"/>
                <w:lang w:val="el-GR"/>
              </w:rPr>
              <w:t>Ιδιοπαθής θρομβοπενική πορφύρα</w:t>
            </w:r>
          </w:p>
        </w:tc>
      </w:tr>
      <w:tr w:rsidR="00171824" w14:paraId="1A0D4D38" w14:textId="77777777">
        <w:trPr>
          <w:cantSplit/>
          <w:trHeight w:val="216"/>
        </w:trPr>
        <w:tc>
          <w:tcPr>
            <w:tcW w:w="2552" w:type="dxa"/>
            <w:vMerge/>
          </w:tcPr>
          <w:p w14:paraId="093B465A" w14:textId="77777777" w:rsidR="00171824" w:rsidRDefault="00171824">
            <w:pPr>
              <w:widowControl/>
              <w:kinsoku w:val="0"/>
              <w:overflowPunct w:val="0"/>
              <w:rPr>
                <w:rFonts w:eastAsia="MS Mincho"/>
                <w:sz w:val="22"/>
                <w:szCs w:val="22"/>
                <w:lang w:val="el-GR"/>
              </w:rPr>
            </w:pPr>
          </w:p>
        </w:tc>
        <w:tc>
          <w:tcPr>
            <w:tcW w:w="1984" w:type="dxa"/>
          </w:tcPr>
          <w:p w14:paraId="42069A33"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12567683" w14:textId="77777777" w:rsidR="00171824" w:rsidRDefault="006D258C">
            <w:pPr>
              <w:widowControl/>
              <w:kinsoku w:val="0"/>
              <w:overflowPunct w:val="0"/>
              <w:rPr>
                <w:rFonts w:eastAsia="MS Mincho"/>
                <w:sz w:val="22"/>
                <w:szCs w:val="22"/>
                <w:lang w:val="el-GR"/>
              </w:rPr>
            </w:pPr>
            <w:r>
              <w:rPr>
                <w:rFonts w:eastAsia="MS Mincho"/>
                <w:sz w:val="22"/>
                <w:szCs w:val="22"/>
                <w:lang w:val="el-GR"/>
              </w:rPr>
              <w:t>Πανκυτταροπενία</w:t>
            </w:r>
          </w:p>
        </w:tc>
      </w:tr>
      <w:tr w:rsidR="00171824" w:rsidRPr="00422380" w14:paraId="670BEE17" w14:textId="77777777">
        <w:trPr>
          <w:cantSplit/>
          <w:trHeight w:val="849"/>
        </w:trPr>
        <w:tc>
          <w:tcPr>
            <w:tcW w:w="2552" w:type="dxa"/>
            <w:vMerge w:val="restart"/>
          </w:tcPr>
          <w:p w14:paraId="0B5817B7"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Διαταραχές του ανοσοποιητικού συστήματος*</w:t>
            </w:r>
          </w:p>
        </w:tc>
        <w:tc>
          <w:tcPr>
            <w:tcW w:w="1984" w:type="dxa"/>
          </w:tcPr>
          <w:p w14:paraId="4D928E10"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0A60D9B4" w14:textId="77777777" w:rsidR="00171824" w:rsidRDefault="006D258C">
            <w:pPr>
              <w:widowControl/>
              <w:kinsoku w:val="0"/>
              <w:overflowPunct w:val="0"/>
              <w:rPr>
                <w:rFonts w:eastAsia="MS Mincho"/>
                <w:sz w:val="22"/>
                <w:szCs w:val="22"/>
                <w:lang w:val="el-GR"/>
              </w:rPr>
            </w:pPr>
            <w:r>
              <w:rPr>
                <w:rFonts w:eastAsia="MS Mincho"/>
                <w:sz w:val="22"/>
                <w:szCs w:val="22"/>
                <w:lang w:val="el-GR"/>
              </w:rPr>
              <w:t>Υπερευαισθησία,</w:t>
            </w:r>
          </w:p>
          <w:p w14:paraId="408C725B" w14:textId="77777777" w:rsidR="00171824" w:rsidRDefault="006D258C">
            <w:pPr>
              <w:kinsoku w:val="0"/>
              <w:overflowPunct w:val="0"/>
              <w:rPr>
                <w:rFonts w:eastAsia="MS Mincho"/>
                <w:sz w:val="22"/>
                <w:szCs w:val="22"/>
                <w:lang w:val="el-GR"/>
              </w:rPr>
            </w:pPr>
            <w:r>
              <w:rPr>
                <w:rFonts w:eastAsia="MS Mincho"/>
                <w:sz w:val="22"/>
                <w:szCs w:val="22"/>
                <w:lang w:val="el-GR"/>
              </w:rPr>
              <w:t>αλλεργίες (συμπεριλαμβάνεται εποχική αλλεργία)</w:t>
            </w:r>
          </w:p>
        </w:tc>
      </w:tr>
      <w:tr w:rsidR="00171824" w14:paraId="7D9EB706" w14:textId="77777777">
        <w:trPr>
          <w:cantSplit/>
          <w:trHeight w:val="491"/>
        </w:trPr>
        <w:tc>
          <w:tcPr>
            <w:tcW w:w="2552" w:type="dxa"/>
            <w:vMerge/>
          </w:tcPr>
          <w:p w14:paraId="4FB9CAD0" w14:textId="77777777" w:rsidR="00171824" w:rsidRDefault="00171824">
            <w:pPr>
              <w:keepNext/>
              <w:widowControl/>
              <w:kinsoku w:val="0"/>
              <w:overflowPunct w:val="0"/>
              <w:rPr>
                <w:rFonts w:eastAsia="MS Mincho"/>
                <w:sz w:val="22"/>
                <w:szCs w:val="22"/>
                <w:lang w:val="el-GR"/>
              </w:rPr>
            </w:pPr>
          </w:p>
        </w:tc>
        <w:tc>
          <w:tcPr>
            <w:tcW w:w="1984" w:type="dxa"/>
          </w:tcPr>
          <w:p w14:paraId="25A65AF7"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79FC818E" w14:textId="77777777" w:rsidR="00171824" w:rsidRDefault="006D258C">
            <w:pPr>
              <w:widowControl/>
              <w:kinsoku w:val="0"/>
              <w:overflowPunct w:val="0"/>
              <w:rPr>
                <w:rFonts w:eastAsia="MS Mincho"/>
                <w:sz w:val="22"/>
                <w:szCs w:val="22"/>
                <w:lang w:val="el-GR"/>
              </w:rPr>
            </w:pPr>
            <w:r>
              <w:rPr>
                <w:rFonts w:eastAsia="MS Mincho"/>
                <w:sz w:val="22"/>
                <w:szCs w:val="22"/>
                <w:lang w:val="el-GR"/>
              </w:rPr>
              <w:t>Σαρκοείδωση</w:t>
            </w:r>
            <w:r>
              <w:rPr>
                <w:rFonts w:eastAsia="MS Mincho"/>
                <w:sz w:val="22"/>
                <w:szCs w:val="22"/>
                <w:vertAlign w:val="superscript"/>
                <w:lang w:val="el-GR"/>
              </w:rPr>
              <w:t>1)</w:t>
            </w:r>
            <w:r>
              <w:rPr>
                <w:rFonts w:eastAsia="MS Mincho"/>
                <w:sz w:val="22"/>
                <w:szCs w:val="22"/>
                <w:lang w:val="el-GR"/>
              </w:rPr>
              <w:t>,</w:t>
            </w:r>
          </w:p>
          <w:p w14:paraId="67031DE5" w14:textId="77777777" w:rsidR="00171824" w:rsidRDefault="006D258C">
            <w:pPr>
              <w:widowControl/>
              <w:kinsoku w:val="0"/>
              <w:overflowPunct w:val="0"/>
              <w:rPr>
                <w:rFonts w:eastAsia="MS Mincho"/>
                <w:sz w:val="22"/>
                <w:szCs w:val="22"/>
                <w:lang w:val="el-GR"/>
              </w:rPr>
            </w:pPr>
            <w:r>
              <w:rPr>
                <w:rFonts w:eastAsia="MS Mincho"/>
                <w:sz w:val="22"/>
                <w:szCs w:val="22"/>
                <w:lang w:val="el-GR"/>
              </w:rPr>
              <w:t>Αγγειίτιδα</w:t>
            </w:r>
          </w:p>
        </w:tc>
      </w:tr>
      <w:tr w:rsidR="00171824" w14:paraId="3402FBC5" w14:textId="77777777">
        <w:trPr>
          <w:cantSplit/>
          <w:trHeight w:val="187"/>
        </w:trPr>
        <w:tc>
          <w:tcPr>
            <w:tcW w:w="2552" w:type="dxa"/>
            <w:vMerge/>
          </w:tcPr>
          <w:p w14:paraId="4CE06368" w14:textId="77777777" w:rsidR="00171824" w:rsidRDefault="00171824">
            <w:pPr>
              <w:keepNext/>
              <w:widowControl/>
              <w:kinsoku w:val="0"/>
              <w:overflowPunct w:val="0"/>
              <w:rPr>
                <w:rFonts w:eastAsia="MS Mincho"/>
                <w:sz w:val="22"/>
                <w:szCs w:val="22"/>
                <w:lang w:val="el-GR"/>
              </w:rPr>
            </w:pPr>
          </w:p>
        </w:tc>
        <w:tc>
          <w:tcPr>
            <w:tcW w:w="1984" w:type="dxa"/>
          </w:tcPr>
          <w:p w14:paraId="57525AEE"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0D77479D" w14:textId="77777777" w:rsidR="00171824" w:rsidRDefault="006D258C">
            <w:pPr>
              <w:widowControl/>
              <w:kinsoku w:val="0"/>
              <w:overflowPunct w:val="0"/>
              <w:rPr>
                <w:rFonts w:eastAsia="MS Mincho"/>
                <w:sz w:val="22"/>
                <w:szCs w:val="22"/>
                <w:lang w:val="el-GR"/>
              </w:rPr>
            </w:pPr>
            <w:r>
              <w:rPr>
                <w:rFonts w:eastAsia="MS Mincho"/>
                <w:sz w:val="22"/>
                <w:szCs w:val="22"/>
                <w:lang w:val="el-GR"/>
              </w:rPr>
              <w:t>Αναφυλαξία</w:t>
            </w:r>
            <w:r>
              <w:rPr>
                <w:rFonts w:eastAsia="MS Mincho"/>
                <w:sz w:val="22"/>
                <w:szCs w:val="22"/>
                <w:vertAlign w:val="superscript"/>
                <w:lang w:val="el-GR"/>
              </w:rPr>
              <w:t>1)</w:t>
            </w:r>
          </w:p>
        </w:tc>
      </w:tr>
      <w:tr w:rsidR="00171824" w14:paraId="2A39058D" w14:textId="77777777">
        <w:trPr>
          <w:cantSplit/>
          <w:trHeight w:val="320"/>
        </w:trPr>
        <w:tc>
          <w:tcPr>
            <w:tcW w:w="2552" w:type="dxa"/>
            <w:vMerge w:val="restart"/>
          </w:tcPr>
          <w:p w14:paraId="71819512" w14:textId="6994D953" w:rsidR="00171824" w:rsidRDefault="00253A7E">
            <w:pPr>
              <w:keepNext/>
              <w:keepLines/>
              <w:widowControl/>
              <w:kinsoku w:val="0"/>
              <w:overflowPunct w:val="0"/>
              <w:rPr>
                <w:rFonts w:eastAsia="MS Mincho"/>
                <w:sz w:val="22"/>
                <w:szCs w:val="22"/>
                <w:lang w:val="el-GR"/>
              </w:rPr>
            </w:pPr>
            <w:ins w:id="17" w:author="Author">
              <w:r>
                <w:rPr>
                  <w:rFonts w:eastAsia="MS Mincho"/>
                  <w:sz w:val="22"/>
                  <w:szCs w:val="22"/>
                  <w:lang w:val="el-GR"/>
                </w:rPr>
                <w:t xml:space="preserve">Μεταβολικές και διατροφικές </w:t>
              </w:r>
            </w:ins>
            <w:del w:id="18" w:author="Author">
              <w:r w:rsidR="006D258C" w:rsidDel="00253A7E">
                <w:rPr>
                  <w:rFonts w:eastAsia="MS Mincho"/>
                  <w:sz w:val="22"/>
                  <w:szCs w:val="22"/>
                  <w:lang w:val="el-GR"/>
                </w:rPr>
                <w:delText>Δ</w:delText>
              </w:r>
            </w:del>
            <w:ins w:id="19" w:author="Author">
              <w:r>
                <w:rPr>
                  <w:rFonts w:eastAsia="MS Mincho"/>
                  <w:sz w:val="22"/>
                  <w:szCs w:val="22"/>
                  <w:lang w:val="el-GR"/>
                </w:rPr>
                <w:t>δ</w:t>
              </w:r>
            </w:ins>
            <w:r w:rsidR="006D258C">
              <w:rPr>
                <w:rFonts w:eastAsia="MS Mincho"/>
                <w:sz w:val="22"/>
                <w:szCs w:val="22"/>
                <w:lang w:val="el-GR"/>
              </w:rPr>
              <w:t xml:space="preserve">ιαταραχές </w:t>
            </w:r>
            <w:del w:id="20" w:author="Author">
              <w:r w:rsidR="006D258C" w:rsidDel="00253A7E">
                <w:rPr>
                  <w:rFonts w:eastAsia="MS Mincho"/>
                  <w:sz w:val="22"/>
                  <w:szCs w:val="22"/>
                  <w:lang w:val="el-GR"/>
                </w:rPr>
                <w:delText>του μεταβολισμού και της θρέψης</w:delText>
              </w:r>
            </w:del>
          </w:p>
        </w:tc>
        <w:tc>
          <w:tcPr>
            <w:tcW w:w="1984" w:type="dxa"/>
          </w:tcPr>
          <w:p w14:paraId="1340D1F2"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38C2F4E0"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Λιπίδια αυξημένα</w:t>
            </w:r>
          </w:p>
        </w:tc>
      </w:tr>
      <w:tr w:rsidR="00171824" w14:paraId="6B58A3C1" w14:textId="77777777">
        <w:trPr>
          <w:cantSplit/>
          <w:trHeight w:val="1968"/>
        </w:trPr>
        <w:tc>
          <w:tcPr>
            <w:tcW w:w="2552" w:type="dxa"/>
            <w:vMerge/>
          </w:tcPr>
          <w:p w14:paraId="6896B355" w14:textId="77777777" w:rsidR="00171824" w:rsidRDefault="00171824">
            <w:pPr>
              <w:widowControl/>
              <w:kinsoku w:val="0"/>
              <w:overflowPunct w:val="0"/>
              <w:rPr>
                <w:rFonts w:eastAsia="MS Mincho"/>
                <w:sz w:val="22"/>
                <w:szCs w:val="22"/>
                <w:lang w:val="el-GR"/>
              </w:rPr>
            </w:pPr>
          </w:p>
        </w:tc>
        <w:tc>
          <w:tcPr>
            <w:tcW w:w="1984" w:type="dxa"/>
          </w:tcPr>
          <w:p w14:paraId="786ABE29"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320E1585" w14:textId="77777777" w:rsidR="00171824" w:rsidRDefault="006D258C">
            <w:pPr>
              <w:widowControl/>
              <w:kinsoku w:val="0"/>
              <w:overflowPunct w:val="0"/>
              <w:rPr>
                <w:rFonts w:eastAsia="MS Mincho"/>
                <w:sz w:val="22"/>
                <w:szCs w:val="22"/>
                <w:lang w:val="el-GR"/>
              </w:rPr>
            </w:pPr>
            <w:r>
              <w:rPr>
                <w:rFonts w:eastAsia="MS Mincho"/>
                <w:sz w:val="22"/>
                <w:szCs w:val="22"/>
                <w:lang w:val="el-GR"/>
              </w:rPr>
              <w:t>Υποκαλιαιμία,</w:t>
            </w:r>
          </w:p>
          <w:p w14:paraId="615C5513" w14:textId="77777777" w:rsidR="00171824" w:rsidRDefault="006D258C">
            <w:pPr>
              <w:widowControl/>
              <w:kinsoku w:val="0"/>
              <w:overflowPunct w:val="0"/>
              <w:rPr>
                <w:rFonts w:eastAsia="MS Mincho"/>
                <w:sz w:val="22"/>
                <w:szCs w:val="22"/>
                <w:lang w:val="el-GR"/>
              </w:rPr>
            </w:pPr>
            <w:r>
              <w:rPr>
                <w:rFonts w:eastAsia="MS Mincho"/>
                <w:sz w:val="22"/>
                <w:szCs w:val="22"/>
                <w:lang w:val="el-GR"/>
              </w:rPr>
              <w:t>Ουρικό οξύ αυξημένο,</w:t>
            </w:r>
          </w:p>
          <w:p w14:paraId="2E3897DD" w14:textId="77777777" w:rsidR="00171824" w:rsidRDefault="006D258C">
            <w:pPr>
              <w:widowControl/>
              <w:kinsoku w:val="0"/>
              <w:overflowPunct w:val="0"/>
              <w:rPr>
                <w:rFonts w:eastAsia="MS Mincho"/>
                <w:sz w:val="22"/>
                <w:szCs w:val="22"/>
                <w:lang w:val="el-GR"/>
              </w:rPr>
            </w:pPr>
            <w:r>
              <w:rPr>
                <w:rFonts w:eastAsia="MS Mincho"/>
                <w:sz w:val="22"/>
                <w:szCs w:val="22"/>
                <w:lang w:val="el-GR"/>
              </w:rPr>
              <w:t>Νάτριο αίματος μη φυσιολογικό,</w:t>
            </w:r>
          </w:p>
          <w:p w14:paraId="4C26CA95" w14:textId="77777777" w:rsidR="00171824" w:rsidRDefault="006D258C">
            <w:pPr>
              <w:widowControl/>
              <w:kinsoku w:val="0"/>
              <w:overflowPunct w:val="0"/>
              <w:rPr>
                <w:rFonts w:eastAsia="MS Mincho"/>
                <w:sz w:val="22"/>
                <w:szCs w:val="22"/>
                <w:lang w:val="el-GR"/>
              </w:rPr>
            </w:pPr>
            <w:r>
              <w:rPr>
                <w:rFonts w:eastAsia="MS Mincho"/>
                <w:sz w:val="22"/>
                <w:szCs w:val="22"/>
                <w:lang w:val="el-GR"/>
              </w:rPr>
              <w:t>Υπασβεστιαιμία,</w:t>
            </w:r>
          </w:p>
          <w:p w14:paraId="0736930B" w14:textId="77777777" w:rsidR="00171824" w:rsidRDefault="006D258C">
            <w:pPr>
              <w:widowControl/>
              <w:kinsoku w:val="0"/>
              <w:overflowPunct w:val="0"/>
              <w:rPr>
                <w:rFonts w:eastAsia="MS Mincho"/>
                <w:sz w:val="22"/>
                <w:szCs w:val="22"/>
                <w:lang w:val="el-GR"/>
              </w:rPr>
            </w:pPr>
            <w:r>
              <w:rPr>
                <w:rFonts w:eastAsia="MS Mincho"/>
                <w:sz w:val="22"/>
                <w:szCs w:val="22"/>
                <w:lang w:val="el-GR"/>
              </w:rPr>
              <w:t>Υπεργλυκαιμία,</w:t>
            </w:r>
          </w:p>
          <w:p w14:paraId="53B3C976" w14:textId="77777777" w:rsidR="00171824" w:rsidRDefault="006D258C">
            <w:pPr>
              <w:widowControl/>
              <w:kinsoku w:val="0"/>
              <w:overflowPunct w:val="0"/>
              <w:rPr>
                <w:rFonts w:eastAsia="MS Mincho"/>
                <w:sz w:val="22"/>
                <w:szCs w:val="22"/>
                <w:lang w:val="el-GR"/>
              </w:rPr>
            </w:pPr>
            <w:r>
              <w:rPr>
                <w:rFonts w:eastAsia="MS Mincho"/>
                <w:sz w:val="22"/>
                <w:szCs w:val="22"/>
                <w:lang w:val="el-GR"/>
              </w:rPr>
              <w:t>Υποφωσφοραιμία,</w:t>
            </w:r>
          </w:p>
          <w:p w14:paraId="3344A41C" w14:textId="77777777" w:rsidR="00171824" w:rsidRDefault="006D258C">
            <w:pPr>
              <w:widowControl/>
              <w:kinsoku w:val="0"/>
              <w:overflowPunct w:val="0"/>
              <w:rPr>
                <w:rFonts w:eastAsia="MS Mincho"/>
                <w:sz w:val="22"/>
                <w:szCs w:val="22"/>
                <w:lang w:val="el-GR"/>
              </w:rPr>
            </w:pPr>
            <w:r>
              <w:rPr>
                <w:rFonts w:eastAsia="MS Mincho"/>
                <w:sz w:val="22"/>
                <w:szCs w:val="22"/>
                <w:lang w:val="el-GR"/>
              </w:rPr>
              <w:t>Αφυδάτωση</w:t>
            </w:r>
          </w:p>
        </w:tc>
      </w:tr>
      <w:tr w:rsidR="00171824" w14:paraId="27260C6C" w14:textId="77777777">
        <w:trPr>
          <w:cantSplit/>
        </w:trPr>
        <w:tc>
          <w:tcPr>
            <w:tcW w:w="2552" w:type="dxa"/>
          </w:tcPr>
          <w:p w14:paraId="428F1E4C"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Ψυχιατρικές διαταραχές</w:t>
            </w:r>
          </w:p>
        </w:tc>
        <w:tc>
          <w:tcPr>
            <w:tcW w:w="1984" w:type="dxa"/>
          </w:tcPr>
          <w:p w14:paraId="078A14C4"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574B5DCC"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Μεταβολή διάθεσης (συμπεριλαμβάνεται</w:t>
            </w:r>
          </w:p>
          <w:p w14:paraId="015A369A"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κατάθλιψη),</w:t>
            </w:r>
          </w:p>
          <w:p w14:paraId="7CED5D1A"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΄Αγχος,</w:t>
            </w:r>
          </w:p>
          <w:p w14:paraId="3919A043"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Αϋπνία</w:t>
            </w:r>
          </w:p>
        </w:tc>
      </w:tr>
      <w:tr w:rsidR="00171824" w14:paraId="27EBA4B7" w14:textId="77777777">
        <w:trPr>
          <w:cantSplit/>
          <w:trHeight w:val="365"/>
        </w:trPr>
        <w:tc>
          <w:tcPr>
            <w:tcW w:w="2552" w:type="dxa"/>
            <w:vMerge w:val="restart"/>
          </w:tcPr>
          <w:p w14:paraId="79B75C27" w14:textId="77777777" w:rsidR="00171824" w:rsidRDefault="006D258C">
            <w:pPr>
              <w:widowControl/>
              <w:kinsoku w:val="0"/>
              <w:overflowPunct w:val="0"/>
              <w:rPr>
                <w:rFonts w:eastAsia="MS Mincho"/>
                <w:sz w:val="22"/>
                <w:szCs w:val="22"/>
                <w:lang w:val="el-GR"/>
              </w:rPr>
            </w:pPr>
            <w:r>
              <w:rPr>
                <w:rFonts w:eastAsia="MS Mincho"/>
                <w:sz w:val="22"/>
                <w:szCs w:val="22"/>
                <w:lang w:val="el-GR"/>
              </w:rPr>
              <w:t>Διαταραχές του νευρικού συστήματος*</w:t>
            </w:r>
          </w:p>
        </w:tc>
        <w:tc>
          <w:tcPr>
            <w:tcW w:w="1984" w:type="dxa"/>
          </w:tcPr>
          <w:p w14:paraId="0A574AF8"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51E3B6E1" w14:textId="77777777" w:rsidR="00171824" w:rsidRDefault="006D258C">
            <w:pPr>
              <w:widowControl/>
              <w:kinsoku w:val="0"/>
              <w:overflowPunct w:val="0"/>
              <w:rPr>
                <w:rFonts w:eastAsia="MS Mincho"/>
                <w:sz w:val="22"/>
                <w:szCs w:val="22"/>
                <w:lang w:val="el-GR"/>
              </w:rPr>
            </w:pPr>
            <w:r>
              <w:rPr>
                <w:rFonts w:eastAsia="MS Mincho"/>
                <w:sz w:val="22"/>
                <w:szCs w:val="22"/>
                <w:lang w:val="el-GR"/>
              </w:rPr>
              <w:t>Κεφαλαλγία</w:t>
            </w:r>
          </w:p>
        </w:tc>
      </w:tr>
      <w:tr w:rsidR="00171824" w:rsidRPr="00422380" w14:paraId="01A2974E" w14:textId="77777777">
        <w:trPr>
          <w:cantSplit/>
          <w:trHeight w:val="1204"/>
        </w:trPr>
        <w:tc>
          <w:tcPr>
            <w:tcW w:w="2552" w:type="dxa"/>
            <w:vMerge/>
          </w:tcPr>
          <w:p w14:paraId="161AC531" w14:textId="77777777" w:rsidR="00171824" w:rsidRDefault="00171824">
            <w:pPr>
              <w:widowControl/>
              <w:kinsoku w:val="0"/>
              <w:overflowPunct w:val="0"/>
              <w:rPr>
                <w:rFonts w:eastAsia="MS Mincho"/>
                <w:sz w:val="22"/>
                <w:szCs w:val="22"/>
                <w:lang w:val="el-GR"/>
              </w:rPr>
            </w:pPr>
          </w:p>
        </w:tc>
        <w:tc>
          <w:tcPr>
            <w:tcW w:w="1984" w:type="dxa"/>
          </w:tcPr>
          <w:p w14:paraId="1C0BB1EF"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07B5DC18" w14:textId="77777777" w:rsidR="00171824" w:rsidRDefault="006D258C">
            <w:pPr>
              <w:widowControl/>
              <w:kinsoku w:val="0"/>
              <w:overflowPunct w:val="0"/>
              <w:rPr>
                <w:rFonts w:eastAsia="MS Mincho"/>
                <w:sz w:val="22"/>
                <w:szCs w:val="22"/>
                <w:lang w:val="el-GR"/>
              </w:rPr>
            </w:pPr>
            <w:r>
              <w:rPr>
                <w:rFonts w:eastAsia="MS Mincho"/>
                <w:sz w:val="22"/>
                <w:szCs w:val="22"/>
                <w:lang w:val="el-GR"/>
              </w:rPr>
              <w:t>Παραισθησία (συμπεριλαμβάνεται υπαισθησία),</w:t>
            </w:r>
          </w:p>
          <w:p w14:paraId="66C93605" w14:textId="77777777" w:rsidR="00171824" w:rsidRDefault="006D258C">
            <w:pPr>
              <w:widowControl/>
              <w:kinsoku w:val="0"/>
              <w:overflowPunct w:val="0"/>
              <w:rPr>
                <w:rFonts w:eastAsia="MS Mincho"/>
                <w:sz w:val="22"/>
                <w:szCs w:val="22"/>
                <w:lang w:val="el-GR"/>
              </w:rPr>
            </w:pPr>
            <w:r>
              <w:rPr>
                <w:rFonts w:eastAsia="MS Mincho"/>
                <w:sz w:val="22"/>
                <w:szCs w:val="22"/>
                <w:lang w:val="el-GR"/>
              </w:rPr>
              <w:t>Ημικρανία,</w:t>
            </w:r>
          </w:p>
          <w:p w14:paraId="502A4B96" w14:textId="77777777" w:rsidR="00171824" w:rsidRDefault="006D258C">
            <w:pPr>
              <w:widowControl/>
              <w:kinsoku w:val="0"/>
              <w:overflowPunct w:val="0"/>
              <w:rPr>
                <w:rFonts w:eastAsia="MS Mincho"/>
                <w:sz w:val="22"/>
                <w:szCs w:val="22"/>
                <w:lang w:val="el-GR"/>
              </w:rPr>
            </w:pPr>
            <w:r>
              <w:rPr>
                <w:rFonts w:eastAsia="MS Mincho"/>
                <w:sz w:val="22"/>
                <w:szCs w:val="22"/>
                <w:lang w:val="el-GR"/>
              </w:rPr>
              <w:t>Συμπίεση νευρικής ρίζας</w:t>
            </w:r>
          </w:p>
        </w:tc>
      </w:tr>
      <w:tr w:rsidR="00171824" w:rsidRPr="00422380" w14:paraId="277C12A1" w14:textId="77777777">
        <w:trPr>
          <w:cantSplit/>
          <w:trHeight w:val="935"/>
        </w:trPr>
        <w:tc>
          <w:tcPr>
            <w:tcW w:w="2552" w:type="dxa"/>
            <w:vMerge/>
          </w:tcPr>
          <w:p w14:paraId="55934EB2" w14:textId="77777777" w:rsidR="00171824" w:rsidRDefault="00171824">
            <w:pPr>
              <w:widowControl/>
              <w:kinsoku w:val="0"/>
              <w:overflowPunct w:val="0"/>
              <w:rPr>
                <w:rFonts w:eastAsia="MS Mincho"/>
                <w:sz w:val="22"/>
                <w:szCs w:val="22"/>
                <w:lang w:val="el-GR"/>
              </w:rPr>
            </w:pPr>
          </w:p>
        </w:tc>
        <w:tc>
          <w:tcPr>
            <w:tcW w:w="1984" w:type="dxa"/>
          </w:tcPr>
          <w:p w14:paraId="0F3EE7D2"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7B502A78" w14:textId="77777777" w:rsidR="00171824" w:rsidRDefault="006D258C">
            <w:pPr>
              <w:widowControl/>
              <w:kinsoku w:val="0"/>
              <w:overflowPunct w:val="0"/>
              <w:rPr>
                <w:rFonts w:eastAsia="MS Mincho"/>
                <w:sz w:val="22"/>
                <w:szCs w:val="22"/>
                <w:lang w:val="el-GR"/>
              </w:rPr>
            </w:pPr>
            <w:r>
              <w:rPr>
                <w:rFonts w:eastAsia="MS Mincho"/>
                <w:sz w:val="22"/>
                <w:szCs w:val="22"/>
                <w:lang w:val="el-GR"/>
              </w:rPr>
              <w:t>Αγγειακό εγκεφαλικό επεισόδιο</w:t>
            </w:r>
            <w:r>
              <w:rPr>
                <w:rFonts w:eastAsia="MS Mincho"/>
                <w:sz w:val="22"/>
                <w:szCs w:val="22"/>
                <w:vertAlign w:val="superscript"/>
                <w:lang w:val="el-GR"/>
              </w:rPr>
              <w:t>1)</w:t>
            </w:r>
          </w:p>
          <w:p w14:paraId="4D7A2CDD" w14:textId="77777777" w:rsidR="00171824" w:rsidRDefault="006D258C">
            <w:pPr>
              <w:widowControl/>
              <w:kinsoku w:val="0"/>
              <w:overflowPunct w:val="0"/>
              <w:rPr>
                <w:rFonts w:eastAsia="MS Mincho"/>
                <w:sz w:val="22"/>
                <w:szCs w:val="22"/>
                <w:lang w:val="el-GR"/>
              </w:rPr>
            </w:pPr>
            <w:r>
              <w:rPr>
                <w:rFonts w:eastAsia="MS Mincho"/>
                <w:sz w:val="22"/>
                <w:szCs w:val="22"/>
                <w:lang w:val="el-GR"/>
              </w:rPr>
              <w:t>Τρόμος,</w:t>
            </w:r>
          </w:p>
          <w:p w14:paraId="6317EA15" w14:textId="77777777" w:rsidR="00171824" w:rsidRDefault="006D258C">
            <w:pPr>
              <w:widowControl/>
              <w:kinsoku w:val="0"/>
              <w:overflowPunct w:val="0"/>
              <w:rPr>
                <w:rFonts w:eastAsia="MS Mincho"/>
                <w:sz w:val="22"/>
                <w:szCs w:val="22"/>
                <w:lang w:val="el-GR"/>
              </w:rPr>
            </w:pPr>
            <w:r>
              <w:rPr>
                <w:rFonts w:eastAsia="MS Mincho"/>
                <w:sz w:val="22"/>
                <w:szCs w:val="22"/>
                <w:lang w:val="el-GR"/>
              </w:rPr>
              <w:t>Νευροπάθεια</w:t>
            </w:r>
          </w:p>
        </w:tc>
      </w:tr>
      <w:tr w:rsidR="00171824" w:rsidRPr="00422380" w14:paraId="374A2A8B" w14:textId="77777777">
        <w:trPr>
          <w:cantSplit/>
          <w:trHeight w:val="888"/>
        </w:trPr>
        <w:tc>
          <w:tcPr>
            <w:tcW w:w="2552" w:type="dxa"/>
            <w:vMerge/>
          </w:tcPr>
          <w:p w14:paraId="5DE36CA6" w14:textId="77777777" w:rsidR="00171824" w:rsidRDefault="00171824">
            <w:pPr>
              <w:widowControl/>
              <w:kinsoku w:val="0"/>
              <w:overflowPunct w:val="0"/>
              <w:rPr>
                <w:rFonts w:eastAsia="MS Mincho"/>
                <w:sz w:val="22"/>
                <w:szCs w:val="22"/>
                <w:lang w:val="el-GR"/>
              </w:rPr>
            </w:pPr>
          </w:p>
        </w:tc>
        <w:tc>
          <w:tcPr>
            <w:tcW w:w="1984" w:type="dxa"/>
          </w:tcPr>
          <w:p w14:paraId="78CC050D"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45EAC161" w14:textId="77777777" w:rsidR="00171824" w:rsidRDefault="006D258C">
            <w:pPr>
              <w:widowControl/>
              <w:kinsoku w:val="0"/>
              <w:overflowPunct w:val="0"/>
              <w:rPr>
                <w:rFonts w:eastAsia="MS Mincho"/>
                <w:sz w:val="22"/>
                <w:szCs w:val="22"/>
                <w:lang w:val="el-GR"/>
              </w:rPr>
            </w:pPr>
            <w:r>
              <w:rPr>
                <w:rFonts w:eastAsia="MS Mincho"/>
                <w:sz w:val="22"/>
                <w:szCs w:val="22"/>
                <w:lang w:val="el-GR"/>
              </w:rPr>
              <w:t>Σκλήρυνση κατά πλάκας,</w:t>
            </w:r>
          </w:p>
          <w:p w14:paraId="5A09713E" w14:textId="77777777" w:rsidR="00171824" w:rsidRDefault="006D258C">
            <w:pPr>
              <w:widowControl/>
              <w:kinsoku w:val="0"/>
              <w:overflowPunct w:val="0"/>
              <w:rPr>
                <w:rFonts w:eastAsia="MS Mincho"/>
                <w:sz w:val="22"/>
                <w:szCs w:val="22"/>
                <w:lang w:val="el-GR"/>
              </w:rPr>
            </w:pPr>
            <w:r>
              <w:rPr>
                <w:rFonts w:eastAsia="MS Mincho"/>
                <w:sz w:val="22"/>
                <w:szCs w:val="22"/>
                <w:lang w:val="el-GR"/>
              </w:rPr>
              <w:t>Απομυελινωτικές διαταραχές (π.χ. οπτική νευρίτιδα, σύνδρομο Guillain-Barré)</w:t>
            </w:r>
            <w:r>
              <w:rPr>
                <w:rFonts w:eastAsia="MS Mincho"/>
                <w:sz w:val="22"/>
                <w:szCs w:val="22"/>
                <w:vertAlign w:val="superscript"/>
                <w:lang w:val="el-GR"/>
              </w:rPr>
              <w:t>1)</w:t>
            </w:r>
          </w:p>
        </w:tc>
      </w:tr>
      <w:tr w:rsidR="00171824" w:rsidRPr="00422380" w14:paraId="307BC550" w14:textId="77777777">
        <w:trPr>
          <w:cantSplit/>
          <w:trHeight w:val="1038"/>
        </w:trPr>
        <w:tc>
          <w:tcPr>
            <w:tcW w:w="2552" w:type="dxa"/>
            <w:vMerge w:val="restart"/>
          </w:tcPr>
          <w:p w14:paraId="334EFA3A" w14:textId="07D624A9" w:rsidR="00171824" w:rsidRDefault="006D258C">
            <w:pPr>
              <w:widowControl/>
              <w:kinsoku w:val="0"/>
              <w:overflowPunct w:val="0"/>
              <w:rPr>
                <w:rFonts w:eastAsia="MS Mincho"/>
                <w:sz w:val="22"/>
                <w:szCs w:val="22"/>
                <w:lang w:val="el-GR"/>
              </w:rPr>
            </w:pPr>
            <w:del w:id="21" w:author="Author">
              <w:r w:rsidDel="00FF7C13">
                <w:rPr>
                  <w:rFonts w:eastAsia="MS Mincho"/>
                  <w:sz w:val="22"/>
                  <w:szCs w:val="22"/>
                  <w:lang w:val="el-GR"/>
                </w:rPr>
                <w:lastRenderedPageBreak/>
                <w:delText>Οφθαλμικές δ</w:delText>
              </w:r>
            </w:del>
            <w:ins w:id="22" w:author="Author">
              <w:r w:rsidR="00FF7C13">
                <w:rPr>
                  <w:rFonts w:eastAsia="MS Mincho"/>
                  <w:sz w:val="22"/>
                  <w:szCs w:val="22"/>
                  <w:lang w:val="el-GR"/>
                </w:rPr>
                <w:t>Δ</w:t>
              </w:r>
            </w:ins>
            <w:r>
              <w:rPr>
                <w:rFonts w:eastAsia="MS Mincho"/>
                <w:sz w:val="22"/>
                <w:szCs w:val="22"/>
                <w:lang w:val="el-GR"/>
              </w:rPr>
              <w:t>ιαταραχές</w:t>
            </w:r>
            <w:ins w:id="23" w:author="Author">
              <w:r w:rsidR="00FF7C13">
                <w:rPr>
                  <w:rFonts w:eastAsia="MS Mincho"/>
                  <w:sz w:val="22"/>
                  <w:szCs w:val="22"/>
                  <w:lang w:val="el-GR"/>
                </w:rPr>
                <w:t xml:space="preserve"> του οφθαλμού</w:t>
              </w:r>
            </w:ins>
          </w:p>
        </w:tc>
        <w:tc>
          <w:tcPr>
            <w:tcW w:w="1984" w:type="dxa"/>
          </w:tcPr>
          <w:p w14:paraId="77E253D7"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40B757F7" w14:textId="77777777" w:rsidR="00171824" w:rsidRDefault="006D258C">
            <w:pPr>
              <w:widowControl/>
              <w:kinsoku w:val="0"/>
              <w:overflowPunct w:val="0"/>
              <w:rPr>
                <w:rFonts w:eastAsia="MS Mincho"/>
                <w:sz w:val="22"/>
                <w:szCs w:val="22"/>
                <w:lang w:val="el-GR"/>
              </w:rPr>
            </w:pPr>
            <w:r>
              <w:rPr>
                <w:rFonts w:eastAsia="MS Mincho"/>
                <w:sz w:val="22"/>
                <w:szCs w:val="22"/>
                <w:lang w:val="el-GR"/>
              </w:rPr>
              <w:t>Οπτική διαταραχή,</w:t>
            </w:r>
          </w:p>
          <w:p w14:paraId="54B6781E" w14:textId="77777777" w:rsidR="00171824" w:rsidRDefault="006D258C">
            <w:pPr>
              <w:widowControl/>
              <w:kinsoku w:val="0"/>
              <w:overflowPunct w:val="0"/>
              <w:rPr>
                <w:rFonts w:eastAsia="MS Mincho"/>
                <w:sz w:val="22"/>
                <w:szCs w:val="22"/>
                <w:lang w:val="el-GR"/>
              </w:rPr>
            </w:pPr>
            <w:r>
              <w:rPr>
                <w:rFonts w:eastAsia="MS Mincho"/>
                <w:sz w:val="22"/>
                <w:szCs w:val="22"/>
                <w:lang w:val="el-GR"/>
              </w:rPr>
              <w:t>Επιπεφυκίτιδα,</w:t>
            </w:r>
          </w:p>
          <w:p w14:paraId="772B0B7C" w14:textId="77777777" w:rsidR="00171824" w:rsidRDefault="006D258C">
            <w:pPr>
              <w:widowControl/>
              <w:kinsoku w:val="0"/>
              <w:overflowPunct w:val="0"/>
              <w:rPr>
                <w:rFonts w:eastAsia="MS Mincho"/>
                <w:sz w:val="22"/>
                <w:szCs w:val="22"/>
                <w:lang w:val="el-GR"/>
              </w:rPr>
            </w:pPr>
            <w:r>
              <w:rPr>
                <w:rFonts w:eastAsia="MS Mincho"/>
                <w:sz w:val="22"/>
                <w:szCs w:val="22"/>
                <w:lang w:val="el-GR"/>
              </w:rPr>
              <w:t>Βλεφαρίτιδα,</w:t>
            </w:r>
          </w:p>
          <w:p w14:paraId="4964862A" w14:textId="77777777" w:rsidR="00171824" w:rsidRDefault="006D258C">
            <w:pPr>
              <w:widowControl/>
              <w:kinsoku w:val="0"/>
              <w:overflowPunct w:val="0"/>
              <w:rPr>
                <w:rFonts w:eastAsia="MS Mincho"/>
                <w:sz w:val="22"/>
                <w:szCs w:val="22"/>
                <w:lang w:val="el-GR"/>
              </w:rPr>
            </w:pPr>
            <w:r>
              <w:rPr>
                <w:rFonts w:eastAsia="MS Mincho"/>
                <w:sz w:val="22"/>
                <w:szCs w:val="22"/>
                <w:lang w:val="el-GR"/>
              </w:rPr>
              <w:t>Οίδημα του οφθαλμού</w:t>
            </w:r>
          </w:p>
        </w:tc>
      </w:tr>
      <w:tr w:rsidR="00171824" w14:paraId="0B5FE937" w14:textId="77777777">
        <w:trPr>
          <w:cantSplit/>
          <w:trHeight w:val="351"/>
        </w:trPr>
        <w:tc>
          <w:tcPr>
            <w:tcW w:w="2552" w:type="dxa"/>
            <w:vMerge/>
          </w:tcPr>
          <w:p w14:paraId="174D4F8D" w14:textId="77777777" w:rsidR="00171824" w:rsidRDefault="00171824">
            <w:pPr>
              <w:widowControl/>
              <w:kinsoku w:val="0"/>
              <w:overflowPunct w:val="0"/>
              <w:rPr>
                <w:rFonts w:eastAsia="MS Mincho"/>
                <w:sz w:val="22"/>
                <w:szCs w:val="22"/>
                <w:lang w:val="el-GR"/>
              </w:rPr>
            </w:pPr>
          </w:p>
        </w:tc>
        <w:tc>
          <w:tcPr>
            <w:tcW w:w="1984" w:type="dxa"/>
          </w:tcPr>
          <w:p w14:paraId="0BF1A4A0"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50453DC7" w14:textId="77777777" w:rsidR="00171824" w:rsidRDefault="006D258C">
            <w:pPr>
              <w:widowControl/>
              <w:kinsoku w:val="0"/>
              <w:overflowPunct w:val="0"/>
              <w:rPr>
                <w:rFonts w:eastAsia="MS Mincho"/>
                <w:sz w:val="22"/>
                <w:szCs w:val="22"/>
                <w:lang w:val="el-GR"/>
              </w:rPr>
            </w:pPr>
            <w:r>
              <w:rPr>
                <w:rFonts w:eastAsia="MS Mincho"/>
                <w:sz w:val="22"/>
                <w:szCs w:val="22"/>
                <w:lang w:val="el-GR"/>
              </w:rPr>
              <w:t>Διπλωπία</w:t>
            </w:r>
          </w:p>
        </w:tc>
      </w:tr>
      <w:tr w:rsidR="00171824" w14:paraId="4DF65437" w14:textId="77777777">
        <w:trPr>
          <w:cantSplit/>
          <w:trHeight w:val="367"/>
        </w:trPr>
        <w:tc>
          <w:tcPr>
            <w:tcW w:w="2552" w:type="dxa"/>
            <w:vMerge w:val="restart"/>
          </w:tcPr>
          <w:p w14:paraId="7982A85C" w14:textId="77777777" w:rsidR="00171824" w:rsidRDefault="006D258C">
            <w:pPr>
              <w:widowControl/>
              <w:kinsoku w:val="0"/>
              <w:overflowPunct w:val="0"/>
              <w:rPr>
                <w:rFonts w:eastAsia="MS Mincho"/>
                <w:sz w:val="22"/>
                <w:szCs w:val="22"/>
                <w:lang w:val="el-GR"/>
              </w:rPr>
            </w:pPr>
            <w:r>
              <w:rPr>
                <w:rFonts w:eastAsia="MS Mincho"/>
                <w:sz w:val="22"/>
                <w:szCs w:val="22"/>
                <w:lang w:val="el-GR"/>
              </w:rPr>
              <w:t>Διαταραχές του ωτός και του λαβυρίνθου</w:t>
            </w:r>
          </w:p>
        </w:tc>
        <w:tc>
          <w:tcPr>
            <w:tcW w:w="1984" w:type="dxa"/>
          </w:tcPr>
          <w:p w14:paraId="2481D945"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2478EBAF" w14:textId="77777777" w:rsidR="00171824" w:rsidRDefault="006D258C">
            <w:pPr>
              <w:widowControl/>
              <w:kinsoku w:val="0"/>
              <w:overflowPunct w:val="0"/>
              <w:rPr>
                <w:rFonts w:eastAsia="MS Mincho"/>
                <w:sz w:val="22"/>
                <w:szCs w:val="22"/>
                <w:lang w:val="el-GR"/>
              </w:rPr>
            </w:pPr>
            <w:r>
              <w:rPr>
                <w:rFonts w:eastAsia="MS Mincho"/>
                <w:sz w:val="22"/>
                <w:szCs w:val="22"/>
                <w:lang w:val="el-GR"/>
              </w:rPr>
              <w:t>΄Ιλιγγος</w:t>
            </w:r>
          </w:p>
        </w:tc>
      </w:tr>
      <w:tr w:rsidR="00171824" w14:paraId="182739C7" w14:textId="77777777">
        <w:trPr>
          <w:cantSplit/>
          <w:trHeight w:val="370"/>
        </w:trPr>
        <w:tc>
          <w:tcPr>
            <w:tcW w:w="2552" w:type="dxa"/>
            <w:vMerge/>
          </w:tcPr>
          <w:p w14:paraId="7E09B24B" w14:textId="77777777" w:rsidR="00171824" w:rsidRDefault="00171824">
            <w:pPr>
              <w:widowControl/>
              <w:kinsoku w:val="0"/>
              <w:overflowPunct w:val="0"/>
              <w:rPr>
                <w:rFonts w:eastAsia="MS Mincho"/>
                <w:sz w:val="22"/>
                <w:szCs w:val="22"/>
                <w:lang w:val="el-GR"/>
              </w:rPr>
            </w:pPr>
          </w:p>
        </w:tc>
        <w:tc>
          <w:tcPr>
            <w:tcW w:w="1984" w:type="dxa"/>
          </w:tcPr>
          <w:p w14:paraId="5509F22A"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799C061A" w14:textId="77777777" w:rsidR="00171824" w:rsidRDefault="006D258C">
            <w:pPr>
              <w:widowControl/>
              <w:kinsoku w:val="0"/>
              <w:overflowPunct w:val="0"/>
              <w:rPr>
                <w:rFonts w:eastAsia="MS Mincho"/>
                <w:sz w:val="22"/>
                <w:szCs w:val="22"/>
                <w:lang w:val="el-GR"/>
              </w:rPr>
            </w:pPr>
            <w:r>
              <w:rPr>
                <w:rFonts w:eastAsia="MS Mincho"/>
                <w:sz w:val="22"/>
                <w:szCs w:val="22"/>
                <w:lang w:val="el-GR"/>
              </w:rPr>
              <w:t>Κώφωση,</w:t>
            </w:r>
          </w:p>
          <w:p w14:paraId="71A31345" w14:textId="77777777" w:rsidR="00171824" w:rsidRDefault="006D258C">
            <w:pPr>
              <w:widowControl/>
              <w:kinsoku w:val="0"/>
              <w:overflowPunct w:val="0"/>
              <w:rPr>
                <w:rFonts w:eastAsia="MS Mincho"/>
                <w:sz w:val="22"/>
                <w:szCs w:val="22"/>
                <w:lang w:val="el-GR"/>
              </w:rPr>
            </w:pPr>
            <w:r>
              <w:rPr>
                <w:rFonts w:eastAsia="MS Mincho"/>
                <w:sz w:val="22"/>
                <w:szCs w:val="22"/>
                <w:lang w:val="el-GR"/>
              </w:rPr>
              <w:t>Εμβοές</w:t>
            </w:r>
          </w:p>
        </w:tc>
      </w:tr>
      <w:tr w:rsidR="00171824" w14:paraId="7B25BE17" w14:textId="77777777">
        <w:trPr>
          <w:cantSplit/>
          <w:trHeight w:val="376"/>
        </w:trPr>
        <w:tc>
          <w:tcPr>
            <w:tcW w:w="2552" w:type="dxa"/>
            <w:vMerge w:val="restart"/>
          </w:tcPr>
          <w:p w14:paraId="33E03693"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Καρδιακές διαταραχές*</w:t>
            </w:r>
          </w:p>
        </w:tc>
        <w:tc>
          <w:tcPr>
            <w:tcW w:w="1984" w:type="dxa"/>
          </w:tcPr>
          <w:p w14:paraId="3B9A707B"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2ED9F8AD"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Υαχυκαρδία</w:t>
            </w:r>
          </w:p>
        </w:tc>
      </w:tr>
      <w:tr w:rsidR="00171824" w:rsidRPr="00422380" w14:paraId="4E8F6BD1" w14:textId="77777777">
        <w:trPr>
          <w:cantSplit/>
          <w:trHeight w:val="892"/>
        </w:trPr>
        <w:tc>
          <w:tcPr>
            <w:tcW w:w="2552" w:type="dxa"/>
            <w:vMerge/>
          </w:tcPr>
          <w:p w14:paraId="71FA6FDD" w14:textId="77777777" w:rsidR="00171824" w:rsidRDefault="00171824">
            <w:pPr>
              <w:keepNext/>
              <w:widowControl/>
              <w:kinsoku w:val="0"/>
              <w:overflowPunct w:val="0"/>
              <w:rPr>
                <w:rFonts w:eastAsia="MS Mincho"/>
                <w:sz w:val="22"/>
                <w:szCs w:val="22"/>
                <w:lang w:val="el-GR"/>
              </w:rPr>
            </w:pPr>
          </w:p>
        </w:tc>
        <w:tc>
          <w:tcPr>
            <w:tcW w:w="1984" w:type="dxa"/>
          </w:tcPr>
          <w:p w14:paraId="2FA266B3"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044AACC9"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΄Εμφραγμα του μυοκαρδίου</w:t>
            </w:r>
            <w:r>
              <w:rPr>
                <w:rFonts w:eastAsia="MS Mincho"/>
                <w:sz w:val="22"/>
                <w:szCs w:val="22"/>
                <w:vertAlign w:val="superscript"/>
                <w:lang w:val="el-GR"/>
              </w:rPr>
              <w:t>1)</w:t>
            </w:r>
            <w:r>
              <w:rPr>
                <w:rFonts w:eastAsia="MS Mincho"/>
                <w:sz w:val="22"/>
                <w:szCs w:val="22"/>
                <w:lang w:val="el-GR"/>
              </w:rPr>
              <w:t>,</w:t>
            </w:r>
          </w:p>
          <w:p w14:paraId="3FD340A2"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Αρρυθμία,</w:t>
            </w:r>
          </w:p>
          <w:p w14:paraId="266367BC"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Συμφορητική καρδιακή ανεπάρκεια</w:t>
            </w:r>
          </w:p>
        </w:tc>
      </w:tr>
      <w:tr w:rsidR="00171824" w14:paraId="213EC5E4" w14:textId="77777777">
        <w:trPr>
          <w:cantSplit/>
          <w:trHeight w:val="453"/>
        </w:trPr>
        <w:tc>
          <w:tcPr>
            <w:tcW w:w="2552" w:type="dxa"/>
            <w:vMerge/>
          </w:tcPr>
          <w:p w14:paraId="6F280691" w14:textId="77777777" w:rsidR="00171824" w:rsidRDefault="00171824">
            <w:pPr>
              <w:keepNext/>
              <w:widowControl/>
              <w:kinsoku w:val="0"/>
              <w:overflowPunct w:val="0"/>
              <w:rPr>
                <w:rFonts w:eastAsia="MS Mincho"/>
                <w:sz w:val="22"/>
                <w:szCs w:val="22"/>
                <w:lang w:val="el-GR"/>
              </w:rPr>
            </w:pPr>
          </w:p>
        </w:tc>
        <w:tc>
          <w:tcPr>
            <w:tcW w:w="1984" w:type="dxa"/>
          </w:tcPr>
          <w:p w14:paraId="6D90DA1D"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690C8B09"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Καρδιακή ανακοπή</w:t>
            </w:r>
          </w:p>
        </w:tc>
      </w:tr>
      <w:tr w:rsidR="00171824" w14:paraId="566DA0A2" w14:textId="77777777">
        <w:trPr>
          <w:cantSplit/>
          <w:trHeight w:val="967"/>
        </w:trPr>
        <w:tc>
          <w:tcPr>
            <w:tcW w:w="2552" w:type="dxa"/>
            <w:vMerge w:val="restart"/>
          </w:tcPr>
          <w:p w14:paraId="003A8BB5" w14:textId="77777777" w:rsidR="00171824" w:rsidRDefault="006D258C">
            <w:pPr>
              <w:widowControl/>
              <w:kinsoku w:val="0"/>
              <w:overflowPunct w:val="0"/>
              <w:rPr>
                <w:rFonts w:eastAsia="MS Mincho"/>
                <w:sz w:val="22"/>
                <w:szCs w:val="22"/>
                <w:lang w:val="el-GR"/>
              </w:rPr>
            </w:pPr>
            <w:r>
              <w:rPr>
                <w:rFonts w:eastAsia="MS Mincho"/>
                <w:sz w:val="22"/>
                <w:szCs w:val="22"/>
                <w:lang w:val="el-GR"/>
              </w:rPr>
              <w:t>Αγγειακές διαταραχές</w:t>
            </w:r>
          </w:p>
        </w:tc>
        <w:tc>
          <w:tcPr>
            <w:tcW w:w="1984" w:type="dxa"/>
          </w:tcPr>
          <w:p w14:paraId="610E43FE"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7B534BAD" w14:textId="77777777" w:rsidR="00171824" w:rsidRDefault="006D258C">
            <w:pPr>
              <w:widowControl/>
              <w:kinsoku w:val="0"/>
              <w:overflowPunct w:val="0"/>
              <w:rPr>
                <w:rFonts w:eastAsia="MS Mincho"/>
                <w:sz w:val="22"/>
                <w:szCs w:val="22"/>
                <w:lang w:val="el-GR"/>
              </w:rPr>
            </w:pPr>
            <w:r>
              <w:rPr>
                <w:rFonts w:eastAsia="MS Mincho"/>
                <w:sz w:val="22"/>
                <w:szCs w:val="22"/>
                <w:lang w:val="el-GR"/>
              </w:rPr>
              <w:t>Υπέρταση,</w:t>
            </w:r>
          </w:p>
          <w:p w14:paraId="458B235C" w14:textId="77777777" w:rsidR="00171824" w:rsidRDefault="006D258C">
            <w:pPr>
              <w:widowControl/>
              <w:kinsoku w:val="0"/>
              <w:overflowPunct w:val="0"/>
              <w:rPr>
                <w:rFonts w:eastAsia="MS Mincho"/>
                <w:sz w:val="22"/>
                <w:szCs w:val="22"/>
                <w:lang w:val="el-GR"/>
              </w:rPr>
            </w:pPr>
            <w:r>
              <w:rPr>
                <w:rFonts w:eastAsia="MS Mincho"/>
                <w:sz w:val="22"/>
                <w:szCs w:val="22"/>
                <w:lang w:val="el-GR"/>
              </w:rPr>
              <w:t>΄Εξαψη,</w:t>
            </w:r>
          </w:p>
          <w:p w14:paraId="05D84F7A" w14:textId="77777777" w:rsidR="00171824" w:rsidRDefault="006D258C">
            <w:pPr>
              <w:widowControl/>
              <w:kinsoku w:val="0"/>
              <w:overflowPunct w:val="0"/>
              <w:rPr>
                <w:rFonts w:eastAsia="MS Mincho"/>
                <w:sz w:val="22"/>
                <w:szCs w:val="22"/>
                <w:lang w:val="el-GR"/>
              </w:rPr>
            </w:pPr>
            <w:r>
              <w:rPr>
                <w:rFonts w:eastAsia="MS Mincho"/>
                <w:sz w:val="22"/>
                <w:szCs w:val="22"/>
                <w:lang w:val="el-GR"/>
              </w:rPr>
              <w:t>Αιμάτωμα</w:t>
            </w:r>
          </w:p>
        </w:tc>
      </w:tr>
      <w:tr w:rsidR="00171824" w:rsidRPr="00422380" w14:paraId="3C38FCFA" w14:textId="77777777">
        <w:trPr>
          <w:cantSplit/>
          <w:trHeight w:val="974"/>
        </w:trPr>
        <w:tc>
          <w:tcPr>
            <w:tcW w:w="2552" w:type="dxa"/>
            <w:vMerge/>
          </w:tcPr>
          <w:p w14:paraId="46B85239" w14:textId="77777777" w:rsidR="00171824" w:rsidRDefault="00171824">
            <w:pPr>
              <w:widowControl/>
              <w:kinsoku w:val="0"/>
              <w:overflowPunct w:val="0"/>
              <w:rPr>
                <w:rFonts w:eastAsia="MS Mincho"/>
                <w:sz w:val="22"/>
                <w:szCs w:val="22"/>
                <w:lang w:val="el-GR"/>
              </w:rPr>
            </w:pPr>
          </w:p>
        </w:tc>
        <w:tc>
          <w:tcPr>
            <w:tcW w:w="1984" w:type="dxa"/>
          </w:tcPr>
          <w:p w14:paraId="283739B6"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69ADCF42" w14:textId="77777777" w:rsidR="00171824" w:rsidRDefault="006D258C">
            <w:pPr>
              <w:widowControl/>
              <w:kinsoku w:val="0"/>
              <w:overflowPunct w:val="0"/>
              <w:rPr>
                <w:rFonts w:eastAsia="MS Mincho"/>
                <w:sz w:val="22"/>
                <w:szCs w:val="22"/>
                <w:lang w:val="el-GR"/>
              </w:rPr>
            </w:pPr>
            <w:r>
              <w:rPr>
                <w:rFonts w:eastAsia="MS Mincho"/>
                <w:sz w:val="22"/>
                <w:szCs w:val="22"/>
                <w:lang w:val="el-GR"/>
              </w:rPr>
              <w:t>Ανεύρυσμα αορτής,</w:t>
            </w:r>
          </w:p>
          <w:p w14:paraId="4BF51681" w14:textId="77777777" w:rsidR="00171824" w:rsidRDefault="006D258C">
            <w:pPr>
              <w:widowControl/>
              <w:kinsoku w:val="0"/>
              <w:overflowPunct w:val="0"/>
              <w:rPr>
                <w:rFonts w:eastAsia="MS Mincho"/>
                <w:sz w:val="22"/>
                <w:szCs w:val="22"/>
                <w:lang w:val="el-GR"/>
              </w:rPr>
            </w:pPr>
            <w:r>
              <w:rPr>
                <w:rFonts w:eastAsia="MS Mincho"/>
                <w:sz w:val="22"/>
                <w:szCs w:val="22"/>
                <w:lang w:val="el-GR"/>
              </w:rPr>
              <w:t>Απόφραξη αρτηρίας,</w:t>
            </w:r>
          </w:p>
          <w:p w14:paraId="146D328D" w14:textId="77777777" w:rsidR="00171824" w:rsidRDefault="006D258C">
            <w:pPr>
              <w:widowControl/>
              <w:kinsoku w:val="0"/>
              <w:overflowPunct w:val="0"/>
              <w:rPr>
                <w:rFonts w:eastAsia="MS Mincho"/>
                <w:sz w:val="22"/>
                <w:szCs w:val="22"/>
                <w:lang w:val="el-GR"/>
              </w:rPr>
            </w:pPr>
            <w:r>
              <w:rPr>
                <w:rFonts w:eastAsia="MS Mincho"/>
                <w:sz w:val="22"/>
                <w:szCs w:val="22"/>
                <w:lang w:val="el-GR"/>
              </w:rPr>
              <w:t>Θρομβοφλεβίτιδα</w:t>
            </w:r>
          </w:p>
        </w:tc>
      </w:tr>
      <w:tr w:rsidR="00171824" w14:paraId="4B0FB494" w14:textId="77777777">
        <w:trPr>
          <w:cantSplit/>
          <w:trHeight w:val="892"/>
        </w:trPr>
        <w:tc>
          <w:tcPr>
            <w:tcW w:w="2552" w:type="dxa"/>
            <w:vMerge w:val="restart"/>
          </w:tcPr>
          <w:p w14:paraId="714DCDAC" w14:textId="37DB684B" w:rsidR="00171824" w:rsidRDefault="00FF7C13">
            <w:pPr>
              <w:widowControl/>
              <w:kinsoku w:val="0"/>
              <w:overflowPunct w:val="0"/>
              <w:rPr>
                <w:rFonts w:eastAsia="MS Mincho"/>
                <w:sz w:val="22"/>
                <w:szCs w:val="22"/>
                <w:lang w:val="el-GR"/>
              </w:rPr>
            </w:pPr>
            <w:ins w:id="24" w:author="Author">
              <w:r>
                <w:rPr>
                  <w:rFonts w:eastAsia="MS Mincho"/>
                  <w:sz w:val="22"/>
                  <w:szCs w:val="22"/>
                  <w:lang w:val="el-GR"/>
                </w:rPr>
                <w:t xml:space="preserve">Αναπνευστικές, θωρακικές </w:t>
              </w:r>
            </w:ins>
            <w:del w:id="25" w:author="Author">
              <w:r w:rsidR="006D258C" w:rsidDel="00FF7C13">
                <w:rPr>
                  <w:rFonts w:eastAsia="MS Mincho"/>
                  <w:sz w:val="22"/>
                  <w:szCs w:val="22"/>
                  <w:lang w:val="el-GR"/>
                </w:rPr>
                <w:delText>Δ</w:delText>
              </w:r>
            </w:del>
            <w:ins w:id="26" w:author="Author">
              <w:r>
                <w:rPr>
                  <w:rFonts w:eastAsia="MS Mincho"/>
                  <w:sz w:val="22"/>
                  <w:szCs w:val="22"/>
                  <w:lang w:val="el-GR"/>
                </w:rPr>
                <w:t>δ</w:t>
              </w:r>
            </w:ins>
            <w:r w:rsidR="006D258C">
              <w:rPr>
                <w:rFonts w:eastAsia="MS Mincho"/>
                <w:sz w:val="22"/>
                <w:szCs w:val="22"/>
                <w:lang w:val="el-GR"/>
              </w:rPr>
              <w:t xml:space="preserve">ιαταραχές </w:t>
            </w:r>
            <w:del w:id="27" w:author="Author">
              <w:r w:rsidR="006D258C" w:rsidDel="00FF7C13">
                <w:rPr>
                  <w:rFonts w:eastAsia="MS Mincho"/>
                  <w:sz w:val="22"/>
                  <w:szCs w:val="22"/>
                  <w:lang w:val="el-GR"/>
                </w:rPr>
                <w:delText xml:space="preserve">του αναπνευστικού συστήματος, του θώρακα </w:delText>
              </w:r>
            </w:del>
            <w:r w:rsidR="006D258C">
              <w:rPr>
                <w:rFonts w:eastAsia="MS Mincho"/>
                <w:sz w:val="22"/>
                <w:szCs w:val="22"/>
                <w:lang w:val="el-GR"/>
              </w:rPr>
              <w:t xml:space="preserve">και </w:t>
            </w:r>
            <w:ins w:id="28" w:author="Author">
              <w:r>
                <w:rPr>
                  <w:rFonts w:eastAsia="MS Mincho"/>
                  <w:sz w:val="22"/>
                  <w:szCs w:val="22"/>
                  <w:lang w:val="el-GR"/>
                </w:rPr>
                <w:t xml:space="preserve">διαταραχές </w:t>
              </w:r>
            </w:ins>
            <w:del w:id="29" w:author="Author">
              <w:r w:rsidR="006D258C" w:rsidDel="00FF7C13">
                <w:rPr>
                  <w:rFonts w:eastAsia="MS Mincho"/>
                  <w:sz w:val="22"/>
                  <w:szCs w:val="22"/>
                  <w:lang w:val="el-GR"/>
                </w:rPr>
                <w:delText>του</w:delText>
              </w:r>
            </w:del>
            <w:r w:rsidR="006D258C">
              <w:rPr>
                <w:rFonts w:eastAsia="MS Mincho"/>
                <w:sz w:val="22"/>
                <w:szCs w:val="22"/>
                <w:lang w:val="el-GR"/>
              </w:rPr>
              <w:t xml:space="preserve"> μεσοθωρ</w:t>
            </w:r>
            <w:ins w:id="30" w:author="Author">
              <w:r>
                <w:rPr>
                  <w:rFonts w:eastAsia="MS Mincho"/>
                  <w:sz w:val="22"/>
                  <w:szCs w:val="22"/>
                  <w:lang w:val="el-GR"/>
                </w:rPr>
                <w:t>α</w:t>
              </w:r>
            </w:ins>
            <w:del w:id="31" w:author="Author">
              <w:r w:rsidR="006D258C" w:rsidDel="00FF7C13">
                <w:rPr>
                  <w:rFonts w:eastAsia="MS Mincho"/>
                  <w:sz w:val="22"/>
                  <w:szCs w:val="22"/>
                  <w:lang w:val="el-GR"/>
                </w:rPr>
                <w:delText>ά</w:delText>
              </w:r>
            </w:del>
            <w:r w:rsidR="006D258C">
              <w:rPr>
                <w:rFonts w:eastAsia="MS Mincho"/>
                <w:sz w:val="22"/>
                <w:szCs w:val="22"/>
                <w:lang w:val="el-GR"/>
              </w:rPr>
              <w:t>κ</w:t>
            </w:r>
            <w:ins w:id="32" w:author="Author">
              <w:r>
                <w:rPr>
                  <w:rFonts w:eastAsia="MS Mincho"/>
                  <w:sz w:val="22"/>
                  <w:szCs w:val="22"/>
                  <w:lang w:val="el-GR"/>
                </w:rPr>
                <w:t>ί</w:t>
              </w:r>
            </w:ins>
            <w:del w:id="33" w:author="Author">
              <w:r w:rsidR="006D258C" w:rsidDel="00FF7C13">
                <w:rPr>
                  <w:rFonts w:eastAsia="MS Mincho"/>
                  <w:sz w:val="22"/>
                  <w:szCs w:val="22"/>
                  <w:lang w:val="el-GR"/>
                </w:rPr>
                <w:delText>ι</w:delText>
              </w:r>
            </w:del>
            <w:r w:rsidR="006D258C">
              <w:rPr>
                <w:rFonts w:eastAsia="MS Mincho"/>
                <w:sz w:val="22"/>
                <w:szCs w:val="22"/>
                <w:lang w:val="el-GR"/>
              </w:rPr>
              <w:t>ου*</w:t>
            </w:r>
          </w:p>
        </w:tc>
        <w:tc>
          <w:tcPr>
            <w:tcW w:w="1984" w:type="dxa"/>
          </w:tcPr>
          <w:p w14:paraId="50D82AEE"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0FF3D896" w14:textId="77777777" w:rsidR="00171824" w:rsidRDefault="006D258C">
            <w:pPr>
              <w:widowControl/>
              <w:kinsoku w:val="0"/>
              <w:overflowPunct w:val="0"/>
              <w:rPr>
                <w:rFonts w:eastAsia="MS Mincho"/>
                <w:sz w:val="22"/>
                <w:szCs w:val="22"/>
                <w:lang w:val="el-GR"/>
              </w:rPr>
            </w:pPr>
            <w:r>
              <w:rPr>
                <w:rFonts w:eastAsia="MS Mincho"/>
                <w:sz w:val="22"/>
                <w:szCs w:val="22"/>
                <w:lang w:val="el-GR"/>
              </w:rPr>
              <w:t>΄Ασθμα,</w:t>
            </w:r>
          </w:p>
          <w:p w14:paraId="18C8AA17" w14:textId="77777777" w:rsidR="00171824" w:rsidRDefault="006D258C">
            <w:pPr>
              <w:widowControl/>
              <w:kinsoku w:val="0"/>
              <w:overflowPunct w:val="0"/>
              <w:rPr>
                <w:rFonts w:eastAsia="MS Mincho"/>
                <w:sz w:val="22"/>
                <w:szCs w:val="22"/>
                <w:lang w:val="el-GR"/>
              </w:rPr>
            </w:pPr>
            <w:r>
              <w:rPr>
                <w:rFonts w:eastAsia="MS Mincho"/>
                <w:sz w:val="22"/>
                <w:szCs w:val="22"/>
                <w:lang w:val="el-GR"/>
              </w:rPr>
              <w:t>Δύσπνοια,</w:t>
            </w:r>
          </w:p>
          <w:p w14:paraId="653205A7" w14:textId="77777777" w:rsidR="00171824" w:rsidRDefault="006D258C">
            <w:pPr>
              <w:widowControl/>
              <w:kinsoku w:val="0"/>
              <w:overflowPunct w:val="0"/>
              <w:rPr>
                <w:rFonts w:eastAsia="MS Mincho"/>
                <w:sz w:val="22"/>
                <w:szCs w:val="22"/>
                <w:lang w:val="el-GR"/>
              </w:rPr>
            </w:pPr>
            <w:r>
              <w:rPr>
                <w:rFonts w:eastAsia="MS Mincho"/>
                <w:sz w:val="22"/>
                <w:szCs w:val="22"/>
                <w:lang w:val="el-GR"/>
              </w:rPr>
              <w:t>Βήχας</w:t>
            </w:r>
          </w:p>
        </w:tc>
      </w:tr>
      <w:tr w:rsidR="00171824" w14:paraId="45AF0C77" w14:textId="77777777">
        <w:trPr>
          <w:cantSplit/>
          <w:trHeight w:val="1461"/>
        </w:trPr>
        <w:tc>
          <w:tcPr>
            <w:tcW w:w="2552" w:type="dxa"/>
            <w:vMerge/>
          </w:tcPr>
          <w:p w14:paraId="348F7499" w14:textId="77777777" w:rsidR="00171824" w:rsidRDefault="00171824">
            <w:pPr>
              <w:widowControl/>
              <w:kinsoku w:val="0"/>
              <w:overflowPunct w:val="0"/>
              <w:rPr>
                <w:rFonts w:eastAsia="MS Mincho"/>
                <w:sz w:val="22"/>
                <w:szCs w:val="22"/>
                <w:lang w:val="el-GR"/>
              </w:rPr>
            </w:pPr>
          </w:p>
        </w:tc>
        <w:tc>
          <w:tcPr>
            <w:tcW w:w="1984" w:type="dxa"/>
          </w:tcPr>
          <w:p w14:paraId="7E78DB75"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7D881B73" w14:textId="77777777" w:rsidR="00171824" w:rsidRDefault="006D258C">
            <w:pPr>
              <w:widowControl/>
              <w:kinsoku w:val="0"/>
              <w:overflowPunct w:val="0"/>
              <w:rPr>
                <w:rFonts w:eastAsia="MS Mincho"/>
                <w:sz w:val="22"/>
                <w:szCs w:val="22"/>
                <w:lang w:val="el-GR"/>
              </w:rPr>
            </w:pPr>
            <w:r>
              <w:rPr>
                <w:rFonts w:eastAsia="MS Mincho"/>
                <w:sz w:val="22"/>
                <w:szCs w:val="22"/>
                <w:lang w:val="el-GR"/>
              </w:rPr>
              <w:t>Πνευμονική εμβολή</w:t>
            </w:r>
            <w:r>
              <w:rPr>
                <w:rFonts w:eastAsia="MS Mincho"/>
                <w:sz w:val="22"/>
                <w:szCs w:val="22"/>
                <w:vertAlign w:val="superscript"/>
                <w:lang w:val="el-GR"/>
              </w:rPr>
              <w:t>1)</w:t>
            </w:r>
            <w:r>
              <w:rPr>
                <w:rFonts w:eastAsia="MS Mincho"/>
                <w:sz w:val="22"/>
                <w:szCs w:val="22"/>
                <w:lang w:val="el-GR"/>
              </w:rPr>
              <w:t>,</w:t>
            </w:r>
          </w:p>
          <w:p w14:paraId="69920608" w14:textId="77777777" w:rsidR="00171824" w:rsidRDefault="006D258C">
            <w:pPr>
              <w:widowControl/>
              <w:kinsoku w:val="0"/>
              <w:overflowPunct w:val="0"/>
              <w:rPr>
                <w:rFonts w:eastAsia="MS Mincho"/>
                <w:sz w:val="22"/>
                <w:szCs w:val="22"/>
                <w:lang w:val="el-GR"/>
              </w:rPr>
            </w:pPr>
            <w:r>
              <w:rPr>
                <w:rFonts w:eastAsia="MS Mincho"/>
                <w:sz w:val="22"/>
                <w:szCs w:val="22"/>
                <w:lang w:val="el-GR"/>
              </w:rPr>
              <w:t>Διάμεση πνευμονοπάθεια,</w:t>
            </w:r>
          </w:p>
          <w:p w14:paraId="21FE5978" w14:textId="77777777" w:rsidR="00171824" w:rsidRDefault="006D258C">
            <w:pPr>
              <w:widowControl/>
              <w:kinsoku w:val="0"/>
              <w:overflowPunct w:val="0"/>
              <w:rPr>
                <w:rFonts w:eastAsia="MS Mincho"/>
                <w:sz w:val="22"/>
                <w:szCs w:val="22"/>
                <w:lang w:val="el-GR"/>
              </w:rPr>
            </w:pPr>
            <w:r>
              <w:rPr>
                <w:rFonts w:eastAsia="MS Mincho"/>
                <w:sz w:val="22"/>
                <w:szCs w:val="22"/>
                <w:lang w:val="el-GR"/>
              </w:rPr>
              <w:t>Χρόνια αποφρακτική πνευμονοπάθεια,</w:t>
            </w:r>
          </w:p>
          <w:p w14:paraId="35BB0E09" w14:textId="77777777" w:rsidR="00171824" w:rsidRDefault="006D258C">
            <w:pPr>
              <w:widowControl/>
              <w:kinsoku w:val="0"/>
              <w:overflowPunct w:val="0"/>
              <w:rPr>
                <w:rFonts w:eastAsia="MS Mincho"/>
                <w:sz w:val="22"/>
                <w:szCs w:val="22"/>
                <w:lang w:val="el-GR"/>
              </w:rPr>
            </w:pPr>
            <w:r>
              <w:rPr>
                <w:rFonts w:eastAsia="MS Mincho"/>
                <w:sz w:val="22"/>
                <w:szCs w:val="22"/>
                <w:lang w:val="el-GR"/>
              </w:rPr>
              <w:t>Πνευμονίτιδα,</w:t>
            </w:r>
          </w:p>
          <w:p w14:paraId="64164702" w14:textId="77777777" w:rsidR="00171824" w:rsidRDefault="006D258C">
            <w:pPr>
              <w:widowControl/>
              <w:kinsoku w:val="0"/>
              <w:overflowPunct w:val="0"/>
              <w:rPr>
                <w:rFonts w:eastAsia="MS Mincho"/>
                <w:sz w:val="22"/>
                <w:szCs w:val="22"/>
                <w:lang w:val="el-GR"/>
              </w:rPr>
            </w:pPr>
            <w:r>
              <w:rPr>
                <w:rFonts w:eastAsia="MS Mincho"/>
                <w:sz w:val="22"/>
                <w:szCs w:val="22"/>
                <w:lang w:val="el-GR"/>
              </w:rPr>
              <w:t>Υπεζωκοτική συλλογή</w:t>
            </w:r>
            <w:r>
              <w:rPr>
                <w:rFonts w:eastAsia="MS Mincho"/>
                <w:sz w:val="22"/>
                <w:szCs w:val="22"/>
                <w:vertAlign w:val="superscript"/>
                <w:lang w:val="el-GR"/>
              </w:rPr>
              <w:t>1)</w:t>
            </w:r>
          </w:p>
        </w:tc>
      </w:tr>
      <w:tr w:rsidR="00171824" w14:paraId="4586E28C" w14:textId="77777777">
        <w:trPr>
          <w:cantSplit/>
          <w:trHeight w:val="313"/>
        </w:trPr>
        <w:tc>
          <w:tcPr>
            <w:tcW w:w="2552" w:type="dxa"/>
            <w:vMerge/>
          </w:tcPr>
          <w:p w14:paraId="677E0AEB" w14:textId="77777777" w:rsidR="00171824" w:rsidRDefault="00171824">
            <w:pPr>
              <w:widowControl/>
              <w:kinsoku w:val="0"/>
              <w:overflowPunct w:val="0"/>
              <w:rPr>
                <w:rFonts w:eastAsia="MS Mincho"/>
                <w:sz w:val="22"/>
                <w:szCs w:val="22"/>
                <w:lang w:val="el-GR"/>
              </w:rPr>
            </w:pPr>
          </w:p>
        </w:tc>
        <w:tc>
          <w:tcPr>
            <w:tcW w:w="1984" w:type="dxa"/>
          </w:tcPr>
          <w:p w14:paraId="6975C378"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65D8B439" w14:textId="77777777" w:rsidR="00171824" w:rsidRDefault="006D258C">
            <w:pPr>
              <w:kinsoku w:val="0"/>
              <w:overflowPunct w:val="0"/>
              <w:rPr>
                <w:rFonts w:eastAsia="MS Mincho"/>
                <w:sz w:val="22"/>
                <w:szCs w:val="22"/>
                <w:lang w:val="el-GR"/>
              </w:rPr>
            </w:pPr>
            <w:r>
              <w:rPr>
                <w:rFonts w:eastAsia="MS Mincho"/>
                <w:sz w:val="22"/>
                <w:szCs w:val="22"/>
                <w:lang w:val="el-GR"/>
              </w:rPr>
              <w:t>Πνευμονική ίνωση</w:t>
            </w:r>
            <w:r>
              <w:rPr>
                <w:rFonts w:eastAsia="MS Mincho"/>
                <w:sz w:val="22"/>
                <w:szCs w:val="22"/>
                <w:vertAlign w:val="superscript"/>
                <w:lang w:val="el-GR"/>
              </w:rPr>
              <w:t>1)</w:t>
            </w:r>
          </w:p>
        </w:tc>
      </w:tr>
      <w:tr w:rsidR="00171824" w:rsidRPr="00422380" w14:paraId="342F1F26" w14:textId="77777777">
        <w:trPr>
          <w:cantSplit/>
          <w:trHeight w:val="559"/>
        </w:trPr>
        <w:tc>
          <w:tcPr>
            <w:tcW w:w="2552" w:type="dxa"/>
            <w:vMerge w:val="restart"/>
          </w:tcPr>
          <w:p w14:paraId="62ADE7A7" w14:textId="42E557D1" w:rsidR="00171824" w:rsidRDefault="00FD5197">
            <w:pPr>
              <w:widowControl/>
              <w:kinsoku w:val="0"/>
              <w:overflowPunct w:val="0"/>
              <w:rPr>
                <w:rFonts w:eastAsia="MS Mincho"/>
                <w:sz w:val="22"/>
                <w:szCs w:val="22"/>
                <w:lang w:val="el-GR"/>
              </w:rPr>
            </w:pPr>
            <w:ins w:id="34" w:author="Author">
              <w:r>
                <w:rPr>
                  <w:rFonts w:eastAsia="MS Mincho"/>
                  <w:sz w:val="22"/>
                  <w:szCs w:val="22"/>
                  <w:lang w:val="el-GR"/>
                </w:rPr>
                <w:t xml:space="preserve">Γαστρεντερικές </w:t>
              </w:r>
            </w:ins>
            <w:del w:id="35" w:author="Author">
              <w:r w:rsidR="006D258C" w:rsidDel="00FD5197">
                <w:rPr>
                  <w:rFonts w:eastAsia="MS Mincho"/>
                  <w:sz w:val="22"/>
                  <w:szCs w:val="22"/>
                  <w:lang w:val="el-GR"/>
                </w:rPr>
                <w:delText>Δ</w:delText>
              </w:r>
            </w:del>
            <w:ins w:id="36" w:author="Author">
              <w:r>
                <w:rPr>
                  <w:rFonts w:eastAsia="MS Mincho"/>
                  <w:sz w:val="22"/>
                  <w:szCs w:val="22"/>
                  <w:lang w:val="el-GR"/>
                </w:rPr>
                <w:t>δ</w:t>
              </w:r>
            </w:ins>
            <w:r w:rsidR="006D258C">
              <w:rPr>
                <w:rFonts w:eastAsia="MS Mincho"/>
                <w:sz w:val="22"/>
                <w:szCs w:val="22"/>
                <w:lang w:val="el-GR"/>
              </w:rPr>
              <w:t xml:space="preserve">ιαταραχές </w:t>
            </w:r>
            <w:del w:id="37" w:author="Author">
              <w:r w:rsidR="006D258C" w:rsidDel="00FD5197">
                <w:rPr>
                  <w:rFonts w:eastAsia="MS Mincho"/>
                  <w:sz w:val="22"/>
                  <w:szCs w:val="22"/>
                  <w:lang w:val="el-GR"/>
                </w:rPr>
                <w:delText>του γαστρεντερικού</w:delText>
              </w:r>
            </w:del>
          </w:p>
        </w:tc>
        <w:tc>
          <w:tcPr>
            <w:tcW w:w="1984" w:type="dxa"/>
          </w:tcPr>
          <w:p w14:paraId="449CE6DB"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52513CB2" w14:textId="77777777" w:rsidR="00171824" w:rsidRDefault="006D258C">
            <w:pPr>
              <w:widowControl/>
              <w:kinsoku w:val="0"/>
              <w:overflowPunct w:val="0"/>
              <w:rPr>
                <w:rFonts w:eastAsia="MS Mincho"/>
                <w:sz w:val="22"/>
                <w:szCs w:val="22"/>
                <w:lang w:val="el-GR"/>
              </w:rPr>
            </w:pPr>
            <w:r>
              <w:rPr>
                <w:rFonts w:eastAsia="MS Mincho"/>
                <w:sz w:val="22"/>
                <w:szCs w:val="22"/>
                <w:lang w:val="el-GR"/>
              </w:rPr>
              <w:t>Κοιλιακό άλγος,</w:t>
            </w:r>
          </w:p>
          <w:p w14:paraId="11924A0A" w14:textId="77777777" w:rsidR="00171824" w:rsidRDefault="006D258C">
            <w:pPr>
              <w:widowControl/>
              <w:kinsoku w:val="0"/>
              <w:overflowPunct w:val="0"/>
              <w:rPr>
                <w:rFonts w:eastAsia="MS Mincho"/>
                <w:sz w:val="22"/>
                <w:szCs w:val="22"/>
                <w:lang w:val="el-GR"/>
              </w:rPr>
            </w:pPr>
            <w:r>
              <w:rPr>
                <w:rFonts w:eastAsia="MS Mincho"/>
                <w:sz w:val="22"/>
                <w:szCs w:val="22"/>
                <w:lang w:val="el-GR"/>
              </w:rPr>
              <w:t>Ναυτία και έμετος</w:t>
            </w:r>
          </w:p>
        </w:tc>
      </w:tr>
      <w:tr w:rsidR="00171824" w14:paraId="7D851065" w14:textId="77777777">
        <w:trPr>
          <w:cantSplit/>
          <w:trHeight w:val="268"/>
        </w:trPr>
        <w:tc>
          <w:tcPr>
            <w:tcW w:w="2552" w:type="dxa"/>
            <w:vMerge/>
          </w:tcPr>
          <w:p w14:paraId="0ECAD384" w14:textId="77777777" w:rsidR="00171824" w:rsidRDefault="00171824">
            <w:pPr>
              <w:widowControl/>
              <w:kinsoku w:val="0"/>
              <w:overflowPunct w:val="0"/>
              <w:rPr>
                <w:rFonts w:eastAsia="MS Mincho"/>
                <w:sz w:val="22"/>
                <w:szCs w:val="22"/>
                <w:lang w:val="el-GR"/>
              </w:rPr>
            </w:pPr>
          </w:p>
        </w:tc>
        <w:tc>
          <w:tcPr>
            <w:tcW w:w="1984" w:type="dxa"/>
          </w:tcPr>
          <w:p w14:paraId="16213936"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139C8052" w14:textId="77777777" w:rsidR="00171824" w:rsidRDefault="006D258C">
            <w:pPr>
              <w:widowControl/>
              <w:kinsoku w:val="0"/>
              <w:overflowPunct w:val="0"/>
              <w:rPr>
                <w:rFonts w:eastAsia="MS Mincho"/>
                <w:sz w:val="22"/>
                <w:szCs w:val="22"/>
                <w:lang w:val="el-GR"/>
              </w:rPr>
            </w:pPr>
            <w:r>
              <w:rPr>
                <w:rFonts w:eastAsia="MS Mincho"/>
                <w:sz w:val="22"/>
                <w:szCs w:val="22"/>
                <w:lang w:val="el-GR"/>
              </w:rPr>
              <w:t>Αιμορραγία γαστρεντερικού,</w:t>
            </w:r>
          </w:p>
          <w:p w14:paraId="75F38A00" w14:textId="77777777" w:rsidR="00171824" w:rsidRDefault="006D258C">
            <w:pPr>
              <w:widowControl/>
              <w:kinsoku w:val="0"/>
              <w:overflowPunct w:val="0"/>
              <w:rPr>
                <w:rFonts w:eastAsia="MS Mincho"/>
                <w:sz w:val="22"/>
                <w:szCs w:val="22"/>
                <w:lang w:val="el-GR"/>
              </w:rPr>
            </w:pPr>
            <w:r>
              <w:rPr>
                <w:rFonts w:eastAsia="MS Mincho"/>
                <w:sz w:val="22"/>
                <w:szCs w:val="22"/>
                <w:lang w:val="el-GR"/>
              </w:rPr>
              <w:t>Δυσπεψία,</w:t>
            </w:r>
          </w:p>
          <w:p w14:paraId="1B021564" w14:textId="77777777" w:rsidR="00171824" w:rsidRDefault="006D258C">
            <w:pPr>
              <w:widowControl/>
              <w:kinsoku w:val="0"/>
              <w:overflowPunct w:val="0"/>
              <w:rPr>
                <w:rFonts w:eastAsia="MS Mincho"/>
                <w:sz w:val="22"/>
                <w:szCs w:val="22"/>
                <w:lang w:val="el-GR"/>
              </w:rPr>
            </w:pPr>
            <w:r>
              <w:rPr>
                <w:rFonts w:eastAsia="MS Mincho"/>
                <w:sz w:val="22"/>
                <w:szCs w:val="22"/>
                <w:lang w:val="el-GR"/>
              </w:rPr>
              <w:t>Γαστροοισοφαγική παλινδρόμηση,</w:t>
            </w:r>
          </w:p>
          <w:p w14:paraId="39FB6CAE" w14:textId="77777777" w:rsidR="00171824" w:rsidRDefault="006D258C">
            <w:pPr>
              <w:widowControl/>
              <w:kinsoku w:val="0"/>
              <w:overflowPunct w:val="0"/>
              <w:rPr>
                <w:rFonts w:eastAsia="MS Mincho"/>
                <w:sz w:val="22"/>
                <w:szCs w:val="22"/>
                <w:lang w:val="el-GR"/>
              </w:rPr>
            </w:pPr>
            <w:r>
              <w:rPr>
                <w:rFonts w:eastAsia="MS Mincho"/>
                <w:sz w:val="22"/>
                <w:szCs w:val="22"/>
                <w:lang w:val="el-GR"/>
              </w:rPr>
              <w:t>Σύνδρομο ξηρότητας</w:t>
            </w:r>
          </w:p>
        </w:tc>
      </w:tr>
      <w:tr w:rsidR="00171824" w14:paraId="2B31CF59" w14:textId="77777777">
        <w:trPr>
          <w:cantSplit/>
          <w:trHeight w:val="832"/>
        </w:trPr>
        <w:tc>
          <w:tcPr>
            <w:tcW w:w="2552" w:type="dxa"/>
            <w:vMerge/>
          </w:tcPr>
          <w:p w14:paraId="74D2F3F1" w14:textId="77777777" w:rsidR="00171824" w:rsidRDefault="00171824">
            <w:pPr>
              <w:widowControl/>
              <w:kinsoku w:val="0"/>
              <w:overflowPunct w:val="0"/>
              <w:rPr>
                <w:rFonts w:eastAsia="MS Mincho"/>
                <w:sz w:val="22"/>
                <w:szCs w:val="22"/>
                <w:lang w:val="el-GR"/>
              </w:rPr>
            </w:pPr>
          </w:p>
        </w:tc>
        <w:tc>
          <w:tcPr>
            <w:tcW w:w="1984" w:type="dxa"/>
          </w:tcPr>
          <w:p w14:paraId="5BE54B20"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067FFE18" w14:textId="77777777" w:rsidR="00171824" w:rsidRDefault="006D258C">
            <w:pPr>
              <w:widowControl/>
              <w:kinsoku w:val="0"/>
              <w:overflowPunct w:val="0"/>
              <w:rPr>
                <w:rFonts w:eastAsia="MS Mincho"/>
                <w:sz w:val="22"/>
                <w:szCs w:val="22"/>
                <w:lang w:val="el-GR"/>
              </w:rPr>
            </w:pPr>
            <w:r>
              <w:rPr>
                <w:rFonts w:eastAsia="MS Mincho"/>
                <w:sz w:val="22"/>
                <w:szCs w:val="22"/>
                <w:lang w:val="el-GR"/>
              </w:rPr>
              <w:t>Παγκρεατίτιδα,</w:t>
            </w:r>
          </w:p>
          <w:p w14:paraId="77438EAB" w14:textId="77777777" w:rsidR="00171824" w:rsidRDefault="006D258C">
            <w:pPr>
              <w:widowControl/>
              <w:kinsoku w:val="0"/>
              <w:overflowPunct w:val="0"/>
              <w:rPr>
                <w:rFonts w:eastAsia="MS Mincho"/>
                <w:sz w:val="22"/>
                <w:szCs w:val="22"/>
                <w:lang w:val="el-GR"/>
              </w:rPr>
            </w:pPr>
            <w:r>
              <w:rPr>
                <w:rFonts w:eastAsia="MS Mincho"/>
                <w:sz w:val="22"/>
                <w:szCs w:val="22"/>
                <w:lang w:val="el-GR"/>
              </w:rPr>
              <w:t>Δυσφαγία</w:t>
            </w:r>
          </w:p>
          <w:p w14:paraId="75C53FE9" w14:textId="77777777" w:rsidR="00171824" w:rsidRDefault="006D258C">
            <w:pPr>
              <w:widowControl/>
              <w:kinsoku w:val="0"/>
              <w:overflowPunct w:val="0"/>
              <w:rPr>
                <w:rFonts w:eastAsia="MS Mincho"/>
                <w:sz w:val="22"/>
                <w:szCs w:val="22"/>
                <w:lang w:val="el-GR"/>
              </w:rPr>
            </w:pPr>
            <w:r>
              <w:rPr>
                <w:rFonts w:eastAsia="MS Mincho"/>
                <w:sz w:val="22"/>
                <w:szCs w:val="22"/>
                <w:lang w:val="el-GR"/>
              </w:rPr>
              <w:t>Οίδημα προσώπου</w:t>
            </w:r>
          </w:p>
        </w:tc>
      </w:tr>
      <w:tr w:rsidR="00171824" w14:paraId="754CCF83" w14:textId="77777777">
        <w:trPr>
          <w:cantSplit/>
          <w:trHeight w:val="372"/>
        </w:trPr>
        <w:tc>
          <w:tcPr>
            <w:tcW w:w="2552" w:type="dxa"/>
            <w:vMerge/>
          </w:tcPr>
          <w:p w14:paraId="30EC4CFE" w14:textId="77777777" w:rsidR="00171824" w:rsidRDefault="00171824">
            <w:pPr>
              <w:widowControl/>
              <w:kinsoku w:val="0"/>
              <w:overflowPunct w:val="0"/>
              <w:rPr>
                <w:rFonts w:eastAsia="MS Mincho"/>
                <w:sz w:val="22"/>
                <w:szCs w:val="22"/>
                <w:lang w:val="el-GR"/>
              </w:rPr>
            </w:pPr>
          </w:p>
        </w:tc>
        <w:tc>
          <w:tcPr>
            <w:tcW w:w="1984" w:type="dxa"/>
          </w:tcPr>
          <w:p w14:paraId="745286EF"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1D0F76C9" w14:textId="77777777" w:rsidR="00171824" w:rsidRDefault="006D258C">
            <w:pPr>
              <w:widowControl/>
              <w:kinsoku w:val="0"/>
              <w:overflowPunct w:val="0"/>
              <w:rPr>
                <w:rFonts w:eastAsia="MS Mincho"/>
                <w:sz w:val="22"/>
                <w:szCs w:val="22"/>
                <w:lang w:val="el-GR"/>
              </w:rPr>
            </w:pPr>
            <w:r>
              <w:rPr>
                <w:rFonts w:eastAsia="MS Mincho"/>
                <w:sz w:val="22"/>
                <w:szCs w:val="22"/>
                <w:lang w:val="el-GR"/>
              </w:rPr>
              <w:t>Διάτρηση του εντέρου</w:t>
            </w:r>
            <w:r>
              <w:rPr>
                <w:rFonts w:eastAsia="MS Mincho"/>
                <w:sz w:val="22"/>
                <w:szCs w:val="22"/>
                <w:vertAlign w:val="superscript"/>
                <w:lang w:val="el-GR"/>
              </w:rPr>
              <w:t>1)</w:t>
            </w:r>
          </w:p>
        </w:tc>
      </w:tr>
      <w:tr w:rsidR="00171824" w14:paraId="2E6FCA26" w14:textId="77777777">
        <w:trPr>
          <w:cantSplit/>
          <w:trHeight w:val="334"/>
        </w:trPr>
        <w:tc>
          <w:tcPr>
            <w:tcW w:w="2552" w:type="dxa"/>
            <w:vMerge w:val="restart"/>
          </w:tcPr>
          <w:p w14:paraId="1EC1D445" w14:textId="77DE40B7" w:rsidR="00171824" w:rsidRDefault="00FD5197">
            <w:pPr>
              <w:widowControl/>
              <w:kinsoku w:val="0"/>
              <w:overflowPunct w:val="0"/>
              <w:rPr>
                <w:rFonts w:eastAsia="MS Mincho"/>
                <w:sz w:val="22"/>
                <w:szCs w:val="22"/>
                <w:lang w:val="el-GR"/>
              </w:rPr>
            </w:pPr>
            <w:ins w:id="38" w:author="Author">
              <w:r>
                <w:rPr>
                  <w:rFonts w:eastAsia="MS Mincho"/>
                  <w:sz w:val="22"/>
                  <w:szCs w:val="22"/>
                  <w:lang w:val="el-GR"/>
                </w:rPr>
                <w:t xml:space="preserve">Ηπατοχολικές </w:t>
              </w:r>
            </w:ins>
            <w:del w:id="39" w:author="Author">
              <w:r w:rsidR="006D258C" w:rsidDel="00FD5197">
                <w:rPr>
                  <w:rFonts w:eastAsia="MS Mincho"/>
                  <w:sz w:val="22"/>
                  <w:szCs w:val="22"/>
                  <w:lang w:val="el-GR"/>
                </w:rPr>
                <w:delText>Δ</w:delText>
              </w:r>
            </w:del>
            <w:ins w:id="40" w:author="Author">
              <w:r>
                <w:rPr>
                  <w:rFonts w:eastAsia="MS Mincho"/>
                  <w:sz w:val="22"/>
                  <w:szCs w:val="22"/>
                  <w:lang w:val="el-GR"/>
                </w:rPr>
                <w:t>δ</w:t>
              </w:r>
            </w:ins>
            <w:r w:rsidR="006D258C">
              <w:rPr>
                <w:rFonts w:eastAsia="MS Mincho"/>
                <w:sz w:val="22"/>
                <w:szCs w:val="22"/>
                <w:lang w:val="el-GR"/>
              </w:rPr>
              <w:t xml:space="preserve">ιαταραχές </w:t>
            </w:r>
            <w:del w:id="41" w:author="Author">
              <w:r w:rsidR="006D258C" w:rsidDel="00FD5197">
                <w:rPr>
                  <w:rFonts w:eastAsia="MS Mincho"/>
                  <w:sz w:val="22"/>
                  <w:szCs w:val="22"/>
                  <w:lang w:val="el-GR"/>
                </w:rPr>
                <w:delText>του ήπατος και των χοληφόρων</w:delText>
              </w:r>
            </w:del>
            <w:r w:rsidR="006D258C">
              <w:rPr>
                <w:rFonts w:eastAsia="MS Mincho"/>
                <w:sz w:val="22"/>
                <w:szCs w:val="22"/>
                <w:lang w:val="el-GR"/>
              </w:rPr>
              <w:t>*</w:t>
            </w:r>
          </w:p>
        </w:tc>
        <w:tc>
          <w:tcPr>
            <w:tcW w:w="1984" w:type="dxa"/>
          </w:tcPr>
          <w:p w14:paraId="0CF92254"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4CA69A07" w14:textId="77777777" w:rsidR="00171824" w:rsidRDefault="006D258C">
            <w:pPr>
              <w:widowControl/>
              <w:kinsoku w:val="0"/>
              <w:overflowPunct w:val="0"/>
              <w:rPr>
                <w:rFonts w:eastAsia="MS Mincho"/>
                <w:sz w:val="22"/>
                <w:szCs w:val="22"/>
                <w:lang w:val="el-GR"/>
              </w:rPr>
            </w:pPr>
            <w:r>
              <w:rPr>
                <w:rFonts w:eastAsia="MS Mincho"/>
                <w:sz w:val="22"/>
                <w:szCs w:val="22"/>
                <w:lang w:val="el-GR"/>
              </w:rPr>
              <w:t>Αυξημένα ηπατικά ένζυμα</w:t>
            </w:r>
          </w:p>
        </w:tc>
      </w:tr>
      <w:tr w:rsidR="00171824" w14:paraId="3E122C78" w14:textId="77777777">
        <w:trPr>
          <w:cantSplit/>
          <w:trHeight w:val="913"/>
        </w:trPr>
        <w:tc>
          <w:tcPr>
            <w:tcW w:w="2552" w:type="dxa"/>
            <w:vMerge/>
          </w:tcPr>
          <w:p w14:paraId="11AAD1D9" w14:textId="77777777" w:rsidR="00171824" w:rsidRDefault="00171824">
            <w:pPr>
              <w:widowControl/>
              <w:kinsoku w:val="0"/>
              <w:overflowPunct w:val="0"/>
              <w:rPr>
                <w:rFonts w:eastAsia="MS Mincho"/>
                <w:sz w:val="22"/>
                <w:szCs w:val="22"/>
                <w:lang w:val="el-GR"/>
              </w:rPr>
            </w:pPr>
          </w:p>
        </w:tc>
        <w:tc>
          <w:tcPr>
            <w:tcW w:w="1984" w:type="dxa"/>
          </w:tcPr>
          <w:p w14:paraId="61413497"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1D8B7EFE" w14:textId="77777777" w:rsidR="00171824" w:rsidRDefault="006D258C">
            <w:pPr>
              <w:widowControl/>
              <w:kinsoku w:val="0"/>
              <w:overflowPunct w:val="0"/>
              <w:rPr>
                <w:rFonts w:eastAsia="MS Mincho"/>
                <w:sz w:val="22"/>
                <w:szCs w:val="22"/>
                <w:lang w:val="el-GR"/>
              </w:rPr>
            </w:pPr>
            <w:r>
              <w:rPr>
                <w:rFonts w:eastAsia="MS Mincho"/>
                <w:sz w:val="22"/>
                <w:szCs w:val="22"/>
                <w:lang w:val="el-GR"/>
              </w:rPr>
              <w:t>Χολοκυστίτιδα και χολολιθίαση,</w:t>
            </w:r>
          </w:p>
          <w:p w14:paraId="0B938C9A" w14:textId="77777777" w:rsidR="00171824" w:rsidRDefault="006D258C">
            <w:pPr>
              <w:widowControl/>
              <w:kinsoku w:val="0"/>
              <w:overflowPunct w:val="0"/>
              <w:rPr>
                <w:rFonts w:eastAsia="MS Mincho"/>
                <w:sz w:val="22"/>
                <w:szCs w:val="22"/>
                <w:lang w:val="el-GR"/>
              </w:rPr>
            </w:pPr>
            <w:r>
              <w:rPr>
                <w:rFonts w:eastAsia="MS Mincho"/>
                <w:sz w:val="22"/>
                <w:szCs w:val="22"/>
                <w:lang w:val="el-GR"/>
              </w:rPr>
              <w:t>Ηπατική στεάτωση,</w:t>
            </w:r>
          </w:p>
          <w:p w14:paraId="36859782" w14:textId="77777777" w:rsidR="00171824" w:rsidRDefault="006D258C">
            <w:pPr>
              <w:widowControl/>
              <w:kinsoku w:val="0"/>
              <w:overflowPunct w:val="0"/>
              <w:rPr>
                <w:rFonts w:eastAsia="MS Mincho"/>
                <w:sz w:val="22"/>
                <w:szCs w:val="22"/>
                <w:lang w:val="el-GR"/>
              </w:rPr>
            </w:pPr>
            <w:r>
              <w:rPr>
                <w:rFonts w:eastAsia="MS Mincho"/>
                <w:sz w:val="22"/>
                <w:szCs w:val="22"/>
                <w:lang w:val="el-GR"/>
              </w:rPr>
              <w:t>Χολερυθρίνη αυξημένη</w:t>
            </w:r>
          </w:p>
        </w:tc>
      </w:tr>
      <w:tr w:rsidR="00171824" w:rsidRPr="00422380" w14:paraId="7398827E" w14:textId="77777777">
        <w:trPr>
          <w:cantSplit/>
          <w:trHeight w:val="892"/>
        </w:trPr>
        <w:tc>
          <w:tcPr>
            <w:tcW w:w="2552" w:type="dxa"/>
            <w:vMerge/>
          </w:tcPr>
          <w:p w14:paraId="5A40D40E" w14:textId="77777777" w:rsidR="00171824" w:rsidRDefault="00171824">
            <w:pPr>
              <w:widowControl/>
              <w:kinsoku w:val="0"/>
              <w:overflowPunct w:val="0"/>
              <w:rPr>
                <w:rFonts w:eastAsia="MS Mincho"/>
                <w:sz w:val="22"/>
                <w:szCs w:val="22"/>
                <w:lang w:val="el-GR"/>
              </w:rPr>
            </w:pPr>
          </w:p>
        </w:tc>
        <w:tc>
          <w:tcPr>
            <w:tcW w:w="1984" w:type="dxa"/>
          </w:tcPr>
          <w:p w14:paraId="0413FC79"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0DC96A34" w14:textId="77777777" w:rsidR="00171824" w:rsidRDefault="006D258C">
            <w:pPr>
              <w:widowControl/>
              <w:kinsoku w:val="0"/>
              <w:overflowPunct w:val="0"/>
              <w:rPr>
                <w:rFonts w:eastAsia="MS Mincho"/>
                <w:sz w:val="22"/>
                <w:szCs w:val="22"/>
                <w:lang w:val="el-GR"/>
              </w:rPr>
            </w:pPr>
            <w:r>
              <w:rPr>
                <w:rFonts w:eastAsia="MS Mincho"/>
                <w:sz w:val="22"/>
                <w:szCs w:val="22"/>
                <w:lang w:val="el-GR"/>
              </w:rPr>
              <w:t>Ηπατίτιδα,</w:t>
            </w:r>
          </w:p>
          <w:p w14:paraId="02FC01DE" w14:textId="77777777" w:rsidR="00171824" w:rsidRDefault="006D258C">
            <w:pPr>
              <w:widowControl/>
              <w:kinsoku w:val="0"/>
              <w:overflowPunct w:val="0"/>
              <w:rPr>
                <w:rFonts w:eastAsia="MS Mincho"/>
                <w:sz w:val="22"/>
                <w:szCs w:val="22"/>
                <w:lang w:val="el-GR"/>
              </w:rPr>
            </w:pPr>
            <w:r>
              <w:rPr>
                <w:rFonts w:eastAsia="MS Mincho"/>
                <w:sz w:val="22"/>
                <w:szCs w:val="22"/>
                <w:lang w:val="el-GR"/>
              </w:rPr>
              <w:t>Επανενεργοποίηση ηπατίτιδας Β</w:t>
            </w:r>
            <w:r>
              <w:rPr>
                <w:rFonts w:eastAsia="MS Mincho"/>
                <w:sz w:val="22"/>
                <w:szCs w:val="22"/>
                <w:vertAlign w:val="superscript"/>
                <w:lang w:val="el-GR"/>
              </w:rPr>
              <w:t>1)</w:t>
            </w:r>
            <w:r>
              <w:rPr>
                <w:rFonts w:eastAsia="MS Mincho"/>
                <w:sz w:val="22"/>
                <w:szCs w:val="22"/>
                <w:lang w:val="el-GR"/>
              </w:rPr>
              <w:t>,</w:t>
            </w:r>
          </w:p>
          <w:p w14:paraId="18E0653D" w14:textId="77777777" w:rsidR="00171824" w:rsidRDefault="006D258C">
            <w:pPr>
              <w:widowControl/>
              <w:kinsoku w:val="0"/>
              <w:overflowPunct w:val="0"/>
              <w:rPr>
                <w:rFonts w:eastAsia="MS Mincho"/>
                <w:sz w:val="22"/>
                <w:szCs w:val="22"/>
                <w:lang w:val="el-GR"/>
              </w:rPr>
            </w:pPr>
            <w:r>
              <w:rPr>
                <w:rFonts w:eastAsia="MS Mincho"/>
                <w:sz w:val="22"/>
                <w:szCs w:val="22"/>
                <w:lang w:val="el-GR"/>
              </w:rPr>
              <w:t>Αυτοάνοση ηπατίτιδα</w:t>
            </w:r>
            <w:r>
              <w:rPr>
                <w:rFonts w:eastAsia="MS Mincho"/>
                <w:sz w:val="22"/>
                <w:szCs w:val="22"/>
                <w:vertAlign w:val="superscript"/>
                <w:lang w:val="el-GR"/>
              </w:rPr>
              <w:t>1)</w:t>
            </w:r>
          </w:p>
        </w:tc>
      </w:tr>
      <w:tr w:rsidR="00171824" w14:paraId="4FFB0CA7" w14:textId="77777777">
        <w:trPr>
          <w:cantSplit/>
          <w:trHeight w:val="365"/>
        </w:trPr>
        <w:tc>
          <w:tcPr>
            <w:tcW w:w="2552" w:type="dxa"/>
            <w:vMerge/>
          </w:tcPr>
          <w:p w14:paraId="3CD3087F" w14:textId="77777777" w:rsidR="00171824" w:rsidRDefault="00171824">
            <w:pPr>
              <w:widowControl/>
              <w:kinsoku w:val="0"/>
              <w:overflowPunct w:val="0"/>
              <w:rPr>
                <w:rFonts w:eastAsia="MS Mincho"/>
                <w:sz w:val="22"/>
                <w:szCs w:val="22"/>
                <w:lang w:val="el-GR"/>
              </w:rPr>
            </w:pPr>
          </w:p>
        </w:tc>
        <w:tc>
          <w:tcPr>
            <w:tcW w:w="1984" w:type="dxa"/>
          </w:tcPr>
          <w:p w14:paraId="06F9B932" w14:textId="27AF23A1" w:rsidR="00171824" w:rsidRDefault="006D258C">
            <w:pPr>
              <w:widowControl/>
              <w:kinsoku w:val="0"/>
              <w:overflowPunct w:val="0"/>
              <w:rPr>
                <w:rFonts w:eastAsia="MS Mincho"/>
                <w:sz w:val="22"/>
                <w:szCs w:val="22"/>
                <w:lang w:val="el-GR"/>
              </w:rPr>
            </w:pPr>
            <w:r>
              <w:rPr>
                <w:rFonts w:eastAsia="MS Mincho"/>
                <w:sz w:val="22"/>
                <w:szCs w:val="22"/>
                <w:lang w:val="el-GR"/>
              </w:rPr>
              <w:t>Μη γνωστ</w:t>
            </w:r>
            <w:ins w:id="42" w:author="Author">
              <w:r w:rsidR="006A5319">
                <w:rPr>
                  <w:rFonts w:eastAsia="MS Mincho"/>
                  <w:sz w:val="22"/>
                  <w:szCs w:val="22"/>
                  <w:lang w:val="el-GR"/>
                </w:rPr>
                <w:t>ής συχνότητας</w:t>
              </w:r>
            </w:ins>
            <w:del w:id="43" w:author="Author">
              <w:r w:rsidDel="006A5319">
                <w:rPr>
                  <w:rFonts w:eastAsia="MS Mincho"/>
                  <w:sz w:val="22"/>
                  <w:szCs w:val="22"/>
                  <w:lang w:val="el-GR"/>
                </w:rPr>
                <w:delText>ές</w:delText>
              </w:r>
            </w:del>
          </w:p>
        </w:tc>
        <w:tc>
          <w:tcPr>
            <w:tcW w:w="4395" w:type="dxa"/>
          </w:tcPr>
          <w:p w14:paraId="35426A76" w14:textId="77777777" w:rsidR="00171824" w:rsidRDefault="006D258C">
            <w:pPr>
              <w:widowControl/>
              <w:kinsoku w:val="0"/>
              <w:overflowPunct w:val="0"/>
              <w:rPr>
                <w:rFonts w:eastAsia="MS Mincho"/>
                <w:sz w:val="22"/>
                <w:szCs w:val="22"/>
                <w:lang w:val="el-GR"/>
              </w:rPr>
            </w:pPr>
            <w:r>
              <w:rPr>
                <w:rFonts w:eastAsia="MS Mincho"/>
                <w:sz w:val="22"/>
                <w:szCs w:val="22"/>
                <w:lang w:val="el-GR"/>
              </w:rPr>
              <w:t>Ηπατική ανεπάρκεια</w:t>
            </w:r>
            <w:r>
              <w:rPr>
                <w:rFonts w:eastAsia="MS Mincho"/>
                <w:sz w:val="22"/>
                <w:szCs w:val="22"/>
                <w:vertAlign w:val="superscript"/>
                <w:lang w:val="el-GR"/>
              </w:rPr>
              <w:t>1)</w:t>
            </w:r>
          </w:p>
        </w:tc>
      </w:tr>
      <w:tr w:rsidR="00171824" w14:paraId="430F9EEF" w14:textId="77777777">
        <w:trPr>
          <w:cantSplit/>
          <w:trHeight w:val="537"/>
        </w:trPr>
        <w:tc>
          <w:tcPr>
            <w:tcW w:w="2552" w:type="dxa"/>
            <w:vMerge w:val="restart"/>
          </w:tcPr>
          <w:p w14:paraId="6D215010"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Διαταραχές του δέρματος και του υποδόριου ιστού</w:t>
            </w:r>
          </w:p>
        </w:tc>
        <w:tc>
          <w:tcPr>
            <w:tcW w:w="1984" w:type="dxa"/>
          </w:tcPr>
          <w:p w14:paraId="32095725"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2B60FE7C" w14:textId="77777777" w:rsidR="00171824" w:rsidRDefault="006D258C">
            <w:pPr>
              <w:keepNext/>
              <w:kinsoku w:val="0"/>
              <w:overflowPunct w:val="0"/>
              <w:rPr>
                <w:rFonts w:eastAsia="MS Mincho"/>
                <w:sz w:val="22"/>
                <w:szCs w:val="22"/>
                <w:lang w:val="el-GR"/>
              </w:rPr>
            </w:pPr>
            <w:r>
              <w:rPr>
                <w:rFonts w:eastAsia="MS Mincho"/>
                <w:sz w:val="22"/>
                <w:szCs w:val="22"/>
                <w:lang w:val="el-GR"/>
              </w:rPr>
              <w:t>Εξάνθημα (συμπεριλαμβάνεται αποφολιδωτικό εξάνθημα)</w:t>
            </w:r>
          </w:p>
        </w:tc>
      </w:tr>
      <w:tr w:rsidR="00171824" w14:paraId="5088F5A4" w14:textId="77777777">
        <w:trPr>
          <w:cantSplit/>
          <w:trHeight w:val="2626"/>
        </w:trPr>
        <w:tc>
          <w:tcPr>
            <w:tcW w:w="2552" w:type="dxa"/>
            <w:vMerge/>
          </w:tcPr>
          <w:p w14:paraId="49510007" w14:textId="77777777" w:rsidR="00171824" w:rsidRDefault="00171824">
            <w:pPr>
              <w:widowControl/>
              <w:kinsoku w:val="0"/>
              <w:overflowPunct w:val="0"/>
              <w:rPr>
                <w:rFonts w:eastAsia="MS Mincho"/>
                <w:sz w:val="22"/>
                <w:szCs w:val="22"/>
                <w:lang w:val="el-GR"/>
              </w:rPr>
            </w:pPr>
          </w:p>
        </w:tc>
        <w:tc>
          <w:tcPr>
            <w:tcW w:w="1984" w:type="dxa"/>
          </w:tcPr>
          <w:p w14:paraId="437AF824"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5F8E509F" w14:textId="77777777" w:rsidR="00171824" w:rsidRDefault="006D258C">
            <w:pPr>
              <w:widowControl/>
              <w:kinsoku w:val="0"/>
              <w:overflowPunct w:val="0"/>
              <w:rPr>
                <w:rFonts w:eastAsia="MS Mincho"/>
                <w:sz w:val="22"/>
                <w:szCs w:val="22"/>
                <w:lang w:val="el-GR"/>
              </w:rPr>
            </w:pPr>
            <w:r>
              <w:rPr>
                <w:rFonts w:eastAsia="MS Mincho"/>
                <w:sz w:val="22"/>
                <w:szCs w:val="22"/>
                <w:lang w:val="el-GR"/>
              </w:rPr>
              <w:t>Επιδείνωση ή πρόσφατη έναρξη της ψωρίασης (συμπεριλαμβάνεται φλυκταινώδης Ψωρίαση</w:t>
            </w:r>
          </w:p>
          <w:p w14:paraId="71B7D1E7" w14:textId="77777777" w:rsidR="00171824" w:rsidRDefault="006D258C">
            <w:pPr>
              <w:widowControl/>
              <w:kinsoku w:val="0"/>
              <w:overflowPunct w:val="0"/>
              <w:rPr>
                <w:rFonts w:eastAsia="MS Mincho"/>
                <w:sz w:val="22"/>
                <w:szCs w:val="22"/>
                <w:lang w:val="el-GR"/>
              </w:rPr>
            </w:pPr>
            <w:r>
              <w:rPr>
                <w:rFonts w:eastAsia="MS Mincho"/>
                <w:sz w:val="22"/>
                <w:szCs w:val="22"/>
                <w:lang w:val="el-GR"/>
              </w:rPr>
              <w:t>παλαμών και πελμάτων)</w:t>
            </w:r>
            <w:r>
              <w:rPr>
                <w:rFonts w:eastAsia="MS Mincho"/>
                <w:sz w:val="22"/>
                <w:szCs w:val="22"/>
                <w:vertAlign w:val="superscript"/>
                <w:lang w:val="el-GR"/>
              </w:rPr>
              <w:t>1)</w:t>
            </w:r>
            <w:r>
              <w:rPr>
                <w:rFonts w:eastAsia="MS Mincho"/>
                <w:sz w:val="22"/>
                <w:szCs w:val="22"/>
                <w:lang w:val="el-GR"/>
              </w:rPr>
              <w:t>,</w:t>
            </w:r>
          </w:p>
          <w:p w14:paraId="33FC8B92" w14:textId="77777777" w:rsidR="00171824" w:rsidRDefault="006D258C">
            <w:pPr>
              <w:widowControl/>
              <w:kinsoku w:val="0"/>
              <w:overflowPunct w:val="0"/>
              <w:rPr>
                <w:rFonts w:eastAsia="MS Mincho"/>
                <w:sz w:val="22"/>
                <w:szCs w:val="22"/>
                <w:lang w:val="el-GR"/>
              </w:rPr>
            </w:pPr>
            <w:r>
              <w:rPr>
                <w:rFonts w:eastAsia="MS Mincho"/>
                <w:sz w:val="22"/>
                <w:szCs w:val="22"/>
                <w:lang w:val="el-GR"/>
              </w:rPr>
              <w:t>Κνίδωση,</w:t>
            </w:r>
          </w:p>
          <w:p w14:paraId="7A83353B" w14:textId="77777777" w:rsidR="00171824" w:rsidRDefault="006D258C">
            <w:pPr>
              <w:widowControl/>
              <w:kinsoku w:val="0"/>
              <w:overflowPunct w:val="0"/>
              <w:rPr>
                <w:rFonts w:eastAsia="MS Mincho"/>
                <w:sz w:val="22"/>
                <w:szCs w:val="22"/>
                <w:lang w:val="el-GR"/>
              </w:rPr>
            </w:pPr>
            <w:r>
              <w:rPr>
                <w:rFonts w:eastAsia="MS Mincho"/>
                <w:sz w:val="22"/>
                <w:szCs w:val="22"/>
                <w:lang w:val="el-GR"/>
              </w:rPr>
              <w:t>Μώλωπες (συμπεριλαμβάνεται πορφύρα),</w:t>
            </w:r>
          </w:p>
          <w:p w14:paraId="169E066E" w14:textId="77777777" w:rsidR="00171824" w:rsidRDefault="006D258C">
            <w:pPr>
              <w:widowControl/>
              <w:kinsoku w:val="0"/>
              <w:overflowPunct w:val="0"/>
              <w:rPr>
                <w:rFonts w:eastAsia="MS Mincho"/>
                <w:sz w:val="22"/>
                <w:szCs w:val="22"/>
                <w:lang w:val="el-GR"/>
              </w:rPr>
            </w:pPr>
            <w:r>
              <w:rPr>
                <w:rFonts w:eastAsia="MS Mincho"/>
                <w:sz w:val="22"/>
                <w:szCs w:val="22"/>
                <w:lang w:val="el-GR"/>
              </w:rPr>
              <w:t>Δερματίτιδα (συμπεριλαμβάνεται έκζεμα),</w:t>
            </w:r>
          </w:p>
          <w:p w14:paraId="47697650" w14:textId="77777777" w:rsidR="00171824" w:rsidRDefault="006D258C">
            <w:pPr>
              <w:widowControl/>
              <w:kinsoku w:val="0"/>
              <w:overflowPunct w:val="0"/>
              <w:rPr>
                <w:rFonts w:eastAsia="MS Mincho"/>
                <w:sz w:val="22"/>
                <w:szCs w:val="22"/>
                <w:lang w:val="el-GR"/>
              </w:rPr>
            </w:pPr>
            <w:r>
              <w:rPr>
                <w:rFonts w:eastAsia="MS Mincho"/>
                <w:sz w:val="22"/>
                <w:szCs w:val="22"/>
                <w:lang w:val="el-GR"/>
              </w:rPr>
              <w:t>Ρήξη όνυχα,</w:t>
            </w:r>
          </w:p>
          <w:p w14:paraId="33ECB86D" w14:textId="77777777" w:rsidR="00171824" w:rsidRDefault="006D258C">
            <w:pPr>
              <w:widowControl/>
              <w:kinsoku w:val="0"/>
              <w:overflowPunct w:val="0"/>
              <w:rPr>
                <w:rFonts w:eastAsia="MS Mincho"/>
                <w:sz w:val="22"/>
                <w:szCs w:val="22"/>
                <w:lang w:val="el-GR"/>
              </w:rPr>
            </w:pPr>
            <w:r>
              <w:rPr>
                <w:rFonts w:eastAsia="MS Mincho"/>
                <w:sz w:val="22"/>
                <w:szCs w:val="22"/>
                <w:lang w:val="el-GR"/>
              </w:rPr>
              <w:t>Υπερίδρωση,</w:t>
            </w:r>
          </w:p>
          <w:p w14:paraId="1B6BED84" w14:textId="77777777" w:rsidR="00171824" w:rsidRDefault="006D258C">
            <w:pPr>
              <w:widowControl/>
              <w:kinsoku w:val="0"/>
              <w:overflowPunct w:val="0"/>
              <w:rPr>
                <w:rFonts w:eastAsia="MS Mincho"/>
                <w:sz w:val="22"/>
                <w:szCs w:val="22"/>
                <w:lang w:val="el-GR"/>
              </w:rPr>
            </w:pPr>
            <w:r>
              <w:rPr>
                <w:rFonts w:eastAsia="MS Mincho"/>
                <w:sz w:val="22"/>
                <w:szCs w:val="22"/>
                <w:lang w:val="el-GR"/>
              </w:rPr>
              <w:t>Αλωπεκία</w:t>
            </w:r>
            <w:r>
              <w:rPr>
                <w:rFonts w:eastAsia="MS Mincho"/>
                <w:sz w:val="22"/>
                <w:szCs w:val="22"/>
                <w:vertAlign w:val="superscript"/>
                <w:lang w:val="el-GR"/>
              </w:rPr>
              <w:t>1)</w:t>
            </w:r>
            <w:r>
              <w:rPr>
                <w:rFonts w:eastAsia="MS Mincho"/>
                <w:sz w:val="22"/>
                <w:szCs w:val="22"/>
                <w:lang w:val="el-GR"/>
              </w:rPr>
              <w:t>,</w:t>
            </w:r>
          </w:p>
          <w:p w14:paraId="1683921C" w14:textId="77777777" w:rsidR="00171824" w:rsidRDefault="006D258C">
            <w:pPr>
              <w:widowControl/>
              <w:kinsoku w:val="0"/>
              <w:overflowPunct w:val="0"/>
              <w:rPr>
                <w:rFonts w:eastAsia="MS Mincho"/>
                <w:sz w:val="22"/>
                <w:szCs w:val="22"/>
                <w:lang w:val="el-GR"/>
              </w:rPr>
            </w:pPr>
            <w:r>
              <w:rPr>
                <w:rFonts w:eastAsia="MS Mincho"/>
                <w:sz w:val="22"/>
                <w:szCs w:val="22"/>
                <w:lang w:val="el-GR"/>
              </w:rPr>
              <w:t>Κνησμός</w:t>
            </w:r>
          </w:p>
        </w:tc>
      </w:tr>
      <w:tr w:rsidR="00171824" w14:paraId="24E8A234" w14:textId="77777777">
        <w:trPr>
          <w:cantSplit/>
          <w:trHeight w:val="623"/>
        </w:trPr>
        <w:tc>
          <w:tcPr>
            <w:tcW w:w="2552" w:type="dxa"/>
            <w:vMerge/>
          </w:tcPr>
          <w:p w14:paraId="31447AA2" w14:textId="77777777" w:rsidR="00171824" w:rsidRDefault="00171824">
            <w:pPr>
              <w:widowControl/>
              <w:kinsoku w:val="0"/>
              <w:overflowPunct w:val="0"/>
              <w:rPr>
                <w:rFonts w:eastAsia="MS Mincho"/>
                <w:sz w:val="22"/>
                <w:szCs w:val="22"/>
                <w:lang w:val="el-GR"/>
              </w:rPr>
            </w:pPr>
          </w:p>
        </w:tc>
        <w:tc>
          <w:tcPr>
            <w:tcW w:w="1984" w:type="dxa"/>
          </w:tcPr>
          <w:p w14:paraId="2B215B77"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39BEAA10" w14:textId="77777777" w:rsidR="00171824" w:rsidRDefault="006D258C">
            <w:pPr>
              <w:widowControl/>
              <w:kinsoku w:val="0"/>
              <w:overflowPunct w:val="0"/>
              <w:rPr>
                <w:rFonts w:eastAsia="MS Mincho"/>
                <w:sz w:val="22"/>
                <w:szCs w:val="22"/>
                <w:lang w:val="el-GR"/>
              </w:rPr>
            </w:pPr>
            <w:r>
              <w:rPr>
                <w:rFonts w:eastAsia="MS Mincho"/>
                <w:sz w:val="22"/>
                <w:szCs w:val="22"/>
                <w:lang w:val="el-GR"/>
              </w:rPr>
              <w:t>Νυκτερινοί ιδρώτες,</w:t>
            </w:r>
          </w:p>
          <w:p w14:paraId="628F0CBD" w14:textId="77777777" w:rsidR="00171824" w:rsidRDefault="006D258C">
            <w:pPr>
              <w:widowControl/>
              <w:kinsoku w:val="0"/>
              <w:overflowPunct w:val="0"/>
              <w:rPr>
                <w:rFonts w:eastAsia="MS Mincho"/>
                <w:sz w:val="22"/>
                <w:szCs w:val="22"/>
                <w:lang w:val="el-GR"/>
              </w:rPr>
            </w:pPr>
            <w:r>
              <w:rPr>
                <w:rFonts w:eastAsia="MS Mincho"/>
                <w:sz w:val="22"/>
                <w:szCs w:val="22"/>
                <w:lang w:val="el-GR"/>
              </w:rPr>
              <w:t>Ουλή</w:t>
            </w:r>
          </w:p>
        </w:tc>
      </w:tr>
      <w:tr w:rsidR="00171824" w:rsidRPr="00422380" w14:paraId="4C24EEC0" w14:textId="77777777">
        <w:trPr>
          <w:cantSplit/>
          <w:trHeight w:val="1214"/>
        </w:trPr>
        <w:tc>
          <w:tcPr>
            <w:tcW w:w="2552" w:type="dxa"/>
            <w:vMerge/>
          </w:tcPr>
          <w:p w14:paraId="0BA35BD1" w14:textId="77777777" w:rsidR="00171824" w:rsidRDefault="00171824">
            <w:pPr>
              <w:widowControl/>
              <w:kinsoku w:val="0"/>
              <w:overflowPunct w:val="0"/>
              <w:rPr>
                <w:rFonts w:eastAsia="MS Mincho"/>
                <w:sz w:val="22"/>
                <w:szCs w:val="22"/>
                <w:lang w:val="el-GR"/>
              </w:rPr>
            </w:pPr>
          </w:p>
        </w:tc>
        <w:tc>
          <w:tcPr>
            <w:tcW w:w="1984" w:type="dxa"/>
          </w:tcPr>
          <w:p w14:paraId="150619E0"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261B5BA7"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Πολύμορφο ερύθημα</w:t>
            </w:r>
            <w:r>
              <w:rPr>
                <w:rFonts w:eastAsia="MS Mincho"/>
                <w:sz w:val="22"/>
                <w:szCs w:val="22"/>
                <w:vertAlign w:val="superscript"/>
                <w:lang w:val="el-GR"/>
              </w:rPr>
              <w:t>1)</w:t>
            </w:r>
            <w:r>
              <w:rPr>
                <w:rFonts w:eastAsia="MS Mincho"/>
                <w:sz w:val="22"/>
                <w:szCs w:val="22"/>
                <w:lang w:val="el-GR"/>
              </w:rPr>
              <w:t>,</w:t>
            </w:r>
          </w:p>
          <w:p w14:paraId="0297CEC4" w14:textId="77777777" w:rsidR="00171824" w:rsidRDefault="006D258C">
            <w:pPr>
              <w:widowControl/>
              <w:kinsoku w:val="0"/>
              <w:overflowPunct w:val="0"/>
              <w:rPr>
                <w:rFonts w:eastAsia="MS Mincho"/>
                <w:sz w:val="22"/>
                <w:szCs w:val="22"/>
                <w:lang w:val="el-GR"/>
              </w:rPr>
            </w:pPr>
            <w:r>
              <w:rPr>
                <w:rFonts w:eastAsia="MS Mincho"/>
                <w:sz w:val="22"/>
                <w:szCs w:val="22"/>
                <w:lang w:val="el-GR"/>
              </w:rPr>
              <w:t>Σύνδρομο Stevens-Johnson</w:t>
            </w:r>
            <w:r>
              <w:rPr>
                <w:rFonts w:eastAsia="MS Mincho"/>
                <w:sz w:val="22"/>
                <w:szCs w:val="22"/>
                <w:vertAlign w:val="superscript"/>
                <w:lang w:val="el-GR"/>
              </w:rPr>
              <w:t>1)</w:t>
            </w:r>
            <w:r>
              <w:rPr>
                <w:rFonts w:eastAsia="MS Mincho"/>
                <w:sz w:val="22"/>
                <w:szCs w:val="22"/>
                <w:lang w:val="el-GR"/>
              </w:rPr>
              <w:t>,</w:t>
            </w:r>
          </w:p>
          <w:p w14:paraId="14E3F86B" w14:textId="77777777" w:rsidR="00171824" w:rsidRDefault="006D258C">
            <w:pPr>
              <w:widowControl/>
              <w:kinsoku w:val="0"/>
              <w:overflowPunct w:val="0"/>
              <w:rPr>
                <w:rFonts w:eastAsia="MS Mincho"/>
                <w:sz w:val="22"/>
                <w:szCs w:val="22"/>
                <w:lang w:val="el-GR"/>
              </w:rPr>
            </w:pPr>
            <w:r>
              <w:rPr>
                <w:rFonts w:eastAsia="MS Mincho"/>
                <w:sz w:val="22"/>
                <w:szCs w:val="22"/>
                <w:lang w:val="el-GR"/>
              </w:rPr>
              <w:t>Αγγειοοίδημα</w:t>
            </w:r>
            <w:r>
              <w:rPr>
                <w:rFonts w:eastAsia="MS Mincho"/>
                <w:sz w:val="22"/>
                <w:szCs w:val="22"/>
                <w:vertAlign w:val="superscript"/>
                <w:lang w:val="el-GR"/>
              </w:rPr>
              <w:t>1)</w:t>
            </w:r>
            <w:r>
              <w:rPr>
                <w:rFonts w:eastAsia="MS Mincho"/>
                <w:sz w:val="22"/>
                <w:szCs w:val="22"/>
                <w:lang w:val="el-GR"/>
              </w:rPr>
              <w:t>,</w:t>
            </w:r>
          </w:p>
          <w:p w14:paraId="08BDD1BB" w14:textId="77777777" w:rsidR="00171824" w:rsidRDefault="006D258C">
            <w:pPr>
              <w:widowControl/>
              <w:kinsoku w:val="0"/>
              <w:overflowPunct w:val="0"/>
              <w:rPr>
                <w:rFonts w:eastAsia="MS Mincho"/>
                <w:sz w:val="22"/>
                <w:szCs w:val="22"/>
                <w:vertAlign w:val="superscript"/>
                <w:lang w:val="el-GR"/>
              </w:rPr>
            </w:pPr>
            <w:r>
              <w:rPr>
                <w:rFonts w:eastAsia="MS Mincho"/>
                <w:sz w:val="22"/>
                <w:szCs w:val="22"/>
                <w:lang w:val="el-GR"/>
              </w:rPr>
              <w:t>Δερματική αγγειίτιδα</w:t>
            </w:r>
            <w:r>
              <w:rPr>
                <w:rFonts w:eastAsia="MS Mincho"/>
                <w:sz w:val="22"/>
                <w:szCs w:val="22"/>
                <w:vertAlign w:val="superscript"/>
                <w:lang w:val="el-GR"/>
              </w:rPr>
              <w:t>1)</w:t>
            </w:r>
          </w:p>
          <w:p w14:paraId="7523A788" w14:textId="77777777" w:rsidR="00171824" w:rsidRDefault="006D258C">
            <w:pPr>
              <w:widowControl/>
              <w:kinsoku w:val="0"/>
              <w:overflowPunct w:val="0"/>
              <w:rPr>
                <w:sz w:val="22"/>
                <w:lang w:val="el-GR"/>
              </w:rPr>
            </w:pPr>
            <w:r>
              <w:rPr>
                <w:rFonts w:eastAsia="MS Mincho"/>
                <w:sz w:val="22"/>
                <w:szCs w:val="22"/>
                <w:lang w:val="el-GR"/>
              </w:rPr>
              <w:t>Λειχηνοειδής αντίδραση δέρματος</w:t>
            </w:r>
            <w:r>
              <w:rPr>
                <w:sz w:val="22"/>
                <w:vertAlign w:val="superscript"/>
                <w:lang w:val="el-GR"/>
              </w:rPr>
              <w:t>1)</w:t>
            </w:r>
          </w:p>
          <w:p w14:paraId="73DEF9E0" w14:textId="77777777" w:rsidR="00171824" w:rsidRDefault="00171824">
            <w:pPr>
              <w:widowControl/>
              <w:kinsoku w:val="0"/>
              <w:overflowPunct w:val="0"/>
              <w:rPr>
                <w:rFonts w:eastAsia="MS Mincho"/>
                <w:sz w:val="22"/>
                <w:szCs w:val="22"/>
                <w:lang w:val="el-GR"/>
              </w:rPr>
            </w:pPr>
          </w:p>
        </w:tc>
      </w:tr>
      <w:tr w:rsidR="00171824" w14:paraId="74350263" w14:textId="77777777">
        <w:trPr>
          <w:cantSplit/>
          <w:trHeight w:val="647"/>
        </w:trPr>
        <w:tc>
          <w:tcPr>
            <w:tcW w:w="2552" w:type="dxa"/>
            <w:vMerge/>
          </w:tcPr>
          <w:p w14:paraId="3FE816A3" w14:textId="77777777" w:rsidR="00171824" w:rsidRDefault="00171824">
            <w:pPr>
              <w:widowControl/>
              <w:kinsoku w:val="0"/>
              <w:overflowPunct w:val="0"/>
              <w:rPr>
                <w:rFonts w:eastAsia="MS Mincho"/>
                <w:sz w:val="22"/>
                <w:szCs w:val="22"/>
                <w:lang w:val="el-GR"/>
              </w:rPr>
            </w:pPr>
          </w:p>
        </w:tc>
        <w:tc>
          <w:tcPr>
            <w:tcW w:w="1984" w:type="dxa"/>
          </w:tcPr>
          <w:p w14:paraId="45B951B7" w14:textId="775D867F" w:rsidR="00171824" w:rsidRDefault="006D258C">
            <w:pPr>
              <w:widowControl/>
              <w:kinsoku w:val="0"/>
              <w:overflowPunct w:val="0"/>
              <w:rPr>
                <w:rFonts w:eastAsia="MS Mincho"/>
                <w:sz w:val="22"/>
                <w:szCs w:val="22"/>
                <w:lang w:val="el-GR"/>
              </w:rPr>
            </w:pPr>
            <w:r>
              <w:rPr>
                <w:rFonts w:eastAsia="MS Mincho"/>
                <w:sz w:val="22"/>
                <w:szCs w:val="22"/>
                <w:lang w:val="el-GR"/>
              </w:rPr>
              <w:t>Μη γνωστ</w:t>
            </w:r>
            <w:ins w:id="44" w:author="Author">
              <w:r w:rsidR="009301CA">
                <w:rPr>
                  <w:rFonts w:eastAsia="MS Mincho"/>
                  <w:sz w:val="22"/>
                  <w:szCs w:val="22"/>
                  <w:lang w:val="el-GR"/>
                </w:rPr>
                <w:t>ής συχνότητας</w:t>
              </w:r>
            </w:ins>
            <w:del w:id="45" w:author="Author">
              <w:r w:rsidDel="009301CA">
                <w:rPr>
                  <w:rFonts w:eastAsia="MS Mincho"/>
                  <w:sz w:val="22"/>
                  <w:szCs w:val="22"/>
                  <w:lang w:val="el-GR"/>
                </w:rPr>
                <w:delText>ές</w:delText>
              </w:r>
            </w:del>
          </w:p>
        </w:tc>
        <w:tc>
          <w:tcPr>
            <w:tcW w:w="4395" w:type="dxa"/>
          </w:tcPr>
          <w:p w14:paraId="7180C5E6" w14:textId="77777777" w:rsidR="00171824" w:rsidRDefault="006D258C">
            <w:pPr>
              <w:widowControl/>
              <w:kinsoku w:val="0"/>
              <w:overflowPunct w:val="0"/>
              <w:rPr>
                <w:rFonts w:eastAsia="MS Mincho"/>
                <w:sz w:val="22"/>
                <w:szCs w:val="22"/>
                <w:lang w:val="el-GR"/>
              </w:rPr>
            </w:pPr>
            <w:r>
              <w:rPr>
                <w:rFonts w:eastAsia="MS Mincho"/>
                <w:sz w:val="22"/>
                <w:szCs w:val="22"/>
                <w:lang w:val="el-GR"/>
              </w:rPr>
              <w:t>Επιδείνωση των συμπτωμάτων δερματομυοσίτιδας</w:t>
            </w:r>
            <w:r>
              <w:rPr>
                <w:rFonts w:eastAsia="MS Mincho"/>
                <w:sz w:val="22"/>
                <w:szCs w:val="22"/>
                <w:vertAlign w:val="superscript"/>
                <w:lang w:val="el-GR"/>
              </w:rPr>
              <w:t>1)</w:t>
            </w:r>
          </w:p>
        </w:tc>
      </w:tr>
      <w:tr w:rsidR="00171824" w14:paraId="40DE0B2A" w14:textId="77777777">
        <w:trPr>
          <w:cantSplit/>
          <w:trHeight w:val="333"/>
        </w:trPr>
        <w:tc>
          <w:tcPr>
            <w:tcW w:w="2552" w:type="dxa"/>
            <w:vMerge w:val="restart"/>
          </w:tcPr>
          <w:p w14:paraId="30A9774B" w14:textId="77777777" w:rsidR="00171824" w:rsidRDefault="006D258C">
            <w:pPr>
              <w:widowControl/>
              <w:kinsoku w:val="0"/>
              <w:overflowPunct w:val="0"/>
              <w:rPr>
                <w:rFonts w:eastAsia="MS Mincho"/>
                <w:sz w:val="22"/>
                <w:szCs w:val="22"/>
                <w:lang w:val="el-GR"/>
              </w:rPr>
            </w:pPr>
            <w:r>
              <w:rPr>
                <w:rFonts w:eastAsia="MS Mincho"/>
                <w:sz w:val="22"/>
                <w:szCs w:val="22"/>
                <w:lang w:val="el-GR"/>
              </w:rPr>
              <w:t>Διαταραχές του μυοσκελετικού συστήματος και του συνδετικού ιστού</w:t>
            </w:r>
          </w:p>
        </w:tc>
        <w:tc>
          <w:tcPr>
            <w:tcW w:w="1984" w:type="dxa"/>
          </w:tcPr>
          <w:p w14:paraId="70523E4D"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1E2D09CF" w14:textId="77777777" w:rsidR="00171824" w:rsidRDefault="006D258C">
            <w:pPr>
              <w:widowControl/>
              <w:kinsoku w:val="0"/>
              <w:overflowPunct w:val="0"/>
              <w:rPr>
                <w:rFonts w:eastAsia="MS Mincho"/>
                <w:sz w:val="22"/>
                <w:szCs w:val="22"/>
                <w:lang w:val="el-GR"/>
              </w:rPr>
            </w:pPr>
            <w:r>
              <w:rPr>
                <w:rFonts w:eastAsia="MS Mincho"/>
                <w:sz w:val="22"/>
                <w:szCs w:val="22"/>
                <w:lang w:val="el-GR"/>
              </w:rPr>
              <w:t>Μυοσκελετικός πόνος</w:t>
            </w:r>
          </w:p>
        </w:tc>
      </w:tr>
      <w:tr w:rsidR="00171824" w:rsidRPr="00422380" w14:paraId="53D8725B" w14:textId="77777777">
        <w:trPr>
          <w:cantSplit/>
          <w:trHeight w:val="634"/>
        </w:trPr>
        <w:tc>
          <w:tcPr>
            <w:tcW w:w="2552" w:type="dxa"/>
            <w:vMerge/>
          </w:tcPr>
          <w:p w14:paraId="215F103E" w14:textId="77777777" w:rsidR="00171824" w:rsidRDefault="00171824">
            <w:pPr>
              <w:widowControl/>
              <w:kinsoku w:val="0"/>
              <w:overflowPunct w:val="0"/>
              <w:rPr>
                <w:rFonts w:eastAsia="MS Mincho"/>
                <w:sz w:val="22"/>
                <w:szCs w:val="22"/>
                <w:lang w:val="el-GR"/>
              </w:rPr>
            </w:pPr>
          </w:p>
        </w:tc>
        <w:tc>
          <w:tcPr>
            <w:tcW w:w="1984" w:type="dxa"/>
          </w:tcPr>
          <w:p w14:paraId="56FEE706"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0BF1BC7B" w14:textId="77777777" w:rsidR="00171824" w:rsidRDefault="006D258C">
            <w:pPr>
              <w:widowControl/>
              <w:kinsoku w:val="0"/>
              <w:overflowPunct w:val="0"/>
              <w:rPr>
                <w:rFonts w:eastAsia="MS Mincho"/>
                <w:sz w:val="22"/>
                <w:szCs w:val="22"/>
                <w:lang w:val="el-GR"/>
              </w:rPr>
            </w:pPr>
            <w:r>
              <w:rPr>
                <w:rFonts w:eastAsia="MS Mincho"/>
                <w:sz w:val="22"/>
                <w:szCs w:val="22"/>
                <w:lang w:val="el-GR"/>
              </w:rPr>
              <w:t>Μυϊκοί σπασμοί (συμπεριλαμβάνεται κρεατινοφωσφωκινάση αίματος αυξημένη)</w:t>
            </w:r>
          </w:p>
        </w:tc>
      </w:tr>
      <w:tr w:rsidR="00171824" w14:paraId="0CDCAFCD" w14:textId="77777777">
        <w:trPr>
          <w:cantSplit/>
          <w:trHeight w:val="602"/>
        </w:trPr>
        <w:tc>
          <w:tcPr>
            <w:tcW w:w="2552" w:type="dxa"/>
            <w:vMerge/>
          </w:tcPr>
          <w:p w14:paraId="31A7E553" w14:textId="77777777" w:rsidR="00171824" w:rsidRDefault="00171824">
            <w:pPr>
              <w:widowControl/>
              <w:kinsoku w:val="0"/>
              <w:overflowPunct w:val="0"/>
              <w:rPr>
                <w:rFonts w:eastAsia="MS Mincho"/>
                <w:sz w:val="22"/>
                <w:szCs w:val="22"/>
                <w:lang w:val="el-GR"/>
              </w:rPr>
            </w:pPr>
          </w:p>
        </w:tc>
        <w:tc>
          <w:tcPr>
            <w:tcW w:w="1984" w:type="dxa"/>
          </w:tcPr>
          <w:p w14:paraId="111579F2"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7FF3F5C1" w14:textId="77777777" w:rsidR="00171824" w:rsidRDefault="006D258C">
            <w:pPr>
              <w:widowControl/>
              <w:kinsoku w:val="0"/>
              <w:overflowPunct w:val="0"/>
              <w:rPr>
                <w:rFonts w:eastAsia="MS Mincho"/>
                <w:sz w:val="22"/>
                <w:szCs w:val="22"/>
                <w:lang w:val="el-GR"/>
              </w:rPr>
            </w:pPr>
            <w:r>
              <w:rPr>
                <w:rFonts w:eastAsia="MS Mincho"/>
                <w:sz w:val="22"/>
                <w:szCs w:val="22"/>
                <w:lang w:val="el-GR"/>
              </w:rPr>
              <w:t>Ραβδομυόλυση,</w:t>
            </w:r>
          </w:p>
          <w:p w14:paraId="4D27D9D5" w14:textId="77777777" w:rsidR="00171824" w:rsidRDefault="006D258C">
            <w:pPr>
              <w:widowControl/>
              <w:kinsoku w:val="0"/>
              <w:overflowPunct w:val="0"/>
              <w:rPr>
                <w:rFonts w:eastAsia="MS Mincho"/>
                <w:sz w:val="22"/>
                <w:szCs w:val="22"/>
                <w:lang w:val="el-GR"/>
              </w:rPr>
            </w:pPr>
            <w:r>
              <w:rPr>
                <w:rFonts w:eastAsia="MS Mincho"/>
                <w:sz w:val="22"/>
                <w:szCs w:val="22"/>
                <w:lang w:val="el-GR"/>
              </w:rPr>
              <w:t>Συστηματικός ερυθηματώδης λύκος</w:t>
            </w:r>
          </w:p>
        </w:tc>
      </w:tr>
      <w:tr w:rsidR="00171824" w14:paraId="7A6D08AF" w14:textId="77777777">
        <w:trPr>
          <w:cantSplit/>
          <w:trHeight w:val="382"/>
        </w:trPr>
        <w:tc>
          <w:tcPr>
            <w:tcW w:w="2552" w:type="dxa"/>
            <w:vMerge/>
          </w:tcPr>
          <w:p w14:paraId="095102C6" w14:textId="77777777" w:rsidR="00171824" w:rsidRDefault="00171824">
            <w:pPr>
              <w:widowControl/>
              <w:kinsoku w:val="0"/>
              <w:overflowPunct w:val="0"/>
              <w:rPr>
                <w:rFonts w:eastAsia="MS Mincho"/>
                <w:sz w:val="22"/>
                <w:szCs w:val="22"/>
                <w:lang w:val="el-GR"/>
              </w:rPr>
            </w:pPr>
          </w:p>
        </w:tc>
        <w:tc>
          <w:tcPr>
            <w:tcW w:w="1984" w:type="dxa"/>
          </w:tcPr>
          <w:p w14:paraId="03E41B5C"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395" w:type="dxa"/>
          </w:tcPr>
          <w:p w14:paraId="60FA3917" w14:textId="77777777" w:rsidR="00171824" w:rsidRDefault="006D258C">
            <w:pPr>
              <w:widowControl/>
              <w:kinsoku w:val="0"/>
              <w:overflowPunct w:val="0"/>
              <w:rPr>
                <w:rFonts w:eastAsia="MS Mincho"/>
                <w:sz w:val="22"/>
                <w:szCs w:val="22"/>
                <w:lang w:val="el-GR"/>
              </w:rPr>
            </w:pPr>
            <w:r>
              <w:rPr>
                <w:rFonts w:eastAsia="MS Mincho"/>
                <w:sz w:val="22"/>
                <w:szCs w:val="22"/>
                <w:lang w:val="el-GR"/>
              </w:rPr>
              <w:t>Σύνδρομο προσομοιάζον με λύκο</w:t>
            </w:r>
            <w:r>
              <w:rPr>
                <w:rFonts w:eastAsia="MS Mincho"/>
                <w:sz w:val="22"/>
                <w:szCs w:val="22"/>
                <w:vertAlign w:val="superscript"/>
                <w:lang w:val="el-GR"/>
              </w:rPr>
              <w:t>1)</w:t>
            </w:r>
          </w:p>
        </w:tc>
      </w:tr>
      <w:tr w:rsidR="00171824" w14:paraId="11AD8B59" w14:textId="77777777">
        <w:trPr>
          <w:cantSplit/>
          <w:trHeight w:val="677"/>
        </w:trPr>
        <w:tc>
          <w:tcPr>
            <w:tcW w:w="2552" w:type="dxa"/>
            <w:vMerge w:val="restart"/>
          </w:tcPr>
          <w:p w14:paraId="43F31FE7" w14:textId="77777777" w:rsidR="00171824" w:rsidRDefault="006D258C">
            <w:pPr>
              <w:widowControl/>
              <w:kinsoku w:val="0"/>
              <w:overflowPunct w:val="0"/>
              <w:rPr>
                <w:rFonts w:eastAsia="MS Mincho"/>
                <w:sz w:val="22"/>
                <w:szCs w:val="22"/>
                <w:lang w:val="el-GR"/>
              </w:rPr>
            </w:pPr>
            <w:r>
              <w:rPr>
                <w:rFonts w:eastAsia="MS Mincho"/>
                <w:sz w:val="22"/>
                <w:szCs w:val="22"/>
                <w:lang w:val="el-GR"/>
              </w:rPr>
              <w:t>Διαταραχές των νεφρών και των ουροφόρων οδών</w:t>
            </w:r>
          </w:p>
        </w:tc>
        <w:tc>
          <w:tcPr>
            <w:tcW w:w="1984" w:type="dxa"/>
          </w:tcPr>
          <w:p w14:paraId="611BC459"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01486599" w14:textId="77777777" w:rsidR="00171824" w:rsidRDefault="006D258C">
            <w:pPr>
              <w:widowControl/>
              <w:kinsoku w:val="0"/>
              <w:overflowPunct w:val="0"/>
              <w:rPr>
                <w:rFonts w:eastAsia="MS Mincho"/>
                <w:sz w:val="22"/>
                <w:szCs w:val="22"/>
                <w:lang w:val="el-GR"/>
              </w:rPr>
            </w:pPr>
            <w:r>
              <w:rPr>
                <w:rFonts w:eastAsia="MS Mincho"/>
                <w:sz w:val="22"/>
                <w:szCs w:val="22"/>
                <w:lang w:val="el-GR"/>
              </w:rPr>
              <w:t>Νεφρική Δυσλειτουργία,</w:t>
            </w:r>
          </w:p>
          <w:p w14:paraId="516E5B33" w14:textId="77777777" w:rsidR="00171824" w:rsidRDefault="006D258C">
            <w:pPr>
              <w:widowControl/>
              <w:kinsoku w:val="0"/>
              <w:overflowPunct w:val="0"/>
              <w:rPr>
                <w:rFonts w:eastAsia="MS Mincho"/>
                <w:sz w:val="22"/>
                <w:szCs w:val="22"/>
                <w:lang w:val="el-GR"/>
              </w:rPr>
            </w:pPr>
            <w:r>
              <w:rPr>
                <w:rFonts w:eastAsia="MS Mincho"/>
                <w:sz w:val="22"/>
                <w:szCs w:val="22"/>
                <w:lang w:val="el-GR"/>
              </w:rPr>
              <w:t>Αιματουρία</w:t>
            </w:r>
          </w:p>
        </w:tc>
      </w:tr>
      <w:tr w:rsidR="00171824" w14:paraId="534AC280" w14:textId="77777777">
        <w:trPr>
          <w:cantSplit/>
          <w:trHeight w:val="298"/>
        </w:trPr>
        <w:tc>
          <w:tcPr>
            <w:tcW w:w="2552" w:type="dxa"/>
            <w:vMerge/>
          </w:tcPr>
          <w:p w14:paraId="49C78FC7" w14:textId="77777777" w:rsidR="00171824" w:rsidRDefault="00171824">
            <w:pPr>
              <w:widowControl/>
              <w:kinsoku w:val="0"/>
              <w:overflowPunct w:val="0"/>
              <w:rPr>
                <w:rFonts w:eastAsia="MS Mincho"/>
                <w:sz w:val="22"/>
                <w:szCs w:val="22"/>
                <w:lang w:val="el-GR"/>
              </w:rPr>
            </w:pPr>
          </w:p>
        </w:tc>
        <w:tc>
          <w:tcPr>
            <w:tcW w:w="1984" w:type="dxa"/>
          </w:tcPr>
          <w:p w14:paraId="07E392D9"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4085423C" w14:textId="77777777" w:rsidR="00171824" w:rsidRDefault="006D258C">
            <w:pPr>
              <w:widowControl/>
              <w:kinsoku w:val="0"/>
              <w:overflowPunct w:val="0"/>
              <w:rPr>
                <w:rFonts w:eastAsia="MS Mincho"/>
                <w:sz w:val="22"/>
                <w:szCs w:val="22"/>
                <w:lang w:val="el-GR"/>
              </w:rPr>
            </w:pPr>
            <w:r>
              <w:rPr>
                <w:rFonts w:eastAsia="MS Mincho"/>
                <w:sz w:val="22"/>
                <w:szCs w:val="22"/>
                <w:lang w:val="el-GR"/>
              </w:rPr>
              <w:t>Νυκτουρία</w:t>
            </w:r>
          </w:p>
        </w:tc>
      </w:tr>
      <w:tr w:rsidR="00171824" w14:paraId="4DBAF91B" w14:textId="77777777">
        <w:trPr>
          <w:cantSplit/>
        </w:trPr>
        <w:tc>
          <w:tcPr>
            <w:tcW w:w="2552" w:type="dxa"/>
          </w:tcPr>
          <w:p w14:paraId="76148602" w14:textId="77777777" w:rsidR="00171824" w:rsidRDefault="006D258C">
            <w:pPr>
              <w:widowControl/>
              <w:kinsoku w:val="0"/>
              <w:overflowPunct w:val="0"/>
              <w:rPr>
                <w:rFonts w:eastAsia="MS Mincho"/>
                <w:sz w:val="22"/>
                <w:szCs w:val="22"/>
                <w:lang w:val="el-GR"/>
              </w:rPr>
            </w:pPr>
            <w:r>
              <w:rPr>
                <w:rFonts w:eastAsia="MS Mincho"/>
                <w:sz w:val="22"/>
                <w:szCs w:val="22"/>
                <w:lang w:val="el-GR"/>
              </w:rPr>
              <w:t>Διαταραχές του αναπαραγωγικού συστήματος και του μαστού</w:t>
            </w:r>
          </w:p>
        </w:tc>
        <w:tc>
          <w:tcPr>
            <w:tcW w:w="1984" w:type="dxa"/>
          </w:tcPr>
          <w:p w14:paraId="0C65EEF2"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3D8C62E6" w14:textId="77777777" w:rsidR="00171824" w:rsidRDefault="006D258C">
            <w:pPr>
              <w:widowControl/>
              <w:kinsoku w:val="0"/>
              <w:overflowPunct w:val="0"/>
              <w:rPr>
                <w:rFonts w:eastAsia="MS Mincho"/>
                <w:sz w:val="22"/>
                <w:szCs w:val="22"/>
                <w:lang w:val="el-GR"/>
              </w:rPr>
            </w:pPr>
            <w:r>
              <w:rPr>
                <w:rFonts w:eastAsia="MS Mincho"/>
                <w:sz w:val="22"/>
                <w:szCs w:val="22"/>
                <w:lang w:val="el-GR"/>
              </w:rPr>
              <w:t>Στυτική δυσλειτουργία</w:t>
            </w:r>
          </w:p>
        </w:tc>
      </w:tr>
      <w:tr w:rsidR="00171824" w:rsidRPr="00422380" w14:paraId="1EBE13AF" w14:textId="77777777">
        <w:trPr>
          <w:cantSplit/>
          <w:trHeight w:val="804"/>
        </w:trPr>
        <w:tc>
          <w:tcPr>
            <w:tcW w:w="2552" w:type="dxa"/>
            <w:vMerge w:val="restart"/>
          </w:tcPr>
          <w:p w14:paraId="18F35BB3" w14:textId="0F4A2407" w:rsidR="00171824" w:rsidRDefault="006D258C">
            <w:pPr>
              <w:widowControl/>
              <w:kinsoku w:val="0"/>
              <w:overflowPunct w:val="0"/>
              <w:rPr>
                <w:rFonts w:eastAsia="MS Mincho"/>
                <w:sz w:val="22"/>
                <w:szCs w:val="22"/>
                <w:lang w:val="el-GR"/>
              </w:rPr>
            </w:pPr>
            <w:r>
              <w:rPr>
                <w:rFonts w:eastAsia="MS Mincho"/>
                <w:sz w:val="22"/>
                <w:szCs w:val="22"/>
                <w:lang w:val="el-GR"/>
              </w:rPr>
              <w:t xml:space="preserve">Γενικές διαταραχές και καταστάσεις </w:t>
            </w:r>
            <w:ins w:id="46" w:author="Author">
              <w:r w:rsidR="009317B0">
                <w:rPr>
                  <w:rFonts w:eastAsia="MS Mincho"/>
                  <w:sz w:val="22"/>
                  <w:szCs w:val="22"/>
                  <w:lang w:val="el-GR"/>
                </w:rPr>
                <w:t>σ</w:t>
              </w:r>
            </w:ins>
            <w:r>
              <w:rPr>
                <w:rFonts w:eastAsia="MS Mincho"/>
                <w:sz w:val="22"/>
                <w:szCs w:val="22"/>
                <w:lang w:val="el-GR"/>
              </w:rPr>
              <w:t>τη</w:t>
            </w:r>
            <w:del w:id="47" w:author="Author">
              <w:r w:rsidDel="009317B0">
                <w:rPr>
                  <w:rFonts w:eastAsia="MS Mincho"/>
                  <w:sz w:val="22"/>
                  <w:szCs w:val="22"/>
                  <w:lang w:val="el-GR"/>
                </w:rPr>
                <w:delText>ς</w:delText>
              </w:r>
            </w:del>
            <w:r>
              <w:rPr>
                <w:rFonts w:eastAsia="MS Mincho"/>
                <w:sz w:val="22"/>
                <w:szCs w:val="22"/>
                <w:lang w:val="el-GR"/>
              </w:rPr>
              <w:t xml:space="preserve"> </w:t>
            </w:r>
            <w:del w:id="48" w:author="Author">
              <w:r w:rsidDel="009317B0">
                <w:rPr>
                  <w:rFonts w:eastAsia="MS Mincho"/>
                  <w:sz w:val="22"/>
                  <w:szCs w:val="22"/>
                  <w:lang w:val="el-GR"/>
                </w:rPr>
                <w:delText>οδού</w:delText>
              </w:r>
            </w:del>
            <w:ins w:id="49" w:author="Author">
              <w:r w:rsidR="009317B0">
                <w:rPr>
                  <w:rFonts w:eastAsia="MS Mincho"/>
                  <w:sz w:val="22"/>
                  <w:szCs w:val="22"/>
                  <w:lang w:val="el-GR"/>
                </w:rPr>
                <w:t>θέση</w:t>
              </w:r>
            </w:ins>
            <w:r>
              <w:rPr>
                <w:rFonts w:eastAsia="MS Mincho"/>
                <w:sz w:val="22"/>
                <w:szCs w:val="22"/>
                <w:lang w:val="el-GR"/>
              </w:rPr>
              <w:t xml:space="preserve"> χορήγησης*</w:t>
            </w:r>
          </w:p>
        </w:tc>
        <w:tc>
          <w:tcPr>
            <w:tcW w:w="1984" w:type="dxa"/>
          </w:tcPr>
          <w:p w14:paraId="4B11A22A"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395" w:type="dxa"/>
          </w:tcPr>
          <w:p w14:paraId="7E8711AD" w14:textId="77777777" w:rsidR="00171824" w:rsidRDefault="006D258C">
            <w:pPr>
              <w:widowControl/>
              <w:kinsoku w:val="0"/>
              <w:overflowPunct w:val="0"/>
              <w:rPr>
                <w:rFonts w:eastAsia="MS Mincho"/>
                <w:sz w:val="22"/>
                <w:szCs w:val="22"/>
                <w:lang w:val="el-GR"/>
              </w:rPr>
            </w:pPr>
            <w:r>
              <w:rPr>
                <w:rFonts w:eastAsia="MS Mincho"/>
                <w:sz w:val="22"/>
                <w:szCs w:val="22"/>
                <w:lang w:val="el-GR"/>
              </w:rPr>
              <w:t>Αντίδραση της θέσης ένεσης (συμπεριλαμβάνεται ερύθημα της θέσης ένεσης)</w:t>
            </w:r>
          </w:p>
        </w:tc>
      </w:tr>
      <w:tr w:rsidR="00171824" w14:paraId="3FD07C9B" w14:textId="77777777">
        <w:trPr>
          <w:cantSplit/>
          <w:trHeight w:val="956"/>
        </w:trPr>
        <w:tc>
          <w:tcPr>
            <w:tcW w:w="2552" w:type="dxa"/>
            <w:vMerge/>
          </w:tcPr>
          <w:p w14:paraId="7D05E189" w14:textId="77777777" w:rsidR="00171824" w:rsidRDefault="00171824">
            <w:pPr>
              <w:widowControl/>
              <w:kinsoku w:val="0"/>
              <w:overflowPunct w:val="0"/>
              <w:rPr>
                <w:rFonts w:eastAsia="MS Mincho"/>
                <w:sz w:val="22"/>
                <w:szCs w:val="22"/>
                <w:lang w:val="el-GR"/>
              </w:rPr>
            </w:pPr>
          </w:p>
        </w:tc>
        <w:tc>
          <w:tcPr>
            <w:tcW w:w="1984" w:type="dxa"/>
          </w:tcPr>
          <w:p w14:paraId="65AA311D"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4D2B188D" w14:textId="77777777" w:rsidR="00171824" w:rsidRDefault="006D258C">
            <w:pPr>
              <w:widowControl/>
              <w:kinsoku w:val="0"/>
              <w:overflowPunct w:val="0"/>
              <w:rPr>
                <w:rFonts w:eastAsia="MS Mincho"/>
                <w:sz w:val="22"/>
                <w:szCs w:val="22"/>
                <w:lang w:val="el-GR"/>
              </w:rPr>
            </w:pPr>
            <w:r>
              <w:rPr>
                <w:rFonts w:eastAsia="MS Mincho"/>
                <w:sz w:val="22"/>
                <w:szCs w:val="22"/>
                <w:lang w:val="el-GR"/>
              </w:rPr>
              <w:t>Θωρακικό άλγος,</w:t>
            </w:r>
          </w:p>
          <w:p w14:paraId="0959AC19" w14:textId="77777777" w:rsidR="00171824" w:rsidRDefault="006D258C">
            <w:pPr>
              <w:widowControl/>
              <w:kinsoku w:val="0"/>
              <w:overflowPunct w:val="0"/>
              <w:rPr>
                <w:rFonts w:eastAsia="MS Mincho"/>
                <w:sz w:val="22"/>
                <w:szCs w:val="22"/>
                <w:lang w:val="el-GR"/>
              </w:rPr>
            </w:pPr>
            <w:r>
              <w:rPr>
                <w:rFonts w:eastAsia="MS Mincho"/>
                <w:sz w:val="22"/>
                <w:szCs w:val="22"/>
                <w:lang w:val="el-GR"/>
              </w:rPr>
              <w:t>Οίδημα,</w:t>
            </w:r>
          </w:p>
          <w:p w14:paraId="502BEA83" w14:textId="77777777" w:rsidR="00171824" w:rsidRDefault="006D258C">
            <w:pPr>
              <w:widowControl/>
              <w:kinsoku w:val="0"/>
              <w:overflowPunct w:val="0"/>
              <w:rPr>
                <w:rFonts w:eastAsia="MS Mincho"/>
                <w:sz w:val="22"/>
                <w:szCs w:val="22"/>
                <w:lang w:val="el-GR"/>
              </w:rPr>
            </w:pPr>
            <w:r>
              <w:rPr>
                <w:rFonts w:eastAsia="MS Mincho"/>
                <w:sz w:val="22"/>
                <w:szCs w:val="22"/>
                <w:lang w:val="el-GR"/>
              </w:rPr>
              <w:t>Πυρεξία</w:t>
            </w:r>
            <w:r>
              <w:rPr>
                <w:rFonts w:eastAsia="MS Mincho"/>
                <w:sz w:val="22"/>
                <w:szCs w:val="22"/>
                <w:vertAlign w:val="superscript"/>
                <w:lang w:val="el-GR"/>
              </w:rPr>
              <w:t>1)</w:t>
            </w:r>
          </w:p>
        </w:tc>
      </w:tr>
      <w:tr w:rsidR="00171824" w14:paraId="07D8B673" w14:textId="77777777">
        <w:trPr>
          <w:cantSplit/>
          <w:trHeight w:val="290"/>
        </w:trPr>
        <w:tc>
          <w:tcPr>
            <w:tcW w:w="2552" w:type="dxa"/>
            <w:vMerge/>
          </w:tcPr>
          <w:p w14:paraId="3C49180E" w14:textId="77777777" w:rsidR="00171824" w:rsidRDefault="00171824">
            <w:pPr>
              <w:widowControl/>
              <w:kinsoku w:val="0"/>
              <w:overflowPunct w:val="0"/>
              <w:rPr>
                <w:rFonts w:eastAsia="MS Mincho"/>
                <w:sz w:val="22"/>
                <w:szCs w:val="22"/>
                <w:lang w:val="el-GR"/>
              </w:rPr>
            </w:pPr>
          </w:p>
        </w:tc>
        <w:tc>
          <w:tcPr>
            <w:tcW w:w="1984" w:type="dxa"/>
          </w:tcPr>
          <w:p w14:paraId="5B2CB171"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395" w:type="dxa"/>
          </w:tcPr>
          <w:p w14:paraId="5CA02C84" w14:textId="77777777" w:rsidR="00171824" w:rsidRDefault="006D258C">
            <w:pPr>
              <w:widowControl/>
              <w:kinsoku w:val="0"/>
              <w:overflowPunct w:val="0"/>
              <w:rPr>
                <w:rFonts w:eastAsia="MS Mincho"/>
                <w:sz w:val="22"/>
                <w:szCs w:val="22"/>
                <w:lang w:val="el-GR"/>
              </w:rPr>
            </w:pPr>
            <w:r>
              <w:rPr>
                <w:rFonts w:eastAsia="MS Mincho"/>
                <w:sz w:val="22"/>
                <w:szCs w:val="22"/>
                <w:lang w:val="el-GR"/>
              </w:rPr>
              <w:t>Φλεγμονή</w:t>
            </w:r>
          </w:p>
        </w:tc>
      </w:tr>
      <w:tr w:rsidR="00171824" w14:paraId="370BFFC3" w14:textId="77777777">
        <w:trPr>
          <w:cantSplit/>
        </w:trPr>
        <w:tc>
          <w:tcPr>
            <w:tcW w:w="2552" w:type="dxa"/>
            <w:vMerge w:val="restart"/>
          </w:tcPr>
          <w:p w14:paraId="1FDBFBDF" w14:textId="18A8E8D6" w:rsidR="00171824" w:rsidRDefault="00D40B0C">
            <w:pPr>
              <w:keepNext/>
              <w:widowControl/>
              <w:kinsoku w:val="0"/>
              <w:overflowPunct w:val="0"/>
              <w:rPr>
                <w:rFonts w:eastAsia="MS Mincho"/>
                <w:sz w:val="22"/>
                <w:szCs w:val="22"/>
                <w:lang w:val="el-GR"/>
              </w:rPr>
            </w:pPr>
            <w:ins w:id="50" w:author="Author">
              <w:r>
                <w:rPr>
                  <w:rFonts w:eastAsia="MS Mincho"/>
                  <w:sz w:val="22"/>
                  <w:szCs w:val="22"/>
                  <w:lang w:val="el-GR"/>
                </w:rPr>
                <w:lastRenderedPageBreak/>
                <w:t>Διερευνήσεις</w:t>
              </w:r>
            </w:ins>
            <w:del w:id="51" w:author="Author">
              <w:r w:rsidR="006D258C" w:rsidDel="00D40B0C">
                <w:rPr>
                  <w:rFonts w:eastAsia="MS Mincho"/>
                  <w:sz w:val="22"/>
                  <w:szCs w:val="22"/>
                  <w:lang w:val="el-GR"/>
                </w:rPr>
                <w:delText>Παρακλινικές εξετάσεις</w:delText>
              </w:r>
            </w:del>
            <w:r w:rsidR="006D258C">
              <w:rPr>
                <w:rFonts w:eastAsia="MS Mincho"/>
                <w:sz w:val="22"/>
                <w:szCs w:val="22"/>
                <w:lang w:val="el-GR"/>
              </w:rPr>
              <w:t>*</w:t>
            </w:r>
          </w:p>
        </w:tc>
        <w:tc>
          <w:tcPr>
            <w:tcW w:w="1984" w:type="dxa"/>
          </w:tcPr>
          <w:p w14:paraId="555A664A"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0812FB47"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Διαταραχές της πηκτικότητας και αιμορραγικές (συμπεριλαμβάνεται χρόνος ενεργοποιημένης μερικής θρομβοπλαστίνης παρατεταμένος),</w:t>
            </w:r>
          </w:p>
          <w:p w14:paraId="5B3E96D4"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Θετικός έλεγχος αυτοαντισωμάτων (συμπεριλαμβάνεται αντίσωμα έναντι της διπλής έλικας του DNA),</w:t>
            </w:r>
          </w:p>
          <w:p w14:paraId="0B2D1A29"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Γαλακτική αφυδρογονάση αίματος αυξημένη</w:t>
            </w:r>
          </w:p>
          <w:p w14:paraId="5C5153E2" w14:textId="77777777" w:rsidR="00171824" w:rsidRDefault="00171824">
            <w:pPr>
              <w:keepNext/>
              <w:widowControl/>
              <w:kinsoku w:val="0"/>
              <w:overflowPunct w:val="0"/>
              <w:rPr>
                <w:rFonts w:eastAsia="MS Mincho"/>
                <w:sz w:val="22"/>
                <w:szCs w:val="22"/>
                <w:lang w:val="el-GR"/>
              </w:rPr>
            </w:pPr>
          </w:p>
        </w:tc>
      </w:tr>
      <w:tr w:rsidR="00171824" w14:paraId="1D88C413" w14:textId="77777777">
        <w:trPr>
          <w:cantSplit/>
        </w:trPr>
        <w:tc>
          <w:tcPr>
            <w:tcW w:w="2552" w:type="dxa"/>
            <w:vMerge/>
          </w:tcPr>
          <w:p w14:paraId="625F9C93" w14:textId="77777777" w:rsidR="00171824" w:rsidRDefault="00171824">
            <w:pPr>
              <w:keepNext/>
              <w:widowControl/>
              <w:kinsoku w:val="0"/>
              <w:overflowPunct w:val="0"/>
              <w:rPr>
                <w:rFonts w:eastAsia="MS Mincho"/>
                <w:sz w:val="22"/>
                <w:szCs w:val="22"/>
                <w:lang w:val="el-GR"/>
              </w:rPr>
            </w:pPr>
          </w:p>
        </w:tc>
        <w:tc>
          <w:tcPr>
            <w:tcW w:w="1984" w:type="dxa"/>
          </w:tcPr>
          <w:p w14:paraId="0906B136" w14:textId="713C7BFD" w:rsidR="00171824" w:rsidRDefault="006D258C">
            <w:pPr>
              <w:keepNext/>
              <w:widowControl/>
              <w:kinsoku w:val="0"/>
              <w:overflowPunct w:val="0"/>
              <w:rPr>
                <w:rFonts w:eastAsia="MS Mincho"/>
                <w:sz w:val="22"/>
                <w:szCs w:val="22"/>
                <w:lang w:val="el-GR"/>
              </w:rPr>
            </w:pPr>
            <w:r>
              <w:rPr>
                <w:rFonts w:eastAsia="MS Mincho"/>
                <w:sz w:val="22"/>
                <w:szCs w:val="22"/>
                <w:lang w:val="el-GR"/>
              </w:rPr>
              <w:t>Μη γνωστ</w:t>
            </w:r>
            <w:ins w:id="52" w:author="Author">
              <w:r w:rsidR="00D40B0C">
                <w:rPr>
                  <w:rFonts w:eastAsia="MS Mincho"/>
                  <w:sz w:val="22"/>
                  <w:szCs w:val="22"/>
                  <w:lang w:val="el-GR"/>
                </w:rPr>
                <w:t>ής συχνότητας</w:t>
              </w:r>
            </w:ins>
            <w:del w:id="53" w:author="Author">
              <w:r w:rsidDel="00D40B0C">
                <w:rPr>
                  <w:rFonts w:eastAsia="MS Mincho"/>
                  <w:sz w:val="22"/>
                  <w:szCs w:val="22"/>
                  <w:lang w:val="el-GR"/>
                </w:rPr>
                <w:delText>ές</w:delText>
              </w:r>
            </w:del>
          </w:p>
        </w:tc>
        <w:tc>
          <w:tcPr>
            <w:tcW w:w="4395" w:type="dxa"/>
          </w:tcPr>
          <w:p w14:paraId="60C9171E"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Αύξηση βάρους</w:t>
            </w:r>
            <w:r>
              <w:rPr>
                <w:rFonts w:eastAsia="MS Mincho"/>
                <w:sz w:val="22"/>
                <w:szCs w:val="22"/>
                <w:vertAlign w:val="superscript"/>
                <w:lang w:val="el-GR"/>
              </w:rPr>
              <w:t>2)</w:t>
            </w:r>
          </w:p>
        </w:tc>
      </w:tr>
      <w:tr w:rsidR="00171824" w14:paraId="70577D70" w14:textId="77777777">
        <w:trPr>
          <w:cantSplit/>
        </w:trPr>
        <w:tc>
          <w:tcPr>
            <w:tcW w:w="2552" w:type="dxa"/>
          </w:tcPr>
          <w:p w14:paraId="22D6CF24" w14:textId="77777777" w:rsidR="00171824" w:rsidRDefault="006D258C">
            <w:pPr>
              <w:widowControl/>
              <w:kinsoku w:val="0"/>
              <w:overflowPunct w:val="0"/>
              <w:rPr>
                <w:rFonts w:eastAsia="MS Mincho"/>
                <w:sz w:val="22"/>
                <w:szCs w:val="22"/>
                <w:lang w:val="el-GR"/>
              </w:rPr>
            </w:pPr>
            <w:r>
              <w:rPr>
                <w:rFonts w:eastAsia="MS Mincho"/>
                <w:sz w:val="22"/>
                <w:szCs w:val="22"/>
                <w:lang w:val="el-GR"/>
              </w:rPr>
              <w:t>Κακώσεις, δηλητηριάσεις και επιπλοκές θεραπευτικών χειρισμών</w:t>
            </w:r>
          </w:p>
        </w:tc>
        <w:tc>
          <w:tcPr>
            <w:tcW w:w="1984" w:type="dxa"/>
          </w:tcPr>
          <w:p w14:paraId="25D5616F"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395" w:type="dxa"/>
          </w:tcPr>
          <w:p w14:paraId="0607B280" w14:textId="77777777" w:rsidR="00171824" w:rsidRDefault="006D258C">
            <w:pPr>
              <w:widowControl/>
              <w:kinsoku w:val="0"/>
              <w:overflowPunct w:val="0"/>
              <w:rPr>
                <w:rFonts w:eastAsia="MS Mincho"/>
                <w:sz w:val="22"/>
                <w:szCs w:val="22"/>
                <w:lang w:val="el-GR"/>
              </w:rPr>
            </w:pPr>
            <w:r>
              <w:rPr>
                <w:rFonts w:eastAsia="MS Mincho"/>
                <w:sz w:val="22"/>
                <w:szCs w:val="22"/>
                <w:lang w:val="el-GR"/>
              </w:rPr>
              <w:t>Ανεπαρκής επούλωση</w:t>
            </w:r>
          </w:p>
        </w:tc>
      </w:tr>
    </w:tbl>
    <w:p w14:paraId="67742094" w14:textId="77777777" w:rsidR="00171824" w:rsidRDefault="006D258C">
      <w:pPr>
        <w:pStyle w:val="BodyText"/>
        <w:widowControl/>
        <w:kinsoku w:val="0"/>
        <w:overflowPunct w:val="0"/>
        <w:ind w:left="0"/>
        <w:rPr>
          <w:sz w:val="20"/>
          <w:szCs w:val="20"/>
          <w:lang w:val="el-GR"/>
        </w:rPr>
      </w:pPr>
      <w:r>
        <w:rPr>
          <w:sz w:val="20"/>
          <w:szCs w:val="20"/>
          <w:lang w:val="el-GR"/>
        </w:rPr>
        <w:t>* περαιτέρω πληροφορίες βρίσκονται σε κάποια άλλα σημεία των παραγράφων 4.3, 4.4 και 4.8.</w:t>
      </w:r>
    </w:p>
    <w:p w14:paraId="6D12C75F" w14:textId="77777777" w:rsidR="00171824" w:rsidRDefault="006D258C">
      <w:pPr>
        <w:pStyle w:val="BodyText"/>
        <w:widowControl/>
        <w:kinsoku w:val="0"/>
        <w:overflowPunct w:val="0"/>
        <w:ind w:left="0"/>
        <w:rPr>
          <w:sz w:val="20"/>
          <w:szCs w:val="20"/>
          <w:lang w:val="el-GR"/>
        </w:rPr>
      </w:pPr>
      <w:r>
        <w:rPr>
          <w:sz w:val="20"/>
          <w:szCs w:val="20"/>
          <w:lang w:val="el-GR"/>
        </w:rPr>
        <w:t>** συμπεριλαμβάνονται μελέτες επέκτασης με ανοικτή χορήγηση.</w:t>
      </w:r>
    </w:p>
    <w:p w14:paraId="04778026" w14:textId="77777777" w:rsidR="00171824" w:rsidRDefault="006D258C">
      <w:pPr>
        <w:pStyle w:val="BodyText"/>
        <w:widowControl/>
        <w:tabs>
          <w:tab w:val="left" w:pos="388"/>
        </w:tabs>
        <w:kinsoku w:val="0"/>
        <w:overflowPunct w:val="0"/>
        <w:ind w:left="0"/>
        <w:rPr>
          <w:sz w:val="20"/>
          <w:szCs w:val="20"/>
          <w:lang w:val="el-GR"/>
        </w:rPr>
      </w:pPr>
      <w:r>
        <w:rPr>
          <w:sz w:val="20"/>
          <w:szCs w:val="20"/>
          <w:vertAlign w:val="superscript"/>
          <w:lang w:val="el-GR"/>
        </w:rPr>
        <w:t>1)</w:t>
      </w:r>
      <w:r>
        <w:rPr>
          <w:sz w:val="20"/>
          <w:szCs w:val="20"/>
          <w:lang w:val="el-GR"/>
        </w:rPr>
        <w:t xml:space="preserve"> συμπεριλαμβανομένων στοιχείων από αυθόρμητες αναφορές. </w:t>
      </w:r>
    </w:p>
    <w:p w14:paraId="777BF65C" w14:textId="77777777" w:rsidR="00171824" w:rsidRDefault="006D258C">
      <w:pPr>
        <w:pStyle w:val="BodyText"/>
        <w:widowControl/>
        <w:tabs>
          <w:tab w:val="left" w:pos="388"/>
        </w:tabs>
        <w:kinsoku w:val="0"/>
        <w:overflowPunct w:val="0"/>
        <w:ind w:left="0"/>
        <w:rPr>
          <w:sz w:val="20"/>
          <w:szCs w:val="20"/>
          <w:lang w:val="el-GR"/>
        </w:rPr>
      </w:pPr>
      <w:r>
        <w:rPr>
          <w:color w:val="000000"/>
          <w:sz w:val="20"/>
          <w:szCs w:val="20"/>
          <w:vertAlign w:val="superscript"/>
          <w:lang w:val="el-GR" w:eastAsia="ja-JP"/>
        </w:rPr>
        <w:t>2)</w:t>
      </w:r>
      <w:r>
        <w:rPr>
          <w:color w:val="000000"/>
          <w:sz w:val="20"/>
          <w:szCs w:val="20"/>
          <w:lang w:val="el-GR" w:eastAsia="ja-JP"/>
        </w:rPr>
        <w:t xml:space="preserve"> Η μέση μεταβολή βάρους από την αρχική τιμή με το adalimumab κυμαινόταν από 0,3 kg έως 1,0 kg για τις ενδείξεις ενηλίκων σε σύγκριση με (μείον) -0,4 kg έως 0,4 kg με το εικονικό φάρμακο κατά τη διάρκεια θεραπείας 4-6 μηνών. Αύξηση βάρους της τάξης των 5-6 kg παρατηρήθηκε επίσης και σε μακροχρόνιες μελέτες επέκτασης, με μέση διάρκεια έκθεσης περίπου 1-2 ετών χωρίς ομάδα ελέγχου, ιδίως σε ασθενείς με νόσο του Crohn και ελκώδη κολίτιδα. Ο μηχανισμός αυτής της επίδρασης δεν είναι σαφής, ενδέχεται όμως να σχετίζεται με την αντιφλεγμονώδη δράση του adalimumab.</w:t>
      </w:r>
    </w:p>
    <w:p w14:paraId="69A72F57" w14:textId="77777777" w:rsidR="00171824" w:rsidRDefault="00171824">
      <w:pPr>
        <w:widowControl/>
        <w:kinsoku w:val="0"/>
        <w:overflowPunct w:val="0"/>
        <w:rPr>
          <w:sz w:val="22"/>
          <w:szCs w:val="22"/>
          <w:lang w:val="el-GR"/>
        </w:rPr>
      </w:pPr>
    </w:p>
    <w:p w14:paraId="4DD009A0" w14:textId="77777777" w:rsidR="00171824" w:rsidRDefault="006D258C">
      <w:pPr>
        <w:pStyle w:val="BodyText"/>
        <w:keepNext/>
        <w:widowControl/>
        <w:kinsoku w:val="0"/>
        <w:overflowPunct w:val="0"/>
        <w:ind w:left="0"/>
        <w:rPr>
          <w:lang w:val="el-GR"/>
        </w:rPr>
      </w:pPr>
      <w:r>
        <w:rPr>
          <w:u w:val="single"/>
          <w:lang w:val="el-GR"/>
        </w:rPr>
        <w:t>Διαπυητική ιδρωταδενίτιδα</w:t>
      </w:r>
    </w:p>
    <w:p w14:paraId="410E23FB" w14:textId="77777777" w:rsidR="00171824" w:rsidRDefault="00171824">
      <w:pPr>
        <w:keepNext/>
        <w:widowControl/>
        <w:kinsoku w:val="0"/>
        <w:overflowPunct w:val="0"/>
        <w:rPr>
          <w:sz w:val="22"/>
          <w:szCs w:val="22"/>
          <w:lang w:val="el-GR"/>
        </w:rPr>
      </w:pPr>
    </w:p>
    <w:p w14:paraId="56871A64" w14:textId="77777777" w:rsidR="00171824" w:rsidRDefault="006D258C">
      <w:pPr>
        <w:pStyle w:val="BodyText"/>
        <w:widowControl/>
        <w:kinsoku w:val="0"/>
        <w:overflowPunct w:val="0"/>
        <w:ind w:left="0"/>
        <w:rPr>
          <w:lang w:val="el-GR"/>
        </w:rPr>
      </w:pPr>
      <w:r>
        <w:rPr>
          <w:lang w:val="el-GR"/>
        </w:rPr>
        <w:t>Το προφίλ ασφάλειας για τους ασθενείς με διαπυητική ιδρωταδενίτιδα που έλαβαν εβδομαδιαία θεραπεία με adalimumab ήταν σύμφωνο με το γνωστό προφίλ ασφάλειας του adalimumab.</w:t>
      </w:r>
    </w:p>
    <w:p w14:paraId="180C4FBD" w14:textId="77777777" w:rsidR="00171824" w:rsidRDefault="00171824">
      <w:pPr>
        <w:widowControl/>
        <w:kinsoku w:val="0"/>
        <w:overflowPunct w:val="0"/>
        <w:rPr>
          <w:sz w:val="22"/>
          <w:szCs w:val="22"/>
          <w:lang w:val="el-GR"/>
        </w:rPr>
      </w:pPr>
    </w:p>
    <w:p w14:paraId="2B5BBE3C" w14:textId="77777777" w:rsidR="00171824" w:rsidRDefault="006D258C">
      <w:pPr>
        <w:pStyle w:val="BodyText"/>
        <w:keepNext/>
        <w:widowControl/>
        <w:kinsoku w:val="0"/>
        <w:overflowPunct w:val="0"/>
        <w:ind w:left="0"/>
        <w:rPr>
          <w:lang w:val="el-GR"/>
        </w:rPr>
      </w:pPr>
      <w:r>
        <w:rPr>
          <w:u w:val="single"/>
          <w:lang w:val="el-GR"/>
        </w:rPr>
        <w:t>Ραγοειδίτιδα</w:t>
      </w:r>
    </w:p>
    <w:p w14:paraId="799DBC97" w14:textId="77777777" w:rsidR="00171824" w:rsidRDefault="00171824">
      <w:pPr>
        <w:keepNext/>
        <w:widowControl/>
        <w:kinsoku w:val="0"/>
        <w:overflowPunct w:val="0"/>
        <w:rPr>
          <w:sz w:val="22"/>
          <w:szCs w:val="22"/>
          <w:lang w:val="el-GR"/>
        </w:rPr>
      </w:pPr>
    </w:p>
    <w:p w14:paraId="3358E0EC" w14:textId="77777777" w:rsidR="00171824" w:rsidRDefault="006D258C">
      <w:pPr>
        <w:pStyle w:val="BodyText"/>
        <w:widowControl/>
        <w:kinsoku w:val="0"/>
        <w:overflowPunct w:val="0"/>
        <w:ind w:left="0"/>
        <w:rPr>
          <w:lang w:val="el-GR"/>
        </w:rPr>
      </w:pPr>
      <w:r>
        <w:rPr>
          <w:lang w:val="el-GR"/>
        </w:rPr>
        <w:t>Το προφίλ ασφάλειας για τους ασθενείς με ραγοειδίτιδα που έλαβαν θεραπεία με adalimumab κάθε δεύτερη εβδομάδα ήταν σύμφωνο με το γνωστό προφίλ ασφάλειας του adalimumab.</w:t>
      </w:r>
    </w:p>
    <w:p w14:paraId="73B97F25" w14:textId="77777777" w:rsidR="00171824" w:rsidRDefault="00171824">
      <w:pPr>
        <w:widowControl/>
        <w:kinsoku w:val="0"/>
        <w:overflowPunct w:val="0"/>
        <w:rPr>
          <w:sz w:val="22"/>
          <w:szCs w:val="22"/>
          <w:lang w:val="el-GR"/>
        </w:rPr>
      </w:pPr>
    </w:p>
    <w:p w14:paraId="2E4F9E3C" w14:textId="77777777" w:rsidR="00171824" w:rsidRDefault="006D258C">
      <w:pPr>
        <w:pStyle w:val="BodyText"/>
        <w:keepNext/>
        <w:widowControl/>
        <w:kinsoku w:val="0"/>
        <w:overflowPunct w:val="0"/>
        <w:ind w:left="0"/>
        <w:rPr>
          <w:lang w:val="el-GR"/>
        </w:rPr>
      </w:pPr>
      <w:r>
        <w:rPr>
          <w:u w:val="single"/>
          <w:lang w:val="el-GR"/>
        </w:rPr>
        <w:t>Περιγραφή επιλεγμένων ανεπιθύμητων ενεργειών</w:t>
      </w:r>
    </w:p>
    <w:p w14:paraId="3F763DF0" w14:textId="77777777" w:rsidR="00171824" w:rsidRDefault="00171824">
      <w:pPr>
        <w:keepNext/>
        <w:widowControl/>
        <w:kinsoku w:val="0"/>
        <w:overflowPunct w:val="0"/>
        <w:rPr>
          <w:sz w:val="22"/>
          <w:szCs w:val="22"/>
          <w:lang w:val="el-GR"/>
        </w:rPr>
      </w:pPr>
    </w:p>
    <w:p w14:paraId="3632E75F" w14:textId="77777777" w:rsidR="00171824" w:rsidRDefault="006D258C">
      <w:pPr>
        <w:keepNext/>
        <w:widowControl/>
        <w:kinsoku w:val="0"/>
        <w:overflowPunct w:val="0"/>
        <w:rPr>
          <w:sz w:val="22"/>
          <w:szCs w:val="22"/>
          <w:lang w:val="el-GR"/>
        </w:rPr>
      </w:pPr>
      <w:r>
        <w:rPr>
          <w:i/>
          <w:iCs/>
          <w:sz w:val="22"/>
          <w:szCs w:val="22"/>
          <w:lang w:val="el-GR"/>
        </w:rPr>
        <w:t>Αντιδράσεις της θέσης ένεσης</w:t>
      </w:r>
    </w:p>
    <w:p w14:paraId="59E2F06A" w14:textId="77777777" w:rsidR="00171824" w:rsidRDefault="00171824">
      <w:pPr>
        <w:keepNext/>
        <w:widowControl/>
        <w:kinsoku w:val="0"/>
        <w:overflowPunct w:val="0"/>
        <w:rPr>
          <w:sz w:val="22"/>
          <w:szCs w:val="22"/>
          <w:lang w:val="el-GR"/>
        </w:rPr>
      </w:pPr>
    </w:p>
    <w:p w14:paraId="722E0898" w14:textId="77777777" w:rsidR="00171824" w:rsidRDefault="006D258C">
      <w:pPr>
        <w:pStyle w:val="BodyText"/>
        <w:widowControl/>
        <w:kinsoku w:val="0"/>
        <w:overflowPunct w:val="0"/>
        <w:ind w:left="0"/>
        <w:rPr>
          <w:lang w:val="el-GR"/>
        </w:rPr>
      </w:pPr>
      <w:r>
        <w:rPr>
          <w:lang w:val="el-GR"/>
        </w:rPr>
        <w:t>Στις πιλοτικές ελεγχόμενες μελέτες σε ενήλικες και παιδιά, το 12,9% των ασθενών που έλαβαν adalimumab παρουσίασαν αντιδράσεις της θέσης ένεσης (ερύθημα και /ή κνησμός, αιμορραγία, πόνος ή οίδημα), συγκριτικά με το 7,2% των ασθενών που έλαβαν εικονικό φάρμακο ή φάρμακο μάρτυρα. Οι αντιδράσεις της θέσης ένεσης γενικά δεν οδήγησαν στη διακοπή του φαρμακευτικού προϊόντος.</w:t>
      </w:r>
    </w:p>
    <w:p w14:paraId="6B0C933F" w14:textId="77777777" w:rsidR="00171824" w:rsidRDefault="00171824">
      <w:pPr>
        <w:widowControl/>
        <w:kinsoku w:val="0"/>
        <w:overflowPunct w:val="0"/>
        <w:rPr>
          <w:i/>
          <w:iCs/>
          <w:sz w:val="22"/>
          <w:szCs w:val="22"/>
          <w:lang w:val="el-GR"/>
        </w:rPr>
      </w:pPr>
    </w:p>
    <w:p w14:paraId="5C79C49B" w14:textId="77777777" w:rsidR="00171824" w:rsidRDefault="006D258C">
      <w:pPr>
        <w:widowControl/>
        <w:kinsoku w:val="0"/>
        <w:overflowPunct w:val="0"/>
        <w:rPr>
          <w:sz w:val="22"/>
          <w:szCs w:val="22"/>
          <w:lang w:val="el-GR"/>
        </w:rPr>
      </w:pPr>
      <w:r>
        <w:rPr>
          <w:i/>
          <w:iCs/>
          <w:sz w:val="22"/>
          <w:szCs w:val="22"/>
          <w:lang w:val="el-GR"/>
        </w:rPr>
        <w:t>Λοιμώξεις</w:t>
      </w:r>
    </w:p>
    <w:p w14:paraId="46785DBA" w14:textId="77777777" w:rsidR="00171824" w:rsidRDefault="00171824">
      <w:pPr>
        <w:widowControl/>
        <w:kinsoku w:val="0"/>
        <w:overflowPunct w:val="0"/>
        <w:rPr>
          <w:sz w:val="22"/>
          <w:szCs w:val="22"/>
          <w:lang w:val="el-GR"/>
        </w:rPr>
      </w:pPr>
    </w:p>
    <w:p w14:paraId="12B0863C" w14:textId="77777777" w:rsidR="00171824" w:rsidRDefault="006D258C">
      <w:pPr>
        <w:pStyle w:val="BodyText"/>
        <w:widowControl/>
        <w:kinsoku w:val="0"/>
        <w:overflowPunct w:val="0"/>
        <w:ind w:left="0"/>
        <w:rPr>
          <w:lang w:val="el-GR"/>
        </w:rPr>
      </w:pPr>
      <w:r>
        <w:rPr>
          <w:lang w:val="el-GR"/>
        </w:rPr>
        <w:t>Στις πιλοτικές ελεγχόμενες μελέτες σε ενήλικες και παιδιά, το ποσοστό λοίμωξης ήταν 1,51 ανά έτος ασθενή στους ασθενείς που έλαβαν adalimumab και 1,46 ανά έτος ασθενή σε ασθενείς που έλαβαν εικονικό φάρμακο και φάρμακο μάρτυρα. Οι λοιμώξεις περιελάμβαναν κυρίως ρινοφαρυγγίτιδα, λοιμώξεις του ανώτερου αναπνευστικού και παραρρινοκολπίτιδα. Οι περισσότεροι ασθενείς συνέχισαν τη θεραπεία με adalimumab αφού υποχώρησε η λοίμωξη.</w:t>
      </w:r>
    </w:p>
    <w:p w14:paraId="191A6139" w14:textId="77777777" w:rsidR="00171824" w:rsidRDefault="00171824">
      <w:pPr>
        <w:widowControl/>
        <w:kinsoku w:val="0"/>
        <w:overflowPunct w:val="0"/>
        <w:rPr>
          <w:sz w:val="22"/>
          <w:szCs w:val="22"/>
          <w:lang w:val="el-GR"/>
        </w:rPr>
      </w:pPr>
    </w:p>
    <w:p w14:paraId="24108EBE" w14:textId="77777777" w:rsidR="00171824" w:rsidRDefault="006D258C">
      <w:pPr>
        <w:pStyle w:val="BodyText"/>
        <w:widowControl/>
        <w:kinsoku w:val="0"/>
        <w:overflowPunct w:val="0"/>
        <w:ind w:left="0"/>
        <w:rPr>
          <w:lang w:val="el-GR"/>
        </w:rPr>
      </w:pPr>
      <w:r>
        <w:rPr>
          <w:lang w:val="el-GR"/>
        </w:rPr>
        <w:t>Η συχνότητα εμφάνισης σοβαρών λοιμώξεων ήταν 0,04 ανά έτος ασθενή σε ασθενείς που έλαβαν adalimumab και 0,03 ανά έτος ασθενή σε ασθενείς που έλαβαν εικονικό φάρμακο και φάρμακο μάρτυρα.</w:t>
      </w:r>
    </w:p>
    <w:p w14:paraId="2A40C9FE" w14:textId="77777777" w:rsidR="00171824" w:rsidRDefault="00171824">
      <w:pPr>
        <w:widowControl/>
        <w:kinsoku w:val="0"/>
        <w:overflowPunct w:val="0"/>
        <w:rPr>
          <w:sz w:val="22"/>
          <w:szCs w:val="22"/>
          <w:lang w:val="el-GR"/>
        </w:rPr>
      </w:pPr>
    </w:p>
    <w:p w14:paraId="1291ED3E" w14:textId="77777777" w:rsidR="00171824" w:rsidRDefault="006D258C">
      <w:pPr>
        <w:pStyle w:val="BodyText"/>
        <w:widowControl/>
        <w:kinsoku w:val="0"/>
        <w:overflowPunct w:val="0"/>
        <w:ind w:left="0"/>
        <w:rPr>
          <w:lang w:val="el-GR"/>
        </w:rPr>
      </w:pPr>
      <w:r>
        <w:rPr>
          <w:lang w:val="el-GR"/>
        </w:rPr>
        <w:lastRenderedPageBreak/>
        <w:t>Σε ελεγχόμενες και ανοιχτές μελέτες σε ενήλικες και παιδιά με adalimumab, έχουν αναφερθεί σοβαρές λοιμώξεις (συμπεριλαμβανομένων και θανατηφόρων λοιμώξεων, οι οποίες εμφανίστηκαν σπάνια), οι οποίες περιλαμβάνουν αναφορές φυματίωσης (περιλαμβάνεται και κεγχροειδής και εξωπνευμονική) και διηθητικές ευκαιριακές λοιμώξεις (π.χ. διάχυτη ή εξωπνευμονική ιστοπλάσμωση, βλαστομυκητίαση, κοκκιδιοειδομυκητίαση, πνευμονοκύστη, καντιντίαση, ασπεργίλλωση και λιστερίωση). Στις περισσότερες περιπτώσεις η φυματίωση εμφανίστηκε μέσα στους πρώτους οκτώ μήνες μετά την έναρξη της θεραπείας και είναι πιθανό να συνδέεται με υποτροπή λανθάνουσας νόσου.</w:t>
      </w:r>
    </w:p>
    <w:p w14:paraId="03472072" w14:textId="77777777" w:rsidR="00171824" w:rsidRDefault="00171824">
      <w:pPr>
        <w:widowControl/>
        <w:kinsoku w:val="0"/>
        <w:overflowPunct w:val="0"/>
        <w:rPr>
          <w:sz w:val="22"/>
          <w:szCs w:val="22"/>
          <w:lang w:val="el-GR"/>
        </w:rPr>
      </w:pPr>
    </w:p>
    <w:p w14:paraId="5AB45C60" w14:textId="77777777" w:rsidR="00171824" w:rsidRDefault="006D258C">
      <w:pPr>
        <w:keepNext/>
        <w:widowControl/>
        <w:kinsoku w:val="0"/>
        <w:overflowPunct w:val="0"/>
        <w:rPr>
          <w:sz w:val="22"/>
          <w:szCs w:val="22"/>
          <w:lang w:val="el-GR"/>
        </w:rPr>
      </w:pPr>
      <w:r>
        <w:rPr>
          <w:i/>
          <w:iCs/>
          <w:sz w:val="22"/>
          <w:szCs w:val="22"/>
          <w:lang w:val="el-GR"/>
        </w:rPr>
        <w:t>Κακοήθειες και λεμφοϋπερπλαστικές διαταραχές</w:t>
      </w:r>
    </w:p>
    <w:p w14:paraId="5448BA19" w14:textId="77777777" w:rsidR="00171824" w:rsidRDefault="00171824">
      <w:pPr>
        <w:keepNext/>
        <w:widowControl/>
        <w:kinsoku w:val="0"/>
        <w:overflowPunct w:val="0"/>
        <w:rPr>
          <w:sz w:val="22"/>
          <w:szCs w:val="22"/>
          <w:lang w:val="el-GR"/>
        </w:rPr>
      </w:pPr>
    </w:p>
    <w:p w14:paraId="05183F28" w14:textId="77777777" w:rsidR="00171824" w:rsidRDefault="006D258C">
      <w:pPr>
        <w:rPr>
          <w:sz w:val="22"/>
          <w:lang w:val="el-GR"/>
        </w:rPr>
      </w:pPr>
      <w:r>
        <w:rPr>
          <w:sz w:val="22"/>
          <w:szCs w:val="22"/>
          <w:lang w:val="el-GR"/>
        </w:rPr>
        <w:t>Κατά τη διάρκεια μελετών του adalimumab σε ασθενείς με νεανική ιδιοπαθή αρθρίτιδα (πολυαρθρική νεανική ιδιοπαθή αρθρίτιδα και αρθρίτιδα σχετιζόμενη με ενθεσίτιδα) δεν παρατηρήθηκε καμία κακοήθεια σε 249 παιδιατρικούς ασθενείς με έκθεση 655,6 έτη ασθενών. Επιπλέον, δεν παρατηρήθηκαν κακοήθειες σε 192 παιδιατρικούς ασθενείς με έκθεση 498,1 έτη ασθενών κατά τη διάρκεια μίας μελέτης με το adalimumab σε παιδιατρικούς ασθενείς με νόσο του Crohn. Κατά τη διάρκεια μιας μελέτης του adalimumab σε παιδιατρικούς ασθενείς με χρόνια ψωρίαση κατά πλάκας δεν παρατηρήθηκε καμία κακοήθεια σε 77 παιδιατρικούς ασθενείς με έκθεση 80,0 έτη ασθενών. Κατά τη διάρκεια μιας δοκιμής του adalimumab σε παιδιατρικούς ασθενείς με ελκώδη κολίτιδα, δεν παρατηρήθηκε καμία κακοήθεια σε 93 παιδιατρικούς ασθενείς με έκθεση 65,3 έτη ασθενών. Κατά τη διάρκεια μιας μελέτης του adalimumab σε παιδιατρικούς ασθενείς με ραγοειδίτιδα δεν παρατηρήθηκαν κακοήθειες σε 60 παιδιατρικούς ασθενείς με έκθεση 58,4 έτη ασθενών.</w:t>
      </w:r>
    </w:p>
    <w:p w14:paraId="0E3B8E7E" w14:textId="77777777" w:rsidR="00171824" w:rsidRDefault="00171824">
      <w:pPr>
        <w:widowControl/>
        <w:kinsoku w:val="0"/>
        <w:overflowPunct w:val="0"/>
        <w:rPr>
          <w:sz w:val="22"/>
          <w:szCs w:val="22"/>
          <w:lang w:val="el-GR"/>
        </w:rPr>
      </w:pPr>
    </w:p>
    <w:p w14:paraId="1DD62AA7" w14:textId="77777777" w:rsidR="00171824" w:rsidRDefault="006D258C">
      <w:pPr>
        <w:pStyle w:val="BodyText"/>
        <w:widowControl/>
        <w:kinsoku w:val="0"/>
        <w:overflowPunct w:val="0"/>
        <w:ind w:left="0"/>
        <w:rPr>
          <w:lang w:val="el-GR"/>
        </w:rPr>
      </w:pPr>
      <w:r>
        <w:rPr>
          <w:lang w:val="el-GR"/>
        </w:rPr>
        <w:t xml:space="preserve">Κατά τη διάρκεια των ελεγχόμενων τμημάτων πιλοτικών μελετών του adalimumab σε ενήλικες σε λιγότερο από 12 εβδομάδες διάρκεια σε ασθενείς με μέτρια έως σοβαρή ενεργό ρευματοειδή αρθρίτιδα, αγκυλοποιητική σπονδυλίτιδα, αξονική σπονδυλαρθρίτιδα χωρίς ακτινολογικά ευρήματα αγκυλοποιητικής σπονδυλίτιδας, ψωριασική αρθρίτιδα, ψωρίαση, διαπυητική ιδρωταδενίτιδα, νόσο του Crohn, ελκώδη κολίτιδα και ραγοειδίτιδα, παρατηρήθηκαν κακοήθειες, εκτός του λεμφώματος και του μη μελανωματικού καρκίνου του δέρματος, με συχνότητα (95% διάστημα εμπιστοσύνης) 6,8 (4,4, 10,5) ανά 1.000 ασθενείς-έτη μεταξύ 5.291 ασθενών που έλαβαν adalimumab </w:t>
      </w:r>
      <w:r>
        <w:rPr>
          <w:iCs/>
          <w:lang w:val="el-GR"/>
        </w:rPr>
        <w:t xml:space="preserve">έναντι </w:t>
      </w:r>
      <w:r>
        <w:rPr>
          <w:lang w:val="el-GR"/>
        </w:rPr>
        <w:t>6,3 (3,4, 11,8) ανά 1.000 ασθενείς-έτη μεταξύ 3.444 ασθενών μαρτύρων (η μέση διάρκεια της θεραπείας ήταν 4,0 μήνες για το adalimumab και 3,8 μήνες για τους ασθενείς μάρτυρες). Η συχνότητα (95% διάστημα εμπιστοσύνης) των μη μελανωματικών καρκίνων του δέρματος ήταν 8,8 (6,0, 13,0) ανά 1.000 ασθενείς-έτη μεταξύ των ασθενών που λαμβάνουν adalimumab και 3,2 (1,3, 7,6) ανά 1.000 ασθενείς-έτη μεταξύ των ασθενών μαρτύρων. Από αυτούς τους καρκίνους του δέρματος, έχει παρατηρηθεί καρκίνωμα από πλακώδες επιθήλιο με συχνότητα (95% διάστημα εμπιστοσύνης) 2,7 (1,4, 5,4) ανά 1.000 ασθενείς-έτη μεταξύ των ασθενών που λάμβαναν adalimumab και 0,6 (0,1, 4,5) ανά 1.000 ασθενείς- έτη μεταξύ των ασθενών μαρτύρων. Η συχνότητα (95% διάστημα εμπιστοσύνης) των λεμφωμάτων ήταν 0,7 (0,2, 2,7) ανά 1.000 ασθενείς-έτη μεταξύ των ασθενών που λαμβάνουν adalimumab και 0,6 (0,1, 4,5) ανά 1.000 ασθενείς</w:t>
      </w:r>
      <w:r>
        <w:rPr>
          <w:lang w:val="el-GR"/>
        </w:rPr>
        <w:noBreakHyphen/>
        <w:t>έτη μεταξύ των ασθενών μαρτύρων.</w:t>
      </w:r>
    </w:p>
    <w:p w14:paraId="3C2F08F5" w14:textId="77777777" w:rsidR="00171824" w:rsidRDefault="00171824">
      <w:pPr>
        <w:widowControl/>
        <w:kinsoku w:val="0"/>
        <w:overflowPunct w:val="0"/>
        <w:rPr>
          <w:sz w:val="22"/>
          <w:szCs w:val="22"/>
          <w:lang w:val="el-GR"/>
        </w:rPr>
      </w:pPr>
    </w:p>
    <w:p w14:paraId="737772FF" w14:textId="77777777" w:rsidR="00171824" w:rsidRDefault="006D258C">
      <w:pPr>
        <w:pStyle w:val="BodyText"/>
        <w:widowControl/>
        <w:kinsoku w:val="0"/>
        <w:overflowPunct w:val="0"/>
        <w:ind w:left="0"/>
        <w:rPr>
          <w:lang w:val="el-GR"/>
        </w:rPr>
      </w:pPr>
      <w:r>
        <w:rPr>
          <w:lang w:val="el-GR"/>
        </w:rPr>
        <w:t>Όταν συνδυαστούν ελεγχόμενα μέρη αυτών των μελετών και εν εξελίξει και ολοκληρωμένες ανοιχτές μελέτες επέκτασης του adalimumab με μία μέση διάρκεια περίπου 3,3 χρόνια συμπεριλαμβανομένων 6.427 ασθενών και πάνω από 26.439ασθενείς-έτη θεραπείας, η παρατηρηθείσα συχνότητα κακοηθειών, εκτός του λεμφώματος και του μη μελανωματικού καρκίνου του δέρματος είναι περίπου 8,5 ανά 1.000 ασθενείς</w:t>
      </w:r>
      <w:r>
        <w:rPr>
          <w:lang w:val="el-GR"/>
        </w:rPr>
        <w:noBreakHyphen/>
        <w:t>έτη. Η παρατηρηθείσα συχνότητα των μη μελανωματικών καρκίνων του δέρματος είναι περίπου 9,6 ανά 1.000 ασθενείς-έτη και η παρατηρηθείσα συχνότητα του λεμφώματος είναι περίπου 1,3 ανά 1.000 ασθενείς-έτη.</w:t>
      </w:r>
    </w:p>
    <w:p w14:paraId="4883923A" w14:textId="77777777" w:rsidR="00171824" w:rsidRDefault="00171824">
      <w:pPr>
        <w:pStyle w:val="BodyText"/>
        <w:widowControl/>
        <w:kinsoku w:val="0"/>
        <w:overflowPunct w:val="0"/>
        <w:ind w:left="0"/>
        <w:rPr>
          <w:lang w:val="el-GR"/>
        </w:rPr>
      </w:pPr>
    </w:p>
    <w:p w14:paraId="7A8DA2FE" w14:textId="77777777" w:rsidR="00171824" w:rsidRDefault="006D258C">
      <w:pPr>
        <w:pStyle w:val="BodyText"/>
        <w:widowControl/>
        <w:kinsoku w:val="0"/>
        <w:overflowPunct w:val="0"/>
        <w:ind w:left="0"/>
        <w:rPr>
          <w:lang w:val="el-GR"/>
        </w:rPr>
      </w:pPr>
      <w:r>
        <w:rPr>
          <w:lang w:val="el-GR"/>
        </w:rPr>
        <w:t>Από την μετά την κυκλοφορία από τον Ιανουάριο του 2003 μέχρι το Δεκέμβριο 2010, κυρίως σε ασθενείς με ρευματοειδή αρθρίτιδα, η αυθόρμητη καταγραφηθείσα συχνότητα των κακοηθειών είναι περίπου 2,7 ανά 1.000 ασθενείς-έτη θεραπείας. Η αυθόρμητη καταγραφηθείσα συχνότητα για τους μη μελανωματικούς καρκίνους του δέρματος και τα λεμφώματα είναι περίπου 0,2 και 0,3 ανά 1.000 ασθενείς-έτη θεραπείας, αντιστοίχως (βλέπε παράγραφο 4.4).</w:t>
      </w:r>
    </w:p>
    <w:p w14:paraId="26B2E801" w14:textId="77777777" w:rsidR="00171824" w:rsidRDefault="00171824">
      <w:pPr>
        <w:widowControl/>
        <w:kinsoku w:val="0"/>
        <w:overflowPunct w:val="0"/>
        <w:rPr>
          <w:sz w:val="22"/>
          <w:szCs w:val="22"/>
          <w:lang w:val="el-GR"/>
        </w:rPr>
      </w:pPr>
    </w:p>
    <w:p w14:paraId="387B4069" w14:textId="77777777" w:rsidR="00171824" w:rsidRDefault="006D258C">
      <w:pPr>
        <w:pStyle w:val="BodyText"/>
        <w:widowControl/>
        <w:kinsoku w:val="0"/>
        <w:overflowPunct w:val="0"/>
        <w:ind w:left="0"/>
        <w:rPr>
          <w:lang w:val="el-GR"/>
        </w:rPr>
      </w:pPr>
      <w:r>
        <w:rPr>
          <w:lang w:val="el-GR"/>
        </w:rPr>
        <w:t>Σπάνιες περιπτώσεις ηπατοσπληνικού Τ-cell λεμφώματος μετά την κυκλοφορία έχουν παρατηρηθεί σε ασθενείς στους οποίους χορηγήθηκε adalimumab (βλέπε παράγραφο 4.4).</w:t>
      </w:r>
    </w:p>
    <w:p w14:paraId="6B62D203" w14:textId="77777777" w:rsidR="00171824" w:rsidRDefault="00171824">
      <w:pPr>
        <w:widowControl/>
        <w:kinsoku w:val="0"/>
        <w:overflowPunct w:val="0"/>
        <w:rPr>
          <w:sz w:val="22"/>
          <w:szCs w:val="22"/>
          <w:lang w:val="el-GR"/>
        </w:rPr>
      </w:pPr>
    </w:p>
    <w:p w14:paraId="491F9D13" w14:textId="77777777" w:rsidR="00171824" w:rsidRDefault="006D258C">
      <w:pPr>
        <w:keepNext/>
        <w:widowControl/>
        <w:kinsoku w:val="0"/>
        <w:overflowPunct w:val="0"/>
        <w:rPr>
          <w:sz w:val="22"/>
          <w:szCs w:val="22"/>
          <w:lang w:val="el-GR"/>
        </w:rPr>
      </w:pPr>
      <w:r>
        <w:rPr>
          <w:i/>
          <w:iCs/>
          <w:sz w:val="22"/>
          <w:szCs w:val="22"/>
          <w:lang w:val="el-GR"/>
        </w:rPr>
        <w:lastRenderedPageBreak/>
        <w:t>Αυτοαντισώματα</w:t>
      </w:r>
    </w:p>
    <w:p w14:paraId="5CD9AF9A" w14:textId="77777777" w:rsidR="00171824" w:rsidRDefault="00171824">
      <w:pPr>
        <w:keepNext/>
        <w:widowControl/>
        <w:kinsoku w:val="0"/>
        <w:overflowPunct w:val="0"/>
        <w:rPr>
          <w:sz w:val="22"/>
          <w:szCs w:val="22"/>
          <w:lang w:val="el-GR"/>
        </w:rPr>
      </w:pPr>
    </w:p>
    <w:p w14:paraId="26328EA6" w14:textId="77777777" w:rsidR="00171824" w:rsidRDefault="006D258C">
      <w:pPr>
        <w:pStyle w:val="BodyText"/>
        <w:widowControl/>
        <w:kinsoku w:val="0"/>
        <w:overflowPunct w:val="0"/>
        <w:ind w:left="0"/>
        <w:rPr>
          <w:lang w:val="el-GR"/>
        </w:rPr>
      </w:pPr>
      <w:r>
        <w:rPr>
          <w:lang w:val="el-GR"/>
        </w:rPr>
        <w:t>Δείγματα ορού των ασθενών ελέγχθηκαν για αυτοαντισώματα σε πολλαπλές χρονικές στιγμές στις μελέτες ρευματοειδούς αρθρίτιδας Ι-V. Σε αυτές τις μελέτες, το 11,9% των ασθενών που έλαβαν adalimumab και το 8,1% των ασθενών που έλαβαν εικονικό φάρμακο καθώς και φάρμακο μάρτυρα με αρνητικούς τίτλους αντιπυρηνικών αντισωμάτων πριν από την έναρξη της θεραπείας παρουσίασαν θετικούς τίτλους κατά την εβδομάδα 24. Δύο από τους 3.441 ασθενείς που έλαβαν adalimumab σε όλες τις μελέτες ρευματοειδούς και ψωριασικής αρθρίτιδας ανέπτυξε κλινικά σημεία ενδεικτικά νέου συνδρόμου τύπου συστηματικού ερυθηματώδους λύκου. Ο ασθενής παρουσίασε βελτίωση μετά τη διακοπή της θεραπείας. Κανένας ασθενής δεν παρουσίασε νεφρίτιδα του λύκου ή συμπτώματα από το κεντρικό νευρικό σύστημα.</w:t>
      </w:r>
    </w:p>
    <w:p w14:paraId="7C9738C3" w14:textId="77777777" w:rsidR="00171824" w:rsidRDefault="00171824">
      <w:pPr>
        <w:widowControl/>
        <w:kinsoku w:val="0"/>
        <w:overflowPunct w:val="0"/>
        <w:rPr>
          <w:sz w:val="22"/>
          <w:szCs w:val="22"/>
          <w:lang w:val="el-GR"/>
        </w:rPr>
      </w:pPr>
    </w:p>
    <w:p w14:paraId="50699576" w14:textId="77777777" w:rsidR="00171824" w:rsidRDefault="006D258C">
      <w:pPr>
        <w:widowControl/>
        <w:kinsoku w:val="0"/>
        <w:overflowPunct w:val="0"/>
        <w:rPr>
          <w:sz w:val="22"/>
          <w:szCs w:val="22"/>
          <w:lang w:val="el-GR"/>
        </w:rPr>
      </w:pPr>
      <w:r>
        <w:rPr>
          <w:i/>
          <w:iCs/>
          <w:sz w:val="22"/>
          <w:szCs w:val="22"/>
          <w:lang w:val="el-GR"/>
        </w:rPr>
        <w:t>Συμβάματα του ήπατος και των χοληφόρων</w:t>
      </w:r>
    </w:p>
    <w:p w14:paraId="7D97BD2F" w14:textId="77777777" w:rsidR="00171824" w:rsidRDefault="00171824">
      <w:pPr>
        <w:widowControl/>
        <w:kinsoku w:val="0"/>
        <w:overflowPunct w:val="0"/>
        <w:rPr>
          <w:sz w:val="22"/>
          <w:szCs w:val="22"/>
          <w:lang w:val="el-GR"/>
        </w:rPr>
      </w:pPr>
    </w:p>
    <w:p w14:paraId="4141B4CD" w14:textId="77777777" w:rsidR="00171824" w:rsidRDefault="006D258C">
      <w:pPr>
        <w:pStyle w:val="BodyText"/>
        <w:widowControl/>
        <w:kinsoku w:val="0"/>
        <w:overflowPunct w:val="0"/>
        <w:ind w:left="0"/>
        <w:rPr>
          <w:lang w:val="el-GR"/>
        </w:rPr>
      </w:pPr>
      <w:r>
        <w:rPr>
          <w:lang w:val="el-GR"/>
        </w:rPr>
        <w:t>Σε ελεγχόμενες κλινικές μελέτες Φάσης 3 με το adalimumab σε ασθενείς με ρευματοειδή αρθρίτιδα και ψωριασική αρθρίτιδα με διάρκεια περιόδου ελέγχου μεταξύ 4 και 104 εβδομάδων, αυξήσεις της ALT ≥ 3 x ULN παρατηρήθηκαν στο 3,7% των ασθενών που έλαβαν adalimumab και στο 1,6% των ασθενών που έλαβαν εικονικό φάρμακο.</w:t>
      </w:r>
    </w:p>
    <w:p w14:paraId="10C1F8B6" w14:textId="77777777" w:rsidR="00171824" w:rsidRDefault="00171824">
      <w:pPr>
        <w:widowControl/>
        <w:kinsoku w:val="0"/>
        <w:overflowPunct w:val="0"/>
        <w:rPr>
          <w:sz w:val="22"/>
          <w:szCs w:val="22"/>
          <w:lang w:val="el-GR"/>
        </w:rPr>
      </w:pPr>
    </w:p>
    <w:p w14:paraId="7C6F2898" w14:textId="77777777" w:rsidR="00171824" w:rsidRDefault="006D258C">
      <w:pPr>
        <w:pStyle w:val="BodyText"/>
        <w:widowControl/>
        <w:kinsoku w:val="0"/>
        <w:overflowPunct w:val="0"/>
        <w:ind w:left="0"/>
        <w:rPr>
          <w:lang w:val="el-GR"/>
        </w:rPr>
      </w:pPr>
      <w:r>
        <w:rPr>
          <w:lang w:val="el-GR"/>
        </w:rPr>
        <w:t>Σε ελεγχόμενες κλινικές μελέτες Φάσης 3 με το adalimumab σε ασθενείς με πολυαρθρική νεανική ιδιοπαθή αρθρίτιδα, ηλικίας 4 έως 17 ετών και ασθενείς με αρθρίτιδα σχετιζόμενη με ενθεσίτιδα, ηλικίας 6 έως 17 ετών, αυξήσεις της ALT ≥ 3 x ULN παρατηρήθηκαν στο 6,1% των ασθενών που έλαβαν adalimumab και στο 1,3% των ασθενών που έλαβαν εικονικό φάρμακο. Οι περισσότερες αυξήσεις της ALT παρατηρήθηκαν με την ταυτόχρονη χρήση μεθοτρεξάτης. Δεν παρατηρήθηκαν αυξήσεις της ALT ≥ 3 x ULN σε κλινικές μελέτες φάσης 3 με το adalimumab σε ασθενείς με πολυαρθρική νεανική ιδιοπαθή αρθρίτιδα, ηλικίας 2 έως &lt;4 ετών.</w:t>
      </w:r>
    </w:p>
    <w:p w14:paraId="4F753E30" w14:textId="77777777" w:rsidR="00171824" w:rsidRDefault="00171824">
      <w:pPr>
        <w:widowControl/>
        <w:kinsoku w:val="0"/>
        <w:overflowPunct w:val="0"/>
        <w:rPr>
          <w:sz w:val="22"/>
          <w:szCs w:val="22"/>
          <w:lang w:val="el-GR"/>
        </w:rPr>
      </w:pPr>
    </w:p>
    <w:p w14:paraId="5FDF91B9" w14:textId="77777777" w:rsidR="00171824" w:rsidRDefault="006D258C">
      <w:pPr>
        <w:pStyle w:val="BodyText"/>
        <w:widowControl/>
        <w:kinsoku w:val="0"/>
        <w:overflowPunct w:val="0"/>
        <w:ind w:left="0"/>
        <w:rPr>
          <w:lang w:val="el-GR"/>
        </w:rPr>
      </w:pPr>
      <w:r>
        <w:rPr>
          <w:lang w:val="el-GR"/>
        </w:rPr>
        <w:t>Σε ελεγχόμενες κλινικές μελέτες Φάσης 3 με το adalimumab σε ασθενείς με νόσο του Crohn και ελκώδη κολίτιδα με διάρκεια περιόδου ελέγχου μεταξύ 4 και 52 εβδομάδων, αυξήσεις της ALT ≥ 3 x ULN παρατηρήθηκαν στο 0,9% των ασθενών που έλαβαν adalimumab και στο 0,9% των ασθενών που έλαβαν εικονικό φάρμακο.</w:t>
      </w:r>
    </w:p>
    <w:p w14:paraId="1EE661B1" w14:textId="77777777" w:rsidR="00171824" w:rsidRDefault="00171824">
      <w:pPr>
        <w:widowControl/>
        <w:kinsoku w:val="0"/>
        <w:overflowPunct w:val="0"/>
        <w:rPr>
          <w:sz w:val="22"/>
          <w:szCs w:val="22"/>
          <w:lang w:val="el-GR"/>
        </w:rPr>
      </w:pPr>
    </w:p>
    <w:p w14:paraId="073E83F8" w14:textId="77777777" w:rsidR="00171824" w:rsidRDefault="006D258C">
      <w:pPr>
        <w:pStyle w:val="BodyText"/>
        <w:widowControl/>
        <w:kinsoku w:val="0"/>
        <w:overflowPunct w:val="0"/>
        <w:ind w:left="0"/>
        <w:rPr>
          <w:lang w:val="el-GR"/>
        </w:rPr>
      </w:pPr>
      <w:r>
        <w:rPr>
          <w:lang w:val="el-GR"/>
        </w:rPr>
        <w:t>Στην κλινική μελέτη Φάσης 3 του adalimumab σε ασθενείς με παιδιατρική νόσο του Crohn, η οποία αξιολόγησε την αποτελεσματικότητα και την ασφάλεια δύο δοσολογικών σχημάτων συντήρησης προσαρμοσμένων στο σωματικό βάρος που ακολούθησαν θεραπεία επαγωγής έως 52 εβδομάδες προσαρμοσμένη στο σωματικό βάρος, οι αυξήσεις της ALT ≥ 3 x ULN εμφανίστηκαν στο 2,6% (5/192) των ασθενών, 4 εκ των οποίων λάμβαναν ταυτόχρονη θεραπεία με ανοσοκατασταλτικά κατά την έναρξη.</w:t>
      </w:r>
    </w:p>
    <w:p w14:paraId="04596B35" w14:textId="77777777" w:rsidR="00171824" w:rsidRDefault="00171824">
      <w:pPr>
        <w:widowControl/>
        <w:kinsoku w:val="0"/>
        <w:overflowPunct w:val="0"/>
        <w:rPr>
          <w:sz w:val="22"/>
          <w:szCs w:val="22"/>
          <w:lang w:val="el-GR"/>
        </w:rPr>
      </w:pPr>
    </w:p>
    <w:p w14:paraId="757286E0" w14:textId="77777777" w:rsidR="00171824" w:rsidRDefault="006D258C">
      <w:pPr>
        <w:pStyle w:val="BodyText"/>
        <w:widowControl/>
        <w:kinsoku w:val="0"/>
        <w:overflowPunct w:val="0"/>
        <w:ind w:left="0"/>
        <w:rPr>
          <w:lang w:val="el-GR"/>
        </w:rPr>
      </w:pPr>
      <w:r>
        <w:rPr>
          <w:lang w:val="el-GR"/>
        </w:rPr>
        <w:t>Σε ελεγχόμενες κλινικές μελέτες Φάσης 3 με το adalimumab σε ασθενείς με ψωρίαση κατά πλάκας με διάρκεια περιόδου ελέγχου μεταξύ 12 και 24 εβδομάδων, αυξήσεις της ALT ≥ 3 x ULN παρατηρήθηκαν στο 1,8% των ασθενών που έλαβαν adalimumab και στο 1,8% των ασθενών που έλαβαν εικονικό φάρμακο.</w:t>
      </w:r>
    </w:p>
    <w:p w14:paraId="45AD292C" w14:textId="77777777" w:rsidR="00171824" w:rsidRDefault="00171824">
      <w:pPr>
        <w:widowControl/>
        <w:kinsoku w:val="0"/>
        <w:overflowPunct w:val="0"/>
        <w:rPr>
          <w:sz w:val="22"/>
          <w:szCs w:val="22"/>
          <w:lang w:val="el-GR"/>
        </w:rPr>
      </w:pPr>
    </w:p>
    <w:p w14:paraId="1F11691C" w14:textId="77777777" w:rsidR="00171824" w:rsidRDefault="006D258C">
      <w:pPr>
        <w:pStyle w:val="BodyText"/>
        <w:widowControl/>
        <w:kinsoku w:val="0"/>
        <w:overflowPunct w:val="0"/>
        <w:ind w:left="0"/>
        <w:rPr>
          <w:lang w:val="el-GR"/>
        </w:rPr>
      </w:pPr>
      <w:r>
        <w:rPr>
          <w:lang w:val="el-GR"/>
        </w:rPr>
        <w:t>Δεν παρατηρήθηκαν αυξήσεις της ALT ≥ 3 x ULN σε κλινικές μελέτες Φάσης 3 με το adalimumab σε παιδιατρικούς ασθενείς με ψωρίαση κατά πλάκας.</w:t>
      </w:r>
    </w:p>
    <w:p w14:paraId="79FA0EC4" w14:textId="77777777" w:rsidR="00171824" w:rsidRDefault="00171824">
      <w:pPr>
        <w:pStyle w:val="BodyText"/>
        <w:widowControl/>
        <w:kinsoku w:val="0"/>
        <w:overflowPunct w:val="0"/>
        <w:ind w:left="0"/>
        <w:rPr>
          <w:lang w:val="el-GR"/>
        </w:rPr>
      </w:pPr>
    </w:p>
    <w:p w14:paraId="09156CDE" w14:textId="77777777" w:rsidR="00171824" w:rsidRDefault="006D258C">
      <w:pPr>
        <w:pStyle w:val="BodyText"/>
        <w:widowControl/>
        <w:kinsoku w:val="0"/>
        <w:overflowPunct w:val="0"/>
        <w:ind w:left="0"/>
        <w:rPr>
          <w:lang w:val="el-GR"/>
        </w:rPr>
      </w:pPr>
      <w:r>
        <w:rPr>
          <w:lang w:val="el-GR"/>
        </w:rPr>
        <w:t>Σε ελεγχόμενες κλινικές μελέτες με το adalimumab (αρχικές δόσεις 160 mg την εβδομάδα 0 και 80 mg την εβδομάδα 2, ακολουθούμενες από 40 mg κάθε εβδομάδα ξεκινώντας από την εβδομάδα 4), σε ασθενείς με διαπυητική ιδρωταδενίτιδα με διάρκεια περιόδου ελέγχου μεταξύ 12 και 16 εβδομάδων, αυξήσεις της ALT ≥ 3 x ULN παρατηρήθηκαν στο 0,3% των ασθενών που έλαβαν adalimumab και στο 0,6% των ασθενών που έλαβαν εικονικό φάρμακο.</w:t>
      </w:r>
    </w:p>
    <w:p w14:paraId="15FE3746" w14:textId="77777777" w:rsidR="00171824" w:rsidRDefault="00171824">
      <w:pPr>
        <w:widowControl/>
        <w:kinsoku w:val="0"/>
        <w:overflowPunct w:val="0"/>
        <w:rPr>
          <w:sz w:val="22"/>
          <w:szCs w:val="22"/>
          <w:lang w:val="el-GR"/>
        </w:rPr>
      </w:pPr>
    </w:p>
    <w:p w14:paraId="549B3BDD" w14:textId="77777777" w:rsidR="00171824" w:rsidRDefault="006D258C">
      <w:pPr>
        <w:pStyle w:val="BodyText"/>
        <w:widowControl/>
        <w:kinsoku w:val="0"/>
        <w:overflowPunct w:val="0"/>
        <w:ind w:left="0"/>
        <w:rPr>
          <w:lang w:val="el-GR"/>
        </w:rPr>
      </w:pPr>
      <w:r>
        <w:rPr>
          <w:lang w:val="el-GR"/>
        </w:rPr>
        <w:t xml:space="preserve">Σε ελεγχόμενες κλινικές μελέτες με το adalimumab (αρχικές δόσεις 80 mg την εβδομάδα 0, ακολουθούμενες από 40 mg κάθε δεύτερη εβδομάδα ξεκινώντας από την εβδομάδα 1), σε ενήλικες ασθενείς με ραγοειδίτιδα για έως 80 εβδομάδες, με μια διάμεση έκθεση 166,5 ημερών και 105,0 ημερών με adalimumab και εικονικό φάρμακο, αντίστοιχα, αυξήσεις της ALT ≥ 3 x ULN </w:t>
      </w:r>
      <w:r>
        <w:rPr>
          <w:lang w:val="el-GR"/>
        </w:rPr>
        <w:lastRenderedPageBreak/>
        <w:t>παρατηρήθηκαν στο 2,4% των ασθενών που έλαβαν adalimumab και στο 2,4% των ασθενών που έλαβαν εικονικό φάρμακο.</w:t>
      </w:r>
    </w:p>
    <w:p w14:paraId="62547968" w14:textId="77777777" w:rsidR="00171824" w:rsidRDefault="00171824">
      <w:pPr>
        <w:pStyle w:val="BodyText"/>
        <w:widowControl/>
        <w:kinsoku w:val="0"/>
        <w:overflowPunct w:val="0"/>
        <w:ind w:left="0"/>
        <w:rPr>
          <w:lang w:val="el-GR"/>
        </w:rPr>
      </w:pPr>
    </w:p>
    <w:p w14:paraId="5DC268BD" w14:textId="77777777" w:rsidR="00171824" w:rsidRDefault="006D258C">
      <w:pPr>
        <w:pStyle w:val="BodyText"/>
        <w:widowControl/>
        <w:kinsoku w:val="0"/>
        <w:overflowPunct w:val="0"/>
        <w:ind w:left="0"/>
        <w:rPr>
          <w:lang w:val="el-GR"/>
        </w:rPr>
      </w:pPr>
      <w:r>
        <w:rPr>
          <w:lang w:val="el-GR"/>
        </w:rPr>
        <w:t>Στην ελεγχόμενη δοκιμή φάσης 3 του adalimumab σε αθενείς με παιδιατρική ελκώδη κολίτιδα (N=93), η οποία αξιολόγησε την αποτελεσματικότητα και την ασφάλεια μιας δόσης συντήρησης 0,6 mg/kg (μέγιστη δόση 40 mg) κάθε δεύτερη εβδομάδα (N=31) και μιας δόσης συντήρησης 0,6 mg/kg (μέγιστη δόση 40 mg) κάθε εβδομάδα (N=32), μετά από αρχική δόση προσαρμοσμένη ως προς το βάρος σώματος κατά 2,4 mg/kg (μέγιστη δόση 160 mg) την εβδομάδα 0 και την εβδομάδα 1 και κατά 1,2 mg/kg (μέγιστη δόση 80 mg) την εβδομάδα 2 (N=63) ή αρχική δόση 2,4 mg/kg (μέγιστη δόση 160 mg) την εβδομάδα 0, εικονικό φάρμακο την εβδομάδα 1, και 1,2 mg/kg (μέγιστη δόση 80 mg) την εβδομάδα 2 (N=30), παρατηρήθηκαν αυξήσεις της ALT ≥ 3 x ULN στο 1,1% (1/93) των ασθενών.</w:t>
      </w:r>
    </w:p>
    <w:p w14:paraId="06391253" w14:textId="77777777" w:rsidR="00171824" w:rsidRDefault="00171824">
      <w:pPr>
        <w:widowControl/>
        <w:kinsoku w:val="0"/>
        <w:overflowPunct w:val="0"/>
        <w:rPr>
          <w:sz w:val="22"/>
          <w:szCs w:val="22"/>
          <w:lang w:val="el-GR"/>
        </w:rPr>
      </w:pPr>
    </w:p>
    <w:p w14:paraId="5680B0B3" w14:textId="77777777" w:rsidR="00171824" w:rsidRDefault="006D258C">
      <w:pPr>
        <w:pStyle w:val="BodyText"/>
        <w:widowControl/>
        <w:kinsoku w:val="0"/>
        <w:overflowPunct w:val="0"/>
        <w:ind w:left="0"/>
        <w:rPr>
          <w:lang w:val="el-GR"/>
        </w:rPr>
      </w:pPr>
      <w:r>
        <w:rPr>
          <w:lang w:val="el-GR"/>
        </w:rPr>
        <w:t>Σε όλες τις ενδείξεις σε κλινικές μελέτες οι ασθενείς με αυξημένη ALT ήταν ασυμπτωματικοί και στις περισσότερες περιπτώσεις οι αυξήσεις ήταν παροδικές και υποχώρησαν κατά τη συνέχιση της θεραπείας. Ωστόσο, υπήρξαν επίσης αναφορές μετά την κυκλοφορία ηπατικής ανεπάρκειας καθώς και λιγότερο σοβαρών ηπατικών διαταραχών που μπορεί να προηγηθούν της ηπατικής ανεπάρκειας, όπως ηπατίτιδα συμπεριλαμβανομένης της αυτοάνοσης ηπατίτιδας σε ασθενείς που λάμβαναν adalimumab.</w:t>
      </w:r>
    </w:p>
    <w:p w14:paraId="2207A5DC" w14:textId="77777777" w:rsidR="00171824" w:rsidRDefault="00171824">
      <w:pPr>
        <w:widowControl/>
        <w:kinsoku w:val="0"/>
        <w:overflowPunct w:val="0"/>
        <w:rPr>
          <w:sz w:val="22"/>
          <w:szCs w:val="22"/>
          <w:lang w:val="el-GR"/>
        </w:rPr>
      </w:pPr>
    </w:p>
    <w:p w14:paraId="1A72B2CE" w14:textId="77777777" w:rsidR="00171824" w:rsidRDefault="006D258C">
      <w:pPr>
        <w:pStyle w:val="BodyText"/>
        <w:keepNext/>
        <w:widowControl/>
        <w:kinsoku w:val="0"/>
        <w:overflowPunct w:val="0"/>
        <w:ind w:left="0"/>
        <w:rPr>
          <w:lang w:val="el-GR"/>
        </w:rPr>
      </w:pPr>
      <w:r>
        <w:rPr>
          <w:u w:val="single"/>
          <w:lang w:val="el-GR"/>
        </w:rPr>
        <w:t>Ταυτόχρονη θεραπεία με azathioprine/6-mercaptopurine</w:t>
      </w:r>
    </w:p>
    <w:p w14:paraId="3D42400F" w14:textId="77777777" w:rsidR="00171824" w:rsidRDefault="00171824">
      <w:pPr>
        <w:keepNext/>
        <w:widowControl/>
        <w:kinsoku w:val="0"/>
        <w:overflowPunct w:val="0"/>
        <w:rPr>
          <w:sz w:val="22"/>
          <w:szCs w:val="22"/>
          <w:lang w:val="el-GR"/>
        </w:rPr>
      </w:pPr>
    </w:p>
    <w:p w14:paraId="31A05445" w14:textId="77777777" w:rsidR="00171824" w:rsidRDefault="006D258C">
      <w:pPr>
        <w:pStyle w:val="BodyText"/>
        <w:widowControl/>
        <w:kinsoku w:val="0"/>
        <w:overflowPunct w:val="0"/>
        <w:ind w:left="0"/>
        <w:rPr>
          <w:lang w:val="el-GR"/>
        </w:rPr>
      </w:pPr>
      <w:r>
        <w:rPr>
          <w:lang w:val="el-GR"/>
        </w:rPr>
        <w:t>Σε μελέτες με ενήλικες με νόσο του Crohn, υψηλότερη συχνότητα εμφάνισης ανεπιθύμητων ενεργειών που σχετίζονται με κακοήθεια ή σοβαρές λοιμώξεις παρατηρήθηκαν με το συνδυασμό adalimumab και azathioprine/6-mercaptopurine συγκριτικά με το adalimumab μόνο.</w:t>
      </w:r>
    </w:p>
    <w:p w14:paraId="6ECDA638" w14:textId="77777777" w:rsidR="00171824" w:rsidRDefault="00171824">
      <w:pPr>
        <w:widowControl/>
        <w:kinsoku w:val="0"/>
        <w:overflowPunct w:val="0"/>
        <w:rPr>
          <w:sz w:val="22"/>
          <w:szCs w:val="22"/>
          <w:lang w:val="el-GR"/>
        </w:rPr>
      </w:pPr>
    </w:p>
    <w:p w14:paraId="626E934D" w14:textId="77777777" w:rsidR="00171824" w:rsidRDefault="006D258C">
      <w:pPr>
        <w:pStyle w:val="BodyText"/>
        <w:widowControl/>
        <w:kinsoku w:val="0"/>
        <w:overflowPunct w:val="0"/>
        <w:ind w:left="0"/>
        <w:rPr>
          <w:lang w:val="el-GR"/>
        </w:rPr>
      </w:pPr>
      <w:r>
        <w:rPr>
          <w:u w:val="single"/>
          <w:lang w:val="el-GR"/>
        </w:rPr>
        <w:t>Αναφορά πιθανολογούμενων ανεπιθύμητων ενεργειών</w:t>
      </w:r>
    </w:p>
    <w:p w14:paraId="4715CC9C" w14:textId="77777777" w:rsidR="00171824" w:rsidRDefault="00171824">
      <w:pPr>
        <w:widowControl/>
        <w:kinsoku w:val="0"/>
        <w:overflowPunct w:val="0"/>
        <w:rPr>
          <w:sz w:val="22"/>
          <w:szCs w:val="22"/>
          <w:lang w:val="el-GR"/>
        </w:rPr>
      </w:pPr>
    </w:p>
    <w:p w14:paraId="2A575C22" w14:textId="77777777" w:rsidR="00171824" w:rsidRDefault="006D258C">
      <w:pPr>
        <w:pStyle w:val="BodyText"/>
        <w:widowControl/>
        <w:kinsoku w:val="0"/>
        <w:overflowPunct w:val="0"/>
        <w:ind w:left="0"/>
        <w:rPr>
          <w:lang w:val="el-GR"/>
        </w:rPr>
      </w:pPr>
      <w:r>
        <w:rPr>
          <w:lang w:val="el-GR"/>
        </w:rPr>
        <w:t xml:space="preserve">Η αναφορά πιθανολογούμενων ανεπιθύμητων ενεργειών μετά από τη χορήγηση άδειας κυκλοφορίας του φαρμακευτικού προϊόντος είναι σημαντική. Επιτρέπει τη συνεχή παρακολούθηση της σχέσης οφέλους-κινδύνου του φαρμακευτικού προϊόντος. Ζητείται από τους επαγγελματίες υγείας να αναφέρουν οποιεσδήποτε πιθανολογούμενες ανεπιθύμητες ενέργειες </w:t>
      </w:r>
      <w:r>
        <w:rPr>
          <w:highlight w:val="lightGray"/>
          <w:lang w:val="el-GR"/>
        </w:rPr>
        <w:t xml:space="preserve">μέσω του εθνικού συστήματος αναφοράς που αναγράφεται στο </w:t>
      </w:r>
      <w:hyperlink r:id="rId11" w:history="1">
        <w:r>
          <w:rPr>
            <w:rStyle w:val="Hyperlink"/>
            <w:color w:val="0000FF"/>
            <w:highlight w:val="lightGray"/>
            <w:lang w:val="el-GR"/>
          </w:rPr>
          <w:t>Παράρτημα V</w:t>
        </w:r>
      </w:hyperlink>
      <w:r>
        <w:rPr>
          <w:lang w:val="el-GR"/>
        </w:rPr>
        <w:t>.</w:t>
      </w:r>
    </w:p>
    <w:p w14:paraId="7476478F" w14:textId="77777777" w:rsidR="00171824" w:rsidRDefault="00171824">
      <w:pPr>
        <w:pStyle w:val="BodyText"/>
        <w:widowControl/>
        <w:kinsoku w:val="0"/>
        <w:overflowPunct w:val="0"/>
        <w:ind w:left="0"/>
        <w:rPr>
          <w:lang w:val="el-GR"/>
        </w:rPr>
      </w:pPr>
    </w:p>
    <w:p w14:paraId="78A43687" w14:textId="77777777" w:rsidR="00171824" w:rsidRDefault="006D258C">
      <w:pPr>
        <w:pStyle w:val="Heading1"/>
        <w:widowControl/>
        <w:tabs>
          <w:tab w:val="left" w:pos="567"/>
        </w:tabs>
        <w:kinsoku w:val="0"/>
        <w:overflowPunct w:val="0"/>
        <w:ind w:left="567" w:hanging="567"/>
        <w:rPr>
          <w:b w:val="0"/>
          <w:bCs w:val="0"/>
          <w:lang w:val="el-GR"/>
        </w:rPr>
      </w:pPr>
      <w:r>
        <w:rPr>
          <w:lang w:val="el-GR"/>
        </w:rPr>
        <w:t>4.9</w:t>
      </w:r>
      <w:r>
        <w:rPr>
          <w:lang w:val="el-GR"/>
        </w:rPr>
        <w:tab/>
        <w:t>Υπερδοσολογία</w:t>
      </w:r>
    </w:p>
    <w:p w14:paraId="4ECCC35E" w14:textId="77777777" w:rsidR="00171824" w:rsidRDefault="00171824">
      <w:pPr>
        <w:widowControl/>
        <w:kinsoku w:val="0"/>
        <w:overflowPunct w:val="0"/>
        <w:rPr>
          <w:sz w:val="22"/>
          <w:szCs w:val="22"/>
          <w:lang w:val="el-GR"/>
        </w:rPr>
      </w:pPr>
    </w:p>
    <w:p w14:paraId="206FBD66" w14:textId="77777777" w:rsidR="00171824" w:rsidRDefault="006D258C">
      <w:pPr>
        <w:pStyle w:val="BodyText"/>
        <w:widowControl/>
        <w:kinsoku w:val="0"/>
        <w:overflowPunct w:val="0"/>
        <w:ind w:left="0"/>
        <w:rPr>
          <w:lang w:val="el-GR"/>
        </w:rPr>
      </w:pPr>
      <w:r>
        <w:rPr>
          <w:lang w:val="el-GR"/>
        </w:rPr>
        <w:t>Κατά τη διάρκεια των κλινικών μελετών δεν παρατηρήθηκε τοξικότητα που οδήγησε σε περιορισμό της δόσης. Το υψηλότερο επίπεδο δόσης που έχει αξιολογηθεί ήταν οι πολλαπλές ενδοφλέβιες δόσεις των 10 mg/kg, το οποίο είναι περίπου 15 φορές μεγαλύτερο από τη συνιστώμενη δόση.</w:t>
      </w:r>
    </w:p>
    <w:p w14:paraId="79C1BA22" w14:textId="77777777" w:rsidR="00171824" w:rsidRDefault="00171824">
      <w:pPr>
        <w:widowControl/>
        <w:kinsoku w:val="0"/>
        <w:overflowPunct w:val="0"/>
        <w:rPr>
          <w:sz w:val="22"/>
          <w:szCs w:val="22"/>
          <w:lang w:val="el-GR"/>
        </w:rPr>
      </w:pPr>
    </w:p>
    <w:p w14:paraId="180EA084" w14:textId="77777777" w:rsidR="00171824" w:rsidRDefault="00171824">
      <w:pPr>
        <w:widowControl/>
        <w:kinsoku w:val="0"/>
        <w:overflowPunct w:val="0"/>
        <w:rPr>
          <w:sz w:val="22"/>
          <w:szCs w:val="22"/>
          <w:lang w:val="el-GR"/>
        </w:rPr>
      </w:pPr>
    </w:p>
    <w:p w14:paraId="0430ACAB" w14:textId="77777777" w:rsidR="00171824" w:rsidRDefault="006D258C">
      <w:pPr>
        <w:pStyle w:val="Heading1"/>
        <w:keepNext/>
        <w:widowControl/>
        <w:numPr>
          <w:ilvl w:val="0"/>
          <w:numId w:val="3"/>
        </w:numPr>
        <w:tabs>
          <w:tab w:val="left" w:pos="567"/>
        </w:tabs>
        <w:kinsoku w:val="0"/>
        <w:overflowPunct w:val="0"/>
        <w:ind w:left="567"/>
        <w:rPr>
          <w:b w:val="0"/>
          <w:bCs w:val="0"/>
          <w:lang w:val="el-GR"/>
        </w:rPr>
      </w:pPr>
      <w:r>
        <w:rPr>
          <w:lang w:val="el-GR"/>
        </w:rPr>
        <w:t>ΦΑΡΜΑΚΟΛΟΓΙΚΕΣ ΙΔΙΟΤΗΤΕΣ</w:t>
      </w:r>
    </w:p>
    <w:p w14:paraId="5A5CBEE3" w14:textId="77777777" w:rsidR="00171824" w:rsidRDefault="00171824">
      <w:pPr>
        <w:keepNext/>
        <w:widowControl/>
        <w:kinsoku w:val="0"/>
        <w:overflowPunct w:val="0"/>
        <w:rPr>
          <w:sz w:val="22"/>
          <w:szCs w:val="22"/>
          <w:lang w:val="el-GR"/>
        </w:rPr>
      </w:pPr>
    </w:p>
    <w:p w14:paraId="3313EF18" w14:textId="77777777" w:rsidR="00171824" w:rsidRDefault="006D258C">
      <w:pPr>
        <w:keepNext/>
        <w:widowControl/>
        <w:numPr>
          <w:ilvl w:val="1"/>
          <w:numId w:val="3"/>
        </w:numPr>
        <w:tabs>
          <w:tab w:val="left" w:pos="567"/>
        </w:tabs>
        <w:kinsoku w:val="0"/>
        <w:overflowPunct w:val="0"/>
        <w:ind w:left="567"/>
        <w:rPr>
          <w:sz w:val="22"/>
          <w:szCs w:val="22"/>
          <w:lang w:val="el-GR"/>
        </w:rPr>
      </w:pPr>
      <w:r>
        <w:rPr>
          <w:b/>
          <w:bCs/>
          <w:sz w:val="22"/>
          <w:szCs w:val="22"/>
          <w:lang w:val="el-GR"/>
        </w:rPr>
        <w:t>Φαρμακοδυναμικές ιδιότητες</w:t>
      </w:r>
    </w:p>
    <w:p w14:paraId="1EC84363" w14:textId="77777777" w:rsidR="00171824" w:rsidRDefault="00171824">
      <w:pPr>
        <w:keepNext/>
        <w:widowControl/>
        <w:kinsoku w:val="0"/>
        <w:overflowPunct w:val="0"/>
        <w:rPr>
          <w:sz w:val="22"/>
          <w:szCs w:val="22"/>
          <w:lang w:val="el-GR"/>
        </w:rPr>
      </w:pPr>
    </w:p>
    <w:p w14:paraId="03CDF460" w14:textId="77777777" w:rsidR="00171824" w:rsidRDefault="006D258C">
      <w:pPr>
        <w:pStyle w:val="BodyText"/>
        <w:widowControl/>
        <w:kinsoku w:val="0"/>
        <w:overflowPunct w:val="0"/>
        <w:ind w:left="0"/>
        <w:rPr>
          <w:lang w:val="el-GR"/>
        </w:rPr>
      </w:pPr>
      <w:r>
        <w:rPr>
          <w:lang w:val="el-GR"/>
        </w:rPr>
        <w:t>Φαρμακοθεραπευτική κατηγορία: Ανοσοκατασταλτικοί παράγοντες, αναστολείς του παράγοντα νέκρωσης όγκων α (TNF-α). Κωδικός ATC: L04AΒ04</w:t>
      </w:r>
    </w:p>
    <w:p w14:paraId="0F24BE53" w14:textId="77777777" w:rsidR="00171824" w:rsidRDefault="00171824">
      <w:pPr>
        <w:widowControl/>
        <w:kinsoku w:val="0"/>
        <w:overflowPunct w:val="0"/>
        <w:rPr>
          <w:sz w:val="22"/>
          <w:szCs w:val="22"/>
          <w:lang w:val="el-GR"/>
        </w:rPr>
      </w:pPr>
    </w:p>
    <w:p w14:paraId="0FA63984" w14:textId="77777777" w:rsidR="00171824" w:rsidRDefault="006D258C">
      <w:pPr>
        <w:widowControl/>
        <w:kinsoku w:val="0"/>
        <w:overflowPunct w:val="0"/>
        <w:rPr>
          <w:sz w:val="22"/>
          <w:szCs w:val="22"/>
          <w:u w:val="single"/>
          <w:lang w:val="el-GR"/>
        </w:rPr>
      </w:pPr>
      <w:r>
        <w:rPr>
          <w:sz w:val="22"/>
          <w:szCs w:val="22"/>
          <w:lang w:val="el-GR"/>
        </w:rPr>
        <w:t xml:space="preserve">Το AMGEVITA είναι ένα βιοϊσοδύναμο φαρμακευτικό προϊόν. Αναλυτικές πληροφορίες διατίθενται στον δικτυακό τόπο του Ευρωπαϊκού Οργανισμού Φαρμάκων </w:t>
      </w:r>
      <w:hyperlink r:id="rId12" w:history="1">
        <w:r>
          <w:rPr>
            <w:rStyle w:val="Hyperlink"/>
            <w:color w:val="0000FF"/>
            <w:sz w:val="22"/>
            <w:szCs w:val="22"/>
            <w:lang w:val="el-GR"/>
          </w:rPr>
          <w:t>http://www.ema.europa.eu/</w:t>
        </w:r>
      </w:hyperlink>
      <w:r>
        <w:rPr>
          <w:sz w:val="22"/>
          <w:szCs w:val="22"/>
          <w:lang w:val="el-GR"/>
        </w:rPr>
        <w:t>.</w:t>
      </w:r>
    </w:p>
    <w:p w14:paraId="76F93BBD" w14:textId="77777777" w:rsidR="00171824" w:rsidRDefault="00171824">
      <w:pPr>
        <w:widowControl/>
        <w:kinsoku w:val="0"/>
        <w:overflowPunct w:val="0"/>
        <w:rPr>
          <w:sz w:val="22"/>
          <w:szCs w:val="22"/>
          <w:lang w:val="el-GR"/>
        </w:rPr>
      </w:pPr>
    </w:p>
    <w:p w14:paraId="5275CA1B" w14:textId="77777777" w:rsidR="00171824" w:rsidRDefault="006D258C">
      <w:pPr>
        <w:pStyle w:val="BodyText"/>
        <w:keepNext/>
        <w:widowControl/>
        <w:kinsoku w:val="0"/>
        <w:overflowPunct w:val="0"/>
        <w:ind w:left="0"/>
        <w:rPr>
          <w:lang w:val="el-GR"/>
        </w:rPr>
      </w:pPr>
      <w:r>
        <w:rPr>
          <w:u w:val="single"/>
          <w:lang w:val="el-GR"/>
        </w:rPr>
        <w:t>Μηχανισμός δράσης</w:t>
      </w:r>
    </w:p>
    <w:p w14:paraId="0BD73ECF" w14:textId="77777777" w:rsidR="00171824" w:rsidRDefault="00171824">
      <w:pPr>
        <w:widowControl/>
        <w:kinsoku w:val="0"/>
        <w:overflowPunct w:val="0"/>
        <w:rPr>
          <w:sz w:val="22"/>
          <w:szCs w:val="22"/>
          <w:lang w:val="el-GR"/>
        </w:rPr>
      </w:pPr>
    </w:p>
    <w:p w14:paraId="5B914C3C" w14:textId="77777777" w:rsidR="00171824" w:rsidRDefault="006D258C">
      <w:pPr>
        <w:pStyle w:val="BodyText"/>
        <w:widowControl/>
        <w:kinsoku w:val="0"/>
        <w:overflowPunct w:val="0"/>
        <w:ind w:left="0"/>
        <w:rPr>
          <w:lang w:val="el-GR"/>
        </w:rPr>
      </w:pPr>
      <w:r>
        <w:rPr>
          <w:lang w:val="el-GR"/>
        </w:rPr>
        <w:t>Το adalimumab προσδένεται ειδικά στον TNF και παρεμποδίζει τη βιολογική λειτουργία του TNF αναστέλλοντας την αλληλεπίδρασή του με τους p55 και p75 υποδοχείς ΤΝF στη επιφάνεια των κυττάρων.</w:t>
      </w:r>
    </w:p>
    <w:p w14:paraId="70268D1C" w14:textId="77777777" w:rsidR="00171824" w:rsidRDefault="00171824">
      <w:pPr>
        <w:widowControl/>
        <w:kinsoku w:val="0"/>
        <w:overflowPunct w:val="0"/>
        <w:rPr>
          <w:sz w:val="22"/>
          <w:szCs w:val="22"/>
          <w:lang w:val="el-GR"/>
        </w:rPr>
      </w:pPr>
    </w:p>
    <w:p w14:paraId="120059EB" w14:textId="77777777" w:rsidR="00171824" w:rsidRDefault="006D258C">
      <w:pPr>
        <w:pStyle w:val="BodyText"/>
        <w:widowControl/>
        <w:kinsoku w:val="0"/>
        <w:overflowPunct w:val="0"/>
        <w:ind w:left="0"/>
        <w:rPr>
          <w:lang w:val="el-GR"/>
        </w:rPr>
      </w:pPr>
      <w:r>
        <w:rPr>
          <w:lang w:val="el-GR"/>
        </w:rPr>
        <w:lastRenderedPageBreak/>
        <w:t>Το adalimumab τροποποιεί επίσης τις βιολογικές ανταποκρίσεις που επάγονται ή ρυθμίζονται από τον TNF, συμπεριλαμβανομένων των αλλαγών στα επίπεδα των μορίων προσκόλλησης που ευθύνονται για τη μετακίνηση των λευκοκυττάρων (ELAM-1, VCAM-1 και ICAM-1 με ένα IC</w:t>
      </w:r>
      <w:r>
        <w:rPr>
          <w:position w:val="-3"/>
          <w:sz w:val="14"/>
          <w:szCs w:val="14"/>
          <w:lang w:val="el-GR"/>
        </w:rPr>
        <w:t xml:space="preserve">50 </w:t>
      </w:r>
      <w:r>
        <w:rPr>
          <w:lang w:val="el-GR"/>
        </w:rPr>
        <w:t>των 0,1</w:t>
      </w:r>
      <w:r>
        <w:rPr>
          <w:lang w:val="el-GR"/>
        </w:rPr>
        <w:noBreakHyphen/>
        <w:t>0,2 nM).</w:t>
      </w:r>
    </w:p>
    <w:p w14:paraId="328651D5" w14:textId="77777777" w:rsidR="00171824" w:rsidRDefault="00171824">
      <w:pPr>
        <w:pStyle w:val="BodyText"/>
        <w:widowControl/>
        <w:kinsoku w:val="0"/>
        <w:overflowPunct w:val="0"/>
        <w:ind w:left="0"/>
        <w:rPr>
          <w:lang w:val="el-GR"/>
        </w:rPr>
      </w:pPr>
    </w:p>
    <w:p w14:paraId="65FE1A77" w14:textId="77777777" w:rsidR="00171824" w:rsidRDefault="006D258C">
      <w:pPr>
        <w:pStyle w:val="BodyText"/>
        <w:keepNext/>
        <w:widowControl/>
        <w:kinsoku w:val="0"/>
        <w:overflowPunct w:val="0"/>
        <w:ind w:left="0"/>
        <w:rPr>
          <w:u w:val="single"/>
          <w:lang w:val="el-GR"/>
        </w:rPr>
      </w:pPr>
      <w:r>
        <w:rPr>
          <w:u w:val="single"/>
          <w:lang w:val="el-GR"/>
        </w:rPr>
        <w:t>Φαρμακοδυναμικές επιδράσεις</w:t>
      </w:r>
    </w:p>
    <w:p w14:paraId="604A2903" w14:textId="77777777" w:rsidR="00171824" w:rsidRDefault="00171824">
      <w:pPr>
        <w:pStyle w:val="BodyText"/>
        <w:keepNext/>
        <w:widowControl/>
        <w:kinsoku w:val="0"/>
        <w:overflowPunct w:val="0"/>
        <w:ind w:left="0"/>
        <w:rPr>
          <w:lang w:val="el-GR"/>
        </w:rPr>
      </w:pPr>
    </w:p>
    <w:p w14:paraId="18143381" w14:textId="77777777" w:rsidR="00171824" w:rsidRDefault="006D258C">
      <w:pPr>
        <w:pStyle w:val="BodyText"/>
        <w:widowControl/>
        <w:kinsoku w:val="0"/>
        <w:overflowPunct w:val="0"/>
        <w:ind w:left="0"/>
        <w:rPr>
          <w:lang w:val="el-GR"/>
        </w:rPr>
      </w:pPr>
      <w:r>
        <w:rPr>
          <w:lang w:val="el-GR"/>
        </w:rPr>
        <w:t>Μετά τη θεραπεία με adalimumab, παρατηρήθηκε μια ταχεία μείωση των επιπέδων των δεικτών της οξείας φάσεως της φλεγμονής (C-αντιδρώσα πρωτεΐνη (CRP) και ταχύτητα καθίζησης των ερυθροκυττάρων (ESR)) και των κυτοκινών του ορού (IL-6), συγκριτικά με τα επίπεδα που παρατηρήθηκαν πριν από την έναρξη της θεραπείας σε ασθενείς με ρευματοειδή αρθρίτιδα. Τα επίπεδα ορού των μέταλλο</w:t>
      </w:r>
      <w:r>
        <w:rPr>
          <w:lang w:val="el-GR"/>
        </w:rPr>
        <w:noBreakHyphen/>
        <w:t>πρωτεϊνασών της μεσοκυττάριας ουσίας (ΜΜΡ-1 και ΜΜΡ-3) που προκαλούν ανακατασκευή του ιστού που ευθύνεται για την καταστροφή του χόνδρου μειώθηκαν επίσης μετά τη χορήγηση του adalimumab. Οι ασθενείς που έλαβαν το adalimumab παρουσίασαν συνήθως βελτίωση των αιματολογικών σημείων της χρόνιας φλεγμονής.</w:t>
      </w:r>
    </w:p>
    <w:p w14:paraId="5A08A66A" w14:textId="77777777" w:rsidR="00171824" w:rsidRDefault="00171824">
      <w:pPr>
        <w:widowControl/>
        <w:kinsoku w:val="0"/>
        <w:overflowPunct w:val="0"/>
        <w:rPr>
          <w:sz w:val="22"/>
          <w:szCs w:val="22"/>
          <w:lang w:val="el-GR"/>
        </w:rPr>
      </w:pPr>
    </w:p>
    <w:p w14:paraId="18E52673" w14:textId="77777777" w:rsidR="00171824" w:rsidRDefault="006D258C">
      <w:pPr>
        <w:pStyle w:val="BodyText"/>
        <w:widowControl/>
        <w:kinsoku w:val="0"/>
        <w:overflowPunct w:val="0"/>
        <w:ind w:left="0"/>
        <w:rPr>
          <w:lang w:val="el-GR"/>
        </w:rPr>
      </w:pPr>
      <w:r>
        <w:rPr>
          <w:lang w:val="el-GR"/>
        </w:rPr>
        <w:t>Επίσης, παρατηρήθηκε μία ταχεία μείωση των επιπέδων της CRP σε ασθενείς με πολυαρθρική νεανική ιδιοπαθή αρθρίτιδα, νόσο του Crohn, ελκώδη κολίτιδα και διαπυητική ιδρωταδενίτιδα μετά τη θεραπεία με adalimumab. Σε ασθενείς με νόσο του Crohn, παρατηρήθηκε μείωση του αριθμού των κυττάρων που εκφράζουν δείκτες φλεγμονής στο παχύ έντερο συμπεριλαμβανομένης σημαντικής μείωσης της έκφρασης του TNFα. Ενδοσκοπικές μελέτες του εντερικού βλεννογόνου έδειξαν στοιχεία επούλωσης του βλεννογόνου σε ασθενείς που έλαβαν θεραπεία με adalimumab.</w:t>
      </w:r>
    </w:p>
    <w:p w14:paraId="2A00B982" w14:textId="77777777" w:rsidR="00171824" w:rsidRDefault="00171824">
      <w:pPr>
        <w:widowControl/>
        <w:kinsoku w:val="0"/>
        <w:overflowPunct w:val="0"/>
        <w:rPr>
          <w:sz w:val="22"/>
          <w:szCs w:val="22"/>
          <w:lang w:val="el-GR"/>
        </w:rPr>
      </w:pPr>
    </w:p>
    <w:p w14:paraId="78D97EC0" w14:textId="77777777" w:rsidR="00171824" w:rsidRDefault="006D258C">
      <w:pPr>
        <w:pStyle w:val="BodyText"/>
        <w:widowControl/>
        <w:kinsoku w:val="0"/>
        <w:overflowPunct w:val="0"/>
        <w:ind w:left="0"/>
        <w:rPr>
          <w:lang w:val="el-GR"/>
        </w:rPr>
      </w:pPr>
      <w:r>
        <w:rPr>
          <w:u w:val="single"/>
          <w:lang w:val="el-GR"/>
        </w:rPr>
        <w:t>Κλινική αποτελεσματικότητα και ασφάλεια</w:t>
      </w:r>
    </w:p>
    <w:p w14:paraId="4AE07360" w14:textId="77777777" w:rsidR="00171824" w:rsidRDefault="00171824">
      <w:pPr>
        <w:widowControl/>
        <w:kinsoku w:val="0"/>
        <w:overflowPunct w:val="0"/>
        <w:rPr>
          <w:sz w:val="22"/>
          <w:szCs w:val="22"/>
          <w:lang w:val="el-GR"/>
        </w:rPr>
      </w:pPr>
    </w:p>
    <w:p w14:paraId="1FB70BCF" w14:textId="77777777" w:rsidR="00171824" w:rsidRDefault="006D258C">
      <w:pPr>
        <w:widowControl/>
        <w:kinsoku w:val="0"/>
        <w:overflowPunct w:val="0"/>
        <w:rPr>
          <w:sz w:val="22"/>
          <w:szCs w:val="22"/>
          <w:lang w:val="el-GR"/>
        </w:rPr>
      </w:pPr>
      <w:r>
        <w:rPr>
          <w:i/>
          <w:iCs/>
          <w:sz w:val="22"/>
          <w:szCs w:val="22"/>
          <w:lang w:val="el-GR"/>
        </w:rPr>
        <w:t>Ρευματοειδής αρθρίτιδα</w:t>
      </w:r>
    </w:p>
    <w:p w14:paraId="4C4CC72F" w14:textId="77777777" w:rsidR="00171824" w:rsidRDefault="00171824">
      <w:pPr>
        <w:widowControl/>
        <w:kinsoku w:val="0"/>
        <w:overflowPunct w:val="0"/>
        <w:rPr>
          <w:sz w:val="22"/>
          <w:szCs w:val="22"/>
          <w:lang w:val="el-GR"/>
        </w:rPr>
      </w:pPr>
    </w:p>
    <w:p w14:paraId="38823EC0" w14:textId="77777777" w:rsidR="00171824" w:rsidRDefault="006D258C">
      <w:pPr>
        <w:pStyle w:val="BodyText"/>
        <w:widowControl/>
        <w:kinsoku w:val="0"/>
        <w:overflowPunct w:val="0"/>
        <w:ind w:left="0"/>
        <w:rPr>
          <w:lang w:val="el-GR"/>
        </w:rPr>
      </w:pPr>
      <w:r>
        <w:rPr>
          <w:lang w:val="el-GR"/>
        </w:rPr>
        <w:t>Το adalimumab αξιολογήθηκε σε πάνω από 3.000 ασθενείς σε όλες τις κλινικές μελέτες ρευματοειδούς αρθρίτιδας. Η αποτελεσματικότητα και η ασφάλεια του adalimumab αξιολογήθηκαν σε πέντε τυχαιοποιημένες, διπλά τυφλές και καλώς ελεγχόμενες μελέτες. Μερικοί ασθενείς έλαβαν το φάρμακο για περίοδο μέχρι 120 μήνες.</w:t>
      </w:r>
    </w:p>
    <w:p w14:paraId="77AE1C12" w14:textId="77777777" w:rsidR="00171824" w:rsidRDefault="00171824">
      <w:pPr>
        <w:widowControl/>
        <w:kinsoku w:val="0"/>
        <w:overflowPunct w:val="0"/>
        <w:rPr>
          <w:sz w:val="22"/>
          <w:szCs w:val="22"/>
          <w:lang w:val="el-GR"/>
        </w:rPr>
      </w:pPr>
    </w:p>
    <w:p w14:paraId="6D77D3F3" w14:textId="77777777" w:rsidR="00171824" w:rsidRDefault="006D258C">
      <w:pPr>
        <w:pStyle w:val="BodyText"/>
        <w:widowControl/>
        <w:kinsoku w:val="0"/>
        <w:overflowPunct w:val="0"/>
        <w:ind w:left="0"/>
        <w:rPr>
          <w:lang w:val="el-GR"/>
        </w:rPr>
      </w:pPr>
      <w:r>
        <w:rPr>
          <w:lang w:val="el-GR"/>
        </w:rPr>
        <w:t>Η μελέτη RA Ι αξιολόγησε 271 ασθενείς με μέτρια έως σοβαρή ενεργό ρευματοειδή αρθρίτιδα, οι οποίοι ήταν ≥ 18 ετών, είχαν αποτύχει στη θεραπεία με ένα τουλάχιστον τροποποιητικό της νόσου αντιρευματικό φάρμακο και είχαν ανεπαρκή αποτελεσματικότητα με χορήγηση μεθοτρεξάτης σε δόσεις των 12,5 έως 25 mg (10 mg σε περίπτωση δυσανεξίας στη μεθοτρεξάτη) ανά εβδομάδα και στους οποίους η δόση της μεθοτρεξάτης παρέμεινε σταθερή σε 10 έως 25 mg ανά εβδομάδα. Δόσεις των 20, 40 ή 80 mg adalimumab ή εικονικού φαρμάκου χορηγήθηκαν ανά δεύτερη εβδομάδα επί 24 εβδομάδες.</w:t>
      </w:r>
    </w:p>
    <w:p w14:paraId="290B0365" w14:textId="77777777" w:rsidR="00171824" w:rsidRDefault="00171824">
      <w:pPr>
        <w:widowControl/>
        <w:kinsoku w:val="0"/>
        <w:overflowPunct w:val="0"/>
        <w:rPr>
          <w:sz w:val="22"/>
          <w:szCs w:val="22"/>
          <w:lang w:val="el-GR"/>
        </w:rPr>
      </w:pPr>
    </w:p>
    <w:p w14:paraId="268E05BF" w14:textId="77777777" w:rsidR="00171824" w:rsidRDefault="006D258C">
      <w:pPr>
        <w:pStyle w:val="BodyText"/>
        <w:widowControl/>
        <w:kinsoku w:val="0"/>
        <w:overflowPunct w:val="0"/>
        <w:ind w:left="0"/>
        <w:rPr>
          <w:lang w:val="el-GR"/>
        </w:rPr>
      </w:pPr>
      <w:r>
        <w:rPr>
          <w:lang w:val="el-GR"/>
        </w:rPr>
        <w:t>Η μελέτη RA ΙΙ αξιολόγησε 544 ασθενείς με μέτρια έως σοβαρή ενεργό ρευματοειδή αρθρίτιδα, οι οποίοι ήταν ≥ 18 ετών και είχαν αποτύχει στη θεραπεία με ένα τουλάχιστον τροποποιητικό της νόσου αντιρευματικό φάρμακο. Δόσεις των 20 ή 40 mg adalimumab χορηγήθηκαν με υποδόρια ένεση ανά δεύτερη εβδομάδα με εικονικό φάρμακο στις ενδιάμεσες εβδομάδες ή κάθε εβδομάδα επί 26 εβδομάδες. Το εικονικό φάρμακο χορηγήθηκε κάθε εβδομάδα για την ίδια χρονική διάρκεια. Δε χορηγήθηκε κανένα άλλο τροποποιητικό της νόσου αντιρευματικό φάρμακο.</w:t>
      </w:r>
    </w:p>
    <w:p w14:paraId="317F31E0" w14:textId="77777777" w:rsidR="00171824" w:rsidRDefault="00171824">
      <w:pPr>
        <w:widowControl/>
        <w:kinsoku w:val="0"/>
        <w:overflowPunct w:val="0"/>
        <w:rPr>
          <w:sz w:val="22"/>
          <w:szCs w:val="22"/>
          <w:lang w:val="el-GR"/>
        </w:rPr>
      </w:pPr>
    </w:p>
    <w:p w14:paraId="77A92EC5" w14:textId="77777777" w:rsidR="00171824" w:rsidRDefault="006D258C">
      <w:pPr>
        <w:pStyle w:val="BodyText"/>
        <w:widowControl/>
        <w:kinsoku w:val="0"/>
        <w:overflowPunct w:val="0"/>
        <w:ind w:left="0"/>
        <w:rPr>
          <w:lang w:val="el-GR"/>
        </w:rPr>
      </w:pPr>
      <w:r>
        <w:rPr>
          <w:lang w:val="el-GR"/>
        </w:rPr>
        <w:t>Η μελέτη RA ΙΙΙ αξιολόγησε 619 ασθενείς με μέτρια έως σοβαρή ενεργό ρευματοειδή αρθρίτιδα, οι οποίοι ήταν ≥ 18 ετών, και οι οποίοι είχαν μη αποτελεσματική ανταπόκριση στη μεθοτρεξάτη σε δόσεις των 12,5 έως 25 mg ή οι οποίοι είχαν δυσανεξία σε 10 mg μεθοτρεξάτης κάθε εβδομάδα. Υπήρχαν τρεις ομάδες σε αυτή τη μελέτη. Η πρώτη έλαβε ενέσεις εικονικού φαρμάκου ανά εβδομάδα επί 52 εβδομάδες. Η δεύτερη έλαβε 20 mg adalimumab ανά εβδομάδα επί 52 εβδομάδες. Η τρίτη ομάδα έλαβε 40 mg adalimumab ανά δεύτερη εβδομάδα με ενέσεις εικονικού φαρμάκου στις ενδιάμεσες εβδομάδες. Μετά την ολοκλήρωση των πρώτων 52 εβδομάδων, 457 ασθενείς συμμετείχαν σε ανοιχτή μελέτη επέκτασης στην οποία 40 mg adalimumab/ΜΤΧ χορηγήθηκαν κάθε δεύτερη εβδομάδα για περίοδο μέχρι και 10 χρόνια.</w:t>
      </w:r>
    </w:p>
    <w:p w14:paraId="307437F3" w14:textId="77777777" w:rsidR="00171824" w:rsidRDefault="00171824">
      <w:pPr>
        <w:pStyle w:val="BodyText"/>
        <w:widowControl/>
        <w:kinsoku w:val="0"/>
        <w:overflowPunct w:val="0"/>
        <w:ind w:left="0"/>
        <w:rPr>
          <w:lang w:val="el-GR"/>
        </w:rPr>
      </w:pPr>
    </w:p>
    <w:p w14:paraId="75932CD5" w14:textId="77777777" w:rsidR="00171824" w:rsidRDefault="006D258C">
      <w:pPr>
        <w:pStyle w:val="BodyText"/>
        <w:widowControl/>
        <w:kinsoku w:val="0"/>
        <w:overflowPunct w:val="0"/>
        <w:ind w:left="0"/>
        <w:rPr>
          <w:lang w:val="el-GR"/>
        </w:rPr>
      </w:pPr>
      <w:r>
        <w:rPr>
          <w:lang w:val="el-GR"/>
        </w:rPr>
        <w:lastRenderedPageBreak/>
        <w:t>Η μελέτη RA ΙV αξιολόγησε κυρίως την ασφάλεια σε 636 ασθενείς με μέτρια έως σοβαρή ενεργό ρευματοειδή αρθρίτιδα, οι οποίοι ήταν ≥ 18 ετών. Οι ασθενείς είτε δεν είχαν λάβει τροποποιητικό της νόσου αντιρευματικό φάρμακο ή παρέμειναν στην προϋπάρχουσα αντιρευματική θεραπεία τους με την προϋπόθεση ότι η θεραπεία αυτή ήταν σταθερή για τουλάχιστον 28 ημέρες. Οι θεραπείες αυτές περιλαμβάνουν μεθοτρεξάτη, λεφλουνομίδη, υδροξυχλωροκίνη, σουλφασαλαζίνη και /ή άλατα χρυσού. Οι ασθενείς τυχαιοποιήθηκαν σε 40 mg adalimumab ή εικονικό φάρμακο ανά δεύτερη εβδομάδα επί 24 εβδομάδες.</w:t>
      </w:r>
    </w:p>
    <w:p w14:paraId="2A2BD321" w14:textId="77777777" w:rsidR="00171824" w:rsidRDefault="00171824">
      <w:pPr>
        <w:widowControl/>
        <w:kinsoku w:val="0"/>
        <w:overflowPunct w:val="0"/>
        <w:rPr>
          <w:sz w:val="22"/>
          <w:szCs w:val="22"/>
          <w:lang w:val="el-GR"/>
        </w:rPr>
      </w:pPr>
    </w:p>
    <w:p w14:paraId="6E4F5441" w14:textId="77777777" w:rsidR="00171824" w:rsidRDefault="006D258C">
      <w:pPr>
        <w:pStyle w:val="BodyText"/>
        <w:widowControl/>
        <w:kinsoku w:val="0"/>
        <w:overflowPunct w:val="0"/>
        <w:ind w:left="0"/>
        <w:rPr>
          <w:lang w:val="el-GR"/>
        </w:rPr>
      </w:pPr>
      <w:r>
        <w:rPr>
          <w:lang w:val="el-GR"/>
        </w:rPr>
        <w:t>Η μελέτη RA V αξιολόγησε 799 ενήλικες ασθενείς στους οποίους δεν είχε χορηγηθεί ποτέ μεθοτρεξάτη με μέτρια έως σοβαρή πρώιμη ρευματοειδή αρθρίτιδα (μέση διάρκεια θεραπείας λιγότερο από 9 μήνες). Αυτή η μελέτη αξιολόγησε την αποτελεσματικότητα της θεραπείας συνδυασμού μεθοτρεξάτης με adalimumab 40 mg κάθε δεύτερη εβδομάδα, του adalimumab 40 mg κάθε δεύτερη εβδομάδα ως μονοθεραπεία και της μεθοτρεξάτης ως μονοθεραπεία, όσον αφορά στη μείωση σημείων, συμπτωμάτων και το βαθμό εξέλιξης της αρθρικής βλάβης στη ρευματοειδή αρθρίτιδα για 104 εβδομάδες. Μετά το πέρας των πρώτων 104 εβδομάδων, 497 ασθενείς συμμετείχαν σε μια ανοιχτή φάση επέκτασης στην οποία χορηγούνταν 40 mg adalimumab κάθε δεύτερη εβδομάδα για περίοδο μέχρι και 10 χρόνια.</w:t>
      </w:r>
    </w:p>
    <w:p w14:paraId="74603573" w14:textId="77777777" w:rsidR="00171824" w:rsidRDefault="00171824">
      <w:pPr>
        <w:widowControl/>
        <w:kinsoku w:val="0"/>
        <w:overflowPunct w:val="0"/>
        <w:rPr>
          <w:sz w:val="22"/>
          <w:szCs w:val="22"/>
          <w:lang w:val="el-GR"/>
        </w:rPr>
      </w:pPr>
    </w:p>
    <w:p w14:paraId="29EF7617" w14:textId="77777777" w:rsidR="00171824" w:rsidRDefault="006D258C">
      <w:pPr>
        <w:pStyle w:val="BodyText"/>
        <w:widowControl/>
        <w:kinsoku w:val="0"/>
        <w:overflowPunct w:val="0"/>
        <w:ind w:left="0"/>
        <w:rPr>
          <w:lang w:val="el-GR"/>
        </w:rPr>
      </w:pPr>
      <w:r>
        <w:rPr>
          <w:lang w:val="el-GR"/>
        </w:rPr>
        <w:t xml:space="preserve">Το πρωτεύον καταληκτικό σημείο στις μελέτες RA Ι, ΙΙ και ΙΙΙ και το δευτερεύον καταληκτικό σημείο στη μελέτη RA IV ήταν το ποσοστό των ασθενών που πέτυχαν ανταπόκριση κατά ACR 20 στην εβδομάδα 24 ή 26. Το πρωτεύον καταληκτικό σημείο στη μελέτη RA V ήταν το ποσοστό των ασθενών που εμφάνισαν ανταπόκριση κατά ACR 50 στην εβδομάδα 52. Η Μελέτη ΙΙΙ και V είχαν ένα επιπρόσθετο πρωτεύον καταληκτικό σημείο κατά την εβδομάδα 52, την επιβράδυνση της εξέλιξης της νόσου (βάσει των ακτινολογικών ευρημάτων). Η μελέτη RA ΙΙΙ είχε επίσης ως πρωτεύον καταληκτικό σημείο τις αλλαγές στην ποιότητα ζωής. </w:t>
      </w:r>
    </w:p>
    <w:p w14:paraId="629206D4" w14:textId="77777777" w:rsidR="00171824" w:rsidRDefault="00171824">
      <w:pPr>
        <w:widowControl/>
        <w:kinsoku w:val="0"/>
        <w:overflowPunct w:val="0"/>
        <w:rPr>
          <w:sz w:val="22"/>
          <w:szCs w:val="22"/>
          <w:lang w:val="el-GR"/>
        </w:rPr>
      </w:pPr>
    </w:p>
    <w:p w14:paraId="171CCEE1" w14:textId="77777777" w:rsidR="00171824" w:rsidRDefault="006D258C">
      <w:pPr>
        <w:widowControl/>
        <w:kinsoku w:val="0"/>
        <w:overflowPunct w:val="0"/>
        <w:rPr>
          <w:sz w:val="22"/>
          <w:szCs w:val="22"/>
          <w:u w:val="single"/>
          <w:lang w:val="el-GR"/>
        </w:rPr>
      </w:pPr>
      <w:r>
        <w:rPr>
          <w:i/>
          <w:iCs/>
          <w:sz w:val="22"/>
          <w:szCs w:val="22"/>
          <w:u w:val="single"/>
          <w:lang w:val="el-GR"/>
        </w:rPr>
        <w:t>ACR ανταπόκριση</w:t>
      </w:r>
    </w:p>
    <w:p w14:paraId="47395BBD" w14:textId="77777777" w:rsidR="00171824" w:rsidRDefault="00171824">
      <w:pPr>
        <w:widowControl/>
        <w:kinsoku w:val="0"/>
        <w:overflowPunct w:val="0"/>
        <w:rPr>
          <w:sz w:val="22"/>
          <w:szCs w:val="22"/>
          <w:lang w:val="el-GR"/>
        </w:rPr>
      </w:pPr>
    </w:p>
    <w:p w14:paraId="7E813EDE" w14:textId="77777777" w:rsidR="00171824" w:rsidRDefault="006D258C">
      <w:pPr>
        <w:pStyle w:val="BodyText"/>
        <w:widowControl/>
        <w:kinsoku w:val="0"/>
        <w:overflowPunct w:val="0"/>
        <w:ind w:left="0"/>
        <w:rPr>
          <w:lang w:val="el-GR"/>
        </w:rPr>
      </w:pPr>
      <w:r>
        <w:rPr>
          <w:lang w:val="el-GR"/>
        </w:rPr>
        <w:t>Το ποσοστό των ασθενών που έλαβαν adalimumab και εμφάνισαν ανταποκρίσεις ACR 20, 50 και 70 ήταν σταθερό στις μελέτες RA Ι, ΙΙ και ΙΙΙ. Τα αποτελέσματα της δόσης των 40 mg ανά εβδομάδα συνοψίζονται στον πίνακα 8.</w:t>
      </w:r>
    </w:p>
    <w:p w14:paraId="3F55C95A" w14:textId="77777777" w:rsidR="00171824" w:rsidRDefault="00171824">
      <w:pPr>
        <w:pStyle w:val="BodyText"/>
        <w:widowControl/>
        <w:ind w:left="0"/>
        <w:rPr>
          <w:b/>
          <w:lang w:val="el-GR"/>
        </w:rPr>
      </w:pPr>
    </w:p>
    <w:p w14:paraId="591A6187" w14:textId="77777777" w:rsidR="00171824" w:rsidRDefault="006D258C">
      <w:pPr>
        <w:pStyle w:val="BodyText"/>
        <w:keepNext/>
        <w:widowControl/>
        <w:ind w:left="0"/>
        <w:rPr>
          <w:b/>
          <w:lang w:val="el-GR"/>
        </w:rPr>
      </w:pPr>
      <w:r>
        <w:rPr>
          <w:b/>
          <w:lang w:val="el-GR"/>
        </w:rPr>
        <w:t>Πίνακας 8.</w:t>
      </w:r>
      <w:r>
        <w:rPr>
          <w:b/>
          <w:bCs/>
          <w:lang w:val="el-GR"/>
        </w:rPr>
        <w:t xml:space="preserve"> ACR Ανταποκρίσεις σε Μελέτες Ελεγχόμενες με Εικονικό Φάρμακο (ποσοστό ασθενών)</w:t>
      </w:r>
    </w:p>
    <w:p w14:paraId="641C5E18" w14:textId="77777777" w:rsidR="00171824" w:rsidRDefault="00171824">
      <w:pPr>
        <w:keepNext/>
        <w:widowControl/>
        <w:kinsoku w:val="0"/>
        <w:overflowPunct w:val="0"/>
        <w:rPr>
          <w:sz w:val="22"/>
          <w:szCs w:val="22"/>
          <w:lang w:val="el-GR"/>
        </w:rPr>
      </w:pPr>
    </w:p>
    <w:tbl>
      <w:tblPr>
        <w:tblW w:w="9623"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528"/>
        <w:gridCol w:w="1444"/>
        <w:gridCol w:w="1416"/>
        <w:gridCol w:w="1272"/>
        <w:gridCol w:w="992"/>
        <w:gridCol w:w="1556"/>
        <w:gridCol w:w="1415"/>
      </w:tblGrid>
      <w:tr w:rsidR="00171824" w14:paraId="7A6E54FA" w14:textId="77777777">
        <w:trPr>
          <w:trHeight w:val="19"/>
          <w:tblHeader/>
        </w:trPr>
        <w:tc>
          <w:tcPr>
            <w:tcW w:w="1528" w:type="dxa"/>
            <w:vMerge w:val="restart"/>
            <w:tcBorders>
              <w:left w:val="single" w:sz="4" w:space="0" w:color="auto"/>
            </w:tcBorders>
          </w:tcPr>
          <w:p w14:paraId="2F52A7B2" w14:textId="77777777" w:rsidR="00171824" w:rsidRDefault="006D258C">
            <w:pPr>
              <w:pStyle w:val="TableParagraph"/>
              <w:widowControl/>
              <w:kinsoku w:val="0"/>
              <w:overflowPunct w:val="0"/>
              <w:rPr>
                <w:rFonts w:eastAsia="MS Mincho"/>
                <w:b/>
                <w:sz w:val="22"/>
                <w:szCs w:val="22"/>
                <w:lang w:val="el-GR"/>
              </w:rPr>
            </w:pPr>
            <w:r>
              <w:rPr>
                <w:rFonts w:eastAsia="MS Mincho"/>
                <w:b/>
                <w:sz w:val="22"/>
                <w:szCs w:val="22"/>
                <w:lang w:val="el-GR"/>
              </w:rPr>
              <w:t>Ανταπόκριση</w:t>
            </w:r>
          </w:p>
        </w:tc>
        <w:tc>
          <w:tcPr>
            <w:tcW w:w="2860" w:type="dxa"/>
            <w:gridSpan w:val="2"/>
          </w:tcPr>
          <w:p w14:paraId="10F81D80"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Μελέτη RA I</w:t>
            </w:r>
            <w:r>
              <w:rPr>
                <w:rFonts w:eastAsia="MS Mincho"/>
                <w:b/>
                <w:sz w:val="22"/>
                <w:szCs w:val="22"/>
                <w:vertAlign w:val="superscript"/>
                <w:lang w:val="el-GR"/>
              </w:rPr>
              <w:t>a</w:t>
            </w:r>
            <w:r>
              <w:rPr>
                <w:rFonts w:eastAsia="MS Mincho"/>
                <w:b/>
                <w:sz w:val="22"/>
                <w:szCs w:val="22"/>
                <w:lang w:val="el-GR"/>
              </w:rPr>
              <w:t>**</w:t>
            </w:r>
          </w:p>
        </w:tc>
        <w:tc>
          <w:tcPr>
            <w:tcW w:w="2264" w:type="dxa"/>
            <w:gridSpan w:val="2"/>
          </w:tcPr>
          <w:p w14:paraId="19907611"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Μελέτη RA IΙ</w:t>
            </w:r>
            <w:r>
              <w:rPr>
                <w:rFonts w:eastAsia="MS Mincho"/>
                <w:b/>
                <w:sz w:val="22"/>
                <w:szCs w:val="22"/>
                <w:vertAlign w:val="superscript"/>
                <w:lang w:val="el-GR"/>
              </w:rPr>
              <w:t>a</w:t>
            </w:r>
            <w:r>
              <w:rPr>
                <w:rFonts w:eastAsia="MS Mincho"/>
                <w:b/>
                <w:sz w:val="22"/>
                <w:szCs w:val="22"/>
                <w:lang w:val="el-GR"/>
              </w:rPr>
              <w:t>**</w:t>
            </w:r>
          </w:p>
        </w:tc>
        <w:tc>
          <w:tcPr>
            <w:tcW w:w="2971" w:type="dxa"/>
            <w:gridSpan w:val="2"/>
            <w:tcBorders>
              <w:right w:val="single" w:sz="4" w:space="0" w:color="auto"/>
            </w:tcBorders>
          </w:tcPr>
          <w:p w14:paraId="560E375A"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Μελέτη RA ΙΙI</w:t>
            </w:r>
            <w:r>
              <w:rPr>
                <w:rFonts w:eastAsia="MS Mincho"/>
                <w:b/>
                <w:sz w:val="22"/>
                <w:szCs w:val="22"/>
                <w:vertAlign w:val="superscript"/>
                <w:lang w:val="el-GR"/>
              </w:rPr>
              <w:t>a</w:t>
            </w:r>
            <w:r>
              <w:rPr>
                <w:rFonts w:eastAsia="MS Mincho"/>
                <w:b/>
                <w:sz w:val="22"/>
                <w:szCs w:val="22"/>
                <w:lang w:val="el-GR"/>
              </w:rPr>
              <w:t>**</w:t>
            </w:r>
          </w:p>
        </w:tc>
      </w:tr>
      <w:tr w:rsidR="00171824" w14:paraId="5564DB20" w14:textId="77777777">
        <w:trPr>
          <w:trHeight w:val="19"/>
          <w:tblHeader/>
        </w:trPr>
        <w:tc>
          <w:tcPr>
            <w:tcW w:w="1528" w:type="dxa"/>
            <w:vMerge/>
            <w:tcBorders>
              <w:left w:val="single" w:sz="4" w:space="0" w:color="auto"/>
              <w:bottom w:val="single" w:sz="8" w:space="0" w:color="auto"/>
            </w:tcBorders>
          </w:tcPr>
          <w:p w14:paraId="75BF007D" w14:textId="77777777" w:rsidR="00171824" w:rsidRDefault="00171824">
            <w:pPr>
              <w:pStyle w:val="TableParagraph"/>
              <w:widowControl/>
              <w:kinsoku w:val="0"/>
              <w:overflowPunct w:val="0"/>
              <w:rPr>
                <w:rFonts w:eastAsia="MS Mincho"/>
                <w:b/>
                <w:sz w:val="22"/>
                <w:szCs w:val="22"/>
                <w:lang w:val="el-GR"/>
              </w:rPr>
            </w:pPr>
          </w:p>
        </w:tc>
        <w:tc>
          <w:tcPr>
            <w:tcW w:w="1444" w:type="dxa"/>
            <w:tcBorders>
              <w:bottom w:val="single" w:sz="8" w:space="0" w:color="auto"/>
              <w:right w:val="single" w:sz="4" w:space="0" w:color="auto"/>
            </w:tcBorders>
          </w:tcPr>
          <w:p w14:paraId="3B82BD69"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Εικονικό</w:t>
            </w:r>
          </w:p>
          <w:p w14:paraId="21A944AE"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φάρμακο/</w:t>
            </w:r>
          </w:p>
          <w:p w14:paraId="75BC9163"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MTX</w:t>
            </w:r>
            <w:r>
              <w:rPr>
                <w:rFonts w:eastAsia="MS Mincho"/>
                <w:b/>
                <w:sz w:val="22"/>
                <w:szCs w:val="22"/>
                <w:vertAlign w:val="superscript"/>
                <w:lang w:val="el-GR"/>
              </w:rPr>
              <w:t>c</w:t>
            </w:r>
          </w:p>
          <w:p w14:paraId="5E227C6C"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n=60</w:t>
            </w:r>
          </w:p>
        </w:tc>
        <w:tc>
          <w:tcPr>
            <w:tcW w:w="1416" w:type="dxa"/>
            <w:tcBorders>
              <w:left w:val="single" w:sz="4" w:space="0" w:color="auto"/>
              <w:bottom w:val="single" w:sz="8" w:space="0" w:color="auto"/>
            </w:tcBorders>
          </w:tcPr>
          <w:p w14:paraId="6C0C2601"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Adalimumab</w:t>
            </w:r>
            <w:r>
              <w:rPr>
                <w:rFonts w:eastAsia="MS Mincho"/>
                <w:b/>
                <w:sz w:val="22"/>
                <w:szCs w:val="22"/>
                <w:vertAlign w:val="superscript"/>
                <w:lang w:val="el-GR"/>
              </w:rPr>
              <w:t>b</w:t>
            </w:r>
            <w:r>
              <w:rPr>
                <w:rFonts w:eastAsia="MS Mincho"/>
                <w:b/>
                <w:sz w:val="22"/>
                <w:szCs w:val="22"/>
                <w:lang w:val="el-GR"/>
              </w:rPr>
              <w:t>/</w:t>
            </w:r>
          </w:p>
          <w:p w14:paraId="291AEE59"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MTX</w:t>
            </w:r>
            <w:r>
              <w:rPr>
                <w:rFonts w:eastAsia="MS Mincho"/>
                <w:b/>
                <w:sz w:val="22"/>
                <w:szCs w:val="22"/>
                <w:vertAlign w:val="superscript"/>
                <w:lang w:val="el-GR"/>
              </w:rPr>
              <w:t>c</w:t>
            </w:r>
          </w:p>
          <w:p w14:paraId="09369B16"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n=63</w:t>
            </w:r>
          </w:p>
        </w:tc>
        <w:tc>
          <w:tcPr>
            <w:tcW w:w="1272" w:type="dxa"/>
            <w:tcBorders>
              <w:bottom w:val="single" w:sz="8" w:space="0" w:color="auto"/>
              <w:right w:val="single" w:sz="4" w:space="0" w:color="auto"/>
            </w:tcBorders>
          </w:tcPr>
          <w:p w14:paraId="0EE84ACD"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Εικονικό</w:t>
            </w:r>
          </w:p>
          <w:p w14:paraId="008A499B"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φάρμακο</w:t>
            </w:r>
          </w:p>
          <w:p w14:paraId="54367C73"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n=110</w:t>
            </w:r>
          </w:p>
        </w:tc>
        <w:tc>
          <w:tcPr>
            <w:tcW w:w="992" w:type="dxa"/>
            <w:tcBorders>
              <w:left w:val="single" w:sz="4" w:space="0" w:color="auto"/>
              <w:bottom w:val="single" w:sz="8" w:space="0" w:color="auto"/>
            </w:tcBorders>
          </w:tcPr>
          <w:p w14:paraId="49512A02"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Adalimumab</w:t>
            </w:r>
            <w:r>
              <w:rPr>
                <w:rFonts w:eastAsia="MS Mincho"/>
                <w:b/>
                <w:sz w:val="22"/>
                <w:szCs w:val="22"/>
                <w:vertAlign w:val="superscript"/>
                <w:lang w:val="el-GR"/>
              </w:rPr>
              <w:t>b</w:t>
            </w:r>
          </w:p>
          <w:p w14:paraId="49C5790D"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n=113</w:t>
            </w:r>
          </w:p>
        </w:tc>
        <w:tc>
          <w:tcPr>
            <w:tcW w:w="1556" w:type="dxa"/>
            <w:tcBorders>
              <w:bottom w:val="single" w:sz="8" w:space="0" w:color="auto"/>
              <w:right w:val="single" w:sz="4" w:space="0" w:color="auto"/>
            </w:tcBorders>
          </w:tcPr>
          <w:p w14:paraId="37C1B7E6"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Εικονικό</w:t>
            </w:r>
          </w:p>
          <w:p w14:paraId="1DB8B3AB"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φάρμακο/</w:t>
            </w:r>
          </w:p>
          <w:p w14:paraId="51D17B0A"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MTX</w:t>
            </w:r>
            <w:r>
              <w:rPr>
                <w:rFonts w:eastAsia="MS Mincho"/>
                <w:b/>
                <w:sz w:val="22"/>
                <w:szCs w:val="22"/>
                <w:vertAlign w:val="superscript"/>
                <w:lang w:val="el-GR"/>
              </w:rPr>
              <w:t>c</w:t>
            </w:r>
          </w:p>
          <w:p w14:paraId="6C6A1941"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n=200</w:t>
            </w:r>
          </w:p>
        </w:tc>
        <w:tc>
          <w:tcPr>
            <w:tcW w:w="1415" w:type="dxa"/>
            <w:tcBorders>
              <w:left w:val="single" w:sz="4" w:space="0" w:color="auto"/>
              <w:bottom w:val="single" w:sz="8" w:space="0" w:color="auto"/>
              <w:right w:val="single" w:sz="4" w:space="0" w:color="auto"/>
            </w:tcBorders>
          </w:tcPr>
          <w:p w14:paraId="3D57BEA9" w14:textId="77777777" w:rsidR="00171824" w:rsidRDefault="006D258C">
            <w:pPr>
              <w:pStyle w:val="TableParagraph"/>
              <w:widowControl/>
              <w:kinsoku w:val="0"/>
              <w:overflowPunct w:val="0"/>
              <w:jc w:val="center"/>
              <w:rPr>
                <w:rFonts w:eastAsia="MS Mincho"/>
                <w:b/>
                <w:w w:val="99"/>
                <w:position w:val="10"/>
                <w:sz w:val="22"/>
                <w:szCs w:val="22"/>
                <w:lang w:val="el-GR"/>
              </w:rPr>
            </w:pPr>
            <w:r>
              <w:rPr>
                <w:rFonts w:eastAsia="MS Mincho"/>
                <w:b/>
                <w:sz w:val="22"/>
                <w:szCs w:val="22"/>
                <w:lang w:val="el-GR"/>
              </w:rPr>
              <w:t>Adalimumab</w:t>
            </w:r>
            <w:r>
              <w:rPr>
                <w:rFonts w:eastAsia="MS Mincho"/>
                <w:b/>
                <w:sz w:val="22"/>
                <w:szCs w:val="22"/>
                <w:vertAlign w:val="superscript"/>
                <w:lang w:val="el-GR"/>
              </w:rPr>
              <w:t>b</w:t>
            </w:r>
            <w:r>
              <w:rPr>
                <w:rFonts w:eastAsia="MS Mincho"/>
                <w:b/>
                <w:sz w:val="22"/>
                <w:szCs w:val="22"/>
                <w:lang w:val="el-GR"/>
              </w:rPr>
              <w:t>/ MTX</w:t>
            </w:r>
            <w:r>
              <w:rPr>
                <w:rFonts w:eastAsia="MS Mincho"/>
                <w:b/>
                <w:sz w:val="22"/>
                <w:szCs w:val="22"/>
                <w:vertAlign w:val="superscript"/>
                <w:lang w:val="el-GR"/>
              </w:rPr>
              <w:t>c</w:t>
            </w:r>
            <w:r>
              <w:rPr>
                <w:rFonts w:eastAsia="MS Mincho"/>
                <w:b/>
                <w:w w:val="99"/>
                <w:position w:val="10"/>
                <w:sz w:val="22"/>
                <w:szCs w:val="22"/>
                <w:lang w:val="el-GR"/>
              </w:rPr>
              <w:t xml:space="preserve"> </w:t>
            </w:r>
          </w:p>
          <w:p w14:paraId="6A3A3089" w14:textId="77777777" w:rsidR="00171824" w:rsidRDefault="006D258C">
            <w:pPr>
              <w:pStyle w:val="TableParagraph"/>
              <w:widowControl/>
              <w:kinsoku w:val="0"/>
              <w:overflowPunct w:val="0"/>
              <w:jc w:val="center"/>
              <w:rPr>
                <w:rFonts w:eastAsia="MS Mincho"/>
                <w:b/>
                <w:sz w:val="22"/>
                <w:szCs w:val="22"/>
                <w:lang w:val="el-GR"/>
              </w:rPr>
            </w:pPr>
            <w:r>
              <w:rPr>
                <w:rFonts w:eastAsia="MS Mincho"/>
                <w:b/>
                <w:sz w:val="22"/>
                <w:szCs w:val="22"/>
                <w:lang w:val="el-GR"/>
              </w:rPr>
              <w:t>n=207</w:t>
            </w:r>
          </w:p>
        </w:tc>
      </w:tr>
      <w:tr w:rsidR="00171824" w14:paraId="750FD478" w14:textId="77777777">
        <w:trPr>
          <w:trHeight w:val="19"/>
        </w:trPr>
        <w:tc>
          <w:tcPr>
            <w:tcW w:w="9623" w:type="dxa"/>
            <w:gridSpan w:val="7"/>
            <w:tcBorders>
              <w:left w:val="single" w:sz="4" w:space="0" w:color="auto"/>
              <w:bottom w:val="single" w:sz="4" w:space="0" w:color="auto"/>
              <w:right w:val="single" w:sz="4" w:space="0" w:color="auto"/>
            </w:tcBorders>
          </w:tcPr>
          <w:p w14:paraId="19372EEC"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ACR 20</w:t>
            </w:r>
          </w:p>
        </w:tc>
      </w:tr>
      <w:tr w:rsidR="00171824" w14:paraId="4B26E2CF" w14:textId="77777777">
        <w:trPr>
          <w:trHeight w:val="19"/>
        </w:trPr>
        <w:tc>
          <w:tcPr>
            <w:tcW w:w="1528" w:type="dxa"/>
            <w:tcBorders>
              <w:top w:val="single" w:sz="4" w:space="0" w:color="auto"/>
              <w:left w:val="single" w:sz="4" w:space="0" w:color="auto"/>
              <w:bottom w:val="nil"/>
            </w:tcBorders>
          </w:tcPr>
          <w:p w14:paraId="7B56FD65" w14:textId="77777777" w:rsidR="00171824" w:rsidRDefault="006D258C">
            <w:pPr>
              <w:pStyle w:val="BodyText"/>
              <w:keepNext/>
              <w:widowControl/>
              <w:rPr>
                <w:rFonts w:eastAsia="MS Mincho"/>
                <w:lang w:val="el-GR"/>
              </w:rPr>
            </w:pPr>
            <w:r>
              <w:rPr>
                <w:rFonts w:eastAsia="MS Mincho"/>
                <w:lang w:val="el-GR"/>
              </w:rPr>
              <w:t>6 μήνες</w:t>
            </w:r>
          </w:p>
        </w:tc>
        <w:tc>
          <w:tcPr>
            <w:tcW w:w="1444" w:type="dxa"/>
            <w:tcBorders>
              <w:top w:val="single" w:sz="4" w:space="0" w:color="auto"/>
              <w:bottom w:val="nil"/>
              <w:right w:val="single" w:sz="4" w:space="0" w:color="auto"/>
            </w:tcBorders>
          </w:tcPr>
          <w:p w14:paraId="53440AFE" w14:textId="77777777" w:rsidR="00171824" w:rsidRDefault="006D258C">
            <w:pPr>
              <w:pStyle w:val="TableParagraph"/>
              <w:keepNext/>
              <w:kinsoku w:val="0"/>
              <w:overflowPunct w:val="0"/>
              <w:jc w:val="center"/>
              <w:rPr>
                <w:rFonts w:eastAsia="MS Mincho"/>
                <w:sz w:val="22"/>
                <w:szCs w:val="22"/>
                <w:lang w:val="el-GR"/>
              </w:rPr>
            </w:pPr>
            <w:r>
              <w:rPr>
                <w:rFonts w:eastAsia="MS Mincho"/>
                <w:sz w:val="22"/>
                <w:szCs w:val="22"/>
                <w:lang w:val="el-GR"/>
              </w:rPr>
              <w:t>13,3%</w:t>
            </w:r>
          </w:p>
        </w:tc>
        <w:tc>
          <w:tcPr>
            <w:tcW w:w="1416" w:type="dxa"/>
            <w:tcBorders>
              <w:top w:val="single" w:sz="4" w:space="0" w:color="auto"/>
              <w:left w:val="single" w:sz="4" w:space="0" w:color="auto"/>
              <w:bottom w:val="nil"/>
            </w:tcBorders>
          </w:tcPr>
          <w:p w14:paraId="7466A37D" w14:textId="77777777" w:rsidR="00171824" w:rsidRDefault="006D258C">
            <w:pPr>
              <w:pStyle w:val="TableParagraph"/>
              <w:keepNext/>
              <w:kinsoku w:val="0"/>
              <w:overflowPunct w:val="0"/>
              <w:jc w:val="center"/>
              <w:rPr>
                <w:rFonts w:eastAsia="MS Mincho"/>
                <w:sz w:val="22"/>
                <w:szCs w:val="22"/>
                <w:lang w:val="el-GR"/>
              </w:rPr>
            </w:pPr>
            <w:r>
              <w:rPr>
                <w:rFonts w:eastAsia="MS Mincho"/>
                <w:sz w:val="22"/>
                <w:szCs w:val="22"/>
                <w:lang w:val="el-GR"/>
              </w:rPr>
              <w:t>65,1%</w:t>
            </w:r>
          </w:p>
        </w:tc>
        <w:tc>
          <w:tcPr>
            <w:tcW w:w="1272" w:type="dxa"/>
            <w:tcBorders>
              <w:top w:val="single" w:sz="4" w:space="0" w:color="auto"/>
              <w:bottom w:val="nil"/>
              <w:right w:val="single" w:sz="4" w:space="0" w:color="auto"/>
            </w:tcBorders>
          </w:tcPr>
          <w:p w14:paraId="209ADDDC" w14:textId="77777777" w:rsidR="00171824" w:rsidRDefault="006D258C">
            <w:pPr>
              <w:pStyle w:val="TableParagraph"/>
              <w:kinsoku w:val="0"/>
              <w:overflowPunct w:val="0"/>
              <w:jc w:val="center"/>
              <w:rPr>
                <w:rFonts w:eastAsia="MS Mincho"/>
                <w:sz w:val="22"/>
                <w:szCs w:val="22"/>
                <w:lang w:val="el-GR"/>
              </w:rPr>
            </w:pPr>
            <w:r>
              <w:rPr>
                <w:rFonts w:eastAsia="MS Mincho"/>
                <w:sz w:val="22"/>
                <w:szCs w:val="22"/>
                <w:lang w:val="el-GR"/>
              </w:rPr>
              <w:t>19,1%</w:t>
            </w:r>
          </w:p>
        </w:tc>
        <w:tc>
          <w:tcPr>
            <w:tcW w:w="992" w:type="dxa"/>
            <w:tcBorders>
              <w:top w:val="single" w:sz="4" w:space="0" w:color="auto"/>
              <w:left w:val="single" w:sz="4" w:space="0" w:color="auto"/>
              <w:bottom w:val="nil"/>
            </w:tcBorders>
          </w:tcPr>
          <w:p w14:paraId="703E06AD" w14:textId="77777777" w:rsidR="00171824" w:rsidRDefault="006D258C">
            <w:pPr>
              <w:pStyle w:val="TableParagraph"/>
              <w:kinsoku w:val="0"/>
              <w:overflowPunct w:val="0"/>
              <w:jc w:val="center"/>
              <w:rPr>
                <w:rFonts w:eastAsia="MS Mincho"/>
                <w:sz w:val="22"/>
                <w:szCs w:val="22"/>
                <w:lang w:val="el-GR"/>
              </w:rPr>
            </w:pPr>
            <w:r>
              <w:rPr>
                <w:rFonts w:eastAsia="MS Mincho"/>
                <w:sz w:val="22"/>
                <w:szCs w:val="22"/>
                <w:lang w:val="el-GR"/>
              </w:rPr>
              <w:t>46,0%</w:t>
            </w:r>
          </w:p>
        </w:tc>
        <w:tc>
          <w:tcPr>
            <w:tcW w:w="1556" w:type="dxa"/>
            <w:tcBorders>
              <w:top w:val="single" w:sz="4" w:space="0" w:color="auto"/>
              <w:bottom w:val="nil"/>
              <w:right w:val="single" w:sz="4" w:space="0" w:color="auto"/>
            </w:tcBorders>
          </w:tcPr>
          <w:p w14:paraId="16931F2D" w14:textId="77777777" w:rsidR="00171824" w:rsidRDefault="006D258C">
            <w:pPr>
              <w:pStyle w:val="TableParagraph"/>
              <w:kinsoku w:val="0"/>
              <w:overflowPunct w:val="0"/>
              <w:jc w:val="center"/>
              <w:rPr>
                <w:rFonts w:eastAsia="MS Mincho"/>
                <w:sz w:val="22"/>
                <w:szCs w:val="22"/>
                <w:lang w:val="el-GR"/>
              </w:rPr>
            </w:pPr>
            <w:r>
              <w:rPr>
                <w:rFonts w:eastAsia="MS Mincho"/>
                <w:sz w:val="22"/>
                <w:szCs w:val="22"/>
                <w:lang w:val="el-GR"/>
              </w:rPr>
              <w:t>29,5%</w:t>
            </w:r>
          </w:p>
        </w:tc>
        <w:tc>
          <w:tcPr>
            <w:tcW w:w="1415" w:type="dxa"/>
            <w:tcBorders>
              <w:top w:val="single" w:sz="4" w:space="0" w:color="auto"/>
              <w:left w:val="single" w:sz="4" w:space="0" w:color="auto"/>
              <w:bottom w:val="nil"/>
              <w:right w:val="single" w:sz="4" w:space="0" w:color="auto"/>
            </w:tcBorders>
          </w:tcPr>
          <w:p w14:paraId="251FAC6F" w14:textId="77777777" w:rsidR="00171824" w:rsidRDefault="006D258C">
            <w:pPr>
              <w:pStyle w:val="TableParagraph"/>
              <w:kinsoku w:val="0"/>
              <w:overflowPunct w:val="0"/>
              <w:jc w:val="center"/>
              <w:rPr>
                <w:rFonts w:eastAsia="MS Mincho"/>
                <w:sz w:val="22"/>
                <w:szCs w:val="22"/>
                <w:lang w:val="el-GR"/>
              </w:rPr>
            </w:pPr>
            <w:r>
              <w:rPr>
                <w:rFonts w:eastAsia="MS Mincho"/>
                <w:sz w:val="22"/>
                <w:szCs w:val="22"/>
                <w:lang w:val="el-GR"/>
              </w:rPr>
              <w:t>63,3%</w:t>
            </w:r>
          </w:p>
        </w:tc>
      </w:tr>
      <w:tr w:rsidR="00171824" w14:paraId="501E7275" w14:textId="77777777">
        <w:trPr>
          <w:trHeight w:val="19"/>
        </w:trPr>
        <w:tc>
          <w:tcPr>
            <w:tcW w:w="1528" w:type="dxa"/>
            <w:tcBorders>
              <w:top w:val="nil"/>
              <w:left w:val="single" w:sz="4" w:space="0" w:color="auto"/>
              <w:bottom w:val="single" w:sz="4" w:space="0" w:color="auto"/>
            </w:tcBorders>
          </w:tcPr>
          <w:p w14:paraId="2DD7F9CA" w14:textId="77777777" w:rsidR="00171824" w:rsidRDefault="006D258C">
            <w:pPr>
              <w:pStyle w:val="BodyText"/>
              <w:keepNext/>
              <w:widowControl/>
              <w:rPr>
                <w:rFonts w:eastAsia="MS Mincho"/>
                <w:lang w:val="el-GR"/>
              </w:rPr>
            </w:pPr>
            <w:r>
              <w:rPr>
                <w:rFonts w:eastAsia="MS Mincho"/>
                <w:lang w:val="el-GR"/>
              </w:rPr>
              <w:t>12 μήνες</w:t>
            </w:r>
          </w:p>
        </w:tc>
        <w:tc>
          <w:tcPr>
            <w:tcW w:w="1444" w:type="dxa"/>
            <w:tcBorders>
              <w:top w:val="nil"/>
              <w:bottom w:val="single" w:sz="4" w:space="0" w:color="auto"/>
              <w:right w:val="single" w:sz="4" w:space="0" w:color="auto"/>
            </w:tcBorders>
          </w:tcPr>
          <w:p w14:paraId="51968503"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NA</w:t>
            </w:r>
          </w:p>
        </w:tc>
        <w:tc>
          <w:tcPr>
            <w:tcW w:w="1416" w:type="dxa"/>
            <w:tcBorders>
              <w:top w:val="nil"/>
              <w:left w:val="single" w:sz="4" w:space="0" w:color="auto"/>
              <w:bottom w:val="single" w:sz="4" w:space="0" w:color="auto"/>
            </w:tcBorders>
          </w:tcPr>
          <w:p w14:paraId="16799AA3"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NA</w:t>
            </w:r>
          </w:p>
        </w:tc>
        <w:tc>
          <w:tcPr>
            <w:tcW w:w="1272" w:type="dxa"/>
            <w:tcBorders>
              <w:top w:val="nil"/>
              <w:bottom w:val="single" w:sz="4" w:space="0" w:color="auto"/>
              <w:right w:val="single" w:sz="4" w:space="0" w:color="auto"/>
            </w:tcBorders>
          </w:tcPr>
          <w:p w14:paraId="522E0AD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992" w:type="dxa"/>
            <w:tcBorders>
              <w:top w:val="nil"/>
              <w:left w:val="single" w:sz="4" w:space="0" w:color="auto"/>
              <w:bottom w:val="single" w:sz="4" w:space="0" w:color="auto"/>
            </w:tcBorders>
          </w:tcPr>
          <w:p w14:paraId="4B620F8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556" w:type="dxa"/>
            <w:tcBorders>
              <w:top w:val="nil"/>
              <w:bottom w:val="single" w:sz="4" w:space="0" w:color="auto"/>
              <w:right w:val="single" w:sz="4" w:space="0" w:color="auto"/>
            </w:tcBorders>
          </w:tcPr>
          <w:p w14:paraId="0BFB785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24,0%</w:t>
            </w:r>
          </w:p>
        </w:tc>
        <w:tc>
          <w:tcPr>
            <w:tcW w:w="1415" w:type="dxa"/>
            <w:tcBorders>
              <w:top w:val="nil"/>
              <w:left w:val="single" w:sz="4" w:space="0" w:color="auto"/>
              <w:bottom w:val="single" w:sz="4" w:space="0" w:color="auto"/>
              <w:right w:val="single" w:sz="4" w:space="0" w:color="auto"/>
            </w:tcBorders>
          </w:tcPr>
          <w:p w14:paraId="4943FBC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58,9%</w:t>
            </w:r>
          </w:p>
        </w:tc>
      </w:tr>
      <w:tr w:rsidR="00171824" w14:paraId="67F4DB50" w14:textId="77777777">
        <w:trPr>
          <w:trHeight w:val="19"/>
        </w:trPr>
        <w:tc>
          <w:tcPr>
            <w:tcW w:w="9623" w:type="dxa"/>
            <w:gridSpan w:val="7"/>
            <w:tcBorders>
              <w:top w:val="single" w:sz="4" w:space="0" w:color="auto"/>
              <w:left w:val="single" w:sz="4" w:space="0" w:color="auto"/>
              <w:bottom w:val="single" w:sz="4" w:space="0" w:color="auto"/>
              <w:right w:val="single" w:sz="4" w:space="0" w:color="auto"/>
            </w:tcBorders>
          </w:tcPr>
          <w:p w14:paraId="3B19CDB1" w14:textId="77777777" w:rsidR="00171824" w:rsidRDefault="006D258C">
            <w:pPr>
              <w:widowControl/>
              <w:rPr>
                <w:rFonts w:eastAsia="MS Mincho"/>
                <w:sz w:val="22"/>
                <w:szCs w:val="22"/>
                <w:lang w:val="el-GR"/>
              </w:rPr>
            </w:pPr>
            <w:r>
              <w:rPr>
                <w:rFonts w:eastAsia="MS Mincho"/>
                <w:sz w:val="22"/>
                <w:szCs w:val="22"/>
                <w:lang w:val="el-GR"/>
              </w:rPr>
              <w:t>ACR 50</w:t>
            </w:r>
          </w:p>
        </w:tc>
      </w:tr>
      <w:tr w:rsidR="00171824" w14:paraId="08E89393" w14:textId="77777777">
        <w:trPr>
          <w:trHeight w:val="19"/>
        </w:trPr>
        <w:tc>
          <w:tcPr>
            <w:tcW w:w="1528" w:type="dxa"/>
            <w:tcBorders>
              <w:top w:val="single" w:sz="4" w:space="0" w:color="auto"/>
              <w:left w:val="single" w:sz="4" w:space="0" w:color="auto"/>
              <w:bottom w:val="nil"/>
            </w:tcBorders>
          </w:tcPr>
          <w:p w14:paraId="378E6800" w14:textId="77777777" w:rsidR="00171824" w:rsidRDefault="006D258C">
            <w:pPr>
              <w:pStyle w:val="BodyText"/>
              <w:widowControl/>
              <w:rPr>
                <w:rFonts w:eastAsia="MS Mincho"/>
                <w:lang w:val="el-GR"/>
              </w:rPr>
            </w:pPr>
            <w:r>
              <w:rPr>
                <w:rFonts w:eastAsia="MS Mincho"/>
                <w:lang w:val="el-GR"/>
              </w:rPr>
              <w:t>6 μήνες</w:t>
            </w:r>
          </w:p>
        </w:tc>
        <w:tc>
          <w:tcPr>
            <w:tcW w:w="1444" w:type="dxa"/>
            <w:tcBorders>
              <w:top w:val="single" w:sz="4" w:space="0" w:color="auto"/>
              <w:bottom w:val="nil"/>
              <w:right w:val="single" w:sz="4" w:space="0" w:color="auto"/>
            </w:tcBorders>
          </w:tcPr>
          <w:p w14:paraId="6D389CF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6,7%</w:t>
            </w:r>
          </w:p>
        </w:tc>
        <w:tc>
          <w:tcPr>
            <w:tcW w:w="1416" w:type="dxa"/>
            <w:tcBorders>
              <w:top w:val="single" w:sz="4" w:space="0" w:color="auto"/>
              <w:left w:val="single" w:sz="4" w:space="0" w:color="auto"/>
              <w:bottom w:val="nil"/>
            </w:tcBorders>
          </w:tcPr>
          <w:p w14:paraId="2FEAAF2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52,4%</w:t>
            </w:r>
          </w:p>
        </w:tc>
        <w:tc>
          <w:tcPr>
            <w:tcW w:w="1272" w:type="dxa"/>
            <w:tcBorders>
              <w:top w:val="single" w:sz="4" w:space="0" w:color="auto"/>
              <w:bottom w:val="nil"/>
              <w:right w:val="single" w:sz="4" w:space="0" w:color="auto"/>
            </w:tcBorders>
          </w:tcPr>
          <w:p w14:paraId="594F76D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8,2%</w:t>
            </w:r>
          </w:p>
        </w:tc>
        <w:tc>
          <w:tcPr>
            <w:tcW w:w="992" w:type="dxa"/>
            <w:tcBorders>
              <w:top w:val="single" w:sz="4" w:space="0" w:color="auto"/>
              <w:left w:val="single" w:sz="4" w:space="0" w:color="auto"/>
              <w:bottom w:val="nil"/>
            </w:tcBorders>
          </w:tcPr>
          <w:p w14:paraId="588FDF7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22,1%</w:t>
            </w:r>
          </w:p>
        </w:tc>
        <w:tc>
          <w:tcPr>
            <w:tcW w:w="1556" w:type="dxa"/>
            <w:tcBorders>
              <w:top w:val="single" w:sz="4" w:space="0" w:color="auto"/>
              <w:bottom w:val="nil"/>
              <w:right w:val="single" w:sz="4" w:space="0" w:color="auto"/>
            </w:tcBorders>
          </w:tcPr>
          <w:p w14:paraId="227DAB2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9,5%</w:t>
            </w:r>
          </w:p>
        </w:tc>
        <w:tc>
          <w:tcPr>
            <w:tcW w:w="1415" w:type="dxa"/>
            <w:tcBorders>
              <w:top w:val="single" w:sz="4" w:space="0" w:color="auto"/>
              <w:left w:val="single" w:sz="4" w:space="0" w:color="auto"/>
              <w:bottom w:val="nil"/>
              <w:right w:val="single" w:sz="4" w:space="0" w:color="auto"/>
            </w:tcBorders>
          </w:tcPr>
          <w:p w14:paraId="4A1B005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39,1%</w:t>
            </w:r>
          </w:p>
        </w:tc>
      </w:tr>
      <w:tr w:rsidR="00171824" w14:paraId="0378C960" w14:textId="77777777">
        <w:trPr>
          <w:trHeight w:val="19"/>
        </w:trPr>
        <w:tc>
          <w:tcPr>
            <w:tcW w:w="1528" w:type="dxa"/>
            <w:tcBorders>
              <w:top w:val="nil"/>
              <w:left w:val="single" w:sz="4" w:space="0" w:color="auto"/>
              <w:bottom w:val="single" w:sz="4" w:space="0" w:color="auto"/>
            </w:tcBorders>
          </w:tcPr>
          <w:p w14:paraId="5D7227F2" w14:textId="77777777" w:rsidR="00171824" w:rsidRDefault="006D258C">
            <w:pPr>
              <w:pStyle w:val="BodyText"/>
              <w:widowControl/>
              <w:rPr>
                <w:rFonts w:eastAsia="MS Mincho"/>
                <w:lang w:val="el-GR"/>
              </w:rPr>
            </w:pPr>
            <w:r>
              <w:rPr>
                <w:rFonts w:eastAsia="MS Mincho"/>
                <w:lang w:val="el-GR"/>
              </w:rPr>
              <w:t>12 μήνες</w:t>
            </w:r>
          </w:p>
        </w:tc>
        <w:tc>
          <w:tcPr>
            <w:tcW w:w="1444" w:type="dxa"/>
            <w:tcBorders>
              <w:top w:val="nil"/>
              <w:bottom w:val="single" w:sz="4" w:space="0" w:color="auto"/>
              <w:right w:val="single" w:sz="4" w:space="0" w:color="auto"/>
            </w:tcBorders>
          </w:tcPr>
          <w:p w14:paraId="7F735BE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416" w:type="dxa"/>
            <w:tcBorders>
              <w:top w:val="nil"/>
              <w:left w:val="single" w:sz="4" w:space="0" w:color="auto"/>
              <w:bottom w:val="single" w:sz="4" w:space="0" w:color="auto"/>
            </w:tcBorders>
          </w:tcPr>
          <w:p w14:paraId="079AC4A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272" w:type="dxa"/>
            <w:tcBorders>
              <w:top w:val="nil"/>
              <w:bottom w:val="single" w:sz="4" w:space="0" w:color="auto"/>
              <w:right w:val="single" w:sz="4" w:space="0" w:color="auto"/>
            </w:tcBorders>
          </w:tcPr>
          <w:p w14:paraId="57780D9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992" w:type="dxa"/>
            <w:tcBorders>
              <w:top w:val="nil"/>
              <w:left w:val="single" w:sz="4" w:space="0" w:color="auto"/>
              <w:bottom w:val="single" w:sz="4" w:space="0" w:color="auto"/>
            </w:tcBorders>
          </w:tcPr>
          <w:p w14:paraId="33AD630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556" w:type="dxa"/>
            <w:tcBorders>
              <w:top w:val="nil"/>
              <w:bottom w:val="single" w:sz="4" w:space="0" w:color="auto"/>
              <w:right w:val="single" w:sz="4" w:space="0" w:color="auto"/>
            </w:tcBorders>
          </w:tcPr>
          <w:p w14:paraId="1DBC8D8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9,5%</w:t>
            </w:r>
          </w:p>
        </w:tc>
        <w:tc>
          <w:tcPr>
            <w:tcW w:w="1415" w:type="dxa"/>
            <w:tcBorders>
              <w:top w:val="nil"/>
              <w:left w:val="single" w:sz="4" w:space="0" w:color="auto"/>
              <w:bottom w:val="single" w:sz="4" w:space="0" w:color="auto"/>
              <w:right w:val="single" w:sz="4" w:space="0" w:color="auto"/>
            </w:tcBorders>
          </w:tcPr>
          <w:p w14:paraId="658D942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41,5%</w:t>
            </w:r>
          </w:p>
        </w:tc>
      </w:tr>
      <w:tr w:rsidR="00171824" w14:paraId="5816AA5B" w14:textId="77777777">
        <w:trPr>
          <w:trHeight w:val="19"/>
        </w:trPr>
        <w:tc>
          <w:tcPr>
            <w:tcW w:w="9623" w:type="dxa"/>
            <w:gridSpan w:val="7"/>
            <w:tcBorders>
              <w:top w:val="single" w:sz="4" w:space="0" w:color="auto"/>
              <w:left w:val="single" w:sz="4" w:space="0" w:color="auto"/>
              <w:bottom w:val="single" w:sz="4" w:space="0" w:color="auto"/>
              <w:right w:val="single" w:sz="4" w:space="0" w:color="auto"/>
            </w:tcBorders>
          </w:tcPr>
          <w:p w14:paraId="4BD2265D" w14:textId="77777777" w:rsidR="00171824" w:rsidRDefault="006D258C">
            <w:pPr>
              <w:widowControl/>
              <w:rPr>
                <w:rFonts w:eastAsia="MS Mincho"/>
                <w:sz w:val="22"/>
                <w:szCs w:val="22"/>
                <w:lang w:val="el-GR"/>
              </w:rPr>
            </w:pPr>
            <w:r>
              <w:rPr>
                <w:rFonts w:eastAsia="MS Mincho"/>
                <w:sz w:val="22"/>
                <w:szCs w:val="22"/>
                <w:lang w:val="el-GR"/>
              </w:rPr>
              <w:t>ACR 70</w:t>
            </w:r>
          </w:p>
        </w:tc>
      </w:tr>
      <w:tr w:rsidR="00171824" w14:paraId="0DEDCC6B" w14:textId="77777777">
        <w:trPr>
          <w:trHeight w:val="19"/>
        </w:trPr>
        <w:tc>
          <w:tcPr>
            <w:tcW w:w="1528" w:type="dxa"/>
            <w:tcBorders>
              <w:top w:val="single" w:sz="4" w:space="0" w:color="auto"/>
              <w:left w:val="single" w:sz="4" w:space="0" w:color="auto"/>
              <w:bottom w:val="nil"/>
            </w:tcBorders>
          </w:tcPr>
          <w:p w14:paraId="78924676" w14:textId="77777777" w:rsidR="00171824" w:rsidRDefault="006D258C">
            <w:pPr>
              <w:pStyle w:val="BodyText"/>
              <w:widowControl/>
              <w:rPr>
                <w:rFonts w:eastAsia="MS Mincho"/>
                <w:lang w:val="el-GR"/>
              </w:rPr>
            </w:pPr>
            <w:r>
              <w:rPr>
                <w:rFonts w:eastAsia="MS Mincho"/>
                <w:lang w:val="el-GR"/>
              </w:rPr>
              <w:t>6 μήνες</w:t>
            </w:r>
          </w:p>
        </w:tc>
        <w:tc>
          <w:tcPr>
            <w:tcW w:w="1444" w:type="dxa"/>
            <w:tcBorders>
              <w:top w:val="single" w:sz="4" w:space="0" w:color="auto"/>
              <w:bottom w:val="nil"/>
              <w:right w:val="single" w:sz="4" w:space="0" w:color="auto"/>
            </w:tcBorders>
          </w:tcPr>
          <w:p w14:paraId="1EA6222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3,3%</w:t>
            </w:r>
          </w:p>
        </w:tc>
        <w:tc>
          <w:tcPr>
            <w:tcW w:w="1416" w:type="dxa"/>
            <w:tcBorders>
              <w:top w:val="single" w:sz="4" w:space="0" w:color="auto"/>
              <w:left w:val="single" w:sz="4" w:space="0" w:color="auto"/>
              <w:bottom w:val="nil"/>
            </w:tcBorders>
          </w:tcPr>
          <w:p w14:paraId="6679847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23,8%</w:t>
            </w:r>
          </w:p>
        </w:tc>
        <w:tc>
          <w:tcPr>
            <w:tcW w:w="1272" w:type="dxa"/>
            <w:tcBorders>
              <w:top w:val="single" w:sz="4" w:space="0" w:color="auto"/>
              <w:bottom w:val="nil"/>
              <w:right w:val="single" w:sz="4" w:space="0" w:color="auto"/>
            </w:tcBorders>
          </w:tcPr>
          <w:p w14:paraId="5EDCAA7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1,8%</w:t>
            </w:r>
          </w:p>
        </w:tc>
        <w:tc>
          <w:tcPr>
            <w:tcW w:w="992" w:type="dxa"/>
            <w:tcBorders>
              <w:top w:val="single" w:sz="4" w:space="0" w:color="auto"/>
              <w:left w:val="single" w:sz="4" w:space="0" w:color="auto"/>
              <w:bottom w:val="nil"/>
            </w:tcBorders>
          </w:tcPr>
          <w:p w14:paraId="528394A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12,4%</w:t>
            </w:r>
          </w:p>
        </w:tc>
        <w:tc>
          <w:tcPr>
            <w:tcW w:w="1556" w:type="dxa"/>
            <w:tcBorders>
              <w:top w:val="single" w:sz="4" w:space="0" w:color="auto"/>
              <w:bottom w:val="nil"/>
              <w:right w:val="single" w:sz="4" w:space="0" w:color="auto"/>
            </w:tcBorders>
          </w:tcPr>
          <w:p w14:paraId="1CE9CDB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2,5%</w:t>
            </w:r>
          </w:p>
        </w:tc>
        <w:tc>
          <w:tcPr>
            <w:tcW w:w="1415" w:type="dxa"/>
            <w:tcBorders>
              <w:top w:val="single" w:sz="4" w:space="0" w:color="auto"/>
              <w:left w:val="single" w:sz="4" w:space="0" w:color="auto"/>
              <w:bottom w:val="nil"/>
              <w:right w:val="single" w:sz="4" w:space="0" w:color="auto"/>
            </w:tcBorders>
          </w:tcPr>
          <w:p w14:paraId="5084B3A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20,8%</w:t>
            </w:r>
          </w:p>
        </w:tc>
      </w:tr>
      <w:tr w:rsidR="00171824" w14:paraId="10C2FDF5" w14:textId="77777777">
        <w:trPr>
          <w:trHeight w:val="19"/>
        </w:trPr>
        <w:tc>
          <w:tcPr>
            <w:tcW w:w="1528" w:type="dxa"/>
            <w:tcBorders>
              <w:top w:val="nil"/>
              <w:left w:val="single" w:sz="4" w:space="0" w:color="auto"/>
              <w:bottom w:val="single" w:sz="4" w:space="0" w:color="auto"/>
            </w:tcBorders>
          </w:tcPr>
          <w:p w14:paraId="76C7CCCE" w14:textId="77777777" w:rsidR="00171824" w:rsidRDefault="006D258C">
            <w:pPr>
              <w:pStyle w:val="BodyText"/>
              <w:widowControl/>
              <w:rPr>
                <w:rFonts w:eastAsia="MS Mincho"/>
                <w:lang w:val="el-GR"/>
              </w:rPr>
            </w:pPr>
            <w:r>
              <w:rPr>
                <w:rFonts w:eastAsia="MS Mincho"/>
                <w:lang w:val="el-GR"/>
              </w:rPr>
              <w:t>12 μήνες</w:t>
            </w:r>
          </w:p>
        </w:tc>
        <w:tc>
          <w:tcPr>
            <w:tcW w:w="1444" w:type="dxa"/>
            <w:tcBorders>
              <w:top w:val="nil"/>
              <w:bottom w:val="single" w:sz="4" w:space="0" w:color="auto"/>
              <w:right w:val="single" w:sz="4" w:space="0" w:color="auto"/>
            </w:tcBorders>
          </w:tcPr>
          <w:p w14:paraId="6A08F3E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416" w:type="dxa"/>
            <w:tcBorders>
              <w:top w:val="nil"/>
              <w:left w:val="single" w:sz="4" w:space="0" w:color="auto"/>
              <w:bottom w:val="single" w:sz="4" w:space="0" w:color="auto"/>
            </w:tcBorders>
          </w:tcPr>
          <w:p w14:paraId="74826C9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272" w:type="dxa"/>
            <w:tcBorders>
              <w:top w:val="nil"/>
              <w:bottom w:val="single" w:sz="4" w:space="0" w:color="auto"/>
              <w:right w:val="single" w:sz="4" w:space="0" w:color="auto"/>
            </w:tcBorders>
          </w:tcPr>
          <w:p w14:paraId="4A8CBE1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992" w:type="dxa"/>
            <w:tcBorders>
              <w:top w:val="nil"/>
              <w:left w:val="single" w:sz="4" w:space="0" w:color="auto"/>
              <w:bottom w:val="single" w:sz="4" w:space="0" w:color="auto"/>
            </w:tcBorders>
          </w:tcPr>
          <w:p w14:paraId="14662FA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556" w:type="dxa"/>
            <w:tcBorders>
              <w:top w:val="nil"/>
              <w:bottom w:val="single" w:sz="4" w:space="0" w:color="auto"/>
              <w:right w:val="single" w:sz="4" w:space="0" w:color="auto"/>
            </w:tcBorders>
          </w:tcPr>
          <w:p w14:paraId="2F401B8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4,5%</w:t>
            </w:r>
          </w:p>
        </w:tc>
        <w:tc>
          <w:tcPr>
            <w:tcW w:w="1415" w:type="dxa"/>
            <w:tcBorders>
              <w:top w:val="nil"/>
              <w:left w:val="single" w:sz="4" w:space="0" w:color="auto"/>
              <w:bottom w:val="single" w:sz="4" w:space="0" w:color="auto"/>
              <w:right w:val="single" w:sz="4" w:space="0" w:color="auto"/>
            </w:tcBorders>
          </w:tcPr>
          <w:p w14:paraId="496DB4E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23,2%</w:t>
            </w:r>
          </w:p>
        </w:tc>
      </w:tr>
    </w:tbl>
    <w:p w14:paraId="23955E45" w14:textId="77777777" w:rsidR="00171824" w:rsidRDefault="006D258C">
      <w:pPr>
        <w:pStyle w:val="BodyText"/>
        <w:widowControl/>
        <w:numPr>
          <w:ilvl w:val="0"/>
          <w:numId w:val="12"/>
        </w:numPr>
        <w:tabs>
          <w:tab w:val="left" w:pos="284"/>
        </w:tabs>
        <w:kinsoku w:val="0"/>
        <w:overflowPunct w:val="0"/>
        <w:ind w:left="0" w:firstLine="0"/>
        <w:jc w:val="both"/>
        <w:rPr>
          <w:sz w:val="20"/>
          <w:szCs w:val="20"/>
          <w:lang w:val="el-GR"/>
        </w:rPr>
      </w:pPr>
      <w:r>
        <w:rPr>
          <w:sz w:val="20"/>
          <w:szCs w:val="20"/>
          <w:lang w:val="el-GR"/>
        </w:rPr>
        <w:t>Μελέτη RA Ι στις 24 εβδομάδες, μελέτη RA ΙΙ στις 26 εβδομάδες και μελέτη RA ΙΙΙ στις 24 και 52 εβδομάδες</w:t>
      </w:r>
    </w:p>
    <w:p w14:paraId="344E54BC" w14:textId="77777777" w:rsidR="00171824" w:rsidRDefault="006D258C">
      <w:pPr>
        <w:pStyle w:val="BodyText"/>
        <w:widowControl/>
        <w:numPr>
          <w:ilvl w:val="0"/>
          <w:numId w:val="12"/>
        </w:numPr>
        <w:tabs>
          <w:tab w:val="left" w:pos="284"/>
        </w:tabs>
        <w:kinsoku w:val="0"/>
        <w:overflowPunct w:val="0"/>
        <w:ind w:left="0" w:firstLine="0"/>
        <w:jc w:val="both"/>
        <w:rPr>
          <w:sz w:val="20"/>
          <w:szCs w:val="20"/>
          <w:lang w:val="el-GR"/>
        </w:rPr>
      </w:pPr>
      <w:r>
        <w:rPr>
          <w:sz w:val="20"/>
          <w:szCs w:val="20"/>
          <w:lang w:val="el-GR"/>
        </w:rPr>
        <w:t>40 mg adalimumab χορηγούμενο ανά δεύτερη εβδομάδα</w:t>
      </w:r>
    </w:p>
    <w:p w14:paraId="3C1577B4" w14:textId="77777777" w:rsidR="00171824" w:rsidRDefault="006D258C">
      <w:pPr>
        <w:pStyle w:val="BodyText"/>
        <w:widowControl/>
        <w:numPr>
          <w:ilvl w:val="0"/>
          <w:numId w:val="12"/>
        </w:numPr>
        <w:tabs>
          <w:tab w:val="left" w:pos="284"/>
        </w:tabs>
        <w:kinsoku w:val="0"/>
        <w:overflowPunct w:val="0"/>
        <w:ind w:left="0" w:firstLine="0"/>
        <w:jc w:val="both"/>
        <w:rPr>
          <w:sz w:val="20"/>
          <w:szCs w:val="20"/>
          <w:lang w:val="el-GR"/>
        </w:rPr>
      </w:pPr>
      <w:r>
        <w:rPr>
          <w:sz w:val="20"/>
          <w:szCs w:val="20"/>
          <w:lang w:val="el-GR"/>
        </w:rPr>
        <w:t>MTX = μεθοτρεξάτη</w:t>
      </w:r>
    </w:p>
    <w:p w14:paraId="1E9E1234" w14:textId="77777777" w:rsidR="00171824" w:rsidRDefault="006D258C">
      <w:pPr>
        <w:pStyle w:val="BodyText"/>
        <w:widowControl/>
        <w:tabs>
          <w:tab w:val="left" w:pos="284"/>
        </w:tabs>
        <w:kinsoku w:val="0"/>
        <w:overflowPunct w:val="0"/>
        <w:ind w:left="0"/>
        <w:jc w:val="both"/>
        <w:rPr>
          <w:sz w:val="20"/>
          <w:szCs w:val="20"/>
          <w:lang w:val="el-GR"/>
        </w:rPr>
      </w:pPr>
      <w:r>
        <w:rPr>
          <w:sz w:val="20"/>
          <w:szCs w:val="20"/>
          <w:lang w:val="el-GR"/>
        </w:rPr>
        <w:t>**</w:t>
      </w:r>
      <w:r>
        <w:rPr>
          <w:sz w:val="20"/>
          <w:szCs w:val="20"/>
          <w:lang w:val="el-GR"/>
        </w:rPr>
        <w:tab/>
        <w:t xml:space="preserve">p &lt; 0,01, adalimumab </w:t>
      </w:r>
      <w:r>
        <w:rPr>
          <w:i/>
          <w:iCs/>
          <w:sz w:val="20"/>
          <w:szCs w:val="20"/>
          <w:lang w:val="el-GR"/>
        </w:rPr>
        <w:t xml:space="preserve">έναντι </w:t>
      </w:r>
      <w:r>
        <w:rPr>
          <w:sz w:val="20"/>
          <w:szCs w:val="20"/>
          <w:lang w:val="el-GR"/>
        </w:rPr>
        <w:t>εικονικού φαρμάκου</w:t>
      </w:r>
    </w:p>
    <w:p w14:paraId="312D1841" w14:textId="77777777" w:rsidR="00171824" w:rsidRDefault="00171824">
      <w:pPr>
        <w:widowControl/>
        <w:kinsoku w:val="0"/>
        <w:overflowPunct w:val="0"/>
        <w:rPr>
          <w:sz w:val="22"/>
          <w:szCs w:val="22"/>
          <w:lang w:val="el-GR"/>
        </w:rPr>
      </w:pPr>
    </w:p>
    <w:p w14:paraId="2A083468" w14:textId="77777777" w:rsidR="00171824" w:rsidRDefault="006D258C">
      <w:pPr>
        <w:pStyle w:val="BodyText"/>
        <w:widowControl/>
        <w:kinsoku w:val="0"/>
        <w:overflowPunct w:val="0"/>
        <w:ind w:left="0"/>
        <w:rPr>
          <w:lang w:val="el-GR"/>
        </w:rPr>
      </w:pPr>
      <w:r>
        <w:rPr>
          <w:lang w:val="el-GR"/>
        </w:rPr>
        <w:t>Στις μελέτες RA I</w:t>
      </w:r>
      <w:r>
        <w:rPr>
          <w:lang w:val="el-GR"/>
        </w:rPr>
        <w:noBreakHyphen/>
        <w:t xml:space="preserve">IV, όλα τα μεμονωμένα στοιχεία των ανταποκρίσεων σύμφωνα με το ACR (αριθμός επώδυνων και διογκωμένων αρθρώσεων, αξιολόγηση της δραστηριότητας της νόσου και του </w:t>
      </w:r>
      <w:r>
        <w:rPr>
          <w:lang w:val="el-GR"/>
        </w:rPr>
        <w:lastRenderedPageBreak/>
        <w:t>άλγους από τον γιατρό και τον ασθενή, τιμές δείκτη ανικανότητας (HAQ) και επίπεδα CRP (mg/dl)) βελτιώθηκαν στις 24 ή 26 εβδομάδες έναντι του εικονικού φαρμάκου. Στη μελέτη RA ΙΙΙ, οι βελτιώσεις αυτές διατηρήθηκαν καθ’ όλη τη διάρκεια των 52 εβδομάδων.</w:t>
      </w:r>
    </w:p>
    <w:p w14:paraId="17CF3580" w14:textId="77777777" w:rsidR="00171824" w:rsidRDefault="00171824">
      <w:pPr>
        <w:widowControl/>
        <w:kinsoku w:val="0"/>
        <w:overflowPunct w:val="0"/>
        <w:rPr>
          <w:sz w:val="22"/>
          <w:szCs w:val="22"/>
          <w:lang w:val="el-GR"/>
        </w:rPr>
      </w:pPr>
    </w:p>
    <w:p w14:paraId="0344406D" w14:textId="77777777" w:rsidR="00171824" w:rsidRDefault="006D258C">
      <w:pPr>
        <w:pStyle w:val="BodyText"/>
        <w:widowControl/>
        <w:kinsoku w:val="0"/>
        <w:overflowPunct w:val="0"/>
        <w:ind w:left="0"/>
        <w:rPr>
          <w:lang w:val="el-GR"/>
        </w:rPr>
      </w:pPr>
      <w:r>
        <w:rPr>
          <w:lang w:val="el-GR"/>
        </w:rPr>
        <w:t>Στην ανοιχτή μελέτη επέκτασης για τη μελέτη RA ΙΙΙ, οι περισσότεροι ασθενείς που είχαν ACR ανταπόκριση διατήρησαν την ανταπόκριση όταν παρακολουθήθηκαν μέχρι και 10 χρόνια. Από 207 ασθενείς οι οποίοι τυχαιοποιήθηκαν σε adalimumab 40 mg κάθε δεύτερη εβδομάδα, 114 ασθενείς συνέχισαν τη θεραπεία με adalimumab 40 mg κάθε δεύτερη εβδομάδα για 5 χρόνια. Μεταξύ αυτών, 86 ασθενείς (75,4%) είχαν ανταποκρίσεις ACR 20, 72 ασθενείς (63,2%) είχαν ανταποκρίσεις ACR 50 και 41 ασθενείς (36%) είχαν ανταποκρίσεις ACR 70. Από 207 ασθενείς, 81 ασθενείς συνέχισαν τη θεραπεία με adalimumab 40 mg κάθε δεύτερη εβδομάδα για 10 χρόνια. Μεταξύ αυτών, 64 ασθενείς (79,0%) είχαν ανταποκρίσεις ACR 20, 56 ασθενείς (69,1%) είχαν ανταποκρίσεις ACR 50 και 43 ασθενείς (53,1%) είχαν ανταποκρίσεις ACR 70.</w:t>
      </w:r>
    </w:p>
    <w:p w14:paraId="6C684FAA" w14:textId="77777777" w:rsidR="00171824" w:rsidRDefault="00171824">
      <w:pPr>
        <w:widowControl/>
        <w:kinsoku w:val="0"/>
        <w:overflowPunct w:val="0"/>
        <w:rPr>
          <w:sz w:val="22"/>
          <w:szCs w:val="22"/>
          <w:lang w:val="el-GR"/>
        </w:rPr>
      </w:pPr>
    </w:p>
    <w:p w14:paraId="78C52431" w14:textId="77777777" w:rsidR="00171824" w:rsidRDefault="006D258C">
      <w:pPr>
        <w:pStyle w:val="BodyText"/>
        <w:widowControl/>
        <w:kinsoku w:val="0"/>
        <w:overflowPunct w:val="0"/>
        <w:ind w:left="0"/>
        <w:rPr>
          <w:lang w:val="el-GR"/>
        </w:rPr>
      </w:pPr>
      <w:r>
        <w:rPr>
          <w:lang w:val="el-GR"/>
        </w:rPr>
        <w:t>Στη μελέτη RA IV, η ACR 20 ανταπόκριση των ασθενών που έλαβαν adalimumab μαζί με τη συνήθη θεραπεία, ήταν στατιστικά σημαντικά καλύτερη συγκριτικά με τους ασθενείς που έλαβαν εικονικό φάρμακο μαζί με τη συνήθη θεραπεία (p &lt; 0,001).</w:t>
      </w:r>
    </w:p>
    <w:p w14:paraId="3E0A7140" w14:textId="77777777" w:rsidR="00171824" w:rsidRDefault="00171824">
      <w:pPr>
        <w:widowControl/>
        <w:kinsoku w:val="0"/>
        <w:overflowPunct w:val="0"/>
        <w:rPr>
          <w:sz w:val="22"/>
          <w:szCs w:val="22"/>
          <w:lang w:val="el-GR"/>
        </w:rPr>
      </w:pPr>
    </w:p>
    <w:p w14:paraId="31A76B0F" w14:textId="77777777" w:rsidR="00171824" w:rsidRDefault="006D258C">
      <w:pPr>
        <w:pStyle w:val="BodyText"/>
        <w:widowControl/>
        <w:kinsoku w:val="0"/>
        <w:overflowPunct w:val="0"/>
        <w:ind w:left="0"/>
        <w:rPr>
          <w:lang w:val="el-GR"/>
        </w:rPr>
      </w:pPr>
      <w:r>
        <w:rPr>
          <w:lang w:val="el-GR"/>
        </w:rPr>
        <w:t>Στις μελέτες RA Ι</w:t>
      </w:r>
      <w:r>
        <w:rPr>
          <w:lang w:val="el-GR"/>
        </w:rPr>
        <w:noBreakHyphen/>
        <w:t>ΙV, οι ασθενείς που έλαβαν adalimumab πέτυχαν στατιστικά σημαντικές ACR 20 και 50 ανταποκρίσεις συγκριτικά με τους ασθενείς που έλαβαν εικονικό φάρμακο για μια περίοδο μιας έως δύο εβδομάδων μετά την έναρξη της θεραπείας.</w:t>
      </w:r>
    </w:p>
    <w:p w14:paraId="7EC2EADF" w14:textId="77777777" w:rsidR="00171824" w:rsidRDefault="00171824">
      <w:pPr>
        <w:widowControl/>
        <w:kinsoku w:val="0"/>
        <w:overflowPunct w:val="0"/>
        <w:rPr>
          <w:sz w:val="22"/>
          <w:szCs w:val="22"/>
          <w:lang w:val="el-GR"/>
        </w:rPr>
      </w:pPr>
    </w:p>
    <w:p w14:paraId="16B977B5" w14:textId="77777777" w:rsidR="00171824" w:rsidRDefault="006D258C">
      <w:pPr>
        <w:pStyle w:val="BodyText"/>
        <w:widowControl/>
        <w:kinsoku w:val="0"/>
        <w:overflowPunct w:val="0"/>
        <w:ind w:left="0"/>
        <w:rPr>
          <w:lang w:val="el-GR"/>
        </w:rPr>
      </w:pPr>
      <w:r>
        <w:rPr>
          <w:lang w:val="el-GR"/>
        </w:rPr>
        <w:t>Στη μελέτη RA V σε ασθενείς με πρώιμη ρευματοειδή αρθρίτιδα στους οποίους δεν είχε χορηγηθεί ποτέ μεθοτρεξάτη, η θεραπεία συνδυασμού με adalimumab και μεθοτρεξάτη οδήγησε σε γρηγορότερες και σημαντικά μεγαλύτερες ACR ανταποκρίσεις από τη μονοθεραπεία με μεθοτρεξάτη στην εβδομάδα 52 και οι ανταποκρίσεις διατηρήθηκαν στην εβδομάδα 104 (βλέπε πίνακα 9).</w:t>
      </w:r>
    </w:p>
    <w:p w14:paraId="6432169F" w14:textId="77777777" w:rsidR="00171824" w:rsidRDefault="00171824">
      <w:pPr>
        <w:pStyle w:val="BodyText"/>
        <w:widowControl/>
        <w:kinsoku w:val="0"/>
        <w:overflowPunct w:val="0"/>
        <w:ind w:left="0"/>
        <w:rPr>
          <w:lang w:val="el-GR"/>
        </w:rPr>
      </w:pPr>
    </w:p>
    <w:p w14:paraId="709AB09E" w14:textId="77777777" w:rsidR="00171824" w:rsidRDefault="006D258C">
      <w:pPr>
        <w:pStyle w:val="Heading1"/>
        <w:keepNext/>
        <w:widowControl/>
        <w:kinsoku w:val="0"/>
        <w:overflowPunct w:val="0"/>
        <w:ind w:left="0"/>
        <w:rPr>
          <w:lang w:val="el-GR"/>
        </w:rPr>
      </w:pPr>
      <w:r>
        <w:rPr>
          <w:lang w:val="el-GR"/>
        </w:rPr>
        <w:t>Πίνακας 9.</w:t>
      </w:r>
      <w:r>
        <w:rPr>
          <w:b w:val="0"/>
          <w:bCs w:val="0"/>
          <w:lang w:val="el-GR"/>
        </w:rPr>
        <w:t xml:space="preserve"> </w:t>
      </w:r>
      <w:r>
        <w:rPr>
          <w:bCs w:val="0"/>
          <w:lang w:val="el-GR"/>
        </w:rPr>
        <w:t>ACR Ανταποκρίσεις στη Μελέτη RA V (ποσοστό ασθενών)</w:t>
      </w:r>
    </w:p>
    <w:p w14:paraId="79769BF3" w14:textId="77777777" w:rsidR="00171824" w:rsidRDefault="00171824">
      <w:pPr>
        <w:keepNext/>
        <w:widowControl/>
        <w:kinsoku w:val="0"/>
        <w:overflowPunct w:val="0"/>
        <w:rPr>
          <w:sz w:val="22"/>
          <w:lang w:val="el-GR"/>
        </w:rPr>
      </w:pPr>
    </w:p>
    <w:tbl>
      <w:tblPr>
        <w:tblW w:w="9503" w:type="dxa"/>
        <w:tblInd w:w="8" w:type="dxa"/>
        <w:tblLayout w:type="fixed"/>
        <w:tblCellMar>
          <w:left w:w="0" w:type="dxa"/>
          <w:right w:w="0" w:type="dxa"/>
        </w:tblCellMar>
        <w:tblLook w:val="04A0" w:firstRow="1" w:lastRow="0" w:firstColumn="1" w:lastColumn="0" w:noHBand="0" w:noVBand="1"/>
      </w:tblPr>
      <w:tblGrid>
        <w:gridCol w:w="1801"/>
        <w:gridCol w:w="1320"/>
        <w:gridCol w:w="1320"/>
        <w:gridCol w:w="1577"/>
        <w:gridCol w:w="1099"/>
        <w:gridCol w:w="1174"/>
        <w:gridCol w:w="1212"/>
      </w:tblGrid>
      <w:tr w:rsidR="00171824" w14:paraId="6A8A2305" w14:textId="77777777">
        <w:trPr>
          <w:trHeight w:val="20"/>
          <w:tblHeader/>
        </w:trPr>
        <w:tc>
          <w:tcPr>
            <w:tcW w:w="1801" w:type="dxa"/>
            <w:tcBorders>
              <w:top w:val="single" w:sz="4" w:space="0" w:color="000000"/>
              <w:left w:val="single" w:sz="6" w:space="0" w:color="000000"/>
              <w:bottom w:val="single" w:sz="4" w:space="0" w:color="000000"/>
              <w:right w:val="single" w:sz="4" w:space="0" w:color="000000"/>
            </w:tcBorders>
          </w:tcPr>
          <w:p w14:paraId="5649B189" w14:textId="77777777" w:rsidR="00171824" w:rsidRDefault="00171824">
            <w:pPr>
              <w:pStyle w:val="TableParagraph"/>
              <w:keepNext/>
              <w:widowControl/>
              <w:kinsoku w:val="0"/>
              <w:overflowPunct w:val="0"/>
              <w:rPr>
                <w:rFonts w:eastAsia="MS Mincho"/>
                <w:sz w:val="13"/>
                <w:szCs w:val="13"/>
                <w:lang w:val="el-GR"/>
              </w:rPr>
            </w:pPr>
          </w:p>
          <w:p w14:paraId="642CC323" w14:textId="77777777" w:rsidR="00171824" w:rsidRDefault="006D258C">
            <w:pPr>
              <w:pStyle w:val="TableParagraph"/>
              <w:keepNext/>
              <w:widowControl/>
              <w:kinsoku w:val="0"/>
              <w:overflowPunct w:val="0"/>
              <w:ind w:left="102"/>
              <w:rPr>
                <w:rFonts w:eastAsia="MS Mincho"/>
                <w:sz w:val="22"/>
                <w:lang w:val="el-GR"/>
              </w:rPr>
            </w:pPr>
            <w:r>
              <w:rPr>
                <w:rFonts w:eastAsia="MS Mincho"/>
                <w:b/>
                <w:bCs/>
                <w:sz w:val="22"/>
                <w:szCs w:val="22"/>
                <w:lang w:val="el-GR"/>
              </w:rPr>
              <w:t>Ανταπόκριση</w:t>
            </w:r>
          </w:p>
        </w:tc>
        <w:tc>
          <w:tcPr>
            <w:tcW w:w="1320" w:type="dxa"/>
            <w:tcBorders>
              <w:top w:val="single" w:sz="4" w:space="0" w:color="000000"/>
              <w:left w:val="single" w:sz="4" w:space="0" w:color="000000"/>
              <w:bottom w:val="single" w:sz="4" w:space="0" w:color="000000"/>
              <w:right w:val="single" w:sz="4" w:space="0" w:color="000000"/>
            </w:tcBorders>
          </w:tcPr>
          <w:p w14:paraId="244704E9" w14:textId="77777777" w:rsidR="00171824" w:rsidRDefault="006D258C">
            <w:pPr>
              <w:pStyle w:val="TableParagraph"/>
              <w:keepNext/>
              <w:widowControl/>
              <w:kinsoku w:val="0"/>
              <w:overflowPunct w:val="0"/>
              <w:ind w:left="363" w:right="366" w:firstLine="33"/>
              <w:rPr>
                <w:rFonts w:eastAsia="MS Mincho"/>
                <w:sz w:val="22"/>
                <w:lang w:val="el-GR"/>
              </w:rPr>
            </w:pPr>
            <w:r>
              <w:rPr>
                <w:rFonts w:eastAsia="MS Mincho"/>
                <w:b/>
                <w:bCs/>
                <w:sz w:val="22"/>
                <w:szCs w:val="22"/>
                <w:lang w:val="el-GR"/>
              </w:rPr>
              <w:t>MTX n=257</w:t>
            </w:r>
          </w:p>
        </w:tc>
        <w:tc>
          <w:tcPr>
            <w:tcW w:w="1320" w:type="dxa"/>
            <w:tcBorders>
              <w:top w:val="single" w:sz="4" w:space="0" w:color="000000"/>
              <w:left w:val="single" w:sz="4" w:space="0" w:color="000000"/>
              <w:bottom w:val="single" w:sz="4" w:space="0" w:color="000000"/>
              <w:right w:val="single" w:sz="4" w:space="0" w:color="000000"/>
            </w:tcBorders>
          </w:tcPr>
          <w:p w14:paraId="53942766" w14:textId="77777777" w:rsidR="00171824" w:rsidRDefault="006D258C">
            <w:pPr>
              <w:pStyle w:val="TableParagraph"/>
              <w:keepNext/>
              <w:widowControl/>
              <w:kinsoku w:val="0"/>
              <w:overflowPunct w:val="0"/>
              <w:ind w:left="363" w:right="279" w:hanging="87"/>
              <w:rPr>
                <w:rFonts w:eastAsia="MS Mincho"/>
                <w:sz w:val="22"/>
                <w:lang w:val="el-GR"/>
              </w:rPr>
            </w:pPr>
            <w:r>
              <w:rPr>
                <w:rFonts w:eastAsia="MS Mincho"/>
                <w:b/>
                <w:bCs/>
                <w:sz w:val="22"/>
                <w:szCs w:val="22"/>
                <w:lang w:val="el-GR"/>
              </w:rPr>
              <w:t>Adalimumab n=274</w:t>
            </w:r>
          </w:p>
        </w:tc>
        <w:tc>
          <w:tcPr>
            <w:tcW w:w="1577" w:type="dxa"/>
            <w:tcBorders>
              <w:top w:val="single" w:sz="4" w:space="0" w:color="000000"/>
              <w:left w:val="single" w:sz="4" w:space="0" w:color="000000"/>
              <w:bottom w:val="single" w:sz="4" w:space="0" w:color="000000"/>
              <w:right w:val="single" w:sz="4" w:space="0" w:color="000000"/>
            </w:tcBorders>
          </w:tcPr>
          <w:p w14:paraId="75B85C34" w14:textId="77777777" w:rsidR="00171824" w:rsidRDefault="006D258C">
            <w:pPr>
              <w:pStyle w:val="TableParagraph"/>
              <w:keepNext/>
              <w:widowControl/>
              <w:kinsoku w:val="0"/>
              <w:overflowPunct w:val="0"/>
              <w:ind w:left="493" w:right="117" w:hanging="375"/>
              <w:rPr>
                <w:rFonts w:eastAsia="MS Mincho"/>
                <w:sz w:val="22"/>
                <w:lang w:val="el-GR"/>
              </w:rPr>
            </w:pPr>
            <w:r>
              <w:rPr>
                <w:rFonts w:eastAsia="MS Mincho"/>
                <w:b/>
                <w:bCs/>
                <w:sz w:val="22"/>
                <w:szCs w:val="22"/>
                <w:lang w:val="el-GR"/>
              </w:rPr>
              <w:t>Adalimumab/MTX n=268</w:t>
            </w:r>
          </w:p>
        </w:tc>
        <w:tc>
          <w:tcPr>
            <w:tcW w:w="1099" w:type="dxa"/>
            <w:tcBorders>
              <w:top w:val="single" w:sz="4" w:space="0" w:color="000000"/>
              <w:left w:val="single" w:sz="4" w:space="0" w:color="000000"/>
              <w:bottom w:val="single" w:sz="4" w:space="0" w:color="000000"/>
              <w:right w:val="single" w:sz="4" w:space="0" w:color="000000"/>
            </w:tcBorders>
            <w:vAlign w:val="center"/>
          </w:tcPr>
          <w:p w14:paraId="3CB6232A" w14:textId="77777777" w:rsidR="00171824" w:rsidRDefault="006D258C">
            <w:pPr>
              <w:pStyle w:val="TableParagraph"/>
              <w:keepNext/>
              <w:widowControl/>
              <w:kinsoku w:val="0"/>
              <w:overflowPunct w:val="0"/>
              <w:jc w:val="center"/>
              <w:rPr>
                <w:rFonts w:eastAsia="MS Mincho"/>
                <w:sz w:val="22"/>
                <w:lang w:val="el-GR"/>
              </w:rPr>
            </w:pPr>
            <w:r>
              <w:rPr>
                <w:rFonts w:eastAsia="MS Mincho"/>
                <w:b/>
                <w:bCs/>
                <w:sz w:val="22"/>
                <w:szCs w:val="22"/>
                <w:lang w:val="el-GR"/>
              </w:rPr>
              <w:t>p-value</w:t>
            </w:r>
            <w:r>
              <w:rPr>
                <w:rFonts w:eastAsia="MS Mincho"/>
                <w:b/>
                <w:bCs/>
                <w:sz w:val="22"/>
                <w:szCs w:val="22"/>
                <w:vertAlign w:val="superscript"/>
                <w:lang w:val="el-GR"/>
              </w:rPr>
              <w:t>a</w:t>
            </w:r>
          </w:p>
        </w:tc>
        <w:tc>
          <w:tcPr>
            <w:tcW w:w="1174" w:type="dxa"/>
            <w:tcBorders>
              <w:top w:val="single" w:sz="4" w:space="0" w:color="000000"/>
              <w:left w:val="single" w:sz="4" w:space="0" w:color="000000"/>
              <w:bottom w:val="single" w:sz="4" w:space="0" w:color="000000"/>
              <w:right w:val="single" w:sz="4" w:space="0" w:color="000000"/>
            </w:tcBorders>
            <w:vAlign w:val="center"/>
          </w:tcPr>
          <w:p w14:paraId="326FC7DE" w14:textId="77777777" w:rsidR="00171824" w:rsidRDefault="006D258C">
            <w:pPr>
              <w:pStyle w:val="TableParagraph"/>
              <w:keepNext/>
              <w:widowControl/>
              <w:kinsoku w:val="0"/>
              <w:overflowPunct w:val="0"/>
              <w:jc w:val="center"/>
              <w:rPr>
                <w:rFonts w:eastAsia="MS Mincho"/>
                <w:sz w:val="22"/>
                <w:lang w:val="el-GR"/>
              </w:rPr>
            </w:pPr>
            <w:r>
              <w:rPr>
                <w:rFonts w:eastAsia="MS Mincho"/>
                <w:b/>
                <w:bCs/>
                <w:sz w:val="22"/>
                <w:szCs w:val="22"/>
                <w:lang w:val="el-GR"/>
              </w:rPr>
              <w:t>p-value</w:t>
            </w:r>
            <w:r>
              <w:rPr>
                <w:rFonts w:eastAsia="MS Mincho"/>
                <w:b/>
                <w:bCs/>
                <w:sz w:val="22"/>
                <w:szCs w:val="22"/>
                <w:vertAlign w:val="superscript"/>
                <w:lang w:val="el-GR"/>
              </w:rPr>
              <w:t>b</w:t>
            </w:r>
          </w:p>
        </w:tc>
        <w:tc>
          <w:tcPr>
            <w:tcW w:w="1212" w:type="dxa"/>
            <w:tcBorders>
              <w:top w:val="single" w:sz="4" w:space="0" w:color="000000"/>
              <w:left w:val="single" w:sz="4" w:space="0" w:color="000000"/>
              <w:bottom w:val="single" w:sz="4" w:space="0" w:color="000000"/>
              <w:right w:val="single" w:sz="6" w:space="0" w:color="000000"/>
            </w:tcBorders>
            <w:vAlign w:val="center"/>
          </w:tcPr>
          <w:p w14:paraId="05535FAD" w14:textId="77777777" w:rsidR="00171824" w:rsidRDefault="006D258C">
            <w:pPr>
              <w:pStyle w:val="TableParagraph"/>
              <w:keepNext/>
              <w:widowControl/>
              <w:kinsoku w:val="0"/>
              <w:overflowPunct w:val="0"/>
              <w:jc w:val="center"/>
              <w:rPr>
                <w:rFonts w:eastAsia="MS Mincho"/>
                <w:sz w:val="22"/>
                <w:lang w:val="el-GR"/>
              </w:rPr>
            </w:pPr>
            <w:r>
              <w:rPr>
                <w:rFonts w:eastAsia="MS Mincho"/>
                <w:b/>
                <w:bCs/>
                <w:sz w:val="22"/>
                <w:szCs w:val="22"/>
                <w:lang w:val="el-GR"/>
              </w:rPr>
              <w:t>p-value</w:t>
            </w:r>
            <w:r>
              <w:rPr>
                <w:rFonts w:eastAsia="MS Mincho"/>
                <w:b/>
                <w:bCs/>
                <w:sz w:val="22"/>
                <w:szCs w:val="22"/>
                <w:vertAlign w:val="superscript"/>
                <w:lang w:val="el-GR"/>
              </w:rPr>
              <w:t>c</w:t>
            </w:r>
          </w:p>
        </w:tc>
      </w:tr>
      <w:tr w:rsidR="00171824" w14:paraId="3931E87B" w14:textId="77777777">
        <w:trPr>
          <w:trHeight w:val="20"/>
        </w:trPr>
        <w:tc>
          <w:tcPr>
            <w:tcW w:w="9503" w:type="dxa"/>
            <w:gridSpan w:val="7"/>
            <w:tcBorders>
              <w:top w:val="single" w:sz="4" w:space="0" w:color="000000"/>
              <w:left w:val="single" w:sz="6" w:space="0" w:color="000000"/>
              <w:bottom w:val="single" w:sz="4" w:space="0" w:color="000000"/>
              <w:right w:val="single" w:sz="6" w:space="0" w:color="000000"/>
            </w:tcBorders>
          </w:tcPr>
          <w:p w14:paraId="506E7957" w14:textId="77777777" w:rsidR="00171824" w:rsidRDefault="006D258C">
            <w:pPr>
              <w:keepNext/>
              <w:widowControl/>
              <w:rPr>
                <w:rFonts w:eastAsia="MS Mincho"/>
                <w:sz w:val="22"/>
                <w:lang w:val="el-GR"/>
              </w:rPr>
            </w:pPr>
            <w:r>
              <w:rPr>
                <w:rFonts w:eastAsia="MS Mincho"/>
                <w:sz w:val="22"/>
                <w:szCs w:val="22"/>
                <w:lang w:val="el-GR"/>
              </w:rPr>
              <w:t>ACR 20</w:t>
            </w:r>
          </w:p>
        </w:tc>
      </w:tr>
      <w:tr w:rsidR="00171824" w14:paraId="6D8FE70E" w14:textId="77777777">
        <w:trPr>
          <w:trHeight w:val="20"/>
        </w:trPr>
        <w:tc>
          <w:tcPr>
            <w:tcW w:w="1801" w:type="dxa"/>
            <w:tcBorders>
              <w:top w:val="single" w:sz="4" w:space="0" w:color="000000"/>
              <w:left w:val="single" w:sz="6" w:space="0" w:color="000000"/>
              <w:bottom w:val="single" w:sz="4" w:space="0" w:color="000000"/>
              <w:right w:val="single" w:sz="4" w:space="0" w:color="000000"/>
            </w:tcBorders>
          </w:tcPr>
          <w:p w14:paraId="4AB08369"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Εβδομάδα 52</w:t>
            </w:r>
          </w:p>
        </w:tc>
        <w:tc>
          <w:tcPr>
            <w:tcW w:w="1320" w:type="dxa"/>
            <w:tcBorders>
              <w:top w:val="single" w:sz="4" w:space="0" w:color="000000"/>
              <w:left w:val="single" w:sz="4" w:space="0" w:color="000000"/>
              <w:bottom w:val="single" w:sz="4" w:space="0" w:color="000000"/>
              <w:right w:val="single" w:sz="4" w:space="0" w:color="000000"/>
            </w:tcBorders>
          </w:tcPr>
          <w:p w14:paraId="70AE2CFB"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62,6%</w:t>
            </w:r>
          </w:p>
        </w:tc>
        <w:tc>
          <w:tcPr>
            <w:tcW w:w="1320" w:type="dxa"/>
            <w:tcBorders>
              <w:top w:val="single" w:sz="4" w:space="0" w:color="000000"/>
              <w:left w:val="single" w:sz="4" w:space="0" w:color="000000"/>
              <w:bottom w:val="single" w:sz="4" w:space="0" w:color="000000"/>
              <w:right w:val="single" w:sz="4" w:space="0" w:color="000000"/>
            </w:tcBorders>
          </w:tcPr>
          <w:p w14:paraId="65009137"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54,4%</w:t>
            </w:r>
          </w:p>
        </w:tc>
        <w:tc>
          <w:tcPr>
            <w:tcW w:w="1577" w:type="dxa"/>
            <w:tcBorders>
              <w:top w:val="single" w:sz="4" w:space="0" w:color="000000"/>
              <w:left w:val="single" w:sz="4" w:space="0" w:color="000000"/>
              <w:bottom w:val="single" w:sz="4" w:space="0" w:color="000000"/>
              <w:right w:val="single" w:sz="4" w:space="0" w:color="000000"/>
            </w:tcBorders>
          </w:tcPr>
          <w:p w14:paraId="61CFEAE2" w14:textId="77777777" w:rsidR="00171824" w:rsidRDefault="006D258C">
            <w:pPr>
              <w:pStyle w:val="TableParagraph"/>
              <w:widowControl/>
              <w:kinsoku w:val="0"/>
              <w:overflowPunct w:val="0"/>
              <w:ind w:left="495"/>
              <w:rPr>
                <w:rFonts w:eastAsia="MS Mincho"/>
                <w:sz w:val="22"/>
                <w:lang w:val="el-GR"/>
              </w:rPr>
            </w:pPr>
            <w:r>
              <w:rPr>
                <w:rFonts w:eastAsia="MS Mincho"/>
                <w:sz w:val="22"/>
                <w:szCs w:val="22"/>
                <w:lang w:val="el-GR"/>
              </w:rPr>
              <w:t>72,8%</w:t>
            </w:r>
          </w:p>
        </w:tc>
        <w:tc>
          <w:tcPr>
            <w:tcW w:w="1099" w:type="dxa"/>
            <w:tcBorders>
              <w:top w:val="single" w:sz="4" w:space="0" w:color="000000"/>
              <w:left w:val="single" w:sz="4" w:space="0" w:color="000000"/>
              <w:bottom w:val="single" w:sz="4" w:space="0" w:color="000000"/>
              <w:right w:val="single" w:sz="4" w:space="0" w:color="000000"/>
            </w:tcBorders>
          </w:tcPr>
          <w:p w14:paraId="0072BC44" w14:textId="77777777" w:rsidR="00171824" w:rsidRDefault="006D258C">
            <w:pPr>
              <w:pStyle w:val="TableParagraph"/>
              <w:widowControl/>
              <w:kinsoku w:val="0"/>
              <w:overflowPunct w:val="0"/>
              <w:ind w:left="294"/>
              <w:rPr>
                <w:rFonts w:eastAsia="MS Mincho"/>
                <w:sz w:val="22"/>
                <w:lang w:val="el-GR"/>
              </w:rPr>
            </w:pPr>
            <w:r>
              <w:rPr>
                <w:rFonts w:eastAsia="MS Mincho"/>
                <w:sz w:val="22"/>
                <w:szCs w:val="22"/>
                <w:lang w:val="el-GR"/>
              </w:rPr>
              <w:t>0,013</w:t>
            </w:r>
          </w:p>
        </w:tc>
        <w:tc>
          <w:tcPr>
            <w:tcW w:w="1174" w:type="dxa"/>
            <w:tcBorders>
              <w:top w:val="single" w:sz="4" w:space="0" w:color="000000"/>
              <w:left w:val="single" w:sz="4" w:space="0" w:color="000000"/>
              <w:bottom w:val="single" w:sz="4" w:space="0" w:color="000000"/>
              <w:right w:val="single" w:sz="4" w:space="0" w:color="000000"/>
            </w:tcBorders>
          </w:tcPr>
          <w:p w14:paraId="4CAD4037" w14:textId="77777777" w:rsidR="00171824" w:rsidRDefault="006D258C">
            <w:pPr>
              <w:pStyle w:val="TableParagraph"/>
              <w:widowControl/>
              <w:kinsoku w:val="0"/>
              <w:overflowPunct w:val="0"/>
              <w:ind w:left="241"/>
              <w:rPr>
                <w:rFonts w:eastAsia="MS Mincho"/>
                <w:sz w:val="22"/>
                <w:lang w:val="el-GR"/>
              </w:rPr>
            </w:pPr>
            <w:r>
              <w:rPr>
                <w:rFonts w:eastAsia="MS Mincho"/>
                <w:sz w:val="22"/>
                <w:szCs w:val="22"/>
                <w:lang w:val="el-GR"/>
              </w:rPr>
              <w:t>&lt; 0,001</w:t>
            </w:r>
          </w:p>
        </w:tc>
        <w:tc>
          <w:tcPr>
            <w:tcW w:w="1212" w:type="dxa"/>
            <w:tcBorders>
              <w:top w:val="single" w:sz="4" w:space="0" w:color="000000"/>
              <w:left w:val="single" w:sz="4" w:space="0" w:color="000000"/>
              <w:bottom w:val="single" w:sz="4" w:space="0" w:color="000000"/>
              <w:right w:val="single" w:sz="6" w:space="0" w:color="000000"/>
            </w:tcBorders>
          </w:tcPr>
          <w:p w14:paraId="2D854AB6" w14:textId="77777777" w:rsidR="00171824" w:rsidRDefault="006D258C">
            <w:pPr>
              <w:pStyle w:val="TableParagraph"/>
              <w:widowControl/>
              <w:kinsoku w:val="0"/>
              <w:overflowPunct w:val="0"/>
              <w:ind w:left="349"/>
              <w:rPr>
                <w:rFonts w:eastAsia="MS Mincho"/>
                <w:sz w:val="22"/>
                <w:lang w:val="el-GR"/>
              </w:rPr>
            </w:pPr>
            <w:r>
              <w:rPr>
                <w:rFonts w:eastAsia="MS Mincho"/>
                <w:sz w:val="22"/>
                <w:szCs w:val="22"/>
                <w:lang w:val="el-GR"/>
              </w:rPr>
              <w:t>0,043</w:t>
            </w:r>
          </w:p>
        </w:tc>
      </w:tr>
      <w:tr w:rsidR="00171824" w14:paraId="048A8672" w14:textId="77777777">
        <w:trPr>
          <w:trHeight w:val="20"/>
        </w:trPr>
        <w:tc>
          <w:tcPr>
            <w:tcW w:w="1801" w:type="dxa"/>
            <w:tcBorders>
              <w:top w:val="single" w:sz="4" w:space="0" w:color="000000"/>
              <w:left w:val="single" w:sz="6" w:space="0" w:color="000000"/>
              <w:bottom w:val="single" w:sz="4" w:space="0" w:color="000000"/>
              <w:right w:val="single" w:sz="4" w:space="0" w:color="000000"/>
            </w:tcBorders>
          </w:tcPr>
          <w:p w14:paraId="449FF41B"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Εβδομάδα 104</w:t>
            </w:r>
          </w:p>
        </w:tc>
        <w:tc>
          <w:tcPr>
            <w:tcW w:w="1320" w:type="dxa"/>
            <w:tcBorders>
              <w:top w:val="single" w:sz="4" w:space="0" w:color="000000"/>
              <w:left w:val="single" w:sz="4" w:space="0" w:color="000000"/>
              <w:bottom w:val="single" w:sz="4" w:space="0" w:color="000000"/>
              <w:right w:val="single" w:sz="4" w:space="0" w:color="000000"/>
            </w:tcBorders>
          </w:tcPr>
          <w:p w14:paraId="47647890"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56,0%</w:t>
            </w:r>
          </w:p>
        </w:tc>
        <w:tc>
          <w:tcPr>
            <w:tcW w:w="1320" w:type="dxa"/>
            <w:tcBorders>
              <w:top w:val="single" w:sz="4" w:space="0" w:color="000000"/>
              <w:left w:val="single" w:sz="4" w:space="0" w:color="000000"/>
              <w:bottom w:val="single" w:sz="4" w:space="0" w:color="000000"/>
              <w:right w:val="single" w:sz="4" w:space="0" w:color="000000"/>
            </w:tcBorders>
          </w:tcPr>
          <w:p w14:paraId="74721476"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49,3%</w:t>
            </w:r>
          </w:p>
        </w:tc>
        <w:tc>
          <w:tcPr>
            <w:tcW w:w="1577" w:type="dxa"/>
            <w:tcBorders>
              <w:top w:val="single" w:sz="4" w:space="0" w:color="000000"/>
              <w:left w:val="single" w:sz="4" w:space="0" w:color="000000"/>
              <w:bottom w:val="single" w:sz="4" w:space="0" w:color="000000"/>
              <w:right w:val="single" w:sz="4" w:space="0" w:color="000000"/>
            </w:tcBorders>
          </w:tcPr>
          <w:p w14:paraId="5787DF23" w14:textId="77777777" w:rsidR="00171824" w:rsidRDefault="006D258C">
            <w:pPr>
              <w:pStyle w:val="TableParagraph"/>
              <w:widowControl/>
              <w:kinsoku w:val="0"/>
              <w:overflowPunct w:val="0"/>
              <w:ind w:left="495"/>
              <w:rPr>
                <w:rFonts w:eastAsia="MS Mincho"/>
                <w:sz w:val="22"/>
                <w:lang w:val="el-GR"/>
              </w:rPr>
            </w:pPr>
            <w:r>
              <w:rPr>
                <w:rFonts w:eastAsia="MS Mincho"/>
                <w:sz w:val="22"/>
                <w:szCs w:val="22"/>
                <w:lang w:val="el-GR"/>
              </w:rPr>
              <w:t>69,4%</w:t>
            </w:r>
          </w:p>
        </w:tc>
        <w:tc>
          <w:tcPr>
            <w:tcW w:w="1099" w:type="dxa"/>
            <w:tcBorders>
              <w:top w:val="single" w:sz="4" w:space="0" w:color="000000"/>
              <w:left w:val="single" w:sz="4" w:space="0" w:color="000000"/>
              <w:bottom w:val="single" w:sz="4" w:space="0" w:color="000000"/>
              <w:right w:val="single" w:sz="4" w:space="0" w:color="000000"/>
            </w:tcBorders>
          </w:tcPr>
          <w:p w14:paraId="12882DB1" w14:textId="77777777" w:rsidR="00171824" w:rsidRDefault="006D258C">
            <w:pPr>
              <w:pStyle w:val="TableParagraph"/>
              <w:widowControl/>
              <w:kinsoku w:val="0"/>
              <w:overflowPunct w:val="0"/>
              <w:ind w:left="294"/>
              <w:rPr>
                <w:rFonts w:eastAsia="MS Mincho"/>
                <w:sz w:val="22"/>
                <w:lang w:val="el-GR"/>
              </w:rPr>
            </w:pPr>
            <w:r>
              <w:rPr>
                <w:rFonts w:eastAsia="MS Mincho"/>
                <w:sz w:val="22"/>
                <w:szCs w:val="22"/>
                <w:lang w:val="el-GR"/>
              </w:rPr>
              <w:t>0,002</w:t>
            </w:r>
          </w:p>
        </w:tc>
        <w:tc>
          <w:tcPr>
            <w:tcW w:w="1174" w:type="dxa"/>
            <w:tcBorders>
              <w:top w:val="single" w:sz="4" w:space="0" w:color="000000"/>
              <w:left w:val="single" w:sz="4" w:space="0" w:color="000000"/>
              <w:bottom w:val="single" w:sz="4" w:space="0" w:color="000000"/>
              <w:right w:val="single" w:sz="4" w:space="0" w:color="000000"/>
            </w:tcBorders>
          </w:tcPr>
          <w:p w14:paraId="0D4D88F7" w14:textId="77777777" w:rsidR="00171824" w:rsidRDefault="006D258C">
            <w:pPr>
              <w:pStyle w:val="TableParagraph"/>
              <w:widowControl/>
              <w:kinsoku w:val="0"/>
              <w:overflowPunct w:val="0"/>
              <w:ind w:left="241"/>
              <w:rPr>
                <w:rFonts w:eastAsia="MS Mincho"/>
                <w:sz w:val="22"/>
                <w:lang w:val="el-GR"/>
              </w:rPr>
            </w:pPr>
            <w:r>
              <w:rPr>
                <w:rFonts w:eastAsia="MS Mincho"/>
                <w:sz w:val="22"/>
                <w:szCs w:val="22"/>
                <w:lang w:val="el-GR"/>
              </w:rPr>
              <w:t>&lt; 0,001</w:t>
            </w:r>
          </w:p>
        </w:tc>
        <w:tc>
          <w:tcPr>
            <w:tcW w:w="1212" w:type="dxa"/>
            <w:tcBorders>
              <w:top w:val="single" w:sz="4" w:space="0" w:color="000000"/>
              <w:left w:val="single" w:sz="4" w:space="0" w:color="000000"/>
              <w:bottom w:val="single" w:sz="4" w:space="0" w:color="000000"/>
              <w:right w:val="single" w:sz="6" w:space="0" w:color="000000"/>
            </w:tcBorders>
          </w:tcPr>
          <w:p w14:paraId="728C1EE7" w14:textId="77777777" w:rsidR="00171824" w:rsidRDefault="006D258C">
            <w:pPr>
              <w:pStyle w:val="TableParagraph"/>
              <w:widowControl/>
              <w:kinsoku w:val="0"/>
              <w:overflowPunct w:val="0"/>
              <w:ind w:left="349"/>
              <w:rPr>
                <w:rFonts w:eastAsia="MS Mincho"/>
                <w:sz w:val="22"/>
                <w:lang w:val="el-GR"/>
              </w:rPr>
            </w:pPr>
            <w:r>
              <w:rPr>
                <w:rFonts w:eastAsia="MS Mincho"/>
                <w:sz w:val="22"/>
                <w:szCs w:val="22"/>
                <w:lang w:val="el-GR"/>
              </w:rPr>
              <w:t>0,140</w:t>
            </w:r>
          </w:p>
        </w:tc>
      </w:tr>
      <w:tr w:rsidR="00171824" w14:paraId="32CEBE91" w14:textId="77777777">
        <w:trPr>
          <w:trHeight w:val="20"/>
        </w:trPr>
        <w:tc>
          <w:tcPr>
            <w:tcW w:w="9503" w:type="dxa"/>
            <w:gridSpan w:val="7"/>
            <w:tcBorders>
              <w:top w:val="single" w:sz="4" w:space="0" w:color="000000"/>
              <w:left w:val="single" w:sz="6" w:space="0" w:color="000000"/>
              <w:bottom w:val="single" w:sz="4" w:space="0" w:color="000000"/>
              <w:right w:val="single" w:sz="6" w:space="0" w:color="000000"/>
            </w:tcBorders>
          </w:tcPr>
          <w:p w14:paraId="51548713" w14:textId="77777777" w:rsidR="00171824" w:rsidRDefault="006D258C">
            <w:pPr>
              <w:widowControl/>
              <w:rPr>
                <w:rFonts w:eastAsia="MS Mincho"/>
                <w:sz w:val="22"/>
                <w:lang w:val="el-GR"/>
              </w:rPr>
            </w:pPr>
            <w:r>
              <w:rPr>
                <w:rFonts w:eastAsia="MS Mincho"/>
                <w:sz w:val="22"/>
                <w:szCs w:val="22"/>
                <w:lang w:val="el-GR"/>
              </w:rPr>
              <w:t>ACR 50</w:t>
            </w:r>
          </w:p>
        </w:tc>
      </w:tr>
      <w:tr w:rsidR="00171824" w14:paraId="457AB295" w14:textId="77777777">
        <w:trPr>
          <w:trHeight w:val="20"/>
        </w:trPr>
        <w:tc>
          <w:tcPr>
            <w:tcW w:w="1801" w:type="dxa"/>
            <w:tcBorders>
              <w:top w:val="single" w:sz="4" w:space="0" w:color="000000"/>
              <w:left w:val="single" w:sz="6" w:space="0" w:color="000000"/>
              <w:bottom w:val="single" w:sz="4" w:space="0" w:color="000000"/>
              <w:right w:val="single" w:sz="4" w:space="0" w:color="000000"/>
            </w:tcBorders>
          </w:tcPr>
          <w:p w14:paraId="40719246"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Εβδομάδα 52</w:t>
            </w:r>
          </w:p>
        </w:tc>
        <w:tc>
          <w:tcPr>
            <w:tcW w:w="1320" w:type="dxa"/>
            <w:tcBorders>
              <w:top w:val="single" w:sz="4" w:space="0" w:color="000000"/>
              <w:left w:val="single" w:sz="4" w:space="0" w:color="000000"/>
              <w:bottom w:val="single" w:sz="4" w:space="0" w:color="000000"/>
              <w:right w:val="single" w:sz="4" w:space="0" w:color="000000"/>
            </w:tcBorders>
          </w:tcPr>
          <w:p w14:paraId="600559D9"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45,9%</w:t>
            </w:r>
          </w:p>
        </w:tc>
        <w:tc>
          <w:tcPr>
            <w:tcW w:w="1320" w:type="dxa"/>
            <w:tcBorders>
              <w:top w:val="single" w:sz="4" w:space="0" w:color="000000"/>
              <w:left w:val="single" w:sz="4" w:space="0" w:color="000000"/>
              <w:bottom w:val="single" w:sz="4" w:space="0" w:color="000000"/>
              <w:right w:val="single" w:sz="4" w:space="0" w:color="000000"/>
            </w:tcBorders>
          </w:tcPr>
          <w:p w14:paraId="4854D28B"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41,2%</w:t>
            </w:r>
          </w:p>
        </w:tc>
        <w:tc>
          <w:tcPr>
            <w:tcW w:w="1577" w:type="dxa"/>
            <w:tcBorders>
              <w:top w:val="single" w:sz="4" w:space="0" w:color="000000"/>
              <w:left w:val="single" w:sz="4" w:space="0" w:color="000000"/>
              <w:bottom w:val="single" w:sz="4" w:space="0" w:color="000000"/>
              <w:right w:val="single" w:sz="4" w:space="0" w:color="000000"/>
            </w:tcBorders>
          </w:tcPr>
          <w:p w14:paraId="791DE9DF" w14:textId="77777777" w:rsidR="00171824" w:rsidRDefault="006D258C">
            <w:pPr>
              <w:pStyle w:val="TableParagraph"/>
              <w:widowControl/>
              <w:kinsoku w:val="0"/>
              <w:overflowPunct w:val="0"/>
              <w:ind w:left="495"/>
              <w:rPr>
                <w:rFonts w:eastAsia="MS Mincho"/>
                <w:sz w:val="22"/>
                <w:lang w:val="el-GR"/>
              </w:rPr>
            </w:pPr>
            <w:r>
              <w:rPr>
                <w:rFonts w:eastAsia="MS Mincho"/>
                <w:sz w:val="22"/>
                <w:szCs w:val="22"/>
                <w:lang w:val="el-GR"/>
              </w:rPr>
              <w:t>61,6%</w:t>
            </w:r>
          </w:p>
        </w:tc>
        <w:tc>
          <w:tcPr>
            <w:tcW w:w="1099" w:type="dxa"/>
            <w:tcBorders>
              <w:top w:val="single" w:sz="4" w:space="0" w:color="000000"/>
              <w:left w:val="single" w:sz="4" w:space="0" w:color="000000"/>
              <w:bottom w:val="single" w:sz="4" w:space="0" w:color="000000"/>
              <w:right w:val="single" w:sz="4" w:space="0" w:color="000000"/>
            </w:tcBorders>
          </w:tcPr>
          <w:p w14:paraId="0BA205E1" w14:textId="77777777" w:rsidR="00171824" w:rsidRDefault="006D258C">
            <w:pPr>
              <w:pStyle w:val="TableParagraph"/>
              <w:widowControl/>
              <w:kinsoku w:val="0"/>
              <w:overflowPunct w:val="0"/>
              <w:ind w:left="205"/>
              <w:rPr>
                <w:rFonts w:eastAsia="MS Mincho"/>
                <w:sz w:val="22"/>
                <w:lang w:val="el-GR"/>
              </w:rPr>
            </w:pPr>
            <w:r>
              <w:rPr>
                <w:rFonts w:eastAsia="MS Mincho"/>
                <w:sz w:val="22"/>
                <w:szCs w:val="22"/>
                <w:lang w:val="el-GR"/>
              </w:rPr>
              <w:t>&lt; 0,001</w:t>
            </w:r>
          </w:p>
        </w:tc>
        <w:tc>
          <w:tcPr>
            <w:tcW w:w="1174" w:type="dxa"/>
            <w:tcBorders>
              <w:top w:val="single" w:sz="4" w:space="0" w:color="000000"/>
              <w:left w:val="single" w:sz="4" w:space="0" w:color="000000"/>
              <w:bottom w:val="single" w:sz="4" w:space="0" w:color="000000"/>
              <w:right w:val="single" w:sz="4" w:space="0" w:color="000000"/>
            </w:tcBorders>
          </w:tcPr>
          <w:p w14:paraId="61C83193" w14:textId="77777777" w:rsidR="00171824" w:rsidRDefault="006D258C">
            <w:pPr>
              <w:pStyle w:val="TableParagraph"/>
              <w:widowControl/>
              <w:kinsoku w:val="0"/>
              <w:overflowPunct w:val="0"/>
              <w:ind w:left="241"/>
              <w:rPr>
                <w:rFonts w:eastAsia="MS Mincho"/>
                <w:sz w:val="22"/>
                <w:lang w:val="el-GR"/>
              </w:rPr>
            </w:pPr>
            <w:r>
              <w:rPr>
                <w:rFonts w:eastAsia="MS Mincho"/>
                <w:sz w:val="22"/>
                <w:szCs w:val="22"/>
                <w:lang w:val="el-GR"/>
              </w:rPr>
              <w:t>&lt; 0,001</w:t>
            </w:r>
          </w:p>
        </w:tc>
        <w:tc>
          <w:tcPr>
            <w:tcW w:w="1212" w:type="dxa"/>
            <w:tcBorders>
              <w:top w:val="single" w:sz="4" w:space="0" w:color="000000"/>
              <w:left w:val="single" w:sz="4" w:space="0" w:color="000000"/>
              <w:bottom w:val="single" w:sz="4" w:space="0" w:color="000000"/>
              <w:right w:val="single" w:sz="6" w:space="0" w:color="000000"/>
            </w:tcBorders>
          </w:tcPr>
          <w:p w14:paraId="5822AE04" w14:textId="77777777" w:rsidR="00171824" w:rsidRDefault="006D258C">
            <w:pPr>
              <w:pStyle w:val="TableParagraph"/>
              <w:widowControl/>
              <w:kinsoku w:val="0"/>
              <w:overflowPunct w:val="0"/>
              <w:ind w:left="349"/>
              <w:rPr>
                <w:rFonts w:eastAsia="MS Mincho"/>
                <w:sz w:val="22"/>
                <w:lang w:val="el-GR"/>
              </w:rPr>
            </w:pPr>
            <w:r>
              <w:rPr>
                <w:rFonts w:eastAsia="MS Mincho"/>
                <w:sz w:val="22"/>
                <w:szCs w:val="22"/>
                <w:lang w:val="el-GR"/>
              </w:rPr>
              <w:t>0,317</w:t>
            </w:r>
          </w:p>
        </w:tc>
      </w:tr>
      <w:tr w:rsidR="00171824" w14:paraId="5C1BB378" w14:textId="77777777">
        <w:trPr>
          <w:trHeight w:val="20"/>
        </w:trPr>
        <w:tc>
          <w:tcPr>
            <w:tcW w:w="1801" w:type="dxa"/>
            <w:tcBorders>
              <w:top w:val="single" w:sz="4" w:space="0" w:color="000000"/>
              <w:left w:val="single" w:sz="6" w:space="0" w:color="000000"/>
              <w:bottom w:val="single" w:sz="4" w:space="0" w:color="000000"/>
              <w:right w:val="single" w:sz="4" w:space="0" w:color="000000"/>
            </w:tcBorders>
          </w:tcPr>
          <w:p w14:paraId="0F21E3E3"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Εβδομάδα 104</w:t>
            </w:r>
          </w:p>
        </w:tc>
        <w:tc>
          <w:tcPr>
            <w:tcW w:w="1320" w:type="dxa"/>
            <w:tcBorders>
              <w:top w:val="single" w:sz="4" w:space="0" w:color="000000"/>
              <w:left w:val="single" w:sz="4" w:space="0" w:color="000000"/>
              <w:bottom w:val="single" w:sz="4" w:space="0" w:color="000000"/>
              <w:right w:val="single" w:sz="4" w:space="0" w:color="000000"/>
            </w:tcBorders>
          </w:tcPr>
          <w:p w14:paraId="22302234"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42,8%</w:t>
            </w:r>
          </w:p>
        </w:tc>
        <w:tc>
          <w:tcPr>
            <w:tcW w:w="1320" w:type="dxa"/>
            <w:tcBorders>
              <w:top w:val="single" w:sz="4" w:space="0" w:color="000000"/>
              <w:left w:val="single" w:sz="4" w:space="0" w:color="000000"/>
              <w:bottom w:val="single" w:sz="4" w:space="0" w:color="000000"/>
              <w:right w:val="single" w:sz="4" w:space="0" w:color="000000"/>
            </w:tcBorders>
          </w:tcPr>
          <w:p w14:paraId="2B9CFB36"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36,9%</w:t>
            </w:r>
          </w:p>
        </w:tc>
        <w:tc>
          <w:tcPr>
            <w:tcW w:w="1577" w:type="dxa"/>
            <w:tcBorders>
              <w:top w:val="single" w:sz="4" w:space="0" w:color="000000"/>
              <w:left w:val="single" w:sz="4" w:space="0" w:color="000000"/>
              <w:bottom w:val="single" w:sz="4" w:space="0" w:color="000000"/>
              <w:right w:val="single" w:sz="4" w:space="0" w:color="000000"/>
            </w:tcBorders>
          </w:tcPr>
          <w:p w14:paraId="405E03AF" w14:textId="77777777" w:rsidR="00171824" w:rsidRDefault="006D258C">
            <w:pPr>
              <w:pStyle w:val="TableParagraph"/>
              <w:widowControl/>
              <w:kinsoku w:val="0"/>
              <w:overflowPunct w:val="0"/>
              <w:ind w:left="495"/>
              <w:rPr>
                <w:rFonts w:eastAsia="MS Mincho"/>
                <w:sz w:val="22"/>
                <w:lang w:val="el-GR"/>
              </w:rPr>
            </w:pPr>
            <w:r>
              <w:rPr>
                <w:rFonts w:eastAsia="MS Mincho"/>
                <w:sz w:val="22"/>
                <w:szCs w:val="22"/>
                <w:lang w:val="el-GR"/>
              </w:rPr>
              <w:t>59,0%</w:t>
            </w:r>
          </w:p>
        </w:tc>
        <w:tc>
          <w:tcPr>
            <w:tcW w:w="1099" w:type="dxa"/>
            <w:tcBorders>
              <w:top w:val="single" w:sz="4" w:space="0" w:color="000000"/>
              <w:left w:val="single" w:sz="4" w:space="0" w:color="000000"/>
              <w:bottom w:val="single" w:sz="4" w:space="0" w:color="000000"/>
              <w:right w:val="single" w:sz="4" w:space="0" w:color="000000"/>
            </w:tcBorders>
          </w:tcPr>
          <w:p w14:paraId="71C02BD6" w14:textId="77777777" w:rsidR="00171824" w:rsidRDefault="006D258C">
            <w:pPr>
              <w:pStyle w:val="TableParagraph"/>
              <w:widowControl/>
              <w:kinsoku w:val="0"/>
              <w:overflowPunct w:val="0"/>
              <w:ind w:left="205"/>
              <w:rPr>
                <w:rFonts w:eastAsia="MS Mincho"/>
                <w:sz w:val="22"/>
                <w:lang w:val="el-GR"/>
              </w:rPr>
            </w:pPr>
            <w:r>
              <w:rPr>
                <w:rFonts w:eastAsia="MS Mincho"/>
                <w:sz w:val="22"/>
                <w:szCs w:val="22"/>
                <w:lang w:val="el-GR"/>
              </w:rPr>
              <w:t>&lt; 0,001</w:t>
            </w:r>
          </w:p>
        </w:tc>
        <w:tc>
          <w:tcPr>
            <w:tcW w:w="1174" w:type="dxa"/>
            <w:tcBorders>
              <w:top w:val="single" w:sz="4" w:space="0" w:color="000000"/>
              <w:left w:val="single" w:sz="4" w:space="0" w:color="000000"/>
              <w:bottom w:val="single" w:sz="4" w:space="0" w:color="000000"/>
              <w:right w:val="single" w:sz="4" w:space="0" w:color="000000"/>
            </w:tcBorders>
          </w:tcPr>
          <w:p w14:paraId="745E93B8" w14:textId="77777777" w:rsidR="00171824" w:rsidRDefault="006D258C">
            <w:pPr>
              <w:pStyle w:val="TableParagraph"/>
              <w:widowControl/>
              <w:kinsoku w:val="0"/>
              <w:overflowPunct w:val="0"/>
              <w:ind w:left="241"/>
              <w:rPr>
                <w:rFonts w:eastAsia="MS Mincho"/>
                <w:sz w:val="22"/>
                <w:lang w:val="el-GR"/>
              </w:rPr>
            </w:pPr>
            <w:r>
              <w:rPr>
                <w:rFonts w:eastAsia="MS Mincho"/>
                <w:sz w:val="22"/>
                <w:szCs w:val="22"/>
                <w:lang w:val="el-GR"/>
              </w:rPr>
              <w:t>&lt; 0,001</w:t>
            </w:r>
          </w:p>
        </w:tc>
        <w:tc>
          <w:tcPr>
            <w:tcW w:w="1212" w:type="dxa"/>
            <w:tcBorders>
              <w:top w:val="single" w:sz="4" w:space="0" w:color="000000"/>
              <w:left w:val="single" w:sz="4" w:space="0" w:color="000000"/>
              <w:bottom w:val="single" w:sz="4" w:space="0" w:color="000000"/>
              <w:right w:val="single" w:sz="6" w:space="0" w:color="000000"/>
            </w:tcBorders>
          </w:tcPr>
          <w:p w14:paraId="6B55F818" w14:textId="77777777" w:rsidR="00171824" w:rsidRDefault="006D258C">
            <w:pPr>
              <w:pStyle w:val="TableParagraph"/>
              <w:widowControl/>
              <w:kinsoku w:val="0"/>
              <w:overflowPunct w:val="0"/>
              <w:ind w:left="349"/>
              <w:rPr>
                <w:rFonts w:eastAsia="MS Mincho"/>
                <w:sz w:val="22"/>
                <w:lang w:val="el-GR"/>
              </w:rPr>
            </w:pPr>
            <w:r>
              <w:rPr>
                <w:rFonts w:eastAsia="MS Mincho"/>
                <w:sz w:val="22"/>
                <w:szCs w:val="22"/>
                <w:lang w:val="el-GR"/>
              </w:rPr>
              <w:t>0,162</w:t>
            </w:r>
          </w:p>
        </w:tc>
      </w:tr>
      <w:tr w:rsidR="00171824" w14:paraId="5AA1A253" w14:textId="77777777">
        <w:trPr>
          <w:trHeight w:val="20"/>
        </w:trPr>
        <w:tc>
          <w:tcPr>
            <w:tcW w:w="9503" w:type="dxa"/>
            <w:gridSpan w:val="7"/>
            <w:tcBorders>
              <w:top w:val="single" w:sz="4" w:space="0" w:color="000000"/>
              <w:left w:val="single" w:sz="6" w:space="0" w:color="000000"/>
              <w:bottom w:val="single" w:sz="4" w:space="0" w:color="000000"/>
              <w:right w:val="single" w:sz="6" w:space="0" w:color="000000"/>
            </w:tcBorders>
          </w:tcPr>
          <w:p w14:paraId="2DC0DB16" w14:textId="77777777" w:rsidR="00171824" w:rsidRDefault="006D258C">
            <w:pPr>
              <w:widowControl/>
              <w:rPr>
                <w:rFonts w:eastAsia="MS Mincho"/>
                <w:sz w:val="22"/>
                <w:lang w:val="el-GR"/>
              </w:rPr>
            </w:pPr>
            <w:r>
              <w:rPr>
                <w:rFonts w:eastAsia="MS Mincho"/>
                <w:sz w:val="22"/>
                <w:szCs w:val="22"/>
                <w:lang w:val="el-GR"/>
              </w:rPr>
              <w:t>ACR 70</w:t>
            </w:r>
          </w:p>
        </w:tc>
      </w:tr>
      <w:tr w:rsidR="00171824" w14:paraId="05BC7E52" w14:textId="77777777">
        <w:trPr>
          <w:trHeight w:val="20"/>
        </w:trPr>
        <w:tc>
          <w:tcPr>
            <w:tcW w:w="1801" w:type="dxa"/>
            <w:tcBorders>
              <w:top w:val="single" w:sz="4" w:space="0" w:color="000000"/>
              <w:left w:val="single" w:sz="6" w:space="0" w:color="000000"/>
              <w:bottom w:val="single" w:sz="4" w:space="0" w:color="000000"/>
              <w:right w:val="single" w:sz="4" w:space="0" w:color="000000"/>
            </w:tcBorders>
          </w:tcPr>
          <w:p w14:paraId="05DD2100"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Εβδομάδα 52</w:t>
            </w:r>
          </w:p>
        </w:tc>
        <w:tc>
          <w:tcPr>
            <w:tcW w:w="1320" w:type="dxa"/>
            <w:tcBorders>
              <w:top w:val="single" w:sz="4" w:space="0" w:color="000000"/>
              <w:left w:val="single" w:sz="4" w:space="0" w:color="000000"/>
              <w:bottom w:val="single" w:sz="4" w:space="0" w:color="000000"/>
              <w:right w:val="single" w:sz="4" w:space="0" w:color="000000"/>
            </w:tcBorders>
          </w:tcPr>
          <w:p w14:paraId="0F479E1F"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27,2%</w:t>
            </w:r>
          </w:p>
        </w:tc>
        <w:tc>
          <w:tcPr>
            <w:tcW w:w="1320" w:type="dxa"/>
            <w:tcBorders>
              <w:top w:val="single" w:sz="4" w:space="0" w:color="000000"/>
              <w:left w:val="single" w:sz="4" w:space="0" w:color="000000"/>
              <w:bottom w:val="single" w:sz="4" w:space="0" w:color="000000"/>
              <w:right w:val="single" w:sz="4" w:space="0" w:color="000000"/>
            </w:tcBorders>
          </w:tcPr>
          <w:p w14:paraId="4989C9AD"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25,9%</w:t>
            </w:r>
          </w:p>
        </w:tc>
        <w:tc>
          <w:tcPr>
            <w:tcW w:w="1577" w:type="dxa"/>
            <w:tcBorders>
              <w:top w:val="single" w:sz="4" w:space="0" w:color="000000"/>
              <w:left w:val="single" w:sz="4" w:space="0" w:color="000000"/>
              <w:bottom w:val="single" w:sz="4" w:space="0" w:color="000000"/>
              <w:right w:val="single" w:sz="4" w:space="0" w:color="000000"/>
            </w:tcBorders>
          </w:tcPr>
          <w:p w14:paraId="460AD773" w14:textId="77777777" w:rsidR="00171824" w:rsidRDefault="006D258C">
            <w:pPr>
              <w:pStyle w:val="TableParagraph"/>
              <w:widowControl/>
              <w:kinsoku w:val="0"/>
              <w:overflowPunct w:val="0"/>
              <w:ind w:left="495"/>
              <w:rPr>
                <w:rFonts w:eastAsia="MS Mincho"/>
                <w:sz w:val="22"/>
                <w:lang w:val="el-GR"/>
              </w:rPr>
            </w:pPr>
            <w:r>
              <w:rPr>
                <w:rFonts w:eastAsia="MS Mincho"/>
                <w:sz w:val="22"/>
                <w:szCs w:val="22"/>
                <w:lang w:val="el-GR"/>
              </w:rPr>
              <w:t>45,5%</w:t>
            </w:r>
          </w:p>
        </w:tc>
        <w:tc>
          <w:tcPr>
            <w:tcW w:w="1099" w:type="dxa"/>
            <w:tcBorders>
              <w:top w:val="single" w:sz="4" w:space="0" w:color="000000"/>
              <w:left w:val="single" w:sz="4" w:space="0" w:color="000000"/>
              <w:bottom w:val="single" w:sz="4" w:space="0" w:color="000000"/>
              <w:right w:val="single" w:sz="4" w:space="0" w:color="000000"/>
            </w:tcBorders>
          </w:tcPr>
          <w:p w14:paraId="28F83C4F" w14:textId="77777777" w:rsidR="00171824" w:rsidRDefault="006D258C">
            <w:pPr>
              <w:pStyle w:val="TableParagraph"/>
              <w:widowControl/>
              <w:kinsoku w:val="0"/>
              <w:overflowPunct w:val="0"/>
              <w:ind w:left="205"/>
              <w:rPr>
                <w:rFonts w:eastAsia="MS Mincho"/>
                <w:sz w:val="22"/>
                <w:lang w:val="el-GR"/>
              </w:rPr>
            </w:pPr>
            <w:r>
              <w:rPr>
                <w:rFonts w:eastAsia="MS Mincho"/>
                <w:sz w:val="22"/>
                <w:szCs w:val="22"/>
                <w:lang w:val="el-GR"/>
              </w:rPr>
              <w:t>&lt; 0,001</w:t>
            </w:r>
          </w:p>
        </w:tc>
        <w:tc>
          <w:tcPr>
            <w:tcW w:w="1174" w:type="dxa"/>
            <w:tcBorders>
              <w:top w:val="single" w:sz="4" w:space="0" w:color="000000"/>
              <w:left w:val="single" w:sz="4" w:space="0" w:color="000000"/>
              <w:bottom w:val="single" w:sz="4" w:space="0" w:color="000000"/>
              <w:right w:val="single" w:sz="4" w:space="0" w:color="000000"/>
            </w:tcBorders>
          </w:tcPr>
          <w:p w14:paraId="562E5AE5" w14:textId="77777777" w:rsidR="00171824" w:rsidRDefault="006D258C">
            <w:pPr>
              <w:pStyle w:val="TableParagraph"/>
              <w:widowControl/>
              <w:kinsoku w:val="0"/>
              <w:overflowPunct w:val="0"/>
              <w:ind w:left="241"/>
              <w:rPr>
                <w:rFonts w:eastAsia="MS Mincho"/>
                <w:sz w:val="22"/>
                <w:lang w:val="el-GR"/>
              </w:rPr>
            </w:pPr>
            <w:r>
              <w:rPr>
                <w:rFonts w:eastAsia="MS Mincho"/>
                <w:sz w:val="22"/>
                <w:szCs w:val="22"/>
                <w:lang w:val="el-GR"/>
              </w:rPr>
              <w:t>&lt; 0,001</w:t>
            </w:r>
          </w:p>
        </w:tc>
        <w:tc>
          <w:tcPr>
            <w:tcW w:w="1212" w:type="dxa"/>
            <w:tcBorders>
              <w:top w:val="single" w:sz="4" w:space="0" w:color="000000"/>
              <w:left w:val="single" w:sz="4" w:space="0" w:color="000000"/>
              <w:bottom w:val="single" w:sz="4" w:space="0" w:color="000000"/>
              <w:right w:val="single" w:sz="6" w:space="0" w:color="000000"/>
            </w:tcBorders>
          </w:tcPr>
          <w:p w14:paraId="4B61E5DF" w14:textId="77777777" w:rsidR="00171824" w:rsidRDefault="006D258C">
            <w:pPr>
              <w:pStyle w:val="TableParagraph"/>
              <w:widowControl/>
              <w:kinsoku w:val="0"/>
              <w:overflowPunct w:val="0"/>
              <w:ind w:left="349"/>
              <w:rPr>
                <w:rFonts w:eastAsia="MS Mincho"/>
                <w:sz w:val="22"/>
                <w:lang w:val="el-GR"/>
              </w:rPr>
            </w:pPr>
            <w:r>
              <w:rPr>
                <w:rFonts w:eastAsia="MS Mincho"/>
                <w:sz w:val="22"/>
                <w:szCs w:val="22"/>
                <w:lang w:val="el-GR"/>
              </w:rPr>
              <w:t>0,656</w:t>
            </w:r>
          </w:p>
        </w:tc>
      </w:tr>
      <w:tr w:rsidR="00171824" w14:paraId="2CD2016C" w14:textId="77777777">
        <w:trPr>
          <w:trHeight w:val="20"/>
        </w:trPr>
        <w:tc>
          <w:tcPr>
            <w:tcW w:w="1801" w:type="dxa"/>
            <w:tcBorders>
              <w:top w:val="single" w:sz="4" w:space="0" w:color="000000"/>
              <w:left w:val="single" w:sz="6" w:space="0" w:color="000000"/>
              <w:bottom w:val="single" w:sz="4" w:space="0" w:color="000000"/>
              <w:right w:val="single" w:sz="4" w:space="0" w:color="000000"/>
            </w:tcBorders>
          </w:tcPr>
          <w:p w14:paraId="2B46CF41"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Εβδομάδα 104</w:t>
            </w:r>
          </w:p>
        </w:tc>
        <w:tc>
          <w:tcPr>
            <w:tcW w:w="1320" w:type="dxa"/>
            <w:tcBorders>
              <w:top w:val="single" w:sz="4" w:space="0" w:color="000000"/>
              <w:left w:val="single" w:sz="4" w:space="0" w:color="000000"/>
              <w:bottom w:val="single" w:sz="4" w:space="0" w:color="000000"/>
              <w:right w:val="single" w:sz="4" w:space="0" w:color="000000"/>
            </w:tcBorders>
          </w:tcPr>
          <w:p w14:paraId="5689C4AF"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28,4%</w:t>
            </w:r>
          </w:p>
        </w:tc>
        <w:tc>
          <w:tcPr>
            <w:tcW w:w="1320" w:type="dxa"/>
            <w:tcBorders>
              <w:top w:val="single" w:sz="4" w:space="0" w:color="000000"/>
              <w:left w:val="single" w:sz="4" w:space="0" w:color="000000"/>
              <w:bottom w:val="single" w:sz="4" w:space="0" w:color="000000"/>
              <w:right w:val="single" w:sz="4" w:space="0" w:color="000000"/>
            </w:tcBorders>
          </w:tcPr>
          <w:p w14:paraId="7E4B3FC4" w14:textId="77777777" w:rsidR="00171824" w:rsidRDefault="006D258C">
            <w:pPr>
              <w:pStyle w:val="TableParagraph"/>
              <w:widowControl/>
              <w:kinsoku w:val="0"/>
              <w:overflowPunct w:val="0"/>
              <w:ind w:left="368"/>
              <w:rPr>
                <w:rFonts w:eastAsia="MS Mincho"/>
                <w:sz w:val="22"/>
                <w:lang w:val="el-GR"/>
              </w:rPr>
            </w:pPr>
            <w:r>
              <w:rPr>
                <w:rFonts w:eastAsia="MS Mincho"/>
                <w:sz w:val="22"/>
                <w:szCs w:val="22"/>
                <w:lang w:val="el-GR"/>
              </w:rPr>
              <w:t>28,1%</w:t>
            </w:r>
          </w:p>
        </w:tc>
        <w:tc>
          <w:tcPr>
            <w:tcW w:w="1577" w:type="dxa"/>
            <w:tcBorders>
              <w:top w:val="single" w:sz="4" w:space="0" w:color="000000"/>
              <w:left w:val="single" w:sz="4" w:space="0" w:color="000000"/>
              <w:bottom w:val="single" w:sz="4" w:space="0" w:color="000000"/>
              <w:right w:val="single" w:sz="4" w:space="0" w:color="000000"/>
            </w:tcBorders>
          </w:tcPr>
          <w:p w14:paraId="27DA4C5F" w14:textId="77777777" w:rsidR="00171824" w:rsidRDefault="006D258C">
            <w:pPr>
              <w:pStyle w:val="TableParagraph"/>
              <w:widowControl/>
              <w:kinsoku w:val="0"/>
              <w:overflowPunct w:val="0"/>
              <w:ind w:left="495"/>
              <w:rPr>
                <w:rFonts w:eastAsia="MS Mincho"/>
                <w:sz w:val="22"/>
                <w:lang w:val="el-GR"/>
              </w:rPr>
            </w:pPr>
            <w:r>
              <w:rPr>
                <w:rFonts w:eastAsia="MS Mincho"/>
                <w:sz w:val="22"/>
                <w:szCs w:val="22"/>
                <w:lang w:val="el-GR"/>
              </w:rPr>
              <w:t>46,6%</w:t>
            </w:r>
          </w:p>
        </w:tc>
        <w:tc>
          <w:tcPr>
            <w:tcW w:w="1099" w:type="dxa"/>
            <w:tcBorders>
              <w:top w:val="single" w:sz="4" w:space="0" w:color="000000"/>
              <w:left w:val="single" w:sz="4" w:space="0" w:color="000000"/>
              <w:bottom w:val="single" w:sz="4" w:space="0" w:color="000000"/>
              <w:right w:val="single" w:sz="4" w:space="0" w:color="000000"/>
            </w:tcBorders>
          </w:tcPr>
          <w:p w14:paraId="7CB0B040" w14:textId="77777777" w:rsidR="00171824" w:rsidRDefault="006D258C">
            <w:pPr>
              <w:pStyle w:val="TableParagraph"/>
              <w:widowControl/>
              <w:kinsoku w:val="0"/>
              <w:overflowPunct w:val="0"/>
              <w:ind w:left="205"/>
              <w:rPr>
                <w:rFonts w:eastAsia="MS Mincho"/>
                <w:sz w:val="22"/>
                <w:lang w:val="el-GR"/>
              </w:rPr>
            </w:pPr>
            <w:r>
              <w:rPr>
                <w:rFonts w:eastAsia="MS Mincho"/>
                <w:sz w:val="22"/>
                <w:szCs w:val="22"/>
                <w:lang w:val="el-GR"/>
              </w:rPr>
              <w:t>&lt; 0,001</w:t>
            </w:r>
          </w:p>
        </w:tc>
        <w:tc>
          <w:tcPr>
            <w:tcW w:w="1174" w:type="dxa"/>
            <w:tcBorders>
              <w:top w:val="single" w:sz="4" w:space="0" w:color="000000"/>
              <w:left w:val="single" w:sz="4" w:space="0" w:color="000000"/>
              <w:bottom w:val="single" w:sz="4" w:space="0" w:color="000000"/>
              <w:right w:val="single" w:sz="4" w:space="0" w:color="000000"/>
            </w:tcBorders>
          </w:tcPr>
          <w:p w14:paraId="21667BFE" w14:textId="77777777" w:rsidR="00171824" w:rsidRDefault="006D258C">
            <w:pPr>
              <w:pStyle w:val="TableParagraph"/>
              <w:widowControl/>
              <w:kinsoku w:val="0"/>
              <w:overflowPunct w:val="0"/>
              <w:ind w:left="241"/>
              <w:rPr>
                <w:rFonts w:eastAsia="MS Mincho"/>
                <w:sz w:val="22"/>
                <w:lang w:val="el-GR"/>
              </w:rPr>
            </w:pPr>
            <w:r>
              <w:rPr>
                <w:rFonts w:eastAsia="MS Mincho"/>
                <w:sz w:val="22"/>
                <w:szCs w:val="22"/>
                <w:lang w:val="el-GR"/>
              </w:rPr>
              <w:t>&lt; 0,001</w:t>
            </w:r>
          </w:p>
        </w:tc>
        <w:tc>
          <w:tcPr>
            <w:tcW w:w="1212" w:type="dxa"/>
            <w:tcBorders>
              <w:top w:val="single" w:sz="4" w:space="0" w:color="000000"/>
              <w:left w:val="single" w:sz="4" w:space="0" w:color="000000"/>
              <w:bottom w:val="single" w:sz="4" w:space="0" w:color="000000"/>
              <w:right w:val="single" w:sz="6" w:space="0" w:color="000000"/>
            </w:tcBorders>
          </w:tcPr>
          <w:p w14:paraId="73AF72BF" w14:textId="77777777" w:rsidR="00171824" w:rsidRDefault="006D258C">
            <w:pPr>
              <w:pStyle w:val="TableParagraph"/>
              <w:widowControl/>
              <w:kinsoku w:val="0"/>
              <w:overflowPunct w:val="0"/>
              <w:ind w:left="349"/>
              <w:rPr>
                <w:rFonts w:eastAsia="MS Mincho"/>
                <w:sz w:val="22"/>
                <w:lang w:val="el-GR"/>
              </w:rPr>
            </w:pPr>
            <w:r>
              <w:rPr>
                <w:rFonts w:eastAsia="MS Mincho"/>
                <w:sz w:val="22"/>
                <w:szCs w:val="22"/>
                <w:lang w:val="el-GR"/>
              </w:rPr>
              <w:t>0,864</w:t>
            </w:r>
          </w:p>
        </w:tc>
      </w:tr>
      <w:tr w:rsidR="00171824" w:rsidRPr="00422380" w14:paraId="3032EBBC" w14:textId="77777777">
        <w:trPr>
          <w:trHeight w:val="20"/>
        </w:trPr>
        <w:tc>
          <w:tcPr>
            <w:tcW w:w="9503" w:type="dxa"/>
            <w:gridSpan w:val="7"/>
            <w:tcBorders>
              <w:top w:val="single" w:sz="4" w:space="0" w:color="000000"/>
            </w:tcBorders>
          </w:tcPr>
          <w:p w14:paraId="0F8D65C7" w14:textId="77777777" w:rsidR="00171824" w:rsidRDefault="006D258C">
            <w:pPr>
              <w:pStyle w:val="TableParagraph"/>
              <w:widowControl/>
              <w:tabs>
                <w:tab w:val="left" w:pos="423"/>
              </w:tabs>
              <w:kinsoku w:val="0"/>
              <w:overflowPunct w:val="0"/>
              <w:ind w:left="425" w:right="142" w:hanging="329"/>
              <w:rPr>
                <w:rFonts w:eastAsia="MS Mincho"/>
                <w:sz w:val="20"/>
                <w:szCs w:val="20"/>
                <w:lang w:val="el-GR"/>
              </w:rPr>
            </w:pPr>
            <w:r>
              <w:rPr>
                <w:rFonts w:eastAsia="MS Mincho"/>
                <w:position w:val="10"/>
                <w:sz w:val="20"/>
                <w:szCs w:val="20"/>
                <w:lang w:val="el-GR"/>
              </w:rPr>
              <w:t>a</w:t>
            </w:r>
            <w:r>
              <w:rPr>
                <w:rFonts w:eastAsia="MS Mincho"/>
                <w:position w:val="10"/>
                <w:sz w:val="20"/>
                <w:szCs w:val="20"/>
                <w:lang w:val="el-GR"/>
              </w:rPr>
              <w:tab/>
            </w:r>
            <w:r>
              <w:rPr>
                <w:rFonts w:eastAsia="MS Mincho"/>
                <w:sz w:val="20"/>
                <w:szCs w:val="20"/>
                <w:lang w:val="el-GR"/>
              </w:rPr>
              <w:t>το p-value προκύπτει από τη σύγκριση ανά ζεύγος της μονοθεραπείας με μεθοτρεξάτη και της</w:t>
            </w:r>
          </w:p>
          <w:p w14:paraId="3E863918" w14:textId="77777777" w:rsidR="00171824" w:rsidRDefault="006D258C">
            <w:pPr>
              <w:pStyle w:val="TableParagraph"/>
              <w:widowControl/>
              <w:kinsoku w:val="0"/>
              <w:overflowPunct w:val="0"/>
              <w:ind w:left="37" w:right="142" w:hanging="709"/>
              <w:jc w:val="center"/>
              <w:rPr>
                <w:rFonts w:eastAsia="MS Mincho"/>
                <w:sz w:val="20"/>
                <w:szCs w:val="20"/>
                <w:lang w:val="el-GR"/>
              </w:rPr>
            </w:pPr>
            <w:r>
              <w:rPr>
                <w:rFonts w:eastAsia="MS Mincho"/>
                <w:sz w:val="20"/>
                <w:szCs w:val="20"/>
                <w:lang w:val="el-GR"/>
              </w:rPr>
              <w:t>θεραπείας συνδυασμού με adalimumab/μεθοτρεξάτη χρησιμοποιώντας το Μann-Whitney U test</w:t>
            </w:r>
          </w:p>
          <w:p w14:paraId="3E49113B" w14:textId="77777777" w:rsidR="00171824" w:rsidRDefault="006D258C">
            <w:pPr>
              <w:pStyle w:val="TableParagraph"/>
              <w:widowControl/>
              <w:tabs>
                <w:tab w:val="left" w:pos="423"/>
              </w:tabs>
              <w:kinsoku w:val="0"/>
              <w:overflowPunct w:val="0"/>
              <w:ind w:left="423" w:right="142" w:hanging="329"/>
              <w:rPr>
                <w:rFonts w:eastAsia="MS Mincho"/>
                <w:sz w:val="20"/>
                <w:szCs w:val="20"/>
                <w:lang w:val="el-GR"/>
              </w:rPr>
            </w:pPr>
            <w:r>
              <w:rPr>
                <w:rFonts w:eastAsia="MS Mincho"/>
                <w:position w:val="10"/>
                <w:sz w:val="20"/>
                <w:szCs w:val="20"/>
                <w:lang w:val="el-GR"/>
              </w:rPr>
              <w:t>b</w:t>
            </w:r>
            <w:r>
              <w:rPr>
                <w:rFonts w:eastAsia="MS Mincho"/>
                <w:position w:val="10"/>
                <w:sz w:val="20"/>
                <w:szCs w:val="20"/>
                <w:lang w:val="el-GR"/>
              </w:rPr>
              <w:tab/>
            </w:r>
            <w:r>
              <w:rPr>
                <w:rFonts w:eastAsia="MS Mincho"/>
                <w:sz w:val="20"/>
                <w:szCs w:val="20"/>
                <w:lang w:val="el-GR"/>
              </w:rPr>
              <w:t>το p-value προκύπτει από τη σύγκριση ανά ζεύγος της μονοθεραπείας με adalimumab και της θεραπείας συνδυασμού με adalimumab/μεθοτρεξάτη χρησιμοποιώντας το Μann-Whitney U test</w:t>
            </w:r>
          </w:p>
          <w:p w14:paraId="1426D12A" w14:textId="77777777" w:rsidR="00171824" w:rsidRDefault="006D258C">
            <w:pPr>
              <w:pStyle w:val="TableParagraph"/>
              <w:widowControl/>
              <w:tabs>
                <w:tab w:val="left" w:pos="423"/>
              </w:tabs>
              <w:kinsoku w:val="0"/>
              <w:overflowPunct w:val="0"/>
              <w:ind w:left="450" w:right="1087" w:hanging="356"/>
              <w:rPr>
                <w:rFonts w:eastAsia="MS Mincho"/>
                <w:sz w:val="22"/>
                <w:lang w:val="el-GR"/>
              </w:rPr>
            </w:pPr>
            <w:r>
              <w:rPr>
                <w:rFonts w:eastAsia="MS Mincho"/>
                <w:position w:val="10"/>
                <w:sz w:val="20"/>
                <w:szCs w:val="20"/>
                <w:lang w:val="el-GR"/>
              </w:rPr>
              <w:t>c</w:t>
            </w:r>
            <w:r>
              <w:rPr>
                <w:rFonts w:eastAsia="MS Mincho"/>
                <w:position w:val="10"/>
                <w:sz w:val="20"/>
                <w:szCs w:val="20"/>
                <w:lang w:val="el-GR"/>
              </w:rPr>
              <w:tab/>
            </w:r>
            <w:r>
              <w:rPr>
                <w:rFonts w:eastAsia="MS Mincho"/>
                <w:sz w:val="20"/>
                <w:szCs w:val="20"/>
                <w:lang w:val="el-GR"/>
              </w:rPr>
              <w:t>το p-value προκύπτει από τη σύγκριση ανά ζεύγος της μονοθεραπείας με adalimumab και της μονοθεραπείας με μεθοτρεξάτη χρησιμοποιώντας το Μann-Whitney U test.</w:t>
            </w:r>
          </w:p>
        </w:tc>
      </w:tr>
    </w:tbl>
    <w:p w14:paraId="2C8A5CF8" w14:textId="77777777" w:rsidR="00171824" w:rsidRDefault="00171824">
      <w:pPr>
        <w:widowControl/>
        <w:kinsoku w:val="0"/>
        <w:overflowPunct w:val="0"/>
        <w:rPr>
          <w:sz w:val="22"/>
          <w:szCs w:val="22"/>
          <w:lang w:val="el-GR"/>
        </w:rPr>
      </w:pPr>
    </w:p>
    <w:p w14:paraId="531D6F7B" w14:textId="77777777" w:rsidR="00171824" w:rsidRDefault="006D258C">
      <w:pPr>
        <w:pStyle w:val="BodyText"/>
        <w:widowControl/>
        <w:kinsoku w:val="0"/>
        <w:overflowPunct w:val="0"/>
        <w:ind w:left="0"/>
        <w:rPr>
          <w:lang w:val="el-GR"/>
        </w:rPr>
      </w:pPr>
      <w:r>
        <w:rPr>
          <w:lang w:val="el-GR"/>
        </w:rPr>
        <w:t>Στην ανοιχτή μελέτη επέκτασης για τη μελέτη RA V, τα ποσοστά ανταπόκρισης κατά ACR διατηρήθηκαν όταν παρακολουθήθηκαν για διάστημα έως 10 χρόνια. Από τους 542 ασθενείς που τυχαιοποιήθηκαν σε 40 mg adalimumab κάθε δεύτερη εβδομάδα, οι 170 ασθενείς συνέχισαν τη θεραπεία με adalimumab 40 mg κάθε δεύτερη εβδομάδα για 10 χρόνια. Μεταξύ αυτών, 154 ασθενείς (90,6%) είχαν ανταποκρίσεις κατά ACR 20, 127 ασθενείς (74,7%) είχαν ανταποκρίσεις κατά ACR 50, και 102 ασθενείς (60,0%) είχαν ανταποκρίσεις κατά ACR 70.</w:t>
      </w:r>
    </w:p>
    <w:p w14:paraId="2B4AB646" w14:textId="77777777" w:rsidR="00171824" w:rsidRDefault="00171824">
      <w:pPr>
        <w:widowControl/>
        <w:kinsoku w:val="0"/>
        <w:overflowPunct w:val="0"/>
        <w:rPr>
          <w:sz w:val="22"/>
          <w:szCs w:val="22"/>
          <w:lang w:val="el-GR"/>
        </w:rPr>
      </w:pPr>
    </w:p>
    <w:p w14:paraId="6C3F672E" w14:textId="77777777" w:rsidR="00171824" w:rsidRDefault="006D258C">
      <w:pPr>
        <w:keepNext/>
        <w:keepLines/>
        <w:widowControl/>
        <w:rPr>
          <w:sz w:val="22"/>
          <w:lang w:val="el-GR"/>
        </w:rPr>
      </w:pPr>
      <w:r>
        <w:rPr>
          <w:sz w:val="22"/>
          <w:szCs w:val="22"/>
          <w:lang w:val="el-GR"/>
        </w:rPr>
        <w:lastRenderedPageBreak/>
        <w:t>Στην εβδομάδα 52, το 42,9% των ασθενών που έλαβαν θεραπεία συνδυασμού adalimumab/μεθοτρεξάτης πέτυχαν κλινική ύφεση (DAS28 (CRP) &lt; 2,6) συγκριτικά με το 20,6% των ασθενών που έλαβαν μεθοτρεξάτη σε μονοθεραπεία και το 23,4% των ασθενών που έλαβαν adalimumab σε μονοθεραπεία. Η θεραπεία συνδυασμού adalimumab/μεθοτρεξάτης ήταν τόσο κλινικά όσο και στατιστικά ανώτερη από τη μονοθεραπεία με μεθοτρεξάτη (p &lt; 0,001) και τη μονοθεραπεία με adalimumab (p &lt; 0,001) για την επίτευξη χαμηλής ενεργότητας νόσου σε ασθενείς με προσφάτως διαγνωσθείσα μέτρια έως σοβαρή ρευματοειδή αρθρίτιδα. H ανταπόκριση για τις δύο μονοθεραπείες ήταν παρόμοια (p = 0,447). Από τους 342 ασθενείς που αρχικά τυχαιοποιήθηκαν σε μονοθεραπεία με adalimumab ή θεραπεία συνδυασμού adalimumab/μεθοτρεξάτης που συμμετείχαν στην ανοιχτή μελέτη επέκτασης, 171 ασθενείς συμπλήρωσαν 10 χρόνια θεραπείας με adalimumab. Μεταξύ αυτών, 109 άτομα (63,7%) έχουν αναφερθεί να βρίσκονται σε ύφεση στα 10 χρόνια.</w:t>
      </w:r>
    </w:p>
    <w:p w14:paraId="5766420D" w14:textId="77777777" w:rsidR="00171824" w:rsidRDefault="00171824">
      <w:pPr>
        <w:widowControl/>
        <w:kinsoku w:val="0"/>
        <w:overflowPunct w:val="0"/>
        <w:rPr>
          <w:sz w:val="22"/>
          <w:szCs w:val="22"/>
          <w:lang w:val="el-GR"/>
        </w:rPr>
      </w:pPr>
    </w:p>
    <w:p w14:paraId="0900CDC2" w14:textId="77777777" w:rsidR="00171824" w:rsidRDefault="006D258C">
      <w:pPr>
        <w:widowControl/>
        <w:kinsoku w:val="0"/>
        <w:overflowPunct w:val="0"/>
        <w:rPr>
          <w:sz w:val="22"/>
          <w:szCs w:val="22"/>
          <w:lang w:val="el-GR"/>
        </w:rPr>
      </w:pPr>
      <w:r>
        <w:rPr>
          <w:i/>
          <w:iCs/>
          <w:sz w:val="22"/>
          <w:szCs w:val="22"/>
          <w:u w:val="single"/>
          <w:lang w:val="el-GR"/>
        </w:rPr>
        <w:t>Ακτινολογική ανταπόκριση</w:t>
      </w:r>
    </w:p>
    <w:p w14:paraId="7EE24791" w14:textId="77777777" w:rsidR="00171824" w:rsidRDefault="00171824">
      <w:pPr>
        <w:widowControl/>
        <w:kinsoku w:val="0"/>
        <w:overflowPunct w:val="0"/>
        <w:rPr>
          <w:sz w:val="22"/>
          <w:szCs w:val="22"/>
          <w:lang w:val="el-GR"/>
        </w:rPr>
      </w:pPr>
    </w:p>
    <w:p w14:paraId="49E07971" w14:textId="77777777" w:rsidR="00171824" w:rsidRDefault="006D258C">
      <w:pPr>
        <w:pStyle w:val="BodyText"/>
        <w:widowControl/>
        <w:kinsoku w:val="0"/>
        <w:overflowPunct w:val="0"/>
        <w:ind w:left="0"/>
        <w:rPr>
          <w:lang w:val="el-GR"/>
        </w:rPr>
      </w:pPr>
      <w:r>
        <w:rPr>
          <w:lang w:val="el-GR"/>
        </w:rPr>
        <w:t>Στη μελέτη RA ΙΙΙ, όπου οι ασθενείς που λάμβαναν adalimumab είχαν ρευματοειδή αρθρίτιδα μέσης διάρκειας περίπου 11 ετών, η αρθρική δομική βλάβη αξιολογήθηκε ακτινολογικά και ορίστηκε ως η μεταβολή του τροποποιημένου Τotal Sharp Score (TSS) και των επιμέρους δεικτών του, της βαθμολογίας των διαβρώσεων και της βαθμολογίας της στένωσης του μεσαρθρίου διαστήματος (JSN). Οι ασθενείς που λάμβαναν adalimumab/MTX έδειξαν σημαντικά μικρότερη ακτινολογική επιδείνωση από τους ασθενείς που λάμβαναν ΜΤΧ ως μονοθεραπεία στους 6 και 12 μήνες (βλέπε πίνακα 10).</w:t>
      </w:r>
    </w:p>
    <w:p w14:paraId="439FAFF4" w14:textId="77777777" w:rsidR="00171824" w:rsidRDefault="00171824">
      <w:pPr>
        <w:widowControl/>
        <w:kinsoku w:val="0"/>
        <w:overflowPunct w:val="0"/>
        <w:rPr>
          <w:sz w:val="22"/>
          <w:szCs w:val="22"/>
          <w:lang w:val="el-GR"/>
        </w:rPr>
      </w:pPr>
    </w:p>
    <w:p w14:paraId="602DFD8E" w14:textId="77777777" w:rsidR="00171824" w:rsidRDefault="006D258C">
      <w:pPr>
        <w:pStyle w:val="BodyText"/>
        <w:widowControl/>
        <w:kinsoku w:val="0"/>
        <w:overflowPunct w:val="0"/>
        <w:ind w:left="0"/>
        <w:rPr>
          <w:lang w:val="el-GR"/>
        </w:rPr>
      </w:pPr>
      <w:r>
        <w:rPr>
          <w:lang w:val="el-GR"/>
        </w:rPr>
        <w:t>Στην ανοιχτή μελέτη επέκτασης για τη μελέτη RA III, η αναστολή της εξέλιξης της δομικής βλάβης διατηρήθηκε για 8 και 10 χρόνια σε μία υποομάδα ασθενών. Στα 8 χρόνια, 81 από 207 ασθενείς οι οποίοι αρχικά έλαβαν 40mg adalimumab κάθε δεύτερη εβδομάδα αξιολογήθηκαν ακτινολογικά. Από αυτούς, 48 ασθενείς δεν έδειξαν καμία εξέλιξη της δομικής βλάβης όπως ορίζεται από τη μεταβολή από την αρχική βαθμολογία αναφοράς του τροποποιημένου Total Sharp Score (mTSS) της τάξεως του 0,5 ή λιγότερο. Στα 10 χρόνια, 79 από 207 ασθενείς οι οποίοι αρχικά έλαβαν adalimumab 40 mg κάθε δεύτερη εβδομάδα αξιολογήθηκαν ακτινολογικά. Μεταξύ αυτών, 40 ασθενείς δεν έδειξαν καμία εξέλιξη της δομικής βλάβης όπως ορίζεται από τη μεταβολή από την αρχική βαθμολογία αναφοράς του τροποποιημένου Total Sharp Score (mTSS) της τάξεως του 0,5 ή λιγότερο.</w:t>
      </w:r>
    </w:p>
    <w:p w14:paraId="5F650939" w14:textId="77777777" w:rsidR="00171824" w:rsidRDefault="00171824">
      <w:pPr>
        <w:widowControl/>
        <w:kinsoku w:val="0"/>
        <w:overflowPunct w:val="0"/>
        <w:rPr>
          <w:sz w:val="22"/>
          <w:szCs w:val="26"/>
          <w:lang w:val="el-GR"/>
        </w:rPr>
      </w:pPr>
    </w:p>
    <w:p w14:paraId="421FCB57" w14:textId="77777777" w:rsidR="00171824" w:rsidRDefault="006D258C">
      <w:pPr>
        <w:keepNext/>
        <w:widowControl/>
        <w:kinsoku w:val="0"/>
        <w:overflowPunct w:val="0"/>
        <w:ind w:right="432"/>
        <w:rPr>
          <w:sz w:val="22"/>
          <w:szCs w:val="22"/>
          <w:lang w:val="el-GR"/>
        </w:rPr>
      </w:pPr>
      <w:r>
        <w:rPr>
          <w:b/>
          <w:sz w:val="22"/>
          <w:szCs w:val="22"/>
          <w:lang w:val="el-GR"/>
        </w:rPr>
        <w:t xml:space="preserve">Πίνακας </w:t>
      </w:r>
      <w:r>
        <w:rPr>
          <w:b/>
          <w:bCs/>
          <w:sz w:val="22"/>
          <w:szCs w:val="22"/>
          <w:lang w:val="el-GR"/>
        </w:rPr>
        <w:t>10. Μέσες Ακτινολογικές Αλλαγές Μετά τους 12 Μήνες στη Μελέτη RA III</w:t>
      </w:r>
    </w:p>
    <w:p w14:paraId="58C89734" w14:textId="77777777" w:rsidR="00171824" w:rsidRDefault="00171824">
      <w:pPr>
        <w:keepNext/>
        <w:widowControl/>
        <w:kinsoku w:val="0"/>
        <w:overflowPunct w:val="0"/>
        <w:rPr>
          <w:sz w:val="22"/>
          <w:szCs w:val="22"/>
          <w:lang w:val="el-GR"/>
        </w:rPr>
      </w:pPr>
    </w:p>
    <w:tbl>
      <w:tblPr>
        <w:tblW w:w="0" w:type="auto"/>
        <w:tblInd w:w="5" w:type="dxa"/>
        <w:tblLayout w:type="fixed"/>
        <w:tblCellMar>
          <w:left w:w="0" w:type="dxa"/>
          <w:right w:w="0" w:type="dxa"/>
        </w:tblCellMar>
        <w:tblLook w:val="04A0" w:firstRow="1" w:lastRow="0" w:firstColumn="1" w:lastColumn="0" w:noHBand="0" w:noVBand="1"/>
      </w:tblPr>
      <w:tblGrid>
        <w:gridCol w:w="2193"/>
        <w:gridCol w:w="1430"/>
        <w:gridCol w:w="1790"/>
        <w:gridCol w:w="2000"/>
        <w:gridCol w:w="1548"/>
      </w:tblGrid>
      <w:tr w:rsidR="00171824" w14:paraId="5705C1FD" w14:textId="77777777">
        <w:trPr>
          <w:trHeight w:val="20"/>
        </w:trPr>
        <w:tc>
          <w:tcPr>
            <w:tcW w:w="2193" w:type="dxa"/>
            <w:tcBorders>
              <w:top w:val="single" w:sz="4" w:space="0" w:color="000000"/>
              <w:left w:val="single" w:sz="4" w:space="0" w:color="000000"/>
              <w:bottom w:val="single" w:sz="4" w:space="0" w:color="000000"/>
              <w:right w:val="single" w:sz="4" w:space="0" w:color="000000"/>
            </w:tcBorders>
          </w:tcPr>
          <w:p w14:paraId="225D947D" w14:textId="77777777" w:rsidR="00171824" w:rsidRDefault="00171824">
            <w:pPr>
              <w:widowControl/>
              <w:rPr>
                <w:rFonts w:eastAsia="MS Mincho"/>
                <w:b/>
                <w:sz w:val="22"/>
                <w:lang w:val="el-GR"/>
              </w:rPr>
            </w:pPr>
          </w:p>
        </w:tc>
        <w:tc>
          <w:tcPr>
            <w:tcW w:w="1430" w:type="dxa"/>
            <w:tcBorders>
              <w:top w:val="single" w:sz="4" w:space="0" w:color="000000"/>
              <w:left w:val="single" w:sz="4" w:space="0" w:color="000000"/>
              <w:bottom w:val="single" w:sz="4" w:space="0" w:color="000000"/>
              <w:right w:val="single" w:sz="4" w:space="0" w:color="000000"/>
            </w:tcBorders>
          </w:tcPr>
          <w:p w14:paraId="7B1636C7" w14:textId="77777777" w:rsidR="00171824" w:rsidRDefault="006D258C">
            <w:pPr>
              <w:pStyle w:val="TableParagraph"/>
              <w:widowControl/>
              <w:kinsoku w:val="0"/>
              <w:overflowPunct w:val="0"/>
              <w:ind w:left="102" w:right="448"/>
              <w:rPr>
                <w:rFonts w:eastAsia="MS Mincho"/>
                <w:b/>
                <w:sz w:val="22"/>
                <w:lang w:val="el-GR"/>
              </w:rPr>
            </w:pPr>
            <w:r>
              <w:rPr>
                <w:rFonts w:eastAsia="MS Mincho"/>
                <w:b/>
                <w:sz w:val="22"/>
                <w:szCs w:val="22"/>
                <w:lang w:val="el-GR"/>
              </w:rPr>
              <w:t>Εικονικό φάρμακο/ MTX</w:t>
            </w:r>
            <w:r>
              <w:rPr>
                <w:rFonts w:eastAsia="MS Mincho"/>
                <w:b/>
                <w:sz w:val="22"/>
                <w:szCs w:val="22"/>
                <w:vertAlign w:val="superscript"/>
                <w:lang w:val="el-GR"/>
              </w:rPr>
              <w:t>a</w:t>
            </w:r>
          </w:p>
        </w:tc>
        <w:tc>
          <w:tcPr>
            <w:tcW w:w="1790" w:type="dxa"/>
            <w:tcBorders>
              <w:top w:val="single" w:sz="4" w:space="0" w:color="000000"/>
              <w:left w:val="single" w:sz="4" w:space="0" w:color="000000"/>
              <w:bottom w:val="single" w:sz="4" w:space="0" w:color="000000"/>
              <w:right w:val="single" w:sz="4" w:space="0" w:color="000000"/>
            </w:tcBorders>
          </w:tcPr>
          <w:p w14:paraId="1E40796A" w14:textId="77777777" w:rsidR="00171824" w:rsidRDefault="006D258C">
            <w:pPr>
              <w:pStyle w:val="TableParagraph"/>
              <w:widowControl/>
              <w:kinsoku w:val="0"/>
              <w:overflowPunct w:val="0"/>
              <w:ind w:left="275" w:right="276"/>
              <w:jc w:val="center"/>
              <w:rPr>
                <w:rFonts w:eastAsia="MS Mincho"/>
                <w:b/>
                <w:sz w:val="22"/>
                <w:lang w:val="el-GR"/>
              </w:rPr>
            </w:pPr>
            <w:r>
              <w:rPr>
                <w:rFonts w:eastAsia="MS Mincho"/>
                <w:b/>
                <w:sz w:val="22"/>
                <w:szCs w:val="22"/>
                <w:lang w:val="el-GR"/>
              </w:rPr>
              <w:t>Adalimumab/MTX 40 mg κάθε δεύτερη εβδομάδα</w:t>
            </w:r>
          </w:p>
        </w:tc>
        <w:tc>
          <w:tcPr>
            <w:tcW w:w="2000" w:type="dxa"/>
            <w:tcBorders>
              <w:top w:val="single" w:sz="4" w:space="0" w:color="000000"/>
              <w:left w:val="single" w:sz="4" w:space="0" w:color="000000"/>
              <w:bottom w:val="single" w:sz="4" w:space="0" w:color="000000"/>
              <w:right w:val="single" w:sz="4" w:space="0" w:color="000000"/>
            </w:tcBorders>
          </w:tcPr>
          <w:p w14:paraId="2A7E9A92" w14:textId="77777777" w:rsidR="00171824" w:rsidRDefault="006D258C">
            <w:pPr>
              <w:pStyle w:val="TableParagraph"/>
              <w:widowControl/>
              <w:kinsoku w:val="0"/>
              <w:overflowPunct w:val="0"/>
              <w:ind w:left="111" w:right="112" w:hanging="3"/>
              <w:jc w:val="center"/>
              <w:rPr>
                <w:rFonts w:eastAsia="MS Mincho"/>
                <w:b/>
                <w:sz w:val="22"/>
                <w:lang w:val="el-GR"/>
              </w:rPr>
            </w:pPr>
            <w:r>
              <w:rPr>
                <w:rFonts w:eastAsia="MS Mincho"/>
                <w:b/>
                <w:sz w:val="22"/>
                <w:szCs w:val="22"/>
                <w:lang w:val="el-GR"/>
              </w:rPr>
              <w:t xml:space="preserve">Εικονικό φάρμακο/MTX-adalimumab/MTX (95% διάστημα εμπιστοσύνης </w:t>
            </w:r>
            <w:r>
              <w:rPr>
                <w:rFonts w:eastAsia="MS Mincho"/>
                <w:b/>
                <w:sz w:val="22"/>
                <w:szCs w:val="22"/>
                <w:vertAlign w:val="superscript"/>
                <w:lang w:val="el-GR"/>
              </w:rPr>
              <w:t>b</w:t>
            </w:r>
            <w:r>
              <w:rPr>
                <w:rFonts w:eastAsia="MS Mincho"/>
                <w:b/>
                <w:sz w:val="22"/>
                <w:szCs w:val="22"/>
                <w:lang w:val="el-GR"/>
              </w:rPr>
              <w:t>)</w:t>
            </w:r>
          </w:p>
        </w:tc>
        <w:tc>
          <w:tcPr>
            <w:tcW w:w="1548" w:type="dxa"/>
            <w:tcBorders>
              <w:top w:val="single" w:sz="4" w:space="0" w:color="000000"/>
              <w:left w:val="single" w:sz="4" w:space="0" w:color="000000"/>
              <w:bottom w:val="single" w:sz="4" w:space="0" w:color="000000"/>
              <w:right w:val="single" w:sz="4" w:space="0" w:color="000000"/>
            </w:tcBorders>
          </w:tcPr>
          <w:p w14:paraId="55FC9C51" w14:textId="77777777" w:rsidR="00171824" w:rsidRDefault="006D258C">
            <w:pPr>
              <w:pStyle w:val="TableParagraph"/>
              <w:widowControl/>
              <w:kinsoku w:val="0"/>
              <w:overflowPunct w:val="0"/>
              <w:ind w:left="438"/>
              <w:rPr>
                <w:rFonts w:eastAsia="MS Mincho"/>
                <w:b/>
                <w:sz w:val="22"/>
                <w:lang w:val="el-GR"/>
              </w:rPr>
            </w:pPr>
            <w:r>
              <w:rPr>
                <w:rFonts w:eastAsia="MS Mincho"/>
                <w:b/>
                <w:sz w:val="22"/>
                <w:szCs w:val="22"/>
                <w:lang w:val="el-GR"/>
              </w:rPr>
              <w:t>p-value</w:t>
            </w:r>
          </w:p>
        </w:tc>
      </w:tr>
      <w:tr w:rsidR="00171824" w14:paraId="0DFB82DC" w14:textId="77777777">
        <w:trPr>
          <w:trHeight w:val="20"/>
        </w:trPr>
        <w:tc>
          <w:tcPr>
            <w:tcW w:w="2193" w:type="dxa"/>
            <w:tcBorders>
              <w:top w:val="single" w:sz="4" w:space="0" w:color="000000"/>
              <w:left w:val="single" w:sz="4" w:space="0" w:color="000000"/>
              <w:bottom w:val="single" w:sz="4" w:space="0" w:color="000000"/>
              <w:right w:val="single" w:sz="4" w:space="0" w:color="000000"/>
            </w:tcBorders>
          </w:tcPr>
          <w:p w14:paraId="12EFFCB3"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Total Sharp Score</w:t>
            </w:r>
          </w:p>
        </w:tc>
        <w:tc>
          <w:tcPr>
            <w:tcW w:w="1430" w:type="dxa"/>
            <w:tcBorders>
              <w:top w:val="single" w:sz="4" w:space="0" w:color="000000"/>
              <w:left w:val="single" w:sz="4" w:space="0" w:color="000000"/>
              <w:bottom w:val="single" w:sz="4" w:space="0" w:color="000000"/>
              <w:right w:val="single" w:sz="4" w:space="0" w:color="000000"/>
            </w:tcBorders>
          </w:tcPr>
          <w:p w14:paraId="1BBE2730" w14:textId="77777777" w:rsidR="00171824" w:rsidRDefault="006D258C">
            <w:pPr>
              <w:pStyle w:val="TableParagraph"/>
              <w:widowControl/>
              <w:kinsoku w:val="0"/>
              <w:overflowPunct w:val="0"/>
              <w:ind w:left="551" w:right="553"/>
              <w:jc w:val="center"/>
              <w:rPr>
                <w:rFonts w:eastAsia="MS Mincho"/>
                <w:sz w:val="22"/>
                <w:lang w:val="el-GR"/>
              </w:rPr>
            </w:pPr>
            <w:r>
              <w:rPr>
                <w:rFonts w:eastAsia="MS Mincho"/>
                <w:sz w:val="22"/>
                <w:szCs w:val="22"/>
                <w:lang w:val="el-GR"/>
              </w:rPr>
              <w:t>2,7</w:t>
            </w:r>
          </w:p>
        </w:tc>
        <w:tc>
          <w:tcPr>
            <w:tcW w:w="1790" w:type="dxa"/>
            <w:tcBorders>
              <w:top w:val="single" w:sz="4" w:space="0" w:color="000000"/>
              <w:left w:val="single" w:sz="4" w:space="0" w:color="000000"/>
              <w:bottom w:val="single" w:sz="4" w:space="0" w:color="000000"/>
              <w:right w:val="single" w:sz="4" w:space="0" w:color="000000"/>
            </w:tcBorders>
          </w:tcPr>
          <w:p w14:paraId="68F20CD7" w14:textId="77777777" w:rsidR="00171824" w:rsidRDefault="006D258C">
            <w:pPr>
              <w:pStyle w:val="TableParagraph"/>
              <w:widowControl/>
              <w:kinsoku w:val="0"/>
              <w:overflowPunct w:val="0"/>
              <w:ind w:left="731" w:right="733"/>
              <w:jc w:val="center"/>
              <w:rPr>
                <w:rFonts w:eastAsia="MS Mincho"/>
                <w:sz w:val="22"/>
                <w:lang w:val="el-GR"/>
              </w:rPr>
            </w:pPr>
            <w:r>
              <w:rPr>
                <w:rFonts w:eastAsia="MS Mincho"/>
                <w:sz w:val="22"/>
                <w:szCs w:val="22"/>
                <w:lang w:val="el-GR"/>
              </w:rPr>
              <w:t>0,1</w:t>
            </w:r>
          </w:p>
        </w:tc>
        <w:tc>
          <w:tcPr>
            <w:tcW w:w="2000" w:type="dxa"/>
            <w:tcBorders>
              <w:top w:val="single" w:sz="4" w:space="0" w:color="000000"/>
              <w:left w:val="single" w:sz="4" w:space="0" w:color="000000"/>
              <w:bottom w:val="single" w:sz="4" w:space="0" w:color="000000"/>
              <w:right w:val="single" w:sz="4" w:space="0" w:color="000000"/>
            </w:tcBorders>
          </w:tcPr>
          <w:p w14:paraId="28E37AFC" w14:textId="77777777" w:rsidR="00171824" w:rsidRDefault="006D258C">
            <w:pPr>
              <w:pStyle w:val="TableParagraph"/>
              <w:widowControl/>
              <w:kinsoku w:val="0"/>
              <w:overflowPunct w:val="0"/>
              <w:ind w:left="421"/>
              <w:rPr>
                <w:rFonts w:eastAsia="MS Mincho"/>
                <w:sz w:val="22"/>
                <w:lang w:val="el-GR"/>
              </w:rPr>
            </w:pPr>
            <w:r>
              <w:rPr>
                <w:rFonts w:eastAsia="MS Mincho"/>
                <w:sz w:val="22"/>
                <w:szCs w:val="22"/>
                <w:lang w:val="el-GR"/>
              </w:rPr>
              <w:t>2,6 (1,4, 3,8)</w:t>
            </w:r>
          </w:p>
        </w:tc>
        <w:tc>
          <w:tcPr>
            <w:tcW w:w="1548" w:type="dxa"/>
            <w:tcBorders>
              <w:top w:val="single" w:sz="4" w:space="0" w:color="000000"/>
              <w:left w:val="single" w:sz="4" w:space="0" w:color="000000"/>
              <w:bottom w:val="single" w:sz="4" w:space="0" w:color="000000"/>
              <w:right w:val="single" w:sz="4" w:space="0" w:color="000000"/>
            </w:tcBorders>
          </w:tcPr>
          <w:p w14:paraId="39F1D815" w14:textId="77777777" w:rsidR="00171824" w:rsidRDefault="006D258C">
            <w:pPr>
              <w:pStyle w:val="TableParagraph"/>
              <w:widowControl/>
              <w:kinsoku w:val="0"/>
              <w:overflowPunct w:val="0"/>
              <w:ind w:left="397"/>
              <w:rPr>
                <w:rFonts w:eastAsia="MS Mincho"/>
                <w:sz w:val="22"/>
                <w:lang w:val="el-GR"/>
              </w:rPr>
            </w:pPr>
            <w:r>
              <w:rPr>
                <w:rFonts w:eastAsia="MS Mincho"/>
                <w:sz w:val="22"/>
                <w:szCs w:val="22"/>
                <w:lang w:val="el-GR"/>
              </w:rPr>
              <w:t>&lt; 0,001</w:t>
            </w:r>
            <w:r>
              <w:rPr>
                <w:rFonts w:eastAsia="MS Mincho"/>
                <w:sz w:val="22"/>
                <w:szCs w:val="22"/>
                <w:vertAlign w:val="superscript"/>
                <w:lang w:val="el-GR"/>
              </w:rPr>
              <w:t>c</w:t>
            </w:r>
          </w:p>
        </w:tc>
      </w:tr>
      <w:tr w:rsidR="00171824" w14:paraId="201D4A72" w14:textId="77777777">
        <w:trPr>
          <w:trHeight w:val="20"/>
        </w:trPr>
        <w:tc>
          <w:tcPr>
            <w:tcW w:w="2193" w:type="dxa"/>
            <w:tcBorders>
              <w:top w:val="single" w:sz="4" w:space="0" w:color="000000"/>
              <w:left w:val="single" w:sz="4" w:space="0" w:color="000000"/>
              <w:bottom w:val="single" w:sz="4" w:space="0" w:color="000000"/>
              <w:right w:val="single" w:sz="4" w:space="0" w:color="000000"/>
            </w:tcBorders>
          </w:tcPr>
          <w:p w14:paraId="04D7F49D" w14:textId="77777777" w:rsidR="00171824" w:rsidRDefault="006D258C">
            <w:pPr>
              <w:pStyle w:val="TableParagraph"/>
              <w:widowControl/>
              <w:kinsoku w:val="0"/>
              <w:overflowPunct w:val="0"/>
              <w:ind w:left="102" w:right="866"/>
              <w:rPr>
                <w:rFonts w:eastAsia="MS Mincho"/>
                <w:sz w:val="22"/>
                <w:lang w:val="el-GR"/>
              </w:rPr>
            </w:pPr>
            <w:r>
              <w:rPr>
                <w:rFonts w:eastAsia="MS Mincho"/>
                <w:sz w:val="22"/>
                <w:szCs w:val="22"/>
                <w:lang w:val="el-GR"/>
              </w:rPr>
              <w:t>Βαθμολογία διαβρώσεων</w:t>
            </w:r>
          </w:p>
        </w:tc>
        <w:tc>
          <w:tcPr>
            <w:tcW w:w="1430" w:type="dxa"/>
            <w:tcBorders>
              <w:top w:val="single" w:sz="4" w:space="0" w:color="000000"/>
              <w:left w:val="single" w:sz="4" w:space="0" w:color="000000"/>
              <w:bottom w:val="single" w:sz="4" w:space="0" w:color="000000"/>
              <w:right w:val="single" w:sz="4" w:space="0" w:color="000000"/>
            </w:tcBorders>
          </w:tcPr>
          <w:p w14:paraId="6BCFD179" w14:textId="77777777" w:rsidR="00171824" w:rsidRDefault="006D258C">
            <w:pPr>
              <w:pStyle w:val="TableParagraph"/>
              <w:widowControl/>
              <w:kinsoku w:val="0"/>
              <w:overflowPunct w:val="0"/>
              <w:ind w:left="551" w:right="553"/>
              <w:jc w:val="center"/>
              <w:rPr>
                <w:rFonts w:eastAsia="MS Mincho"/>
                <w:sz w:val="22"/>
                <w:lang w:val="el-GR"/>
              </w:rPr>
            </w:pPr>
            <w:r>
              <w:rPr>
                <w:rFonts w:eastAsia="MS Mincho"/>
                <w:sz w:val="22"/>
                <w:szCs w:val="22"/>
                <w:lang w:val="el-GR"/>
              </w:rPr>
              <w:t>1,6</w:t>
            </w:r>
          </w:p>
        </w:tc>
        <w:tc>
          <w:tcPr>
            <w:tcW w:w="1790" w:type="dxa"/>
            <w:tcBorders>
              <w:top w:val="single" w:sz="4" w:space="0" w:color="000000"/>
              <w:left w:val="single" w:sz="4" w:space="0" w:color="000000"/>
              <w:bottom w:val="single" w:sz="4" w:space="0" w:color="000000"/>
              <w:right w:val="single" w:sz="4" w:space="0" w:color="000000"/>
            </w:tcBorders>
          </w:tcPr>
          <w:p w14:paraId="1EA3EFC4" w14:textId="77777777" w:rsidR="00171824" w:rsidRDefault="006D258C">
            <w:pPr>
              <w:pStyle w:val="TableParagraph"/>
              <w:widowControl/>
              <w:kinsoku w:val="0"/>
              <w:overflowPunct w:val="0"/>
              <w:ind w:left="731" w:right="733"/>
              <w:jc w:val="center"/>
              <w:rPr>
                <w:rFonts w:eastAsia="MS Mincho"/>
                <w:sz w:val="22"/>
                <w:lang w:val="el-GR"/>
              </w:rPr>
            </w:pPr>
            <w:r>
              <w:rPr>
                <w:rFonts w:eastAsia="MS Mincho"/>
                <w:sz w:val="22"/>
                <w:szCs w:val="22"/>
                <w:lang w:val="el-GR"/>
              </w:rPr>
              <w:t>0,0</w:t>
            </w:r>
          </w:p>
        </w:tc>
        <w:tc>
          <w:tcPr>
            <w:tcW w:w="2000" w:type="dxa"/>
            <w:tcBorders>
              <w:top w:val="single" w:sz="4" w:space="0" w:color="000000"/>
              <w:left w:val="single" w:sz="4" w:space="0" w:color="000000"/>
              <w:bottom w:val="single" w:sz="4" w:space="0" w:color="000000"/>
              <w:right w:val="single" w:sz="4" w:space="0" w:color="000000"/>
            </w:tcBorders>
          </w:tcPr>
          <w:p w14:paraId="1231FFC2" w14:textId="77777777" w:rsidR="00171824" w:rsidRDefault="006D258C">
            <w:pPr>
              <w:pStyle w:val="TableParagraph"/>
              <w:widowControl/>
              <w:kinsoku w:val="0"/>
              <w:overflowPunct w:val="0"/>
              <w:ind w:left="421"/>
              <w:rPr>
                <w:rFonts w:eastAsia="MS Mincho"/>
                <w:sz w:val="22"/>
                <w:lang w:val="el-GR"/>
              </w:rPr>
            </w:pPr>
            <w:r>
              <w:rPr>
                <w:rFonts w:eastAsia="MS Mincho"/>
                <w:sz w:val="22"/>
                <w:szCs w:val="22"/>
                <w:lang w:val="el-GR"/>
              </w:rPr>
              <w:t>1,6 (0,9, 2,2)</w:t>
            </w:r>
          </w:p>
        </w:tc>
        <w:tc>
          <w:tcPr>
            <w:tcW w:w="1548" w:type="dxa"/>
            <w:tcBorders>
              <w:top w:val="single" w:sz="4" w:space="0" w:color="000000"/>
              <w:left w:val="single" w:sz="4" w:space="0" w:color="000000"/>
              <w:bottom w:val="single" w:sz="4" w:space="0" w:color="000000"/>
              <w:right w:val="single" w:sz="4" w:space="0" w:color="000000"/>
            </w:tcBorders>
          </w:tcPr>
          <w:p w14:paraId="232D68E1" w14:textId="77777777" w:rsidR="00171824" w:rsidRDefault="006D258C">
            <w:pPr>
              <w:pStyle w:val="TableParagraph"/>
              <w:widowControl/>
              <w:kinsoku w:val="0"/>
              <w:overflowPunct w:val="0"/>
              <w:ind w:left="428"/>
              <w:rPr>
                <w:rFonts w:eastAsia="MS Mincho"/>
                <w:sz w:val="22"/>
                <w:lang w:val="el-GR"/>
              </w:rPr>
            </w:pPr>
            <w:r>
              <w:rPr>
                <w:rFonts w:eastAsia="MS Mincho"/>
                <w:sz w:val="22"/>
                <w:szCs w:val="22"/>
                <w:lang w:val="el-GR"/>
              </w:rPr>
              <w:t>&lt; 0,001</w:t>
            </w:r>
          </w:p>
        </w:tc>
      </w:tr>
      <w:tr w:rsidR="00171824" w14:paraId="5F8A3C47" w14:textId="77777777">
        <w:trPr>
          <w:trHeight w:val="20"/>
        </w:trPr>
        <w:tc>
          <w:tcPr>
            <w:tcW w:w="2193" w:type="dxa"/>
            <w:tcBorders>
              <w:top w:val="single" w:sz="4" w:space="0" w:color="000000"/>
              <w:left w:val="single" w:sz="4" w:space="0" w:color="000000"/>
              <w:bottom w:val="single" w:sz="4" w:space="0" w:color="000000"/>
              <w:right w:val="single" w:sz="4" w:space="0" w:color="000000"/>
            </w:tcBorders>
          </w:tcPr>
          <w:p w14:paraId="1EBDAE90"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Βαθμολογία JSN</w:t>
            </w:r>
            <w:r>
              <w:rPr>
                <w:rFonts w:eastAsia="MS Mincho"/>
                <w:sz w:val="22"/>
                <w:szCs w:val="22"/>
                <w:vertAlign w:val="superscript"/>
                <w:lang w:val="el-GR"/>
              </w:rPr>
              <w:t>d</w:t>
            </w:r>
          </w:p>
        </w:tc>
        <w:tc>
          <w:tcPr>
            <w:tcW w:w="1430" w:type="dxa"/>
            <w:tcBorders>
              <w:top w:val="single" w:sz="4" w:space="0" w:color="000000"/>
              <w:left w:val="single" w:sz="4" w:space="0" w:color="000000"/>
              <w:bottom w:val="single" w:sz="4" w:space="0" w:color="000000"/>
              <w:right w:val="single" w:sz="4" w:space="0" w:color="000000"/>
            </w:tcBorders>
          </w:tcPr>
          <w:p w14:paraId="6DDE9829" w14:textId="77777777" w:rsidR="00171824" w:rsidRDefault="006D258C">
            <w:pPr>
              <w:pStyle w:val="TableParagraph"/>
              <w:widowControl/>
              <w:kinsoku w:val="0"/>
              <w:overflowPunct w:val="0"/>
              <w:ind w:left="551" w:right="553"/>
              <w:jc w:val="center"/>
              <w:rPr>
                <w:rFonts w:eastAsia="MS Mincho"/>
                <w:sz w:val="22"/>
                <w:lang w:val="el-GR"/>
              </w:rPr>
            </w:pPr>
            <w:r>
              <w:rPr>
                <w:rFonts w:eastAsia="MS Mincho"/>
                <w:sz w:val="22"/>
                <w:szCs w:val="22"/>
                <w:lang w:val="el-GR"/>
              </w:rPr>
              <w:t>1,0</w:t>
            </w:r>
          </w:p>
        </w:tc>
        <w:tc>
          <w:tcPr>
            <w:tcW w:w="1790" w:type="dxa"/>
            <w:tcBorders>
              <w:top w:val="single" w:sz="4" w:space="0" w:color="000000"/>
              <w:left w:val="single" w:sz="4" w:space="0" w:color="000000"/>
              <w:bottom w:val="single" w:sz="4" w:space="0" w:color="000000"/>
              <w:right w:val="single" w:sz="4" w:space="0" w:color="000000"/>
            </w:tcBorders>
          </w:tcPr>
          <w:p w14:paraId="0F805289" w14:textId="77777777" w:rsidR="00171824" w:rsidRDefault="006D258C">
            <w:pPr>
              <w:pStyle w:val="TableParagraph"/>
              <w:widowControl/>
              <w:kinsoku w:val="0"/>
              <w:overflowPunct w:val="0"/>
              <w:ind w:left="731" w:right="733"/>
              <w:jc w:val="center"/>
              <w:rPr>
                <w:rFonts w:eastAsia="MS Mincho"/>
                <w:sz w:val="22"/>
                <w:lang w:val="el-GR"/>
              </w:rPr>
            </w:pPr>
            <w:r>
              <w:rPr>
                <w:rFonts w:eastAsia="MS Mincho"/>
                <w:sz w:val="22"/>
                <w:szCs w:val="22"/>
                <w:lang w:val="el-GR"/>
              </w:rPr>
              <w:t>0,1</w:t>
            </w:r>
          </w:p>
        </w:tc>
        <w:tc>
          <w:tcPr>
            <w:tcW w:w="2000" w:type="dxa"/>
            <w:tcBorders>
              <w:top w:val="single" w:sz="4" w:space="0" w:color="000000"/>
              <w:left w:val="single" w:sz="4" w:space="0" w:color="000000"/>
              <w:bottom w:val="single" w:sz="4" w:space="0" w:color="000000"/>
              <w:right w:val="single" w:sz="4" w:space="0" w:color="000000"/>
            </w:tcBorders>
          </w:tcPr>
          <w:p w14:paraId="48EB0C23" w14:textId="77777777" w:rsidR="00171824" w:rsidRDefault="006D258C">
            <w:pPr>
              <w:pStyle w:val="TableParagraph"/>
              <w:widowControl/>
              <w:kinsoku w:val="0"/>
              <w:overflowPunct w:val="0"/>
              <w:ind w:left="421"/>
              <w:rPr>
                <w:rFonts w:eastAsia="MS Mincho"/>
                <w:sz w:val="22"/>
                <w:lang w:val="el-GR"/>
              </w:rPr>
            </w:pPr>
            <w:r>
              <w:rPr>
                <w:rFonts w:eastAsia="MS Mincho"/>
                <w:sz w:val="22"/>
                <w:szCs w:val="22"/>
                <w:lang w:val="el-GR"/>
              </w:rPr>
              <w:t>0,9 (0,3, 1,4)</w:t>
            </w:r>
          </w:p>
        </w:tc>
        <w:tc>
          <w:tcPr>
            <w:tcW w:w="1548" w:type="dxa"/>
            <w:tcBorders>
              <w:top w:val="single" w:sz="4" w:space="0" w:color="000000"/>
              <w:left w:val="single" w:sz="4" w:space="0" w:color="000000"/>
              <w:bottom w:val="single" w:sz="4" w:space="0" w:color="000000"/>
              <w:right w:val="single" w:sz="4" w:space="0" w:color="000000"/>
            </w:tcBorders>
          </w:tcPr>
          <w:p w14:paraId="7C3D87A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0,002</w:t>
            </w:r>
          </w:p>
        </w:tc>
      </w:tr>
    </w:tbl>
    <w:p w14:paraId="5537608F" w14:textId="77777777" w:rsidR="00171824" w:rsidRDefault="006D258C">
      <w:pPr>
        <w:widowControl/>
        <w:tabs>
          <w:tab w:val="left" w:pos="784"/>
        </w:tabs>
        <w:kinsoku w:val="0"/>
        <w:overflowPunct w:val="0"/>
        <w:ind w:left="284" w:hanging="284"/>
        <w:rPr>
          <w:sz w:val="20"/>
          <w:szCs w:val="20"/>
          <w:lang w:val="el-GR"/>
        </w:rPr>
      </w:pPr>
      <w:r>
        <w:rPr>
          <w:position w:val="9"/>
          <w:sz w:val="13"/>
          <w:szCs w:val="13"/>
          <w:lang w:val="el-GR"/>
        </w:rPr>
        <w:t>a</w:t>
      </w:r>
      <w:r>
        <w:rPr>
          <w:position w:val="9"/>
          <w:sz w:val="13"/>
          <w:szCs w:val="13"/>
          <w:lang w:val="el-GR"/>
        </w:rPr>
        <w:tab/>
      </w:r>
      <w:r>
        <w:rPr>
          <w:sz w:val="20"/>
          <w:szCs w:val="20"/>
          <w:lang w:val="el-GR"/>
        </w:rPr>
        <w:t>μεθοτρεξάτη</w:t>
      </w:r>
    </w:p>
    <w:p w14:paraId="488035F3" w14:textId="77777777" w:rsidR="00171824" w:rsidRDefault="006D258C">
      <w:pPr>
        <w:widowControl/>
        <w:tabs>
          <w:tab w:val="left" w:pos="784"/>
        </w:tabs>
        <w:kinsoku w:val="0"/>
        <w:overflowPunct w:val="0"/>
        <w:ind w:left="284" w:hanging="284"/>
        <w:rPr>
          <w:sz w:val="20"/>
          <w:szCs w:val="20"/>
          <w:lang w:val="el-GR"/>
        </w:rPr>
      </w:pPr>
      <w:r>
        <w:rPr>
          <w:position w:val="9"/>
          <w:sz w:val="13"/>
          <w:szCs w:val="13"/>
          <w:lang w:val="el-GR"/>
        </w:rPr>
        <w:t>b</w:t>
      </w:r>
      <w:r>
        <w:rPr>
          <w:position w:val="9"/>
          <w:sz w:val="13"/>
          <w:szCs w:val="13"/>
          <w:lang w:val="el-GR"/>
        </w:rPr>
        <w:tab/>
      </w:r>
      <w:r>
        <w:rPr>
          <w:sz w:val="20"/>
          <w:szCs w:val="20"/>
          <w:lang w:val="el-GR"/>
        </w:rPr>
        <w:t xml:space="preserve">95% διάστημα εμπιστοσύνης για τις διαφορές στις βαθμολογίες μεταξύ μεθοτρεξάτης και adalimumab </w:t>
      </w:r>
    </w:p>
    <w:p w14:paraId="79A2899C" w14:textId="77777777" w:rsidR="00171824" w:rsidRDefault="006D258C">
      <w:pPr>
        <w:widowControl/>
        <w:tabs>
          <w:tab w:val="left" w:pos="784"/>
        </w:tabs>
        <w:kinsoku w:val="0"/>
        <w:overflowPunct w:val="0"/>
        <w:ind w:left="284" w:hanging="284"/>
        <w:rPr>
          <w:sz w:val="20"/>
          <w:szCs w:val="20"/>
          <w:lang w:val="el-GR"/>
        </w:rPr>
      </w:pPr>
      <w:r>
        <w:rPr>
          <w:position w:val="9"/>
          <w:sz w:val="13"/>
          <w:szCs w:val="13"/>
          <w:lang w:val="el-GR"/>
        </w:rPr>
        <w:t>c</w:t>
      </w:r>
      <w:r>
        <w:rPr>
          <w:position w:val="9"/>
          <w:sz w:val="13"/>
          <w:szCs w:val="13"/>
          <w:lang w:val="el-GR"/>
        </w:rPr>
        <w:tab/>
      </w:r>
      <w:r>
        <w:rPr>
          <w:sz w:val="20"/>
          <w:szCs w:val="20"/>
          <w:lang w:val="el-GR"/>
        </w:rPr>
        <w:t>Bασίζεται σε ανάλυση κατά σειρά μεγέθους</w:t>
      </w:r>
    </w:p>
    <w:p w14:paraId="6B8619CF" w14:textId="77777777" w:rsidR="00171824" w:rsidRDefault="006D258C">
      <w:pPr>
        <w:widowControl/>
        <w:tabs>
          <w:tab w:val="left" w:pos="784"/>
        </w:tabs>
        <w:kinsoku w:val="0"/>
        <w:overflowPunct w:val="0"/>
        <w:ind w:left="284" w:hanging="284"/>
        <w:rPr>
          <w:sz w:val="20"/>
          <w:szCs w:val="20"/>
          <w:lang w:val="el-GR"/>
        </w:rPr>
      </w:pPr>
      <w:r>
        <w:rPr>
          <w:position w:val="9"/>
          <w:sz w:val="13"/>
          <w:szCs w:val="13"/>
          <w:lang w:val="el-GR"/>
        </w:rPr>
        <w:t>d</w:t>
      </w:r>
      <w:r>
        <w:rPr>
          <w:position w:val="9"/>
          <w:sz w:val="13"/>
          <w:szCs w:val="13"/>
          <w:lang w:val="el-GR"/>
        </w:rPr>
        <w:tab/>
      </w:r>
      <w:r>
        <w:rPr>
          <w:sz w:val="20"/>
          <w:szCs w:val="20"/>
          <w:lang w:val="el-GR"/>
        </w:rPr>
        <w:t>Στένωση του μεσαρθρίου διαστήματος</w:t>
      </w:r>
    </w:p>
    <w:p w14:paraId="12990905" w14:textId="77777777" w:rsidR="00171824" w:rsidRDefault="00171824">
      <w:pPr>
        <w:widowControl/>
        <w:kinsoku w:val="0"/>
        <w:overflowPunct w:val="0"/>
        <w:rPr>
          <w:sz w:val="22"/>
          <w:szCs w:val="22"/>
          <w:lang w:val="el-GR"/>
        </w:rPr>
      </w:pPr>
    </w:p>
    <w:p w14:paraId="13FBD12C" w14:textId="77777777" w:rsidR="00171824" w:rsidRDefault="006D258C">
      <w:pPr>
        <w:pStyle w:val="BodyText"/>
        <w:widowControl/>
        <w:kinsoku w:val="0"/>
        <w:overflowPunct w:val="0"/>
        <w:ind w:left="0"/>
        <w:rPr>
          <w:lang w:val="el-GR"/>
        </w:rPr>
      </w:pPr>
      <w:r>
        <w:rPr>
          <w:lang w:val="el-GR"/>
        </w:rPr>
        <w:t>Στη μελέτη RA V, η αρθρική δομική βλάβη αξιολογήθηκε ακτινολογικά και ορίστηκε ως η μεταβολή του τροποποιημένου Total Sharp Score (βλέπε πίνακα 11).</w:t>
      </w:r>
    </w:p>
    <w:p w14:paraId="3E943BFB" w14:textId="77777777" w:rsidR="00171824" w:rsidRDefault="00171824">
      <w:pPr>
        <w:widowControl/>
        <w:kinsoku w:val="0"/>
        <w:overflowPunct w:val="0"/>
        <w:rPr>
          <w:sz w:val="22"/>
          <w:szCs w:val="22"/>
          <w:lang w:val="el-GR"/>
        </w:rPr>
      </w:pPr>
    </w:p>
    <w:p w14:paraId="57CDF276" w14:textId="77777777" w:rsidR="00171824" w:rsidRDefault="006D258C">
      <w:pPr>
        <w:pStyle w:val="Heading1"/>
        <w:keepNext/>
        <w:keepLines/>
        <w:widowControl/>
        <w:kinsoku w:val="0"/>
        <w:overflowPunct w:val="0"/>
        <w:ind w:left="0"/>
        <w:rPr>
          <w:lang w:val="el-GR"/>
        </w:rPr>
      </w:pPr>
      <w:r>
        <w:rPr>
          <w:lang w:val="el-GR"/>
        </w:rPr>
        <w:lastRenderedPageBreak/>
        <w:t>Πίνακας 11.</w:t>
      </w:r>
      <w:r>
        <w:rPr>
          <w:b w:val="0"/>
          <w:bCs w:val="0"/>
          <w:lang w:val="el-GR"/>
        </w:rPr>
        <w:t xml:space="preserve"> </w:t>
      </w:r>
      <w:r>
        <w:rPr>
          <w:bCs w:val="0"/>
          <w:lang w:val="el-GR"/>
        </w:rPr>
        <w:t>Μέσες Ακτινολογικές Αλλαγές στην εβδομάδα 52 στη Μελέτη RA V</w:t>
      </w:r>
    </w:p>
    <w:p w14:paraId="12DB7063" w14:textId="77777777" w:rsidR="00171824" w:rsidRDefault="00171824">
      <w:pPr>
        <w:keepNext/>
        <w:keepLines/>
        <w:widowControl/>
        <w:kinsoku w:val="0"/>
        <w:overflowPunct w:val="0"/>
        <w:rPr>
          <w:sz w:val="22"/>
          <w:szCs w:val="22"/>
          <w:lang w:val="el-GR"/>
        </w:rPr>
      </w:pPr>
    </w:p>
    <w:tbl>
      <w:tblPr>
        <w:tblW w:w="98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1"/>
        <w:gridCol w:w="1701"/>
        <w:gridCol w:w="1701"/>
        <w:gridCol w:w="1701"/>
        <w:gridCol w:w="1134"/>
        <w:gridCol w:w="1134"/>
        <w:gridCol w:w="1134"/>
      </w:tblGrid>
      <w:tr w:rsidR="00171824" w14:paraId="6FD0FCE5" w14:textId="77777777">
        <w:trPr>
          <w:trHeight w:val="665"/>
        </w:trPr>
        <w:tc>
          <w:tcPr>
            <w:tcW w:w="1361" w:type="dxa"/>
            <w:vAlign w:val="center"/>
          </w:tcPr>
          <w:p w14:paraId="07733F70" w14:textId="77777777" w:rsidR="00171824" w:rsidRDefault="00171824">
            <w:pPr>
              <w:keepNext/>
              <w:keepLines/>
              <w:widowControl/>
              <w:kinsoku w:val="0"/>
              <w:overflowPunct w:val="0"/>
              <w:jc w:val="center"/>
              <w:rPr>
                <w:rFonts w:eastAsia="MS Mincho"/>
                <w:b/>
                <w:sz w:val="22"/>
                <w:szCs w:val="22"/>
                <w:lang w:val="el-GR"/>
              </w:rPr>
            </w:pPr>
          </w:p>
        </w:tc>
        <w:tc>
          <w:tcPr>
            <w:tcW w:w="1701" w:type="dxa"/>
            <w:vAlign w:val="center"/>
          </w:tcPr>
          <w:p w14:paraId="6B556B60" w14:textId="77777777" w:rsidR="00171824" w:rsidRDefault="006D258C">
            <w:pPr>
              <w:pStyle w:val="BodyText"/>
              <w:keepNext/>
              <w:keepLines/>
              <w:widowControl/>
              <w:ind w:left="0"/>
              <w:jc w:val="center"/>
              <w:rPr>
                <w:rFonts w:eastAsia="MS Mincho"/>
                <w:b/>
                <w:lang w:val="el-GR"/>
              </w:rPr>
            </w:pPr>
            <w:r>
              <w:rPr>
                <w:rFonts w:eastAsia="MS Mincho"/>
                <w:b/>
                <w:lang w:val="el-GR"/>
              </w:rPr>
              <w:t>MTX</w:t>
            </w:r>
          </w:p>
          <w:p w14:paraId="47052AD9" w14:textId="77777777" w:rsidR="00171824" w:rsidRDefault="006D258C">
            <w:pPr>
              <w:pStyle w:val="BodyText"/>
              <w:keepNext/>
              <w:keepLines/>
              <w:widowControl/>
              <w:ind w:left="0"/>
              <w:jc w:val="center"/>
              <w:rPr>
                <w:rFonts w:eastAsia="MS Mincho"/>
                <w:b/>
                <w:lang w:val="el-GR"/>
              </w:rPr>
            </w:pPr>
            <w:r>
              <w:rPr>
                <w:rFonts w:eastAsia="MS Mincho"/>
                <w:b/>
                <w:lang w:val="el-GR"/>
              </w:rPr>
              <w:t>n=257</w:t>
            </w:r>
          </w:p>
          <w:p w14:paraId="2C49B31B" w14:textId="77777777" w:rsidR="00171824" w:rsidRDefault="006D258C">
            <w:pPr>
              <w:pStyle w:val="BodyText"/>
              <w:keepNext/>
              <w:keepLines/>
              <w:widowControl/>
              <w:ind w:left="0"/>
              <w:jc w:val="center"/>
              <w:rPr>
                <w:rFonts w:eastAsia="MS Mincho"/>
                <w:b/>
                <w:lang w:val="el-GR"/>
              </w:rPr>
            </w:pPr>
            <w:r>
              <w:rPr>
                <w:rFonts w:eastAsia="MS Mincho"/>
                <w:b/>
                <w:lang w:val="el-GR"/>
              </w:rPr>
              <w:t>(95% διάστημα εμπιστοσύνης)</w:t>
            </w:r>
          </w:p>
        </w:tc>
        <w:tc>
          <w:tcPr>
            <w:tcW w:w="1701" w:type="dxa"/>
            <w:vAlign w:val="center"/>
          </w:tcPr>
          <w:p w14:paraId="2268D858" w14:textId="77777777" w:rsidR="00171824" w:rsidRDefault="006D258C">
            <w:pPr>
              <w:pStyle w:val="BodyText"/>
              <w:keepNext/>
              <w:keepLines/>
              <w:widowControl/>
              <w:jc w:val="center"/>
              <w:rPr>
                <w:rFonts w:eastAsia="MS Mincho"/>
                <w:b/>
                <w:lang w:val="el-GR"/>
              </w:rPr>
            </w:pPr>
            <w:r>
              <w:rPr>
                <w:rFonts w:eastAsia="MS Mincho"/>
                <w:b/>
                <w:lang w:val="el-GR"/>
              </w:rPr>
              <w:t xml:space="preserve">Adalimumab </w:t>
            </w:r>
          </w:p>
          <w:p w14:paraId="2B407107" w14:textId="77777777" w:rsidR="00171824" w:rsidRDefault="006D258C">
            <w:pPr>
              <w:pStyle w:val="BodyText"/>
              <w:keepNext/>
              <w:keepLines/>
              <w:widowControl/>
              <w:jc w:val="center"/>
              <w:rPr>
                <w:rFonts w:eastAsia="MS Mincho"/>
                <w:b/>
                <w:lang w:val="el-GR"/>
              </w:rPr>
            </w:pPr>
            <w:r>
              <w:rPr>
                <w:rFonts w:eastAsia="MS Mincho"/>
                <w:b/>
                <w:lang w:val="el-GR"/>
              </w:rPr>
              <w:t>n=274</w:t>
            </w:r>
          </w:p>
          <w:p w14:paraId="623CD0D7" w14:textId="77777777" w:rsidR="00171824" w:rsidRDefault="006D258C">
            <w:pPr>
              <w:pStyle w:val="BodyText"/>
              <w:keepNext/>
              <w:keepLines/>
              <w:widowControl/>
              <w:jc w:val="center"/>
              <w:rPr>
                <w:rFonts w:eastAsia="MS Mincho"/>
                <w:b/>
                <w:lang w:val="el-GR"/>
              </w:rPr>
            </w:pPr>
            <w:r>
              <w:rPr>
                <w:rFonts w:eastAsia="MS Mincho"/>
                <w:b/>
                <w:lang w:val="el-GR"/>
              </w:rPr>
              <w:t>(95% διάστημα εμπιστοσύνης)</w:t>
            </w:r>
          </w:p>
        </w:tc>
        <w:tc>
          <w:tcPr>
            <w:tcW w:w="1701" w:type="dxa"/>
            <w:vAlign w:val="center"/>
          </w:tcPr>
          <w:p w14:paraId="5224A3E4" w14:textId="77777777" w:rsidR="00171824" w:rsidRDefault="006D258C">
            <w:pPr>
              <w:pStyle w:val="BodyText"/>
              <w:keepNext/>
              <w:keepLines/>
              <w:widowControl/>
              <w:jc w:val="center"/>
              <w:rPr>
                <w:rFonts w:eastAsia="MS Mincho"/>
                <w:b/>
                <w:lang w:val="el-GR"/>
              </w:rPr>
            </w:pPr>
            <w:r>
              <w:rPr>
                <w:rFonts w:eastAsia="MS Mincho"/>
                <w:b/>
                <w:lang w:val="el-GR"/>
              </w:rPr>
              <w:t>Adalimumab/MTX</w:t>
            </w:r>
          </w:p>
          <w:p w14:paraId="62B04F39" w14:textId="77777777" w:rsidR="00171824" w:rsidRDefault="006D258C">
            <w:pPr>
              <w:pStyle w:val="BodyText"/>
              <w:keepNext/>
              <w:keepLines/>
              <w:widowControl/>
              <w:jc w:val="center"/>
              <w:rPr>
                <w:rFonts w:eastAsia="MS Mincho"/>
                <w:b/>
                <w:lang w:val="el-GR"/>
              </w:rPr>
            </w:pPr>
            <w:r>
              <w:rPr>
                <w:rFonts w:eastAsia="MS Mincho"/>
                <w:b/>
                <w:lang w:val="el-GR"/>
              </w:rPr>
              <w:t>n=268</w:t>
            </w:r>
          </w:p>
          <w:p w14:paraId="20DC1F0B" w14:textId="77777777" w:rsidR="00171824" w:rsidRDefault="006D258C">
            <w:pPr>
              <w:pStyle w:val="BodyText"/>
              <w:keepNext/>
              <w:keepLines/>
              <w:widowControl/>
              <w:jc w:val="center"/>
              <w:rPr>
                <w:rFonts w:eastAsia="MS Mincho"/>
                <w:b/>
                <w:lang w:val="el-GR"/>
              </w:rPr>
            </w:pPr>
            <w:r>
              <w:rPr>
                <w:rFonts w:eastAsia="MS Mincho"/>
                <w:b/>
                <w:lang w:val="el-GR"/>
              </w:rPr>
              <w:t>(95% διάστημα εμπιστοσύνης)</w:t>
            </w:r>
          </w:p>
        </w:tc>
        <w:tc>
          <w:tcPr>
            <w:tcW w:w="1134" w:type="dxa"/>
            <w:vAlign w:val="center"/>
          </w:tcPr>
          <w:p w14:paraId="379F9A99" w14:textId="77777777" w:rsidR="00171824" w:rsidRDefault="006D258C">
            <w:pPr>
              <w:pStyle w:val="BodyText"/>
              <w:keepNext/>
              <w:keepLines/>
              <w:widowControl/>
              <w:jc w:val="center"/>
              <w:rPr>
                <w:rFonts w:eastAsia="MS Mincho"/>
                <w:b/>
                <w:lang w:val="el-GR"/>
              </w:rPr>
            </w:pPr>
            <w:r>
              <w:rPr>
                <w:rFonts w:eastAsia="MS Mincho"/>
                <w:b/>
                <w:lang w:val="el-GR"/>
              </w:rPr>
              <w:t>p-value</w:t>
            </w:r>
            <w:r>
              <w:rPr>
                <w:rFonts w:eastAsia="MS Mincho"/>
                <w:b/>
                <w:vertAlign w:val="superscript"/>
                <w:lang w:val="el-GR"/>
              </w:rPr>
              <w:t>a</w:t>
            </w:r>
          </w:p>
        </w:tc>
        <w:tc>
          <w:tcPr>
            <w:tcW w:w="1134" w:type="dxa"/>
            <w:vAlign w:val="center"/>
          </w:tcPr>
          <w:p w14:paraId="00FAC2DE" w14:textId="77777777" w:rsidR="00171824" w:rsidRDefault="006D258C">
            <w:pPr>
              <w:pStyle w:val="BodyText"/>
              <w:keepNext/>
              <w:keepLines/>
              <w:widowControl/>
              <w:rPr>
                <w:rFonts w:eastAsia="MS Mincho"/>
                <w:b/>
                <w:lang w:val="el-GR"/>
              </w:rPr>
            </w:pPr>
            <w:r>
              <w:rPr>
                <w:rFonts w:eastAsia="MS Mincho"/>
                <w:b/>
                <w:lang w:val="el-GR"/>
              </w:rPr>
              <w:t>p-value</w:t>
            </w:r>
            <w:r>
              <w:rPr>
                <w:rFonts w:eastAsia="MS Mincho"/>
                <w:b/>
                <w:vertAlign w:val="superscript"/>
                <w:lang w:val="el-GR"/>
              </w:rPr>
              <w:t>b</w:t>
            </w:r>
          </w:p>
        </w:tc>
        <w:tc>
          <w:tcPr>
            <w:tcW w:w="1134" w:type="dxa"/>
            <w:vAlign w:val="center"/>
          </w:tcPr>
          <w:p w14:paraId="2F12659D" w14:textId="77777777" w:rsidR="00171824" w:rsidRDefault="006D258C">
            <w:pPr>
              <w:pStyle w:val="BodyText"/>
              <w:keepNext/>
              <w:keepLines/>
              <w:widowControl/>
              <w:rPr>
                <w:rFonts w:eastAsia="MS Mincho"/>
                <w:b/>
                <w:lang w:val="el-GR"/>
              </w:rPr>
            </w:pPr>
            <w:r>
              <w:rPr>
                <w:rFonts w:eastAsia="MS Mincho"/>
                <w:b/>
                <w:lang w:val="el-GR"/>
              </w:rPr>
              <w:t>p-value</w:t>
            </w:r>
            <w:r>
              <w:rPr>
                <w:rFonts w:eastAsia="MS Mincho"/>
                <w:b/>
                <w:vertAlign w:val="superscript"/>
                <w:lang w:val="el-GR"/>
              </w:rPr>
              <w:t>c</w:t>
            </w:r>
          </w:p>
        </w:tc>
      </w:tr>
      <w:tr w:rsidR="00171824" w14:paraId="58541A8D" w14:textId="77777777">
        <w:tc>
          <w:tcPr>
            <w:tcW w:w="1361" w:type="dxa"/>
          </w:tcPr>
          <w:p w14:paraId="3F82BFC3" w14:textId="77777777" w:rsidR="00171824" w:rsidRDefault="006D258C">
            <w:pPr>
              <w:pStyle w:val="BodyText"/>
              <w:keepNext/>
              <w:keepLines/>
              <w:widowControl/>
              <w:ind w:left="0"/>
              <w:rPr>
                <w:rFonts w:eastAsia="MS Mincho"/>
                <w:lang w:val="el-GR"/>
              </w:rPr>
            </w:pPr>
            <w:r>
              <w:rPr>
                <w:rFonts w:eastAsia="MS Mincho"/>
                <w:lang w:val="el-GR"/>
              </w:rPr>
              <w:t>Total Sharp Score</w:t>
            </w:r>
          </w:p>
        </w:tc>
        <w:tc>
          <w:tcPr>
            <w:tcW w:w="1701" w:type="dxa"/>
          </w:tcPr>
          <w:p w14:paraId="1603608D" w14:textId="77777777" w:rsidR="00171824" w:rsidRDefault="006D258C">
            <w:pPr>
              <w:pStyle w:val="BodyText"/>
              <w:keepNext/>
              <w:keepLines/>
              <w:widowControl/>
              <w:jc w:val="center"/>
              <w:rPr>
                <w:rFonts w:eastAsia="MS Mincho"/>
                <w:lang w:val="el-GR"/>
              </w:rPr>
            </w:pPr>
            <w:r>
              <w:rPr>
                <w:rFonts w:eastAsia="MS Mincho"/>
                <w:lang w:val="el-GR"/>
              </w:rPr>
              <w:t>5,7 (4,2-7,3)</w:t>
            </w:r>
          </w:p>
        </w:tc>
        <w:tc>
          <w:tcPr>
            <w:tcW w:w="1701" w:type="dxa"/>
          </w:tcPr>
          <w:p w14:paraId="1A9BCA5B" w14:textId="77777777" w:rsidR="00171824" w:rsidRDefault="006D258C">
            <w:pPr>
              <w:pStyle w:val="BodyText"/>
              <w:keepNext/>
              <w:keepLines/>
              <w:widowControl/>
              <w:jc w:val="center"/>
              <w:rPr>
                <w:rFonts w:eastAsia="MS Mincho"/>
                <w:lang w:val="el-GR"/>
              </w:rPr>
            </w:pPr>
            <w:r>
              <w:rPr>
                <w:rFonts w:eastAsia="MS Mincho"/>
                <w:lang w:val="el-GR"/>
              </w:rPr>
              <w:t>3,0 (1,7-4,3)</w:t>
            </w:r>
          </w:p>
        </w:tc>
        <w:tc>
          <w:tcPr>
            <w:tcW w:w="1701" w:type="dxa"/>
          </w:tcPr>
          <w:p w14:paraId="65AEC352" w14:textId="77777777" w:rsidR="00171824" w:rsidRDefault="006D258C">
            <w:pPr>
              <w:pStyle w:val="BodyText"/>
              <w:keepNext/>
              <w:keepLines/>
              <w:widowControl/>
              <w:jc w:val="center"/>
              <w:rPr>
                <w:rFonts w:eastAsia="MS Mincho"/>
                <w:lang w:val="el-GR"/>
              </w:rPr>
            </w:pPr>
            <w:r>
              <w:rPr>
                <w:rFonts w:eastAsia="MS Mincho"/>
                <w:lang w:val="el-GR"/>
              </w:rPr>
              <w:t>1,3 (0,5-2,1)</w:t>
            </w:r>
          </w:p>
        </w:tc>
        <w:tc>
          <w:tcPr>
            <w:tcW w:w="1134" w:type="dxa"/>
          </w:tcPr>
          <w:p w14:paraId="7C881ED1" w14:textId="77777777" w:rsidR="00171824" w:rsidRDefault="006D258C">
            <w:pPr>
              <w:pStyle w:val="BodyText"/>
              <w:keepNext/>
              <w:keepLines/>
              <w:widowControl/>
              <w:rPr>
                <w:rFonts w:eastAsia="MS Mincho"/>
                <w:lang w:val="el-GR"/>
              </w:rPr>
            </w:pPr>
            <w:r>
              <w:rPr>
                <w:rFonts w:eastAsia="MS Mincho"/>
                <w:lang w:val="el-GR"/>
              </w:rPr>
              <w:t>&lt; 0,001</w:t>
            </w:r>
          </w:p>
        </w:tc>
        <w:tc>
          <w:tcPr>
            <w:tcW w:w="1134" w:type="dxa"/>
          </w:tcPr>
          <w:p w14:paraId="0D1325B3" w14:textId="77777777" w:rsidR="00171824" w:rsidRDefault="006D258C">
            <w:pPr>
              <w:pStyle w:val="BodyText"/>
              <w:keepNext/>
              <w:keepLines/>
              <w:widowControl/>
              <w:rPr>
                <w:rFonts w:eastAsia="MS Mincho"/>
                <w:lang w:val="el-GR"/>
              </w:rPr>
            </w:pPr>
            <w:r>
              <w:rPr>
                <w:rFonts w:eastAsia="MS Mincho"/>
                <w:lang w:val="el-GR"/>
              </w:rPr>
              <w:t>0,0020</w:t>
            </w:r>
          </w:p>
        </w:tc>
        <w:tc>
          <w:tcPr>
            <w:tcW w:w="1134" w:type="dxa"/>
          </w:tcPr>
          <w:p w14:paraId="3299FB8D" w14:textId="77777777" w:rsidR="00171824" w:rsidRDefault="006D258C">
            <w:pPr>
              <w:pStyle w:val="BodyText"/>
              <w:keepNext/>
              <w:keepLines/>
              <w:widowControl/>
              <w:rPr>
                <w:rFonts w:eastAsia="MS Mincho"/>
                <w:lang w:val="el-GR"/>
              </w:rPr>
            </w:pPr>
            <w:r>
              <w:rPr>
                <w:rFonts w:eastAsia="MS Mincho"/>
                <w:lang w:val="el-GR"/>
              </w:rPr>
              <w:t>&lt; 0,001</w:t>
            </w:r>
          </w:p>
        </w:tc>
      </w:tr>
      <w:tr w:rsidR="00171824" w14:paraId="5AE8E856" w14:textId="77777777">
        <w:tc>
          <w:tcPr>
            <w:tcW w:w="1361" w:type="dxa"/>
          </w:tcPr>
          <w:p w14:paraId="2D8B7442" w14:textId="77777777" w:rsidR="00171824" w:rsidRDefault="006D258C">
            <w:pPr>
              <w:pStyle w:val="BodyText"/>
              <w:widowControl/>
              <w:ind w:left="0"/>
              <w:rPr>
                <w:rFonts w:eastAsia="MS Mincho"/>
                <w:lang w:val="el-GR"/>
              </w:rPr>
            </w:pPr>
            <w:r>
              <w:rPr>
                <w:rFonts w:eastAsia="MS Mincho"/>
                <w:lang w:val="el-GR"/>
              </w:rPr>
              <w:t>Βαθμολογία διαβρώσεων</w:t>
            </w:r>
          </w:p>
        </w:tc>
        <w:tc>
          <w:tcPr>
            <w:tcW w:w="1701" w:type="dxa"/>
          </w:tcPr>
          <w:p w14:paraId="59F7C411" w14:textId="77777777" w:rsidR="00171824" w:rsidRDefault="006D258C">
            <w:pPr>
              <w:pStyle w:val="BodyText"/>
              <w:widowControl/>
              <w:jc w:val="center"/>
              <w:rPr>
                <w:rFonts w:eastAsia="MS Mincho"/>
                <w:lang w:val="el-GR"/>
              </w:rPr>
            </w:pPr>
            <w:r>
              <w:rPr>
                <w:rFonts w:eastAsia="MS Mincho"/>
                <w:lang w:val="el-GR"/>
              </w:rPr>
              <w:t>3,7 (2,7-4,7)</w:t>
            </w:r>
          </w:p>
        </w:tc>
        <w:tc>
          <w:tcPr>
            <w:tcW w:w="1701" w:type="dxa"/>
          </w:tcPr>
          <w:p w14:paraId="1129B3F1" w14:textId="77777777" w:rsidR="00171824" w:rsidRDefault="006D258C">
            <w:pPr>
              <w:pStyle w:val="BodyText"/>
              <w:widowControl/>
              <w:jc w:val="center"/>
              <w:rPr>
                <w:rFonts w:eastAsia="MS Mincho"/>
                <w:lang w:val="el-GR"/>
              </w:rPr>
            </w:pPr>
            <w:r>
              <w:rPr>
                <w:rFonts w:eastAsia="MS Mincho"/>
                <w:lang w:val="el-GR"/>
              </w:rPr>
              <w:t>1,7 (1,0-2,4)</w:t>
            </w:r>
          </w:p>
        </w:tc>
        <w:tc>
          <w:tcPr>
            <w:tcW w:w="1701" w:type="dxa"/>
          </w:tcPr>
          <w:p w14:paraId="07E8F062" w14:textId="77777777" w:rsidR="00171824" w:rsidRDefault="006D258C">
            <w:pPr>
              <w:pStyle w:val="BodyText"/>
              <w:widowControl/>
              <w:jc w:val="center"/>
              <w:rPr>
                <w:rFonts w:eastAsia="MS Mincho"/>
                <w:lang w:val="el-GR"/>
              </w:rPr>
            </w:pPr>
            <w:r>
              <w:rPr>
                <w:rFonts w:eastAsia="MS Mincho"/>
                <w:lang w:val="el-GR"/>
              </w:rPr>
              <w:t>0,8 (0,4-1,2)</w:t>
            </w:r>
          </w:p>
        </w:tc>
        <w:tc>
          <w:tcPr>
            <w:tcW w:w="1134" w:type="dxa"/>
          </w:tcPr>
          <w:p w14:paraId="0E5A8C30" w14:textId="77777777" w:rsidR="00171824" w:rsidRDefault="006D258C">
            <w:pPr>
              <w:pStyle w:val="BodyText"/>
              <w:widowControl/>
              <w:rPr>
                <w:rFonts w:eastAsia="MS Mincho"/>
                <w:lang w:val="el-GR"/>
              </w:rPr>
            </w:pPr>
            <w:r>
              <w:rPr>
                <w:rFonts w:eastAsia="MS Mincho"/>
                <w:lang w:val="el-GR"/>
              </w:rPr>
              <w:t>&lt; 0,001</w:t>
            </w:r>
          </w:p>
        </w:tc>
        <w:tc>
          <w:tcPr>
            <w:tcW w:w="1134" w:type="dxa"/>
          </w:tcPr>
          <w:p w14:paraId="42C0C3D6" w14:textId="77777777" w:rsidR="00171824" w:rsidRDefault="006D258C">
            <w:pPr>
              <w:pStyle w:val="BodyText"/>
              <w:widowControl/>
              <w:rPr>
                <w:rFonts w:eastAsia="MS Mincho"/>
                <w:lang w:val="el-GR"/>
              </w:rPr>
            </w:pPr>
            <w:r>
              <w:rPr>
                <w:rFonts w:eastAsia="MS Mincho"/>
                <w:lang w:val="el-GR"/>
              </w:rPr>
              <w:t>0,0082</w:t>
            </w:r>
          </w:p>
        </w:tc>
        <w:tc>
          <w:tcPr>
            <w:tcW w:w="1134" w:type="dxa"/>
          </w:tcPr>
          <w:p w14:paraId="7825BDA2" w14:textId="77777777" w:rsidR="00171824" w:rsidRDefault="006D258C">
            <w:pPr>
              <w:pStyle w:val="BodyText"/>
              <w:widowControl/>
              <w:rPr>
                <w:rFonts w:eastAsia="MS Mincho"/>
                <w:lang w:val="el-GR"/>
              </w:rPr>
            </w:pPr>
            <w:r>
              <w:rPr>
                <w:rFonts w:eastAsia="MS Mincho"/>
                <w:lang w:val="el-GR"/>
              </w:rPr>
              <w:t>&lt; 0,001</w:t>
            </w:r>
          </w:p>
        </w:tc>
      </w:tr>
      <w:tr w:rsidR="00171824" w14:paraId="7E93180D" w14:textId="77777777">
        <w:tc>
          <w:tcPr>
            <w:tcW w:w="1361" w:type="dxa"/>
          </w:tcPr>
          <w:p w14:paraId="34260814" w14:textId="77777777" w:rsidR="00171824" w:rsidRDefault="006D258C">
            <w:pPr>
              <w:pStyle w:val="BodyText"/>
              <w:widowControl/>
              <w:ind w:left="0"/>
              <w:rPr>
                <w:rFonts w:eastAsia="MS Mincho"/>
                <w:lang w:val="el-GR"/>
              </w:rPr>
            </w:pPr>
            <w:r>
              <w:rPr>
                <w:rFonts w:eastAsia="MS Mincho"/>
                <w:lang w:val="el-GR"/>
              </w:rPr>
              <w:t>Βαθμολογία JSN</w:t>
            </w:r>
          </w:p>
        </w:tc>
        <w:tc>
          <w:tcPr>
            <w:tcW w:w="1701" w:type="dxa"/>
          </w:tcPr>
          <w:p w14:paraId="3210C321" w14:textId="77777777" w:rsidR="00171824" w:rsidRDefault="006D258C">
            <w:pPr>
              <w:pStyle w:val="BodyText"/>
              <w:widowControl/>
              <w:jc w:val="center"/>
              <w:rPr>
                <w:rFonts w:eastAsia="MS Mincho"/>
                <w:lang w:val="el-GR"/>
              </w:rPr>
            </w:pPr>
            <w:r>
              <w:rPr>
                <w:rFonts w:eastAsia="MS Mincho"/>
                <w:lang w:val="el-GR"/>
              </w:rPr>
              <w:t>2,0 (1,2-2,8)</w:t>
            </w:r>
          </w:p>
        </w:tc>
        <w:tc>
          <w:tcPr>
            <w:tcW w:w="1701" w:type="dxa"/>
          </w:tcPr>
          <w:p w14:paraId="481A96FD" w14:textId="77777777" w:rsidR="00171824" w:rsidRDefault="006D258C">
            <w:pPr>
              <w:pStyle w:val="BodyText"/>
              <w:widowControl/>
              <w:jc w:val="center"/>
              <w:rPr>
                <w:rFonts w:eastAsia="MS Mincho"/>
                <w:lang w:val="el-GR"/>
              </w:rPr>
            </w:pPr>
            <w:r>
              <w:rPr>
                <w:rFonts w:eastAsia="MS Mincho"/>
                <w:lang w:val="el-GR"/>
              </w:rPr>
              <w:t>1,3 (0,5-2,1)</w:t>
            </w:r>
          </w:p>
        </w:tc>
        <w:tc>
          <w:tcPr>
            <w:tcW w:w="1701" w:type="dxa"/>
          </w:tcPr>
          <w:p w14:paraId="3F1F451F" w14:textId="77777777" w:rsidR="00171824" w:rsidRDefault="006D258C">
            <w:pPr>
              <w:pStyle w:val="BodyText"/>
              <w:widowControl/>
              <w:jc w:val="center"/>
              <w:rPr>
                <w:rFonts w:eastAsia="MS Mincho"/>
                <w:lang w:val="el-GR"/>
              </w:rPr>
            </w:pPr>
            <w:r>
              <w:rPr>
                <w:rFonts w:eastAsia="MS Mincho"/>
                <w:lang w:val="el-GR"/>
              </w:rPr>
              <w:t>0,5 (0-1,0)</w:t>
            </w:r>
          </w:p>
        </w:tc>
        <w:tc>
          <w:tcPr>
            <w:tcW w:w="1134" w:type="dxa"/>
          </w:tcPr>
          <w:p w14:paraId="2DAB8E9B" w14:textId="77777777" w:rsidR="00171824" w:rsidRDefault="006D258C">
            <w:pPr>
              <w:pStyle w:val="BodyText"/>
              <w:widowControl/>
              <w:rPr>
                <w:rFonts w:eastAsia="MS Mincho"/>
                <w:lang w:val="el-GR"/>
              </w:rPr>
            </w:pPr>
            <w:r>
              <w:rPr>
                <w:rFonts w:eastAsia="MS Mincho"/>
                <w:lang w:val="el-GR"/>
              </w:rPr>
              <w:t>&lt; 0,001</w:t>
            </w:r>
          </w:p>
        </w:tc>
        <w:tc>
          <w:tcPr>
            <w:tcW w:w="1134" w:type="dxa"/>
          </w:tcPr>
          <w:p w14:paraId="298A89B5" w14:textId="77777777" w:rsidR="00171824" w:rsidRDefault="006D258C">
            <w:pPr>
              <w:pStyle w:val="BodyText"/>
              <w:widowControl/>
              <w:rPr>
                <w:rFonts w:eastAsia="MS Mincho"/>
                <w:lang w:val="el-GR"/>
              </w:rPr>
            </w:pPr>
            <w:r>
              <w:rPr>
                <w:rFonts w:eastAsia="MS Mincho"/>
                <w:lang w:val="el-GR"/>
              </w:rPr>
              <w:t>0,0037</w:t>
            </w:r>
          </w:p>
        </w:tc>
        <w:tc>
          <w:tcPr>
            <w:tcW w:w="1134" w:type="dxa"/>
          </w:tcPr>
          <w:p w14:paraId="42D19D7A" w14:textId="77777777" w:rsidR="00171824" w:rsidRDefault="006D258C">
            <w:pPr>
              <w:pStyle w:val="BodyText"/>
              <w:widowControl/>
              <w:rPr>
                <w:rFonts w:eastAsia="MS Mincho"/>
                <w:lang w:val="el-GR"/>
              </w:rPr>
            </w:pPr>
            <w:r>
              <w:rPr>
                <w:rFonts w:eastAsia="MS Mincho"/>
                <w:lang w:val="el-GR"/>
              </w:rPr>
              <w:t>0,151</w:t>
            </w:r>
          </w:p>
        </w:tc>
      </w:tr>
    </w:tbl>
    <w:p w14:paraId="6C0E968B" w14:textId="77777777" w:rsidR="00171824" w:rsidRDefault="006D258C">
      <w:pPr>
        <w:pStyle w:val="BodyText"/>
        <w:widowControl/>
        <w:tabs>
          <w:tab w:val="left" w:pos="284"/>
        </w:tabs>
        <w:kinsoku w:val="0"/>
        <w:overflowPunct w:val="0"/>
        <w:ind w:left="284" w:right="567" w:hanging="284"/>
        <w:rPr>
          <w:sz w:val="20"/>
          <w:szCs w:val="20"/>
          <w:lang w:val="el-GR"/>
        </w:rPr>
      </w:pPr>
      <w:r>
        <w:rPr>
          <w:position w:val="10"/>
          <w:sz w:val="20"/>
          <w:szCs w:val="20"/>
          <w:lang w:val="el-GR"/>
        </w:rPr>
        <w:t>a</w:t>
      </w:r>
      <w:r>
        <w:rPr>
          <w:position w:val="10"/>
          <w:sz w:val="20"/>
          <w:szCs w:val="20"/>
          <w:lang w:val="el-GR"/>
        </w:rPr>
        <w:tab/>
      </w:r>
      <w:r>
        <w:rPr>
          <w:sz w:val="20"/>
          <w:szCs w:val="20"/>
          <w:lang w:val="el-GR"/>
        </w:rPr>
        <w:t>το p-value προκύπτει από τη σύγκριση ανά ζεύγος της μονοθεραπείας με μεθοτρεξάτη και της θεραπείας συνδυασμού με adalimumab/μεθοτρεξάτη χρησιμοποιώντας το Μann-Whitney U test</w:t>
      </w:r>
    </w:p>
    <w:p w14:paraId="06B23B06" w14:textId="77777777" w:rsidR="00171824" w:rsidRDefault="006D258C">
      <w:pPr>
        <w:pStyle w:val="BodyText"/>
        <w:widowControl/>
        <w:tabs>
          <w:tab w:val="left" w:pos="284"/>
        </w:tabs>
        <w:kinsoku w:val="0"/>
        <w:overflowPunct w:val="0"/>
        <w:ind w:left="284" w:right="567" w:hanging="284"/>
        <w:rPr>
          <w:sz w:val="20"/>
          <w:szCs w:val="20"/>
          <w:lang w:val="el-GR"/>
        </w:rPr>
      </w:pPr>
      <w:r>
        <w:rPr>
          <w:position w:val="10"/>
          <w:sz w:val="20"/>
          <w:szCs w:val="20"/>
          <w:lang w:val="el-GR"/>
        </w:rPr>
        <w:t>b</w:t>
      </w:r>
      <w:r>
        <w:rPr>
          <w:position w:val="10"/>
          <w:sz w:val="20"/>
          <w:szCs w:val="20"/>
          <w:lang w:val="el-GR"/>
        </w:rPr>
        <w:tab/>
      </w:r>
      <w:r>
        <w:rPr>
          <w:sz w:val="20"/>
          <w:szCs w:val="20"/>
          <w:lang w:val="el-GR"/>
        </w:rPr>
        <w:t>το p-value προκύπτει από τη σύγκριση ανά ζεύγος της μονοθεραπείας με adalimumab και της θεραπείας συνδυασμού με adalimumab/μεθοτρεξάτη χρησιμοποιώντας το Μann-Whitney U test</w:t>
      </w:r>
    </w:p>
    <w:p w14:paraId="7E8F17A3" w14:textId="77777777" w:rsidR="00171824" w:rsidRDefault="006D258C">
      <w:pPr>
        <w:pStyle w:val="BodyText"/>
        <w:widowControl/>
        <w:tabs>
          <w:tab w:val="left" w:pos="284"/>
        </w:tabs>
        <w:kinsoku w:val="0"/>
        <w:overflowPunct w:val="0"/>
        <w:ind w:left="284" w:right="567" w:hanging="284"/>
        <w:rPr>
          <w:sz w:val="20"/>
          <w:szCs w:val="20"/>
          <w:lang w:val="el-GR"/>
        </w:rPr>
      </w:pPr>
      <w:r>
        <w:rPr>
          <w:position w:val="10"/>
          <w:sz w:val="20"/>
          <w:szCs w:val="20"/>
          <w:lang w:val="el-GR"/>
        </w:rPr>
        <w:t>c</w:t>
      </w:r>
      <w:r>
        <w:rPr>
          <w:position w:val="10"/>
          <w:sz w:val="20"/>
          <w:szCs w:val="20"/>
          <w:lang w:val="el-GR"/>
        </w:rPr>
        <w:tab/>
      </w:r>
      <w:r>
        <w:rPr>
          <w:sz w:val="20"/>
          <w:szCs w:val="20"/>
          <w:lang w:val="el-GR"/>
        </w:rPr>
        <w:t>το p-value προκύπτει από τη σύγκριση ανά ζεύγος της μονοθεραπείας με adalimumab και της μονοθεραπείας με μεθοτρεξάτη χρησιμοποιώντας το Μann-Whitney U test.</w:t>
      </w:r>
    </w:p>
    <w:p w14:paraId="528ACCD6" w14:textId="77777777" w:rsidR="00171824" w:rsidRDefault="00171824">
      <w:pPr>
        <w:pStyle w:val="BodyText"/>
        <w:widowControl/>
        <w:tabs>
          <w:tab w:val="left" w:pos="284"/>
        </w:tabs>
        <w:kinsoku w:val="0"/>
        <w:overflowPunct w:val="0"/>
        <w:ind w:left="0"/>
        <w:rPr>
          <w:lang w:val="el-GR"/>
        </w:rPr>
      </w:pPr>
    </w:p>
    <w:p w14:paraId="31E11B10" w14:textId="77777777" w:rsidR="00171824" w:rsidRDefault="006D258C">
      <w:pPr>
        <w:pStyle w:val="BodyText"/>
        <w:widowControl/>
        <w:kinsoku w:val="0"/>
        <w:overflowPunct w:val="0"/>
        <w:ind w:left="0"/>
        <w:rPr>
          <w:lang w:val="el-GR"/>
        </w:rPr>
      </w:pPr>
      <w:r>
        <w:rPr>
          <w:lang w:val="el-GR"/>
        </w:rPr>
        <w:t>Μετά από 52 και 104 εβδομάδες θεραπείας, το ποσοστό ασθενών χωρίς ακτινολογική εξέλιξη (διαφορά από την αρχή της θεραπείας του τροποποιημένου Total Sharp Score ≤ 0,5) ήταν σημαντικά υψηλότερη στη θεραπεία συνδυασμού adalimumab/μεθοτρεξάτης (63,8% και 61,2% αντιστοίχως) συγκριτικά με τη μεθοτρεξάτη ως μονοθεραπεία (37,4% και 33,5% αντιστοίχως, p &lt; 0,001) και με το adalimumab ως μονοθεραπεία (50,7%, p &lt; 0,002 και 44,5%, p &lt; 0,001 αντιστοίχως).</w:t>
      </w:r>
    </w:p>
    <w:p w14:paraId="23D80F2E" w14:textId="77777777" w:rsidR="00171824" w:rsidRDefault="00171824">
      <w:pPr>
        <w:widowControl/>
        <w:kinsoku w:val="0"/>
        <w:overflowPunct w:val="0"/>
        <w:rPr>
          <w:sz w:val="22"/>
          <w:szCs w:val="22"/>
          <w:lang w:val="el-GR"/>
        </w:rPr>
      </w:pPr>
    </w:p>
    <w:p w14:paraId="32CB0D70" w14:textId="77777777" w:rsidR="00171824" w:rsidRDefault="006D258C">
      <w:pPr>
        <w:pStyle w:val="BodyText"/>
        <w:widowControl/>
        <w:kinsoku w:val="0"/>
        <w:overflowPunct w:val="0"/>
        <w:ind w:left="0"/>
        <w:rPr>
          <w:lang w:val="el-GR"/>
        </w:rPr>
      </w:pPr>
      <w:r>
        <w:rPr>
          <w:lang w:val="el-GR"/>
        </w:rPr>
        <w:t>Στην ανοιχτή μελέτη επέκτασης για τη μελέτη RA V, η μέση μεταβολή του τροποποιημένου Τotal Sharp Score από την αρχική τιμή έως το 10</w:t>
      </w:r>
      <w:r>
        <w:rPr>
          <w:vertAlign w:val="superscript"/>
          <w:lang w:val="el-GR"/>
        </w:rPr>
        <w:t>ο</w:t>
      </w:r>
      <w:r>
        <w:rPr>
          <w:lang w:val="el-GR"/>
        </w:rPr>
        <w:t xml:space="preserve"> Έτος ήταν 10,8, 9,2 και 3,9 σε ασθενείς που αρχικά τυχαιοποιήθηκαν σε μονοθεραπεία με μεθοτρεξάτη, μονοθεραπεία με adalimumab και θεραπεία συνδυασμού adalimumab/μεθοτρεξάτης, αντίστοιχα. Τα αντίστοιχα ποσοστά των ασθενών χωρίς ακτινολογική εξέλιξη ήταν 31,3%, 23,7% και 36,7%, αντίστοιχα.</w:t>
      </w:r>
    </w:p>
    <w:p w14:paraId="32CF3E3B" w14:textId="77777777" w:rsidR="00171824" w:rsidRDefault="00171824">
      <w:pPr>
        <w:widowControl/>
        <w:kinsoku w:val="0"/>
        <w:overflowPunct w:val="0"/>
        <w:rPr>
          <w:sz w:val="22"/>
          <w:szCs w:val="22"/>
          <w:lang w:val="el-GR"/>
        </w:rPr>
      </w:pPr>
    </w:p>
    <w:p w14:paraId="53932E48" w14:textId="77777777" w:rsidR="00171824" w:rsidRDefault="006D258C">
      <w:pPr>
        <w:keepNext/>
        <w:widowControl/>
        <w:kinsoku w:val="0"/>
        <w:overflowPunct w:val="0"/>
        <w:rPr>
          <w:sz w:val="22"/>
          <w:szCs w:val="22"/>
          <w:lang w:val="el-GR"/>
        </w:rPr>
      </w:pPr>
      <w:r>
        <w:rPr>
          <w:i/>
          <w:iCs/>
          <w:sz w:val="22"/>
          <w:szCs w:val="22"/>
          <w:u w:val="single"/>
          <w:lang w:val="el-GR"/>
        </w:rPr>
        <w:t>Ποιότητα ζωής και λειτουργικότητα</w:t>
      </w:r>
    </w:p>
    <w:p w14:paraId="5063599F" w14:textId="77777777" w:rsidR="00171824" w:rsidRDefault="00171824">
      <w:pPr>
        <w:keepNext/>
        <w:widowControl/>
        <w:kinsoku w:val="0"/>
        <w:overflowPunct w:val="0"/>
        <w:rPr>
          <w:sz w:val="22"/>
          <w:szCs w:val="22"/>
          <w:lang w:val="el-GR"/>
        </w:rPr>
      </w:pPr>
    </w:p>
    <w:p w14:paraId="0E71FDF5" w14:textId="77777777" w:rsidR="00171824" w:rsidRDefault="006D258C">
      <w:pPr>
        <w:pStyle w:val="BodyText"/>
        <w:widowControl/>
        <w:kinsoku w:val="0"/>
        <w:overflowPunct w:val="0"/>
        <w:ind w:left="0"/>
        <w:rPr>
          <w:lang w:val="el-GR"/>
        </w:rPr>
      </w:pPr>
      <w:r>
        <w:rPr>
          <w:lang w:val="el-GR"/>
        </w:rPr>
        <w:t>Η ποιότητα ζωής σχετικά με την κατάσταση της υγείας και τη λειτουργικότητα του ασθενή αξιολογήθηκε χρησιμοποιώντας το βαθμό ανικανότητας του Ερωτηματολογίου Αξιολόγησης της Υγείας (HAQ) στις τέσσερις πιλοτικές επαρκώς και καλώς ελεγχόμενες μελέτες, και ήταν ένα προκαθορισμένο πρωτεύον καταληκτικό σημείο στην εβδομάδα 52 της μελέτης RA ΙΙΙ. Όλες οι δόσεις /σχήματα του adalimumab στις τέσσερις μελέτες έδειξαν στατιστικά σημαντικά μεγαλύτερη βελτίωση στο δείκτη ανικανότητας του HAQ από την αρχή της θεραπείας μέχρι το Μήνα 6 συγκριτικά με το εικονικό φάρμακο και το ίδιο αποτέλεσμα παρατηρήθηκε στη μελέτη RA ΙΙΙ κατά την εβδομάδα 52. Τα αποτελέσματα από το Short Form Health Survey (SF 36) για όλες τις δόσεις/σχήματα του adalimumab στις τέσσερις μελέτες υποστηρίζουν τα ευρήματα αυτά, με στατιστικά σημαντικές περιληπτικές βαθμολογίες σωματικών παραμέτρων (PCS), όπως και με στατιστικά σημαντικές βαθμολογίες των παραμέτρων του πόνου και της ζωτικότητας για τη δόση των 40 mg ανά δεύτερη εβδομάδα. Μια στατιστικά σημαντική ελάττωση της κόπωσης, όπως μετράται από τη λειτουργική εκτίμηση της βαθμολογίας της θεραπείας χρόνιας νόσου (FACIT) παρατηρήθηκε και στις τρεις μελέτες όπου αξιολογήθηκε η παράμετρος αυτή (μελέτες RA Ι, ΙΙΙ, IV).</w:t>
      </w:r>
    </w:p>
    <w:p w14:paraId="462867A3" w14:textId="77777777" w:rsidR="00171824" w:rsidRDefault="00171824">
      <w:pPr>
        <w:widowControl/>
        <w:kinsoku w:val="0"/>
        <w:overflowPunct w:val="0"/>
        <w:rPr>
          <w:sz w:val="22"/>
          <w:szCs w:val="22"/>
          <w:lang w:val="el-GR"/>
        </w:rPr>
      </w:pPr>
    </w:p>
    <w:p w14:paraId="171CA492" w14:textId="77777777" w:rsidR="00171824" w:rsidRDefault="006D258C">
      <w:pPr>
        <w:pStyle w:val="BodyText"/>
        <w:widowControl/>
        <w:kinsoku w:val="0"/>
        <w:overflowPunct w:val="0"/>
        <w:ind w:left="0"/>
        <w:rPr>
          <w:lang w:val="el-GR"/>
        </w:rPr>
      </w:pPr>
      <w:r>
        <w:rPr>
          <w:lang w:val="el-GR"/>
        </w:rPr>
        <w:t>Στη μελέτη RA ΙΙΙ, οι περισσότεροι ασθενείς που πέτυχαν βελτίωση της λειτουργικότητας και συνέχισαν τη θεραπεία διατήρησαν τη βελτίωση έως και την εβδομάδα 520 (120 μήνες) ανοικτής θεραπείας. Η βελτίωση της ποιότητας ζωής μετρήθηκε την εβδομάδα 156 (36 μήνες) και η βελτίωση διατηρήθηκε στη διάρκεια αυτής της περιόδου.</w:t>
      </w:r>
    </w:p>
    <w:p w14:paraId="40E22C09" w14:textId="77777777" w:rsidR="00171824" w:rsidRDefault="00171824">
      <w:pPr>
        <w:widowControl/>
        <w:kinsoku w:val="0"/>
        <w:overflowPunct w:val="0"/>
        <w:rPr>
          <w:sz w:val="22"/>
          <w:szCs w:val="22"/>
          <w:lang w:val="el-GR"/>
        </w:rPr>
      </w:pPr>
    </w:p>
    <w:p w14:paraId="3FC03B8C" w14:textId="77777777" w:rsidR="00171824" w:rsidRDefault="006D258C">
      <w:pPr>
        <w:pStyle w:val="BodyText"/>
        <w:widowControl/>
        <w:kinsoku w:val="0"/>
        <w:overflowPunct w:val="0"/>
        <w:ind w:left="0"/>
        <w:rPr>
          <w:lang w:val="el-GR"/>
        </w:rPr>
      </w:pPr>
      <w:r>
        <w:rPr>
          <w:lang w:val="el-GR"/>
        </w:rPr>
        <w:lastRenderedPageBreak/>
        <w:t>Στη μελέτη RA V, αποδείχθηκε μεγαλύτερη βελτίωση στο δείκτη ανικανότητας του HAQ και τα αποτελέσματα της σωματικής παραμέτρου του SF 36 έδειξαν μεγαλύτερη βελτίωση (p &lt; 0,001) για τη θεραπεία συνδυασμού adalimumab/μεθοτρεξάτης σε σχέση με τη μεθοτρεξάτη σε μονοθεραπεία και μονοθεραπέια με adalimumab στην εβδομάδα 52, η οποία διατηρήθηκε μέχρι την Eβδομάδα 104. Μεταξύ των 250 ασθενών που ολοκλήρωσαν την ανοιχτή μελέτη επέκτασης, οι βελτιώσεις στη λειτουργικότητα διατηρήθηκαν κατά τη διάρκεια των 10 χρόνων θεραπείας.</w:t>
      </w:r>
    </w:p>
    <w:p w14:paraId="4CB94160" w14:textId="77777777" w:rsidR="00171824" w:rsidRDefault="00171824">
      <w:pPr>
        <w:widowControl/>
        <w:kinsoku w:val="0"/>
        <w:overflowPunct w:val="0"/>
        <w:rPr>
          <w:sz w:val="22"/>
          <w:szCs w:val="22"/>
          <w:lang w:val="el-GR"/>
        </w:rPr>
      </w:pPr>
    </w:p>
    <w:p w14:paraId="7A0DDFB4" w14:textId="77777777" w:rsidR="00171824" w:rsidRDefault="006D258C">
      <w:pPr>
        <w:widowControl/>
        <w:kinsoku w:val="0"/>
        <w:overflowPunct w:val="0"/>
        <w:rPr>
          <w:i/>
          <w:iCs/>
          <w:sz w:val="22"/>
          <w:szCs w:val="22"/>
          <w:lang w:val="el-GR"/>
        </w:rPr>
      </w:pPr>
      <w:r>
        <w:rPr>
          <w:i/>
          <w:iCs/>
          <w:sz w:val="22"/>
          <w:szCs w:val="22"/>
          <w:lang w:val="el-GR"/>
        </w:rPr>
        <w:t>Αξονική σπονδυλαρθρίτιδα</w:t>
      </w:r>
    </w:p>
    <w:p w14:paraId="014C08CF" w14:textId="77777777" w:rsidR="00171824" w:rsidRDefault="00171824">
      <w:pPr>
        <w:widowControl/>
        <w:kinsoku w:val="0"/>
        <w:overflowPunct w:val="0"/>
        <w:rPr>
          <w:i/>
          <w:iCs/>
          <w:sz w:val="22"/>
          <w:szCs w:val="22"/>
          <w:lang w:val="el-GR"/>
        </w:rPr>
      </w:pPr>
    </w:p>
    <w:p w14:paraId="5CFAAFF5" w14:textId="77777777" w:rsidR="00171824" w:rsidRDefault="006D258C">
      <w:pPr>
        <w:widowControl/>
        <w:kinsoku w:val="0"/>
        <w:overflowPunct w:val="0"/>
        <w:rPr>
          <w:i/>
          <w:iCs/>
          <w:sz w:val="22"/>
          <w:szCs w:val="22"/>
          <w:u w:val="single"/>
          <w:lang w:val="el-GR"/>
        </w:rPr>
      </w:pPr>
      <w:r>
        <w:rPr>
          <w:i/>
          <w:iCs/>
          <w:sz w:val="22"/>
          <w:szCs w:val="22"/>
          <w:u w:val="single"/>
          <w:lang w:val="el-GR"/>
        </w:rPr>
        <w:t>Αγκυλοποιητική σπονδυλίτιδα (ΑΣ)</w:t>
      </w:r>
    </w:p>
    <w:p w14:paraId="183D4424" w14:textId="77777777" w:rsidR="00171824" w:rsidRDefault="00171824">
      <w:pPr>
        <w:widowControl/>
        <w:kinsoku w:val="0"/>
        <w:overflowPunct w:val="0"/>
        <w:rPr>
          <w:sz w:val="22"/>
          <w:szCs w:val="22"/>
          <w:lang w:val="el-GR"/>
        </w:rPr>
      </w:pPr>
    </w:p>
    <w:p w14:paraId="016BDADF" w14:textId="77777777" w:rsidR="00171824" w:rsidRDefault="006D258C">
      <w:pPr>
        <w:pStyle w:val="BodyText"/>
        <w:widowControl/>
        <w:kinsoku w:val="0"/>
        <w:overflowPunct w:val="0"/>
        <w:ind w:left="0"/>
        <w:rPr>
          <w:lang w:val="el-GR"/>
        </w:rPr>
      </w:pPr>
      <w:r>
        <w:rPr>
          <w:lang w:val="el-GR"/>
        </w:rPr>
        <w:t>Το adalimumab 40 mg χορηγούμενο κάθε δεύτερη εβδομάδα μελετήθηκε σε 393 ασθενείς σε δύο τυχαιοποιημένες, διπλά τυφλές μελέτες 24 εβδομάδων, ελεγχόμενες με εικονικό φάρμακο σε ασθενείς με ενεργό αγκυλοποιητική σπονδυλίτιδα (μέση αρχική βαθμολογία ενεργότητας της νόσου [Βath Ankylosing Spondylitis Disease Activity Index (BASDAI)] 6,3 σε όλες τις ομάδες) που είχαν μη ικανοποιητική ανταπόκριση στη συμβατική θεραπεία. Σε εβδομήντα εννέα (20,1%) ασθενείς χορηγήθηκαν ταυτόχρονα άλλα τροποποιητικά της νόσου αντιρευματικά φάρμακα και σε 37 (9,4%) ασθενείς γλυκοκορτικοειδή. Η τυφλή περίοδος ακολουθήθηκε από μία ανοιχτή μελέτη κατά τη διάρκεια της οποίας ασθενείς έλαβαν adalimumab 40 mg κάθε δεύτερη εβδομάδα υποδορίως για επιπλέον 28 εβδομάδες. Οι ασθενείς (n=215, 54,7%) οι οποίοι δεν πέτυχαν ΑSAS 20 στις εβδομάδες 12 ή 16 ή 20 έλαβαν adalimumab 40 mg κάθε δεύτερη εβδομάδα υποδορίως, πρώιμα ως ανοιχτής χορήγησης θεραπεία διάσωσης και, ως εκ τούτου, αντιμετωπίστηκαν σαν μη αποκρινόμενοι στη θεραπεία στη διπλά τυφλή στατιστική ανάλυση.</w:t>
      </w:r>
    </w:p>
    <w:p w14:paraId="21B83C8F" w14:textId="77777777" w:rsidR="00171824" w:rsidRDefault="00171824">
      <w:pPr>
        <w:widowControl/>
        <w:kinsoku w:val="0"/>
        <w:overflowPunct w:val="0"/>
        <w:rPr>
          <w:sz w:val="22"/>
          <w:szCs w:val="22"/>
          <w:lang w:val="el-GR"/>
        </w:rPr>
      </w:pPr>
    </w:p>
    <w:p w14:paraId="33F7FF7C" w14:textId="77777777" w:rsidR="00171824" w:rsidRDefault="006D258C">
      <w:pPr>
        <w:pStyle w:val="BodyText"/>
        <w:widowControl/>
        <w:kinsoku w:val="0"/>
        <w:overflowPunct w:val="0"/>
        <w:ind w:left="0"/>
        <w:rPr>
          <w:lang w:val="el-GR"/>
        </w:rPr>
      </w:pPr>
      <w:r>
        <w:rPr>
          <w:lang w:val="el-GR"/>
        </w:rPr>
        <w:t>Σε μία μεγαλύτερη μελέτη ΑΣ Ι με 315 ασθενείς, τα αποτελέσματα έδειξαν στατιστικά σημαντική βελτίωση των σημείων και συμπτωμάτων της αγκυλοποιητικής σπονδυλίτιδας σε ασθενείς στους οποίους χορηγήθηκε adalimumab σε σύγκριση με τους ασθενείς στους οποίους χορηγήθηκε εικονικό φάρμακο. Σημαντική ανταπόκριση αρχικά παρατηρήθηκε στην εβδομάδα 2 και διατηρήθηκε κατά τη διάρκεια των 24 εβδομάδων (πίνακας 12).</w:t>
      </w:r>
    </w:p>
    <w:p w14:paraId="4C110C9A" w14:textId="77777777" w:rsidR="00171824" w:rsidRDefault="00171824">
      <w:pPr>
        <w:widowControl/>
        <w:kinsoku w:val="0"/>
        <w:overflowPunct w:val="0"/>
        <w:rPr>
          <w:sz w:val="22"/>
          <w:szCs w:val="22"/>
          <w:lang w:val="el-GR"/>
        </w:rPr>
      </w:pPr>
    </w:p>
    <w:p w14:paraId="451D5C41" w14:textId="77777777" w:rsidR="00171824" w:rsidRDefault="006D258C">
      <w:pPr>
        <w:keepNext/>
        <w:widowControl/>
        <w:kinsoku w:val="0"/>
        <w:overflowPunct w:val="0"/>
        <w:ind w:right="707"/>
        <w:jc w:val="both"/>
        <w:rPr>
          <w:sz w:val="22"/>
          <w:szCs w:val="22"/>
          <w:lang w:val="el-GR"/>
        </w:rPr>
      </w:pPr>
      <w:r>
        <w:rPr>
          <w:b/>
          <w:bCs/>
          <w:sz w:val="22"/>
          <w:szCs w:val="22"/>
          <w:lang w:val="el-GR"/>
        </w:rPr>
        <w:t>Πίνακας 12. Ανταποκρίσεις της αποτελεσματικότητας στη Μελέτη της Αγκυλοποιητικής Σπονδυλίτιδας ελεγχόμενης με εικονικό φάρμακο - Μελέτη Ι μείωση των σημείων και συμπτωμάτων</w:t>
      </w:r>
    </w:p>
    <w:p w14:paraId="126905C7" w14:textId="77777777" w:rsidR="00171824" w:rsidRDefault="00171824">
      <w:pPr>
        <w:keepNext/>
        <w:widowControl/>
        <w:kinsoku w:val="0"/>
        <w:overflowPunct w:val="0"/>
        <w:ind w:right="2277"/>
        <w:rPr>
          <w:sz w:val="22"/>
          <w:szCs w:val="22"/>
          <w:lang w:val="el-GR"/>
        </w:rPr>
      </w:pPr>
    </w:p>
    <w:tbl>
      <w:tblPr>
        <w:tblW w:w="5000" w:type="pct"/>
        <w:tblCellMar>
          <w:left w:w="0" w:type="dxa"/>
          <w:right w:w="0" w:type="dxa"/>
        </w:tblCellMar>
        <w:tblLook w:val="04A0" w:firstRow="1" w:lastRow="0" w:firstColumn="1" w:lastColumn="0" w:noHBand="0" w:noVBand="1"/>
      </w:tblPr>
      <w:tblGrid>
        <w:gridCol w:w="3483"/>
        <w:gridCol w:w="2649"/>
        <w:gridCol w:w="2929"/>
      </w:tblGrid>
      <w:tr w:rsidR="00171824" w14:paraId="6DAFA31A" w14:textId="77777777">
        <w:trPr>
          <w:trHeight w:val="20"/>
          <w:tblHeader/>
        </w:trPr>
        <w:tc>
          <w:tcPr>
            <w:tcW w:w="1922" w:type="pct"/>
            <w:tcBorders>
              <w:top w:val="single" w:sz="4" w:space="0" w:color="000000"/>
              <w:left w:val="single" w:sz="4" w:space="0" w:color="000000"/>
              <w:bottom w:val="single" w:sz="4" w:space="0" w:color="000000"/>
              <w:right w:val="single" w:sz="4" w:space="0" w:color="000000"/>
            </w:tcBorders>
          </w:tcPr>
          <w:p w14:paraId="620F66CD" w14:textId="77777777" w:rsidR="00171824" w:rsidRDefault="006D258C">
            <w:pPr>
              <w:pStyle w:val="TableParagraph"/>
              <w:widowControl/>
              <w:kinsoku w:val="0"/>
              <w:overflowPunct w:val="0"/>
              <w:ind w:left="138"/>
              <w:jc w:val="both"/>
              <w:rPr>
                <w:rFonts w:eastAsia="MS Mincho"/>
                <w:sz w:val="22"/>
                <w:lang w:val="el-GR"/>
              </w:rPr>
            </w:pPr>
            <w:r>
              <w:rPr>
                <w:rFonts w:eastAsia="MS Mincho"/>
                <w:b/>
                <w:bCs/>
                <w:sz w:val="22"/>
                <w:szCs w:val="22"/>
                <w:lang w:val="el-GR"/>
              </w:rPr>
              <w:t>Ανταπόκριση</w:t>
            </w:r>
          </w:p>
        </w:tc>
        <w:tc>
          <w:tcPr>
            <w:tcW w:w="1462" w:type="pct"/>
            <w:tcBorders>
              <w:top w:val="single" w:sz="4" w:space="0" w:color="000000"/>
              <w:left w:val="single" w:sz="4" w:space="0" w:color="000000"/>
              <w:bottom w:val="single" w:sz="4" w:space="0" w:color="000000"/>
              <w:right w:val="single" w:sz="4" w:space="0" w:color="000000"/>
            </w:tcBorders>
          </w:tcPr>
          <w:p w14:paraId="03E7B991" w14:textId="77777777" w:rsidR="00171824" w:rsidRDefault="006D258C">
            <w:pPr>
              <w:pStyle w:val="TableParagraph"/>
              <w:widowControl/>
              <w:kinsoku w:val="0"/>
              <w:overflowPunct w:val="0"/>
              <w:jc w:val="center"/>
              <w:rPr>
                <w:rFonts w:eastAsia="MS Mincho"/>
                <w:b/>
                <w:bCs/>
                <w:sz w:val="22"/>
                <w:szCs w:val="22"/>
                <w:lang w:val="el-GR"/>
              </w:rPr>
            </w:pPr>
            <w:r>
              <w:rPr>
                <w:rFonts w:eastAsia="MS Mincho"/>
                <w:b/>
                <w:bCs/>
                <w:sz w:val="22"/>
                <w:szCs w:val="22"/>
                <w:lang w:val="el-GR"/>
              </w:rPr>
              <w:t>Εικονικό φάρμακο</w:t>
            </w:r>
          </w:p>
          <w:p w14:paraId="6BC6A326" w14:textId="77777777" w:rsidR="00171824" w:rsidRDefault="006D258C">
            <w:pPr>
              <w:pStyle w:val="TableParagraph"/>
              <w:widowControl/>
              <w:kinsoku w:val="0"/>
              <w:overflowPunct w:val="0"/>
              <w:jc w:val="center"/>
              <w:rPr>
                <w:rFonts w:eastAsia="MS Mincho"/>
                <w:sz w:val="22"/>
                <w:lang w:val="el-GR"/>
              </w:rPr>
            </w:pPr>
            <w:r>
              <w:rPr>
                <w:rFonts w:eastAsia="MS Mincho"/>
                <w:b/>
                <w:bCs/>
                <w:sz w:val="22"/>
                <w:szCs w:val="22"/>
                <w:lang w:val="el-GR"/>
              </w:rPr>
              <w:t>N=107</w:t>
            </w:r>
          </w:p>
        </w:tc>
        <w:tc>
          <w:tcPr>
            <w:tcW w:w="1616" w:type="pct"/>
            <w:tcBorders>
              <w:top w:val="single" w:sz="4" w:space="0" w:color="000000"/>
              <w:left w:val="single" w:sz="4" w:space="0" w:color="000000"/>
              <w:bottom w:val="single" w:sz="4" w:space="0" w:color="000000"/>
              <w:right w:val="single" w:sz="4" w:space="0" w:color="000000"/>
            </w:tcBorders>
          </w:tcPr>
          <w:p w14:paraId="3E6DE0D7" w14:textId="77777777" w:rsidR="00171824" w:rsidRDefault="006D258C">
            <w:pPr>
              <w:pStyle w:val="TableParagraph"/>
              <w:widowControl/>
              <w:kinsoku w:val="0"/>
              <w:overflowPunct w:val="0"/>
              <w:jc w:val="center"/>
              <w:rPr>
                <w:rFonts w:eastAsia="MS Mincho"/>
                <w:b/>
                <w:bCs/>
                <w:sz w:val="22"/>
                <w:szCs w:val="22"/>
                <w:lang w:val="el-GR"/>
              </w:rPr>
            </w:pPr>
            <w:r>
              <w:rPr>
                <w:rFonts w:eastAsia="MS Mincho"/>
                <w:b/>
                <w:bCs/>
                <w:sz w:val="22"/>
                <w:szCs w:val="22"/>
                <w:lang w:val="el-GR"/>
              </w:rPr>
              <w:t>Adalimumab</w:t>
            </w:r>
          </w:p>
          <w:p w14:paraId="185771A6" w14:textId="77777777" w:rsidR="00171824" w:rsidRDefault="006D258C">
            <w:pPr>
              <w:pStyle w:val="TableParagraph"/>
              <w:widowControl/>
              <w:kinsoku w:val="0"/>
              <w:overflowPunct w:val="0"/>
              <w:jc w:val="center"/>
              <w:rPr>
                <w:rFonts w:eastAsia="MS Mincho"/>
                <w:sz w:val="22"/>
                <w:lang w:val="el-GR"/>
              </w:rPr>
            </w:pPr>
            <w:r>
              <w:rPr>
                <w:rFonts w:eastAsia="MS Mincho"/>
                <w:b/>
                <w:bCs/>
                <w:sz w:val="22"/>
                <w:szCs w:val="22"/>
                <w:lang w:val="el-GR"/>
              </w:rPr>
              <w:t>N=208</w:t>
            </w:r>
          </w:p>
        </w:tc>
      </w:tr>
      <w:tr w:rsidR="00171824" w14:paraId="4F27884F"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06110653" w14:textId="77777777" w:rsidR="00171824" w:rsidRDefault="006D258C">
            <w:pPr>
              <w:pStyle w:val="TableParagraph"/>
              <w:widowControl/>
              <w:kinsoku w:val="0"/>
              <w:overflowPunct w:val="0"/>
              <w:ind w:left="138"/>
              <w:rPr>
                <w:rFonts w:eastAsia="MS Mincho"/>
                <w:sz w:val="22"/>
                <w:lang w:val="el-GR"/>
              </w:rPr>
            </w:pPr>
            <w:r>
              <w:rPr>
                <w:rFonts w:eastAsia="MS Mincho"/>
                <w:sz w:val="22"/>
                <w:szCs w:val="22"/>
                <w:lang w:val="el-GR"/>
              </w:rPr>
              <w:t>ASAS</w:t>
            </w:r>
            <w:r>
              <w:rPr>
                <w:rFonts w:eastAsia="MS Mincho"/>
                <w:sz w:val="22"/>
                <w:szCs w:val="22"/>
                <w:vertAlign w:val="superscript"/>
                <w:lang w:val="el-GR"/>
              </w:rPr>
              <w:t>a</w:t>
            </w:r>
            <w:r>
              <w:rPr>
                <w:rFonts w:eastAsia="MS Mincho"/>
                <w:sz w:val="22"/>
                <w:szCs w:val="22"/>
                <w:lang w:val="el-GR"/>
              </w:rPr>
              <w:t xml:space="preserve"> 20</w:t>
            </w:r>
          </w:p>
        </w:tc>
        <w:tc>
          <w:tcPr>
            <w:tcW w:w="1462" w:type="pct"/>
            <w:tcBorders>
              <w:top w:val="single" w:sz="4" w:space="0" w:color="000000"/>
              <w:left w:val="single" w:sz="4" w:space="0" w:color="000000"/>
              <w:bottom w:val="single" w:sz="4" w:space="0" w:color="000000"/>
              <w:right w:val="single" w:sz="4" w:space="0" w:color="000000"/>
            </w:tcBorders>
          </w:tcPr>
          <w:p w14:paraId="562C4497" w14:textId="77777777" w:rsidR="00171824" w:rsidRDefault="00171824">
            <w:pPr>
              <w:widowControl/>
              <w:jc w:val="center"/>
              <w:rPr>
                <w:rFonts w:eastAsia="MS Mincho"/>
                <w:sz w:val="22"/>
                <w:lang w:val="el-GR"/>
              </w:rPr>
            </w:pPr>
          </w:p>
        </w:tc>
        <w:tc>
          <w:tcPr>
            <w:tcW w:w="1616" w:type="pct"/>
            <w:tcBorders>
              <w:top w:val="single" w:sz="4" w:space="0" w:color="000000"/>
              <w:left w:val="single" w:sz="4" w:space="0" w:color="000000"/>
              <w:bottom w:val="single" w:sz="4" w:space="0" w:color="000000"/>
              <w:right w:val="single" w:sz="4" w:space="0" w:color="000000"/>
            </w:tcBorders>
          </w:tcPr>
          <w:p w14:paraId="7B5035A9" w14:textId="77777777" w:rsidR="00171824" w:rsidRDefault="00171824">
            <w:pPr>
              <w:widowControl/>
              <w:jc w:val="center"/>
              <w:rPr>
                <w:rFonts w:eastAsia="MS Mincho"/>
                <w:sz w:val="22"/>
                <w:lang w:val="el-GR"/>
              </w:rPr>
            </w:pPr>
          </w:p>
        </w:tc>
      </w:tr>
      <w:tr w:rsidR="00171824" w14:paraId="2850864C"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3AA5188A"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2</w:t>
            </w:r>
          </w:p>
        </w:tc>
        <w:tc>
          <w:tcPr>
            <w:tcW w:w="1462" w:type="pct"/>
            <w:tcBorders>
              <w:top w:val="single" w:sz="4" w:space="0" w:color="000000"/>
              <w:left w:val="single" w:sz="4" w:space="0" w:color="000000"/>
              <w:bottom w:val="single" w:sz="4" w:space="0" w:color="000000"/>
              <w:right w:val="single" w:sz="4" w:space="0" w:color="000000"/>
            </w:tcBorders>
          </w:tcPr>
          <w:p w14:paraId="6AAB37CD"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16%</w:t>
            </w:r>
          </w:p>
        </w:tc>
        <w:tc>
          <w:tcPr>
            <w:tcW w:w="1616" w:type="pct"/>
            <w:tcBorders>
              <w:top w:val="single" w:sz="4" w:space="0" w:color="000000"/>
              <w:left w:val="single" w:sz="4" w:space="0" w:color="000000"/>
              <w:bottom w:val="single" w:sz="4" w:space="0" w:color="000000"/>
              <w:right w:val="single" w:sz="4" w:space="0" w:color="000000"/>
            </w:tcBorders>
          </w:tcPr>
          <w:p w14:paraId="4588B33A"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42%***</w:t>
            </w:r>
          </w:p>
        </w:tc>
      </w:tr>
      <w:tr w:rsidR="00171824" w14:paraId="7B0DC6B9"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343CDD5D"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12</w:t>
            </w:r>
          </w:p>
        </w:tc>
        <w:tc>
          <w:tcPr>
            <w:tcW w:w="1462" w:type="pct"/>
            <w:tcBorders>
              <w:top w:val="single" w:sz="4" w:space="0" w:color="000000"/>
              <w:left w:val="single" w:sz="4" w:space="0" w:color="000000"/>
              <w:bottom w:val="single" w:sz="4" w:space="0" w:color="000000"/>
              <w:right w:val="single" w:sz="4" w:space="0" w:color="000000"/>
            </w:tcBorders>
          </w:tcPr>
          <w:p w14:paraId="1E0504C4"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21%</w:t>
            </w:r>
          </w:p>
        </w:tc>
        <w:tc>
          <w:tcPr>
            <w:tcW w:w="1616" w:type="pct"/>
            <w:tcBorders>
              <w:top w:val="single" w:sz="4" w:space="0" w:color="000000"/>
              <w:left w:val="single" w:sz="4" w:space="0" w:color="000000"/>
              <w:bottom w:val="single" w:sz="4" w:space="0" w:color="000000"/>
              <w:right w:val="single" w:sz="4" w:space="0" w:color="000000"/>
            </w:tcBorders>
          </w:tcPr>
          <w:p w14:paraId="41948DB9"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58%***</w:t>
            </w:r>
          </w:p>
        </w:tc>
      </w:tr>
      <w:tr w:rsidR="00171824" w14:paraId="62DB672F"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5A8DA336"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24</w:t>
            </w:r>
          </w:p>
        </w:tc>
        <w:tc>
          <w:tcPr>
            <w:tcW w:w="1462" w:type="pct"/>
            <w:tcBorders>
              <w:top w:val="single" w:sz="4" w:space="0" w:color="000000"/>
              <w:left w:val="single" w:sz="4" w:space="0" w:color="000000"/>
              <w:bottom w:val="single" w:sz="4" w:space="0" w:color="000000"/>
              <w:right w:val="single" w:sz="4" w:space="0" w:color="000000"/>
            </w:tcBorders>
          </w:tcPr>
          <w:p w14:paraId="06BB4023"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19%</w:t>
            </w:r>
          </w:p>
        </w:tc>
        <w:tc>
          <w:tcPr>
            <w:tcW w:w="1616" w:type="pct"/>
            <w:tcBorders>
              <w:top w:val="single" w:sz="4" w:space="0" w:color="000000"/>
              <w:left w:val="single" w:sz="4" w:space="0" w:color="000000"/>
              <w:bottom w:val="single" w:sz="4" w:space="0" w:color="000000"/>
              <w:right w:val="single" w:sz="4" w:space="0" w:color="000000"/>
            </w:tcBorders>
          </w:tcPr>
          <w:p w14:paraId="5898394F"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51%***</w:t>
            </w:r>
          </w:p>
        </w:tc>
      </w:tr>
      <w:tr w:rsidR="00171824" w14:paraId="135F3C7C"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16126DF6" w14:textId="77777777" w:rsidR="00171824" w:rsidRDefault="006D258C">
            <w:pPr>
              <w:pStyle w:val="TableParagraph"/>
              <w:widowControl/>
              <w:kinsoku w:val="0"/>
              <w:overflowPunct w:val="0"/>
              <w:ind w:left="138"/>
              <w:rPr>
                <w:rFonts w:eastAsia="MS Mincho"/>
                <w:lang w:val="el-GR"/>
              </w:rPr>
            </w:pPr>
            <w:r>
              <w:rPr>
                <w:rFonts w:eastAsia="MS Mincho"/>
                <w:sz w:val="22"/>
                <w:szCs w:val="22"/>
                <w:lang w:val="el-GR"/>
              </w:rPr>
              <w:t>ASAS 50</w:t>
            </w:r>
          </w:p>
        </w:tc>
        <w:tc>
          <w:tcPr>
            <w:tcW w:w="1462" w:type="pct"/>
            <w:tcBorders>
              <w:top w:val="single" w:sz="4" w:space="0" w:color="000000"/>
              <w:left w:val="single" w:sz="4" w:space="0" w:color="000000"/>
              <w:bottom w:val="single" w:sz="4" w:space="0" w:color="000000"/>
              <w:right w:val="single" w:sz="4" w:space="0" w:color="000000"/>
            </w:tcBorders>
          </w:tcPr>
          <w:p w14:paraId="5C1141D2" w14:textId="77777777" w:rsidR="00171824" w:rsidRDefault="00171824">
            <w:pPr>
              <w:widowControl/>
              <w:jc w:val="center"/>
              <w:rPr>
                <w:rFonts w:eastAsia="MS Mincho"/>
                <w:sz w:val="22"/>
                <w:lang w:val="el-GR"/>
              </w:rPr>
            </w:pPr>
          </w:p>
        </w:tc>
        <w:tc>
          <w:tcPr>
            <w:tcW w:w="1616" w:type="pct"/>
            <w:tcBorders>
              <w:top w:val="single" w:sz="4" w:space="0" w:color="000000"/>
              <w:left w:val="single" w:sz="4" w:space="0" w:color="000000"/>
              <w:bottom w:val="single" w:sz="4" w:space="0" w:color="000000"/>
              <w:right w:val="single" w:sz="4" w:space="0" w:color="000000"/>
            </w:tcBorders>
          </w:tcPr>
          <w:p w14:paraId="1D16EBC2" w14:textId="77777777" w:rsidR="00171824" w:rsidRDefault="00171824">
            <w:pPr>
              <w:widowControl/>
              <w:jc w:val="center"/>
              <w:rPr>
                <w:rFonts w:eastAsia="MS Mincho"/>
                <w:sz w:val="22"/>
                <w:lang w:val="el-GR"/>
              </w:rPr>
            </w:pPr>
          </w:p>
        </w:tc>
      </w:tr>
      <w:tr w:rsidR="00171824" w14:paraId="52A7CFC4"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47A00DB4"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2</w:t>
            </w:r>
          </w:p>
        </w:tc>
        <w:tc>
          <w:tcPr>
            <w:tcW w:w="1462" w:type="pct"/>
            <w:tcBorders>
              <w:top w:val="single" w:sz="4" w:space="0" w:color="000000"/>
              <w:left w:val="single" w:sz="4" w:space="0" w:color="000000"/>
              <w:bottom w:val="single" w:sz="4" w:space="0" w:color="000000"/>
              <w:right w:val="single" w:sz="4" w:space="0" w:color="000000"/>
            </w:tcBorders>
          </w:tcPr>
          <w:p w14:paraId="623A961E"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w:t>
            </w:r>
          </w:p>
        </w:tc>
        <w:tc>
          <w:tcPr>
            <w:tcW w:w="1616" w:type="pct"/>
            <w:tcBorders>
              <w:top w:val="single" w:sz="4" w:space="0" w:color="000000"/>
              <w:left w:val="single" w:sz="4" w:space="0" w:color="000000"/>
              <w:bottom w:val="single" w:sz="4" w:space="0" w:color="000000"/>
              <w:right w:val="single" w:sz="4" w:space="0" w:color="000000"/>
            </w:tcBorders>
          </w:tcPr>
          <w:p w14:paraId="7C9DF40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16%***</w:t>
            </w:r>
          </w:p>
        </w:tc>
      </w:tr>
      <w:tr w:rsidR="00171824" w14:paraId="2E210EAD"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0ADA6B99"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12</w:t>
            </w:r>
          </w:p>
        </w:tc>
        <w:tc>
          <w:tcPr>
            <w:tcW w:w="1462" w:type="pct"/>
            <w:tcBorders>
              <w:top w:val="single" w:sz="4" w:space="0" w:color="000000"/>
              <w:left w:val="single" w:sz="4" w:space="0" w:color="000000"/>
              <w:bottom w:val="single" w:sz="4" w:space="0" w:color="000000"/>
              <w:right w:val="single" w:sz="4" w:space="0" w:color="000000"/>
            </w:tcBorders>
          </w:tcPr>
          <w:p w14:paraId="785E7471"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10%</w:t>
            </w:r>
          </w:p>
        </w:tc>
        <w:tc>
          <w:tcPr>
            <w:tcW w:w="1616" w:type="pct"/>
            <w:tcBorders>
              <w:top w:val="single" w:sz="4" w:space="0" w:color="000000"/>
              <w:left w:val="single" w:sz="4" w:space="0" w:color="000000"/>
              <w:bottom w:val="single" w:sz="4" w:space="0" w:color="000000"/>
              <w:right w:val="single" w:sz="4" w:space="0" w:color="000000"/>
            </w:tcBorders>
          </w:tcPr>
          <w:p w14:paraId="5AA6052A"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38%***</w:t>
            </w:r>
          </w:p>
        </w:tc>
      </w:tr>
      <w:tr w:rsidR="00171824" w14:paraId="31F53924"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453CC456"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24</w:t>
            </w:r>
          </w:p>
        </w:tc>
        <w:tc>
          <w:tcPr>
            <w:tcW w:w="1462" w:type="pct"/>
            <w:tcBorders>
              <w:top w:val="single" w:sz="4" w:space="0" w:color="000000"/>
              <w:left w:val="single" w:sz="4" w:space="0" w:color="000000"/>
              <w:bottom w:val="single" w:sz="4" w:space="0" w:color="000000"/>
              <w:right w:val="single" w:sz="4" w:space="0" w:color="000000"/>
            </w:tcBorders>
          </w:tcPr>
          <w:p w14:paraId="4744E7A4"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11%</w:t>
            </w:r>
          </w:p>
        </w:tc>
        <w:tc>
          <w:tcPr>
            <w:tcW w:w="1616" w:type="pct"/>
            <w:tcBorders>
              <w:top w:val="single" w:sz="4" w:space="0" w:color="000000"/>
              <w:left w:val="single" w:sz="4" w:space="0" w:color="000000"/>
              <w:bottom w:val="single" w:sz="4" w:space="0" w:color="000000"/>
              <w:right w:val="single" w:sz="4" w:space="0" w:color="000000"/>
            </w:tcBorders>
          </w:tcPr>
          <w:p w14:paraId="39775499"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35%***</w:t>
            </w:r>
          </w:p>
        </w:tc>
      </w:tr>
      <w:tr w:rsidR="00171824" w14:paraId="0D220FD7"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279DDF77" w14:textId="77777777" w:rsidR="00171824" w:rsidRDefault="006D258C">
            <w:pPr>
              <w:pStyle w:val="TableParagraph"/>
              <w:widowControl/>
              <w:kinsoku w:val="0"/>
              <w:overflowPunct w:val="0"/>
              <w:ind w:left="138"/>
              <w:rPr>
                <w:rFonts w:eastAsia="MS Mincho"/>
                <w:lang w:val="el-GR"/>
              </w:rPr>
            </w:pPr>
            <w:r>
              <w:rPr>
                <w:rFonts w:eastAsia="MS Mincho"/>
                <w:sz w:val="22"/>
                <w:szCs w:val="22"/>
                <w:lang w:val="el-GR"/>
              </w:rPr>
              <w:t>ASAS 70</w:t>
            </w:r>
          </w:p>
        </w:tc>
        <w:tc>
          <w:tcPr>
            <w:tcW w:w="1462" w:type="pct"/>
            <w:tcBorders>
              <w:top w:val="single" w:sz="4" w:space="0" w:color="000000"/>
              <w:left w:val="single" w:sz="4" w:space="0" w:color="000000"/>
              <w:bottom w:val="single" w:sz="4" w:space="0" w:color="000000"/>
              <w:right w:val="single" w:sz="4" w:space="0" w:color="000000"/>
            </w:tcBorders>
          </w:tcPr>
          <w:p w14:paraId="6E929359" w14:textId="77777777" w:rsidR="00171824" w:rsidRDefault="00171824">
            <w:pPr>
              <w:widowControl/>
              <w:jc w:val="center"/>
              <w:rPr>
                <w:rFonts w:eastAsia="MS Mincho"/>
                <w:sz w:val="22"/>
                <w:lang w:val="el-GR"/>
              </w:rPr>
            </w:pPr>
          </w:p>
        </w:tc>
        <w:tc>
          <w:tcPr>
            <w:tcW w:w="1616" w:type="pct"/>
            <w:tcBorders>
              <w:top w:val="single" w:sz="4" w:space="0" w:color="000000"/>
              <w:left w:val="single" w:sz="4" w:space="0" w:color="000000"/>
              <w:bottom w:val="single" w:sz="4" w:space="0" w:color="000000"/>
              <w:right w:val="single" w:sz="4" w:space="0" w:color="000000"/>
            </w:tcBorders>
          </w:tcPr>
          <w:p w14:paraId="082BA33D" w14:textId="77777777" w:rsidR="00171824" w:rsidRDefault="00171824">
            <w:pPr>
              <w:widowControl/>
              <w:jc w:val="center"/>
              <w:rPr>
                <w:rFonts w:eastAsia="MS Mincho"/>
                <w:sz w:val="22"/>
                <w:lang w:val="el-GR"/>
              </w:rPr>
            </w:pPr>
          </w:p>
        </w:tc>
      </w:tr>
      <w:tr w:rsidR="00171824" w14:paraId="64F62C8B"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6EC652D1"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2</w:t>
            </w:r>
          </w:p>
        </w:tc>
        <w:tc>
          <w:tcPr>
            <w:tcW w:w="1462" w:type="pct"/>
            <w:tcBorders>
              <w:top w:val="single" w:sz="4" w:space="0" w:color="000000"/>
              <w:left w:val="single" w:sz="4" w:space="0" w:color="000000"/>
              <w:bottom w:val="single" w:sz="4" w:space="0" w:color="000000"/>
              <w:right w:val="single" w:sz="4" w:space="0" w:color="000000"/>
            </w:tcBorders>
          </w:tcPr>
          <w:p w14:paraId="4964001B"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w:t>
            </w:r>
          </w:p>
        </w:tc>
        <w:tc>
          <w:tcPr>
            <w:tcW w:w="1616" w:type="pct"/>
            <w:tcBorders>
              <w:top w:val="single" w:sz="4" w:space="0" w:color="000000"/>
              <w:left w:val="single" w:sz="4" w:space="0" w:color="000000"/>
              <w:bottom w:val="single" w:sz="4" w:space="0" w:color="000000"/>
              <w:right w:val="single" w:sz="4" w:space="0" w:color="000000"/>
            </w:tcBorders>
          </w:tcPr>
          <w:p w14:paraId="1C64E01B"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7%**</w:t>
            </w:r>
          </w:p>
        </w:tc>
      </w:tr>
      <w:tr w:rsidR="00171824" w14:paraId="0EAF209C"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5317CE4D"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12</w:t>
            </w:r>
          </w:p>
        </w:tc>
        <w:tc>
          <w:tcPr>
            <w:tcW w:w="1462" w:type="pct"/>
            <w:tcBorders>
              <w:top w:val="single" w:sz="4" w:space="0" w:color="000000"/>
              <w:left w:val="single" w:sz="4" w:space="0" w:color="000000"/>
              <w:bottom w:val="single" w:sz="4" w:space="0" w:color="000000"/>
              <w:right w:val="single" w:sz="4" w:space="0" w:color="000000"/>
            </w:tcBorders>
          </w:tcPr>
          <w:p w14:paraId="535238D6"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5%</w:t>
            </w:r>
          </w:p>
        </w:tc>
        <w:tc>
          <w:tcPr>
            <w:tcW w:w="1616" w:type="pct"/>
            <w:tcBorders>
              <w:top w:val="single" w:sz="4" w:space="0" w:color="000000"/>
              <w:left w:val="single" w:sz="4" w:space="0" w:color="000000"/>
              <w:bottom w:val="single" w:sz="4" w:space="0" w:color="000000"/>
              <w:right w:val="single" w:sz="4" w:space="0" w:color="000000"/>
            </w:tcBorders>
          </w:tcPr>
          <w:p w14:paraId="145B53EB"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23%***</w:t>
            </w:r>
          </w:p>
        </w:tc>
      </w:tr>
      <w:tr w:rsidR="00171824" w14:paraId="26DBAB4B"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6F82CA06"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24</w:t>
            </w:r>
          </w:p>
        </w:tc>
        <w:tc>
          <w:tcPr>
            <w:tcW w:w="1462" w:type="pct"/>
            <w:tcBorders>
              <w:top w:val="single" w:sz="4" w:space="0" w:color="000000"/>
              <w:left w:val="single" w:sz="4" w:space="0" w:color="000000"/>
              <w:bottom w:val="single" w:sz="4" w:space="0" w:color="000000"/>
              <w:right w:val="single" w:sz="4" w:space="0" w:color="000000"/>
            </w:tcBorders>
          </w:tcPr>
          <w:p w14:paraId="078D41B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8%</w:t>
            </w:r>
          </w:p>
        </w:tc>
        <w:tc>
          <w:tcPr>
            <w:tcW w:w="1616" w:type="pct"/>
            <w:tcBorders>
              <w:top w:val="single" w:sz="4" w:space="0" w:color="000000"/>
              <w:left w:val="single" w:sz="4" w:space="0" w:color="000000"/>
              <w:bottom w:val="single" w:sz="4" w:space="0" w:color="000000"/>
              <w:right w:val="single" w:sz="4" w:space="0" w:color="000000"/>
            </w:tcBorders>
          </w:tcPr>
          <w:p w14:paraId="511ED4EF"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24%***</w:t>
            </w:r>
          </w:p>
        </w:tc>
      </w:tr>
      <w:tr w:rsidR="00171824" w14:paraId="2CEE71E2"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54472740" w14:textId="77777777" w:rsidR="00171824" w:rsidRDefault="006D258C">
            <w:pPr>
              <w:pStyle w:val="TableParagraph"/>
              <w:widowControl/>
              <w:kinsoku w:val="0"/>
              <w:overflowPunct w:val="0"/>
              <w:ind w:left="138"/>
              <w:rPr>
                <w:rFonts w:eastAsia="MS Mincho"/>
                <w:lang w:val="el-GR"/>
              </w:rPr>
            </w:pPr>
            <w:r>
              <w:rPr>
                <w:rFonts w:eastAsia="MS Mincho"/>
                <w:sz w:val="22"/>
                <w:szCs w:val="22"/>
                <w:lang w:val="el-GR"/>
              </w:rPr>
              <w:t>BASDAI</w:t>
            </w:r>
            <w:r>
              <w:rPr>
                <w:rFonts w:eastAsia="MS Mincho"/>
                <w:sz w:val="22"/>
                <w:szCs w:val="22"/>
                <w:vertAlign w:val="superscript"/>
                <w:lang w:val="el-GR"/>
              </w:rPr>
              <w:t>b</w:t>
            </w:r>
            <w:r>
              <w:rPr>
                <w:rFonts w:eastAsia="MS Mincho"/>
                <w:sz w:val="22"/>
                <w:szCs w:val="22"/>
                <w:lang w:val="el-GR"/>
              </w:rPr>
              <w:t xml:space="preserve"> 50</w:t>
            </w:r>
          </w:p>
        </w:tc>
        <w:tc>
          <w:tcPr>
            <w:tcW w:w="1462" w:type="pct"/>
            <w:tcBorders>
              <w:top w:val="single" w:sz="4" w:space="0" w:color="000000"/>
              <w:left w:val="single" w:sz="4" w:space="0" w:color="000000"/>
              <w:bottom w:val="single" w:sz="4" w:space="0" w:color="000000"/>
              <w:right w:val="single" w:sz="4" w:space="0" w:color="000000"/>
            </w:tcBorders>
          </w:tcPr>
          <w:p w14:paraId="48B99545" w14:textId="77777777" w:rsidR="00171824" w:rsidRDefault="00171824">
            <w:pPr>
              <w:widowControl/>
              <w:jc w:val="center"/>
              <w:rPr>
                <w:rFonts w:eastAsia="MS Mincho"/>
                <w:sz w:val="22"/>
                <w:lang w:val="el-GR"/>
              </w:rPr>
            </w:pPr>
          </w:p>
        </w:tc>
        <w:tc>
          <w:tcPr>
            <w:tcW w:w="1616" w:type="pct"/>
            <w:tcBorders>
              <w:top w:val="single" w:sz="4" w:space="0" w:color="000000"/>
              <w:left w:val="single" w:sz="4" w:space="0" w:color="000000"/>
              <w:bottom w:val="single" w:sz="4" w:space="0" w:color="000000"/>
              <w:right w:val="single" w:sz="4" w:space="0" w:color="000000"/>
            </w:tcBorders>
          </w:tcPr>
          <w:p w14:paraId="12A05BCD" w14:textId="77777777" w:rsidR="00171824" w:rsidRDefault="00171824">
            <w:pPr>
              <w:widowControl/>
              <w:jc w:val="center"/>
              <w:rPr>
                <w:rFonts w:eastAsia="MS Mincho"/>
                <w:sz w:val="22"/>
                <w:lang w:val="el-GR"/>
              </w:rPr>
            </w:pPr>
          </w:p>
        </w:tc>
      </w:tr>
      <w:tr w:rsidR="00171824" w14:paraId="4058A870"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5293BD99"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2</w:t>
            </w:r>
          </w:p>
        </w:tc>
        <w:tc>
          <w:tcPr>
            <w:tcW w:w="1462" w:type="pct"/>
            <w:tcBorders>
              <w:top w:val="single" w:sz="4" w:space="0" w:color="000000"/>
              <w:left w:val="single" w:sz="4" w:space="0" w:color="000000"/>
              <w:bottom w:val="single" w:sz="4" w:space="0" w:color="000000"/>
              <w:right w:val="single" w:sz="4" w:space="0" w:color="000000"/>
            </w:tcBorders>
          </w:tcPr>
          <w:p w14:paraId="08DD6FE6"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4%</w:t>
            </w:r>
          </w:p>
        </w:tc>
        <w:tc>
          <w:tcPr>
            <w:tcW w:w="1616" w:type="pct"/>
            <w:tcBorders>
              <w:top w:val="single" w:sz="4" w:space="0" w:color="000000"/>
              <w:left w:val="single" w:sz="4" w:space="0" w:color="000000"/>
              <w:bottom w:val="single" w:sz="4" w:space="0" w:color="000000"/>
              <w:right w:val="single" w:sz="4" w:space="0" w:color="000000"/>
            </w:tcBorders>
          </w:tcPr>
          <w:p w14:paraId="321A91D0"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20%***</w:t>
            </w:r>
          </w:p>
        </w:tc>
      </w:tr>
      <w:tr w:rsidR="00171824" w14:paraId="0F5581B7"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24429C4B"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12</w:t>
            </w:r>
          </w:p>
        </w:tc>
        <w:tc>
          <w:tcPr>
            <w:tcW w:w="1462" w:type="pct"/>
            <w:tcBorders>
              <w:top w:val="single" w:sz="4" w:space="0" w:color="000000"/>
              <w:left w:val="single" w:sz="4" w:space="0" w:color="000000"/>
              <w:bottom w:val="single" w:sz="4" w:space="0" w:color="000000"/>
              <w:right w:val="single" w:sz="4" w:space="0" w:color="000000"/>
            </w:tcBorders>
          </w:tcPr>
          <w:p w14:paraId="2A72A74A"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16%</w:t>
            </w:r>
          </w:p>
        </w:tc>
        <w:tc>
          <w:tcPr>
            <w:tcW w:w="1616" w:type="pct"/>
            <w:tcBorders>
              <w:top w:val="single" w:sz="4" w:space="0" w:color="000000"/>
              <w:left w:val="single" w:sz="4" w:space="0" w:color="000000"/>
              <w:bottom w:val="single" w:sz="4" w:space="0" w:color="000000"/>
              <w:right w:val="single" w:sz="4" w:space="0" w:color="000000"/>
            </w:tcBorders>
          </w:tcPr>
          <w:p w14:paraId="0B8884A6"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45%***</w:t>
            </w:r>
          </w:p>
        </w:tc>
      </w:tr>
      <w:tr w:rsidR="00171824" w14:paraId="12E57C18" w14:textId="77777777">
        <w:trPr>
          <w:trHeight w:val="20"/>
        </w:trPr>
        <w:tc>
          <w:tcPr>
            <w:tcW w:w="1922" w:type="pct"/>
            <w:tcBorders>
              <w:top w:val="single" w:sz="4" w:space="0" w:color="000000"/>
              <w:left w:val="single" w:sz="4" w:space="0" w:color="000000"/>
              <w:bottom w:val="single" w:sz="4" w:space="0" w:color="000000"/>
              <w:right w:val="single" w:sz="4" w:space="0" w:color="000000"/>
            </w:tcBorders>
          </w:tcPr>
          <w:p w14:paraId="5E5DFFCD" w14:textId="77777777" w:rsidR="00171824" w:rsidRDefault="006D258C">
            <w:pPr>
              <w:pStyle w:val="TableParagraph"/>
              <w:widowControl/>
              <w:kinsoku w:val="0"/>
              <w:overflowPunct w:val="0"/>
              <w:ind w:left="704"/>
              <w:rPr>
                <w:rFonts w:eastAsia="MS Mincho"/>
                <w:sz w:val="22"/>
                <w:lang w:val="el-GR"/>
              </w:rPr>
            </w:pPr>
            <w:r>
              <w:rPr>
                <w:rFonts w:eastAsia="MS Mincho"/>
                <w:sz w:val="22"/>
                <w:szCs w:val="22"/>
                <w:lang w:val="el-GR"/>
              </w:rPr>
              <w:t>Εβδομάδα 24</w:t>
            </w:r>
          </w:p>
        </w:tc>
        <w:tc>
          <w:tcPr>
            <w:tcW w:w="1462" w:type="pct"/>
            <w:tcBorders>
              <w:top w:val="single" w:sz="4" w:space="0" w:color="000000"/>
              <w:left w:val="single" w:sz="4" w:space="0" w:color="000000"/>
              <w:bottom w:val="single" w:sz="4" w:space="0" w:color="000000"/>
              <w:right w:val="single" w:sz="4" w:space="0" w:color="000000"/>
            </w:tcBorders>
          </w:tcPr>
          <w:p w14:paraId="572B4FC3"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15%</w:t>
            </w:r>
          </w:p>
        </w:tc>
        <w:tc>
          <w:tcPr>
            <w:tcW w:w="1616" w:type="pct"/>
            <w:tcBorders>
              <w:top w:val="single" w:sz="4" w:space="0" w:color="000000"/>
              <w:left w:val="single" w:sz="4" w:space="0" w:color="000000"/>
              <w:bottom w:val="single" w:sz="4" w:space="0" w:color="000000"/>
              <w:right w:val="single" w:sz="4" w:space="0" w:color="000000"/>
            </w:tcBorders>
          </w:tcPr>
          <w:p w14:paraId="339FC215"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42%***</w:t>
            </w:r>
          </w:p>
        </w:tc>
      </w:tr>
    </w:tbl>
    <w:p w14:paraId="08D65DBE" w14:textId="77777777" w:rsidR="00171824" w:rsidRDefault="006D258C">
      <w:pPr>
        <w:pStyle w:val="BodyText"/>
        <w:widowControl/>
        <w:kinsoku w:val="0"/>
        <w:overflowPunct w:val="0"/>
        <w:ind w:left="0" w:right="8"/>
        <w:rPr>
          <w:sz w:val="20"/>
          <w:szCs w:val="20"/>
          <w:lang w:val="el-GR"/>
        </w:rPr>
      </w:pPr>
      <w:r>
        <w:rPr>
          <w:sz w:val="20"/>
          <w:szCs w:val="20"/>
          <w:lang w:val="el-GR"/>
        </w:rPr>
        <w:t>***,** Στατιστικά σημαντικό με p &lt; 0,001, &lt; 0,01 για όλες τις συγκρίσεις μεταξύ adalimumab και εικονικού φαρμάκου στις εβδομάδες 2, 12 και 24</w:t>
      </w:r>
    </w:p>
    <w:p w14:paraId="22D6FE45" w14:textId="77777777" w:rsidR="00171824" w:rsidRPr="00422380" w:rsidRDefault="006D258C">
      <w:pPr>
        <w:pStyle w:val="BodyText"/>
        <w:widowControl/>
        <w:kinsoku w:val="0"/>
        <w:overflowPunct w:val="0"/>
        <w:ind w:left="0"/>
        <w:rPr>
          <w:sz w:val="20"/>
          <w:szCs w:val="20"/>
          <w:lang w:val="el-GR"/>
        </w:rPr>
      </w:pPr>
      <w:r w:rsidRPr="00422380">
        <w:rPr>
          <w:position w:val="10"/>
          <w:sz w:val="12"/>
          <w:szCs w:val="12"/>
        </w:rPr>
        <w:t>a</w:t>
      </w:r>
      <w:r w:rsidRPr="00422380">
        <w:rPr>
          <w:position w:val="10"/>
          <w:sz w:val="12"/>
          <w:szCs w:val="12"/>
          <w:lang w:val="el-GR"/>
        </w:rPr>
        <w:t xml:space="preserve"> </w:t>
      </w:r>
      <w:r>
        <w:rPr>
          <w:sz w:val="20"/>
          <w:szCs w:val="20"/>
          <w:lang w:val="el-GR"/>
        </w:rPr>
        <w:t>Α</w:t>
      </w:r>
      <w:r w:rsidRPr="00422380">
        <w:rPr>
          <w:sz w:val="20"/>
          <w:szCs w:val="20"/>
        </w:rPr>
        <w:t>ssessments</w:t>
      </w:r>
      <w:r w:rsidRPr="00422380">
        <w:rPr>
          <w:sz w:val="20"/>
          <w:szCs w:val="20"/>
          <w:lang w:val="el-GR"/>
        </w:rPr>
        <w:t xml:space="preserve"> </w:t>
      </w:r>
      <w:r w:rsidRPr="00422380">
        <w:rPr>
          <w:sz w:val="20"/>
          <w:szCs w:val="20"/>
        </w:rPr>
        <w:t>in</w:t>
      </w:r>
      <w:r w:rsidRPr="00422380">
        <w:rPr>
          <w:sz w:val="20"/>
          <w:szCs w:val="20"/>
          <w:lang w:val="el-GR"/>
        </w:rPr>
        <w:t xml:space="preserve"> </w:t>
      </w:r>
      <w:r w:rsidRPr="00422380">
        <w:rPr>
          <w:sz w:val="20"/>
          <w:szCs w:val="20"/>
        </w:rPr>
        <w:t>Ankylosing</w:t>
      </w:r>
      <w:r w:rsidRPr="00422380">
        <w:rPr>
          <w:sz w:val="20"/>
          <w:szCs w:val="20"/>
          <w:lang w:val="el-GR"/>
        </w:rPr>
        <w:t xml:space="preserve"> </w:t>
      </w:r>
      <w:r w:rsidRPr="00422380">
        <w:rPr>
          <w:sz w:val="20"/>
          <w:szCs w:val="20"/>
        </w:rPr>
        <w:t>Spondylitis</w:t>
      </w:r>
      <w:r w:rsidRPr="00422380">
        <w:rPr>
          <w:sz w:val="20"/>
          <w:szCs w:val="20"/>
          <w:lang w:val="el-GR"/>
        </w:rPr>
        <w:t xml:space="preserve"> / </w:t>
      </w:r>
      <w:r w:rsidRPr="00422380">
        <w:rPr>
          <w:sz w:val="20"/>
          <w:szCs w:val="20"/>
        </w:rPr>
        <w:t>ASAS</w:t>
      </w:r>
      <w:r w:rsidRPr="00422380">
        <w:rPr>
          <w:sz w:val="20"/>
          <w:szCs w:val="20"/>
          <w:lang w:val="el-GR"/>
        </w:rPr>
        <w:t xml:space="preserve"> = </w:t>
      </w:r>
      <w:r>
        <w:rPr>
          <w:sz w:val="20"/>
          <w:szCs w:val="20"/>
          <w:lang w:val="el-GR"/>
        </w:rPr>
        <w:t>Διεθνής</w:t>
      </w:r>
      <w:r w:rsidRPr="00422380">
        <w:rPr>
          <w:sz w:val="20"/>
          <w:szCs w:val="20"/>
          <w:lang w:val="el-GR"/>
        </w:rPr>
        <w:t xml:space="preserve"> </w:t>
      </w:r>
      <w:r>
        <w:rPr>
          <w:sz w:val="20"/>
          <w:szCs w:val="20"/>
          <w:lang w:val="el-GR"/>
        </w:rPr>
        <w:t>Εταιρεία</w:t>
      </w:r>
      <w:r w:rsidRPr="00422380">
        <w:rPr>
          <w:sz w:val="20"/>
          <w:szCs w:val="20"/>
          <w:lang w:val="el-GR"/>
        </w:rPr>
        <w:t xml:space="preserve"> </w:t>
      </w:r>
      <w:r>
        <w:rPr>
          <w:sz w:val="20"/>
          <w:szCs w:val="20"/>
          <w:lang w:val="el-GR"/>
        </w:rPr>
        <w:t>Αξιολόγησης</w:t>
      </w:r>
    </w:p>
    <w:p w14:paraId="2CE5520B" w14:textId="77777777" w:rsidR="00171824" w:rsidRPr="00422380" w:rsidRDefault="006D258C">
      <w:pPr>
        <w:pStyle w:val="BodyText"/>
        <w:widowControl/>
        <w:kinsoku w:val="0"/>
        <w:overflowPunct w:val="0"/>
        <w:ind w:left="0"/>
        <w:rPr>
          <w:sz w:val="20"/>
          <w:szCs w:val="20"/>
          <w:lang w:val="el-GR"/>
        </w:rPr>
      </w:pPr>
      <w:r>
        <w:rPr>
          <w:sz w:val="20"/>
          <w:szCs w:val="20"/>
          <w:lang w:val="el-GR"/>
        </w:rPr>
        <w:t>Σπονδυλαρθρίτιδας</w:t>
      </w:r>
    </w:p>
    <w:p w14:paraId="74893394" w14:textId="77777777" w:rsidR="00171824" w:rsidRPr="00422380" w:rsidRDefault="006D258C">
      <w:pPr>
        <w:pStyle w:val="BodyText"/>
        <w:widowControl/>
        <w:kinsoku w:val="0"/>
        <w:overflowPunct w:val="0"/>
        <w:ind w:left="0" w:right="15"/>
        <w:rPr>
          <w:lang w:val="el-GR"/>
        </w:rPr>
      </w:pPr>
      <w:r w:rsidRPr="00422380">
        <w:rPr>
          <w:position w:val="10"/>
          <w:sz w:val="14"/>
          <w:szCs w:val="14"/>
        </w:rPr>
        <w:lastRenderedPageBreak/>
        <w:t>b</w:t>
      </w:r>
      <w:r w:rsidRPr="00422380">
        <w:rPr>
          <w:position w:val="10"/>
          <w:sz w:val="14"/>
          <w:szCs w:val="14"/>
          <w:lang w:val="el-GR"/>
        </w:rPr>
        <w:t xml:space="preserve"> </w:t>
      </w:r>
      <w:r w:rsidRPr="00422380">
        <w:t>Bath</w:t>
      </w:r>
      <w:r w:rsidRPr="00422380">
        <w:rPr>
          <w:lang w:val="el-GR"/>
        </w:rPr>
        <w:t xml:space="preserve"> </w:t>
      </w:r>
      <w:r w:rsidRPr="00422380">
        <w:t>Ankylosing</w:t>
      </w:r>
      <w:r w:rsidRPr="00422380">
        <w:rPr>
          <w:lang w:val="el-GR"/>
        </w:rPr>
        <w:t xml:space="preserve"> </w:t>
      </w:r>
      <w:r w:rsidRPr="00422380">
        <w:t>Spondylitis</w:t>
      </w:r>
      <w:r w:rsidRPr="00422380">
        <w:rPr>
          <w:lang w:val="el-GR"/>
        </w:rPr>
        <w:t xml:space="preserve"> </w:t>
      </w:r>
      <w:r w:rsidRPr="00422380">
        <w:t>Disease</w:t>
      </w:r>
      <w:r w:rsidRPr="00422380">
        <w:rPr>
          <w:lang w:val="el-GR"/>
        </w:rPr>
        <w:t xml:space="preserve"> </w:t>
      </w:r>
      <w:r w:rsidRPr="00422380">
        <w:t>Activity</w:t>
      </w:r>
      <w:r w:rsidRPr="00422380">
        <w:rPr>
          <w:lang w:val="el-GR"/>
        </w:rPr>
        <w:t xml:space="preserve"> </w:t>
      </w:r>
      <w:r w:rsidRPr="00422380">
        <w:t>Index</w:t>
      </w:r>
      <w:r w:rsidRPr="00422380">
        <w:rPr>
          <w:lang w:val="el-GR"/>
        </w:rPr>
        <w:t xml:space="preserve">/ </w:t>
      </w:r>
      <w:r w:rsidRPr="00422380">
        <w:t>BASDAI</w:t>
      </w:r>
      <w:r w:rsidRPr="00422380">
        <w:rPr>
          <w:lang w:val="el-GR"/>
        </w:rPr>
        <w:t xml:space="preserve"> = </w:t>
      </w:r>
      <w:r>
        <w:rPr>
          <w:lang w:val="el-GR"/>
        </w:rPr>
        <w:t>Δείκτης</w:t>
      </w:r>
      <w:r w:rsidRPr="00422380">
        <w:rPr>
          <w:lang w:val="el-GR"/>
        </w:rPr>
        <w:t xml:space="preserve"> </w:t>
      </w:r>
      <w:r>
        <w:rPr>
          <w:lang w:val="el-GR"/>
        </w:rPr>
        <w:t>Ενεργότητας</w:t>
      </w:r>
      <w:r w:rsidRPr="00422380">
        <w:rPr>
          <w:lang w:val="el-GR"/>
        </w:rPr>
        <w:t xml:space="preserve"> </w:t>
      </w:r>
      <w:r>
        <w:rPr>
          <w:lang w:val="el-GR"/>
        </w:rPr>
        <w:t>Αγκυλοποιητικής</w:t>
      </w:r>
      <w:r w:rsidRPr="00422380">
        <w:rPr>
          <w:lang w:val="el-GR"/>
        </w:rPr>
        <w:t xml:space="preserve"> </w:t>
      </w:r>
      <w:r>
        <w:rPr>
          <w:lang w:val="el-GR"/>
        </w:rPr>
        <w:t>Σπονδυλίτιδας</w:t>
      </w:r>
      <w:r w:rsidRPr="00422380">
        <w:rPr>
          <w:lang w:val="el-GR"/>
        </w:rPr>
        <w:t xml:space="preserve"> </w:t>
      </w:r>
      <w:r>
        <w:rPr>
          <w:lang w:val="el-GR"/>
        </w:rPr>
        <w:t>του</w:t>
      </w:r>
      <w:r w:rsidRPr="00422380">
        <w:rPr>
          <w:lang w:val="el-GR"/>
        </w:rPr>
        <w:t xml:space="preserve"> </w:t>
      </w:r>
      <w:r w:rsidRPr="00422380">
        <w:t>Bath</w:t>
      </w:r>
    </w:p>
    <w:p w14:paraId="4E8CAED3" w14:textId="77777777" w:rsidR="00171824" w:rsidRPr="00422380" w:rsidRDefault="00171824">
      <w:pPr>
        <w:widowControl/>
        <w:kinsoku w:val="0"/>
        <w:overflowPunct w:val="0"/>
        <w:rPr>
          <w:sz w:val="22"/>
          <w:szCs w:val="22"/>
          <w:lang w:val="el-GR"/>
        </w:rPr>
      </w:pPr>
    </w:p>
    <w:p w14:paraId="061BAA73" w14:textId="77777777" w:rsidR="00171824" w:rsidRDefault="006D258C">
      <w:pPr>
        <w:pStyle w:val="BodyText"/>
        <w:widowControl/>
        <w:kinsoku w:val="0"/>
        <w:overflowPunct w:val="0"/>
        <w:ind w:left="0"/>
        <w:rPr>
          <w:lang w:val="el-GR"/>
        </w:rPr>
      </w:pPr>
      <w:r>
        <w:rPr>
          <w:lang w:val="el-GR"/>
        </w:rPr>
        <w:t>Οι ασθενείς στους οποίους χορηγήθηκε adalimumab είχαν σημαντικά μεγαλύτερη βελτίωση στην εβδομάδα 12, η οποία διατηρήθηκε έως την εβδομάδα 24 και στο SF36 και στο Αnkylosing Spondylitis Quality of Life Questionnaire (ASQoL).</w:t>
      </w:r>
    </w:p>
    <w:p w14:paraId="6E66B06D" w14:textId="77777777" w:rsidR="00171824" w:rsidRDefault="00171824">
      <w:pPr>
        <w:widowControl/>
        <w:kinsoku w:val="0"/>
        <w:overflowPunct w:val="0"/>
        <w:rPr>
          <w:sz w:val="22"/>
          <w:szCs w:val="22"/>
          <w:lang w:val="el-GR"/>
        </w:rPr>
      </w:pPr>
    </w:p>
    <w:p w14:paraId="748B3DB4" w14:textId="77777777" w:rsidR="00171824" w:rsidRDefault="006D258C">
      <w:pPr>
        <w:pStyle w:val="BodyText"/>
        <w:widowControl/>
        <w:kinsoku w:val="0"/>
        <w:overflowPunct w:val="0"/>
        <w:ind w:left="0"/>
        <w:rPr>
          <w:lang w:val="el-GR"/>
        </w:rPr>
      </w:pPr>
      <w:r>
        <w:rPr>
          <w:lang w:val="el-GR"/>
        </w:rPr>
        <w:t>Παρόμοιες τάσεις (όχι όλες στατιστικά σημαντικές) εμφανίστηκαν στη μικρότερη τυχαιοποιημένη, διπλά-τυφλή, ελεγχόμενη με εικονικό φάρμακο μελέτη ΑΣ ΙΙ με 82 ενήλικες ασθενείς με ενεργό αγκυλοποιητική σπονδυλίτιδα.</w:t>
      </w:r>
    </w:p>
    <w:p w14:paraId="1CCB2930" w14:textId="77777777" w:rsidR="00171824" w:rsidRDefault="00171824">
      <w:pPr>
        <w:widowControl/>
        <w:kinsoku w:val="0"/>
        <w:overflowPunct w:val="0"/>
        <w:rPr>
          <w:sz w:val="22"/>
          <w:szCs w:val="22"/>
          <w:lang w:val="el-GR"/>
        </w:rPr>
      </w:pPr>
    </w:p>
    <w:p w14:paraId="38F7E796" w14:textId="77777777" w:rsidR="00171824" w:rsidRDefault="006D258C">
      <w:pPr>
        <w:widowControl/>
        <w:kinsoku w:val="0"/>
        <w:overflowPunct w:val="0"/>
        <w:rPr>
          <w:sz w:val="22"/>
          <w:szCs w:val="22"/>
          <w:lang w:val="el-GR"/>
        </w:rPr>
      </w:pPr>
      <w:r>
        <w:rPr>
          <w:i/>
          <w:iCs/>
          <w:sz w:val="22"/>
          <w:szCs w:val="22"/>
          <w:u w:val="single"/>
          <w:lang w:val="el-GR"/>
        </w:rPr>
        <w:t>Αξονική σπονδυλαρθρίτιδα χωρίς ακτινολογικά ευρήματα αγκυλοποιητικής σπονδυλίτιδας (ΑΣ)</w:t>
      </w:r>
    </w:p>
    <w:p w14:paraId="197C3478" w14:textId="77777777" w:rsidR="00171824" w:rsidRDefault="00171824">
      <w:pPr>
        <w:widowControl/>
        <w:kinsoku w:val="0"/>
        <w:overflowPunct w:val="0"/>
        <w:rPr>
          <w:sz w:val="22"/>
          <w:szCs w:val="22"/>
          <w:lang w:val="el-GR"/>
        </w:rPr>
      </w:pPr>
    </w:p>
    <w:p w14:paraId="4CF5A44D" w14:textId="77777777" w:rsidR="00171824" w:rsidRDefault="006D258C">
      <w:pPr>
        <w:widowControl/>
        <w:kinsoku w:val="0"/>
        <w:overflowPunct w:val="0"/>
        <w:rPr>
          <w:sz w:val="22"/>
          <w:szCs w:val="22"/>
          <w:lang w:val="el-GR"/>
        </w:rPr>
      </w:pPr>
      <w:r>
        <w:rPr>
          <w:sz w:val="22"/>
          <w:szCs w:val="22"/>
          <w:lang w:val="el-GR"/>
        </w:rPr>
        <w:t>Η ασφάλεια και η αποτελεσματικότητα του adalimumab αξιολογήθηκαν σε δύο τυχαιοποιημένες, διπλά τυφλές ελεγχόμενες με εικονικό φάρμακο μελέτες σε ασθενείς με μη ακτινογραφική αξονική σπονδυλοαρθρίτιδα (nr-axSpA). Η μελέτη nr-axSpA Ι αξιολόγησε ασθενείς με ενεργό nr-axSpA. Η μελέτη nr-axSpA II ήταν μια μελέτη απόσυρσης της θεραπείας σε ενεργούς ασθενείς με nr-axSpA που πέτυχαν ύφεση κατά την ανοιχτή θεραπεία με adalimumab.</w:t>
      </w:r>
    </w:p>
    <w:p w14:paraId="06AD0D78" w14:textId="77777777" w:rsidR="00171824" w:rsidRDefault="00171824">
      <w:pPr>
        <w:pStyle w:val="BodyText"/>
        <w:widowControl/>
        <w:kinsoku w:val="0"/>
        <w:overflowPunct w:val="0"/>
        <w:ind w:left="0"/>
        <w:rPr>
          <w:lang w:val="el-GR"/>
        </w:rPr>
      </w:pPr>
    </w:p>
    <w:p w14:paraId="37EA72DC" w14:textId="77777777" w:rsidR="00171824" w:rsidRDefault="006D258C">
      <w:pPr>
        <w:widowControl/>
        <w:kinsoku w:val="0"/>
        <w:overflowPunct w:val="0"/>
        <w:rPr>
          <w:sz w:val="22"/>
          <w:szCs w:val="22"/>
          <w:lang w:val="el-GR"/>
        </w:rPr>
      </w:pPr>
      <w:r>
        <w:rPr>
          <w:sz w:val="22"/>
          <w:szCs w:val="22"/>
          <w:lang w:val="el-GR"/>
        </w:rPr>
        <w:t>Μελέτη nr-axSpA I</w:t>
      </w:r>
    </w:p>
    <w:p w14:paraId="38453997" w14:textId="77777777" w:rsidR="00171824" w:rsidRDefault="00171824">
      <w:pPr>
        <w:widowControl/>
        <w:kinsoku w:val="0"/>
        <w:overflowPunct w:val="0"/>
        <w:rPr>
          <w:sz w:val="22"/>
          <w:lang w:val="el-GR"/>
        </w:rPr>
      </w:pPr>
    </w:p>
    <w:p w14:paraId="52BF1D43" w14:textId="77777777" w:rsidR="00171824" w:rsidRDefault="006D258C">
      <w:pPr>
        <w:widowControl/>
        <w:kinsoku w:val="0"/>
        <w:overflowPunct w:val="0"/>
        <w:rPr>
          <w:sz w:val="22"/>
          <w:szCs w:val="22"/>
          <w:lang w:val="el-GR"/>
        </w:rPr>
      </w:pPr>
      <w:r>
        <w:rPr>
          <w:sz w:val="22"/>
          <w:szCs w:val="22"/>
          <w:lang w:val="el-GR"/>
        </w:rPr>
        <w:t>Στην Μελέτη nr-axSpA I το adalimumab 40 mg χορηγούμενο κάθε δεύτερη εβδομάδα μελετήθηκε σε 185 ασθενείς σε μία τυχαιοποιημένη, διπλά τυφλή μελέτη 12 εβδομάδων, ελεγχόμενη με εικονικό φάρμακο σε ασθενείς με ενεργό nr-axSpA (η μέση αρχική βαθμολογία ενεργότητας της νόσου [Βath Ankylosing Spondylitis Disease Activity Index (BASDAI)] ήταν 6,4 στην ομάδα ασθενών που έλαβαν adalimumab και 6,5 στην ομάδα ασθενών που έλαβαν εικονικό φάρμακο) που είχαν μη ικανοποιητική ανταπόκριση ή δυσανεξία σε ≥ 1 NSAIDs, ή αντένδειξη σε NSAIDs.</w:t>
      </w:r>
    </w:p>
    <w:p w14:paraId="08D27127" w14:textId="77777777" w:rsidR="00171824" w:rsidRDefault="00171824">
      <w:pPr>
        <w:widowControl/>
        <w:kinsoku w:val="0"/>
        <w:overflowPunct w:val="0"/>
        <w:rPr>
          <w:sz w:val="22"/>
          <w:szCs w:val="22"/>
          <w:lang w:val="el-GR"/>
        </w:rPr>
      </w:pPr>
    </w:p>
    <w:p w14:paraId="0C4BA888" w14:textId="77777777" w:rsidR="00171824" w:rsidRDefault="006D258C">
      <w:pPr>
        <w:pStyle w:val="BodyText"/>
        <w:widowControl/>
        <w:kinsoku w:val="0"/>
        <w:overflowPunct w:val="0"/>
        <w:ind w:left="0"/>
        <w:rPr>
          <w:lang w:val="el-GR"/>
        </w:rPr>
      </w:pPr>
      <w:r>
        <w:rPr>
          <w:lang w:val="el-GR"/>
        </w:rPr>
        <w:t>Σε 33 (18%) ασθενείς χορηγούνταν ταυτόχρονα τροποποιητικά της νόσου αντιρευματικά φάρμακα και σε 146 (79%) ασθενείς μη στεροειδή αντιφλεγμονώδη (NSAIDs) κατά την έναρξη της μελέτης. Η διπλά τυφλή περίοδος ακολουθήθηκε από μία περίοδο ανοιχτής χορήγησης κατά τη διάρκεια της οποίας ασθενείς έλαβαν adalimumab 40 mg κάθε δεύτερη εβδομάδα υποδορίως για επιπλέον 144 εβδομάδες. Τα αποτελέσματα της εβδομάδας 12 έδειξαν στατιστικά σημαντική βελτίωση των σημείων και συμπτωμάτων της ενεργού nr-axSpA στους ασθενείς που έλαβαν adalimumab συγκριτικά με το εικονικό φάρμακο (πίνακας 13).</w:t>
      </w:r>
    </w:p>
    <w:p w14:paraId="4D8D2832" w14:textId="77777777" w:rsidR="00171824" w:rsidRDefault="00171824">
      <w:pPr>
        <w:widowControl/>
        <w:kinsoku w:val="0"/>
        <w:overflowPunct w:val="0"/>
        <w:rPr>
          <w:sz w:val="22"/>
          <w:szCs w:val="22"/>
          <w:lang w:val="el-GR"/>
        </w:rPr>
      </w:pPr>
    </w:p>
    <w:p w14:paraId="3B4BE83F" w14:textId="77777777" w:rsidR="00171824" w:rsidRDefault="006D258C">
      <w:pPr>
        <w:keepNext/>
        <w:widowControl/>
        <w:kinsoku w:val="0"/>
        <w:overflowPunct w:val="0"/>
        <w:rPr>
          <w:sz w:val="22"/>
          <w:szCs w:val="22"/>
          <w:lang w:val="el-GR"/>
        </w:rPr>
      </w:pPr>
      <w:r>
        <w:rPr>
          <w:b/>
          <w:bCs/>
          <w:sz w:val="22"/>
          <w:szCs w:val="22"/>
          <w:lang w:val="el-GR"/>
        </w:rPr>
        <w:t>Πίνακας 13. Απόκριση αποτελεσματικότητας σε ελεγχόμενη με εικονικό φάρμακο μελέτη nr-axSpA I</w:t>
      </w:r>
    </w:p>
    <w:p w14:paraId="6A1989CF" w14:textId="77777777" w:rsidR="00171824" w:rsidRDefault="00171824">
      <w:pPr>
        <w:keepNext/>
        <w:widowControl/>
        <w:kinsoku w:val="0"/>
        <w:overflowPunct w:val="0"/>
        <w:rPr>
          <w:sz w:val="22"/>
          <w:szCs w:val="22"/>
          <w:lang w:val="el-GR"/>
        </w:rPr>
      </w:pPr>
    </w:p>
    <w:tbl>
      <w:tblPr>
        <w:tblW w:w="5000" w:type="pct"/>
        <w:tblCellMar>
          <w:left w:w="0" w:type="dxa"/>
          <w:right w:w="0" w:type="dxa"/>
        </w:tblCellMar>
        <w:tblLook w:val="04A0" w:firstRow="1" w:lastRow="0" w:firstColumn="1" w:lastColumn="0" w:noHBand="0" w:noVBand="1"/>
      </w:tblPr>
      <w:tblGrid>
        <w:gridCol w:w="3860"/>
        <w:gridCol w:w="2381"/>
        <w:gridCol w:w="2820"/>
      </w:tblGrid>
      <w:tr w:rsidR="00171824" w14:paraId="45BB61D9" w14:textId="77777777">
        <w:trPr>
          <w:trHeight w:val="20"/>
          <w:tblHeader/>
        </w:trPr>
        <w:tc>
          <w:tcPr>
            <w:tcW w:w="2130" w:type="pct"/>
            <w:tcBorders>
              <w:top w:val="single" w:sz="4" w:space="0" w:color="000000"/>
              <w:left w:val="single" w:sz="4" w:space="0" w:color="000000"/>
              <w:bottom w:val="single" w:sz="4" w:space="0" w:color="000000"/>
              <w:right w:val="single" w:sz="4" w:space="0" w:color="000000"/>
            </w:tcBorders>
          </w:tcPr>
          <w:p w14:paraId="70C8AAA1" w14:textId="77777777" w:rsidR="00171824" w:rsidRDefault="006D258C">
            <w:pPr>
              <w:pStyle w:val="TableParagraph"/>
              <w:widowControl/>
              <w:kinsoku w:val="0"/>
              <w:overflowPunct w:val="0"/>
              <w:ind w:left="63"/>
              <w:rPr>
                <w:rFonts w:eastAsia="MS Mincho"/>
                <w:sz w:val="22"/>
                <w:szCs w:val="22"/>
                <w:lang w:val="el-GR"/>
              </w:rPr>
            </w:pPr>
            <w:r>
              <w:rPr>
                <w:rFonts w:eastAsia="MS Mincho"/>
                <w:b/>
                <w:bCs/>
                <w:sz w:val="22"/>
                <w:szCs w:val="22"/>
                <w:lang w:val="el-GR"/>
              </w:rPr>
              <w:t>Διπλά-τυφλή</w:t>
            </w:r>
          </w:p>
          <w:p w14:paraId="5D46D9EC" w14:textId="77777777" w:rsidR="00171824" w:rsidRDefault="006D258C">
            <w:pPr>
              <w:pStyle w:val="TableParagraph"/>
              <w:widowControl/>
              <w:kinsoku w:val="0"/>
              <w:overflowPunct w:val="0"/>
              <w:ind w:left="63"/>
              <w:rPr>
                <w:rFonts w:eastAsia="MS Mincho"/>
                <w:sz w:val="22"/>
                <w:lang w:val="el-GR"/>
              </w:rPr>
            </w:pPr>
            <w:r>
              <w:rPr>
                <w:rFonts w:eastAsia="MS Mincho"/>
                <w:b/>
                <w:bCs/>
                <w:sz w:val="22"/>
                <w:szCs w:val="22"/>
                <w:lang w:val="el-GR"/>
              </w:rPr>
              <w:t>ανταπόκριση στην εβδομάδα 12</w:t>
            </w:r>
          </w:p>
        </w:tc>
        <w:tc>
          <w:tcPr>
            <w:tcW w:w="1314" w:type="pct"/>
            <w:tcBorders>
              <w:top w:val="single" w:sz="4" w:space="0" w:color="000000"/>
              <w:left w:val="single" w:sz="4" w:space="0" w:color="000000"/>
              <w:bottom w:val="single" w:sz="4" w:space="0" w:color="000000"/>
              <w:right w:val="single" w:sz="4" w:space="0" w:color="000000"/>
            </w:tcBorders>
          </w:tcPr>
          <w:p w14:paraId="02232142" w14:textId="77777777" w:rsidR="00171824" w:rsidRDefault="006D258C">
            <w:pPr>
              <w:pStyle w:val="TableParagraph"/>
              <w:widowControl/>
              <w:kinsoku w:val="0"/>
              <w:overflowPunct w:val="0"/>
              <w:jc w:val="center"/>
              <w:rPr>
                <w:rFonts w:eastAsia="MS Mincho"/>
                <w:b/>
                <w:bCs/>
                <w:sz w:val="22"/>
                <w:szCs w:val="22"/>
                <w:lang w:val="el-GR"/>
              </w:rPr>
            </w:pPr>
            <w:r>
              <w:rPr>
                <w:rFonts w:eastAsia="MS Mincho"/>
                <w:b/>
                <w:bCs/>
                <w:sz w:val="22"/>
                <w:szCs w:val="22"/>
                <w:lang w:val="el-GR"/>
              </w:rPr>
              <w:t>Εικονικό φάρμακο</w:t>
            </w:r>
          </w:p>
          <w:p w14:paraId="18BF9162" w14:textId="77777777" w:rsidR="00171824" w:rsidRDefault="006D258C">
            <w:pPr>
              <w:pStyle w:val="TableParagraph"/>
              <w:widowControl/>
              <w:kinsoku w:val="0"/>
              <w:overflowPunct w:val="0"/>
              <w:jc w:val="center"/>
              <w:rPr>
                <w:rFonts w:eastAsia="MS Mincho"/>
                <w:sz w:val="22"/>
                <w:lang w:val="el-GR"/>
              </w:rPr>
            </w:pPr>
            <w:r>
              <w:rPr>
                <w:rFonts w:eastAsia="MS Mincho"/>
                <w:b/>
                <w:bCs/>
                <w:sz w:val="22"/>
                <w:szCs w:val="22"/>
                <w:lang w:val="el-GR"/>
              </w:rPr>
              <w:t>N=94</w:t>
            </w:r>
          </w:p>
        </w:tc>
        <w:tc>
          <w:tcPr>
            <w:tcW w:w="1556" w:type="pct"/>
            <w:tcBorders>
              <w:top w:val="single" w:sz="4" w:space="0" w:color="000000"/>
              <w:left w:val="single" w:sz="4" w:space="0" w:color="000000"/>
              <w:bottom w:val="single" w:sz="4" w:space="0" w:color="000000"/>
              <w:right w:val="single" w:sz="4" w:space="0" w:color="000000"/>
            </w:tcBorders>
          </w:tcPr>
          <w:p w14:paraId="08391D1F" w14:textId="77777777" w:rsidR="00171824" w:rsidRDefault="006D258C">
            <w:pPr>
              <w:pStyle w:val="TableParagraph"/>
              <w:widowControl/>
              <w:kinsoku w:val="0"/>
              <w:overflowPunct w:val="0"/>
              <w:jc w:val="center"/>
              <w:rPr>
                <w:rFonts w:eastAsia="MS Mincho"/>
                <w:b/>
                <w:bCs/>
                <w:sz w:val="22"/>
                <w:szCs w:val="22"/>
                <w:lang w:val="el-GR"/>
              </w:rPr>
            </w:pPr>
            <w:r>
              <w:rPr>
                <w:rFonts w:eastAsia="MS Mincho"/>
                <w:b/>
                <w:bCs/>
                <w:sz w:val="22"/>
                <w:szCs w:val="22"/>
                <w:lang w:val="el-GR"/>
              </w:rPr>
              <w:t>Adalimumab</w:t>
            </w:r>
          </w:p>
          <w:p w14:paraId="121EE171" w14:textId="77777777" w:rsidR="00171824" w:rsidRDefault="006D258C">
            <w:pPr>
              <w:pStyle w:val="TableParagraph"/>
              <w:widowControl/>
              <w:kinsoku w:val="0"/>
              <w:overflowPunct w:val="0"/>
              <w:jc w:val="center"/>
              <w:rPr>
                <w:rFonts w:eastAsia="MS Mincho"/>
                <w:sz w:val="22"/>
                <w:lang w:val="el-GR"/>
              </w:rPr>
            </w:pPr>
            <w:r>
              <w:rPr>
                <w:rFonts w:eastAsia="MS Mincho"/>
                <w:b/>
                <w:bCs/>
                <w:sz w:val="22"/>
                <w:szCs w:val="22"/>
                <w:lang w:val="el-GR"/>
              </w:rPr>
              <w:t>N=91</w:t>
            </w:r>
          </w:p>
        </w:tc>
      </w:tr>
      <w:tr w:rsidR="00171824" w14:paraId="1B96B15B"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40A5ABB5" w14:textId="77777777" w:rsidR="00171824" w:rsidRDefault="006D258C">
            <w:pPr>
              <w:pStyle w:val="TableParagraph"/>
              <w:widowControl/>
              <w:kinsoku w:val="0"/>
              <w:overflowPunct w:val="0"/>
              <w:ind w:left="63"/>
              <w:rPr>
                <w:rFonts w:eastAsia="MS Mincho"/>
                <w:sz w:val="22"/>
                <w:lang w:val="el-GR"/>
              </w:rPr>
            </w:pPr>
            <w:r>
              <w:rPr>
                <w:rFonts w:eastAsia="MS Mincho"/>
                <w:sz w:val="22"/>
                <w:szCs w:val="22"/>
                <w:lang w:val="el-GR"/>
              </w:rPr>
              <w:t>ASAS</w:t>
            </w:r>
            <w:r>
              <w:rPr>
                <w:rFonts w:eastAsia="MS Mincho"/>
                <w:sz w:val="22"/>
                <w:szCs w:val="22"/>
                <w:vertAlign w:val="superscript"/>
                <w:lang w:val="el-GR"/>
              </w:rPr>
              <w:t>a</w:t>
            </w:r>
            <w:r>
              <w:rPr>
                <w:rFonts w:eastAsia="MS Mincho"/>
                <w:position w:val="10"/>
                <w:sz w:val="14"/>
                <w:szCs w:val="14"/>
                <w:lang w:val="el-GR"/>
              </w:rPr>
              <w:t xml:space="preserve"> </w:t>
            </w:r>
            <w:r>
              <w:rPr>
                <w:rFonts w:eastAsia="MS Mincho"/>
                <w:sz w:val="22"/>
                <w:szCs w:val="22"/>
                <w:lang w:val="el-GR"/>
              </w:rPr>
              <w:t>40</w:t>
            </w:r>
          </w:p>
        </w:tc>
        <w:tc>
          <w:tcPr>
            <w:tcW w:w="1314" w:type="pct"/>
            <w:tcBorders>
              <w:top w:val="single" w:sz="4" w:space="0" w:color="000000"/>
              <w:left w:val="single" w:sz="4" w:space="0" w:color="000000"/>
              <w:bottom w:val="single" w:sz="4" w:space="0" w:color="000000"/>
              <w:right w:val="single" w:sz="4" w:space="0" w:color="000000"/>
            </w:tcBorders>
          </w:tcPr>
          <w:p w14:paraId="2EB90B7B"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15%</w:t>
            </w:r>
          </w:p>
        </w:tc>
        <w:tc>
          <w:tcPr>
            <w:tcW w:w="1556" w:type="pct"/>
            <w:tcBorders>
              <w:top w:val="single" w:sz="4" w:space="0" w:color="000000"/>
              <w:left w:val="single" w:sz="4" w:space="0" w:color="000000"/>
              <w:bottom w:val="single" w:sz="4" w:space="0" w:color="000000"/>
              <w:right w:val="single" w:sz="4" w:space="0" w:color="000000"/>
            </w:tcBorders>
          </w:tcPr>
          <w:p w14:paraId="0BFA4787"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36%***</w:t>
            </w:r>
          </w:p>
        </w:tc>
      </w:tr>
      <w:tr w:rsidR="00171824" w14:paraId="63AA940F"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7F1EA315" w14:textId="77777777" w:rsidR="00171824" w:rsidRDefault="006D258C">
            <w:pPr>
              <w:pStyle w:val="TableParagraph"/>
              <w:widowControl/>
              <w:kinsoku w:val="0"/>
              <w:overflowPunct w:val="0"/>
              <w:ind w:left="63"/>
              <w:rPr>
                <w:rFonts w:eastAsia="MS Mincho"/>
                <w:sz w:val="22"/>
                <w:lang w:val="el-GR"/>
              </w:rPr>
            </w:pPr>
            <w:r>
              <w:rPr>
                <w:rFonts w:eastAsia="MS Mincho"/>
                <w:sz w:val="22"/>
                <w:szCs w:val="22"/>
                <w:lang w:val="el-GR"/>
              </w:rPr>
              <w:t>ASAS 20</w:t>
            </w:r>
          </w:p>
        </w:tc>
        <w:tc>
          <w:tcPr>
            <w:tcW w:w="1314" w:type="pct"/>
            <w:tcBorders>
              <w:top w:val="single" w:sz="4" w:space="0" w:color="000000"/>
              <w:left w:val="single" w:sz="4" w:space="0" w:color="000000"/>
              <w:bottom w:val="single" w:sz="4" w:space="0" w:color="000000"/>
              <w:right w:val="single" w:sz="4" w:space="0" w:color="000000"/>
            </w:tcBorders>
          </w:tcPr>
          <w:p w14:paraId="55635137"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31%</w:t>
            </w:r>
          </w:p>
        </w:tc>
        <w:tc>
          <w:tcPr>
            <w:tcW w:w="1556" w:type="pct"/>
            <w:tcBorders>
              <w:top w:val="single" w:sz="4" w:space="0" w:color="000000"/>
              <w:left w:val="single" w:sz="4" w:space="0" w:color="000000"/>
              <w:bottom w:val="single" w:sz="4" w:space="0" w:color="000000"/>
              <w:right w:val="single" w:sz="4" w:space="0" w:color="000000"/>
            </w:tcBorders>
          </w:tcPr>
          <w:p w14:paraId="5E2F9D1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52%**</w:t>
            </w:r>
          </w:p>
        </w:tc>
      </w:tr>
      <w:tr w:rsidR="00171824" w14:paraId="2F0CD11B"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21FEE455" w14:textId="77777777" w:rsidR="00171824" w:rsidRDefault="006D258C">
            <w:pPr>
              <w:pStyle w:val="TableParagraph"/>
              <w:widowControl/>
              <w:kinsoku w:val="0"/>
              <w:overflowPunct w:val="0"/>
              <w:ind w:left="63"/>
              <w:rPr>
                <w:rFonts w:eastAsia="MS Mincho"/>
                <w:sz w:val="22"/>
                <w:lang w:val="el-GR"/>
              </w:rPr>
            </w:pPr>
            <w:r>
              <w:rPr>
                <w:rFonts w:eastAsia="MS Mincho"/>
                <w:sz w:val="22"/>
                <w:szCs w:val="22"/>
                <w:lang w:val="el-GR"/>
              </w:rPr>
              <w:t>ASAS 5/6</w:t>
            </w:r>
          </w:p>
        </w:tc>
        <w:tc>
          <w:tcPr>
            <w:tcW w:w="1314" w:type="pct"/>
            <w:tcBorders>
              <w:top w:val="single" w:sz="4" w:space="0" w:color="000000"/>
              <w:left w:val="single" w:sz="4" w:space="0" w:color="000000"/>
              <w:bottom w:val="single" w:sz="4" w:space="0" w:color="000000"/>
              <w:right w:val="single" w:sz="4" w:space="0" w:color="000000"/>
            </w:tcBorders>
          </w:tcPr>
          <w:p w14:paraId="4A8A6566"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6%</w:t>
            </w:r>
          </w:p>
        </w:tc>
        <w:tc>
          <w:tcPr>
            <w:tcW w:w="1556" w:type="pct"/>
            <w:tcBorders>
              <w:top w:val="single" w:sz="4" w:space="0" w:color="000000"/>
              <w:left w:val="single" w:sz="4" w:space="0" w:color="000000"/>
              <w:bottom w:val="single" w:sz="4" w:space="0" w:color="000000"/>
              <w:right w:val="single" w:sz="4" w:space="0" w:color="000000"/>
            </w:tcBorders>
          </w:tcPr>
          <w:p w14:paraId="3A60CFB3"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31%***</w:t>
            </w:r>
          </w:p>
        </w:tc>
      </w:tr>
      <w:tr w:rsidR="00171824" w14:paraId="58E3A93F"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19BED2CD" w14:textId="77777777" w:rsidR="00171824" w:rsidRDefault="006D258C">
            <w:pPr>
              <w:pStyle w:val="TableParagraph"/>
              <w:widowControl/>
              <w:kinsoku w:val="0"/>
              <w:overflowPunct w:val="0"/>
              <w:ind w:left="63"/>
              <w:rPr>
                <w:rFonts w:eastAsia="MS Mincho"/>
                <w:sz w:val="22"/>
                <w:lang w:val="el-GR"/>
              </w:rPr>
            </w:pPr>
            <w:r>
              <w:rPr>
                <w:rFonts w:eastAsia="MS Mincho"/>
                <w:sz w:val="22"/>
                <w:szCs w:val="22"/>
                <w:lang w:val="el-GR"/>
              </w:rPr>
              <w:t>ASAS Μερική Ύφεση</w:t>
            </w:r>
          </w:p>
        </w:tc>
        <w:tc>
          <w:tcPr>
            <w:tcW w:w="1314" w:type="pct"/>
            <w:tcBorders>
              <w:top w:val="single" w:sz="4" w:space="0" w:color="000000"/>
              <w:left w:val="single" w:sz="4" w:space="0" w:color="000000"/>
              <w:bottom w:val="single" w:sz="4" w:space="0" w:color="000000"/>
              <w:right w:val="single" w:sz="4" w:space="0" w:color="000000"/>
            </w:tcBorders>
          </w:tcPr>
          <w:p w14:paraId="48A9BBB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5%</w:t>
            </w:r>
          </w:p>
        </w:tc>
        <w:tc>
          <w:tcPr>
            <w:tcW w:w="1556" w:type="pct"/>
            <w:tcBorders>
              <w:top w:val="single" w:sz="4" w:space="0" w:color="000000"/>
              <w:left w:val="single" w:sz="4" w:space="0" w:color="000000"/>
              <w:bottom w:val="single" w:sz="4" w:space="0" w:color="000000"/>
              <w:right w:val="single" w:sz="4" w:space="0" w:color="000000"/>
            </w:tcBorders>
          </w:tcPr>
          <w:p w14:paraId="329352FE"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16%*</w:t>
            </w:r>
          </w:p>
        </w:tc>
      </w:tr>
      <w:tr w:rsidR="00171824" w14:paraId="58B808DE"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30E0C0F6" w14:textId="77777777" w:rsidR="00171824" w:rsidRDefault="006D258C">
            <w:pPr>
              <w:pStyle w:val="TableParagraph"/>
              <w:widowControl/>
              <w:kinsoku w:val="0"/>
              <w:overflowPunct w:val="0"/>
              <w:ind w:left="63"/>
              <w:rPr>
                <w:rFonts w:eastAsia="MS Mincho"/>
                <w:sz w:val="22"/>
                <w:lang w:val="el-GR"/>
              </w:rPr>
            </w:pPr>
            <w:r>
              <w:rPr>
                <w:rFonts w:eastAsia="MS Mincho"/>
                <w:sz w:val="22"/>
                <w:szCs w:val="22"/>
                <w:lang w:val="el-GR"/>
              </w:rPr>
              <w:t>BASDAI</w:t>
            </w:r>
            <w:r>
              <w:rPr>
                <w:rFonts w:eastAsia="MS Mincho"/>
                <w:sz w:val="22"/>
                <w:szCs w:val="22"/>
                <w:vertAlign w:val="superscript"/>
                <w:lang w:val="el-GR"/>
              </w:rPr>
              <w:t>b</w:t>
            </w:r>
            <w:r>
              <w:rPr>
                <w:rFonts w:eastAsia="MS Mincho"/>
                <w:sz w:val="22"/>
                <w:szCs w:val="22"/>
                <w:lang w:val="el-GR"/>
              </w:rPr>
              <w:t xml:space="preserve"> 50</w:t>
            </w:r>
          </w:p>
        </w:tc>
        <w:tc>
          <w:tcPr>
            <w:tcW w:w="1314" w:type="pct"/>
            <w:tcBorders>
              <w:top w:val="single" w:sz="4" w:space="0" w:color="000000"/>
              <w:left w:val="single" w:sz="4" w:space="0" w:color="000000"/>
              <w:bottom w:val="single" w:sz="4" w:space="0" w:color="000000"/>
              <w:right w:val="single" w:sz="4" w:space="0" w:color="000000"/>
            </w:tcBorders>
          </w:tcPr>
          <w:p w14:paraId="3957667F"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15%</w:t>
            </w:r>
          </w:p>
        </w:tc>
        <w:tc>
          <w:tcPr>
            <w:tcW w:w="1556" w:type="pct"/>
            <w:tcBorders>
              <w:top w:val="single" w:sz="4" w:space="0" w:color="000000"/>
              <w:left w:val="single" w:sz="4" w:space="0" w:color="000000"/>
              <w:bottom w:val="single" w:sz="4" w:space="0" w:color="000000"/>
              <w:right w:val="single" w:sz="4" w:space="0" w:color="000000"/>
            </w:tcBorders>
          </w:tcPr>
          <w:p w14:paraId="6903FAC3"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35%**</w:t>
            </w:r>
          </w:p>
        </w:tc>
      </w:tr>
      <w:tr w:rsidR="00171824" w14:paraId="49AE59FA"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27391A6C" w14:textId="77777777" w:rsidR="00171824" w:rsidRDefault="006D258C">
            <w:pPr>
              <w:pStyle w:val="TableParagraph"/>
              <w:widowControl/>
              <w:kinsoku w:val="0"/>
              <w:overflowPunct w:val="0"/>
              <w:ind w:left="63"/>
              <w:rPr>
                <w:rFonts w:eastAsia="MS Mincho"/>
                <w:sz w:val="22"/>
                <w:lang w:val="el-GR"/>
              </w:rPr>
            </w:pPr>
            <w:r>
              <w:rPr>
                <w:rFonts w:eastAsia="MS Mincho"/>
                <w:sz w:val="22"/>
                <w:szCs w:val="22"/>
                <w:lang w:val="el-GR"/>
              </w:rPr>
              <w:t xml:space="preserve">ASDAS </w:t>
            </w:r>
            <w:r>
              <w:rPr>
                <w:rFonts w:eastAsia="MS Mincho"/>
                <w:sz w:val="22"/>
                <w:szCs w:val="22"/>
                <w:vertAlign w:val="superscript"/>
                <w:lang w:val="el-GR"/>
              </w:rPr>
              <w:t>c,d,e</w:t>
            </w:r>
          </w:p>
        </w:tc>
        <w:tc>
          <w:tcPr>
            <w:tcW w:w="1314" w:type="pct"/>
            <w:tcBorders>
              <w:top w:val="single" w:sz="4" w:space="0" w:color="000000"/>
              <w:left w:val="single" w:sz="4" w:space="0" w:color="000000"/>
              <w:bottom w:val="single" w:sz="4" w:space="0" w:color="000000"/>
              <w:right w:val="single" w:sz="4" w:space="0" w:color="000000"/>
            </w:tcBorders>
          </w:tcPr>
          <w:p w14:paraId="54B758AE"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-0,3</w:t>
            </w:r>
          </w:p>
        </w:tc>
        <w:tc>
          <w:tcPr>
            <w:tcW w:w="1556" w:type="pct"/>
            <w:tcBorders>
              <w:top w:val="single" w:sz="4" w:space="0" w:color="000000"/>
              <w:left w:val="single" w:sz="4" w:space="0" w:color="000000"/>
              <w:bottom w:val="single" w:sz="4" w:space="0" w:color="000000"/>
              <w:right w:val="single" w:sz="4" w:space="0" w:color="000000"/>
            </w:tcBorders>
          </w:tcPr>
          <w:p w14:paraId="18D1F4F0"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-1,0***</w:t>
            </w:r>
          </w:p>
        </w:tc>
      </w:tr>
      <w:tr w:rsidR="00171824" w14:paraId="6C67F647"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40BEADE7" w14:textId="77777777" w:rsidR="00171824" w:rsidRDefault="006D258C">
            <w:pPr>
              <w:pStyle w:val="TableParagraph"/>
              <w:widowControl/>
              <w:kinsoku w:val="0"/>
              <w:overflowPunct w:val="0"/>
              <w:ind w:left="63"/>
              <w:rPr>
                <w:rFonts w:eastAsia="MS Mincho"/>
                <w:sz w:val="22"/>
                <w:lang w:val="el-GR"/>
              </w:rPr>
            </w:pPr>
            <w:r>
              <w:rPr>
                <w:rFonts w:eastAsia="MS Mincho"/>
                <w:sz w:val="22"/>
                <w:szCs w:val="22"/>
                <w:lang w:val="el-GR"/>
              </w:rPr>
              <w:t>ASDAS Ανενεργή Νόσος</w:t>
            </w:r>
          </w:p>
        </w:tc>
        <w:tc>
          <w:tcPr>
            <w:tcW w:w="1314" w:type="pct"/>
            <w:tcBorders>
              <w:top w:val="single" w:sz="4" w:space="0" w:color="000000"/>
              <w:left w:val="single" w:sz="4" w:space="0" w:color="000000"/>
              <w:bottom w:val="single" w:sz="4" w:space="0" w:color="000000"/>
              <w:right w:val="single" w:sz="4" w:space="0" w:color="000000"/>
            </w:tcBorders>
          </w:tcPr>
          <w:p w14:paraId="6E2247D7"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4%</w:t>
            </w:r>
          </w:p>
        </w:tc>
        <w:tc>
          <w:tcPr>
            <w:tcW w:w="1556" w:type="pct"/>
            <w:tcBorders>
              <w:top w:val="single" w:sz="4" w:space="0" w:color="000000"/>
              <w:left w:val="single" w:sz="4" w:space="0" w:color="000000"/>
              <w:bottom w:val="single" w:sz="4" w:space="0" w:color="000000"/>
              <w:right w:val="single" w:sz="4" w:space="0" w:color="000000"/>
            </w:tcBorders>
          </w:tcPr>
          <w:p w14:paraId="342AE38A"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24%***</w:t>
            </w:r>
          </w:p>
        </w:tc>
      </w:tr>
      <w:tr w:rsidR="00171824" w14:paraId="081FC3D6"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6B5FF721" w14:textId="77777777" w:rsidR="00171824" w:rsidRDefault="006D258C">
            <w:pPr>
              <w:pStyle w:val="TableParagraph"/>
              <w:widowControl/>
              <w:kinsoku w:val="0"/>
              <w:overflowPunct w:val="0"/>
              <w:ind w:left="63"/>
              <w:rPr>
                <w:rFonts w:eastAsia="MS Mincho"/>
                <w:sz w:val="22"/>
                <w:lang w:val="el-GR"/>
              </w:rPr>
            </w:pPr>
            <w:r>
              <w:rPr>
                <w:rFonts w:eastAsia="MS Mincho"/>
                <w:sz w:val="22"/>
                <w:szCs w:val="22"/>
                <w:lang w:val="el-GR"/>
              </w:rPr>
              <w:t xml:space="preserve">hs-CRP </w:t>
            </w:r>
            <w:r>
              <w:rPr>
                <w:rFonts w:eastAsia="MS Mincho"/>
                <w:sz w:val="22"/>
                <w:szCs w:val="22"/>
                <w:vertAlign w:val="superscript"/>
                <w:lang w:val="el-GR"/>
              </w:rPr>
              <w:t>d,f,g</w:t>
            </w:r>
          </w:p>
        </w:tc>
        <w:tc>
          <w:tcPr>
            <w:tcW w:w="1314" w:type="pct"/>
            <w:tcBorders>
              <w:top w:val="single" w:sz="4" w:space="0" w:color="000000"/>
              <w:left w:val="single" w:sz="4" w:space="0" w:color="000000"/>
              <w:bottom w:val="single" w:sz="4" w:space="0" w:color="000000"/>
              <w:right w:val="single" w:sz="4" w:space="0" w:color="000000"/>
            </w:tcBorders>
          </w:tcPr>
          <w:p w14:paraId="5B989836"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-0,3</w:t>
            </w:r>
          </w:p>
        </w:tc>
        <w:tc>
          <w:tcPr>
            <w:tcW w:w="1556" w:type="pct"/>
            <w:tcBorders>
              <w:top w:val="single" w:sz="4" w:space="0" w:color="000000"/>
              <w:left w:val="single" w:sz="4" w:space="0" w:color="000000"/>
              <w:bottom w:val="single" w:sz="4" w:space="0" w:color="000000"/>
              <w:right w:val="single" w:sz="4" w:space="0" w:color="000000"/>
            </w:tcBorders>
          </w:tcPr>
          <w:p w14:paraId="081426C3"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-4,7***</w:t>
            </w:r>
          </w:p>
        </w:tc>
      </w:tr>
      <w:tr w:rsidR="00171824" w14:paraId="5A9CD9C3"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45A896AC" w14:textId="77777777" w:rsidR="00171824" w:rsidRPr="00E10827" w:rsidRDefault="006D258C">
            <w:pPr>
              <w:pStyle w:val="TableParagraph"/>
              <w:widowControl/>
              <w:kinsoku w:val="0"/>
              <w:overflowPunct w:val="0"/>
              <w:ind w:left="63" w:right="614"/>
              <w:rPr>
                <w:rFonts w:eastAsia="MS Mincho"/>
                <w:sz w:val="22"/>
                <w:lang w:val="el-GR"/>
              </w:rPr>
            </w:pPr>
            <w:r>
              <w:rPr>
                <w:rFonts w:eastAsia="MS Mincho"/>
                <w:sz w:val="22"/>
                <w:szCs w:val="22"/>
              </w:rPr>
              <w:t>SPARCC</w:t>
            </w:r>
            <w:r>
              <w:rPr>
                <w:rFonts w:eastAsia="MS Mincho"/>
                <w:sz w:val="22"/>
                <w:szCs w:val="22"/>
                <w:vertAlign w:val="superscript"/>
              </w:rPr>
              <w:t>h</w:t>
            </w:r>
            <w:r w:rsidRPr="00E10827">
              <w:rPr>
                <w:rFonts w:eastAsia="MS Mincho"/>
                <w:sz w:val="22"/>
                <w:szCs w:val="22"/>
                <w:lang w:val="el-GR"/>
              </w:rPr>
              <w:t xml:space="preserve"> </w:t>
            </w:r>
            <w:r>
              <w:rPr>
                <w:rFonts w:eastAsia="MS Mincho"/>
                <w:sz w:val="22"/>
                <w:szCs w:val="22"/>
              </w:rPr>
              <w:t>MRI</w:t>
            </w:r>
            <w:r w:rsidRPr="00E10827">
              <w:rPr>
                <w:rFonts w:eastAsia="MS Mincho"/>
                <w:sz w:val="22"/>
                <w:szCs w:val="22"/>
                <w:lang w:val="el-GR"/>
              </w:rPr>
              <w:t xml:space="preserve"> </w:t>
            </w:r>
            <w:r>
              <w:rPr>
                <w:rFonts w:eastAsia="MS Mincho"/>
                <w:sz w:val="22"/>
                <w:szCs w:val="22"/>
                <w:lang w:val="el-GR"/>
              </w:rPr>
              <w:t>Ιερολαγόνιων</w:t>
            </w:r>
            <w:r w:rsidRPr="00E10827">
              <w:rPr>
                <w:rFonts w:eastAsia="MS Mincho"/>
                <w:sz w:val="22"/>
                <w:szCs w:val="22"/>
                <w:lang w:val="el-GR"/>
              </w:rPr>
              <w:t xml:space="preserve"> </w:t>
            </w:r>
            <w:r>
              <w:rPr>
                <w:rFonts w:eastAsia="MS Mincho"/>
                <w:sz w:val="22"/>
                <w:szCs w:val="22"/>
                <w:lang w:val="el-GR"/>
              </w:rPr>
              <w:t>αρθρώσεων</w:t>
            </w:r>
            <w:r w:rsidRPr="00E10827">
              <w:rPr>
                <w:rFonts w:eastAsia="MS Mincho"/>
                <w:sz w:val="22"/>
                <w:szCs w:val="22"/>
                <w:lang w:val="el-GR"/>
              </w:rPr>
              <w:t xml:space="preserve"> </w:t>
            </w:r>
            <w:r>
              <w:rPr>
                <w:rFonts w:eastAsia="MS Mincho"/>
                <w:sz w:val="22"/>
                <w:szCs w:val="22"/>
                <w:vertAlign w:val="superscript"/>
              </w:rPr>
              <w:t>d</w:t>
            </w:r>
            <w:r w:rsidRPr="00E10827">
              <w:rPr>
                <w:rFonts w:eastAsia="MS Mincho"/>
                <w:sz w:val="22"/>
                <w:szCs w:val="22"/>
                <w:vertAlign w:val="superscript"/>
                <w:lang w:val="el-GR"/>
              </w:rPr>
              <w:t>,</w:t>
            </w:r>
            <w:r>
              <w:rPr>
                <w:rFonts w:eastAsia="MS Mincho"/>
                <w:sz w:val="22"/>
                <w:szCs w:val="22"/>
                <w:vertAlign w:val="superscript"/>
              </w:rPr>
              <w:t>i</w:t>
            </w:r>
          </w:p>
        </w:tc>
        <w:tc>
          <w:tcPr>
            <w:tcW w:w="1314" w:type="pct"/>
            <w:tcBorders>
              <w:top w:val="single" w:sz="4" w:space="0" w:color="000000"/>
              <w:left w:val="single" w:sz="4" w:space="0" w:color="000000"/>
              <w:bottom w:val="single" w:sz="4" w:space="0" w:color="000000"/>
              <w:right w:val="single" w:sz="4" w:space="0" w:color="000000"/>
            </w:tcBorders>
          </w:tcPr>
          <w:p w14:paraId="6FA92B95"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-0,6</w:t>
            </w:r>
          </w:p>
        </w:tc>
        <w:tc>
          <w:tcPr>
            <w:tcW w:w="1556" w:type="pct"/>
            <w:tcBorders>
              <w:top w:val="single" w:sz="4" w:space="0" w:color="000000"/>
              <w:left w:val="single" w:sz="4" w:space="0" w:color="000000"/>
              <w:bottom w:val="single" w:sz="4" w:space="0" w:color="000000"/>
              <w:right w:val="single" w:sz="4" w:space="0" w:color="000000"/>
            </w:tcBorders>
          </w:tcPr>
          <w:p w14:paraId="47F9F0EF"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-3,2**</w:t>
            </w:r>
          </w:p>
        </w:tc>
      </w:tr>
      <w:tr w:rsidR="00171824" w14:paraId="01132110"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4E5AFEFB" w14:textId="77777777" w:rsidR="00171824" w:rsidRPr="00E10827" w:rsidRDefault="006D258C">
            <w:pPr>
              <w:pStyle w:val="TableParagraph"/>
              <w:widowControl/>
              <w:kinsoku w:val="0"/>
              <w:overflowPunct w:val="0"/>
              <w:ind w:left="63"/>
              <w:rPr>
                <w:rFonts w:eastAsia="MS Mincho"/>
                <w:sz w:val="22"/>
                <w:lang w:val="el-GR"/>
              </w:rPr>
            </w:pPr>
            <w:r>
              <w:rPr>
                <w:rFonts w:eastAsia="MS Mincho"/>
                <w:sz w:val="22"/>
                <w:szCs w:val="22"/>
              </w:rPr>
              <w:t>SPARCC</w:t>
            </w:r>
            <w:r w:rsidRPr="00E10827">
              <w:rPr>
                <w:rFonts w:eastAsia="MS Mincho"/>
                <w:sz w:val="22"/>
                <w:szCs w:val="22"/>
                <w:lang w:val="el-GR"/>
              </w:rPr>
              <w:t xml:space="preserve"> </w:t>
            </w:r>
            <w:r>
              <w:rPr>
                <w:rFonts w:eastAsia="MS Mincho"/>
                <w:sz w:val="22"/>
                <w:szCs w:val="22"/>
              </w:rPr>
              <w:t>MRI</w:t>
            </w:r>
            <w:r w:rsidRPr="00E10827">
              <w:rPr>
                <w:rFonts w:eastAsia="MS Mincho"/>
                <w:sz w:val="22"/>
                <w:szCs w:val="22"/>
                <w:lang w:val="el-GR"/>
              </w:rPr>
              <w:t xml:space="preserve"> </w:t>
            </w:r>
            <w:r>
              <w:rPr>
                <w:rFonts w:eastAsia="MS Mincho"/>
                <w:sz w:val="22"/>
                <w:szCs w:val="22"/>
                <w:lang w:val="el-GR"/>
              </w:rPr>
              <w:t>Σπονδυλικής</w:t>
            </w:r>
            <w:r w:rsidRPr="00E10827">
              <w:rPr>
                <w:rFonts w:eastAsia="MS Mincho"/>
                <w:sz w:val="22"/>
                <w:szCs w:val="22"/>
                <w:lang w:val="el-GR"/>
              </w:rPr>
              <w:t xml:space="preserve"> </w:t>
            </w:r>
            <w:r>
              <w:rPr>
                <w:rFonts w:eastAsia="MS Mincho"/>
                <w:sz w:val="22"/>
                <w:szCs w:val="22"/>
                <w:lang w:val="el-GR"/>
              </w:rPr>
              <w:t>στήλης</w:t>
            </w:r>
            <w:r w:rsidRPr="00E10827">
              <w:rPr>
                <w:rFonts w:eastAsia="MS Mincho"/>
                <w:sz w:val="22"/>
                <w:szCs w:val="22"/>
                <w:lang w:val="el-GR"/>
              </w:rPr>
              <w:t xml:space="preserve"> </w:t>
            </w:r>
            <w:r>
              <w:rPr>
                <w:rFonts w:eastAsia="MS Mincho"/>
                <w:sz w:val="22"/>
                <w:szCs w:val="22"/>
                <w:vertAlign w:val="superscript"/>
              </w:rPr>
              <w:t>d</w:t>
            </w:r>
            <w:r w:rsidRPr="00E10827">
              <w:rPr>
                <w:rFonts w:eastAsia="MS Mincho"/>
                <w:sz w:val="22"/>
                <w:szCs w:val="22"/>
                <w:vertAlign w:val="superscript"/>
                <w:lang w:val="el-GR"/>
              </w:rPr>
              <w:t>,</w:t>
            </w:r>
            <w:r>
              <w:rPr>
                <w:rFonts w:eastAsia="MS Mincho"/>
                <w:sz w:val="22"/>
                <w:szCs w:val="22"/>
                <w:vertAlign w:val="superscript"/>
              </w:rPr>
              <w:t>j</w:t>
            </w:r>
          </w:p>
        </w:tc>
        <w:tc>
          <w:tcPr>
            <w:tcW w:w="1314" w:type="pct"/>
            <w:tcBorders>
              <w:top w:val="single" w:sz="4" w:space="0" w:color="000000"/>
              <w:left w:val="single" w:sz="4" w:space="0" w:color="000000"/>
              <w:bottom w:val="single" w:sz="4" w:space="0" w:color="000000"/>
              <w:right w:val="single" w:sz="4" w:space="0" w:color="000000"/>
            </w:tcBorders>
          </w:tcPr>
          <w:p w14:paraId="13F4C7AA"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-0,2</w:t>
            </w:r>
          </w:p>
        </w:tc>
        <w:tc>
          <w:tcPr>
            <w:tcW w:w="1556" w:type="pct"/>
            <w:tcBorders>
              <w:top w:val="single" w:sz="4" w:space="0" w:color="000000"/>
              <w:left w:val="single" w:sz="4" w:space="0" w:color="000000"/>
              <w:bottom w:val="single" w:sz="4" w:space="0" w:color="000000"/>
              <w:right w:val="single" w:sz="4" w:space="0" w:color="000000"/>
            </w:tcBorders>
          </w:tcPr>
          <w:p w14:paraId="309C8E7D"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-1,8**</w:t>
            </w:r>
          </w:p>
        </w:tc>
      </w:tr>
    </w:tbl>
    <w:p w14:paraId="55E81982"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ASAS = Διεθνής Εταιρεία Αξιολόγησης Σπονδυλαρθρίτιδας</w:t>
      </w:r>
    </w:p>
    <w:p w14:paraId="442780FF"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BASDAI = Δείκτης Ενεργότητας Αγκυλοποιητικής Σπονδυλίτιδας του Bath</w:t>
      </w:r>
    </w:p>
    <w:p w14:paraId="3A8C83BD"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ASDAS = Kλίμακα ενεργότητας της νόσου της Αγκυλοποιητικής Σπονδυλίτιδας</w:t>
      </w:r>
    </w:p>
    <w:p w14:paraId="3BA6BFFA"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μέση μεταβολή από την αρχική τιμή</w:t>
      </w:r>
    </w:p>
    <w:p w14:paraId="071FBD41"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lastRenderedPageBreak/>
        <w:t xml:space="preserve">n=91 εικονικό φάρμακο και n=87 adalimumab </w:t>
      </w:r>
    </w:p>
    <w:p w14:paraId="67AC1B83"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Υψηλής Ευαισθησίας C-αντιδρώσα πρωτεΐνη (mg/l)</w:t>
      </w:r>
    </w:p>
    <w:p w14:paraId="50A85392"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 xml:space="preserve">n=73 εικονικό φάρμακο και n=70 adalimumab </w:t>
      </w:r>
    </w:p>
    <w:p w14:paraId="649ADFDA"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Καναδική Κοινοπραξία Έρευνας της Σπονδυλαρθρίτιδας</w:t>
      </w:r>
    </w:p>
    <w:p w14:paraId="248AA9E7"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 xml:space="preserve">n=84 εικονικό φάρμακο και adalimumab </w:t>
      </w:r>
    </w:p>
    <w:p w14:paraId="76A4D87C" w14:textId="77777777" w:rsidR="00171824" w:rsidRDefault="006D258C">
      <w:pPr>
        <w:pStyle w:val="BodyText"/>
        <w:widowControl/>
        <w:numPr>
          <w:ilvl w:val="0"/>
          <w:numId w:val="13"/>
        </w:numPr>
        <w:kinsoku w:val="0"/>
        <w:overflowPunct w:val="0"/>
        <w:ind w:left="284"/>
        <w:rPr>
          <w:sz w:val="20"/>
          <w:szCs w:val="20"/>
          <w:lang w:val="el-GR"/>
        </w:rPr>
      </w:pPr>
      <w:r>
        <w:rPr>
          <w:sz w:val="20"/>
          <w:szCs w:val="20"/>
          <w:lang w:val="el-GR"/>
        </w:rPr>
        <w:t xml:space="preserve">n=82 εικονικό φάρμακο και n=85 adalimumab </w:t>
      </w:r>
    </w:p>
    <w:p w14:paraId="2D11F785" w14:textId="77777777" w:rsidR="00171824" w:rsidRDefault="006D258C">
      <w:pPr>
        <w:pStyle w:val="BodyText"/>
        <w:widowControl/>
        <w:kinsoku w:val="0"/>
        <w:overflowPunct w:val="0"/>
        <w:ind w:left="284" w:right="205" w:hanging="284"/>
        <w:rPr>
          <w:sz w:val="20"/>
          <w:szCs w:val="20"/>
          <w:lang w:val="el-GR"/>
        </w:rPr>
      </w:pPr>
      <w:r>
        <w:rPr>
          <w:sz w:val="20"/>
          <w:szCs w:val="20"/>
          <w:lang w:val="el-GR"/>
        </w:rPr>
        <w:t>***, **, * Στατιστικά σημαντικό με p &lt; 0,001, &lt; 0,01, και &lt; 0,05, αντίστοιχα, για όλες τις συγκρίσεις μεταξύ adalimumab και εικονικού φαρμάκου.</w:t>
      </w:r>
    </w:p>
    <w:p w14:paraId="25518781" w14:textId="77777777" w:rsidR="00171824" w:rsidRDefault="00171824">
      <w:pPr>
        <w:widowControl/>
        <w:kinsoku w:val="0"/>
        <w:overflowPunct w:val="0"/>
        <w:rPr>
          <w:sz w:val="22"/>
          <w:szCs w:val="22"/>
          <w:lang w:val="el-GR"/>
        </w:rPr>
      </w:pPr>
    </w:p>
    <w:p w14:paraId="43C81FB4" w14:textId="77777777" w:rsidR="00171824" w:rsidRDefault="006D258C">
      <w:pPr>
        <w:pStyle w:val="BodyText"/>
        <w:widowControl/>
        <w:kinsoku w:val="0"/>
        <w:overflowPunct w:val="0"/>
        <w:ind w:left="0"/>
        <w:rPr>
          <w:lang w:val="el-GR"/>
        </w:rPr>
      </w:pPr>
      <w:r>
        <w:rPr>
          <w:lang w:val="el-GR"/>
        </w:rPr>
        <w:t>Στην ανοιχτή μελέτη επέκτασης, με τη θεραπεία με το adalimumab η βελτίωση των σημείων και συμπτωμάτων διατηρήθηκε έως την εβδομάδα 156.</w:t>
      </w:r>
    </w:p>
    <w:p w14:paraId="6F750CF0" w14:textId="77777777" w:rsidR="00171824" w:rsidRDefault="00171824">
      <w:pPr>
        <w:widowControl/>
        <w:kinsoku w:val="0"/>
        <w:overflowPunct w:val="0"/>
        <w:rPr>
          <w:sz w:val="22"/>
          <w:szCs w:val="22"/>
          <w:lang w:val="el-GR"/>
        </w:rPr>
      </w:pPr>
    </w:p>
    <w:p w14:paraId="787E3724" w14:textId="77777777" w:rsidR="00171824" w:rsidRDefault="006D258C">
      <w:pPr>
        <w:pStyle w:val="BodyText"/>
        <w:widowControl/>
        <w:kinsoku w:val="0"/>
        <w:overflowPunct w:val="0"/>
        <w:ind w:left="0"/>
        <w:rPr>
          <w:u w:val="single"/>
          <w:lang w:val="el-GR"/>
        </w:rPr>
      </w:pPr>
      <w:r>
        <w:rPr>
          <w:u w:val="single"/>
          <w:lang w:val="el-GR"/>
        </w:rPr>
        <w:t>Αναστολή της φλεγμονής</w:t>
      </w:r>
    </w:p>
    <w:p w14:paraId="1D1645E8" w14:textId="77777777" w:rsidR="00171824" w:rsidRDefault="00171824">
      <w:pPr>
        <w:widowControl/>
        <w:kinsoku w:val="0"/>
        <w:overflowPunct w:val="0"/>
        <w:rPr>
          <w:sz w:val="22"/>
          <w:szCs w:val="22"/>
          <w:lang w:val="el-GR"/>
        </w:rPr>
      </w:pPr>
    </w:p>
    <w:p w14:paraId="7A84A96C" w14:textId="77777777" w:rsidR="00171824" w:rsidRDefault="006D258C">
      <w:pPr>
        <w:pStyle w:val="BodyText"/>
        <w:widowControl/>
        <w:kinsoku w:val="0"/>
        <w:overflowPunct w:val="0"/>
        <w:ind w:left="0"/>
        <w:rPr>
          <w:lang w:val="el-GR"/>
        </w:rPr>
      </w:pPr>
      <w:r>
        <w:rPr>
          <w:lang w:val="el-GR"/>
        </w:rPr>
        <w:t>Σημαντική βελτίωση των σημείων της φλεγμονής, όπως μετράται με την hs-CRP και τη μαγνητική τομογραφία των Ιερολαγόνιων αρθρώσεων και της Σπονδυλικής στήλης, διατηρήθηκε στους ασθενείς που έλαβαν adalimumab έως την εβδομάδα 156 και την εβδομάδα 104, αντίστοιχα.</w:t>
      </w:r>
    </w:p>
    <w:p w14:paraId="4E6493C3" w14:textId="77777777" w:rsidR="00171824" w:rsidRDefault="00171824">
      <w:pPr>
        <w:widowControl/>
        <w:kinsoku w:val="0"/>
        <w:overflowPunct w:val="0"/>
        <w:rPr>
          <w:sz w:val="22"/>
          <w:szCs w:val="22"/>
          <w:lang w:val="el-GR"/>
        </w:rPr>
      </w:pPr>
    </w:p>
    <w:p w14:paraId="03857FAD" w14:textId="77777777" w:rsidR="00171824" w:rsidRDefault="006D258C">
      <w:pPr>
        <w:pStyle w:val="BodyText"/>
        <w:widowControl/>
        <w:kinsoku w:val="0"/>
        <w:overflowPunct w:val="0"/>
        <w:ind w:left="0"/>
        <w:rPr>
          <w:u w:val="single"/>
          <w:lang w:val="el-GR"/>
        </w:rPr>
      </w:pPr>
      <w:r>
        <w:rPr>
          <w:u w:val="single"/>
          <w:lang w:val="el-GR"/>
        </w:rPr>
        <w:t>Ποιότητα ζωής και λειτουργικότητα</w:t>
      </w:r>
    </w:p>
    <w:p w14:paraId="337FCF8A" w14:textId="77777777" w:rsidR="00171824" w:rsidRDefault="00171824">
      <w:pPr>
        <w:widowControl/>
        <w:kinsoku w:val="0"/>
        <w:overflowPunct w:val="0"/>
        <w:rPr>
          <w:sz w:val="22"/>
          <w:szCs w:val="22"/>
          <w:lang w:val="el-GR"/>
        </w:rPr>
      </w:pPr>
    </w:p>
    <w:p w14:paraId="4949A3BE" w14:textId="77777777" w:rsidR="00171824" w:rsidRDefault="006D258C">
      <w:pPr>
        <w:pStyle w:val="BodyText"/>
        <w:widowControl/>
        <w:kinsoku w:val="0"/>
        <w:overflowPunct w:val="0"/>
        <w:ind w:left="0"/>
        <w:rPr>
          <w:lang w:val="el-GR"/>
        </w:rPr>
      </w:pPr>
      <w:r>
        <w:rPr>
          <w:lang w:val="el-GR"/>
        </w:rPr>
        <w:t>Η ποιότητα ζωής σχετιζόμενη με την υγεία και τη λειτουργικότητα αξιολογήθηκαν χρησιμοποιώντας τα ερωτηματολόγια HAQ-S και SF-36. Το adalimumab παρουσίασε στατιστικά σημαντικά μεγαλύτερη βελτίωση στο συνολικό αποτέλεσμα του HAQ-S και στο αποτέλεσμα σωματικής παραμέτρου του SF</w:t>
      </w:r>
      <w:r>
        <w:rPr>
          <w:lang w:val="el-GR"/>
        </w:rPr>
        <w:noBreakHyphen/>
        <w:t>36 (PCS) από την έναρξη έως την εβδομάδα 12 συγκριτικά με το εικονικό φάρμακο. Η βελτίωση της σχετιζόμενης με την υγεία ποιότητας ζωής και λειτουργικότητας διατηρήθηκε κατά τη διάρκεια της ανοιχτής επέκτασης έως την εβδομάδα 156.</w:t>
      </w:r>
    </w:p>
    <w:p w14:paraId="291B9C39" w14:textId="77777777" w:rsidR="00171824" w:rsidRDefault="00171824">
      <w:pPr>
        <w:widowControl/>
        <w:kinsoku w:val="0"/>
        <w:overflowPunct w:val="0"/>
        <w:rPr>
          <w:sz w:val="22"/>
          <w:szCs w:val="22"/>
          <w:lang w:val="el-GR"/>
        </w:rPr>
      </w:pPr>
    </w:p>
    <w:p w14:paraId="2344F546" w14:textId="77777777" w:rsidR="00171824" w:rsidRDefault="006D258C">
      <w:pPr>
        <w:keepNext/>
        <w:suppressAutoHyphens/>
        <w:rPr>
          <w:sz w:val="22"/>
          <w:szCs w:val="22"/>
          <w:lang w:val="el-GR"/>
        </w:rPr>
      </w:pPr>
      <w:r>
        <w:rPr>
          <w:sz w:val="22"/>
          <w:szCs w:val="22"/>
          <w:lang w:val="el-GR"/>
        </w:rPr>
        <w:t>Μελέτη nr-axSpA II</w:t>
      </w:r>
    </w:p>
    <w:p w14:paraId="27824B9C" w14:textId="77777777" w:rsidR="00171824" w:rsidRDefault="00171824">
      <w:pPr>
        <w:keepNext/>
        <w:widowControl/>
        <w:kinsoku w:val="0"/>
        <w:overflowPunct w:val="0"/>
        <w:rPr>
          <w:sz w:val="22"/>
          <w:szCs w:val="22"/>
          <w:lang w:val="el-GR"/>
        </w:rPr>
      </w:pPr>
    </w:p>
    <w:p w14:paraId="4C9B5698" w14:textId="77777777" w:rsidR="00171824" w:rsidRDefault="006D258C">
      <w:pPr>
        <w:widowControl/>
        <w:kinsoku w:val="0"/>
        <w:overflowPunct w:val="0"/>
        <w:rPr>
          <w:sz w:val="22"/>
          <w:szCs w:val="22"/>
          <w:lang w:val="el-GR"/>
        </w:rPr>
      </w:pPr>
      <w:r>
        <w:rPr>
          <w:sz w:val="22"/>
          <w:szCs w:val="22"/>
          <w:lang w:val="el-GR"/>
        </w:rPr>
        <w:t>673 ασθενείς με ενεργή nr-axSpA (μέση βασική δραστηριότητα της νόσου [BASDAI] ήταν 7,0) οι οποίοι είχαν ανεπαρκή απόκριση σε ≥ 2 NSAIDs ή δυσανεξία ή αντένδειξη για τα ΜΣΑΦ που εγγράφηκαν στην ανοιχτή περίοδο της μελέτης nr-axSpA II κατά τη διάρκεια της οποίας έλαβαν adalimumab 40 mg κάθε δεύτερη εβδομάδα για 28 εβδομάδες. Οι ασθενείς αυτοί είχαν επίσης αντικειμενικές ενδείξεις φλεγμονής στις ιερολαγόνιες αρθρώσεις ή στη σπονδυλική στήλη σε MRI ή αυξημένη hs-CRP. Οι ασθενείς που επέτυχαν διαρκή ύφεση για τουλάχιστον 12 εβδομάδες (N = 305) (ASDAS &lt;1,3 στις εβδομάδες 16, 20, 24 και 28) κατά τη διάρκεια της ανοιχτής περιόδου, τυχαιοποιήθηκαν για να λάβουν είτε συνεχιζόμενη θεραπεία με adalimumab 40 mg κάθε δεύτερη εβδομάδα Ν = 152) ή εικονικό φάρμακο (Ν = 153) για επιπλέον 40 εβδομάδες σε μια διπλά τυφλή, ελεγχόμενη με εικονικό φάρμακο περίοδο (συνολική διάρκεια μελέτης 68 εβδομάδες). Στα άτομα που εμφάνισαν φλεγμονή κατά τη διάρκεια της διπλά τυφλής περιόδου χορηγήθηκε αγωγή διάσωσης με adalimumab 40 mg κάθε δεύτερη εβδομάδα για τουλάχιστον 12 εβδομάδες.</w:t>
      </w:r>
    </w:p>
    <w:p w14:paraId="7E55E486" w14:textId="77777777" w:rsidR="00171824" w:rsidRDefault="00171824">
      <w:pPr>
        <w:widowControl/>
        <w:kinsoku w:val="0"/>
        <w:overflowPunct w:val="0"/>
        <w:rPr>
          <w:sz w:val="22"/>
          <w:szCs w:val="22"/>
          <w:lang w:val="el-GR"/>
        </w:rPr>
      </w:pPr>
    </w:p>
    <w:p w14:paraId="402CEAAE" w14:textId="77777777" w:rsidR="00171824" w:rsidRDefault="006D258C">
      <w:pPr>
        <w:widowControl/>
        <w:kinsoku w:val="0"/>
        <w:overflowPunct w:val="0"/>
        <w:rPr>
          <w:sz w:val="22"/>
          <w:szCs w:val="22"/>
          <w:lang w:val="el-GR"/>
        </w:rPr>
      </w:pPr>
      <w:r>
        <w:rPr>
          <w:sz w:val="22"/>
          <w:szCs w:val="22"/>
          <w:lang w:val="el-GR"/>
        </w:rPr>
        <w:t>Το κύριο τελικό σημείο αποτελεσματικότητας ήταν το ποσοστό των ασθενών που δεν εμφάνιζαν φλεγμονή έως την εβδομάδα 68 της μελέτης. Η φλεγμονή ορίζεται ως ASDAS ≥ 2,1 σε δύο διαδοχικές επισκέψεις σε διάστημα τεσσάρων εβδομάδων. Μεγαλύτερη αναλογία ασθενών που έλαβαν adalimumab δεν εμφάνισαν έξαρσηκατά τη διάρκεια της διπλά τυφλής περιόδου, σε σύγκριση με εκείνη του εικονικού φαρμάκου (70,4% έναντι 47,1%, p &lt; 0,001) (εικόνα 1).</w:t>
      </w:r>
    </w:p>
    <w:p w14:paraId="1633F4BF" w14:textId="77777777" w:rsidR="00171824" w:rsidRDefault="00171824">
      <w:pPr>
        <w:widowControl/>
        <w:kinsoku w:val="0"/>
        <w:overflowPunct w:val="0"/>
        <w:rPr>
          <w:sz w:val="22"/>
          <w:szCs w:val="22"/>
          <w:lang w:val="el-GR"/>
        </w:rPr>
      </w:pPr>
    </w:p>
    <w:p w14:paraId="62410D90" w14:textId="77777777" w:rsidR="00171824" w:rsidRDefault="006D258C">
      <w:pPr>
        <w:keepNext/>
        <w:widowControl/>
        <w:suppressAutoHyphens/>
        <w:rPr>
          <w:b/>
          <w:sz w:val="22"/>
          <w:szCs w:val="22"/>
          <w:lang w:val="el-GR"/>
        </w:rPr>
      </w:pPr>
      <w:r>
        <w:rPr>
          <w:b/>
          <w:sz w:val="22"/>
          <w:szCs w:val="22"/>
          <w:lang w:val="el-GR"/>
        </w:rPr>
        <w:lastRenderedPageBreak/>
        <w:t>Σχήμα 1. Καμπύλες Kaplan-Meier που συνοψίζουν το χρόνο έως την αποτυχία της θεραπείας στη μελέτη nr-axSpA II</w:t>
      </w:r>
    </w:p>
    <w:p w14:paraId="74B246C5" w14:textId="77777777" w:rsidR="00171824" w:rsidRDefault="00171824">
      <w:pPr>
        <w:keepNext/>
        <w:widowControl/>
        <w:kinsoku w:val="0"/>
        <w:overflowPunct w:val="0"/>
        <w:rPr>
          <w:i/>
          <w:iCs/>
          <w:sz w:val="22"/>
          <w:szCs w:val="22"/>
          <w:lang w:val="el-GR"/>
        </w:rPr>
      </w:pPr>
    </w:p>
    <w:tbl>
      <w:tblPr>
        <w:tblW w:w="9073" w:type="dxa"/>
        <w:tblLayout w:type="fixed"/>
        <w:tblLook w:val="04A0" w:firstRow="1" w:lastRow="0" w:firstColumn="1" w:lastColumn="0" w:noHBand="0" w:noVBand="1"/>
      </w:tblPr>
      <w:tblGrid>
        <w:gridCol w:w="894"/>
        <w:gridCol w:w="2509"/>
        <w:gridCol w:w="2171"/>
        <w:gridCol w:w="806"/>
        <w:gridCol w:w="1444"/>
        <w:gridCol w:w="1249"/>
      </w:tblGrid>
      <w:tr w:rsidR="00171824" w14:paraId="552FAD01" w14:textId="77777777">
        <w:trPr>
          <w:cantSplit/>
          <w:trHeight w:val="3806"/>
        </w:trPr>
        <w:tc>
          <w:tcPr>
            <w:tcW w:w="894" w:type="dxa"/>
            <w:textDirection w:val="btLr"/>
            <w:vAlign w:val="bottom"/>
          </w:tcPr>
          <w:p w14:paraId="7651DE43" w14:textId="77777777" w:rsidR="00171824" w:rsidRDefault="006D258C">
            <w:pPr>
              <w:keepNext/>
              <w:widowControl/>
              <w:tabs>
                <w:tab w:val="left" w:pos="562"/>
              </w:tabs>
              <w:suppressAutoHyphens/>
              <w:autoSpaceDE/>
              <w:autoSpaceDN/>
              <w:adjustRightInd/>
              <w:jc w:val="center"/>
              <w:rPr>
                <w:b/>
                <w:sz w:val="22"/>
                <w:szCs w:val="22"/>
                <w:lang w:val="el-GR"/>
              </w:rPr>
            </w:pPr>
            <w:bookmarkStart w:id="54" w:name="_Hlk519264251"/>
            <w:r>
              <w:rPr>
                <w:b/>
                <w:sz w:val="22"/>
                <w:szCs w:val="22"/>
                <w:lang w:val="el-GR"/>
              </w:rPr>
              <w:t>ΠΙΘΑΝΌΤΗΤΑ ΑΠΟΤΥΧΙΑΣ ΤΗΣ ΘΕΡΑΠΕΊΑΣ</w:t>
            </w:r>
          </w:p>
        </w:tc>
        <w:tc>
          <w:tcPr>
            <w:tcW w:w="8179" w:type="dxa"/>
            <w:gridSpan w:val="5"/>
            <w:vAlign w:val="bottom"/>
          </w:tcPr>
          <w:p w14:paraId="3DC8A35B" w14:textId="36F1A79E" w:rsidR="00171824" w:rsidRDefault="009039B7">
            <w:pPr>
              <w:keepNext/>
              <w:widowControl/>
              <w:tabs>
                <w:tab w:val="left" w:pos="562"/>
              </w:tabs>
              <w:suppressAutoHyphens/>
              <w:autoSpaceDE/>
              <w:autoSpaceDN/>
              <w:adjustRightInd/>
              <w:rPr>
                <w:sz w:val="22"/>
                <w:szCs w:val="22"/>
                <w:lang w:val="el-GR"/>
              </w:rPr>
            </w:pPr>
            <w:r>
              <w:rPr>
                <w:noProof/>
                <w:sz w:val="22"/>
                <w:lang w:val="el-GR" w:eastAsia="zh-CN"/>
              </w:rPr>
              <w:drawing>
                <wp:inline distT="0" distB="0" distL="0" distR="0" wp14:anchorId="69D83AFC" wp14:editId="3740405B">
                  <wp:extent cx="5120640" cy="2743200"/>
                  <wp:effectExtent l="0" t="0" r="0" b="0"/>
                  <wp:docPr id="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0640" cy="2743200"/>
                          </a:xfrm>
                          <a:prstGeom prst="rect">
                            <a:avLst/>
                          </a:prstGeom>
                          <a:noFill/>
                          <a:ln>
                            <a:noFill/>
                          </a:ln>
                        </pic:spPr>
                      </pic:pic>
                    </a:graphicData>
                  </a:graphic>
                </wp:inline>
              </w:drawing>
            </w:r>
          </w:p>
        </w:tc>
      </w:tr>
      <w:bookmarkEnd w:id="54"/>
      <w:tr w:rsidR="00171824" w14:paraId="23CC9C71" w14:textId="77777777">
        <w:tc>
          <w:tcPr>
            <w:tcW w:w="894" w:type="dxa"/>
          </w:tcPr>
          <w:p w14:paraId="210CDC20" w14:textId="77777777" w:rsidR="00171824" w:rsidRDefault="00171824">
            <w:pPr>
              <w:keepNext/>
              <w:widowControl/>
              <w:tabs>
                <w:tab w:val="left" w:pos="562"/>
              </w:tabs>
              <w:suppressAutoHyphens/>
              <w:autoSpaceDE/>
              <w:autoSpaceDN/>
              <w:adjustRightInd/>
              <w:rPr>
                <w:sz w:val="22"/>
                <w:szCs w:val="22"/>
                <w:lang w:val="el-GR"/>
              </w:rPr>
            </w:pPr>
          </w:p>
        </w:tc>
        <w:tc>
          <w:tcPr>
            <w:tcW w:w="8179" w:type="dxa"/>
            <w:gridSpan w:val="5"/>
          </w:tcPr>
          <w:p w14:paraId="05658C86" w14:textId="77777777" w:rsidR="00171824" w:rsidRDefault="006D258C">
            <w:pPr>
              <w:keepNext/>
              <w:widowControl/>
              <w:tabs>
                <w:tab w:val="left" w:pos="562"/>
              </w:tabs>
              <w:suppressAutoHyphens/>
              <w:autoSpaceDE/>
              <w:autoSpaceDN/>
              <w:adjustRightInd/>
              <w:jc w:val="center"/>
              <w:rPr>
                <w:b/>
                <w:sz w:val="22"/>
                <w:szCs w:val="22"/>
                <w:lang w:val="el-GR"/>
              </w:rPr>
            </w:pPr>
            <w:r>
              <w:rPr>
                <w:b/>
                <w:sz w:val="22"/>
                <w:szCs w:val="22"/>
                <w:lang w:val="el-GR"/>
              </w:rPr>
              <w:t>ΧΡΟΝΟΣ (ΕΒΔΟΜΑΔΕΣ)</w:t>
            </w:r>
          </w:p>
        </w:tc>
      </w:tr>
      <w:tr w:rsidR="00171824" w14:paraId="2B9B2175" w14:textId="77777777">
        <w:tc>
          <w:tcPr>
            <w:tcW w:w="894" w:type="dxa"/>
          </w:tcPr>
          <w:p w14:paraId="7B9A5185" w14:textId="77777777" w:rsidR="00171824" w:rsidRDefault="00171824">
            <w:pPr>
              <w:keepNext/>
              <w:widowControl/>
              <w:tabs>
                <w:tab w:val="left" w:pos="562"/>
              </w:tabs>
              <w:suppressAutoHyphens/>
              <w:autoSpaceDE/>
              <w:autoSpaceDN/>
              <w:adjustRightInd/>
              <w:rPr>
                <w:sz w:val="22"/>
                <w:szCs w:val="22"/>
                <w:lang w:val="el-GR"/>
              </w:rPr>
            </w:pPr>
          </w:p>
        </w:tc>
        <w:tc>
          <w:tcPr>
            <w:tcW w:w="2509" w:type="dxa"/>
          </w:tcPr>
          <w:p w14:paraId="6A365D8A" w14:textId="77777777" w:rsidR="00171824" w:rsidRDefault="00171824">
            <w:pPr>
              <w:keepNext/>
              <w:widowControl/>
              <w:tabs>
                <w:tab w:val="left" w:pos="562"/>
              </w:tabs>
              <w:suppressAutoHyphens/>
              <w:autoSpaceDE/>
              <w:autoSpaceDN/>
              <w:adjustRightInd/>
              <w:rPr>
                <w:sz w:val="22"/>
                <w:szCs w:val="22"/>
                <w:lang w:val="el-GR"/>
              </w:rPr>
            </w:pPr>
          </w:p>
          <w:p w14:paraId="42AF6BA5" w14:textId="39361B1D" w:rsidR="00171824" w:rsidRDefault="009039B7">
            <w:pPr>
              <w:keepNext/>
              <w:widowControl/>
              <w:tabs>
                <w:tab w:val="left" w:pos="562"/>
              </w:tabs>
              <w:suppressAutoHyphens/>
              <w:autoSpaceDE/>
              <w:autoSpaceDN/>
              <w:adjustRightInd/>
              <w:rPr>
                <w:sz w:val="22"/>
                <w:szCs w:val="22"/>
                <w:lang w:val="el-GR"/>
              </w:rPr>
            </w:pPr>
            <w:r>
              <w:rPr>
                <w:noProof/>
              </w:rPr>
              <w:drawing>
                <wp:anchor distT="0" distB="0" distL="114300" distR="114300" simplePos="0" relativeHeight="251671552" behindDoc="1" locked="0" layoutInCell="1" allowOverlap="1" wp14:anchorId="632F4FE6" wp14:editId="1506995C">
                  <wp:simplePos x="0" y="0"/>
                  <wp:positionH relativeFrom="column">
                    <wp:posOffset>924560</wp:posOffset>
                  </wp:positionH>
                  <wp:positionV relativeFrom="paragraph">
                    <wp:posOffset>41275</wp:posOffset>
                  </wp:positionV>
                  <wp:extent cx="457200" cy="123825"/>
                  <wp:effectExtent l="0" t="0" r="0" b="0"/>
                  <wp:wrapTight wrapText="bothSides">
                    <wp:wrapPolygon edited="0">
                      <wp:start x="0" y="0"/>
                      <wp:lineTo x="0" y="19938"/>
                      <wp:lineTo x="20700" y="19938"/>
                      <wp:lineTo x="20700" y="0"/>
                      <wp:lineTo x="0" y="0"/>
                    </wp:wrapPolygon>
                  </wp:wrapTight>
                  <wp:docPr id="515048007" name="Picture 4"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umira PED UV KM Curv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 cy="123825"/>
                          </a:xfrm>
                          <a:prstGeom prst="rect">
                            <a:avLst/>
                          </a:prstGeom>
                          <a:noFill/>
                        </pic:spPr>
                      </pic:pic>
                    </a:graphicData>
                  </a:graphic>
                  <wp14:sizeRelH relativeFrom="page">
                    <wp14:pctWidth>0</wp14:pctWidth>
                  </wp14:sizeRelH>
                  <wp14:sizeRelV relativeFrom="page">
                    <wp14:pctHeight>0</wp14:pctHeight>
                  </wp14:sizeRelV>
                </wp:anchor>
              </w:drawing>
            </w:r>
            <w:r w:rsidR="006D258C">
              <w:rPr>
                <w:sz w:val="22"/>
                <w:szCs w:val="22"/>
                <w:lang w:val="el-GR"/>
              </w:rPr>
              <w:t>Θεραπεία</w:t>
            </w:r>
          </w:p>
        </w:tc>
        <w:tc>
          <w:tcPr>
            <w:tcW w:w="2171" w:type="dxa"/>
            <w:vAlign w:val="center"/>
          </w:tcPr>
          <w:p w14:paraId="5EC18416" w14:textId="77777777" w:rsidR="00171824" w:rsidRDefault="006D258C">
            <w:pPr>
              <w:keepNext/>
              <w:widowControl/>
              <w:tabs>
                <w:tab w:val="left" w:pos="562"/>
              </w:tabs>
              <w:suppressAutoHyphens/>
              <w:autoSpaceDE/>
              <w:autoSpaceDN/>
              <w:adjustRightInd/>
              <w:rPr>
                <w:sz w:val="22"/>
                <w:szCs w:val="22"/>
                <w:lang w:val="el-GR"/>
              </w:rPr>
            </w:pPr>
            <w:r>
              <w:rPr>
                <w:sz w:val="22"/>
                <w:szCs w:val="22"/>
                <w:lang w:val="el-GR"/>
              </w:rPr>
              <w:t>Εικονικό φάρμακο</w:t>
            </w:r>
          </w:p>
        </w:tc>
        <w:tc>
          <w:tcPr>
            <w:tcW w:w="806" w:type="dxa"/>
          </w:tcPr>
          <w:p w14:paraId="40F53674" w14:textId="525370FF" w:rsidR="00171824" w:rsidRDefault="009039B7">
            <w:pPr>
              <w:keepNext/>
              <w:widowControl/>
              <w:tabs>
                <w:tab w:val="left" w:pos="562"/>
              </w:tabs>
              <w:suppressAutoHyphens/>
              <w:autoSpaceDE/>
              <w:autoSpaceDN/>
              <w:adjustRightInd/>
              <w:rPr>
                <w:sz w:val="22"/>
                <w:szCs w:val="22"/>
                <w:lang w:val="el-GR"/>
              </w:rPr>
            </w:pPr>
            <w:r>
              <w:rPr>
                <w:noProof/>
              </w:rPr>
              <w:drawing>
                <wp:anchor distT="0" distB="0" distL="114300" distR="114300" simplePos="0" relativeHeight="251672576" behindDoc="1" locked="0" layoutInCell="1" allowOverlap="1" wp14:anchorId="5F0677EB" wp14:editId="2D2DD50F">
                  <wp:simplePos x="0" y="0"/>
                  <wp:positionH relativeFrom="column">
                    <wp:posOffset>-68580</wp:posOffset>
                  </wp:positionH>
                  <wp:positionV relativeFrom="paragraph">
                    <wp:posOffset>231775</wp:posOffset>
                  </wp:positionV>
                  <wp:extent cx="457200" cy="85725"/>
                  <wp:effectExtent l="0" t="0" r="0" b="0"/>
                  <wp:wrapTight wrapText="bothSides">
                    <wp:wrapPolygon edited="0">
                      <wp:start x="0" y="0"/>
                      <wp:lineTo x="0" y="19200"/>
                      <wp:lineTo x="20700" y="19200"/>
                      <wp:lineTo x="20700" y="0"/>
                      <wp:lineTo x="0" y="0"/>
                    </wp:wrapPolygon>
                  </wp:wrapTight>
                  <wp:docPr id="1845270918" name="Picture 2"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 cy="85725"/>
                          </a:xfrm>
                          <a:prstGeom prst="rect">
                            <a:avLst/>
                          </a:prstGeom>
                          <a:noFill/>
                        </pic:spPr>
                      </pic:pic>
                    </a:graphicData>
                  </a:graphic>
                  <wp14:sizeRelH relativeFrom="page">
                    <wp14:pctWidth>0</wp14:pctWidth>
                  </wp14:sizeRelH>
                  <wp14:sizeRelV relativeFrom="page">
                    <wp14:pctHeight>0</wp14:pctHeight>
                  </wp14:sizeRelV>
                </wp:anchor>
              </w:drawing>
            </w:r>
          </w:p>
        </w:tc>
        <w:tc>
          <w:tcPr>
            <w:tcW w:w="1444" w:type="dxa"/>
            <w:vAlign w:val="center"/>
          </w:tcPr>
          <w:p w14:paraId="1A36E0A7" w14:textId="77777777" w:rsidR="00171824" w:rsidRDefault="00171824">
            <w:pPr>
              <w:keepNext/>
              <w:widowControl/>
              <w:tabs>
                <w:tab w:val="left" w:pos="562"/>
              </w:tabs>
              <w:suppressAutoHyphens/>
              <w:autoSpaceDE/>
              <w:autoSpaceDN/>
              <w:adjustRightInd/>
              <w:rPr>
                <w:sz w:val="22"/>
                <w:szCs w:val="22"/>
                <w:lang w:val="el-GR"/>
              </w:rPr>
            </w:pPr>
          </w:p>
          <w:p w14:paraId="46551858" w14:textId="77777777" w:rsidR="00171824" w:rsidRDefault="006D258C">
            <w:pPr>
              <w:keepNext/>
              <w:widowControl/>
              <w:tabs>
                <w:tab w:val="left" w:pos="562"/>
              </w:tabs>
              <w:suppressAutoHyphens/>
              <w:autoSpaceDE/>
              <w:autoSpaceDN/>
              <w:adjustRightInd/>
              <w:rPr>
                <w:sz w:val="22"/>
                <w:szCs w:val="22"/>
                <w:lang w:val="el-GR"/>
              </w:rPr>
            </w:pPr>
            <w:r>
              <w:rPr>
                <w:sz w:val="22"/>
                <w:szCs w:val="22"/>
                <w:lang w:val="el-GR"/>
              </w:rPr>
              <w:t>Adalimumab</w:t>
            </w:r>
          </w:p>
        </w:tc>
        <w:tc>
          <w:tcPr>
            <w:tcW w:w="1249" w:type="dxa"/>
          </w:tcPr>
          <w:p w14:paraId="4993D238" w14:textId="77777777" w:rsidR="00171824" w:rsidRDefault="006D258C">
            <w:pPr>
              <w:keepNext/>
              <w:widowControl/>
              <w:tabs>
                <w:tab w:val="left" w:pos="562"/>
              </w:tabs>
              <w:suppressAutoHyphens/>
              <w:autoSpaceDE/>
              <w:autoSpaceDN/>
              <w:adjustRightInd/>
              <w:rPr>
                <w:sz w:val="22"/>
                <w:lang w:val="el-GR"/>
              </w:rPr>
            </w:pPr>
            <w:r>
              <w:rPr>
                <w:sz w:val="22"/>
                <w:lang w:val="el-GR"/>
              </w:rPr>
              <w:t xml:space="preserve">   </w:t>
            </w:r>
          </w:p>
          <w:p w14:paraId="46F4778C" w14:textId="77777777" w:rsidR="00171824" w:rsidRDefault="006D258C">
            <w:pPr>
              <w:keepNext/>
              <w:widowControl/>
              <w:tabs>
                <w:tab w:val="left" w:pos="562"/>
              </w:tabs>
              <w:suppressAutoHyphens/>
              <w:autoSpaceDE/>
              <w:autoSpaceDN/>
              <w:adjustRightInd/>
              <w:rPr>
                <w:sz w:val="22"/>
                <w:szCs w:val="22"/>
                <w:lang w:val="el-GR"/>
              </w:rPr>
            </w:pPr>
            <w:r>
              <w:rPr>
                <w:sz w:val="22"/>
                <w:lang w:val="el-GR"/>
              </w:rPr>
              <w:t xml:space="preserve"> ∆ Με σήμανση</w:t>
            </w:r>
          </w:p>
        </w:tc>
      </w:tr>
    </w:tbl>
    <w:p w14:paraId="795F590C" w14:textId="77777777" w:rsidR="00171824" w:rsidRDefault="00171824">
      <w:pPr>
        <w:widowControl/>
        <w:kinsoku w:val="0"/>
        <w:overflowPunct w:val="0"/>
        <w:rPr>
          <w:i/>
          <w:iCs/>
          <w:sz w:val="22"/>
          <w:szCs w:val="22"/>
          <w:lang w:val="el-GR"/>
        </w:rPr>
      </w:pPr>
    </w:p>
    <w:p w14:paraId="59E80F81" w14:textId="77777777" w:rsidR="00171824" w:rsidRDefault="006D258C">
      <w:pPr>
        <w:widowControl/>
        <w:kinsoku w:val="0"/>
        <w:overflowPunct w:val="0"/>
        <w:rPr>
          <w:sz w:val="22"/>
          <w:szCs w:val="22"/>
          <w:lang w:val="el-GR"/>
        </w:rPr>
      </w:pPr>
      <w:r>
        <w:rPr>
          <w:sz w:val="22"/>
          <w:szCs w:val="22"/>
          <w:lang w:val="el-GR"/>
        </w:rPr>
        <w:t>Σημείωση: P = Εικονικό φάρμακο (αριθμός υπο κίνδυνο (σε έξαρση) ), A = Adalimumab (αριθμός υπο κίνδυνο (σε έξαρση)).</w:t>
      </w:r>
    </w:p>
    <w:p w14:paraId="36A7A24D" w14:textId="77777777" w:rsidR="00171824" w:rsidRDefault="00171824">
      <w:pPr>
        <w:widowControl/>
        <w:kinsoku w:val="0"/>
        <w:overflowPunct w:val="0"/>
        <w:rPr>
          <w:i/>
          <w:iCs/>
          <w:sz w:val="22"/>
          <w:szCs w:val="22"/>
          <w:lang w:val="el-GR"/>
        </w:rPr>
      </w:pPr>
    </w:p>
    <w:p w14:paraId="580A4707" w14:textId="77777777" w:rsidR="00171824" w:rsidRDefault="006D258C">
      <w:pPr>
        <w:widowControl/>
        <w:kinsoku w:val="0"/>
        <w:overflowPunct w:val="0"/>
        <w:rPr>
          <w:sz w:val="22"/>
          <w:szCs w:val="22"/>
          <w:lang w:val="el-GR"/>
        </w:rPr>
      </w:pPr>
      <w:r>
        <w:rPr>
          <w:sz w:val="22"/>
          <w:szCs w:val="22"/>
          <w:lang w:val="el-GR"/>
        </w:rPr>
        <w:t>Μεταξύ των 68 ασθενών που ήταν σε έξαρση στην ομάδα που αποσύρθηκε η θεραπεία, 65 συμπλήρωσαν 12 εβδομάδες θεραπείας διάσωσης με adalimumab, εκ των οποίων 37 (56,9%) είχαν επανακτήσει ύφεση (ASDAS &lt; 1,3) μετά από 12 εβδομάδες επανεκκίνησης της ανοικτής θεραπείας.</w:t>
      </w:r>
    </w:p>
    <w:p w14:paraId="1D53B654" w14:textId="77777777" w:rsidR="00171824" w:rsidRDefault="00171824">
      <w:pPr>
        <w:widowControl/>
        <w:kinsoku w:val="0"/>
        <w:overflowPunct w:val="0"/>
        <w:rPr>
          <w:sz w:val="22"/>
          <w:szCs w:val="22"/>
          <w:lang w:val="el-GR"/>
        </w:rPr>
      </w:pPr>
    </w:p>
    <w:p w14:paraId="2F8685BD" w14:textId="77777777" w:rsidR="00171824" w:rsidRDefault="006D258C">
      <w:pPr>
        <w:widowControl/>
        <w:kinsoku w:val="0"/>
        <w:overflowPunct w:val="0"/>
        <w:rPr>
          <w:sz w:val="22"/>
          <w:szCs w:val="22"/>
          <w:lang w:val="el-GR"/>
        </w:rPr>
      </w:pPr>
      <w:r>
        <w:rPr>
          <w:sz w:val="22"/>
          <w:szCs w:val="22"/>
          <w:lang w:val="el-GR"/>
        </w:rPr>
        <w:t>Μέχρι την εβδομάδα 68, οι ασθενείς που έλαβαν συνεχή αγωγή με adalimumab έδειξαν στατιστικά σημαντική βελτίωση των σημείων και συμπτωμάτων της ενεργής nr-axSpA σε σύγκριση με τους ασθενείς που χορηγήθηκαν στην απόσυρση της θεραπείας κατά τη διάρκεια της διπλά τυφλής περιόδου της μελέτης (πίνακας 14).</w:t>
      </w:r>
    </w:p>
    <w:p w14:paraId="56C5799A" w14:textId="77777777" w:rsidR="00171824" w:rsidRDefault="00171824">
      <w:pPr>
        <w:widowControl/>
        <w:kinsoku w:val="0"/>
        <w:overflowPunct w:val="0"/>
        <w:rPr>
          <w:i/>
          <w:iCs/>
          <w:sz w:val="22"/>
          <w:szCs w:val="22"/>
          <w:lang w:val="el-GR"/>
        </w:rPr>
      </w:pPr>
    </w:p>
    <w:p w14:paraId="70D6EFE5" w14:textId="77777777" w:rsidR="00171824" w:rsidRDefault="006D258C">
      <w:pPr>
        <w:keepNext/>
        <w:widowControl/>
        <w:suppressAutoHyphens/>
        <w:rPr>
          <w:b/>
          <w:sz w:val="22"/>
          <w:szCs w:val="22"/>
          <w:lang w:val="el-GR"/>
        </w:rPr>
      </w:pPr>
      <w:r>
        <w:rPr>
          <w:b/>
          <w:sz w:val="22"/>
          <w:szCs w:val="22"/>
          <w:lang w:val="el-GR"/>
        </w:rPr>
        <w:t>Πίνακας 14. Απόκριση αποτελεσματικότητας σε ελεγχόμενη με εικονικό φάρμακο περίοδο για τη μελέτη nr-axSpA II</w:t>
      </w:r>
    </w:p>
    <w:p w14:paraId="00BE1410" w14:textId="77777777" w:rsidR="00171824" w:rsidRDefault="00171824">
      <w:pPr>
        <w:keepNext/>
        <w:suppressAutoHyphens/>
        <w:ind w:left="720"/>
        <w:rPr>
          <w:b/>
          <w:sz w:val="22"/>
          <w:lang w:val="el-G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8"/>
        <w:gridCol w:w="1682"/>
        <w:gridCol w:w="1821"/>
      </w:tblGrid>
      <w:tr w:rsidR="00171824" w14:paraId="536AEE88" w14:textId="77777777">
        <w:trPr>
          <w:jc w:val="center"/>
        </w:trPr>
        <w:tc>
          <w:tcPr>
            <w:tcW w:w="3067" w:type="pct"/>
            <w:tcBorders>
              <w:top w:val="single" w:sz="4" w:space="0" w:color="auto"/>
              <w:left w:val="single" w:sz="4" w:space="0" w:color="auto"/>
              <w:bottom w:val="single" w:sz="4" w:space="0" w:color="auto"/>
              <w:right w:val="single" w:sz="4" w:space="0" w:color="auto"/>
            </w:tcBorders>
          </w:tcPr>
          <w:p w14:paraId="171464A2" w14:textId="77777777" w:rsidR="00171824" w:rsidRDefault="006D258C">
            <w:pPr>
              <w:keepNext/>
              <w:suppressAutoHyphens/>
              <w:rPr>
                <w:b/>
                <w:bCs/>
                <w:sz w:val="22"/>
                <w:szCs w:val="22"/>
                <w:lang w:val="el-GR"/>
              </w:rPr>
            </w:pPr>
            <w:r>
              <w:rPr>
                <w:b/>
                <w:sz w:val="22"/>
                <w:szCs w:val="22"/>
                <w:lang w:val="el-GR"/>
              </w:rPr>
              <w:t>Διπλά τυφλή</w:t>
            </w:r>
            <w:r>
              <w:rPr>
                <w:b/>
                <w:sz w:val="22"/>
                <w:szCs w:val="22"/>
                <w:lang w:val="el-GR"/>
              </w:rPr>
              <w:br/>
              <w:t>ανταπόκριση την εβδομάδα 68</w:t>
            </w:r>
          </w:p>
        </w:tc>
        <w:tc>
          <w:tcPr>
            <w:tcW w:w="928" w:type="pct"/>
            <w:tcBorders>
              <w:top w:val="single" w:sz="4" w:space="0" w:color="auto"/>
              <w:left w:val="single" w:sz="4" w:space="0" w:color="auto"/>
              <w:bottom w:val="single" w:sz="4" w:space="0" w:color="auto"/>
              <w:right w:val="single" w:sz="4" w:space="0" w:color="auto"/>
            </w:tcBorders>
          </w:tcPr>
          <w:p w14:paraId="046564E3" w14:textId="77777777" w:rsidR="00171824" w:rsidRDefault="006D258C">
            <w:pPr>
              <w:keepNext/>
              <w:suppressAutoHyphens/>
              <w:jc w:val="center"/>
              <w:rPr>
                <w:b/>
                <w:bCs/>
                <w:sz w:val="22"/>
                <w:szCs w:val="22"/>
                <w:lang w:val="el-GR"/>
              </w:rPr>
            </w:pPr>
            <w:r>
              <w:rPr>
                <w:b/>
                <w:bCs/>
                <w:sz w:val="22"/>
                <w:szCs w:val="22"/>
                <w:lang w:val="el-GR"/>
              </w:rPr>
              <w:t>Εικονικό φάρμακο</w:t>
            </w:r>
          </w:p>
          <w:p w14:paraId="40DC02C3" w14:textId="77777777" w:rsidR="00171824" w:rsidRDefault="006D258C">
            <w:pPr>
              <w:keepNext/>
              <w:suppressAutoHyphens/>
              <w:jc w:val="center"/>
              <w:rPr>
                <w:b/>
                <w:bCs/>
                <w:sz w:val="22"/>
                <w:szCs w:val="22"/>
                <w:lang w:val="el-GR"/>
              </w:rPr>
            </w:pPr>
            <w:r>
              <w:rPr>
                <w:b/>
                <w:bCs/>
                <w:sz w:val="22"/>
                <w:szCs w:val="22"/>
                <w:lang w:val="el-GR"/>
              </w:rPr>
              <w:t>N=153</w:t>
            </w:r>
          </w:p>
        </w:tc>
        <w:tc>
          <w:tcPr>
            <w:tcW w:w="1005" w:type="pct"/>
            <w:tcBorders>
              <w:top w:val="single" w:sz="4" w:space="0" w:color="auto"/>
              <w:left w:val="single" w:sz="4" w:space="0" w:color="auto"/>
              <w:bottom w:val="single" w:sz="4" w:space="0" w:color="auto"/>
              <w:right w:val="single" w:sz="4" w:space="0" w:color="auto"/>
            </w:tcBorders>
          </w:tcPr>
          <w:p w14:paraId="5362CE10" w14:textId="77777777" w:rsidR="00171824" w:rsidRDefault="006D258C">
            <w:pPr>
              <w:keepNext/>
              <w:suppressAutoHyphens/>
              <w:jc w:val="center"/>
              <w:rPr>
                <w:b/>
                <w:bCs/>
                <w:sz w:val="22"/>
                <w:szCs w:val="22"/>
                <w:lang w:val="el-GR"/>
              </w:rPr>
            </w:pPr>
            <w:r>
              <w:rPr>
                <w:b/>
                <w:bCs/>
                <w:sz w:val="22"/>
                <w:szCs w:val="22"/>
                <w:lang w:val="el-GR"/>
              </w:rPr>
              <w:t>Adalimumab</w:t>
            </w:r>
          </w:p>
          <w:p w14:paraId="10882E75" w14:textId="77777777" w:rsidR="00171824" w:rsidRDefault="006D258C">
            <w:pPr>
              <w:keepNext/>
              <w:suppressAutoHyphens/>
              <w:jc w:val="center"/>
              <w:rPr>
                <w:b/>
                <w:bCs/>
                <w:sz w:val="22"/>
                <w:szCs w:val="22"/>
                <w:lang w:val="el-GR"/>
              </w:rPr>
            </w:pPr>
            <w:r>
              <w:rPr>
                <w:b/>
                <w:bCs/>
                <w:sz w:val="22"/>
                <w:szCs w:val="22"/>
                <w:lang w:val="el-GR"/>
              </w:rPr>
              <w:t>N=152</w:t>
            </w:r>
          </w:p>
        </w:tc>
      </w:tr>
      <w:tr w:rsidR="00171824" w14:paraId="55F926A4" w14:textId="77777777">
        <w:trPr>
          <w:jc w:val="center"/>
        </w:trPr>
        <w:tc>
          <w:tcPr>
            <w:tcW w:w="3067" w:type="pct"/>
            <w:tcBorders>
              <w:top w:val="single" w:sz="4" w:space="0" w:color="auto"/>
              <w:left w:val="single" w:sz="4" w:space="0" w:color="auto"/>
              <w:bottom w:val="single" w:sz="4" w:space="0" w:color="auto"/>
              <w:right w:val="single" w:sz="4" w:space="0" w:color="auto"/>
            </w:tcBorders>
          </w:tcPr>
          <w:p w14:paraId="484DC1CE" w14:textId="77777777" w:rsidR="00171824" w:rsidRDefault="006D258C">
            <w:pPr>
              <w:keepNext/>
              <w:suppressAutoHyphens/>
              <w:rPr>
                <w:sz w:val="22"/>
                <w:szCs w:val="22"/>
                <w:lang w:val="el-GR"/>
              </w:rPr>
            </w:pPr>
            <w:r>
              <w:rPr>
                <w:sz w:val="22"/>
                <w:szCs w:val="22"/>
                <w:lang w:val="el-GR"/>
              </w:rPr>
              <w:t>ASAS</w:t>
            </w:r>
            <w:r>
              <w:rPr>
                <w:sz w:val="22"/>
                <w:szCs w:val="22"/>
                <w:vertAlign w:val="superscript"/>
                <w:lang w:val="el-GR"/>
              </w:rPr>
              <w:t>α,β</w:t>
            </w:r>
            <w:r>
              <w:rPr>
                <w:sz w:val="22"/>
                <w:szCs w:val="22"/>
                <w:lang w:val="el-GR"/>
              </w:rPr>
              <w:t xml:space="preserve"> 20</w:t>
            </w:r>
          </w:p>
        </w:tc>
        <w:tc>
          <w:tcPr>
            <w:tcW w:w="928" w:type="pct"/>
            <w:tcBorders>
              <w:top w:val="single" w:sz="4" w:space="0" w:color="auto"/>
              <w:left w:val="single" w:sz="4" w:space="0" w:color="auto"/>
              <w:bottom w:val="single" w:sz="4" w:space="0" w:color="auto"/>
              <w:right w:val="single" w:sz="4" w:space="0" w:color="auto"/>
            </w:tcBorders>
          </w:tcPr>
          <w:p w14:paraId="6A10D2FA" w14:textId="77777777" w:rsidR="00171824" w:rsidRDefault="006D258C">
            <w:pPr>
              <w:keepNext/>
              <w:suppressAutoHyphens/>
              <w:jc w:val="center"/>
              <w:rPr>
                <w:sz w:val="22"/>
                <w:szCs w:val="22"/>
                <w:lang w:val="el-GR"/>
              </w:rPr>
            </w:pPr>
            <w:r>
              <w:rPr>
                <w:sz w:val="22"/>
                <w:szCs w:val="22"/>
                <w:lang w:val="el-GR"/>
              </w:rPr>
              <w:t>47,1%</w:t>
            </w:r>
          </w:p>
        </w:tc>
        <w:tc>
          <w:tcPr>
            <w:tcW w:w="1005" w:type="pct"/>
            <w:tcBorders>
              <w:top w:val="single" w:sz="4" w:space="0" w:color="auto"/>
              <w:left w:val="single" w:sz="4" w:space="0" w:color="auto"/>
              <w:bottom w:val="single" w:sz="4" w:space="0" w:color="auto"/>
              <w:right w:val="single" w:sz="4" w:space="0" w:color="auto"/>
            </w:tcBorders>
          </w:tcPr>
          <w:p w14:paraId="227AA42D" w14:textId="77777777" w:rsidR="00171824" w:rsidRDefault="006D258C">
            <w:pPr>
              <w:keepNext/>
              <w:suppressAutoHyphens/>
              <w:jc w:val="center"/>
              <w:rPr>
                <w:sz w:val="22"/>
                <w:szCs w:val="22"/>
                <w:lang w:val="el-GR"/>
              </w:rPr>
            </w:pPr>
            <w:r>
              <w:rPr>
                <w:sz w:val="22"/>
                <w:szCs w:val="22"/>
                <w:lang w:val="el-GR"/>
              </w:rPr>
              <w:t>70,4%***</w:t>
            </w:r>
          </w:p>
        </w:tc>
      </w:tr>
      <w:tr w:rsidR="00171824" w14:paraId="450A7094" w14:textId="77777777">
        <w:trPr>
          <w:jc w:val="center"/>
        </w:trPr>
        <w:tc>
          <w:tcPr>
            <w:tcW w:w="3067" w:type="pct"/>
            <w:tcBorders>
              <w:top w:val="single" w:sz="4" w:space="0" w:color="auto"/>
              <w:left w:val="single" w:sz="4" w:space="0" w:color="auto"/>
              <w:bottom w:val="single" w:sz="4" w:space="0" w:color="auto"/>
              <w:right w:val="single" w:sz="4" w:space="0" w:color="auto"/>
            </w:tcBorders>
          </w:tcPr>
          <w:p w14:paraId="524C48AE" w14:textId="77777777" w:rsidR="00171824" w:rsidRDefault="006D258C">
            <w:pPr>
              <w:keepNext/>
              <w:suppressAutoHyphens/>
              <w:rPr>
                <w:sz w:val="22"/>
                <w:szCs w:val="22"/>
                <w:lang w:val="el-GR"/>
              </w:rPr>
            </w:pPr>
            <w:r>
              <w:rPr>
                <w:sz w:val="22"/>
                <w:szCs w:val="22"/>
                <w:lang w:val="el-GR"/>
              </w:rPr>
              <w:t>ASAS</w:t>
            </w:r>
            <w:r>
              <w:rPr>
                <w:sz w:val="22"/>
                <w:szCs w:val="22"/>
                <w:vertAlign w:val="superscript"/>
                <w:lang w:val="el-GR"/>
              </w:rPr>
              <w:t>α,β</w:t>
            </w:r>
            <w:r>
              <w:rPr>
                <w:sz w:val="22"/>
                <w:szCs w:val="22"/>
                <w:lang w:val="el-GR"/>
              </w:rPr>
              <w:t xml:space="preserve"> 40</w:t>
            </w:r>
          </w:p>
        </w:tc>
        <w:tc>
          <w:tcPr>
            <w:tcW w:w="928" w:type="pct"/>
            <w:tcBorders>
              <w:top w:val="single" w:sz="4" w:space="0" w:color="auto"/>
              <w:left w:val="single" w:sz="4" w:space="0" w:color="auto"/>
              <w:bottom w:val="single" w:sz="4" w:space="0" w:color="auto"/>
              <w:right w:val="single" w:sz="4" w:space="0" w:color="auto"/>
            </w:tcBorders>
          </w:tcPr>
          <w:p w14:paraId="538D12A7" w14:textId="77777777" w:rsidR="00171824" w:rsidRDefault="006D258C">
            <w:pPr>
              <w:keepNext/>
              <w:suppressAutoHyphens/>
              <w:jc w:val="center"/>
              <w:rPr>
                <w:sz w:val="22"/>
                <w:szCs w:val="22"/>
                <w:lang w:val="el-GR"/>
              </w:rPr>
            </w:pPr>
            <w:r>
              <w:rPr>
                <w:sz w:val="22"/>
                <w:szCs w:val="22"/>
                <w:lang w:val="el-GR"/>
              </w:rPr>
              <w:t>45,8%</w:t>
            </w:r>
          </w:p>
        </w:tc>
        <w:tc>
          <w:tcPr>
            <w:tcW w:w="1005" w:type="pct"/>
            <w:tcBorders>
              <w:top w:val="single" w:sz="4" w:space="0" w:color="auto"/>
              <w:left w:val="single" w:sz="4" w:space="0" w:color="auto"/>
              <w:bottom w:val="single" w:sz="4" w:space="0" w:color="auto"/>
              <w:right w:val="single" w:sz="4" w:space="0" w:color="auto"/>
            </w:tcBorders>
          </w:tcPr>
          <w:p w14:paraId="66116988" w14:textId="77777777" w:rsidR="00171824" w:rsidRDefault="006D258C">
            <w:pPr>
              <w:keepNext/>
              <w:suppressAutoHyphens/>
              <w:jc w:val="center"/>
              <w:rPr>
                <w:sz w:val="22"/>
                <w:szCs w:val="22"/>
                <w:lang w:val="el-GR"/>
              </w:rPr>
            </w:pPr>
            <w:r>
              <w:rPr>
                <w:sz w:val="22"/>
                <w:szCs w:val="22"/>
                <w:lang w:val="el-GR"/>
              </w:rPr>
              <w:t>65,8%***</w:t>
            </w:r>
          </w:p>
        </w:tc>
      </w:tr>
      <w:tr w:rsidR="00171824" w14:paraId="5EDDA192" w14:textId="77777777">
        <w:trPr>
          <w:jc w:val="center"/>
        </w:trPr>
        <w:tc>
          <w:tcPr>
            <w:tcW w:w="3067" w:type="pct"/>
            <w:tcBorders>
              <w:top w:val="single" w:sz="4" w:space="0" w:color="auto"/>
              <w:left w:val="single" w:sz="4" w:space="0" w:color="auto"/>
              <w:bottom w:val="single" w:sz="4" w:space="0" w:color="auto"/>
              <w:right w:val="single" w:sz="4" w:space="0" w:color="auto"/>
            </w:tcBorders>
          </w:tcPr>
          <w:p w14:paraId="3C8DC65E" w14:textId="77777777" w:rsidR="00171824" w:rsidRDefault="006D258C">
            <w:pPr>
              <w:keepNext/>
              <w:suppressAutoHyphens/>
              <w:rPr>
                <w:sz w:val="22"/>
                <w:szCs w:val="22"/>
                <w:lang w:val="el-GR"/>
              </w:rPr>
            </w:pPr>
            <w:r>
              <w:rPr>
                <w:sz w:val="22"/>
                <w:szCs w:val="22"/>
                <w:lang w:val="el-GR"/>
              </w:rPr>
              <w:t>ASAS</w:t>
            </w:r>
            <w:r>
              <w:rPr>
                <w:sz w:val="22"/>
                <w:szCs w:val="22"/>
                <w:vertAlign w:val="superscript"/>
                <w:lang w:val="el-GR"/>
              </w:rPr>
              <w:t>α</w:t>
            </w:r>
            <w:r>
              <w:rPr>
                <w:sz w:val="22"/>
                <w:szCs w:val="22"/>
                <w:lang w:val="el-GR"/>
              </w:rPr>
              <w:t xml:space="preserve"> Μερική Υφεση</w:t>
            </w:r>
          </w:p>
        </w:tc>
        <w:tc>
          <w:tcPr>
            <w:tcW w:w="928" w:type="pct"/>
            <w:tcBorders>
              <w:top w:val="single" w:sz="4" w:space="0" w:color="auto"/>
              <w:left w:val="single" w:sz="4" w:space="0" w:color="auto"/>
              <w:bottom w:val="single" w:sz="4" w:space="0" w:color="auto"/>
              <w:right w:val="single" w:sz="4" w:space="0" w:color="auto"/>
            </w:tcBorders>
          </w:tcPr>
          <w:p w14:paraId="25FFCD81" w14:textId="77777777" w:rsidR="00171824" w:rsidRDefault="006D258C">
            <w:pPr>
              <w:keepNext/>
              <w:suppressAutoHyphens/>
              <w:jc w:val="center"/>
              <w:rPr>
                <w:sz w:val="22"/>
                <w:szCs w:val="22"/>
                <w:lang w:val="el-GR"/>
              </w:rPr>
            </w:pPr>
            <w:r>
              <w:rPr>
                <w:sz w:val="22"/>
                <w:szCs w:val="22"/>
                <w:lang w:val="el-GR"/>
              </w:rPr>
              <w:t>26,8%</w:t>
            </w:r>
          </w:p>
        </w:tc>
        <w:tc>
          <w:tcPr>
            <w:tcW w:w="1005" w:type="pct"/>
            <w:tcBorders>
              <w:top w:val="single" w:sz="4" w:space="0" w:color="auto"/>
              <w:left w:val="single" w:sz="4" w:space="0" w:color="auto"/>
              <w:bottom w:val="single" w:sz="4" w:space="0" w:color="auto"/>
              <w:right w:val="single" w:sz="4" w:space="0" w:color="auto"/>
            </w:tcBorders>
          </w:tcPr>
          <w:p w14:paraId="617BA108" w14:textId="77777777" w:rsidR="00171824" w:rsidRDefault="006D258C">
            <w:pPr>
              <w:keepNext/>
              <w:suppressAutoHyphens/>
              <w:jc w:val="center"/>
              <w:rPr>
                <w:sz w:val="22"/>
                <w:szCs w:val="22"/>
                <w:lang w:val="el-GR"/>
              </w:rPr>
            </w:pPr>
            <w:r>
              <w:rPr>
                <w:sz w:val="22"/>
                <w:szCs w:val="22"/>
                <w:lang w:val="el-GR"/>
              </w:rPr>
              <w:t>42,1%**</w:t>
            </w:r>
          </w:p>
        </w:tc>
      </w:tr>
      <w:tr w:rsidR="00171824" w14:paraId="70CC03D7" w14:textId="77777777">
        <w:trPr>
          <w:jc w:val="center"/>
        </w:trPr>
        <w:tc>
          <w:tcPr>
            <w:tcW w:w="3067" w:type="pct"/>
            <w:tcBorders>
              <w:top w:val="single" w:sz="4" w:space="0" w:color="auto"/>
              <w:left w:val="single" w:sz="4" w:space="0" w:color="auto"/>
              <w:bottom w:val="single" w:sz="4" w:space="0" w:color="auto"/>
              <w:right w:val="single" w:sz="4" w:space="0" w:color="auto"/>
            </w:tcBorders>
          </w:tcPr>
          <w:p w14:paraId="778C4CEE" w14:textId="77777777" w:rsidR="00171824" w:rsidRDefault="006D258C">
            <w:pPr>
              <w:keepNext/>
              <w:suppressAutoHyphens/>
              <w:rPr>
                <w:sz w:val="22"/>
                <w:szCs w:val="22"/>
                <w:lang w:val="el-GR"/>
              </w:rPr>
            </w:pPr>
            <w:r>
              <w:rPr>
                <w:sz w:val="22"/>
                <w:szCs w:val="22"/>
                <w:lang w:val="el-GR"/>
              </w:rPr>
              <w:t>ASDA</w:t>
            </w:r>
            <w:r>
              <w:rPr>
                <w:sz w:val="22"/>
                <w:szCs w:val="22"/>
                <w:vertAlign w:val="superscript"/>
                <w:lang w:val="el-GR"/>
              </w:rPr>
              <w:t>γ</w:t>
            </w:r>
            <w:r>
              <w:rPr>
                <w:sz w:val="22"/>
                <w:szCs w:val="22"/>
                <w:lang w:val="el-GR"/>
              </w:rPr>
              <w:t xml:space="preserve"> Αδρανής Νόσος</w:t>
            </w:r>
          </w:p>
        </w:tc>
        <w:tc>
          <w:tcPr>
            <w:tcW w:w="928" w:type="pct"/>
            <w:tcBorders>
              <w:top w:val="single" w:sz="4" w:space="0" w:color="auto"/>
              <w:left w:val="single" w:sz="4" w:space="0" w:color="auto"/>
              <w:bottom w:val="single" w:sz="4" w:space="0" w:color="auto"/>
              <w:right w:val="single" w:sz="4" w:space="0" w:color="auto"/>
            </w:tcBorders>
          </w:tcPr>
          <w:p w14:paraId="5C704011" w14:textId="77777777" w:rsidR="00171824" w:rsidRDefault="006D258C">
            <w:pPr>
              <w:keepNext/>
              <w:suppressAutoHyphens/>
              <w:jc w:val="center"/>
              <w:rPr>
                <w:sz w:val="22"/>
                <w:szCs w:val="22"/>
                <w:lang w:val="el-GR"/>
              </w:rPr>
            </w:pPr>
            <w:r>
              <w:rPr>
                <w:sz w:val="22"/>
                <w:szCs w:val="22"/>
                <w:lang w:val="el-GR"/>
              </w:rPr>
              <w:t>33,3%</w:t>
            </w:r>
          </w:p>
        </w:tc>
        <w:tc>
          <w:tcPr>
            <w:tcW w:w="1005" w:type="pct"/>
            <w:tcBorders>
              <w:top w:val="single" w:sz="4" w:space="0" w:color="auto"/>
              <w:left w:val="single" w:sz="4" w:space="0" w:color="auto"/>
              <w:bottom w:val="single" w:sz="4" w:space="0" w:color="auto"/>
              <w:right w:val="single" w:sz="4" w:space="0" w:color="auto"/>
            </w:tcBorders>
          </w:tcPr>
          <w:p w14:paraId="5956C4E2" w14:textId="77777777" w:rsidR="00171824" w:rsidRDefault="006D258C">
            <w:pPr>
              <w:keepNext/>
              <w:suppressAutoHyphens/>
              <w:jc w:val="center"/>
              <w:rPr>
                <w:sz w:val="22"/>
                <w:szCs w:val="22"/>
                <w:lang w:val="el-GR"/>
              </w:rPr>
            </w:pPr>
            <w:r>
              <w:rPr>
                <w:sz w:val="22"/>
                <w:szCs w:val="22"/>
                <w:lang w:val="el-GR"/>
              </w:rPr>
              <w:t>57,2%***</w:t>
            </w:r>
          </w:p>
        </w:tc>
      </w:tr>
      <w:tr w:rsidR="00171824" w14:paraId="0210AE0E" w14:textId="77777777">
        <w:trPr>
          <w:jc w:val="center"/>
        </w:trPr>
        <w:tc>
          <w:tcPr>
            <w:tcW w:w="3067" w:type="pct"/>
            <w:tcBorders>
              <w:top w:val="single" w:sz="4" w:space="0" w:color="auto"/>
              <w:left w:val="single" w:sz="4" w:space="0" w:color="auto"/>
              <w:bottom w:val="single" w:sz="4" w:space="0" w:color="auto"/>
              <w:right w:val="single" w:sz="4" w:space="0" w:color="auto"/>
            </w:tcBorders>
          </w:tcPr>
          <w:p w14:paraId="5DBC44F7" w14:textId="77777777" w:rsidR="00171824" w:rsidRDefault="006D258C">
            <w:pPr>
              <w:keepNext/>
              <w:suppressAutoHyphens/>
              <w:rPr>
                <w:sz w:val="22"/>
                <w:szCs w:val="22"/>
                <w:lang w:val="el-GR"/>
              </w:rPr>
            </w:pPr>
            <w:r>
              <w:rPr>
                <w:sz w:val="22"/>
                <w:szCs w:val="22"/>
                <w:lang w:val="el-GR"/>
              </w:rPr>
              <w:t>Μερική έξαρση</w:t>
            </w:r>
            <w:r>
              <w:rPr>
                <w:sz w:val="22"/>
                <w:szCs w:val="22"/>
                <w:vertAlign w:val="superscript"/>
                <w:lang w:val="el-GR"/>
              </w:rPr>
              <w:t>δ</w:t>
            </w:r>
          </w:p>
        </w:tc>
        <w:tc>
          <w:tcPr>
            <w:tcW w:w="928" w:type="pct"/>
            <w:tcBorders>
              <w:top w:val="single" w:sz="4" w:space="0" w:color="auto"/>
              <w:left w:val="single" w:sz="4" w:space="0" w:color="auto"/>
              <w:bottom w:val="single" w:sz="4" w:space="0" w:color="auto"/>
              <w:right w:val="single" w:sz="4" w:space="0" w:color="auto"/>
            </w:tcBorders>
          </w:tcPr>
          <w:p w14:paraId="1AAEAD4C" w14:textId="77777777" w:rsidR="00171824" w:rsidRDefault="006D258C">
            <w:pPr>
              <w:keepNext/>
              <w:suppressAutoHyphens/>
              <w:jc w:val="center"/>
              <w:rPr>
                <w:sz w:val="22"/>
                <w:szCs w:val="22"/>
                <w:lang w:val="el-GR"/>
              </w:rPr>
            </w:pPr>
            <w:r>
              <w:rPr>
                <w:sz w:val="22"/>
                <w:szCs w:val="22"/>
                <w:lang w:val="el-GR"/>
              </w:rPr>
              <w:t>64,1%</w:t>
            </w:r>
          </w:p>
        </w:tc>
        <w:tc>
          <w:tcPr>
            <w:tcW w:w="1005" w:type="pct"/>
            <w:tcBorders>
              <w:top w:val="single" w:sz="4" w:space="0" w:color="auto"/>
              <w:left w:val="single" w:sz="4" w:space="0" w:color="auto"/>
              <w:bottom w:val="single" w:sz="4" w:space="0" w:color="auto"/>
              <w:right w:val="single" w:sz="4" w:space="0" w:color="auto"/>
            </w:tcBorders>
          </w:tcPr>
          <w:p w14:paraId="3A3AEFDC" w14:textId="77777777" w:rsidR="00171824" w:rsidRDefault="006D258C">
            <w:pPr>
              <w:keepNext/>
              <w:suppressAutoHyphens/>
              <w:jc w:val="center"/>
              <w:rPr>
                <w:sz w:val="22"/>
                <w:szCs w:val="22"/>
                <w:lang w:val="el-GR"/>
              </w:rPr>
            </w:pPr>
            <w:r>
              <w:rPr>
                <w:sz w:val="22"/>
                <w:szCs w:val="22"/>
                <w:lang w:val="el-GR"/>
              </w:rPr>
              <w:t>40,8%***</w:t>
            </w:r>
          </w:p>
        </w:tc>
      </w:tr>
      <w:tr w:rsidR="00171824" w:rsidRPr="00422380" w14:paraId="75379081" w14:textId="77777777">
        <w:trPr>
          <w:jc w:val="center"/>
        </w:trPr>
        <w:tc>
          <w:tcPr>
            <w:tcW w:w="5000" w:type="pct"/>
            <w:gridSpan w:val="3"/>
            <w:tcBorders>
              <w:top w:val="single" w:sz="4" w:space="0" w:color="auto"/>
              <w:left w:val="nil"/>
              <w:bottom w:val="nil"/>
              <w:right w:val="nil"/>
            </w:tcBorders>
          </w:tcPr>
          <w:p w14:paraId="54F20E79" w14:textId="77777777" w:rsidR="00171824" w:rsidRDefault="006D258C">
            <w:pPr>
              <w:keepNext/>
              <w:tabs>
                <w:tab w:val="left" w:pos="720"/>
              </w:tabs>
              <w:rPr>
                <w:sz w:val="20"/>
                <w:szCs w:val="20"/>
                <w:lang w:val="el-GR"/>
              </w:rPr>
            </w:pPr>
            <w:r>
              <w:rPr>
                <w:sz w:val="20"/>
                <w:szCs w:val="20"/>
                <w:vertAlign w:val="superscript"/>
                <w:lang w:val="el-GR"/>
              </w:rPr>
              <w:t>α</w:t>
            </w:r>
            <w:r>
              <w:rPr>
                <w:sz w:val="20"/>
                <w:szCs w:val="20"/>
                <w:lang w:val="el-GR"/>
              </w:rPr>
              <w:t xml:space="preserve"> Διεθνής Εταιρεία Αξιολόγησης Σπονδυλαρθρίτιδας</w:t>
            </w:r>
          </w:p>
          <w:p w14:paraId="65222B6C" w14:textId="77777777" w:rsidR="00171824" w:rsidRDefault="006D258C">
            <w:pPr>
              <w:keepNext/>
              <w:suppressAutoHyphens/>
              <w:ind w:left="20"/>
              <w:rPr>
                <w:sz w:val="20"/>
                <w:szCs w:val="20"/>
                <w:vertAlign w:val="superscript"/>
                <w:lang w:val="el-GR"/>
              </w:rPr>
            </w:pPr>
            <w:r>
              <w:rPr>
                <w:sz w:val="20"/>
                <w:szCs w:val="20"/>
                <w:vertAlign w:val="superscript"/>
                <w:lang w:val="el-GR"/>
              </w:rPr>
              <w:t>β</w:t>
            </w:r>
            <w:r>
              <w:rPr>
                <w:sz w:val="20"/>
                <w:szCs w:val="20"/>
                <w:lang w:val="el-GR"/>
              </w:rPr>
              <w:t xml:space="preserve"> Το σημείο αναφοράς ορίζεται σαν σημείο αναφοράς ανοιχτής επισήμανσης όταν οι ασθενείς έχουν ενεργή νόσο.</w:t>
            </w:r>
          </w:p>
          <w:p w14:paraId="6AE8BB8D" w14:textId="77777777" w:rsidR="00171824" w:rsidRDefault="006D258C">
            <w:pPr>
              <w:keepNext/>
              <w:suppressAutoHyphens/>
              <w:ind w:left="20"/>
              <w:rPr>
                <w:sz w:val="20"/>
                <w:szCs w:val="20"/>
                <w:vertAlign w:val="superscript"/>
                <w:lang w:val="el-GR"/>
              </w:rPr>
            </w:pPr>
            <w:r>
              <w:rPr>
                <w:sz w:val="20"/>
                <w:szCs w:val="20"/>
                <w:vertAlign w:val="superscript"/>
                <w:lang w:val="el-GR"/>
              </w:rPr>
              <w:t>γ</w:t>
            </w:r>
            <w:r>
              <w:rPr>
                <w:sz w:val="20"/>
                <w:szCs w:val="20"/>
                <w:lang w:val="el-GR"/>
              </w:rPr>
              <w:t xml:space="preserve"> Δείκτης Ενεργότητας Αγκυλοποιητικής Σπονδυλίτιδας</w:t>
            </w:r>
          </w:p>
          <w:p w14:paraId="7D7010F2" w14:textId="77777777" w:rsidR="00171824" w:rsidRDefault="006D258C">
            <w:pPr>
              <w:keepNext/>
              <w:tabs>
                <w:tab w:val="left" w:pos="720"/>
              </w:tabs>
              <w:rPr>
                <w:sz w:val="20"/>
                <w:szCs w:val="20"/>
                <w:lang w:val="el-GR"/>
              </w:rPr>
            </w:pPr>
            <w:r>
              <w:rPr>
                <w:sz w:val="20"/>
                <w:szCs w:val="20"/>
                <w:vertAlign w:val="superscript"/>
                <w:lang w:val="el-GR"/>
              </w:rPr>
              <w:t>δ</w:t>
            </w:r>
            <w:r>
              <w:rPr>
                <w:rFonts w:eastAsia="Calibri"/>
                <w:sz w:val="20"/>
                <w:szCs w:val="20"/>
                <w:lang w:val="el-GR"/>
              </w:rPr>
              <w:t>.Μερική έξαρση καθορίζεται ως ASDAS ≥ 1,3 αλλά &lt; 2,1 σε δύο συνεχόμενες επισκέψεις.</w:t>
            </w:r>
          </w:p>
          <w:p w14:paraId="4F471683" w14:textId="77777777" w:rsidR="00171824" w:rsidRDefault="006D258C">
            <w:pPr>
              <w:widowControl/>
              <w:ind w:left="23"/>
              <w:rPr>
                <w:sz w:val="22"/>
                <w:szCs w:val="22"/>
                <w:lang w:val="el-GR"/>
              </w:rPr>
            </w:pPr>
            <w:r>
              <w:rPr>
                <w:sz w:val="20"/>
                <w:szCs w:val="20"/>
                <w:lang w:val="el-GR"/>
              </w:rPr>
              <w:t>***, ** Στατιστικά σημαντικό με p &lt;0,001 και &lt;0,01, αντίστοιχα, για όλες τις συγκρίσεις μεταξύ adalimumab και εικονικού φαρμάκου.</w:t>
            </w:r>
          </w:p>
        </w:tc>
      </w:tr>
    </w:tbl>
    <w:p w14:paraId="6FAF9ACC" w14:textId="77777777" w:rsidR="00171824" w:rsidRDefault="00171824">
      <w:pPr>
        <w:widowControl/>
        <w:kinsoku w:val="0"/>
        <w:overflowPunct w:val="0"/>
        <w:rPr>
          <w:i/>
          <w:iCs/>
          <w:sz w:val="22"/>
          <w:szCs w:val="22"/>
          <w:lang w:val="el-GR"/>
        </w:rPr>
      </w:pPr>
    </w:p>
    <w:p w14:paraId="3ED280B7" w14:textId="77777777" w:rsidR="00171824" w:rsidRDefault="006D258C">
      <w:pPr>
        <w:keepNext/>
        <w:widowControl/>
        <w:kinsoku w:val="0"/>
        <w:overflowPunct w:val="0"/>
        <w:rPr>
          <w:i/>
          <w:sz w:val="22"/>
          <w:szCs w:val="22"/>
          <w:lang w:val="el-GR"/>
        </w:rPr>
      </w:pPr>
      <w:r>
        <w:rPr>
          <w:i/>
          <w:iCs/>
          <w:sz w:val="22"/>
          <w:szCs w:val="22"/>
          <w:lang w:val="el-GR"/>
        </w:rPr>
        <w:lastRenderedPageBreak/>
        <w:t>Ψωριασική αρθρίτιδα</w:t>
      </w:r>
    </w:p>
    <w:p w14:paraId="2CA0C905" w14:textId="77777777" w:rsidR="00171824" w:rsidRDefault="00171824">
      <w:pPr>
        <w:keepNext/>
        <w:widowControl/>
        <w:kinsoku w:val="0"/>
        <w:overflowPunct w:val="0"/>
        <w:rPr>
          <w:sz w:val="22"/>
          <w:szCs w:val="22"/>
          <w:lang w:val="el-GR"/>
        </w:rPr>
      </w:pPr>
    </w:p>
    <w:p w14:paraId="2F4C84CE" w14:textId="77777777" w:rsidR="00171824" w:rsidRDefault="006D258C">
      <w:pPr>
        <w:pStyle w:val="BodyText"/>
        <w:widowControl/>
        <w:kinsoku w:val="0"/>
        <w:overflowPunct w:val="0"/>
        <w:ind w:left="0"/>
        <w:rPr>
          <w:lang w:val="el-GR"/>
        </w:rPr>
      </w:pPr>
      <w:r>
        <w:rPr>
          <w:lang w:val="el-GR"/>
        </w:rPr>
        <w:t>Η χορήγηση adalimumab 40 mg κάθε δεύτερη εβδομάδα, μελετήθηκε σε ασθενείς με μέτρια έως σοβαρή ενεργό ψωριασική αρθρίτιδα σε δύο ελεγχόμενες με εικονικό φάρμακο μελέτες, τις μελέτες ΨΑ I και II. Στη μελέτη ΨΑ I με διάρκεια 24 εβδομάδων, συμμετείχαν 313 ενήλικες ασθενείς οι οποίοι είχαν ανεπαρκή ανταπόκριση σε θεραπεία με μη στεροειδή αντιφλεγμονώδη και από αυτούς περίπου το 50% λάμβαναν μεθοτρεξάτη. Στη μελέτη ΨΑ II με διάρκεια 12 εβδομάδων συμμετείχαν 100 ασθενείς οι οποίοι είχαν ανεπαρκή ανταπόκριση σε θεραπεία με DMARD. Μετά την ολοκλήρωση και των δύο μελετών, 383 ασθενείς συμμετείχαν σε μία ανοιχτή μελέτη επέκτασης, στην οποία χορηγήθηκαν</w:t>
      </w:r>
    </w:p>
    <w:p w14:paraId="258FB153" w14:textId="77777777" w:rsidR="00171824" w:rsidRDefault="006D258C">
      <w:pPr>
        <w:pStyle w:val="BodyText"/>
        <w:widowControl/>
        <w:kinsoku w:val="0"/>
        <w:overflowPunct w:val="0"/>
        <w:ind w:left="0"/>
        <w:rPr>
          <w:lang w:val="el-GR"/>
        </w:rPr>
      </w:pPr>
      <w:r>
        <w:rPr>
          <w:lang w:val="el-GR"/>
        </w:rPr>
        <w:t>40 mg adalimumab κάθε δεύτερη εβδομάδα.</w:t>
      </w:r>
    </w:p>
    <w:p w14:paraId="14927281" w14:textId="77777777" w:rsidR="00171824" w:rsidRDefault="00171824">
      <w:pPr>
        <w:widowControl/>
        <w:kinsoku w:val="0"/>
        <w:overflowPunct w:val="0"/>
        <w:rPr>
          <w:sz w:val="22"/>
          <w:szCs w:val="22"/>
          <w:lang w:val="el-GR"/>
        </w:rPr>
      </w:pPr>
    </w:p>
    <w:p w14:paraId="513F7EED" w14:textId="77777777" w:rsidR="00171824" w:rsidRDefault="006D258C">
      <w:pPr>
        <w:pStyle w:val="BodyText"/>
        <w:widowControl/>
        <w:kinsoku w:val="0"/>
        <w:overflowPunct w:val="0"/>
        <w:ind w:left="0"/>
        <w:rPr>
          <w:lang w:val="el-GR"/>
        </w:rPr>
      </w:pPr>
      <w:r>
        <w:rPr>
          <w:lang w:val="el-GR"/>
        </w:rPr>
        <w:t>Δεν υπάρχει επαρκής εμπειρία για την αποτελεσματικότητα του adalimumab σε ασθενείς με αγκυλοποιητικής σπονδυλαρθρίτιδας ψωριασική αρθροπάθεια (ψωριασική σπονδυλίτιδα), εξαιτίας του μικρού αριθμού ασθενών οι οποίοι μελετήθηκαν.</w:t>
      </w:r>
    </w:p>
    <w:p w14:paraId="0BF52F8E" w14:textId="77777777" w:rsidR="00171824" w:rsidRDefault="00171824">
      <w:pPr>
        <w:widowControl/>
        <w:kinsoku w:val="0"/>
        <w:overflowPunct w:val="0"/>
        <w:rPr>
          <w:sz w:val="22"/>
          <w:szCs w:val="22"/>
          <w:lang w:val="el-GR"/>
        </w:rPr>
      </w:pPr>
    </w:p>
    <w:p w14:paraId="582E0BD0" w14:textId="77777777" w:rsidR="00171824" w:rsidRDefault="006D258C">
      <w:pPr>
        <w:keepNext/>
        <w:keepLines/>
        <w:widowControl/>
        <w:kinsoku w:val="0"/>
        <w:overflowPunct w:val="0"/>
        <w:ind w:right="232"/>
        <w:rPr>
          <w:sz w:val="22"/>
          <w:szCs w:val="22"/>
          <w:lang w:val="el-GR"/>
        </w:rPr>
      </w:pPr>
      <w:r>
        <w:rPr>
          <w:b/>
          <w:sz w:val="22"/>
          <w:szCs w:val="22"/>
          <w:lang w:val="el-GR"/>
        </w:rPr>
        <w:t>Πίνακας 15.</w:t>
      </w:r>
      <w:r>
        <w:rPr>
          <w:b/>
          <w:bCs/>
          <w:sz w:val="22"/>
          <w:szCs w:val="22"/>
          <w:lang w:val="el-GR"/>
        </w:rPr>
        <w:t xml:space="preserve"> ACR Ανταποκρίσεις σε Ελεγχόμενες με Εικονικό Φάρμακο Μελέτες Ψωριασικής Αρθρίτιδας (% Ασθενών)</w:t>
      </w:r>
    </w:p>
    <w:p w14:paraId="7988115C" w14:textId="77777777" w:rsidR="00171824" w:rsidRDefault="00171824">
      <w:pPr>
        <w:keepNext/>
        <w:keepLines/>
        <w:widowControl/>
        <w:kinsoku w:val="0"/>
        <w:overflowPunct w:val="0"/>
        <w:rPr>
          <w:sz w:val="22"/>
          <w:szCs w:val="22"/>
          <w:lang w:val="el-GR"/>
        </w:rPr>
      </w:pPr>
    </w:p>
    <w:tbl>
      <w:tblPr>
        <w:tblW w:w="890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7"/>
        <w:gridCol w:w="1782"/>
        <w:gridCol w:w="1701"/>
        <w:gridCol w:w="1729"/>
        <w:gridCol w:w="1673"/>
      </w:tblGrid>
      <w:tr w:rsidR="00171824" w14:paraId="63802C75" w14:textId="77777777">
        <w:trPr>
          <w:tblHeader/>
        </w:trPr>
        <w:tc>
          <w:tcPr>
            <w:tcW w:w="2017" w:type="dxa"/>
          </w:tcPr>
          <w:p w14:paraId="740EFEB7" w14:textId="77777777" w:rsidR="00171824" w:rsidRDefault="00171824">
            <w:pPr>
              <w:pStyle w:val="BodyText"/>
              <w:keepNext/>
              <w:keepLines/>
              <w:widowControl/>
              <w:kinsoku w:val="0"/>
              <w:overflowPunct w:val="0"/>
              <w:ind w:left="0"/>
              <w:rPr>
                <w:rFonts w:eastAsia="MS Mincho"/>
                <w:b/>
                <w:lang w:val="el-GR"/>
              </w:rPr>
            </w:pPr>
          </w:p>
        </w:tc>
        <w:tc>
          <w:tcPr>
            <w:tcW w:w="3483" w:type="dxa"/>
            <w:gridSpan w:val="2"/>
          </w:tcPr>
          <w:p w14:paraId="7E4E9BE7" w14:textId="77777777" w:rsidR="00171824" w:rsidRDefault="006D258C">
            <w:pPr>
              <w:pStyle w:val="TableParagraph"/>
              <w:keepNext/>
              <w:keepLines/>
              <w:widowControl/>
              <w:kinsoku w:val="0"/>
              <w:overflowPunct w:val="0"/>
              <w:ind w:left="783"/>
              <w:rPr>
                <w:rFonts w:eastAsia="MS Mincho"/>
                <w:b/>
                <w:sz w:val="22"/>
                <w:szCs w:val="22"/>
                <w:lang w:val="el-GR"/>
              </w:rPr>
            </w:pPr>
            <w:r>
              <w:rPr>
                <w:rFonts w:eastAsia="MS Mincho"/>
                <w:b/>
                <w:sz w:val="22"/>
                <w:szCs w:val="22"/>
                <w:lang w:val="el-GR"/>
              </w:rPr>
              <w:t>Μελέτη ΨΑ I</w:t>
            </w:r>
          </w:p>
        </w:tc>
        <w:tc>
          <w:tcPr>
            <w:tcW w:w="3402" w:type="dxa"/>
            <w:gridSpan w:val="2"/>
          </w:tcPr>
          <w:p w14:paraId="28BFDCA3" w14:textId="77777777" w:rsidR="00171824" w:rsidRDefault="006D258C">
            <w:pPr>
              <w:pStyle w:val="TableParagraph"/>
              <w:keepNext/>
              <w:keepLines/>
              <w:widowControl/>
              <w:kinsoku w:val="0"/>
              <w:overflowPunct w:val="0"/>
              <w:ind w:left="757"/>
              <w:rPr>
                <w:rFonts w:eastAsia="MS Mincho"/>
                <w:b/>
                <w:sz w:val="22"/>
                <w:szCs w:val="22"/>
                <w:lang w:val="el-GR"/>
              </w:rPr>
            </w:pPr>
            <w:r>
              <w:rPr>
                <w:rFonts w:eastAsia="MS Mincho"/>
                <w:b/>
                <w:sz w:val="22"/>
                <w:szCs w:val="22"/>
                <w:lang w:val="el-GR"/>
              </w:rPr>
              <w:t>Μελέτη ΨΑ II</w:t>
            </w:r>
          </w:p>
        </w:tc>
      </w:tr>
      <w:tr w:rsidR="00171824" w14:paraId="26EAA722" w14:textId="77777777">
        <w:tc>
          <w:tcPr>
            <w:tcW w:w="2017" w:type="dxa"/>
            <w:vAlign w:val="center"/>
          </w:tcPr>
          <w:p w14:paraId="47367D23" w14:textId="77777777" w:rsidR="00171824" w:rsidRDefault="006D258C">
            <w:pPr>
              <w:pStyle w:val="BodyText"/>
              <w:keepNext/>
              <w:keepLines/>
              <w:widowControl/>
              <w:kinsoku w:val="0"/>
              <w:overflowPunct w:val="0"/>
              <w:ind w:left="0"/>
              <w:rPr>
                <w:rFonts w:eastAsia="MS Mincho"/>
                <w:b/>
                <w:lang w:val="el-GR"/>
              </w:rPr>
            </w:pPr>
            <w:r>
              <w:rPr>
                <w:rFonts w:eastAsia="MS Mincho"/>
                <w:b/>
                <w:lang w:val="el-GR"/>
              </w:rPr>
              <w:t>Ανταπόκριση</w:t>
            </w:r>
          </w:p>
        </w:tc>
        <w:tc>
          <w:tcPr>
            <w:tcW w:w="1782" w:type="dxa"/>
            <w:vAlign w:val="center"/>
          </w:tcPr>
          <w:p w14:paraId="106B927E" w14:textId="77777777" w:rsidR="00171824" w:rsidRDefault="006D258C">
            <w:pPr>
              <w:pStyle w:val="TableParagraph"/>
              <w:keepNext/>
              <w:keepLines/>
              <w:widowControl/>
              <w:kinsoku w:val="0"/>
              <w:overflowPunct w:val="0"/>
              <w:ind w:left="349" w:right="305" w:hanging="44"/>
              <w:jc w:val="center"/>
              <w:rPr>
                <w:rFonts w:eastAsia="MS Mincho"/>
                <w:b/>
                <w:sz w:val="22"/>
                <w:szCs w:val="22"/>
                <w:lang w:val="el-GR"/>
              </w:rPr>
            </w:pPr>
            <w:r>
              <w:rPr>
                <w:rFonts w:eastAsia="MS Mincho"/>
                <w:b/>
                <w:sz w:val="22"/>
                <w:szCs w:val="22"/>
                <w:lang w:val="el-GR"/>
              </w:rPr>
              <w:t>Εικονικό Φάρμακο</w:t>
            </w:r>
          </w:p>
          <w:p w14:paraId="09DF9909" w14:textId="77777777" w:rsidR="00171824" w:rsidRDefault="006D258C">
            <w:pPr>
              <w:pStyle w:val="TableParagraph"/>
              <w:keepNext/>
              <w:keepLines/>
              <w:widowControl/>
              <w:kinsoku w:val="0"/>
              <w:overflowPunct w:val="0"/>
              <w:ind w:left="349" w:right="305" w:hanging="44"/>
              <w:jc w:val="center"/>
              <w:rPr>
                <w:rFonts w:eastAsia="MS Mincho"/>
                <w:b/>
                <w:sz w:val="22"/>
                <w:szCs w:val="22"/>
                <w:lang w:val="el-GR"/>
              </w:rPr>
            </w:pPr>
            <w:r>
              <w:rPr>
                <w:rFonts w:eastAsia="MS Mincho"/>
                <w:b/>
                <w:sz w:val="22"/>
                <w:szCs w:val="22"/>
                <w:lang w:val="el-GR"/>
              </w:rPr>
              <w:t>N=162</w:t>
            </w:r>
          </w:p>
        </w:tc>
        <w:tc>
          <w:tcPr>
            <w:tcW w:w="1701" w:type="dxa"/>
            <w:vAlign w:val="center"/>
          </w:tcPr>
          <w:p w14:paraId="61FE96A7" w14:textId="77777777" w:rsidR="00171824" w:rsidRDefault="006D258C">
            <w:pPr>
              <w:pStyle w:val="TableParagraph"/>
              <w:keepNext/>
              <w:keepLines/>
              <w:widowControl/>
              <w:kinsoku w:val="0"/>
              <w:overflowPunct w:val="0"/>
              <w:ind w:left="113" w:right="113" w:hanging="29"/>
              <w:jc w:val="center"/>
              <w:rPr>
                <w:rFonts w:eastAsia="MS Mincho"/>
                <w:b/>
                <w:sz w:val="22"/>
                <w:szCs w:val="22"/>
                <w:lang w:val="el-GR"/>
              </w:rPr>
            </w:pPr>
            <w:r>
              <w:rPr>
                <w:rFonts w:eastAsia="MS Mincho"/>
                <w:b/>
                <w:sz w:val="22"/>
                <w:szCs w:val="22"/>
                <w:lang w:val="el-GR"/>
              </w:rPr>
              <w:t xml:space="preserve">Adalimumab </w:t>
            </w:r>
          </w:p>
          <w:p w14:paraId="7EE68132" w14:textId="77777777" w:rsidR="00171824" w:rsidRDefault="006D258C">
            <w:pPr>
              <w:pStyle w:val="TableParagraph"/>
              <w:keepNext/>
              <w:keepLines/>
              <w:widowControl/>
              <w:kinsoku w:val="0"/>
              <w:overflowPunct w:val="0"/>
              <w:ind w:left="113" w:right="113" w:hanging="29"/>
              <w:jc w:val="center"/>
              <w:rPr>
                <w:rFonts w:eastAsia="MS Mincho"/>
                <w:b/>
                <w:sz w:val="22"/>
                <w:szCs w:val="22"/>
                <w:lang w:val="el-GR"/>
              </w:rPr>
            </w:pPr>
            <w:r>
              <w:rPr>
                <w:rFonts w:eastAsia="MS Mincho"/>
                <w:b/>
                <w:sz w:val="22"/>
                <w:szCs w:val="22"/>
                <w:lang w:val="el-GR"/>
              </w:rPr>
              <w:t>N=151</w:t>
            </w:r>
          </w:p>
        </w:tc>
        <w:tc>
          <w:tcPr>
            <w:tcW w:w="1729" w:type="dxa"/>
            <w:vAlign w:val="center"/>
          </w:tcPr>
          <w:p w14:paraId="6BF75705" w14:textId="77777777" w:rsidR="00171824" w:rsidRDefault="006D258C">
            <w:pPr>
              <w:pStyle w:val="TableParagraph"/>
              <w:keepNext/>
              <w:keepLines/>
              <w:widowControl/>
              <w:kinsoku w:val="0"/>
              <w:overflowPunct w:val="0"/>
              <w:ind w:left="113" w:right="113" w:hanging="99"/>
              <w:jc w:val="center"/>
              <w:rPr>
                <w:rFonts w:eastAsia="MS Mincho"/>
                <w:b/>
                <w:sz w:val="22"/>
                <w:szCs w:val="22"/>
                <w:lang w:val="el-GR"/>
              </w:rPr>
            </w:pPr>
            <w:r>
              <w:rPr>
                <w:rFonts w:eastAsia="MS Mincho"/>
                <w:b/>
                <w:sz w:val="22"/>
                <w:szCs w:val="22"/>
                <w:lang w:val="el-GR"/>
              </w:rPr>
              <w:t>Εικονικό φάρμακο</w:t>
            </w:r>
          </w:p>
          <w:p w14:paraId="0AD23E66" w14:textId="77777777" w:rsidR="00171824" w:rsidRDefault="006D258C">
            <w:pPr>
              <w:pStyle w:val="TableParagraph"/>
              <w:keepNext/>
              <w:keepLines/>
              <w:widowControl/>
              <w:kinsoku w:val="0"/>
              <w:overflowPunct w:val="0"/>
              <w:ind w:left="113" w:right="113" w:hanging="99"/>
              <w:jc w:val="center"/>
              <w:rPr>
                <w:rFonts w:eastAsia="MS Mincho"/>
                <w:b/>
                <w:sz w:val="22"/>
                <w:szCs w:val="22"/>
                <w:lang w:val="el-GR"/>
              </w:rPr>
            </w:pPr>
            <w:r>
              <w:rPr>
                <w:rFonts w:eastAsia="MS Mincho"/>
                <w:b/>
                <w:sz w:val="22"/>
                <w:szCs w:val="22"/>
                <w:lang w:val="el-GR"/>
              </w:rPr>
              <w:t>N=49</w:t>
            </w:r>
          </w:p>
        </w:tc>
        <w:tc>
          <w:tcPr>
            <w:tcW w:w="1673" w:type="dxa"/>
            <w:vAlign w:val="center"/>
          </w:tcPr>
          <w:p w14:paraId="3EB091F7" w14:textId="77777777" w:rsidR="00171824" w:rsidRDefault="006D258C">
            <w:pPr>
              <w:pStyle w:val="TableParagraph"/>
              <w:keepNext/>
              <w:keepLines/>
              <w:widowControl/>
              <w:kinsoku w:val="0"/>
              <w:overflowPunct w:val="0"/>
              <w:ind w:left="113" w:right="113" w:hanging="84"/>
              <w:jc w:val="center"/>
              <w:rPr>
                <w:rFonts w:eastAsia="MS Mincho"/>
                <w:b/>
                <w:sz w:val="22"/>
                <w:szCs w:val="22"/>
                <w:lang w:val="el-GR"/>
              </w:rPr>
            </w:pPr>
            <w:r>
              <w:rPr>
                <w:rFonts w:eastAsia="MS Mincho"/>
                <w:b/>
                <w:sz w:val="22"/>
                <w:szCs w:val="22"/>
                <w:lang w:val="el-GR"/>
              </w:rPr>
              <w:t xml:space="preserve">Adalimumab </w:t>
            </w:r>
          </w:p>
          <w:p w14:paraId="16DC9271" w14:textId="77777777" w:rsidR="00171824" w:rsidRDefault="006D258C">
            <w:pPr>
              <w:pStyle w:val="TableParagraph"/>
              <w:keepNext/>
              <w:keepLines/>
              <w:widowControl/>
              <w:kinsoku w:val="0"/>
              <w:overflowPunct w:val="0"/>
              <w:ind w:left="113" w:right="113" w:hanging="84"/>
              <w:jc w:val="center"/>
              <w:rPr>
                <w:rFonts w:eastAsia="MS Mincho"/>
                <w:b/>
                <w:sz w:val="22"/>
                <w:szCs w:val="22"/>
                <w:lang w:val="el-GR"/>
              </w:rPr>
            </w:pPr>
            <w:r>
              <w:rPr>
                <w:rFonts w:eastAsia="MS Mincho"/>
                <w:b/>
                <w:sz w:val="22"/>
                <w:szCs w:val="22"/>
                <w:lang w:val="el-GR"/>
              </w:rPr>
              <w:t>N=51</w:t>
            </w:r>
          </w:p>
        </w:tc>
      </w:tr>
      <w:tr w:rsidR="00171824" w14:paraId="55D995BA" w14:textId="77777777">
        <w:trPr>
          <w:trHeight w:val="102"/>
        </w:trPr>
        <w:tc>
          <w:tcPr>
            <w:tcW w:w="2017" w:type="dxa"/>
          </w:tcPr>
          <w:p w14:paraId="131A9208" w14:textId="77777777" w:rsidR="00171824" w:rsidRDefault="006D258C">
            <w:pPr>
              <w:pStyle w:val="BodyText"/>
              <w:widowControl/>
              <w:ind w:left="0"/>
              <w:rPr>
                <w:rFonts w:eastAsia="MS Mincho"/>
                <w:lang w:val="el-GR"/>
              </w:rPr>
            </w:pPr>
            <w:r>
              <w:rPr>
                <w:rFonts w:eastAsia="MS Mincho"/>
                <w:lang w:val="el-GR"/>
              </w:rPr>
              <w:t>ACR 20</w:t>
            </w:r>
          </w:p>
          <w:p w14:paraId="7D60E5BD" w14:textId="77777777" w:rsidR="00171824" w:rsidRDefault="006D258C">
            <w:pPr>
              <w:pStyle w:val="BodyText"/>
              <w:widowControl/>
              <w:rPr>
                <w:rFonts w:eastAsia="MS Mincho"/>
                <w:lang w:val="el-GR"/>
              </w:rPr>
            </w:pPr>
            <w:r>
              <w:rPr>
                <w:rFonts w:eastAsia="MS Mincho"/>
                <w:lang w:val="el-GR"/>
              </w:rPr>
              <w:t>Εβδομάδα 12</w:t>
            </w:r>
          </w:p>
          <w:p w14:paraId="095A83A4" w14:textId="77777777" w:rsidR="00171824" w:rsidRDefault="006D258C">
            <w:pPr>
              <w:pStyle w:val="BodyText"/>
              <w:widowControl/>
              <w:rPr>
                <w:rFonts w:eastAsia="MS Mincho"/>
                <w:lang w:val="el-GR"/>
              </w:rPr>
            </w:pPr>
            <w:r>
              <w:rPr>
                <w:rFonts w:eastAsia="MS Mincho"/>
                <w:lang w:val="el-GR"/>
              </w:rPr>
              <w:t>Εβδομάδα 24</w:t>
            </w:r>
          </w:p>
        </w:tc>
        <w:tc>
          <w:tcPr>
            <w:tcW w:w="1782" w:type="dxa"/>
            <w:vAlign w:val="center"/>
          </w:tcPr>
          <w:p w14:paraId="7078E758" w14:textId="77777777" w:rsidR="00171824" w:rsidRDefault="00171824">
            <w:pPr>
              <w:pStyle w:val="TableParagraph"/>
              <w:widowControl/>
              <w:kinsoku w:val="0"/>
              <w:overflowPunct w:val="0"/>
              <w:jc w:val="center"/>
              <w:rPr>
                <w:rFonts w:eastAsia="MS Mincho"/>
                <w:sz w:val="22"/>
                <w:szCs w:val="22"/>
                <w:lang w:val="el-GR"/>
              </w:rPr>
            </w:pPr>
          </w:p>
          <w:p w14:paraId="695000B8" w14:textId="77777777" w:rsidR="00171824" w:rsidRDefault="006D258C">
            <w:pPr>
              <w:pStyle w:val="TableParagraph"/>
              <w:widowControl/>
              <w:kinsoku w:val="0"/>
              <w:overflowPunct w:val="0"/>
              <w:ind w:left="433" w:right="437"/>
              <w:jc w:val="center"/>
              <w:rPr>
                <w:rFonts w:eastAsia="MS Mincho"/>
                <w:sz w:val="22"/>
                <w:szCs w:val="22"/>
                <w:lang w:val="el-GR"/>
              </w:rPr>
            </w:pPr>
            <w:r>
              <w:rPr>
                <w:rFonts w:eastAsia="MS Mincho"/>
                <w:sz w:val="22"/>
                <w:szCs w:val="22"/>
                <w:lang w:val="el-GR"/>
              </w:rPr>
              <w:t>14%</w:t>
            </w:r>
          </w:p>
          <w:p w14:paraId="3D388675" w14:textId="77777777" w:rsidR="00171824" w:rsidRDefault="006D258C">
            <w:pPr>
              <w:pStyle w:val="TableParagraph"/>
              <w:widowControl/>
              <w:kinsoku w:val="0"/>
              <w:overflowPunct w:val="0"/>
              <w:ind w:left="433" w:right="437"/>
              <w:jc w:val="center"/>
              <w:rPr>
                <w:rFonts w:eastAsia="MS Mincho"/>
                <w:sz w:val="22"/>
                <w:szCs w:val="22"/>
                <w:lang w:val="el-GR"/>
              </w:rPr>
            </w:pPr>
            <w:r>
              <w:rPr>
                <w:rFonts w:eastAsia="MS Mincho"/>
                <w:sz w:val="22"/>
                <w:szCs w:val="22"/>
                <w:lang w:val="el-GR"/>
              </w:rPr>
              <w:t>15%</w:t>
            </w:r>
          </w:p>
        </w:tc>
        <w:tc>
          <w:tcPr>
            <w:tcW w:w="1701" w:type="dxa"/>
            <w:vAlign w:val="center"/>
          </w:tcPr>
          <w:p w14:paraId="3C8B1AC2" w14:textId="77777777" w:rsidR="00171824" w:rsidRDefault="00171824">
            <w:pPr>
              <w:pStyle w:val="TableParagraph"/>
              <w:widowControl/>
              <w:kinsoku w:val="0"/>
              <w:overflowPunct w:val="0"/>
              <w:jc w:val="center"/>
              <w:rPr>
                <w:rFonts w:eastAsia="MS Mincho"/>
                <w:sz w:val="22"/>
                <w:szCs w:val="22"/>
                <w:lang w:val="el-GR"/>
              </w:rPr>
            </w:pPr>
          </w:p>
          <w:p w14:paraId="3F8E5FA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58%</w:t>
            </w:r>
            <w:r>
              <w:rPr>
                <w:rFonts w:eastAsia="MS Mincho"/>
                <w:sz w:val="22"/>
                <w:szCs w:val="22"/>
                <w:vertAlign w:val="superscript"/>
                <w:lang w:val="el-GR"/>
              </w:rPr>
              <w:t>***</w:t>
            </w:r>
          </w:p>
          <w:p w14:paraId="53F8D8C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57%</w:t>
            </w:r>
            <w:r>
              <w:rPr>
                <w:rFonts w:eastAsia="MS Mincho"/>
                <w:sz w:val="22"/>
                <w:szCs w:val="22"/>
                <w:vertAlign w:val="superscript"/>
                <w:lang w:val="el-GR"/>
              </w:rPr>
              <w:t>***</w:t>
            </w:r>
          </w:p>
        </w:tc>
        <w:tc>
          <w:tcPr>
            <w:tcW w:w="1729" w:type="dxa"/>
            <w:vAlign w:val="center"/>
          </w:tcPr>
          <w:p w14:paraId="0CA0D982" w14:textId="77777777" w:rsidR="00171824" w:rsidRDefault="00171824">
            <w:pPr>
              <w:pStyle w:val="TableParagraph"/>
              <w:widowControl/>
              <w:kinsoku w:val="0"/>
              <w:overflowPunct w:val="0"/>
              <w:jc w:val="center"/>
              <w:rPr>
                <w:rFonts w:eastAsia="MS Mincho"/>
                <w:sz w:val="22"/>
                <w:szCs w:val="22"/>
                <w:lang w:val="el-GR"/>
              </w:rPr>
            </w:pPr>
          </w:p>
          <w:p w14:paraId="11C4FED6" w14:textId="77777777" w:rsidR="00171824" w:rsidRDefault="006D258C">
            <w:pPr>
              <w:pStyle w:val="TableParagraph"/>
              <w:widowControl/>
              <w:kinsoku w:val="0"/>
              <w:overflowPunct w:val="0"/>
              <w:ind w:left="443" w:right="444"/>
              <w:jc w:val="center"/>
              <w:rPr>
                <w:rFonts w:eastAsia="MS Mincho"/>
                <w:sz w:val="22"/>
                <w:szCs w:val="22"/>
                <w:lang w:val="el-GR"/>
              </w:rPr>
            </w:pPr>
            <w:r>
              <w:rPr>
                <w:rFonts w:eastAsia="MS Mincho"/>
                <w:sz w:val="22"/>
                <w:szCs w:val="22"/>
                <w:lang w:val="el-GR"/>
              </w:rPr>
              <w:t>16%</w:t>
            </w:r>
          </w:p>
          <w:p w14:paraId="4D710A78" w14:textId="77777777" w:rsidR="00171824" w:rsidRDefault="006D258C">
            <w:pPr>
              <w:pStyle w:val="TableParagraph"/>
              <w:widowControl/>
              <w:kinsoku w:val="0"/>
              <w:overflowPunct w:val="0"/>
              <w:ind w:left="443" w:right="444"/>
              <w:jc w:val="center"/>
              <w:rPr>
                <w:rFonts w:eastAsia="MS Mincho"/>
                <w:sz w:val="22"/>
                <w:szCs w:val="22"/>
                <w:lang w:val="el-GR"/>
              </w:rPr>
            </w:pPr>
            <w:r>
              <w:rPr>
                <w:rFonts w:eastAsia="MS Mincho"/>
                <w:sz w:val="22"/>
                <w:szCs w:val="22"/>
                <w:lang w:val="el-GR"/>
              </w:rPr>
              <w:t>N/A</w:t>
            </w:r>
          </w:p>
        </w:tc>
        <w:tc>
          <w:tcPr>
            <w:tcW w:w="1673" w:type="dxa"/>
            <w:vAlign w:val="center"/>
          </w:tcPr>
          <w:p w14:paraId="04AB7650" w14:textId="77777777" w:rsidR="00171824" w:rsidRDefault="00171824">
            <w:pPr>
              <w:pStyle w:val="TableParagraph"/>
              <w:widowControl/>
              <w:kinsoku w:val="0"/>
              <w:overflowPunct w:val="0"/>
              <w:jc w:val="center"/>
              <w:rPr>
                <w:rFonts w:eastAsia="MS Mincho"/>
                <w:sz w:val="22"/>
                <w:szCs w:val="22"/>
                <w:lang w:val="el-GR"/>
              </w:rPr>
            </w:pPr>
          </w:p>
          <w:p w14:paraId="40E690F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39%</w:t>
            </w:r>
            <w:r>
              <w:rPr>
                <w:rFonts w:eastAsia="MS Mincho"/>
                <w:sz w:val="22"/>
                <w:szCs w:val="22"/>
                <w:vertAlign w:val="superscript"/>
                <w:lang w:val="el-GR"/>
              </w:rPr>
              <w:t>*</w:t>
            </w:r>
          </w:p>
          <w:p w14:paraId="685311A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r>
      <w:tr w:rsidR="00171824" w14:paraId="25176C1F" w14:textId="77777777">
        <w:tc>
          <w:tcPr>
            <w:tcW w:w="2017" w:type="dxa"/>
          </w:tcPr>
          <w:p w14:paraId="1751DAC9"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ACR 50</w:t>
            </w:r>
          </w:p>
          <w:p w14:paraId="3A431F2C" w14:textId="77777777" w:rsidR="00171824" w:rsidRDefault="006D258C">
            <w:pPr>
              <w:pStyle w:val="BodyText"/>
              <w:widowControl/>
              <w:rPr>
                <w:rFonts w:eastAsia="MS Mincho"/>
                <w:lang w:val="el-GR"/>
              </w:rPr>
            </w:pPr>
            <w:r>
              <w:rPr>
                <w:rFonts w:eastAsia="MS Mincho"/>
                <w:lang w:val="el-GR"/>
              </w:rPr>
              <w:t>Εβδομάδα 12</w:t>
            </w:r>
          </w:p>
          <w:p w14:paraId="3C0F9FC5" w14:textId="77777777" w:rsidR="00171824" w:rsidRDefault="006D258C">
            <w:pPr>
              <w:pStyle w:val="BodyText"/>
              <w:widowControl/>
              <w:rPr>
                <w:rFonts w:eastAsia="MS Mincho"/>
                <w:lang w:val="el-GR"/>
              </w:rPr>
            </w:pPr>
            <w:r>
              <w:rPr>
                <w:rFonts w:eastAsia="MS Mincho"/>
                <w:lang w:val="el-GR"/>
              </w:rPr>
              <w:t>Εβδομάδα 24</w:t>
            </w:r>
          </w:p>
        </w:tc>
        <w:tc>
          <w:tcPr>
            <w:tcW w:w="1782" w:type="dxa"/>
          </w:tcPr>
          <w:p w14:paraId="3E7118AA" w14:textId="77777777" w:rsidR="00171824" w:rsidRDefault="00171824">
            <w:pPr>
              <w:pStyle w:val="TableParagraph"/>
              <w:widowControl/>
              <w:kinsoku w:val="0"/>
              <w:overflowPunct w:val="0"/>
              <w:jc w:val="center"/>
              <w:rPr>
                <w:rFonts w:eastAsia="MS Mincho"/>
                <w:sz w:val="22"/>
                <w:szCs w:val="22"/>
                <w:lang w:val="el-GR"/>
              </w:rPr>
            </w:pPr>
          </w:p>
          <w:p w14:paraId="13CC124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w:t>
            </w:r>
          </w:p>
          <w:p w14:paraId="16E592B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w:t>
            </w:r>
          </w:p>
        </w:tc>
        <w:tc>
          <w:tcPr>
            <w:tcW w:w="1701" w:type="dxa"/>
          </w:tcPr>
          <w:p w14:paraId="003B6D47" w14:textId="77777777" w:rsidR="00171824" w:rsidRDefault="00171824">
            <w:pPr>
              <w:pStyle w:val="TableParagraph"/>
              <w:widowControl/>
              <w:kinsoku w:val="0"/>
              <w:overflowPunct w:val="0"/>
              <w:jc w:val="center"/>
              <w:rPr>
                <w:rFonts w:eastAsia="MS Mincho"/>
                <w:sz w:val="22"/>
                <w:szCs w:val="22"/>
                <w:lang w:val="el-GR"/>
              </w:rPr>
            </w:pPr>
          </w:p>
          <w:p w14:paraId="02DBDFA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36%</w:t>
            </w:r>
            <w:r>
              <w:rPr>
                <w:rFonts w:eastAsia="MS Mincho"/>
                <w:sz w:val="22"/>
                <w:szCs w:val="22"/>
                <w:vertAlign w:val="superscript"/>
                <w:lang w:val="el-GR"/>
              </w:rPr>
              <w:t>***</w:t>
            </w:r>
          </w:p>
          <w:p w14:paraId="481F357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39%</w:t>
            </w:r>
            <w:r>
              <w:rPr>
                <w:rFonts w:eastAsia="MS Mincho"/>
                <w:sz w:val="22"/>
                <w:szCs w:val="22"/>
                <w:vertAlign w:val="superscript"/>
                <w:lang w:val="el-GR"/>
              </w:rPr>
              <w:t>***</w:t>
            </w:r>
          </w:p>
        </w:tc>
        <w:tc>
          <w:tcPr>
            <w:tcW w:w="1729" w:type="dxa"/>
          </w:tcPr>
          <w:p w14:paraId="70525EB2" w14:textId="77777777" w:rsidR="00171824" w:rsidRDefault="00171824">
            <w:pPr>
              <w:pStyle w:val="TableParagraph"/>
              <w:widowControl/>
              <w:kinsoku w:val="0"/>
              <w:overflowPunct w:val="0"/>
              <w:jc w:val="center"/>
              <w:rPr>
                <w:rFonts w:eastAsia="MS Mincho"/>
                <w:sz w:val="22"/>
                <w:szCs w:val="22"/>
                <w:lang w:val="el-GR"/>
              </w:rPr>
            </w:pPr>
          </w:p>
          <w:p w14:paraId="2307BC1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w:t>
            </w:r>
          </w:p>
          <w:p w14:paraId="7AC787B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673" w:type="dxa"/>
          </w:tcPr>
          <w:p w14:paraId="53AE2449" w14:textId="77777777" w:rsidR="00171824" w:rsidRDefault="00171824">
            <w:pPr>
              <w:pStyle w:val="TableParagraph"/>
              <w:widowControl/>
              <w:kinsoku w:val="0"/>
              <w:overflowPunct w:val="0"/>
              <w:jc w:val="center"/>
              <w:rPr>
                <w:rFonts w:eastAsia="MS Mincho"/>
                <w:sz w:val="22"/>
                <w:szCs w:val="22"/>
                <w:lang w:val="el-GR"/>
              </w:rPr>
            </w:pPr>
          </w:p>
          <w:p w14:paraId="5AB2F65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25%</w:t>
            </w:r>
            <w:r>
              <w:rPr>
                <w:rFonts w:eastAsia="MS Mincho"/>
                <w:sz w:val="22"/>
                <w:szCs w:val="22"/>
                <w:vertAlign w:val="superscript"/>
                <w:lang w:val="el-GR"/>
              </w:rPr>
              <w:t>***</w:t>
            </w:r>
          </w:p>
          <w:p w14:paraId="1EA117B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r>
      <w:tr w:rsidR="00171824" w14:paraId="7328758F" w14:textId="77777777">
        <w:tc>
          <w:tcPr>
            <w:tcW w:w="2017" w:type="dxa"/>
          </w:tcPr>
          <w:p w14:paraId="0E9BB449"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ACR 70</w:t>
            </w:r>
          </w:p>
          <w:p w14:paraId="066011E4" w14:textId="77777777" w:rsidR="00171824" w:rsidRDefault="006D258C">
            <w:pPr>
              <w:pStyle w:val="BodyText"/>
              <w:widowControl/>
              <w:rPr>
                <w:rFonts w:eastAsia="MS Mincho"/>
                <w:lang w:val="el-GR"/>
              </w:rPr>
            </w:pPr>
            <w:r>
              <w:rPr>
                <w:rFonts w:eastAsia="MS Mincho"/>
                <w:lang w:val="el-GR"/>
              </w:rPr>
              <w:t>Εβδομάδα 12</w:t>
            </w:r>
          </w:p>
          <w:p w14:paraId="2E9B023D" w14:textId="77777777" w:rsidR="00171824" w:rsidRDefault="006D258C">
            <w:pPr>
              <w:pStyle w:val="BodyText"/>
              <w:widowControl/>
              <w:rPr>
                <w:rFonts w:eastAsia="MS Mincho"/>
                <w:lang w:val="el-GR"/>
              </w:rPr>
            </w:pPr>
            <w:r>
              <w:rPr>
                <w:rFonts w:eastAsia="MS Mincho"/>
                <w:lang w:val="el-GR"/>
              </w:rPr>
              <w:t>Εβδομάδα 24</w:t>
            </w:r>
          </w:p>
        </w:tc>
        <w:tc>
          <w:tcPr>
            <w:tcW w:w="1782" w:type="dxa"/>
          </w:tcPr>
          <w:p w14:paraId="0BB1B0A9" w14:textId="77777777" w:rsidR="00171824" w:rsidRDefault="00171824">
            <w:pPr>
              <w:pStyle w:val="TableParagraph"/>
              <w:widowControl/>
              <w:kinsoku w:val="0"/>
              <w:overflowPunct w:val="0"/>
              <w:jc w:val="center"/>
              <w:rPr>
                <w:rFonts w:eastAsia="MS Mincho"/>
                <w:sz w:val="22"/>
                <w:szCs w:val="22"/>
                <w:lang w:val="el-GR"/>
              </w:rPr>
            </w:pPr>
          </w:p>
          <w:p w14:paraId="3AD2F65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w:t>
            </w:r>
          </w:p>
          <w:p w14:paraId="4A417B9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w:t>
            </w:r>
          </w:p>
        </w:tc>
        <w:tc>
          <w:tcPr>
            <w:tcW w:w="1701" w:type="dxa"/>
          </w:tcPr>
          <w:p w14:paraId="4D2F1FBB" w14:textId="77777777" w:rsidR="00171824" w:rsidRDefault="00171824">
            <w:pPr>
              <w:pStyle w:val="TableParagraph"/>
              <w:widowControl/>
              <w:kinsoku w:val="0"/>
              <w:overflowPunct w:val="0"/>
              <w:jc w:val="center"/>
              <w:rPr>
                <w:rFonts w:eastAsia="MS Mincho"/>
                <w:sz w:val="22"/>
                <w:szCs w:val="22"/>
                <w:lang w:val="el-GR"/>
              </w:rPr>
            </w:pPr>
          </w:p>
          <w:p w14:paraId="23E1148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20%</w:t>
            </w:r>
            <w:r>
              <w:rPr>
                <w:rFonts w:eastAsia="MS Mincho"/>
                <w:sz w:val="22"/>
                <w:szCs w:val="22"/>
                <w:vertAlign w:val="superscript"/>
                <w:lang w:val="el-GR"/>
              </w:rPr>
              <w:t>***</w:t>
            </w:r>
          </w:p>
          <w:p w14:paraId="0CDDB02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23%</w:t>
            </w:r>
            <w:r>
              <w:rPr>
                <w:rFonts w:eastAsia="MS Mincho"/>
                <w:sz w:val="22"/>
                <w:szCs w:val="22"/>
                <w:vertAlign w:val="superscript"/>
                <w:lang w:val="el-GR"/>
              </w:rPr>
              <w:t>***</w:t>
            </w:r>
          </w:p>
        </w:tc>
        <w:tc>
          <w:tcPr>
            <w:tcW w:w="1729" w:type="dxa"/>
          </w:tcPr>
          <w:p w14:paraId="2FBC711C" w14:textId="77777777" w:rsidR="00171824" w:rsidRDefault="00171824">
            <w:pPr>
              <w:pStyle w:val="TableParagraph"/>
              <w:widowControl/>
              <w:kinsoku w:val="0"/>
              <w:overflowPunct w:val="0"/>
              <w:jc w:val="center"/>
              <w:rPr>
                <w:rFonts w:eastAsia="MS Mincho"/>
                <w:sz w:val="22"/>
                <w:szCs w:val="22"/>
                <w:lang w:val="el-GR"/>
              </w:rPr>
            </w:pPr>
          </w:p>
          <w:p w14:paraId="6B4C12F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w:t>
            </w:r>
          </w:p>
          <w:p w14:paraId="607F843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673" w:type="dxa"/>
          </w:tcPr>
          <w:p w14:paraId="1700E62A" w14:textId="77777777" w:rsidR="00171824" w:rsidRDefault="00171824">
            <w:pPr>
              <w:pStyle w:val="TableParagraph"/>
              <w:widowControl/>
              <w:kinsoku w:val="0"/>
              <w:overflowPunct w:val="0"/>
              <w:jc w:val="center"/>
              <w:rPr>
                <w:rFonts w:eastAsia="MS Mincho"/>
                <w:sz w:val="22"/>
                <w:szCs w:val="22"/>
                <w:lang w:val="el-GR"/>
              </w:rPr>
            </w:pPr>
          </w:p>
          <w:p w14:paraId="188A901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14%</w:t>
            </w:r>
            <w:r>
              <w:rPr>
                <w:rFonts w:eastAsia="MS Mincho"/>
                <w:sz w:val="22"/>
                <w:szCs w:val="22"/>
                <w:vertAlign w:val="superscript"/>
                <w:lang w:val="el-GR"/>
              </w:rPr>
              <w:t>*</w:t>
            </w:r>
          </w:p>
          <w:p w14:paraId="16C7342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r>
    </w:tbl>
    <w:p w14:paraId="7232F465" w14:textId="77777777" w:rsidR="00171824" w:rsidRDefault="006D258C">
      <w:pPr>
        <w:pStyle w:val="BodyText"/>
        <w:widowControl/>
        <w:tabs>
          <w:tab w:val="left" w:pos="426"/>
        </w:tabs>
        <w:kinsoku w:val="0"/>
        <w:overflowPunct w:val="0"/>
        <w:ind w:left="284" w:hanging="284"/>
        <w:rPr>
          <w:sz w:val="20"/>
          <w:szCs w:val="20"/>
          <w:lang w:val="el-GR"/>
        </w:rPr>
      </w:pPr>
      <w:r>
        <w:rPr>
          <w:sz w:val="20"/>
          <w:szCs w:val="20"/>
          <w:lang w:val="el-GR"/>
        </w:rPr>
        <w:t>***</w:t>
      </w:r>
      <w:r>
        <w:rPr>
          <w:sz w:val="20"/>
          <w:szCs w:val="20"/>
          <w:lang w:val="el-GR"/>
        </w:rPr>
        <w:tab/>
        <w:t>p &lt; 0,001 για όλες τις συγκρίσεις μεταξύ adalimumab και εικονικού φαρμάκου</w:t>
      </w:r>
    </w:p>
    <w:p w14:paraId="27D6B3DD" w14:textId="77777777" w:rsidR="00171824" w:rsidRDefault="006D258C">
      <w:pPr>
        <w:pStyle w:val="BodyText"/>
        <w:widowControl/>
        <w:tabs>
          <w:tab w:val="left" w:pos="851"/>
        </w:tabs>
        <w:kinsoku w:val="0"/>
        <w:overflowPunct w:val="0"/>
        <w:ind w:left="284" w:hanging="284"/>
        <w:rPr>
          <w:sz w:val="20"/>
          <w:szCs w:val="20"/>
          <w:lang w:val="el-GR"/>
        </w:rPr>
      </w:pPr>
      <w:r>
        <w:rPr>
          <w:sz w:val="20"/>
          <w:szCs w:val="20"/>
          <w:lang w:val="el-GR"/>
        </w:rPr>
        <w:t>*</w:t>
      </w:r>
      <w:r>
        <w:rPr>
          <w:sz w:val="20"/>
          <w:szCs w:val="20"/>
          <w:lang w:val="el-GR"/>
        </w:rPr>
        <w:tab/>
        <w:t>p &lt; 0,05 για όλες τις συγκρίσεις μεταξύ adalimumab και εικονικού φαρμάκου</w:t>
      </w:r>
    </w:p>
    <w:p w14:paraId="72BEF1C9" w14:textId="77777777" w:rsidR="00171824" w:rsidRDefault="006D258C">
      <w:pPr>
        <w:pStyle w:val="BodyText"/>
        <w:widowControl/>
        <w:tabs>
          <w:tab w:val="left" w:pos="567"/>
        </w:tabs>
        <w:kinsoku w:val="0"/>
        <w:overflowPunct w:val="0"/>
        <w:ind w:left="284" w:hanging="284"/>
        <w:rPr>
          <w:sz w:val="20"/>
          <w:szCs w:val="20"/>
          <w:lang w:val="el-GR"/>
        </w:rPr>
      </w:pPr>
      <w:r>
        <w:rPr>
          <w:sz w:val="20"/>
          <w:szCs w:val="20"/>
          <w:lang w:val="el-GR"/>
        </w:rPr>
        <w:t>Ν/Α</w:t>
      </w:r>
      <w:r>
        <w:rPr>
          <w:sz w:val="20"/>
          <w:szCs w:val="20"/>
          <w:lang w:val="el-GR"/>
        </w:rPr>
        <w:tab/>
        <w:t>δεν εφαρμόζεται</w:t>
      </w:r>
    </w:p>
    <w:p w14:paraId="224E9752" w14:textId="77777777" w:rsidR="00171824" w:rsidRDefault="00171824">
      <w:pPr>
        <w:widowControl/>
        <w:kinsoku w:val="0"/>
        <w:overflowPunct w:val="0"/>
        <w:rPr>
          <w:sz w:val="22"/>
          <w:szCs w:val="22"/>
          <w:lang w:val="el-GR"/>
        </w:rPr>
      </w:pPr>
    </w:p>
    <w:p w14:paraId="3C0FDC76" w14:textId="77777777" w:rsidR="00171824" w:rsidRDefault="006D258C">
      <w:pPr>
        <w:pStyle w:val="BodyText"/>
        <w:widowControl/>
        <w:kinsoku w:val="0"/>
        <w:overflowPunct w:val="0"/>
        <w:ind w:left="0"/>
        <w:rPr>
          <w:lang w:val="el-GR"/>
        </w:rPr>
      </w:pPr>
      <w:r>
        <w:rPr>
          <w:lang w:val="el-GR"/>
        </w:rPr>
        <w:t>Οι ανταποκρίσεις κατά ACR στη μελέτη ΨΑ I ήταν παρόμοιες είτε με είτε χωρίς συγχορηγούμενη θεραπεία με μεθοτρεξάτη. Οι ανταποκρίσεις κατά ACR διατηρήθηκαν στην ανοιχτή μελέτη επέκτασης για περίοδο μέχρι 136 εβδομάδες.</w:t>
      </w:r>
    </w:p>
    <w:p w14:paraId="47897322" w14:textId="77777777" w:rsidR="00171824" w:rsidRDefault="00171824">
      <w:pPr>
        <w:widowControl/>
        <w:kinsoku w:val="0"/>
        <w:overflowPunct w:val="0"/>
        <w:rPr>
          <w:sz w:val="22"/>
          <w:szCs w:val="22"/>
          <w:lang w:val="el-GR"/>
        </w:rPr>
      </w:pPr>
    </w:p>
    <w:p w14:paraId="7F12B823" w14:textId="77777777" w:rsidR="00171824" w:rsidRDefault="006D258C">
      <w:pPr>
        <w:pStyle w:val="BodyText"/>
        <w:widowControl/>
        <w:kinsoku w:val="0"/>
        <w:overflowPunct w:val="0"/>
        <w:ind w:left="0"/>
        <w:rPr>
          <w:lang w:val="el-GR"/>
        </w:rPr>
      </w:pPr>
      <w:r>
        <w:rPr>
          <w:lang w:val="el-GR"/>
        </w:rPr>
        <w:t>Ακτινολογικές αλλοιώσεις αξιολογήθηκαν στις μελέτες ψωριασικής αρθρίτιδας. Ακτινογραφίες χειρών, καρπών και ποδών ελήφθησαν στην έναρξη και στην εβδομάδα 24 κατά τη διάρκεια της διπλά τυφλής περιόδου όταν οι ασθενείς λάμβαναν adalimumab ή εικονικό φάρμακο και στην εβδομάδα 48 όταν όλοι οι ασθενείς λάμβαναν adalimumab σε ανοιχτή μελέτη. Χρησιμοποιήθηκε η τροποποιημένη βαθμολογία Total Sharp Score (mTSS), η οποία περιελάμβανε τις άπω φαλλαγγοφαλλαγγικές αρθρώσεις (π.χ., διαφορετική από το ΤSS ο οποίος χρησιμοποιήθηκε για τη ρευματοειδή αρθρίτιδα).</w:t>
      </w:r>
    </w:p>
    <w:p w14:paraId="0C2F2049" w14:textId="77777777" w:rsidR="00171824" w:rsidRDefault="00171824">
      <w:pPr>
        <w:widowControl/>
        <w:kinsoku w:val="0"/>
        <w:overflowPunct w:val="0"/>
        <w:rPr>
          <w:sz w:val="22"/>
          <w:szCs w:val="22"/>
          <w:lang w:val="el-GR"/>
        </w:rPr>
      </w:pPr>
    </w:p>
    <w:p w14:paraId="06F656E2" w14:textId="77777777" w:rsidR="00171824" w:rsidRDefault="006D258C">
      <w:pPr>
        <w:pStyle w:val="BodyText"/>
        <w:widowControl/>
        <w:kinsoku w:val="0"/>
        <w:overflowPunct w:val="0"/>
        <w:ind w:left="0"/>
        <w:rPr>
          <w:lang w:val="el-GR"/>
        </w:rPr>
      </w:pPr>
      <w:r>
        <w:rPr>
          <w:lang w:val="el-GR"/>
        </w:rPr>
        <w:t xml:space="preserve">Η θεραπεία με adalimumab μείωσε το ρυθμό της εξέλιξης της δομικής βλάβης των περιφερικών αρθρώσεων συγκρινόμενη με τη θεραπεία με εικονικό φάρμακο όπως μετρήθηκε από τη μεταβολή από τα αρχικά επίπεδα του mTSS (μέσο </w:t>
      </w:r>
      <w:r>
        <w:rPr>
          <w:u w:val="single"/>
          <w:lang w:val="el-GR"/>
        </w:rPr>
        <w:t xml:space="preserve">± </w:t>
      </w:r>
      <w:r>
        <w:rPr>
          <w:lang w:val="el-GR"/>
        </w:rPr>
        <w:t>SD) 0,8 ± 2,5 στην ομάδα που έλαβε εικονικό φάρμακο (την εβδομάδα 24) συγκρινόμενο με το 0,0 ± 1,9 (p &lt;0,001) στην ομάδα που έλαβε adalimumab (την εβδομάδα 48).</w:t>
      </w:r>
    </w:p>
    <w:p w14:paraId="336FBEB8" w14:textId="77777777" w:rsidR="00171824" w:rsidRDefault="00171824">
      <w:pPr>
        <w:widowControl/>
        <w:kinsoku w:val="0"/>
        <w:overflowPunct w:val="0"/>
        <w:rPr>
          <w:sz w:val="22"/>
          <w:szCs w:val="22"/>
          <w:lang w:val="el-GR"/>
        </w:rPr>
      </w:pPr>
    </w:p>
    <w:p w14:paraId="60F46F89" w14:textId="77777777" w:rsidR="00171824" w:rsidRDefault="006D258C">
      <w:pPr>
        <w:pStyle w:val="BodyText"/>
        <w:widowControl/>
        <w:kinsoku w:val="0"/>
        <w:overflowPunct w:val="0"/>
        <w:ind w:left="0"/>
        <w:rPr>
          <w:lang w:val="el-GR"/>
        </w:rPr>
      </w:pPr>
      <w:r>
        <w:rPr>
          <w:lang w:val="el-GR"/>
        </w:rPr>
        <w:t xml:space="preserve">Σε ασθενείς οι οποίοι έλαβαν adalimumab χωρίς ακτινολογική εξέλιξη από τα αρχικά επίπεδα έως την εβδομάδα 48 (n=102), το 84% συνέχισε να μη δείχνει καμία ακτινολογική εξέλιξη κατά τη διάρκεια των 144 εβδομάδων θεραπείας. Οι ασθενείς οι οποίοι έλαβαν adalimumab κατέδειξαν στατιστικά σημαντική βελτίωση της λειτουργικότητας όπως αξιολογήθηκε από τον HAQ και τον SF 36 (Short </w:t>
      </w:r>
      <w:r>
        <w:rPr>
          <w:lang w:val="el-GR"/>
        </w:rPr>
        <w:lastRenderedPageBreak/>
        <w:t>Form Health Survey) συγκρινόμενη με το εικονικό φάρμακο την εβδομάδα 24. Η βελτιωμένη λειτουργικότητα συνεχίστηκε κατά τη διάρκεια της ανοικτής μελέτης επέκτασης μέχρι την εβδομάδα 136.</w:t>
      </w:r>
    </w:p>
    <w:p w14:paraId="1C67BAAE" w14:textId="77777777" w:rsidR="00171824" w:rsidRDefault="00171824">
      <w:pPr>
        <w:widowControl/>
        <w:kinsoku w:val="0"/>
        <w:overflowPunct w:val="0"/>
        <w:rPr>
          <w:sz w:val="22"/>
          <w:szCs w:val="22"/>
          <w:lang w:val="el-GR"/>
        </w:rPr>
      </w:pPr>
    </w:p>
    <w:p w14:paraId="52716BDE" w14:textId="77777777" w:rsidR="00171824" w:rsidRDefault="006D258C">
      <w:pPr>
        <w:widowControl/>
        <w:kinsoku w:val="0"/>
        <w:overflowPunct w:val="0"/>
        <w:rPr>
          <w:i/>
          <w:sz w:val="22"/>
          <w:szCs w:val="22"/>
          <w:lang w:val="el-GR"/>
        </w:rPr>
      </w:pPr>
      <w:r>
        <w:rPr>
          <w:i/>
          <w:iCs/>
          <w:sz w:val="22"/>
          <w:szCs w:val="22"/>
          <w:lang w:val="el-GR"/>
        </w:rPr>
        <w:t>Ψωρίαση</w:t>
      </w:r>
    </w:p>
    <w:p w14:paraId="64440880" w14:textId="77777777" w:rsidR="00171824" w:rsidRDefault="00171824">
      <w:pPr>
        <w:widowControl/>
        <w:kinsoku w:val="0"/>
        <w:overflowPunct w:val="0"/>
        <w:rPr>
          <w:sz w:val="22"/>
          <w:szCs w:val="22"/>
          <w:lang w:val="el-GR"/>
        </w:rPr>
      </w:pPr>
    </w:p>
    <w:p w14:paraId="21070313" w14:textId="77777777" w:rsidR="00171824" w:rsidRDefault="006D258C">
      <w:pPr>
        <w:pStyle w:val="BodyText"/>
        <w:widowControl/>
        <w:kinsoku w:val="0"/>
        <w:overflowPunct w:val="0"/>
        <w:ind w:left="0"/>
        <w:rPr>
          <w:lang w:val="el-GR"/>
        </w:rPr>
      </w:pPr>
      <w:r>
        <w:rPr>
          <w:lang w:val="el-GR"/>
        </w:rPr>
        <w:t>Η ασφάλεια και η αποτελεσματικότητα του adalimumab μελετήθηκε σε ενήλικες ασθενείς με χρόνια ψωρίαση κατά πλάκας (≥ 10% BSA και Psoriasis Area and Severity Index (PASI) ≥ 12 ή ≥ 10) οι οποίοι ήταν υποψήφιοι για συστηματική θεραπεία ή φωτοθεραπεία σε τυχαιοποιημένες διπλά-τυφλές μελέτες. Το 73% των ασθενών που συμμετείχε σε Μελέτες Ψωρίασης Ι και ΙΙ είχε λάβει προηγουμένως συστηματική θεραπεία ή φωτοθεραπεία. Η ασφάλεια και η αποτελεσματικότητα του adalimumab μελετήθηκαν επίσης σε ενήλικες ασθενείς με μέτρια έως σοβαρή χρόνια ψωρίαση κατά πλάκας με ταυτόχρονη ψωρίαση παλαμών/πελμάτων οι οποίοι ήταν υποψήφιοι για συστηματική θεραπεία σε μία τυχαιοποιημένη, διπλά-τυφλή μελέτη (Μελέτη Ψωρίασης III).</w:t>
      </w:r>
    </w:p>
    <w:p w14:paraId="250DAAF3" w14:textId="77777777" w:rsidR="00171824" w:rsidRDefault="00171824">
      <w:pPr>
        <w:widowControl/>
        <w:kinsoku w:val="0"/>
        <w:overflowPunct w:val="0"/>
        <w:rPr>
          <w:sz w:val="22"/>
          <w:szCs w:val="22"/>
          <w:lang w:val="el-GR"/>
        </w:rPr>
      </w:pPr>
    </w:p>
    <w:p w14:paraId="1863E4DA" w14:textId="77777777" w:rsidR="00171824" w:rsidRDefault="006D258C">
      <w:pPr>
        <w:pStyle w:val="BodyText"/>
        <w:widowControl/>
        <w:kinsoku w:val="0"/>
        <w:overflowPunct w:val="0"/>
        <w:ind w:left="0"/>
        <w:rPr>
          <w:lang w:val="el-GR"/>
        </w:rPr>
      </w:pPr>
      <w:r>
        <w:rPr>
          <w:lang w:val="el-GR"/>
        </w:rPr>
        <w:t>Η Μελέτη Ψωρίασης Ι (REVEAL) αξιολόγησε 1.212 ασθενείς σε τρεις περιόδους θεραπείας. Στην περίοδο Α, οι ασθενείς έλαβαν εικονικό φάρμακο ή adalimumab σε μια αρχική δόση 80 mg, ακολουθούμενη από 40 mg κάθε δεύτερη εβδομάδα, αρχίζοντας μία εβδομάδα μετά την αρχική δόση. Μετά από 16 εβδομάδες θεραπείας, οι ασθενείς οι οποίοι είχαν τουλάχιστον ανταπόκριση PASI 75 (βελτίωση PASI score τουλάχιστον κατά 75% σε σχέση με τα αρχικά επίπεδα) συμπεριλήφθηκαν στην περίοδο Β και έλαβαν ανοικτή θεραπεία με adalimumab 40 mg κάθε δεύτερη εβδομάδα. Οι ασθενείς που διατήρησαν ανταπόκριση ≥ PASI 75 την εβδομάδα 33 και είχαν αρχικά τυχαιοποιηθεί σε ενεργό θεραπεία την περίοδο Α, επανατυχαιοποιήθηκαν την περίοδο Γ, ώστε να λάβουν είτε 40 mg adalimumab κάθε δεύτερη εβδομάδα ή εικονικό φάρμακο για 19 επιπλέον εβδομάδες. Συνολικά σε όλες τις ομάδες θεραπείας, ο μέσος δείκτης PASI στα αρχικά επίπεδα ήταν 18,9 και τα αρχικά επίπεδα του δείκτη Physician’s Global Assessment (PGA) κυμάνθηκαν από “μέτρια” (53% των ασθενών που συμμετείχαν) έως “σοβαρή” (41%) έως “πολύ σοβαρή” (6%).</w:t>
      </w:r>
    </w:p>
    <w:p w14:paraId="4B4F37FE" w14:textId="77777777" w:rsidR="00171824" w:rsidRDefault="00171824">
      <w:pPr>
        <w:widowControl/>
        <w:kinsoku w:val="0"/>
        <w:overflowPunct w:val="0"/>
        <w:rPr>
          <w:sz w:val="22"/>
          <w:szCs w:val="22"/>
          <w:lang w:val="el-GR"/>
        </w:rPr>
      </w:pPr>
    </w:p>
    <w:p w14:paraId="3923D8FA" w14:textId="77777777" w:rsidR="00171824" w:rsidRDefault="006D258C">
      <w:pPr>
        <w:pStyle w:val="BodyText"/>
        <w:widowControl/>
        <w:kinsoku w:val="0"/>
        <w:overflowPunct w:val="0"/>
        <w:ind w:left="0"/>
        <w:rPr>
          <w:lang w:val="el-GR"/>
        </w:rPr>
      </w:pPr>
      <w:r>
        <w:rPr>
          <w:lang w:val="el-GR"/>
        </w:rPr>
        <w:t xml:space="preserve">Η Μελέτη ΙΙ της ψωρίασης (CHAMPION) συνέκρινε την αποτελεσματικότητα και την ασφάλεια του adalimumab </w:t>
      </w:r>
      <w:r>
        <w:rPr>
          <w:i/>
          <w:iCs/>
          <w:lang w:val="el-GR"/>
        </w:rPr>
        <w:t xml:space="preserve">έναντι </w:t>
      </w:r>
      <w:r>
        <w:rPr>
          <w:lang w:val="el-GR"/>
        </w:rPr>
        <w:t>της μεθοτρεξάτης και του εικονικού φαρμάκου σε 271 ασθενείς. Οι ασθενείς έλαβαν εικονικό φάρμακο, μεθοτρεξάτη σε αρχική δόση 7,5 mg και ακολούθως η δόση αυξήθηκε μέχρι την εβδομάδα 12 στη μέγιστη δόση των 25 mg ή adalimumab σε αρχική δόση 80 mg ακολουθούμενη από 40 mg κάθε δεύτερη εβδομάδα (ξεκινώντας μία εβδομάδα μετά την αρχική δόση) για 16 εβδομάδες. Δεν υπάρχουν διαθέσιμα στοιχεία τα οποία συγκρίνουν το adalimumab και τη μεθοτρεξάτη για πάνω από 16 εβδομάδες θεραπείας. Στους ασθενείς που λάμβαναν μεθοτρεξάτη και πέτυχαν ανταπόκριση ≥ PASI 50 την εβδομάδα 8 και /ή την 12 δεν έγιναν επιπρόσθετες αυξήσεις δόσης. Σε όλες τις θεραπευτικές ομάδες, τα μέσα αρχικά επίπεδα ανταπόκρισης PASI ήταν 19,7 και τα αρχικά επίπεδα PGA κυμαίνονται από “ήπια” (&lt; 1%) έως “μέτρια” (48%) έως “σοβαρή” (46%) έως “πολύ σοβαρή” (6%).</w:t>
      </w:r>
    </w:p>
    <w:p w14:paraId="2F47B029" w14:textId="77777777" w:rsidR="00171824" w:rsidRDefault="00171824">
      <w:pPr>
        <w:widowControl/>
        <w:kinsoku w:val="0"/>
        <w:overflowPunct w:val="0"/>
        <w:rPr>
          <w:sz w:val="22"/>
          <w:szCs w:val="22"/>
          <w:lang w:val="el-GR"/>
        </w:rPr>
      </w:pPr>
    </w:p>
    <w:p w14:paraId="6C3DD75B" w14:textId="77777777" w:rsidR="00171824" w:rsidRDefault="006D258C">
      <w:pPr>
        <w:pStyle w:val="BodyText"/>
        <w:widowControl/>
        <w:kinsoku w:val="0"/>
        <w:overflowPunct w:val="0"/>
        <w:ind w:left="0"/>
        <w:rPr>
          <w:lang w:val="el-GR"/>
        </w:rPr>
      </w:pPr>
      <w:r>
        <w:rPr>
          <w:lang w:val="el-GR"/>
        </w:rPr>
        <w:t>Οι ασθενείς που συμμετείχαν σε όλες τις μελέτες ψωρίασης Φάσης 2 και Φάσης 3 κρίθηκαν κατάλληλοι για εισαγωγή σε μία ανοιχτή μελέτη επέκτασης, όπου το adalimumab χορηγήθηκε για τουλάχιστον 108 επιπλέον εβδομάδες.</w:t>
      </w:r>
    </w:p>
    <w:p w14:paraId="1B7B9C52" w14:textId="77777777" w:rsidR="00171824" w:rsidRDefault="00171824">
      <w:pPr>
        <w:widowControl/>
        <w:kinsoku w:val="0"/>
        <w:overflowPunct w:val="0"/>
        <w:rPr>
          <w:sz w:val="22"/>
          <w:szCs w:val="22"/>
          <w:lang w:val="el-GR"/>
        </w:rPr>
      </w:pPr>
    </w:p>
    <w:p w14:paraId="7028BCBE" w14:textId="77777777" w:rsidR="00171824" w:rsidRDefault="006D258C">
      <w:pPr>
        <w:pStyle w:val="BodyText"/>
        <w:widowControl/>
        <w:kinsoku w:val="0"/>
        <w:overflowPunct w:val="0"/>
        <w:ind w:left="0"/>
        <w:jc w:val="both"/>
        <w:rPr>
          <w:lang w:val="el-GR"/>
        </w:rPr>
      </w:pPr>
      <w:r>
        <w:rPr>
          <w:lang w:val="el-GR"/>
        </w:rPr>
        <w:t>Στις Μελέτες Ψωρίασης Ι και ΙΙ, ένα πρωτεύον καταληκτικό σημείο ήταν το ποσοστό των ασθενών οι οποίοι πέτυχαν ανταπόκριση PASI 75 από τα αρχικά επίπεδα μέχρι την εβδομάδα 16 (βλέπε πίνακες 16 και 17).</w:t>
      </w:r>
    </w:p>
    <w:p w14:paraId="65DDC5C0" w14:textId="77777777" w:rsidR="00171824" w:rsidRDefault="00171824">
      <w:pPr>
        <w:pStyle w:val="BodyText"/>
        <w:widowControl/>
        <w:ind w:left="0"/>
        <w:rPr>
          <w:b/>
          <w:lang w:val="el-GR"/>
        </w:rPr>
      </w:pPr>
    </w:p>
    <w:p w14:paraId="07F832FE" w14:textId="77777777" w:rsidR="00171824" w:rsidRDefault="006D258C">
      <w:pPr>
        <w:pStyle w:val="BodyText"/>
        <w:widowControl/>
        <w:ind w:left="0"/>
        <w:rPr>
          <w:b/>
          <w:bCs/>
          <w:lang w:val="el-GR"/>
        </w:rPr>
      </w:pPr>
      <w:r>
        <w:rPr>
          <w:b/>
          <w:lang w:val="el-GR"/>
        </w:rPr>
        <w:t xml:space="preserve">Πίνακας </w:t>
      </w:r>
      <w:r>
        <w:rPr>
          <w:b/>
          <w:bCs/>
          <w:lang w:val="el-GR"/>
        </w:rPr>
        <w:t>16. Μελέτη Ψωρίασης I (REVEAL) Αποτελεσματικότητα στις 16 εβδομάδες</w:t>
      </w:r>
    </w:p>
    <w:p w14:paraId="57C8DE63" w14:textId="77777777" w:rsidR="00171824" w:rsidRDefault="00171824">
      <w:pPr>
        <w:pStyle w:val="BodyText"/>
        <w:widowControl/>
        <w:ind w:left="0"/>
        <w:jc w:val="center"/>
        <w:rPr>
          <w:lang w:val="el-GR"/>
        </w:rPr>
      </w:pPr>
    </w:p>
    <w:tbl>
      <w:tblPr>
        <w:tblW w:w="5000" w:type="pct"/>
        <w:tblCellMar>
          <w:left w:w="0" w:type="dxa"/>
          <w:right w:w="0" w:type="dxa"/>
        </w:tblCellMar>
        <w:tblLook w:val="04A0" w:firstRow="1" w:lastRow="0" w:firstColumn="1" w:lastColumn="0" w:noHBand="0" w:noVBand="1"/>
      </w:tblPr>
      <w:tblGrid>
        <w:gridCol w:w="3933"/>
        <w:gridCol w:w="2091"/>
        <w:gridCol w:w="3037"/>
      </w:tblGrid>
      <w:tr w:rsidR="00171824" w14:paraId="6306CA5F" w14:textId="77777777">
        <w:trPr>
          <w:trHeight w:hRule="exact" w:val="827"/>
          <w:tblHeader/>
        </w:trPr>
        <w:tc>
          <w:tcPr>
            <w:tcW w:w="2170" w:type="pct"/>
            <w:tcBorders>
              <w:top w:val="single" w:sz="4" w:space="0" w:color="000000"/>
              <w:left w:val="single" w:sz="4" w:space="0" w:color="000000"/>
              <w:bottom w:val="single" w:sz="4" w:space="0" w:color="000000"/>
              <w:right w:val="single" w:sz="4" w:space="0" w:color="000000"/>
            </w:tcBorders>
          </w:tcPr>
          <w:p w14:paraId="50086AEF" w14:textId="77777777" w:rsidR="00171824" w:rsidRDefault="00171824">
            <w:pPr>
              <w:widowControl/>
              <w:rPr>
                <w:rFonts w:eastAsia="MS Mincho"/>
                <w:sz w:val="22"/>
                <w:lang w:val="el-GR"/>
              </w:rPr>
            </w:pPr>
          </w:p>
        </w:tc>
        <w:tc>
          <w:tcPr>
            <w:tcW w:w="1154" w:type="pct"/>
            <w:tcBorders>
              <w:top w:val="single" w:sz="4" w:space="0" w:color="000000"/>
              <w:left w:val="single" w:sz="4" w:space="0" w:color="000000"/>
              <w:bottom w:val="single" w:sz="4" w:space="0" w:color="000000"/>
              <w:right w:val="single" w:sz="4" w:space="0" w:color="000000"/>
            </w:tcBorders>
          </w:tcPr>
          <w:p w14:paraId="6DFB2D09"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Εικονικό φάρμακο N=398</w:t>
            </w:r>
          </w:p>
          <w:p w14:paraId="57FBA6C8" w14:textId="77777777" w:rsidR="00171824" w:rsidRDefault="006D258C">
            <w:pPr>
              <w:pStyle w:val="TableParagraph"/>
              <w:widowControl/>
              <w:kinsoku w:val="0"/>
              <w:overflowPunct w:val="0"/>
              <w:jc w:val="center"/>
              <w:rPr>
                <w:rFonts w:eastAsia="MS Mincho"/>
                <w:sz w:val="22"/>
                <w:lang w:val="el-GR"/>
              </w:rPr>
            </w:pPr>
            <w:r>
              <w:rPr>
                <w:rFonts w:eastAsia="MS Mincho"/>
                <w:b/>
                <w:bCs/>
                <w:sz w:val="22"/>
                <w:szCs w:val="22"/>
                <w:lang w:val="el-GR"/>
              </w:rPr>
              <w:t>n (%)</w:t>
            </w:r>
          </w:p>
        </w:tc>
        <w:tc>
          <w:tcPr>
            <w:tcW w:w="1676" w:type="pct"/>
            <w:tcBorders>
              <w:top w:val="single" w:sz="4" w:space="0" w:color="000000"/>
              <w:left w:val="single" w:sz="4" w:space="0" w:color="000000"/>
              <w:bottom w:val="single" w:sz="4" w:space="0" w:color="000000"/>
              <w:right w:val="single" w:sz="4" w:space="0" w:color="000000"/>
            </w:tcBorders>
          </w:tcPr>
          <w:p w14:paraId="6C3A31E0"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Adalimumab 40 mg κάθε δεύτερη εβδομάδα N=814</w:t>
            </w:r>
          </w:p>
          <w:p w14:paraId="0F985BCF" w14:textId="77777777" w:rsidR="00171824" w:rsidRDefault="006D258C">
            <w:pPr>
              <w:pStyle w:val="TableParagraph"/>
              <w:widowControl/>
              <w:kinsoku w:val="0"/>
              <w:overflowPunct w:val="0"/>
              <w:jc w:val="center"/>
              <w:rPr>
                <w:rFonts w:eastAsia="MS Mincho"/>
                <w:sz w:val="22"/>
                <w:lang w:val="el-GR"/>
              </w:rPr>
            </w:pPr>
            <w:r>
              <w:rPr>
                <w:rFonts w:eastAsia="MS Mincho"/>
                <w:b/>
                <w:bCs/>
                <w:sz w:val="22"/>
                <w:szCs w:val="22"/>
                <w:lang w:val="el-GR"/>
              </w:rPr>
              <w:t>n (%)</w:t>
            </w:r>
          </w:p>
        </w:tc>
      </w:tr>
      <w:tr w:rsidR="00171824" w14:paraId="25F23739" w14:textId="77777777">
        <w:trPr>
          <w:trHeight w:hRule="exact" w:val="278"/>
        </w:trPr>
        <w:tc>
          <w:tcPr>
            <w:tcW w:w="2170" w:type="pct"/>
            <w:tcBorders>
              <w:top w:val="single" w:sz="4" w:space="0" w:color="000000"/>
              <w:left w:val="single" w:sz="4" w:space="0" w:color="000000"/>
              <w:bottom w:val="single" w:sz="4" w:space="0" w:color="000000"/>
              <w:right w:val="single" w:sz="4" w:space="0" w:color="000000"/>
            </w:tcBorders>
          </w:tcPr>
          <w:p w14:paraId="168E84DE" w14:textId="77777777" w:rsidR="00171824" w:rsidRDefault="006D258C">
            <w:pPr>
              <w:pStyle w:val="TableParagraph"/>
              <w:widowControl/>
              <w:kinsoku w:val="0"/>
              <w:overflowPunct w:val="0"/>
              <w:ind w:left="102"/>
              <w:rPr>
                <w:rFonts w:eastAsia="MS Mincho"/>
                <w:sz w:val="22"/>
                <w:lang w:val="el-GR"/>
              </w:rPr>
            </w:pPr>
            <w:r>
              <w:rPr>
                <w:rFonts w:eastAsia="MS Mincho"/>
                <w:sz w:val="22"/>
                <w:szCs w:val="22"/>
                <w:lang w:val="el-GR"/>
              </w:rPr>
              <w:t xml:space="preserve">≥ </w:t>
            </w:r>
            <w:r>
              <w:rPr>
                <w:rFonts w:eastAsia="MS Mincho"/>
                <w:b/>
                <w:bCs/>
                <w:sz w:val="22"/>
                <w:szCs w:val="22"/>
                <w:lang w:val="el-GR"/>
              </w:rPr>
              <w:t>PASI 75a</w:t>
            </w:r>
          </w:p>
        </w:tc>
        <w:tc>
          <w:tcPr>
            <w:tcW w:w="1154" w:type="pct"/>
            <w:tcBorders>
              <w:top w:val="single" w:sz="4" w:space="0" w:color="000000"/>
              <w:left w:val="single" w:sz="4" w:space="0" w:color="000000"/>
              <w:bottom w:val="single" w:sz="4" w:space="0" w:color="000000"/>
              <w:right w:val="single" w:sz="4" w:space="0" w:color="000000"/>
            </w:tcBorders>
          </w:tcPr>
          <w:p w14:paraId="748BF0C4"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26 (6,5)</w:t>
            </w:r>
          </w:p>
        </w:tc>
        <w:tc>
          <w:tcPr>
            <w:tcW w:w="1676" w:type="pct"/>
            <w:tcBorders>
              <w:top w:val="single" w:sz="4" w:space="0" w:color="000000"/>
              <w:left w:val="single" w:sz="4" w:space="0" w:color="000000"/>
              <w:bottom w:val="single" w:sz="4" w:space="0" w:color="000000"/>
              <w:right w:val="single" w:sz="4" w:space="0" w:color="000000"/>
            </w:tcBorders>
          </w:tcPr>
          <w:p w14:paraId="37A0914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578 (70,9)</w:t>
            </w:r>
            <w:r>
              <w:rPr>
                <w:rFonts w:eastAsia="MS Mincho"/>
                <w:sz w:val="22"/>
                <w:szCs w:val="22"/>
                <w:vertAlign w:val="superscript"/>
                <w:lang w:val="el-GR"/>
              </w:rPr>
              <w:t>b</w:t>
            </w:r>
          </w:p>
        </w:tc>
      </w:tr>
      <w:tr w:rsidR="00171824" w14:paraId="38FDA0F3" w14:textId="77777777">
        <w:trPr>
          <w:trHeight w:hRule="exact" w:val="269"/>
        </w:trPr>
        <w:tc>
          <w:tcPr>
            <w:tcW w:w="2170" w:type="pct"/>
            <w:tcBorders>
              <w:top w:val="single" w:sz="4" w:space="0" w:color="000000"/>
              <w:left w:val="single" w:sz="4" w:space="0" w:color="000000"/>
              <w:bottom w:val="single" w:sz="4" w:space="0" w:color="000000"/>
              <w:right w:val="single" w:sz="4" w:space="0" w:color="000000"/>
            </w:tcBorders>
          </w:tcPr>
          <w:p w14:paraId="583D44CC" w14:textId="77777777" w:rsidR="00171824" w:rsidRDefault="006D258C">
            <w:pPr>
              <w:pStyle w:val="TableParagraph"/>
              <w:widowControl/>
              <w:kinsoku w:val="0"/>
              <w:overflowPunct w:val="0"/>
              <w:ind w:left="102"/>
              <w:rPr>
                <w:rFonts w:eastAsia="MS Mincho"/>
                <w:sz w:val="22"/>
                <w:lang w:val="el-GR"/>
              </w:rPr>
            </w:pPr>
            <w:r>
              <w:rPr>
                <w:rFonts w:eastAsia="MS Mincho"/>
                <w:b/>
                <w:bCs/>
                <w:sz w:val="22"/>
                <w:szCs w:val="22"/>
                <w:lang w:val="el-GR"/>
              </w:rPr>
              <w:t>PASI 100</w:t>
            </w:r>
          </w:p>
        </w:tc>
        <w:tc>
          <w:tcPr>
            <w:tcW w:w="1154" w:type="pct"/>
            <w:tcBorders>
              <w:top w:val="single" w:sz="4" w:space="0" w:color="000000"/>
              <w:left w:val="single" w:sz="4" w:space="0" w:color="000000"/>
              <w:bottom w:val="single" w:sz="4" w:space="0" w:color="000000"/>
              <w:right w:val="single" w:sz="4" w:space="0" w:color="000000"/>
            </w:tcBorders>
          </w:tcPr>
          <w:p w14:paraId="41851DB3"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 (0,8)</w:t>
            </w:r>
          </w:p>
        </w:tc>
        <w:tc>
          <w:tcPr>
            <w:tcW w:w="1676" w:type="pct"/>
            <w:tcBorders>
              <w:top w:val="single" w:sz="4" w:space="0" w:color="000000"/>
              <w:left w:val="single" w:sz="4" w:space="0" w:color="000000"/>
              <w:bottom w:val="single" w:sz="4" w:space="0" w:color="000000"/>
              <w:right w:val="single" w:sz="4" w:space="0" w:color="000000"/>
            </w:tcBorders>
          </w:tcPr>
          <w:p w14:paraId="2AD142D5"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163 (20,0)</w:t>
            </w:r>
            <w:r>
              <w:rPr>
                <w:rFonts w:eastAsia="MS Mincho"/>
                <w:sz w:val="22"/>
                <w:szCs w:val="22"/>
                <w:vertAlign w:val="superscript"/>
                <w:lang w:val="el-GR"/>
              </w:rPr>
              <w:t>b</w:t>
            </w:r>
          </w:p>
        </w:tc>
      </w:tr>
      <w:tr w:rsidR="00171824" w14:paraId="0C9BF237" w14:textId="77777777">
        <w:trPr>
          <w:trHeight w:hRule="exact" w:val="269"/>
        </w:trPr>
        <w:tc>
          <w:tcPr>
            <w:tcW w:w="2170" w:type="pct"/>
            <w:tcBorders>
              <w:top w:val="single" w:sz="4" w:space="0" w:color="000000"/>
              <w:left w:val="single" w:sz="4" w:space="0" w:color="000000"/>
              <w:bottom w:val="single" w:sz="4" w:space="0" w:color="000000"/>
              <w:right w:val="single" w:sz="4" w:space="0" w:color="000000"/>
            </w:tcBorders>
          </w:tcPr>
          <w:p w14:paraId="75144D43" w14:textId="77777777" w:rsidR="00171824" w:rsidRDefault="006D258C">
            <w:pPr>
              <w:pStyle w:val="TableParagraph"/>
              <w:keepNext/>
              <w:keepLines/>
              <w:widowControl/>
              <w:kinsoku w:val="0"/>
              <w:overflowPunct w:val="0"/>
              <w:ind w:left="102"/>
              <w:rPr>
                <w:rFonts w:eastAsia="MS Mincho"/>
                <w:sz w:val="22"/>
                <w:lang w:val="el-GR"/>
              </w:rPr>
            </w:pPr>
            <w:r>
              <w:rPr>
                <w:rFonts w:eastAsia="MS Mincho"/>
                <w:b/>
                <w:bCs/>
                <w:sz w:val="22"/>
                <w:szCs w:val="22"/>
                <w:lang w:val="el-GR"/>
              </w:rPr>
              <w:lastRenderedPageBreak/>
              <w:t>PGA: Καθαρό /ελάχιστο</w:t>
            </w:r>
          </w:p>
        </w:tc>
        <w:tc>
          <w:tcPr>
            <w:tcW w:w="1154" w:type="pct"/>
            <w:tcBorders>
              <w:top w:val="single" w:sz="4" w:space="0" w:color="000000"/>
              <w:left w:val="single" w:sz="4" w:space="0" w:color="000000"/>
              <w:bottom w:val="single" w:sz="4" w:space="0" w:color="000000"/>
              <w:right w:val="single" w:sz="4" w:space="0" w:color="000000"/>
            </w:tcBorders>
          </w:tcPr>
          <w:p w14:paraId="26E4EC04" w14:textId="77777777" w:rsidR="00171824" w:rsidRDefault="006D258C">
            <w:pPr>
              <w:pStyle w:val="TableParagraph"/>
              <w:keepNext/>
              <w:keepLines/>
              <w:widowControl/>
              <w:kinsoku w:val="0"/>
              <w:overflowPunct w:val="0"/>
              <w:jc w:val="center"/>
              <w:rPr>
                <w:rFonts w:eastAsia="MS Mincho"/>
                <w:sz w:val="22"/>
                <w:lang w:val="el-GR"/>
              </w:rPr>
            </w:pPr>
            <w:r>
              <w:rPr>
                <w:rFonts w:eastAsia="MS Mincho"/>
                <w:sz w:val="22"/>
                <w:szCs w:val="22"/>
                <w:lang w:val="el-GR"/>
              </w:rPr>
              <w:t>17 (4,3)</w:t>
            </w:r>
          </w:p>
        </w:tc>
        <w:tc>
          <w:tcPr>
            <w:tcW w:w="1676" w:type="pct"/>
            <w:tcBorders>
              <w:top w:val="single" w:sz="4" w:space="0" w:color="000000"/>
              <w:left w:val="single" w:sz="4" w:space="0" w:color="000000"/>
              <w:bottom w:val="single" w:sz="4" w:space="0" w:color="000000"/>
              <w:right w:val="single" w:sz="4" w:space="0" w:color="000000"/>
            </w:tcBorders>
          </w:tcPr>
          <w:p w14:paraId="373F25DA" w14:textId="77777777" w:rsidR="00171824" w:rsidRDefault="006D258C">
            <w:pPr>
              <w:pStyle w:val="TableParagraph"/>
              <w:keepNext/>
              <w:keepLines/>
              <w:widowControl/>
              <w:kinsoku w:val="0"/>
              <w:overflowPunct w:val="0"/>
              <w:jc w:val="center"/>
              <w:rPr>
                <w:rFonts w:eastAsia="MS Mincho"/>
                <w:sz w:val="22"/>
                <w:lang w:val="el-GR"/>
              </w:rPr>
            </w:pPr>
            <w:r>
              <w:rPr>
                <w:rFonts w:eastAsia="MS Mincho"/>
                <w:sz w:val="22"/>
                <w:szCs w:val="22"/>
                <w:lang w:val="el-GR"/>
              </w:rPr>
              <w:t>506 (62,2)</w:t>
            </w:r>
            <w:r>
              <w:rPr>
                <w:rFonts w:eastAsia="MS Mincho"/>
                <w:sz w:val="22"/>
                <w:szCs w:val="22"/>
                <w:vertAlign w:val="superscript"/>
                <w:lang w:val="el-GR"/>
              </w:rPr>
              <w:t>b</w:t>
            </w:r>
          </w:p>
        </w:tc>
      </w:tr>
      <w:tr w:rsidR="00171824" w:rsidRPr="00422380" w14:paraId="773AE339" w14:textId="77777777">
        <w:trPr>
          <w:trHeight w:hRule="exact" w:val="787"/>
        </w:trPr>
        <w:tc>
          <w:tcPr>
            <w:tcW w:w="5000" w:type="pct"/>
            <w:gridSpan w:val="3"/>
            <w:tcBorders>
              <w:top w:val="single" w:sz="4" w:space="0" w:color="000000"/>
            </w:tcBorders>
          </w:tcPr>
          <w:p w14:paraId="55A7EF89" w14:textId="77777777" w:rsidR="00171824" w:rsidRDefault="006D258C">
            <w:pPr>
              <w:pStyle w:val="ListParagraph"/>
              <w:keepNext/>
              <w:keepLines/>
              <w:widowControl/>
              <w:numPr>
                <w:ilvl w:val="0"/>
                <w:numId w:val="14"/>
              </w:numPr>
              <w:tabs>
                <w:tab w:val="left" w:pos="351"/>
              </w:tabs>
              <w:kinsoku w:val="0"/>
              <w:overflowPunct w:val="0"/>
              <w:ind w:left="351"/>
              <w:rPr>
                <w:rFonts w:eastAsia="MS Mincho"/>
                <w:sz w:val="20"/>
                <w:szCs w:val="20"/>
                <w:lang w:val="el-GR"/>
              </w:rPr>
            </w:pPr>
            <w:r>
              <w:rPr>
                <w:rFonts w:eastAsia="MS Mincho"/>
                <w:sz w:val="20"/>
                <w:szCs w:val="20"/>
                <w:lang w:val="el-GR"/>
              </w:rPr>
              <w:t>Το ποσοστό ασθενών οι οποίοι πέτυχαν ανταπόκριση PASI 75</w:t>
            </w:r>
          </w:p>
          <w:p w14:paraId="269D4685" w14:textId="77777777" w:rsidR="00171824" w:rsidRDefault="006D258C">
            <w:pPr>
              <w:pStyle w:val="TableParagraph"/>
              <w:keepNext/>
              <w:keepLines/>
              <w:widowControl/>
              <w:kinsoku w:val="0"/>
              <w:overflowPunct w:val="0"/>
              <w:ind w:left="351"/>
              <w:rPr>
                <w:rFonts w:eastAsia="MS Mincho"/>
                <w:sz w:val="20"/>
                <w:szCs w:val="20"/>
                <w:lang w:val="el-GR"/>
              </w:rPr>
            </w:pPr>
            <w:r>
              <w:rPr>
                <w:rFonts w:eastAsia="MS Mincho"/>
                <w:sz w:val="20"/>
                <w:szCs w:val="20"/>
                <w:lang w:val="el-GR"/>
              </w:rPr>
              <w:t>υπολογίστηκε ως ποσοστό προσαρμοσμένο ανάλογα με το κέντρο</w:t>
            </w:r>
          </w:p>
          <w:p w14:paraId="7AA7176E" w14:textId="77777777" w:rsidR="00171824" w:rsidRDefault="006D258C">
            <w:pPr>
              <w:pStyle w:val="ListParagraph"/>
              <w:keepNext/>
              <w:keepLines/>
              <w:widowControl/>
              <w:numPr>
                <w:ilvl w:val="0"/>
                <w:numId w:val="14"/>
              </w:numPr>
              <w:tabs>
                <w:tab w:val="left" w:pos="351"/>
              </w:tabs>
              <w:kinsoku w:val="0"/>
              <w:overflowPunct w:val="0"/>
              <w:ind w:left="351"/>
              <w:rPr>
                <w:rFonts w:eastAsia="MS Mincho"/>
                <w:sz w:val="22"/>
                <w:lang w:val="el-GR"/>
              </w:rPr>
            </w:pPr>
            <w:r>
              <w:rPr>
                <w:rFonts w:eastAsia="MS Mincho"/>
                <w:sz w:val="20"/>
                <w:szCs w:val="20"/>
                <w:lang w:val="el-GR"/>
              </w:rPr>
              <w:t xml:space="preserve">p&lt; 0,001, adalimumab </w:t>
            </w:r>
            <w:r>
              <w:rPr>
                <w:rFonts w:eastAsia="MS Mincho"/>
                <w:iCs/>
                <w:sz w:val="20"/>
                <w:szCs w:val="20"/>
                <w:lang w:val="el-GR"/>
              </w:rPr>
              <w:t>έναντι</w:t>
            </w:r>
            <w:r>
              <w:rPr>
                <w:rFonts w:eastAsia="MS Mincho"/>
                <w:i/>
                <w:iCs/>
                <w:sz w:val="20"/>
                <w:szCs w:val="20"/>
                <w:lang w:val="el-GR"/>
              </w:rPr>
              <w:t xml:space="preserve"> </w:t>
            </w:r>
            <w:r>
              <w:rPr>
                <w:rFonts w:eastAsia="MS Mincho"/>
                <w:sz w:val="20"/>
                <w:szCs w:val="20"/>
                <w:lang w:val="el-GR"/>
              </w:rPr>
              <w:t>εικονικού φαρμάκου.</w:t>
            </w:r>
          </w:p>
        </w:tc>
      </w:tr>
    </w:tbl>
    <w:p w14:paraId="292C031C" w14:textId="77777777" w:rsidR="00171824" w:rsidRDefault="00171824">
      <w:pPr>
        <w:widowControl/>
        <w:kinsoku w:val="0"/>
        <w:overflowPunct w:val="0"/>
        <w:rPr>
          <w:sz w:val="22"/>
          <w:szCs w:val="22"/>
          <w:lang w:val="el-GR"/>
        </w:rPr>
      </w:pPr>
    </w:p>
    <w:p w14:paraId="18801753" w14:textId="77777777" w:rsidR="00171824" w:rsidRDefault="006D258C">
      <w:pPr>
        <w:pStyle w:val="BodyText"/>
        <w:keepNext/>
        <w:widowControl/>
        <w:ind w:left="0"/>
        <w:rPr>
          <w:b/>
          <w:lang w:val="el-GR"/>
        </w:rPr>
      </w:pPr>
      <w:r>
        <w:rPr>
          <w:b/>
          <w:lang w:val="el-GR"/>
        </w:rPr>
        <w:t>Πίνακας 17.</w:t>
      </w:r>
      <w:r>
        <w:rPr>
          <w:b/>
          <w:bCs/>
          <w:lang w:val="el-GR"/>
        </w:rPr>
        <w:t xml:space="preserve"> Μελέτη Ψωρίασης II (CHAMPION) Αποτελεσματικότητα στις 16 εβδομάδες</w:t>
      </w:r>
    </w:p>
    <w:p w14:paraId="050B8FF1" w14:textId="77777777" w:rsidR="00171824" w:rsidRDefault="00171824">
      <w:pPr>
        <w:keepNext/>
        <w:widowControl/>
        <w:kinsoku w:val="0"/>
        <w:overflowPunct w:val="0"/>
        <w:rPr>
          <w:sz w:val="22"/>
          <w:szCs w:val="22"/>
          <w:lang w:val="el-GR"/>
        </w:rPr>
      </w:pPr>
    </w:p>
    <w:tbl>
      <w:tblPr>
        <w:tblW w:w="5000" w:type="pct"/>
        <w:tblCellMar>
          <w:left w:w="0" w:type="dxa"/>
          <w:right w:w="0" w:type="dxa"/>
        </w:tblCellMar>
        <w:tblLook w:val="04A0" w:firstRow="1" w:lastRow="0" w:firstColumn="1" w:lastColumn="0" w:noHBand="0" w:noVBand="1"/>
      </w:tblPr>
      <w:tblGrid>
        <w:gridCol w:w="2128"/>
        <w:gridCol w:w="2403"/>
        <w:gridCol w:w="1600"/>
        <w:gridCol w:w="2930"/>
      </w:tblGrid>
      <w:tr w:rsidR="00171824" w14:paraId="5A8023E8" w14:textId="77777777">
        <w:trPr>
          <w:trHeight w:val="20"/>
        </w:trPr>
        <w:tc>
          <w:tcPr>
            <w:tcW w:w="1174" w:type="pct"/>
            <w:tcBorders>
              <w:top w:val="single" w:sz="4" w:space="0" w:color="000000"/>
              <w:left w:val="single" w:sz="4" w:space="0" w:color="000000"/>
              <w:bottom w:val="single" w:sz="4" w:space="0" w:color="000000"/>
              <w:right w:val="single" w:sz="4" w:space="0" w:color="000000"/>
            </w:tcBorders>
          </w:tcPr>
          <w:p w14:paraId="279DBA4A" w14:textId="77777777" w:rsidR="00171824" w:rsidRDefault="00171824">
            <w:pPr>
              <w:keepNext/>
              <w:widowControl/>
              <w:rPr>
                <w:rFonts w:eastAsia="MS Mincho"/>
                <w:sz w:val="22"/>
                <w:szCs w:val="22"/>
                <w:lang w:val="el-GR"/>
              </w:rPr>
            </w:pPr>
          </w:p>
        </w:tc>
        <w:tc>
          <w:tcPr>
            <w:tcW w:w="1326" w:type="pct"/>
            <w:tcBorders>
              <w:top w:val="single" w:sz="4" w:space="0" w:color="000000"/>
              <w:left w:val="single" w:sz="4" w:space="0" w:color="000000"/>
              <w:bottom w:val="single" w:sz="4" w:space="0" w:color="000000"/>
              <w:right w:val="single" w:sz="4" w:space="0" w:color="000000"/>
            </w:tcBorders>
          </w:tcPr>
          <w:p w14:paraId="69006306"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w:t>
            </w:r>
          </w:p>
          <w:p w14:paraId="4EE3DB95" w14:textId="77777777" w:rsidR="00171824" w:rsidRDefault="006D258C">
            <w:pPr>
              <w:pStyle w:val="TableParagraph"/>
              <w:keepNext/>
              <w:widowControl/>
              <w:kinsoku w:val="0"/>
              <w:overflowPunct w:val="0"/>
              <w:jc w:val="center"/>
              <w:rPr>
                <w:rFonts w:eastAsia="MS Mincho"/>
                <w:b/>
                <w:bCs/>
                <w:sz w:val="22"/>
                <w:szCs w:val="22"/>
                <w:lang w:val="el-GR"/>
              </w:rPr>
            </w:pPr>
            <w:r>
              <w:rPr>
                <w:rFonts w:eastAsia="MS Mincho"/>
                <w:b/>
                <w:bCs/>
                <w:sz w:val="22"/>
                <w:szCs w:val="22"/>
                <w:lang w:val="el-GR"/>
              </w:rPr>
              <w:t>N=53</w:t>
            </w:r>
          </w:p>
          <w:p w14:paraId="166BCD61"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w:t>
            </w:r>
          </w:p>
        </w:tc>
        <w:tc>
          <w:tcPr>
            <w:tcW w:w="883" w:type="pct"/>
            <w:tcBorders>
              <w:top w:val="single" w:sz="4" w:space="0" w:color="000000"/>
              <w:left w:val="single" w:sz="4" w:space="0" w:color="000000"/>
              <w:bottom w:val="single" w:sz="4" w:space="0" w:color="000000"/>
              <w:right w:val="single" w:sz="4" w:space="0" w:color="000000"/>
            </w:tcBorders>
          </w:tcPr>
          <w:p w14:paraId="40B2CB72"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MTX</w:t>
            </w:r>
          </w:p>
          <w:p w14:paraId="263399A6" w14:textId="77777777" w:rsidR="00171824" w:rsidRDefault="006D258C">
            <w:pPr>
              <w:pStyle w:val="TableParagraph"/>
              <w:keepNext/>
              <w:widowControl/>
              <w:kinsoku w:val="0"/>
              <w:overflowPunct w:val="0"/>
              <w:jc w:val="center"/>
              <w:rPr>
                <w:rFonts w:eastAsia="MS Mincho"/>
                <w:b/>
                <w:bCs/>
                <w:sz w:val="22"/>
                <w:szCs w:val="22"/>
                <w:lang w:val="el-GR"/>
              </w:rPr>
            </w:pPr>
            <w:r>
              <w:rPr>
                <w:rFonts w:eastAsia="MS Mincho"/>
                <w:b/>
                <w:bCs/>
                <w:sz w:val="22"/>
                <w:szCs w:val="22"/>
                <w:lang w:val="el-GR"/>
              </w:rPr>
              <w:t>N=110</w:t>
            </w:r>
          </w:p>
          <w:p w14:paraId="249A48DA"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w:t>
            </w:r>
          </w:p>
        </w:tc>
        <w:tc>
          <w:tcPr>
            <w:tcW w:w="1617" w:type="pct"/>
            <w:tcBorders>
              <w:top w:val="single" w:sz="4" w:space="0" w:color="000000"/>
              <w:left w:val="single" w:sz="4" w:space="0" w:color="000000"/>
              <w:bottom w:val="single" w:sz="4" w:space="0" w:color="000000"/>
              <w:right w:val="single" w:sz="4" w:space="0" w:color="000000"/>
            </w:tcBorders>
          </w:tcPr>
          <w:p w14:paraId="4DE99AFA" w14:textId="77777777" w:rsidR="00171824" w:rsidRDefault="006D258C">
            <w:pPr>
              <w:pStyle w:val="TableParagraph"/>
              <w:keepNext/>
              <w:widowControl/>
              <w:kinsoku w:val="0"/>
              <w:overflowPunct w:val="0"/>
              <w:jc w:val="center"/>
              <w:rPr>
                <w:rFonts w:eastAsia="MS Mincho"/>
                <w:b/>
                <w:bCs/>
                <w:sz w:val="22"/>
                <w:szCs w:val="22"/>
                <w:lang w:val="el-GR"/>
              </w:rPr>
            </w:pPr>
            <w:r>
              <w:rPr>
                <w:rFonts w:eastAsia="MS Mincho"/>
                <w:b/>
                <w:bCs/>
                <w:sz w:val="22"/>
                <w:szCs w:val="22"/>
                <w:lang w:val="el-GR"/>
              </w:rPr>
              <w:t>Adalimumab 40 mg κάθε δεύτερη εβδομάδα</w:t>
            </w:r>
          </w:p>
          <w:p w14:paraId="15EB431D"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N=108</w:t>
            </w:r>
          </w:p>
          <w:p w14:paraId="7D7A5E49"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w:t>
            </w:r>
          </w:p>
        </w:tc>
      </w:tr>
      <w:tr w:rsidR="00171824" w14:paraId="70057D63" w14:textId="77777777">
        <w:trPr>
          <w:trHeight w:val="20"/>
        </w:trPr>
        <w:tc>
          <w:tcPr>
            <w:tcW w:w="1174" w:type="pct"/>
            <w:tcBorders>
              <w:top w:val="single" w:sz="4" w:space="0" w:color="000000"/>
              <w:left w:val="single" w:sz="4" w:space="0" w:color="000000"/>
              <w:bottom w:val="single" w:sz="4" w:space="0" w:color="000000"/>
              <w:right w:val="single" w:sz="4" w:space="0" w:color="000000"/>
            </w:tcBorders>
          </w:tcPr>
          <w:p w14:paraId="00EE7232" w14:textId="77777777" w:rsidR="00171824" w:rsidRDefault="006D258C">
            <w:pPr>
              <w:pStyle w:val="TableParagraph"/>
              <w:widowControl/>
              <w:kinsoku w:val="0"/>
              <w:overflowPunct w:val="0"/>
              <w:ind w:left="102"/>
              <w:rPr>
                <w:rFonts w:eastAsia="MS Mincho"/>
                <w:sz w:val="22"/>
                <w:szCs w:val="22"/>
                <w:lang w:val="el-GR"/>
              </w:rPr>
            </w:pPr>
            <w:r>
              <w:rPr>
                <w:rFonts w:eastAsia="MS Mincho"/>
                <w:sz w:val="22"/>
                <w:szCs w:val="22"/>
                <w:lang w:val="el-GR"/>
              </w:rPr>
              <w:t>≥</w:t>
            </w:r>
            <w:r>
              <w:rPr>
                <w:rFonts w:eastAsia="MS Mincho"/>
                <w:b/>
                <w:bCs/>
                <w:sz w:val="22"/>
                <w:szCs w:val="22"/>
                <w:lang w:val="el-GR"/>
              </w:rPr>
              <w:t>PASI 75</w:t>
            </w:r>
          </w:p>
        </w:tc>
        <w:tc>
          <w:tcPr>
            <w:tcW w:w="1326" w:type="pct"/>
            <w:tcBorders>
              <w:top w:val="single" w:sz="4" w:space="0" w:color="000000"/>
              <w:left w:val="single" w:sz="4" w:space="0" w:color="000000"/>
              <w:bottom w:val="single" w:sz="4" w:space="0" w:color="000000"/>
              <w:right w:val="single" w:sz="4" w:space="0" w:color="000000"/>
            </w:tcBorders>
          </w:tcPr>
          <w:p w14:paraId="569FA5C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10 (18,9)</w:t>
            </w:r>
          </w:p>
        </w:tc>
        <w:tc>
          <w:tcPr>
            <w:tcW w:w="883" w:type="pct"/>
            <w:tcBorders>
              <w:top w:val="single" w:sz="4" w:space="0" w:color="000000"/>
              <w:left w:val="single" w:sz="4" w:space="0" w:color="000000"/>
              <w:bottom w:val="single" w:sz="4" w:space="0" w:color="000000"/>
              <w:right w:val="single" w:sz="4" w:space="0" w:color="000000"/>
            </w:tcBorders>
          </w:tcPr>
          <w:p w14:paraId="45A6C2C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39 (35,5)</w:t>
            </w:r>
          </w:p>
        </w:tc>
        <w:tc>
          <w:tcPr>
            <w:tcW w:w="1617" w:type="pct"/>
            <w:tcBorders>
              <w:top w:val="single" w:sz="4" w:space="0" w:color="000000"/>
              <w:left w:val="single" w:sz="4" w:space="0" w:color="000000"/>
              <w:bottom w:val="single" w:sz="4" w:space="0" w:color="000000"/>
              <w:right w:val="single" w:sz="4" w:space="0" w:color="000000"/>
            </w:tcBorders>
          </w:tcPr>
          <w:p w14:paraId="298BB75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 xml:space="preserve">86 (79,6) </w:t>
            </w:r>
            <w:r>
              <w:rPr>
                <w:rFonts w:eastAsia="MS Mincho"/>
                <w:sz w:val="22"/>
                <w:szCs w:val="22"/>
                <w:vertAlign w:val="superscript"/>
                <w:lang w:val="el-GR"/>
              </w:rPr>
              <w:t>a, b</w:t>
            </w:r>
          </w:p>
        </w:tc>
      </w:tr>
      <w:tr w:rsidR="00171824" w14:paraId="77725D1A" w14:textId="77777777">
        <w:trPr>
          <w:trHeight w:val="20"/>
        </w:trPr>
        <w:tc>
          <w:tcPr>
            <w:tcW w:w="1174" w:type="pct"/>
            <w:tcBorders>
              <w:top w:val="single" w:sz="4" w:space="0" w:color="000000"/>
              <w:left w:val="single" w:sz="4" w:space="0" w:color="000000"/>
              <w:bottom w:val="single" w:sz="4" w:space="0" w:color="000000"/>
              <w:right w:val="single" w:sz="4" w:space="0" w:color="000000"/>
            </w:tcBorders>
          </w:tcPr>
          <w:p w14:paraId="1DA837AD" w14:textId="77777777" w:rsidR="00171824" w:rsidRDefault="006D258C">
            <w:pPr>
              <w:pStyle w:val="TableParagraph"/>
              <w:widowControl/>
              <w:kinsoku w:val="0"/>
              <w:overflowPunct w:val="0"/>
              <w:ind w:left="102"/>
              <w:rPr>
                <w:rFonts w:eastAsia="MS Mincho"/>
                <w:sz w:val="22"/>
                <w:szCs w:val="22"/>
                <w:lang w:val="el-GR"/>
              </w:rPr>
            </w:pPr>
            <w:r>
              <w:rPr>
                <w:rFonts w:eastAsia="MS Mincho"/>
                <w:b/>
                <w:bCs/>
                <w:sz w:val="22"/>
                <w:szCs w:val="22"/>
                <w:lang w:val="el-GR"/>
              </w:rPr>
              <w:t>PASI 100</w:t>
            </w:r>
          </w:p>
        </w:tc>
        <w:tc>
          <w:tcPr>
            <w:tcW w:w="1326" w:type="pct"/>
            <w:tcBorders>
              <w:top w:val="single" w:sz="4" w:space="0" w:color="000000"/>
              <w:left w:val="single" w:sz="4" w:space="0" w:color="000000"/>
              <w:bottom w:val="single" w:sz="4" w:space="0" w:color="000000"/>
              <w:right w:val="single" w:sz="4" w:space="0" w:color="000000"/>
            </w:tcBorders>
          </w:tcPr>
          <w:p w14:paraId="596CB34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 (1,9)</w:t>
            </w:r>
          </w:p>
        </w:tc>
        <w:tc>
          <w:tcPr>
            <w:tcW w:w="883" w:type="pct"/>
            <w:tcBorders>
              <w:top w:val="single" w:sz="4" w:space="0" w:color="000000"/>
              <w:left w:val="single" w:sz="4" w:space="0" w:color="000000"/>
              <w:bottom w:val="single" w:sz="4" w:space="0" w:color="000000"/>
              <w:right w:val="single" w:sz="4" w:space="0" w:color="000000"/>
            </w:tcBorders>
          </w:tcPr>
          <w:p w14:paraId="3A27677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8 (7,3)</w:t>
            </w:r>
          </w:p>
        </w:tc>
        <w:tc>
          <w:tcPr>
            <w:tcW w:w="1617" w:type="pct"/>
            <w:tcBorders>
              <w:top w:val="single" w:sz="4" w:space="0" w:color="000000"/>
              <w:left w:val="single" w:sz="4" w:space="0" w:color="000000"/>
              <w:bottom w:val="single" w:sz="4" w:space="0" w:color="000000"/>
              <w:right w:val="single" w:sz="4" w:space="0" w:color="000000"/>
            </w:tcBorders>
          </w:tcPr>
          <w:p w14:paraId="14B8250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 xml:space="preserve">18 (16,7) </w:t>
            </w:r>
            <w:r>
              <w:rPr>
                <w:rFonts w:eastAsia="MS Mincho"/>
                <w:sz w:val="22"/>
                <w:szCs w:val="22"/>
                <w:vertAlign w:val="superscript"/>
                <w:lang w:val="el-GR"/>
              </w:rPr>
              <w:t>c, d</w:t>
            </w:r>
          </w:p>
        </w:tc>
      </w:tr>
      <w:tr w:rsidR="00171824" w14:paraId="56DD33E8" w14:textId="77777777">
        <w:trPr>
          <w:trHeight w:val="20"/>
        </w:trPr>
        <w:tc>
          <w:tcPr>
            <w:tcW w:w="1174" w:type="pct"/>
            <w:tcBorders>
              <w:top w:val="single" w:sz="4" w:space="0" w:color="000000"/>
              <w:left w:val="single" w:sz="4" w:space="0" w:color="000000"/>
              <w:bottom w:val="single" w:sz="4" w:space="0" w:color="000000"/>
              <w:right w:val="single" w:sz="4" w:space="0" w:color="000000"/>
            </w:tcBorders>
          </w:tcPr>
          <w:p w14:paraId="796AB889" w14:textId="77777777" w:rsidR="00171824" w:rsidRDefault="006D258C">
            <w:pPr>
              <w:pStyle w:val="TableParagraph"/>
              <w:widowControl/>
              <w:kinsoku w:val="0"/>
              <w:overflowPunct w:val="0"/>
              <w:ind w:left="102"/>
              <w:rPr>
                <w:rFonts w:eastAsia="MS Mincho"/>
                <w:sz w:val="22"/>
                <w:szCs w:val="22"/>
                <w:lang w:val="el-GR"/>
              </w:rPr>
            </w:pPr>
            <w:r>
              <w:rPr>
                <w:rFonts w:eastAsia="MS Mincho"/>
                <w:b/>
                <w:bCs/>
                <w:sz w:val="22"/>
                <w:szCs w:val="22"/>
                <w:lang w:val="el-GR"/>
              </w:rPr>
              <w:t>PGA:</w:t>
            </w:r>
          </w:p>
          <w:p w14:paraId="0E3656FC" w14:textId="77777777" w:rsidR="00171824" w:rsidRDefault="006D258C">
            <w:pPr>
              <w:pStyle w:val="TableParagraph"/>
              <w:widowControl/>
              <w:kinsoku w:val="0"/>
              <w:overflowPunct w:val="0"/>
              <w:ind w:left="102"/>
              <w:rPr>
                <w:rFonts w:eastAsia="MS Mincho"/>
                <w:sz w:val="22"/>
                <w:szCs w:val="22"/>
                <w:lang w:val="el-GR"/>
              </w:rPr>
            </w:pPr>
            <w:r>
              <w:rPr>
                <w:rFonts w:eastAsia="MS Mincho"/>
                <w:b/>
                <w:bCs/>
                <w:sz w:val="22"/>
                <w:szCs w:val="22"/>
                <w:lang w:val="el-GR"/>
              </w:rPr>
              <w:t>Καθαρό/ελάχιστο</w:t>
            </w:r>
          </w:p>
        </w:tc>
        <w:tc>
          <w:tcPr>
            <w:tcW w:w="1326" w:type="pct"/>
            <w:tcBorders>
              <w:top w:val="single" w:sz="4" w:space="0" w:color="000000"/>
              <w:left w:val="single" w:sz="4" w:space="0" w:color="000000"/>
              <w:bottom w:val="single" w:sz="4" w:space="0" w:color="000000"/>
              <w:right w:val="single" w:sz="4" w:space="0" w:color="000000"/>
            </w:tcBorders>
          </w:tcPr>
          <w:p w14:paraId="55B3B4B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 (11,3)</w:t>
            </w:r>
          </w:p>
        </w:tc>
        <w:tc>
          <w:tcPr>
            <w:tcW w:w="883" w:type="pct"/>
            <w:tcBorders>
              <w:top w:val="single" w:sz="4" w:space="0" w:color="000000"/>
              <w:left w:val="single" w:sz="4" w:space="0" w:color="000000"/>
              <w:bottom w:val="single" w:sz="4" w:space="0" w:color="000000"/>
              <w:right w:val="single" w:sz="4" w:space="0" w:color="000000"/>
            </w:tcBorders>
          </w:tcPr>
          <w:p w14:paraId="6A28F95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33 (30,0)</w:t>
            </w:r>
          </w:p>
        </w:tc>
        <w:tc>
          <w:tcPr>
            <w:tcW w:w="1617" w:type="pct"/>
            <w:tcBorders>
              <w:top w:val="single" w:sz="4" w:space="0" w:color="000000"/>
              <w:left w:val="single" w:sz="4" w:space="0" w:color="000000"/>
              <w:bottom w:val="single" w:sz="4" w:space="0" w:color="000000"/>
              <w:right w:val="single" w:sz="4" w:space="0" w:color="000000"/>
            </w:tcBorders>
          </w:tcPr>
          <w:p w14:paraId="40F3750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 xml:space="preserve">79 (73,1) </w:t>
            </w:r>
            <w:r>
              <w:rPr>
                <w:rFonts w:eastAsia="MS Mincho"/>
                <w:sz w:val="22"/>
                <w:szCs w:val="22"/>
                <w:vertAlign w:val="superscript"/>
                <w:lang w:val="el-GR"/>
              </w:rPr>
              <w:t>a, b</w:t>
            </w:r>
          </w:p>
        </w:tc>
      </w:tr>
      <w:tr w:rsidR="00171824" w14:paraId="18FBE9F1" w14:textId="77777777">
        <w:trPr>
          <w:trHeight w:val="20"/>
        </w:trPr>
        <w:tc>
          <w:tcPr>
            <w:tcW w:w="5000" w:type="pct"/>
            <w:gridSpan w:val="4"/>
            <w:tcBorders>
              <w:top w:val="single" w:sz="4" w:space="0" w:color="000000"/>
            </w:tcBorders>
          </w:tcPr>
          <w:p w14:paraId="7F1D251E" w14:textId="77777777" w:rsidR="00171824" w:rsidRDefault="006D258C">
            <w:pPr>
              <w:pStyle w:val="ListParagraph"/>
              <w:widowControl/>
              <w:numPr>
                <w:ilvl w:val="0"/>
                <w:numId w:val="15"/>
              </w:numPr>
              <w:tabs>
                <w:tab w:val="left" w:pos="399"/>
              </w:tabs>
              <w:kinsoku w:val="0"/>
              <w:overflowPunct w:val="0"/>
              <w:ind w:left="284"/>
              <w:rPr>
                <w:rFonts w:eastAsia="MS Mincho"/>
                <w:sz w:val="20"/>
                <w:szCs w:val="20"/>
                <w:lang w:val="el-GR"/>
              </w:rPr>
            </w:pPr>
            <w:r>
              <w:rPr>
                <w:rFonts w:eastAsia="MS Mincho"/>
                <w:sz w:val="20"/>
                <w:szCs w:val="20"/>
                <w:lang w:val="el-GR"/>
              </w:rPr>
              <w:t xml:space="preserve">p&lt; 0,001 adalimumab </w:t>
            </w:r>
            <w:r>
              <w:rPr>
                <w:rFonts w:eastAsia="MS Mincho"/>
                <w:i/>
                <w:iCs/>
                <w:sz w:val="20"/>
                <w:szCs w:val="20"/>
                <w:lang w:val="el-GR"/>
              </w:rPr>
              <w:t xml:space="preserve">έναντι </w:t>
            </w:r>
            <w:r>
              <w:rPr>
                <w:rFonts w:eastAsia="MS Mincho"/>
                <w:sz w:val="20"/>
                <w:szCs w:val="20"/>
                <w:lang w:val="el-GR"/>
              </w:rPr>
              <w:t>εικονικού φαρμάκου</w:t>
            </w:r>
          </w:p>
          <w:p w14:paraId="1C25E7F0" w14:textId="77777777" w:rsidR="00171824" w:rsidRDefault="006D258C">
            <w:pPr>
              <w:pStyle w:val="ListParagraph"/>
              <w:widowControl/>
              <w:numPr>
                <w:ilvl w:val="0"/>
                <w:numId w:val="15"/>
              </w:numPr>
              <w:tabs>
                <w:tab w:val="left" w:pos="399"/>
              </w:tabs>
              <w:kinsoku w:val="0"/>
              <w:overflowPunct w:val="0"/>
              <w:ind w:left="284"/>
              <w:rPr>
                <w:rFonts w:eastAsia="MS Mincho"/>
                <w:sz w:val="20"/>
                <w:szCs w:val="20"/>
                <w:lang w:val="el-GR"/>
              </w:rPr>
            </w:pPr>
            <w:r>
              <w:rPr>
                <w:rFonts w:eastAsia="MS Mincho"/>
                <w:sz w:val="20"/>
                <w:szCs w:val="20"/>
                <w:lang w:val="el-GR"/>
              </w:rPr>
              <w:t xml:space="preserve">p&lt; 0,001 adalimumab </w:t>
            </w:r>
            <w:r>
              <w:rPr>
                <w:rFonts w:eastAsia="MS Mincho"/>
                <w:i/>
                <w:iCs/>
                <w:sz w:val="20"/>
                <w:szCs w:val="20"/>
                <w:lang w:val="el-GR"/>
              </w:rPr>
              <w:t xml:space="preserve">έναντι </w:t>
            </w:r>
            <w:r>
              <w:rPr>
                <w:rFonts w:eastAsia="MS Mincho"/>
                <w:sz w:val="20"/>
                <w:szCs w:val="20"/>
                <w:lang w:val="el-GR"/>
              </w:rPr>
              <w:t>μεθοτρεξάτης</w:t>
            </w:r>
          </w:p>
          <w:p w14:paraId="753F955C" w14:textId="77777777" w:rsidR="00171824" w:rsidRDefault="006D258C">
            <w:pPr>
              <w:pStyle w:val="ListParagraph"/>
              <w:widowControl/>
              <w:numPr>
                <w:ilvl w:val="0"/>
                <w:numId w:val="15"/>
              </w:numPr>
              <w:tabs>
                <w:tab w:val="left" w:pos="399"/>
              </w:tabs>
              <w:kinsoku w:val="0"/>
              <w:overflowPunct w:val="0"/>
              <w:ind w:left="284"/>
              <w:rPr>
                <w:rFonts w:eastAsia="MS Mincho"/>
                <w:sz w:val="20"/>
                <w:szCs w:val="20"/>
                <w:lang w:val="el-GR"/>
              </w:rPr>
            </w:pPr>
            <w:r>
              <w:rPr>
                <w:rFonts w:eastAsia="MS Mincho"/>
                <w:sz w:val="20"/>
                <w:szCs w:val="20"/>
                <w:lang w:val="el-GR"/>
              </w:rPr>
              <w:t xml:space="preserve">p&lt; 0,01 adalimumab </w:t>
            </w:r>
            <w:r>
              <w:rPr>
                <w:rFonts w:eastAsia="MS Mincho"/>
                <w:i/>
                <w:iCs/>
                <w:sz w:val="20"/>
                <w:szCs w:val="20"/>
                <w:lang w:val="el-GR"/>
              </w:rPr>
              <w:t xml:space="preserve">έναντι </w:t>
            </w:r>
            <w:r>
              <w:rPr>
                <w:rFonts w:eastAsia="MS Mincho"/>
                <w:sz w:val="20"/>
                <w:szCs w:val="20"/>
                <w:lang w:val="el-GR"/>
              </w:rPr>
              <w:t>εικονικού φαρμάκου</w:t>
            </w:r>
          </w:p>
          <w:p w14:paraId="2351ECF3" w14:textId="77777777" w:rsidR="00171824" w:rsidRDefault="006D258C">
            <w:pPr>
              <w:pStyle w:val="ListParagraph"/>
              <w:widowControl/>
              <w:numPr>
                <w:ilvl w:val="0"/>
                <w:numId w:val="15"/>
              </w:numPr>
              <w:tabs>
                <w:tab w:val="left" w:pos="399"/>
              </w:tabs>
              <w:kinsoku w:val="0"/>
              <w:overflowPunct w:val="0"/>
              <w:ind w:left="284"/>
              <w:rPr>
                <w:rFonts w:eastAsia="MS Mincho"/>
                <w:sz w:val="22"/>
                <w:szCs w:val="22"/>
                <w:lang w:val="el-GR"/>
              </w:rPr>
            </w:pPr>
            <w:r>
              <w:rPr>
                <w:rFonts w:eastAsia="MS Mincho"/>
                <w:sz w:val="20"/>
                <w:szCs w:val="20"/>
                <w:lang w:val="el-GR"/>
              </w:rPr>
              <w:t xml:space="preserve">p&lt; 0,05 adalimumab </w:t>
            </w:r>
            <w:r>
              <w:rPr>
                <w:rFonts w:eastAsia="MS Mincho"/>
                <w:i/>
                <w:iCs/>
                <w:sz w:val="20"/>
                <w:szCs w:val="20"/>
                <w:lang w:val="el-GR"/>
              </w:rPr>
              <w:t xml:space="preserve">έναντι </w:t>
            </w:r>
            <w:r>
              <w:rPr>
                <w:rFonts w:eastAsia="MS Mincho"/>
                <w:sz w:val="20"/>
                <w:szCs w:val="20"/>
                <w:lang w:val="el-GR"/>
              </w:rPr>
              <w:t>μεθοτρεξάτης</w:t>
            </w:r>
          </w:p>
        </w:tc>
      </w:tr>
    </w:tbl>
    <w:p w14:paraId="134A76DB" w14:textId="77777777" w:rsidR="00171824" w:rsidRDefault="00171824">
      <w:pPr>
        <w:widowControl/>
        <w:kinsoku w:val="0"/>
        <w:overflowPunct w:val="0"/>
        <w:rPr>
          <w:sz w:val="22"/>
          <w:szCs w:val="22"/>
          <w:lang w:val="el-GR"/>
        </w:rPr>
      </w:pPr>
    </w:p>
    <w:p w14:paraId="2ABE5ACB" w14:textId="77777777" w:rsidR="00171824" w:rsidRDefault="006D258C">
      <w:pPr>
        <w:pStyle w:val="BodyText"/>
        <w:widowControl/>
        <w:kinsoku w:val="0"/>
        <w:overflowPunct w:val="0"/>
        <w:ind w:left="0"/>
        <w:rPr>
          <w:lang w:val="el-GR"/>
        </w:rPr>
      </w:pPr>
      <w:r>
        <w:rPr>
          <w:lang w:val="el-GR"/>
        </w:rPr>
        <w:t>Στη Μελέτη Ψωρίασης Ι, το 28% των ασθενών που είχαν ανταπόκριση PASI 75 και επανατυχαιοποιήθηκαν στο εικονικό φάρμακο την εβδομάδα 33 σε σχέση με το 5% των ασθενών οι οποίοι συνέχισαν με adalimumab , p&lt; 0,001, εμφάνισαν “απώλεια επαρκούς ανταπόκρισης” (δείκτης PASI μετά την εβδομάδα 33 και κατά τη διάρκεια ή πριν την εβδομάδα 52 που οδήγησε σε ανταπόκριση &lt; PASI 50 σε σχέση με τα αρχικά επίπεδα με ελάχιστη αύξηση 6 βαθμών στο δείκτη PASI σε σχέση με την εβδομάδα 33). Από τους ασθενείς οι οποίοι εμφάνισαν απώλεια επαρκούς ανταπόκρισης μετά την επανατυχαιοποίηση σε εικονικό φάρμακο και οι οποίοι τότε εντάχθηκαν στην ανοιχτή φάση της μελέτης επέκτασης, το 38% (25/66) και το 55% (36/66) επανέκτησαν ανταπόκριση PASI 75 μετά από 12 και 24 εβδομάδες επαναχορήγησης, αντίστοιχα.</w:t>
      </w:r>
    </w:p>
    <w:p w14:paraId="63ADF02A" w14:textId="77777777" w:rsidR="00171824" w:rsidRDefault="00171824">
      <w:pPr>
        <w:widowControl/>
        <w:kinsoku w:val="0"/>
        <w:overflowPunct w:val="0"/>
        <w:rPr>
          <w:sz w:val="22"/>
          <w:szCs w:val="22"/>
          <w:lang w:val="el-GR"/>
        </w:rPr>
      </w:pPr>
    </w:p>
    <w:p w14:paraId="22E373F8" w14:textId="77777777" w:rsidR="00171824" w:rsidRDefault="006D258C">
      <w:pPr>
        <w:pStyle w:val="BodyText"/>
        <w:widowControl/>
        <w:kinsoku w:val="0"/>
        <w:overflowPunct w:val="0"/>
        <w:ind w:left="0"/>
        <w:rPr>
          <w:lang w:val="el-GR"/>
        </w:rPr>
      </w:pPr>
      <w:r>
        <w:rPr>
          <w:lang w:val="el-GR"/>
        </w:rPr>
        <w:t>Συνολικά 233 ασθενείς που είχαν ανταπόκριση PASI 75 την εβδομάδα 16 και την εβδομάδα 33 έλαβαν συνεχή θεραπεία με adalimumab επί 52 εβδομάδες στη Μελέτη Ψωρίασης Ι, και συνέχισαν το adalimumab στην ανοιχτή μελέτη επέκτασης. Τα ποσοστά ανταπόκρισης κατά PASI 75 και PGA καθαρό ή ελάχιστο σε αυτούς τους ασθενείς ήταν 74,7% και 59,0% αντίστοιχα μετά από επιπλέον 108 εβδομάδες ανοικτής θεραπείας (συνολικά 160 εβδομάδες). Σε μια ανάλυση όπου όλοι οι ασθενείς που αποσύρθηκαν από τη μελέτη λόγω ανεπιθυμήτων ενεργειών ή έλλειψης αποτελεσματικότητας ή όπου αυξήθηκε η δόση, θεωρήθηκαν ως μη ανταποκρινόμενοι, τα ποσοστά ανταπόκρισης κατά PASI 75 και PGA καθαρό ή ελάχιστο σε αυτούς τους ασθενείς ήταν 69,6% και 55,7%, αντίστοιχα, μετά από επιπλέον 108 εβδομάδες ανοικτής θεραπείας (συνολικά 160 εβδομάδες).</w:t>
      </w:r>
    </w:p>
    <w:p w14:paraId="0AE4BC7A" w14:textId="77777777" w:rsidR="00171824" w:rsidRDefault="00171824">
      <w:pPr>
        <w:widowControl/>
        <w:kinsoku w:val="0"/>
        <w:overflowPunct w:val="0"/>
        <w:rPr>
          <w:sz w:val="22"/>
          <w:szCs w:val="22"/>
          <w:lang w:val="el-GR"/>
        </w:rPr>
      </w:pPr>
    </w:p>
    <w:p w14:paraId="041F3D76" w14:textId="77777777" w:rsidR="00171824" w:rsidRDefault="006D258C">
      <w:pPr>
        <w:pStyle w:val="BodyText"/>
        <w:widowControl/>
        <w:kinsoku w:val="0"/>
        <w:overflowPunct w:val="0"/>
        <w:ind w:left="0"/>
        <w:rPr>
          <w:lang w:val="el-GR"/>
        </w:rPr>
      </w:pPr>
      <w:r>
        <w:rPr>
          <w:lang w:val="el-GR"/>
        </w:rPr>
        <w:t>Συνολικά 347 ασθενείς με σταθερή ανταπόκριση συμμετείχαν σε μια ανοιχτή μελέτη επέκτασης με σκοπό την αξιολόγηση της απόσυρσης και της επαναθεραπείας. Κατά τη διάρκεια της περιόδου απόσυρσης, τα συμπτώματα της ψωρίασης επέστρεψαν με την πάροδο του χρόνου με μέσο χρόνο υποτροπής περίπου 5 μήνες (μείωση του PGA σε “μέτρια” ή σοβαρή νόσο). Κανένας από αυτούς τους ασθενείς δεν παρουσίασε υποτροπή (rebound) κατά τη διάρκεια της περιόδου απόσυρσης. Ένα σύνολο 76,5% (218/285) των ασθενών οι οποίοι εισήλθαν στην περίοδο επαναθεραπείας είχε μια ανταπόκριση του PGA "καθαρή" ή "ελάχιστη" μετά από 16 εβδομάδες επαναθεραπείας, ανεξάρτητα από το εάν υποτροπίασαν κατά την απόσυρση (69,1% [123/178] και 88,8% [95/107] ήταν ασθενείς που υποτροπίασαν και που δεν υποτροπίασαν κατά τη διάρκεια της περιόδου απόσυρσης, αντίστοιχα). Ένα παρόμοιο προφίλ ασφαλείας παρατηρήθηκε κατά τη διάρκεια επαναθεραπείας όπως πριν την απόσυρση.</w:t>
      </w:r>
    </w:p>
    <w:p w14:paraId="3D8580A1" w14:textId="77777777" w:rsidR="00171824" w:rsidRDefault="00171824">
      <w:pPr>
        <w:keepNext/>
        <w:widowControl/>
        <w:kinsoku w:val="0"/>
        <w:overflowPunct w:val="0"/>
        <w:rPr>
          <w:sz w:val="22"/>
          <w:szCs w:val="22"/>
          <w:lang w:val="el-GR"/>
        </w:rPr>
      </w:pPr>
    </w:p>
    <w:p w14:paraId="45A47322" w14:textId="77777777" w:rsidR="00171824" w:rsidRDefault="006D258C">
      <w:pPr>
        <w:pStyle w:val="BodyText"/>
        <w:widowControl/>
        <w:kinsoku w:val="0"/>
        <w:overflowPunct w:val="0"/>
        <w:ind w:left="0"/>
        <w:rPr>
          <w:lang w:val="el-GR"/>
        </w:rPr>
      </w:pPr>
      <w:r>
        <w:rPr>
          <w:lang w:val="el-GR"/>
        </w:rPr>
        <w:t>Σημαντικές βελτιώσεις στην εβδομάδα 16 από τα αρχικά επίπεδα σε σχέση με το εικονικό φάρμακο (Μελέτες Ι και ΙΙ) και τη μεθοτρεξάτη (Μελέτη ΙΙ) επιτεύχθηκαν στο DLQI (Dermatology Life Quality Index). Στη Μελέτη Ι, οι βελτιώσεις στις σωματικές και ψυχολογικές παραμέτρους του SF-36 ήταν επίσης σημαντικές σε σχέση με το εικονικό φάρμακο.</w:t>
      </w:r>
    </w:p>
    <w:p w14:paraId="50E1C69A" w14:textId="77777777" w:rsidR="00171824" w:rsidRDefault="00171824">
      <w:pPr>
        <w:widowControl/>
        <w:kinsoku w:val="0"/>
        <w:overflowPunct w:val="0"/>
        <w:rPr>
          <w:sz w:val="22"/>
          <w:szCs w:val="22"/>
          <w:lang w:val="el-GR"/>
        </w:rPr>
      </w:pPr>
    </w:p>
    <w:p w14:paraId="008CE754" w14:textId="77777777" w:rsidR="00171824" w:rsidRDefault="006D258C">
      <w:pPr>
        <w:pStyle w:val="BodyText"/>
        <w:widowControl/>
        <w:kinsoku w:val="0"/>
        <w:overflowPunct w:val="0"/>
        <w:ind w:left="0"/>
        <w:rPr>
          <w:lang w:val="el-GR"/>
        </w:rPr>
      </w:pPr>
      <w:r>
        <w:rPr>
          <w:lang w:val="el-GR"/>
        </w:rPr>
        <w:t>Σε μία ανοιχτή μελέτη επέκτασης, για τους ασθενείς στους οποίους η δόση διαμορφώθηκε από 40 mg κάθε δεύτερη εβδομάδα σε 40 mg κάθε εβδομάδα εξαιτίας της ανταπόκρισης PASI κάτω από 50%, 26,4% (92/349) και 37,8% (132/349) των ασθενών πέτυχαν ανταπόκριση PASI 75 την εβδομάδα 12 και 24, αντίστοιχα.</w:t>
      </w:r>
    </w:p>
    <w:p w14:paraId="38932BC7" w14:textId="77777777" w:rsidR="00171824" w:rsidRDefault="00171824">
      <w:pPr>
        <w:widowControl/>
        <w:kinsoku w:val="0"/>
        <w:overflowPunct w:val="0"/>
        <w:rPr>
          <w:sz w:val="22"/>
          <w:szCs w:val="22"/>
          <w:lang w:val="el-GR"/>
        </w:rPr>
      </w:pPr>
    </w:p>
    <w:p w14:paraId="010335DC" w14:textId="77777777" w:rsidR="00171824" w:rsidRDefault="006D258C">
      <w:pPr>
        <w:pStyle w:val="BodyText"/>
        <w:widowControl/>
        <w:kinsoku w:val="0"/>
        <w:overflowPunct w:val="0"/>
        <w:ind w:left="0"/>
        <w:rPr>
          <w:lang w:val="el-GR"/>
        </w:rPr>
      </w:pPr>
      <w:r>
        <w:rPr>
          <w:lang w:val="el-GR"/>
        </w:rPr>
        <w:t>Η Μελέτη Ψωρίασης III (REACH) συνέκρινε την αποτελεσματικότητα και την ασφάλεια του adalimumab έναντι εικονικού φαρμάκου σε 72 ασθενείς με μέτρια έως σοβαρή χρόνια ψωρίαση κατά πλάκας και ψωρίαση παλαμών και/ή πελμάτων. Οι ασθενείς έλαβαν μία αρχική δόση 80 mg adalimumab ακολουθούμενη από 40 mg κάθε δεύτερη εβδομάδα (ξεκινώντας μία εβδομάδα μετά την αρχική δόση) ή εικονικό φάρμακο για 16 εβδομάδες. Την εβδομάδα 16, ένα στατιστικά σημαντικά μεγαλύτερο ποσοστό των ασθενών που έλαβαν adalimumab πέτυχε «εξάλειψη των βλαβών» ή «σχεδόν εξάλειψη των βλαβών» κατά PGA στις παλάμες και/ή στα πέλματα σε σύγκριση με τους ασθενείς που έλαβαν εικονικό φάρμακο (30,6% έναντι 4,3%, αντίστοιχα [P = 0,014]).</w:t>
      </w:r>
    </w:p>
    <w:p w14:paraId="7335D937" w14:textId="77777777" w:rsidR="00171824" w:rsidRDefault="00171824">
      <w:pPr>
        <w:pStyle w:val="BodyText"/>
        <w:widowControl/>
        <w:kinsoku w:val="0"/>
        <w:overflowPunct w:val="0"/>
        <w:ind w:left="0"/>
        <w:rPr>
          <w:lang w:val="el-GR"/>
        </w:rPr>
      </w:pPr>
    </w:p>
    <w:p w14:paraId="73DAF7D5" w14:textId="77777777" w:rsidR="00171824" w:rsidRDefault="006D258C">
      <w:pPr>
        <w:pStyle w:val="BodyText"/>
        <w:widowControl/>
        <w:kinsoku w:val="0"/>
        <w:overflowPunct w:val="0"/>
        <w:ind w:left="0"/>
        <w:jc w:val="both"/>
        <w:rPr>
          <w:lang w:val="el-GR"/>
        </w:rPr>
      </w:pPr>
      <w:r>
        <w:rPr>
          <w:lang w:val="el-GR"/>
        </w:rPr>
        <w:t>Η Μελέτη Ψωρίασης IV συνέκρινε την αποτελεσματικότητα και την ασφάλεια του adalimumab έναντι εικονικού φαρμάκου σε 217 ενήλικες ασθενείς με μέτρια έως σοβαρή ψωριασική ονυχία. Οι ασθενείς έλαβαν μία αρχική δόση 80 mg adalimumab ακολουθούμενη από 40 mg κάθε δεύτερη εβδομάδα (ξεκινώντας μία εβδομάδα μετά την αρχική δόση) ή εικονικό φάρμακο για 26 εβδομάδες, ακολουθούμενο από ανοιχτή θεραπεία με adalimumab για επιπλέον 26 εβδομάδες. Οι αξιολογήσεις της ψωριασικής ονυχίας περιλάμβαναν τον τροποποιημένο Δείκτη Σοβαρότητας της Ψωριασικής Ονυχίας (mNAPSI), τη Συνολική Εκτίμηση του Γιατρού για την Ψωριασική Ονυχία (PGA-F) και τον Δείκτη Σοβαρότητας της Ψωριασικής Ονυχίας (NAPSI) (βλέπε πίνακα 18). Το adalimumab κατέδειξε όφελος της θεραπείας σε ασθενείς με ψωριασική ονυχία με διαφορετικές εκτάσεις δερματικών βλαβών (BSA≥ 10% (60% των ασθενών) και BSA&lt; 10% και ≥ 5% (40% των ασθενών)).</w:t>
      </w:r>
    </w:p>
    <w:p w14:paraId="32629E7D" w14:textId="77777777" w:rsidR="00171824" w:rsidRDefault="00171824">
      <w:pPr>
        <w:widowControl/>
        <w:kinsoku w:val="0"/>
        <w:overflowPunct w:val="0"/>
        <w:rPr>
          <w:sz w:val="22"/>
          <w:szCs w:val="22"/>
          <w:lang w:val="el-GR"/>
        </w:rPr>
      </w:pPr>
    </w:p>
    <w:p w14:paraId="0C6701D9" w14:textId="77777777" w:rsidR="00171824" w:rsidRDefault="006D258C">
      <w:pPr>
        <w:keepNext/>
        <w:widowControl/>
        <w:suppressAutoHyphens/>
        <w:kinsoku w:val="0"/>
        <w:overflowPunct w:val="0"/>
        <w:rPr>
          <w:b/>
          <w:sz w:val="22"/>
          <w:szCs w:val="22"/>
          <w:lang w:val="el-GR"/>
        </w:rPr>
      </w:pPr>
      <w:r>
        <w:rPr>
          <w:b/>
          <w:sz w:val="22"/>
          <w:szCs w:val="22"/>
          <w:lang w:val="el-GR"/>
        </w:rPr>
        <w:t>Πίνακας 18. Μελέτη Ψωρίασης ΙV - Αποτελεσματικότητα στις 16, 26 και 52 εβδομάδες</w:t>
      </w:r>
    </w:p>
    <w:p w14:paraId="66BE8C8A" w14:textId="77777777" w:rsidR="00171824" w:rsidRDefault="00171824">
      <w:pPr>
        <w:keepNext/>
        <w:widowControl/>
        <w:kinsoku w:val="0"/>
        <w:overflowPunct w:val="0"/>
        <w:rPr>
          <w:b/>
          <w:sz w:val="22"/>
          <w:szCs w:val="22"/>
          <w:lang w:val="el-GR"/>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1173"/>
        <w:gridCol w:w="1508"/>
        <w:gridCol w:w="1257"/>
        <w:gridCol w:w="1521"/>
        <w:gridCol w:w="1487"/>
      </w:tblGrid>
      <w:tr w:rsidR="00171824" w14:paraId="377BED2B" w14:textId="77777777">
        <w:trPr>
          <w:tblHeader/>
        </w:trPr>
        <w:tc>
          <w:tcPr>
            <w:tcW w:w="1122" w:type="pct"/>
            <w:vMerge w:val="restart"/>
          </w:tcPr>
          <w:p w14:paraId="37227881" w14:textId="77777777" w:rsidR="00171824" w:rsidRDefault="006D258C">
            <w:pPr>
              <w:pStyle w:val="gtctablespaceafter"/>
              <w:spacing w:after="0"/>
              <w:rPr>
                <w:b/>
                <w:bCs/>
                <w:sz w:val="22"/>
                <w:szCs w:val="22"/>
                <w:lang w:val="el-GR"/>
              </w:rPr>
            </w:pPr>
            <w:r>
              <w:rPr>
                <w:b/>
                <w:bCs/>
                <w:sz w:val="22"/>
                <w:szCs w:val="22"/>
                <w:lang w:val="el-GR"/>
              </w:rPr>
              <w:t>Καταληκτικό σημείο</w:t>
            </w:r>
          </w:p>
        </w:tc>
        <w:tc>
          <w:tcPr>
            <w:tcW w:w="1497" w:type="pct"/>
            <w:gridSpan w:val="2"/>
          </w:tcPr>
          <w:p w14:paraId="4075B5B2" w14:textId="77777777" w:rsidR="00171824" w:rsidRDefault="006D258C">
            <w:pPr>
              <w:pStyle w:val="gtctablespaceafter"/>
              <w:spacing w:after="0"/>
              <w:jc w:val="center"/>
              <w:rPr>
                <w:b/>
                <w:bCs/>
                <w:sz w:val="22"/>
                <w:szCs w:val="22"/>
                <w:lang w:val="el-GR"/>
              </w:rPr>
            </w:pPr>
            <w:r>
              <w:rPr>
                <w:b/>
                <w:bCs/>
                <w:sz w:val="22"/>
                <w:szCs w:val="22"/>
                <w:lang w:val="el-GR"/>
              </w:rPr>
              <w:t>Εβδομάδα 16</w:t>
            </w:r>
          </w:p>
          <w:p w14:paraId="7EC8366A" w14:textId="77777777" w:rsidR="00171824" w:rsidRDefault="006D258C">
            <w:pPr>
              <w:pStyle w:val="gtctablespaceafter"/>
              <w:spacing w:after="0"/>
              <w:jc w:val="center"/>
              <w:rPr>
                <w:b/>
                <w:bCs/>
                <w:sz w:val="22"/>
                <w:szCs w:val="22"/>
                <w:lang w:val="el-GR"/>
              </w:rPr>
            </w:pPr>
            <w:r>
              <w:rPr>
                <w:b/>
                <w:bCs/>
                <w:sz w:val="22"/>
                <w:szCs w:val="22"/>
                <w:lang w:val="el-GR"/>
              </w:rPr>
              <w:t>Ελεγχόμενη με Εικονικό Φάρμακο</w:t>
            </w:r>
          </w:p>
        </w:tc>
        <w:tc>
          <w:tcPr>
            <w:tcW w:w="1551" w:type="pct"/>
            <w:gridSpan w:val="2"/>
          </w:tcPr>
          <w:p w14:paraId="61DC8F05" w14:textId="77777777" w:rsidR="00171824" w:rsidRDefault="006D258C">
            <w:pPr>
              <w:pStyle w:val="gtctablespaceafter"/>
              <w:spacing w:after="0"/>
              <w:jc w:val="center"/>
              <w:rPr>
                <w:b/>
                <w:bCs/>
                <w:sz w:val="22"/>
                <w:szCs w:val="22"/>
                <w:lang w:val="el-GR"/>
              </w:rPr>
            </w:pPr>
            <w:r>
              <w:rPr>
                <w:b/>
                <w:bCs/>
                <w:sz w:val="22"/>
                <w:szCs w:val="22"/>
                <w:lang w:val="el-GR"/>
              </w:rPr>
              <w:t>Εβδομάδα 26</w:t>
            </w:r>
          </w:p>
          <w:p w14:paraId="65679F3C" w14:textId="77777777" w:rsidR="00171824" w:rsidRDefault="006D258C">
            <w:pPr>
              <w:pStyle w:val="gtctablespaceafter"/>
              <w:spacing w:after="0"/>
              <w:jc w:val="center"/>
              <w:rPr>
                <w:b/>
                <w:bCs/>
                <w:sz w:val="22"/>
                <w:szCs w:val="22"/>
                <w:lang w:val="el-GR"/>
              </w:rPr>
            </w:pPr>
            <w:r>
              <w:rPr>
                <w:b/>
                <w:bCs/>
                <w:sz w:val="22"/>
                <w:szCs w:val="22"/>
                <w:lang w:val="el-GR"/>
              </w:rPr>
              <w:t>Ελεγχόμενη με Εικονικό Φάρμακο</w:t>
            </w:r>
          </w:p>
        </w:tc>
        <w:tc>
          <w:tcPr>
            <w:tcW w:w="830" w:type="pct"/>
          </w:tcPr>
          <w:p w14:paraId="5354BAA1" w14:textId="77777777" w:rsidR="00171824" w:rsidRDefault="006D258C">
            <w:pPr>
              <w:pStyle w:val="gtctablespaceafter"/>
              <w:spacing w:after="0"/>
              <w:jc w:val="center"/>
              <w:rPr>
                <w:b/>
                <w:bCs/>
                <w:sz w:val="22"/>
                <w:szCs w:val="22"/>
                <w:lang w:val="el-GR"/>
              </w:rPr>
            </w:pPr>
            <w:r>
              <w:rPr>
                <w:b/>
                <w:bCs/>
                <w:sz w:val="22"/>
                <w:szCs w:val="22"/>
                <w:lang w:val="el-GR"/>
              </w:rPr>
              <w:t>Εβδομάδα 52</w:t>
            </w:r>
          </w:p>
          <w:p w14:paraId="748899A9" w14:textId="77777777" w:rsidR="00171824" w:rsidRDefault="006D258C">
            <w:pPr>
              <w:pStyle w:val="gtctablespaceafter"/>
              <w:spacing w:after="0"/>
              <w:jc w:val="center"/>
              <w:rPr>
                <w:b/>
                <w:bCs/>
                <w:sz w:val="22"/>
                <w:szCs w:val="22"/>
                <w:lang w:val="el-GR"/>
              </w:rPr>
            </w:pPr>
            <w:r>
              <w:rPr>
                <w:b/>
                <w:bCs/>
                <w:sz w:val="22"/>
                <w:szCs w:val="22"/>
                <w:lang w:val="el-GR"/>
              </w:rPr>
              <w:t>Ανοιχτή</w:t>
            </w:r>
          </w:p>
        </w:tc>
      </w:tr>
      <w:tr w:rsidR="00171824" w:rsidRPr="00422380" w14:paraId="5734868F" w14:textId="77777777">
        <w:trPr>
          <w:tblHeader/>
        </w:trPr>
        <w:tc>
          <w:tcPr>
            <w:tcW w:w="1122" w:type="pct"/>
            <w:vMerge/>
          </w:tcPr>
          <w:p w14:paraId="28465F5E" w14:textId="77777777" w:rsidR="00171824" w:rsidRDefault="00171824">
            <w:pPr>
              <w:pStyle w:val="gtctablespaceafter"/>
              <w:spacing w:after="0"/>
              <w:rPr>
                <w:b/>
                <w:bCs/>
                <w:sz w:val="22"/>
                <w:szCs w:val="22"/>
                <w:lang w:val="el-GR"/>
              </w:rPr>
            </w:pPr>
          </w:p>
        </w:tc>
        <w:tc>
          <w:tcPr>
            <w:tcW w:w="655" w:type="pct"/>
          </w:tcPr>
          <w:p w14:paraId="2EC55D56" w14:textId="77777777" w:rsidR="00171824" w:rsidRDefault="006D258C">
            <w:pPr>
              <w:pStyle w:val="gtctablespaceafter"/>
              <w:spacing w:after="0"/>
              <w:jc w:val="center"/>
              <w:rPr>
                <w:b/>
                <w:bCs/>
                <w:sz w:val="22"/>
                <w:lang w:val="el-GR"/>
              </w:rPr>
            </w:pPr>
            <w:r>
              <w:rPr>
                <w:b/>
                <w:bCs/>
                <w:sz w:val="22"/>
                <w:lang w:val="el-GR"/>
              </w:rPr>
              <w:t>Εικονικό φάρμακο</w:t>
            </w:r>
          </w:p>
          <w:p w14:paraId="649A6AF5" w14:textId="77777777" w:rsidR="00171824" w:rsidRDefault="006D258C">
            <w:pPr>
              <w:pStyle w:val="gtctablespaceafter"/>
              <w:spacing w:after="0"/>
              <w:jc w:val="center"/>
              <w:rPr>
                <w:b/>
                <w:bCs/>
                <w:sz w:val="22"/>
                <w:szCs w:val="22"/>
                <w:lang w:val="el-GR"/>
              </w:rPr>
            </w:pPr>
            <w:r>
              <w:rPr>
                <w:b/>
                <w:bCs/>
                <w:sz w:val="22"/>
                <w:lang w:val="el-GR"/>
              </w:rPr>
              <w:t>N=108</w:t>
            </w:r>
          </w:p>
        </w:tc>
        <w:tc>
          <w:tcPr>
            <w:tcW w:w="842" w:type="pct"/>
          </w:tcPr>
          <w:p w14:paraId="1306141F" w14:textId="77777777" w:rsidR="00171824" w:rsidRDefault="006D258C">
            <w:pPr>
              <w:pStyle w:val="gtctablespaceafter"/>
              <w:spacing w:after="0"/>
              <w:jc w:val="center"/>
              <w:rPr>
                <w:b/>
                <w:bCs/>
                <w:sz w:val="22"/>
                <w:szCs w:val="20"/>
                <w:lang w:val="el-GR"/>
              </w:rPr>
            </w:pPr>
            <w:r>
              <w:rPr>
                <w:b/>
                <w:bCs/>
                <w:sz w:val="22"/>
                <w:szCs w:val="20"/>
                <w:lang w:val="el-GR"/>
              </w:rPr>
              <w:t>Adalimumab 40 mg</w:t>
            </w:r>
          </w:p>
          <w:p w14:paraId="6B3E97F1" w14:textId="77777777" w:rsidR="00171824" w:rsidRDefault="006D258C">
            <w:pPr>
              <w:pStyle w:val="gtctablespaceafter"/>
              <w:spacing w:after="0"/>
              <w:jc w:val="center"/>
              <w:rPr>
                <w:b/>
                <w:bCs/>
                <w:sz w:val="22"/>
                <w:lang w:val="el-GR"/>
              </w:rPr>
            </w:pPr>
            <w:r>
              <w:rPr>
                <w:b/>
                <w:bCs/>
                <w:sz w:val="22"/>
                <w:szCs w:val="20"/>
                <w:lang w:val="el-GR"/>
              </w:rPr>
              <w:t>κάθε δεύτερη εβδομάδα</w:t>
            </w:r>
          </w:p>
          <w:p w14:paraId="5B57D89C" w14:textId="77777777" w:rsidR="00171824" w:rsidRDefault="006D258C">
            <w:pPr>
              <w:pStyle w:val="gtctablespaceafter"/>
              <w:spacing w:after="0"/>
              <w:jc w:val="center"/>
              <w:rPr>
                <w:b/>
                <w:bCs/>
                <w:sz w:val="22"/>
                <w:szCs w:val="22"/>
                <w:lang w:val="el-GR"/>
              </w:rPr>
            </w:pPr>
            <w:r>
              <w:rPr>
                <w:b/>
                <w:bCs/>
                <w:sz w:val="22"/>
                <w:lang w:val="el-GR"/>
              </w:rPr>
              <w:t>N=109</w:t>
            </w:r>
          </w:p>
        </w:tc>
        <w:tc>
          <w:tcPr>
            <w:tcW w:w="702" w:type="pct"/>
          </w:tcPr>
          <w:p w14:paraId="541DAD6A" w14:textId="77777777" w:rsidR="00171824" w:rsidRDefault="006D258C">
            <w:pPr>
              <w:pStyle w:val="gtctablespaceafter"/>
              <w:spacing w:after="0"/>
              <w:jc w:val="center"/>
              <w:rPr>
                <w:b/>
                <w:bCs/>
                <w:sz w:val="22"/>
                <w:lang w:val="el-GR"/>
              </w:rPr>
            </w:pPr>
            <w:r>
              <w:rPr>
                <w:b/>
                <w:bCs/>
                <w:sz w:val="22"/>
                <w:lang w:val="el-GR"/>
              </w:rPr>
              <w:t>Εικονικό φάρμακο</w:t>
            </w:r>
          </w:p>
          <w:p w14:paraId="1192A60F" w14:textId="77777777" w:rsidR="00171824" w:rsidRDefault="006D258C">
            <w:pPr>
              <w:pStyle w:val="gtctablespaceafter"/>
              <w:spacing w:after="0"/>
              <w:jc w:val="center"/>
              <w:rPr>
                <w:b/>
                <w:bCs/>
                <w:sz w:val="22"/>
                <w:szCs w:val="22"/>
                <w:lang w:val="el-GR"/>
              </w:rPr>
            </w:pPr>
            <w:r>
              <w:rPr>
                <w:b/>
                <w:bCs/>
                <w:sz w:val="22"/>
                <w:lang w:val="el-GR"/>
              </w:rPr>
              <w:t>N=108</w:t>
            </w:r>
          </w:p>
        </w:tc>
        <w:tc>
          <w:tcPr>
            <w:tcW w:w="849" w:type="pct"/>
          </w:tcPr>
          <w:p w14:paraId="41F94C2A" w14:textId="77777777" w:rsidR="00171824" w:rsidRDefault="006D258C">
            <w:pPr>
              <w:pStyle w:val="gtctablespaceafter"/>
              <w:spacing w:after="0"/>
              <w:jc w:val="center"/>
              <w:rPr>
                <w:b/>
                <w:bCs/>
                <w:sz w:val="22"/>
                <w:szCs w:val="20"/>
                <w:lang w:val="el-GR"/>
              </w:rPr>
            </w:pPr>
            <w:r>
              <w:rPr>
                <w:b/>
                <w:bCs/>
                <w:sz w:val="22"/>
                <w:szCs w:val="20"/>
                <w:lang w:val="el-GR"/>
              </w:rPr>
              <w:t>Adalimumab 40 mg</w:t>
            </w:r>
          </w:p>
          <w:p w14:paraId="13EBC260" w14:textId="77777777" w:rsidR="00171824" w:rsidRDefault="006D258C">
            <w:pPr>
              <w:pStyle w:val="gtctablespaceafter"/>
              <w:spacing w:after="0"/>
              <w:jc w:val="center"/>
              <w:rPr>
                <w:b/>
                <w:bCs/>
                <w:sz w:val="22"/>
                <w:szCs w:val="20"/>
                <w:lang w:val="el-GR"/>
              </w:rPr>
            </w:pPr>
            <w:r>
              <w:rPr>
                <w:b/>
                <w:bCs/>
                <w:sz w:val="22"/>
                <w:szCs w:val="20"/>
                <w:lang w:val="el-GR"/>
              </w:rPr>
              <w:t>κάθε δεύτερη εβδομάδα</w:t>
            </w:r>
          </w:p>
          <w:p w14:paraId="568C8B8E" w14:textId="77777777" w:rsidR="00171824" w:rsidRDefault="006D258C">
            <w:pPr>
              <w:pStyle w:val="gtctablespaceafter"/>
              <w:spacing w:after="0"/>
              <w:jc w:val="center"/>
              <w:rPr>
                <w:b/>
                <w:bCs/>
                <w:sz w:val="22"/>
                <w:szCs w:val="22"/>
                <w:lang w:val="el-GR"/>
              </w:rPr>
            </w:pPr>
            <w:r>
              <w:rPr>
                <w:b/>
                <w:bCs/>
                <w:sz w:val="22"/>
                <w:lang w:val="el-GR"/>
              </w:rPr>
              <w:t>N=109</w:t>
            </w:r>
          </w:p>
        </w:tc>
        <w:tc>
          <w:tcPr>
            <w:tcW w:w="830" w:type="pct"/>
          </w:tcPr>
          <w:p w14:paraId="68D2A6A4" w14:textId="77777777" w:rsidR="00171824" w:rsidRDefault="006D258C">
            <w:pPr>
              <w:pStyle w:val="gtctablespaceafter"/>
              <w:spacing w:after="0"/>
              <w:jc w:val="center"/>
              <w:rPr>
                <w:b/>
                <w:bCs/>
                <w:sz w:val="22"/>
                <w:szCs w:val="20"/>
                <w:lang w:val="el-GR"/>
              </w:rPr>
            </w:pPr>
            <w:r>
              <w:rPr>
                <w:b/>
                <w:bCs/>
                <w:sz w:val="22"/>
                <w:szCs w:val="20"/>
                <w:lang w:val="el-GR"/>
              </w:rPr>
              <w:t>Adalimumab 40 mg</w:t>
            </w:r>
          </w:p>
          <w:p w14:paraId="744FDC88" w14:textId="77777777" w:rsidR="00171824" w:rsidRDefault="006D258C">
            <w:pPr>
              <w:pStyle w:val="gtctablespaceafter"/>
              <w:spacing w:after="0"/>
              <w:jc w:val="center"/>
              <w:rPr>
                <w:b/>
                <w:bCs/>
                <w:sz w:val="22"/>
                <w:szCs w:val="20"/>
                <w:lang w:val="el-GR"/>
              </w:rPr>
            </w:pPr>
            <w:r>
              <w:rPr>
                <w:b/>
                <w:bCs/>
                <w:sz w:val="22"/>
                <w:szCs w:val="20"/>
                <w:lang w:val="el-GR"/>
              </w:rPr>
              <w:t>κάθε δεύτερη εβδομάδα</w:t>
            </w:r>
          </w:p>
          <w:p w14:paraId="36CC5062" w14:textId="77777777" w:rsidR="00171824" w:rsidRDefault="006D258C">
            <w:pPr>
              <w:pStyle w:val="gtctablespaceafter"/>
              <w:spacing w:after="0"/>
              <w:jc w:val="center"/>
              <w:rPr>
                <w:b/>
                <w:bCs/>
                <w:sz w:val="22"/>
                <w:szCs w:val="22"/>
                <w:lang w:val="el-GR"/>
              </w:rPr>
            </w:pPr>
            <w:r>
              <w:rPr>
                <w:b/>
                <w:bCs/>
                <w:sz w:val="22"/>
                <w:lang w:val="el-GR"/>
              </w:rPr>
              <w:t>N=80</w:t>
            </w:r>
          </w:p>
        </w:tc>
      </w:tr>
      <w:tr w:rsidR="00171824" w14:paraId="2AB229DF" w14:textId="77777777">
        <w:tc>
          <w:tcPr>
            <w:tcW w:w="1122" w:type="pct"/>
          </w:tcPr>
          <w:p w14:paraId="151AF651" w14:textId="77777777" w:rsidR="00171824" w:rsidRDefault="006D258C">
            <w:pPr>
              <w:pStyle w:val="gtctablespaceafter"/>
              <w:spacing w:after="0"/>
              <w:rPr>
                <w:sz w:val="22"/>
                <w:szCs w:val="22"/>
                <w:lang w:val="el-GR"/>
              </w:rPr>
            </w:pPr>
            <w:r>
              <w:rPr>
                <w:sz w:val="22"/>
                <w:lang w:val="el-GR"/>
              </w:rPr>
              <w:t>≥ mNAPSI 75 (%)</w:t>
            </w:r>
          </w:p>
        </w:tc>
        <w:tc>
          <w:tcPr>
            <w:tcW w:w="655" w:type="pct"/>
          </w:tcPr>
          <w:p w14:paraId="46683726" w14:textId="77777777" w:rsidR="00171824" w:rsidRDefault="006D258C">
            <w:pPr>
              <w:pStyle w:val="gtctablespaceafter"/>
              <w:spacing w:after="0"/>
              <w:jc w:val="center"/>
              <w:rPr>
                <w:sz w:val="22"/>
                <w:szCs w:val="22"/>
                <w:lang w:val="el-GR"/>
              </w:rPr>
            </w:pPr>
            <w:r>
              <w:rPr>
                <w:sz w:val="22"/>
                <w:szCs w:val="22"/>
                <w:lang w:val="el-GR"/>
              </w:rPr>
              <w:t>2,9</w:t>
            </w:r>
          </w:p>
        </w:tc>
        <w:tc>
          <w:tcPr>
            <w:tcW w:w="842" w:type="pct"/>
          </w:tcPr>
          <w:p w14:paraId="27188FB6" w14:textId="77777777" w:rsidR="00171824" w:rsidRDefault="006D258C">
            <w:pPr>
              <w:pStyle w:val="gtctablespaceafter"/>
              <w:spacing w:after="0"/>
              <w:jc w:val="center"/>
              <w:rPr>
                <w:sz w:val="22"/>
                <w:szCs w:val="22"/>
                <w:lang w:val="el-GR"/>
              </w:rPr>
            </w:pPr>
            <w:r>
              <w:rPr>
                <w:sz w:val="22"/>
                <w:szCs w:val="22"/>
                <w:lang w:val="el-GR"/>
              </w:rPr>
              <w:t>26,0</w:t>
            </w:r>
            <w:r>
              <w:rPr>
                <w:sz w:val="22"/>
                <w:szCs w:val="22"/>
                <w:vertAlign w:val="superscript"/>
                <w:lang w:val="el-GR"/>
              </w:rPr>
              <w:t>a</w:t>
            </w:r>
          </w:p>
        </w:tc>
        <w:tc>
          <w:tcPr>
            <w:tcW w:w="702" w:type="pct"/>
          </w:tcPr>
          <w:p w14:paraId="744E09F6" w14:textId="77777777" w:rsidR="00171824" w:rsidRDefault="006D258C">
            <w:pPr>
              <w:keepNext/>
              <w:jc w:val="center"/>
              <w:rPr>
                <w:sz w:val="22"/>
                <w:szCs w:val="22"/>
                <w:lang w:val="el-GR"/>
              </w:rPr>
            </w:pPr>
            <w:r>
              <w:rPr>
                <w:sz w:val="22"/>
                <w:szCs w:val="22"/>
                <w:lang w:val="el-GR"/>
              </w:rPr>
              <w:t>3,4</w:t>
            </w:r>
          </w:p>
        </w:tc>
        <w:tc>
          <w:tcPr>
            <w:tcW w:w="849" w:type="pct"/>
          </w:tcPr>
          <w:p w14:paraId="70E12231" w14:textId="77777777" w:rsidR="00171824" w:rsidRDefault="006D258C">
            <w:pPr>
              <w:keepNext/>
              <w:jc w:val="center"/>
              <w:rPr>
                <w:sz w:val="22"/>
                <w:szCs w:val="22"/>
                <w:lang w:val="el-GR"/>
              </w:rPr>
            </w:pPr>
            <w:r>
              <w:rPr>
                <w:sz w:val="22"/>
                <w:szCs w:val="22"/>
                <w:lang w:val="el-GR"/>
              </w:rPr>
              <w:t>46,6</w:t>
            </w:r>
            <w:r>
              <w:rPr>
                <w:sz w:val="22"/>
                <w:szCs w:val="22"/>
                <w:vertAlign w:val="superscript"/>
                <w:lang w:val="el-GR"/>
              </w:rPr>
              <w:t>a</w:t>
            </w:r>
          </w:p>
        </w:tc>
        <w:tc>
          <w:tcPr>
            <w:tcW w:w="830" w:type="pct"/>
          </w:tcPr>
          <w:p w14:paraId="07E9AD83" w14:textId="77777777" w:rsidR="00171824" w:rsidRDefault="006D258C">
            <w:pPr>
              <w:pStyle w:val="gtctablespaceafter"/>
              <w:spacing w:after="0"/>
              <w:jc w:val="center"/>
              <w:rPr>
                <w:sz w:val="22"/>
                <w:szCs w:val="22"/>
                <w:lang w:val="el-GR"/>
              </w:rPr>
            </w:pPr>
            <w:r>
              <w:rPr>
                <w:sz w:val="22"/>
                <w:szCs w:val="22"/>
                <w:lang w:val="el-GR"/>
              </w:rPr>
              <w:t>65,0</w:t>
            </w:r>
          </w:p>
        </w:tc>
      </w:tr>
      <w:tr w:rsidR="00171824" w14:paraId="1B1DCA00" w14:textId="77777777">
        <w:tc>
          <w:tcPr>
            <w:tcW w:w="1122" w:type="pct"/>
          </w:tcPr>
          <w:p w14:paraId="0FFD1B18" w14:textId="77777777" w:rsidR="00171824" w:rsidRDefault="006D258C">
            <w:pPr>
              <w:pStyle w:val="gtctablespaceafter"/>
              <w:spacing w:after="0"/>
              <w:rPr>
                <w:sz w:val="22"/>
                <w:szCs w:val="22"/>
                <w:lang w:val="el-GR"/>
              </w:rPr>
            </w:pPr>
            <w:r>
              <w:rPr>
                <w:sz w:val="22"/>
                <w:szCs w:val="22"/>
                <w:lang w:val="el-GR"/>
              </w:rPr>
              <w:t>PGA-F καθαρό/ελάχιστο και βελτίωση ≥ 2 βαθμούς (%)</w:t>
            </w:r>
          </w:p>
        </w:tc>
        <w:tc>
          <w:tcPr>
            <w:tcW w:w="655" w:type="pct"/>
          </w:tcPr>
          <w:p w14:paraId="7C051B57" w14:textId="77777777" w:rsidR="00171824" w:rsidRDefault="006D258C">
            <w:pPr>
              <w:pStyle w:val="gtctablespaceafter"/>
              <w:spacing w:after="0"/>
              <w:jc w:val="center"/>
              <w:rPr>
                <w:sz w:val="22"/>
                <w:szCs w:val="22"/>
                <w:lang w:val="el-GR"/>
              </w:rPr>
            </w:pPr>
            <w:r>
              <w:rPr>
                <w:sz w:val="22"/>
                <w:szCs w:val="22"/>
                <w:lang w:val="el-GR"/>
              </w:rPr>
              <w:t>2,9</w:t>
            </w:r>
          </w:p>
        </w:tc>
        <w:tc>
          <w:tcPr>
            <w:tcW w:w="842" w:type="pct"/>
          </w:tcPr>
          <w:p w14:paraId="6AF6DE93" w14:textId="77777777" w:rsidR="00171824" w:rsidRDefault="006D258C">
            <w:pPr>
              <w:pStyle w:val="gtctablespaceafter"/>
              <w:spacing w:after="0"/>
              <w:jc w:val="center"/>
              <w:rPr>
                <w:sz w:val="22"/>
                <w:szCs w:val="22"/>
                <w:lang w:val="el-GR"/>
              </w:rPr>
            </w:pPr>
            <w:r>
              <w:rPr>
                <w:sz w:val="22"/>
                <w:szCs w:val="22"/>
                <w:lang w:val="el-GR"/>
              </w:rPr>
              <w:t>29,7</w:t>
            </w:r>
            <w:r>
              <w:rPr>
                <w:sz w:val="22"/>
                <w:szCs w:val="22"/>
                <w:vertAlign w:val="superscript"/>
                <w:lang w:val="el-GR"/>
              </w:rPr>
              <w:t>a</w:t>
            </w:r>
          </w:p>
        </w:tc>
        <w:tc>
          <w:tcPr>
            <w:tcW w:w="702" w:type="pct"/>
          </w:tcPr>
          <w:p w14:paraId="1BC5A4EA" w14:textId="77777777" w:rsidR="00171824" w:rsidRDefault="006D258C">
            <w:pPr>
              <w:keepNext/>
              <w:jc w:val="center"/>
              <w:rPr>
                <w:sz w:val="22"/>
                <w:szCs w:val="22"/>
                <w:lang w:val="el-GR"/>
              </w:rPr>
            </w:pPr>
            <w:r>
              <w:rPr>
                <w:sz w:val="22"/>
                <w:szCs w:val="22"/>
                <w:lang w:val="el-GR"/>
              </w:rPr>
              <w:t>6,9</w:t>
            </w:r>
          </w:p>
        </w:tc>
        <w:tc>
          <w:tcPr>
            <w:tcW w:w="849" w:type="pct"/>
          </w:tcPr>
          <w:p w14:paraId="08547410" w14:textId="77777777" w:rsidR="00171824" w:rsidRDefault="006D258C">
            <w:pPr>
              <w:keepNext/>
              <w:jc w:val="center"/>
              <w:rPr>
                <w:sz w:val="22"/>
                <w:szCs w:val="22"/>
                <w:lang w:val="el-GR"/>
              </w:rPr>
            </w:pPr>
            <w:r>
              <w:rPr>
                <w:sz w:val="22"/>
                <w:szCs w:val="22"/>
                <w:lang w:val="el-GR"/>
              </w:rPr>
              <w:t>48,9</w:t>
            </w:r>
            <w:r>
              <w:rPr>
                <w:sz w:val="22"/>
                <w:szCs w:val="22"/>
                <w:vertAlign w:val="superscript"/>
                <w:lang w:val="el-GR"/>
              </w:rPr>
              <w:t>a</w:t>
            </w:r>
          </w:p>
        </w:tc>
        <w:tc>
          <w:tcPr>
            <w:tcW w:w="830" w:type="pct"/>
          </w:tcPr>
          <w:p w14:paraId="2AF52F21" w14:textId="77777777" w:rsidR="00171824" w:rsidRDefault="006D258C">
            <w:pPr>
              <w:pStyle w:val="gtctablespaceafter"/>
              <w:spacing w:after="0"/>
              <w:jc w:val="center"/>
              <w:rPr>
                <w:sz w:val="22"/>
                <w:szCs w:val="22"/>
                <w:lang w:val="el-GR"/>
              </w:rPr>
            </w:pPr>
            <w:r>
              <w:rPr>
                <w:sz w:val="22"/>
                <w:szCs w:val="22"/>
                <w:lang w:val="el-GR"/>
              </w:rPr>
              <w:t>61,3</w:t>
            </w:r>
          </w:p>
        </w:tc>
      </w:tr>
      <w:tr w:rsidR="00171824" w14:paraId="2621182D" w14:textId="77777777">
        <w:tc>
          <w:tcPr>
            <w:tcW w:w="1122" w:type="pct"/>
          </w:tcPr>
          <w:p w14:paraId="60DB20A3" w14:textId="77777777" w:rsidR="00171824" w:rsidRDefault="006D258C">
            <w:pPr>
              <w:pStyle w:val="gtctablespaceafter"/>
              <w:spacing w:after="0"/>
              <w:rPr>
                <w:sz w:val="22"/>
                <w:szCs w:val="22"/>
                <w:lang w:val="el-GR"/>
              </w:rPr>
            </w:pPr>
            <w:r>
              <w:rPr>
                <w:sz w:val="22"/>
                <w:szCs w:val="22"/>
                <w:lang w:val="el-GR"/>
              </w:rPr>
              <w:t>Ποσοστιαία μεταβολή του δείκτη NAPSI για όλο το νύχι (%)</w:t>
            </w:r>
          </w:p>
        </w:tc>
        <w:tc>
          <w:tcPr>
            <w:tcW w:w="655" w:type="pct"/>
          </w:tcPr>
          <w:p w14:paraId="518007B9" w14:textId="77777777" w:rsidR="00171824" w:rsidRDefault="006D258C">
            <w:pPr>
              <w:pStyle w:val="gtctablespaceafter"/>
              <w:spacing w:after="0"/>
              <w:jc w:val="center"/>
              <w:rPr>
                <w:sz w:val="22"/>
                <w:szCs w:val="22"/>
                <w:lang w:val="el-GR"/>
              </w:rPr>
            </w:pPr>
            <w:r>
              <w:rPr>
                <w:sz w:val="22"/>
                <w:szCs w:val="22"/>
                <w:lang w:val="el-GR"/>
              </w:rPr>
              <w:t>-7,8</w:t>
            </w:r>
          </w:p>
        </w:tc>
        <w:tc>
          <w:tcPr>
            <w:tcW w:w="842" w:type="pct"/>
          </w:tcPr>
          <w:p w14:paraId="37B51D5F" w14:textId="77777777" w:rsidR="00171824" w:rsidRDefault="006D258C">
            <w:pPr>
              <w:pStyle w:val="gtctablespaceafter"/>
              <w:spacing w:after="0"/>
              <w:jc w:val="center"/>
              <w:rPr>
                <w:sz w:val="22"/>
                <w:szCs w:val="22"/>
                <w:lang w:val="el-GR"/>
              </w:rPr>
            </w:pPr>
            <w:r>
              <w:rPr>
                <w:sz w:val="22"/>
                <w:szCs w:val="22"/>
                <w:lang w:val="el-GR"/>
              </w:rPr>
              <w:t>-44,2</w:t>
            </w:r>
            <w:r>
              <w:rPr>
                <w:sz w:val="22"/>
                <w:szCs w:val="22"/>
                <w:vertAlign w:val="superscript"/>
                <w:lang w:val="el-GR"/>
              </w:rPr>
              <w:t xml:space="preserve"> a</w:t>
            </w:r>
          </w:p>
        </w:tc>
        <w:tc>
          <w:tcPr>
            <w:tcW w:w="702" w:type="pct"/>
          </w:tcPr>
          <w:p w14:paraId="3A34A532" w14:textId="77777777" w:rsidR="00171824" w:rsidRDefault="006D258C">
            <w:pPr>
              <w:keepNext/>
              <w:jc w:val="center"/>
              <w:rPr>
                <w:sz w:val="22"/>
                <w:szCs w:val="22"/>
                <w:lang w:val="el-GR"/>
              </w:rPr>
            </w:pPr>
            <w:r>
              <w:rPr>
                <w:sz w:val="22"/>
                <w:szCs w:val="22"/>
                <w:lang w:val="el-GR"/>
              </w:rPr>
              <w:t>-11,5</w:t>
            </w:r>
          </w:p>
        </w:tc>
        <w:tc>
          <w:tcPr>
            <w:tcW w:w="849" w:type="pct"/>
          </w:tcPr>
          <w:p w14:paraId="10B24748" w14:textId="77777777" w:rsidR="00171824" w:rsidRDefault="006D258C">
            <w:pPr>
              <w:keepNext/>
              <w:jc w:val="center"/>
              <w:rPr>
                <w:sz w:val="22"/>
                <w:szCs w:val="22"/>
                <w:lang w:val="el-GR"/>
              </w:rPr>
            </w:pPr>
            <w:r>
              <w:rPr>
                <w:sz w:val="22"/>
                <w:szCs w:val="22"/>
                <w:lang w:val="el-GR"/>
              </w:rPr>
              <w:t>-56,2</w:t>
            </w:r>
            <w:r>
              <w:rPr>
                <w:sz w:val="22"/>
                <w:szCs w:val="22"/>
                <w:vertAlign w:val="superscript"/>
                <w:lang w:val="el-GR"/>
              </w:rPr>
              <w:t>a</w:t>
            </w:r>
          </w:p>
        </w:tc>
        <w:tc>
          <w:tcPr>
            <w:tcW w:w="830" w:type="pct"/>
          </w:tcPr>
          <w:p w14:paraId="22656003" w14:textId="77777777" w:rsidR="00171824" w:rsidRDefault="006D258C">
            <w:pPr>
              <w:pStyle w:val="gtctablespaceafter"/>
              <w:spacing w:after="0"/>
              <w:jc w:val="center"/>
              <w:rPr>
                <w:sz w:val="22"/>
                <w:szCs w:val="22"/>
                <w:lang w:val="el-GR"/>
              </w:rPr>
            </w:pPr>
            <w:r>
              <w:rPr>
                <w:sz w:val="22"/>
                <w:szCs w:val="22"/>
                <w:lang w:val="el-GR"/>
              </w:rPr>
              <w:t>-72,2</w:t>
            </w:r>
          </w:p>
        </w:tc>
      </w:tr>
      <w:tr w:rsidR="00171824" w:rsidRPr="00A07F46" w14:paraId="1D6DF608" w14:textId="77777777">
        <w:tc>
          <w:tcPr>
            <w:tcW w:w="5000" w:type="pct"/>
            <w:gridSpan w:val="6"/>
          </w:tcPr>
          <w:p w14:paraId="5EA93BF4" w14:textId="77777777" w:rsidR="00171824" w:rsidRPr="00E10827" w:rsidRDefault="006D258C">
            <w:pPr>
              <w:pStyle w:val="gtctablespaceafter"/>
              <w:spacing w:after="0"/>
              <w:rPr>
                <w:sz w:val="22"/>
                <w:szCs w:val="22"/>
                <w:lang w:val="el-GR"/>
              </w:rPr>
            </w:pPr>
            <w:r>
              <w:rPr>
                <w:sz w:val="22"/>
                <w:szCs w:val="22"/>
                <w:vertAlign w:val="superscript"/>
              </w:rPr>
              <w:t>a</w:t>
            </w:r>
            <w:r w:rsidRPr="00E10827">
              <w:rPr>
                <w:sz w:val="22"/>
                <w:szCs w:val="22"/>
                <w:lang w:val="el-GR"/>
              </w:rPr>
              <w:t xml:space="preserve"> </w:t>
            </w:r>
            <w:r>
              <w:rPr>
                <w:sz w:val="22"/>
                <w:szCs w:val="22"/>
              </w:rPr>
              <w:t>p</w:t>
            </w:r>
            <w:r w:rsidRPr="00E10827">
              <w:rPr>
                <w:sz w:val="22"/>
                <w:szCs w:val="22"/>
                <w:lang w:val="el-GR"/>
              </w:rPr>
              <w:t xml:space="preserve"> &lt; 0,001, </w:t>
            </w:r>
            <w:r>
              <w:rPr>
                <w:sz w:val="22"/>
                <w:szCs w:val="20"/>
              </w:rPr>
              <w:t>Adalimumab</w:t>
            </w:r>
            <w:r w:rsidRPr="00E10827">
              <w:rPr>
                <w:i/>
                <w:sz w:val="22"/>
                <w:szCs w:val="22"/>
                <w:lang w:val="el-GR"/>
              </w:rPr>
              <w:t xml:space="preserve"> </w:t>
            </w:r>
            <w:r>
              <w:rPr>
                <w:sz w:val="22"/>
                <w:szCs w:val="22"/>
                <w:lang w:val="el-GR"/>
              </w:rPr>
              <w:t>έναντι</w:t>
            </w:r>
            <w:r w:rsidRPr="00E10827">
              <w:rPr>
                <w:i/>
                <w:sz w:val="22"/>
                <w:szCs w:val="22"/>
                <w:lang w:val="el-GR"/>
              </w:rPr>
              <w:t xml:space="preserve"> </w:t>
            </w:r>
            <w:r>
              <w:rPr>
                <w:sz w:val="22"/>
                <w:szCs w:val="22"/>
                <w:lang w:val="el-GR"/>
              </w:rPr>
              <w:t>εικονικού</w:t>
            </w:r>
            <w:r w:rsidRPr="00E10827">
              <w:rPr>
                <w:sz w:val="22"/>
                <w:szCs w:val="22"/>
                <w:lang w:val="el-GR"/>
              </w:rPr>
              <w:t xml:space="preserve"> </w:t>
            </w:r>
            <w:r>
              <w:rPr>
                <w:sz w:val="22"/>
                <w:szCs w:val="22"/>
                <w:lang w:val="el-GR"/>
              </w:rPr>
              <w:t>φαρμάκου</w:t>
            </w:r>
          </w:p>
        </w:tc>
      </w:tr>
    </w:tbl>
    <w:p w14:paraId="1E844416" w14:textId="77777777" w:rsidR="00171824" w:rsidRPr="00E10827" w:rsidRDefault="00171824">
      <w:pPr>
        <w:pStyle w:val="gtctablespaceafter"/>
        <w:spacing w:after="0"/>
        <w:rPr>
          <w:sz w:val="22"/>
          <w:szCs w:val="22"/>
          <w:lang w:val="el-GR"/>
        </w:rPr>
      </w:pPr>
    </w:p>
    <w:p w14:paraId="5334B5CA" w14:textId="77777777" w:rsidR="00171824" w:rsidRDefault="006D258C">
      <w:pPr>
        <w:keepNext/>
        <w:widowControl/>
        <w:rPr>
          <w:sz w:val="22"/>
          <w:lang w:val="el-GR"/>
        </w:rPr>
      </w:pPr>
      <w:r>
        <w:rPr>
          <w:sz w:val="22"/>
          <w:szCs w:val="22"/>
          <w:lang w:val="el-GR"/>
        </w:rPr>
        <w:t>Οι ασθενείς που έλαβαν adalimumab έδειξαν στατιστικά σημαντικές βελτιώσεις στην εβδομάδα 26 συγκριτικά με το εικονικό φάρμακο στην DLQI.</w:t>
      </w:r>
    </w:p>
    <w:p w14:paraId="282EF042" w14:textId="77777777" w:rsidR="00171824" w:rsidRDefault="00171824">
      <w:pPr>
        <w:widowControl/>
        <w:kinsoku w:val="0"/>
        <w:overflowPunct w:val="0"/>
        <w:rPr>
          <w:sz w:val="22"/>
          <w:szCs w:val="22"/>
          <w:lang w:val="el-GR"/>
        </w:rPr>
      </w:pPr>
    </w:p>
    <w:p w14:paraId="2BC3E0B4" w14:textId="77777777" w:rsidR="00171824" w:rsidRDefault="006D258C">
      <w:pPr>
        <w:keepNext/>
        <w:widowControl/>
        <w:kinsoku w:val="0"/>
        <w:overflowPunct w:val="0"/>
        <w:rPr>
          <w:sz w:val="22"/>
          <w:szCs w:val="22"/>
          <w:lang w:val="el-GR"/>
        </w:rPr>
      </w:pPr>
      <w:r>
        <w:rPr>
          <w:i/>
          <w:iCs/>
          <w:sz w:val="22"/>
          <w:szCs w:val="22"/>
          <w:lang w:val="el-GR"/>
        </w:rPr>
        <w:lastRenderedPageBreak/>
        <w:t>Διαπυητική ιδρωταδενίτιδα</w:t>
      </w:r>
    </w:p>
    <w:p w14:paraId="1490333C" w14:textId="77777777" w:rsidR="00171824" w:rsidRDefault="00171824">
      <w:pPr>
        <w:keepNext/>
        <w:widowControl/>
        <w:kinsoku w:val="0"/>
        <w:overflowPunct w:val="0"/>
        <w:rPr>
          <w:sz w:val="22"/>
          <w:szCs w:val="22"/>
          <w:lang w:val="el-GR"/>
        </w:rPr>
      </w:pPr>
    </w:p>
    <w:p w14:paraId="7B0A301A" w14:textId="77777777" w:rsidR="00171824" w:rsidRDefault="006D258C">
      <w:pPr>
        <w:pStyle w:val="BodyText"/>
        <w:keepNext/>
        <w:widowControl/>
        <w:kinsoku w:val="0"/>
        <w:overflowPunct w:val="0"/>
        <w:ind w:left="0"/>
        <w:rPr>
          <w:lang w:val="el-GR"/>
        </w:rPr>
      </w:pPr>
      <w:r>
        <w:rPr>
          <w:lang w:val="el-GR"/>
        </w:rPr>
        <w:t>Η ασφάλεια και η αποτελεσματικότητα του adalimumab αξιολογήθηκαν σε τυχαιοποιημένες, διπλά</w:t>
      </w:r>
      <w:r>
        <w:rPr>
          <w:lang w:val="el-GR"/>
        </w:rPr>
        <w:noBreakHyphen/>
        <w:t>τυφλές, ελεγχόμενες με εικονικό φάρμακο μελέτες και μία ανοιχτή μελέτη επέκτασης σε ενήλικες ασθενείς με μέτρια έως σοβαρή διαπυητική ιδρωταδενίτιδα (HS) που ήταν ανθεκτικοί, είχαν αντένδειξη ή εμφάνισαν ανεπαρκή ανταπόκριση σε τουλάχιστον μια 3-μηνη περίοδο συστηματικής αντιβιοτικής θεραπευτικής αγωγής. Οι ασθενείς στις μελέτες HS-I και HS-ΙΙ είχαν νόσο Hurley Σταδίου II ή III με τουλάχιστον 3 αποστήματα ή φλεγμονώδη οζίδια.</w:t>
      </w:r>
    </w:p>
    <w:p w14:paraId="50E45533" w14:textId="77777777" w:rsidR="00171824" w:rsidRDefault="00171824">
      <w:pPr>
        <w:widowControl/>
        <w:kinsoku w:val="0"/>
        <w:overflowPunct w:val="0"/>
        <w:rPr>
          <w:sz w:val="22"/>
          <w:szCs w:val="22"/>
          <w:lang w:val="el-GR"/>
        </w:rPr>
      </w:pPr>
    </w:p>
    <w:p w14:paraId="62A553D3" w14:textId="77777777" w:rsidR="00171824" w:rsidRDefault="006D258C">
      <w:pPr>
        <w:pStyle w:val="BodyText"/>
        <w:widowControl/>
        <w:kinsoku w:val="0"/>
        <w:overflowPunct w:val="0"/>
        <w:ind w:left="0"/>
        <w:rPr>
          <w:lang w:val="el-GR"/>
        </w:rPr>
      </w:pPr>
      <w:r>
        <w:rPr>
          <w:lang w:val="el-GR"/>
        </w:rPr>
        <w:t>Η Μελέτη HS-Ι (PIONEER Ι) αξιολόγησε 307 ασθενείς σε δύο περιόδους θεραπείας. Στην περίοδο Α, οι ασθενείς έλαβαν εικονικό φάρμακο ή adalimumab σε αρχική δόση 160 mg την εβδομάδα 0, 80 mg την εβδομάδα 2 και 40 mg κάθε εβδομάδα ξεκινώντας από την εβδομάδα 4 έως την εβδομάδα 11. Κατά τη διάρκεια της μελέτης δεν επιτρεπόταν η ταυτόχρονη χρήση αντιβιοτικών. Μετά από 12 εβδομάδες θεραπείας, οι ασθενείς που είχαν λάβει adalimumab την περίοδο Α επανατυχαιοποιήθηκαν στην περίοδο Β σε 1 από τις 3 ομάδες θεραπείας (adalimumab 40 mg κάθε εβδομάδα, adalimumab 40 mg κάθε δεύτερη εβδομάδα, ή εικονικό φάρμακο από την εβδομάδα 12 έως την εβδομάδα 35). Οι ασθενείς που είχαν τυχαιοποιηθεί σε εικονικό φάρμακο την περίοδο Α, έλαβαν adalimumab 40 mg κάθε εβδομάδα στην περίοδο Β.</w:t>
      </w:r>
    </w:p>
    <w:p w14:paraId="7B8DBEBC" w14:textId="77777777" w:rsidR="00171824" w:rsidRDefault="00171824">
      <w:pPr>
        <w:widowControl/>
        <w:kinsoku w:val="0"/>
        <w:overflowPunct w:val="0"/>
        <w:rPr>
          <w:sz w:val="22"/>
          <w:szCs w:val="22"/>
          <w:lang w:val="el-GR"/>
        </w:rPr>
      </w:pPr>
    </w:p>
    <w:p w14:paraId="07DB2085" w14:textId="77777777" w:rsidR="00171824" w:rsidRDefault="006D258C">
      <w:pPr>
        <w:pStyle w:val="BodyText"/>
        <w:widowControl/>
        <w:kinsoku w:val="0"/>
        <w:overflowPunct w:val="0"/>
        <w:ind w:left="0"/>
        <w:rPr>
          <w:lang w:val="el-GR"/>
        </w:rPr>
      </w:pPr>
      <w:r>
        <w:rPr>
          <w:lang w:val="el-GR"/>
        </w:rPr>
        <w:t>Η Μελέτη HS-ΙΙ (PIONEER II) αξιολόγησε 326 ασθενείς σε δύο περιόδους θεραπείας. Στην περίοδο Α, οι ασθενείς έλαβαν εικονικό φάρμακο ή adalimumab σε αρχική δόση 160 mg την εβδομάδα 0 και 80 mg την εβδομάδα 2 και 40 mg κάθε εβδομάδα ξεκινώντας από την εβδομάδα 4 έως την εβδομάδα 11. Το 19,3% των ασθενών συνέχισε την από του στόματος αντιβιοτική θεραπεία που λάμβανε κατά την έναρξη της μελέτης. Μετά από 12 εβδομάδες θεραπείας, οι ασθενείς που είχαν λάβει adalimumab την περίοδο Α επανατυχαιοποιήθηκαν στην περίοδο Β σε 1 από τις 3 ομάδες θεραπείας (adalimumab 40 mg κάθε εβδομάδα, adalimumab 40 mg κάθε δεύτερη εβδομάδα, ή εικονικό φάρμακο από την εβδομάδα 12 έως την εβδομάδα 35). Οι ασθενείς που είχαν τυχαιοποιηθεί σε εικονικό φάρμακο την περίοδο Α, έλαβαν εικονικό φάρμακο στην περίοδο Β.</w:t>
      </w:r>
    </w:p>
    <w:p w14:paraId="7C7B4948" w14:textId="77777777" w:rsidR="00171824" w:rsidRDefault="00171824">
      <w:pPr>
        <w:widowControl/>
        <w:kinsoku w:val="0"/>
        <w:overflowPunct w:val="0"/>
        <w:rPr>
          <w:sz w:val="22"/>
          <w:szCs w:val="22"/>
          <w:lang w:val="el-GR"/>
        </w:rPr>
      </w:pPr>
    </w:p>
    <w:p w14:paraId="20B74D7D" w14:textId="77777777" w:rsidR="00171824" w:rsidRDefault="006D258C">
      <w:pPr>
        <w:pStyle w:val="BodyText"/>
        <w:widowControl/>
        <w:kinsoku w:val="0"/>
        <w:overflowPunct w:val="0"/>
        <w:ind w:left="0"/>
        <w:rPr>
          <w:lang w:val="el-GR"/>
        </w:rPr>
      </w:pPr>
      <w:r>
        <w:rPr>
          <w:lang w:val="el-GR"/>
        </w:rPr>
        <w:t>Οι ασθενείς που συμμετείχαν στις μελέτες HS-I και HS-ΙΙ είχαν τη δυνατότητα να ενταχθούν σε μια ανοικτή μελέτη επέκτασης στην οποία χορηγούνταν adalimumab 40 mg κάθε εβδομάδα. Ο μέσος χρόνος έκθεσης στον adalimumab πληθυσμό ήταν 762 ημέρες. Και στις 3 μελέτες οι ασθενείς χρησιμοποιούσαν τοπικό αντισηπτικό σαπούνι καθημερινά.</w:t>
      </w:r>
    </w:p>
    <w:p w14:paraId="3324717A" w14:textId="77777777" w:rsidR="00171824" w:rsidRDefault="00171824">
      <w:pPr>
        <w:widowControl/>
        <w:kinsoku w:val="0"/>
        <w:overflowPunct w:val="0"/>
        <w:rPr>
          <w:sz w:val="22"/>
          <w:szCs w:val="22"/>
          <w:lang w:val="el-GR"/>
        </w:rPr>
      </w:pPr>
    </w:p>
    <w:p w14:paraId="18223096" w14:textId="77777777" w:rsidR="00171824" w:rsidRDefault="006D258C">
      <w:pPr>
        <w:widowControl/>
        <w:kinsoku w:val="0"/>
        <w:overflowPunct w:val="0"/>
        <w:rPr>
          <w:sz w:val="22"/>
          <w:szCs w:val="22"/>
          <w:lang w:val="el-GR"/>
        </w:rPr>
      </w:pPr>
      <w:r>
        <w:rPr>
          <w:i/>
          <w:iCs/>
          <w:sz w:val="22"/>
          <w:szCs w:val="22"/>
          <w:u w:val="single"/>
          <w:lang w:val="el-GR"/>
        </w:rPr>
        <w:t>Κλινική Ανταπόκριση</w:t>
      </w:r>
    </w:p>
    <w:p w14:paraId="72AEA71B" w14:textId="77777777" w:rsidR="00171824" w:rsidRDefault="00171824">
      <w:pPr>
        <w:widowControl/>
        <w:kinsoku w:val="0"/>
        <w:overflowPunct w:val="0"/>
        <w:rPr>
          <w:sz w:val="22"/>
          <w:szCs w:val="22"/>
          <w:lang w:val="el-GR"/>
        </w:rPr>
      </w:pPr>
    </w:p>
    <w:p w14:paraId="314DB4FD" w14:textId="77777777" w:rsidR="00171824" w:rsidRDefault="006D258C">
      <w:pPr>
        <w:pStyle w:val="BodyText"/>
        <w:widowControl/>
        <w:kinsoku w:val="0"/>
        <w:overflowPunct w:val="0"/>
        <w:ind w:left="0"/>
        <w:rPr>
          <w:lang w:val="el-GR"/>
        </w:rPr>
      </w:pPr>
      <w:r>
        <w:rPr>
          <w:lang w:val="el-GR"/>
        </w:rPr>
        <w:t>Η μείωση των φλεγμονωδών βλαβών και η αποφυγή της επιδείνωσης των αποστημάτων και των παραγωγικών συριγγίων αξιολογήθηκε χρησιμοποιώντας το Δείκτη Κλινικής Ανταπόκρισης στη Διαπυητική Ιδρωταδενίτιδα (HiSCR, μείωση τουλάχιστον κατά 50% του συνολικού αριθμού των αποστημάτων και των φλεγμονωδών οζιδίων χωρίς αύξηση του αριθμού των αποστημάτων και χωρίς αύξηση του αριθμού των παραγωγικών συριγγίων, σε σχέση με τον αριθμό τους στην έναρξη της μελέτης). Η μείωση του συνδεόμενου με τη διαπυητική ιδρωταδενίτιδα άλγους αξιολογήθηκε χρησιμοποιώντας μια Αριθμητική Κλίμακα Αξιολόγησης σε ασθενείς που εντάχθηκαν στη μελέτη με αρχική τιμή 3 ή μεγαλύτερη, σε μια 11-βάθμια κλίμακα.</w:t>
      </w:r>
    </w:p>
    <w:p w14:paraId="0D252342" w14:textId="77777777" w:rsidR="00171824" w:rsidRDefault="00171824">
      <w:pPr>
        <w:pStyle w:val="BodyText"/>
        <w:widowControl/>
        <w:kinsoku w:val="0"/>
        <w:overflowPunct w:val="0"/>
        <w:ind w:left="0"/>
        <w:rPr>
          <w:lang w:val="el-GR"/>
        </w:rPr>
      </w:pPr>
    </w:p>
    <w:p w14:paraId="64C64A2E" w14:textId="77777777" w:rsidR="00171824" w:rsidRDefault="006D258C">
      <w:pPr>
        <w:pStyle w:val="BodyText"/>
        <w:widowControl/>
        <w:kinsoku w:val="0"/>
        <w:overflowPunct w:val="0"/>
        <w:ind w:left="0"/>
        <w:rPr>
          <w:lang w:val="el-GR"/>
        </w:rPr>
      </w:pPr>
      <w:r>
        <w:rPr>
          <w:lang w:val="el-GR"/>
        </w:rPr>
        <w:t>Την εβδομάδα 12, ένα σημαντικά υψηλότερο ποσοστό ασθενών που έλαβαν θεραπεία με adalimumab πέτυχε HiSCR έναντι αυτών που έλαβαν εικονικό φάρμακο. Την εβδομάδα 12, ένα σημαντικά υψηλότερο ποσοστό ασθενών της Μελέτης HS-ΙΙ παρουσίασαν κλινικά σημαντική μείωση του συνδεόμενου με τη διαπυητική ιδρωταδενίτιδα άλγους (βλέπε πίνακα 19). Οι ασθενείς που έλαβαν θεραπεία με adalimumab εμφάνισαν σημαντικά μικρότερο κίνδυνο έξαρσης της νόσου κατά τη διάρκεια των 12 πρώτων εβδομάδων της θεραπείας.</w:t>
      </w:r>
    </w:p>
    <w:p w14:paraId="2618B130" w14:textId="77777777" w:rsidR="00171824" w:rsidRDefault="00171824">
      <w:pPr>
        <w:widowControl/>
        <w:kinsoku w:val="0"/>
        <w:overflowPunct w:val="0"/>
        <w:rPr>
          <w:sz w:val="22"/>
          <w:szCs w:val="22"/>
          <w:lang w:val="el-GR"/>
        </w:rPr>
      </w:pPr>
    </w:p>
    <w:p w14:paraId="1C523630" w14:textId="77777777" w:rsidR="00171824" w:rsidRDefault="006D258C">
      <w:pPr>
        <w:pStyle w:val="Heading1"/>
        <w:keepNext/>
        <w:keepLines/>
        <w:widowControl/>
        <w:kinsoku w:val="0"/>
        <w:overflowPunct w:val="0"/>
        <w:ind w:left="0"/>
        <w:rPr>
          <w:b w:val="0"/>
          <w:bCs w:val="0"/>
          <w:lang w:val="el-GR"/>
        </w:rPr>
      </w:pPr>
      <w:r>
        <w:rPr>
          <w:lang w:val="el-GR"/>
        </w:rPr>
        <w:lastRenderedPageBreak/>
        <w:t>Πίνακας 19. Αποτελεσματικότητα στις 12 εβδομάδες, Μελέτες HS I και II</w:t>
      </w:r>
    </w:p>
    <w:p w14:paraId="18F58850" w14:textId="77777777" w:rsidR="00171824" w:rsidRDefault="00171824">
      <w:pPr>
        <w:keepNext/>
        <w:keepLines/>
        <w:widowControl/>
        <w:kinsoku w:val="0"/>
        <w:overflowPunct w:val="0"/>
        <w:rPr>
          <w:sz w:val="22"/>
          <w:szCs w:val="22"/>
          <w:lang w:val="el-GR"/>
        </w:rPr>
      </w:pPr>
    </w:p>
    <w:tbl>
      <w:tblPr>
        <w:tblW w:w="9395" w:type="dxa"/>
        <w:tblInd w:w="5" w:type="dxa"/>
        <w:tblLayout w:type="fixed"/>
        <w:tblCellMar>
          <w:left w:w="0" w:type="dxa"/>
          <w:right w:w="0" w:type="dxa"/>
        </w:tblCellMar>
        <w:tblLook w:val="04A0" w:firstRow="1" w:lastRow="0" w:firstColumn="1" w:lastColumn="0" w:noHBand="0" w:noVBand="1"/>
      </w:tblPr>
      <w:tblGrid>
        <w:gridCol w:w="2949"/>
        <w:gridCol w:w="1440"/>
        <w:gridCol w:w="1747"/>
        <w:gridCol w:w="1519"/>
        <w:gridCol w:w="1740"/>
      </w:tblGrid>
      <w:tr w:rsidR="00171824" w14:paraId="67ECE84D" w14:textId="77777777">
        <w:trPr>
          <w:trHeight w:val="20"/>
        </w:trPr>
        <w:tc>
          <w:tcPr>
            <w:tcW w:w="2949" w:type="dxa"/>
            <w:vMerge w:val="restart"/>
            <w:tcBorders>
              <w:top w:val="single" w:sz="4" w:space="0" w:color="000000"/>
              <w:left w:val="single" w:sz="4" w:space="0" w:color="000000"/>
              <w:bottom w:val="single" w:sz="4" w:space="0" w:color="000000"/>
              <w:right w:val="single" w:sz="4" w:space="0" w:color="000000"/>
            </w:tcBorders>
          </w:tcPr>
          <w:p w14:paraId="1E7B135F" w14:textId="77777777" w:rsidR="00171824" w:rsidRDefault="00171824">
            <w:pPr>
              <w:keepNext/>
              <w:widowControl/>
              <w:rPr>
                <w:rFonts w:eastAsia="MS Mincho"/>
                <w:sz w:val="22"/>
                <w:szCs w:val="22"/>
                <w:lang w:val="el-GR"/>
              </w:rPr>
            </w:pPr>
          </w:p>
        </w:tc>
        <w:tc>
          <w:tcPr>
            <w:tcW w:w="3187" w:type="dxa"/>
            <w:gridSpan w:val="2"/>
            <w:tcBorders>
              <w:top w:val="single" w:sz="4" w:space="0" w:color="000000"/>
              <w:left w:val="single" w:sz="4" w:space="0" w:color="000000"/>
              <w:bottom w:val="single" w:sz="4" w:space="0" w:color="000000"/>
              <w:right w:val="single" w:sz="4" w:space="0" w:color="000000"/>
            </w:tcBorders>
          </w:tcPr>
          <w:p w14:paraId="72A2E0BA" w14:textId="77777777" w:rsidR="00171824" w:rsidRDefault="006D258C">
            <w:pPr>
              <w:pStyle w:val="TableParagraph"/>
              <w:keepNext/>
              <w:widowControl/>
              <w:kinsoku w:val="0"/>
              <w:overflowPunct w:val="0"/>
              <w:ind w:left="975"/>
              <w:rPr>
                <w:rFonts w:eastAsia="MS Mincho"/>
                <w:sz w:val="22"/>
                <w:szCs w:val="22"/>
                <w:lang w:val="el-GR"/>
              </w:rPr>
            </w:pPr>
            <w:r>
              <w:rPr>
                <w:rFonts w:eastAsia="MS Mincho"/>
                <w:b/>
                <w:bCs/>
                <w:sz w:val="22"/>
                <w:szCs w:val="22"/>
                <w:lang w:val="el-GR"/>
              </w:rPr>
              <w:t>Μελέτη HS I</w:t>
            </w:r>
          </w:p>
        </w:tc>
        <w:tc>
          <w:tcPr>
            <w:tcW w:w="3259" w:type="dxa"/>
            <w:gridSpan w:val="2"/>
            <w:tcBorders>
              <w:top w:val="single" w:sz="4" w:space="0" w:color="000000"/>
              <w:left w:val="single" w:sz="4" w:space="0" w:color="000000"/>
              <w:bottom w:val="single" w:sz="4" w:space="0" w:color="000000"/>
              <w:right w:val="single" w:sz="4" w:space="0" w:color="000000"/>
            </w:tcBorders>
          </w:tcPr>
          <w:p w14:paraId="6D9428C4" w14:textId="77777777" w:rsidR="00171824" w:rsidRDefault="006D258C">
            <w:pPr>
              <w:pStyle w:val="TableParagraph"/>
              <w:keepNext/>
              <w:widowControl/>
              <w:kinsoku w:val="0"/>
              <w:overflowPunct w:val="0"/>
              <w:ind w:left="971"/>
              <w:rPr>
                <w:rFonts w:eastAsia="MS Mincho"/>
                <w:sz w:val="22"/>
                <w:szCs w:val="22"/>
                <w:lang w:val="el-GR"/>
              </w:rPr>
            </w:pPr>
            <w:r>
              <w:rPr>
                <w:rFonts w:eastAsia="MS Mincho"/>
                <w:b/>
                <w:bCs/>
                <w:sz w:val="22"/>
                <w:szCs w:val="22"/>
                <w:lang w:val="el-GR"/>
              </w:rPr>
              <w:t>Μελέτη HS II</w:t>
            </w:r>
          </w:p>
        </w:tc>
      </w:tr>
      <w:tr w:rsidR="00171824" w14:paraId="7461663C" w14:textId="77777777">
        <w:trPr>
          <w:trHeight w:val="20"/>
        </w:trPr>
        <w:tc>
          <w:tcPr>
            <w:tcW w:w="2949" w:type="dxa"/>
            <w:vMerge/>
            <w:tcBorders>
              <w:top w:val="single" w:sz="4" w:space="0" w:color="000000"/>
              <w:left w:val="single" w:sz="4" w:space="0" w:color="000000"/>
              <w:bottom w:val="single" w:sz="4" w:space="0" w:color="000000"/>
              <w:right w:val="single" w:sz="4" w:space="0" w:color="000000"/>
            </w:tcBorders>
          </w:tcPr>
          <w:p w14:paraId="0698D0FB" w14:textId="77777777" w:rsidR="00171824" w:rsidRDefault="00171824">
            <w:pPr>
              <w:pStyle w:val="TableParagraph"/>
              <w:keepNext/>
              <w:widowControl/>
              <w:kinsoku w:val="0"/>
              <w:overflowPunct w:val="0"/>
              <w:ind w:left="971"/>
              <w:rPr>
                <w:rFonts w:eastAsia="MS Mincho"/>
                <w:sz w:val="22"/>
                <w:szCs w:val="22"/>
                <w:lang w:val="el-GR"/>
              </w:rPr>
            </w:pPr>
          </w:p>
        </w:tc>
        <w:tc>
          <w:tcPr>
            <w:tcW w:w="1440" w:type="dxa"/>
            <w:tcBorders>
              <w:top w:val="single" w:sz="4" w:space="0" w:color="000000"/>
              <w:left w:val="single" w:sz="4" w:space="0" w:color="000000"/>
              <w:bottom w:val="single" w:sz="4" w:space="0" w:color="000000"/>
              <w:right w:val="single" w:sz="4" w:space="0" w:color="000000"/>
            </w:tcBorders>
          </w:tcPr>
          <w:p w14:paraId="2F95DC17"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w:t>
            </w:r>
          </w:p>
        </w:tc>
        <w:tc>
          <w:tcPr>
            <w:tcW w:w="1747" w:type="dxa"/>
            <w:tcBorders>
              <w:top w:val="single" w:sz="4" w:space="0" w:color="000000"/>
              <w:left w:val="single" w:sz="4" w:space="0" w:color="000000"/>
              <w:bottom w:val="single" w:sz="4" w:space="0" w:color="000000"/>
              <w:right w:val="single" w:sz="4" w:space="0" w:color="000000"/>
            </w:tcBorders>
          </w:tcPr>
          <w:p w14:paraId="23292CF5"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εβδομάδα</w:t>
            </w:r>
          </w:p>
        </w:tc>
        <w:tc>
          <w:tcPr>
            <w:tcW w:w="1519" w:type="dxa"/>
            <w:tcBorders>
              <w:top w:val="single" w:sz="4" w:space="0" w:color="000000"/>
              <w:left w:val="single" w:sz="4" w:space="0" w:color="000000"/>
              <w:bottom w:val="single" w:sz="4" w:space="0" w:color="000000"/>
              <w:right w:val="single" w:sz="4" w:space="0" w:color="000000"/>
            </w:tcBorders>
          </w:tcPr>
          <w:p w14:paraId="7DAE7B3B"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w:t>
            </w:r>
          </w:p>
        </w:tc>
        <w:tc>
          <w:tcPr>
            <w:tcW w:w="1740" w:type="dxa"/>
            <w:tcBorders>
              <w:top w:val="single" w:sz="4" w:space="0" w:color="000000"/>
              <w:left w:val="single" w:sz="4" w:space="0" w:color="000000"/>
              <w:bottom w:val="single" w:sz="4" w:space="0" w:color="000000"/>
              <w:right w:val="single" w:sz="4" w:space="0" w:color="000000"/>
            </w:tcBorders>
          </w:tcPr>
          <w:p w14:paraId="29BA8A89"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εβδομάδα</w:t>
            </w:r>
          </w:p>
        </w:tc>
      </w:tr>
      <w:tr w:rsidR="00171824" w14:paraId="7E952B35" w14:textId="77777777">
        <w:trPr>
          <w:trHeight w:val="20"/>
        </w:trPr>
        <w:tc>
          <w:tcPr>
            <w:tcW w:w="2949" w:type="dxa"/>
            <w:tcBorders>
              <w:top w:val="single" w:sz="4" w:space="0" w:color="000000"/>
              <w:left w:val="single" w:sz="4" w:space="0" w:color="000000"/>
              <w:bottom w:val="single" w:sz="4" w:space="0" w:color="000000"/>
              <w:right w:val="single" w:sz="4" w:space="0" w:color="000000"/>
            </w:tcBorders>
          </w:tcPr>
          <w:p w14:paraId="579BFC0A" w14:textId="77777777" w:rsidR="00171824" w:rsidRDefault="006D258C">
            <w:pPr>
              <w:pStyle w:val="TableParagraph"/>
              <w:widowControl/>
              <w:kinsoku w:val="0"/>
              <w:overflowPunct w:val="0"/>
              <w:ind w:left="109" w:right="285"/>
              <w:rPr>
                <w:rFonts w:eastAsia="MS Mincho"/>
                <w:sz w:val="22"/>
                <w:szCs w:val="22"/>
                <w:lang w:val="el-GR"/>
              </w:rPr>
            </w:pPr>
            <w:r>
              <w:rPr>
                <w:rFonts w:eastAsia="MS Mincho"/>
                <w:sz w:val="22"/>
                <w:szCs w:val="22"/>
                <w:lang w:val="el-GR"/>
              </w:rPr>
              <w:t>Κλινική ανταπόκριση στη Διαπυητική Ιδρωταδενίτιδα (HiSCR)</w:t>
            </w:r>
            <w:r>
              <w:rPr>
                <w:rFonts w:eastAsia="MS Mincho"/>
                <w:sz w:val="22"/>
                <w:szCs w:val="22"/>
                <w:vertAlign w:val="superscript"/>
                <w:lang w:val="el-GR"/>
              </w:rPr>
              <w:t>a</w:t>
            </w:r>
          </w:p>
        </w:tc>
        <w:tc>
          <w:tcPr>
            <w:tcW w:w="1440" w:type="dxa"/>
            <w:tcBorders>
              <w:top w:val="single" w:sz="4" w:space="0" w:color="000000"/>
              <w:left w:val="single" w:sz="4" w:space="0" w:color="000000"/>
              <w:bottom w:val="single" w:sz="4" w:space="0" w:color="000000"/>
              <w:right w:val="single" w:sz="4" w:space="0" w:color="000000"/>
            </w:tcBorders>
          </w:tcPr>
          <w:p w14:paraId="1620E95F" w14:textId="77777777" w:rsidR="00171824" w:rsidRDefault="006D258C">
            <w:pPr>
              <w:pStyle w:val="BodyText"/>
              <w:widowControl/>
              <w:ind w:left="0"/>
              <w:jc w:val="center"/>
              <w:rPr>
                <w:rFonts w:eastAsia="MS Mincho"/>
                <w:lang w:val="el-GR"/>
              </w:rPr>
            </w:pPr>
            <w:r>
              <w:rPr>
                <w:rFonts w:eastAsia="MS Mincho"/>
                <w:lang w:val="el-GR"/>
              </w:rPr>
              <w:t>N = 154</w:t>
            </w:r>
          </w:p>
          <w:p w14:paraId="07A59DE8" w14:textId="77777777" w:rsidR="00171824" w:rsidRDefault="006D258C">
            <w:pPr>
              <w:pStyle w:val="BodyText"/>
              <w:widowControl/>
              <w:ind w:left="0"/>
              <w:jc w:val="center"/>
              <w:rPr>
                <w:rFonts w:eastAsia="MS Mincho"/>
                <w:lang w:val="el-GR"/>
              </w:rPr>
            </w:pPr>
            <w:r>
              <w:rPr>
                <w:rFonts w:eastAsia="MS Mincho"/>
                <w:lang w:val="el-GR"/>
              </w:rPr>
              <w:t>40 (26,0%)</w:t>
            </w:r>
          </w:p>
        </w:tc>
        <w:tc>
          <w:tcPr>
            <w:tcW w:w="1747" w:type="dxa"/>
            <w:tcBorders>
              <w:top w:val="single" w:sz="4" w:space="0" w:color="000000"/>
              <w:left w:val="single" w:sz="4" w:space="0" w:color="000000"/>
              <w:bottom w:val="single" w:sz="4" w:space="0" w:color="000000"/>
              <w:right w:val="single" w:sz="4" w:space="0" w:color="000000"/>
            </w:tcBorders>
          </w:tcPr>
          <w:p w14:paraId="77A79030" w14:textId="77777777" w:rsidR="00171824" w:rsidRDefault="006D258C">
            <w:pPr>
              <w:pStyle w:val="BodyText"/>
              <w:widowControl/>
              <w:ind w:left="0"/>
              <w:jc w:val="center"/>
              <w:rPr>
                <w:rFonts w:eastAsia="MS Mincho"/>
                <w:lang w:val="el-GR"/>
              </w:rPr>
            </w:pPr>
            <w:r>
              <w:rPr>
                <w:rFonts w:eastAsia="MS Mincho"/>
                <w:lang w:val="el-GR"/>
              </w:rPr>
              <w:t>N = 153</w:t>
            </w:r>
          </w:p>
          <w:p w14:paraId="72538981" w14:textId="77777777" w:rsidR="00171824" w:rsidRDefault="006D258C">
            <w:pPr>
              <w:pStyle w:val="BodyText"/>
              <w:widowControl/>
              <w:ind w:left="0"/>
              <w:jc w:val="center"/>
              <w:rPr>
                <w:rFonts w:eastAsia="MS Mincho"/>
                <w:lang w:val="el-GR"/>
              </w:rPr>
            </w:pPr>
            <w:r>
              <w:rPr>
                <w:rFonts w:eastAsia="MS Mincho"/>
                <w:lang w:val="el-GR"/>
              </w:rPr>
              <w:t xml:space="preserve">64 (41,8%) </w:t>
            </w:r>
            <w:r>
              <w:rPr>
                <w:rFonts w:eastAsia="MS Mincho"/>
                <w:position w:val="10"/>
                <w:lang w:val="el-GR"/>
              </w:rPr>
              <w:t>*</w:t>
            </w:r>
          </w:p>
        </w:tc>
        <w:tc>
          <w:tcPr>
            <w:tcW w:w="1519" w:type="dxa"/>
            <w:tcBorders>
              <w:top w:val="single" w:sz="4" w:space="0" w:color="000000"/>
              <w:left w:val="single" w:sz="4" w:space="0" w:color="000000"/>
              <w:bottom w:val="single" w:sz="4" w:space="0" w:color="000000"/>
              <w:right w:val="single" w:sz="4" w:space="0" w:color="000000"/>
            </w:tcBorders>
          </w:tcPr>
          <w:p w14:paraId="09CF14AD" w14:textId="77777777" w:rsidR="00171824" w:rsidRDefault="006D258C">
            <w:pPr>
              <w:pStyle w:val="BodyText"/>
              <w:widowControl/>
              <w:ind w:left="0"/>
              <w:jc w:val="center"/>
              <w:rPr>
                <w:rFonts w:eastAsia="MS Mincho"/>
                <w:lang w:val="el-GR"/>
              </w:rPr>
            </w:pPr>
            <w:r>
              <w:rPr>
                <w:rFonts w:eastAsia="MS Mincho"/>
                <w:lang w:val="el-GR"/>
              </w:rPr>
              <w:t>N=163</w:t>
            </w:r>
          </w:p>
          <w:p w14:paraId="6858D93B" w14:textId="77777777" w:rsidR="00171824" w:rsidRDefault="006D258C">
            <w:pPr>
              <w:pStyle w:val="BodyText"/>
              <w:widowControl/>
              <w:ind w:left="0"/>
              <w:jc w:val="center"/>
              <w:rPr>
                <w:rFonts w:eastAsia="MS Mincho"/>
                <w:lang w:val="el-GR"/>
              </w:rPr>
            </w:pPr>
            <w:r>
              <w:rPr>
                <w:rFonts w:eastAsia="MS Mincho"/>
                <w:lang w:val="el-GR"/>
              </w:rPr>
              <w:t>45 (27,6%)</w:t>
            </w:r>
          </w:p>
        </w:tc>
        <w:tc>
          <w:tcPr>
            <w:tcW w:w="1740" w:type="dxa"/>
            <w:tcBorders>
              <w:top w:val="single" w:sz="4" w:space="0" w:color="000000"/>
              <w:left w:val="single" w:sz="4" w:space="0" w:color="000000"/>
              <w:bottom w:val="single" w:sz="4" w:space="0" w:color="000000"/>
              <w:right w:val="single" w:sz="4" w:space="0" w:color="000000"/>
            </w:tcBorders>
          </w:tcPr>
          <w:p w14:paraId="3392A8F7" w14:textId="77777777" w:rsidR="00171824" w:rsidRDefault="006D258C">
            <w:pPr>
              <w:pStyle w:val="BodyText"/>
              <w:widowControl/>
              <w:ind w:left="0"/>
              <w:jc w:val="center"/>
              <w:rPr>
                <w:rFonts w:eastAsia="MS Mincho"/>
                <w:lang w:val="el-GR"/>
              </w:rPr>
            </w:pPr>
            <w:r>
              <w:rPr>
                <w:rFonts w:eastAsia="MS Mincho"/>
                <w:lang w:val="el-GR"/>
              </w:rPr>
              <w:t>N=163</w:t>
            </w:r>
          </w:p>
          <w:p w14:paraId="1C68E13A" w14:textId="77777777" w:rsidR="00171824" w:rsidRDefault="006D258C">
            <w:pPr>
              <w:pStyle w:val="BodyText"/>
              <w:widowControl/>
              <w:ind w:left="0"/>
              <w:jc w:val="center"/>
              <w:rPr>
                <w:rFonts w:eastAsia="MS Mincho"/>
                <w:lang w:val="el-GR"/>
              </w:rPr>
            </w:pPr>
            <w:r>
              <w:rPr>
                <w:rFonts w:eastAsia="MS Mincho"/>
                <w:lang w:val="el-GR"/>
              </w:rPr>
              <w:t xml:space="preserve">96 (58,9%) </w:t>
            </w:r>
            <w:r>
              <w:rPr>
                <w:rFonts w:eastAsia="MS Mincho"/>
                <w:vertAlign w:val="superscript"/>
                <w:lang w:val="el-GR"/>
              </w:rPr>
              <w:t>***</w:t>
            </w:r>
          </w:p>
        </w:tc>
      </w:tr>
      <w:tr w:rsidR="00171824" w14:paraId="2F02B0DA" w14:textId="77777777">
        <w:trPr>
          <w:trHeight w:val="20"/>
        </w:trPr>
        <w:tc>
          <w:tcPr>
            <w:tcW w:w="2949" w:type="dxa"/>
            <w:tcBorders>
              <w:top w:val="single" w:sz="4" w:space="0" w:color="000000"/>
              <w:left w:val="single" w:sz="4" w:space="0" w:color="000000"/>
              <w:bottom w:val="single" w:sz="4" w:space="0" w:color="auto"/>
              <w:right w:val="single" w:sz="4" w:space="0" w:color="000000"/>
            </w:tcBorders>
          </w:tcPr>
          <w:p w14:paraId="3BA798D9" w14:textId="77777777" w:rsidR="00171824" w:rsidRDefault="006D258C">
            <w:pPr>
              <w:pStyle w:val="TableParagraph"/>
              <w:widowControl/>
              <w:kinsoku w:val="0"/>
              <w:overflowPunct w:val="0"/>
              <w:ind w:left="109" w:right="951"/>
              <w:rPr>
                <w:rFonts w:eastAsia="MS Mincho"/>
                <w:sz w:val="22"/>
                <w:szCs w:val="22"/>
                <w:lang w:val="el-GR"/>
              </w:rPr>
            </w:pPr>
            <w:r>
              <w:rPr>
                <w:rFonts w:eastAsia="MS Mincho"/>
                <w:sz w:val="22"/>
                <w:szCs w:val="22"/>
                <w:lang w:val="el-GR"/>
              </w:rPr>
              <w:t>≥30% Μείωση του δερματικού άλγους</w:t>
            </w:r>
            <w:r>
              <w:rPr>
                <w:rFonts w:eastAsia="MS Mincho"/>
                <w:sz w:val="22"/>
                <w:szCs w:val="22"/>
                <w:vertAlign w:val="superscript"/>
                <w:lang w:val="el-GR"/>
              </w:rPr>
              <w:t>b</w:t>
            </w:r>
          </w:p>
        </w:tc>
        <w:tc>
          <w:tcPr>
            <w:tcW w:w="1440" w:type="dxa"/>
            <w:tcBorders>
              <w:top w:val="single" w:sz="4" w:space="0" w:color="000000"/>
              <w:left w:val="single" w:sz="4" w:space="0" w:color="000000"/>
              <w:bottom w:val="single" w:sz="4" w:space="0" w:color="auto"/>
              <w:right w:val="single" w:sz="4" w:space="0" w:color="000000"/>
            </w:tcBorders>
          </w:tcPr>
          <w:p w14:paraId="279F9BC5" w14:textId="77777777" w:rsidR="00171824" w:rsidRDefault="006D258C">
            <w:pPr>
              <w:pStyle w:val="BodyText"/>
              <w:widowControl/>
              <w:ind w:left="0"/>
              <w:jc w:val="center"/>
              <w:rPr>
                <w:rFonts w:eastAsia="MS Mincho"/>
                <w:lang w:val="el-GR"/>
              </w:rPr>
            </w:pPr>
            <w:r>
              <w:rPr>
                <w:rFonts w:eastAsia="MS Mincho"/>
                <w:lang w:val="el-GR"/>
              </w:rPr>
              <w:t>N = 109</w:t>
            </w:r>
          </w:p>
          <w:p w14:paraId="31278D5D" w14:textId="77777777" w:rsidR="00171824" w:rsidRDefault="006D258C">
            <w:pPr>
              <w:pStyle w:val="BodyText"/>
              <w:widowControl/>
              <w:ind w:left="0"/>
              <w:jc w:val="center"/>
              <w:rPr>
                <w:rFonts w:eastAsia="MS Mincho"/>
                <w:lang w:val="el-GR"/>
              </w:rPr>
            </w:pPr>
            <w:r>
              <w:rPr>
                <w:rFonts w:eastAsia="MS Mincho"/>
                <w:lang w:val="el-GR"/>
              </w:rPr>
              <w:t>27 (24,8%)</w:t>
            </w:r>
          </w:p>
        </w:tc>
        <w:tc>
          <w:tcPr>
            <w:tcW w:w="1747" w:type="dxa"/>
            <w:tcBorders>
              <w:top w:val="single" w:sz="4" w:space="0" w:color="000000"/>
              <w:left w:val="single" w:sz="4" w:space="0" w:color="000000"/>
              <w:bottom w:val="single" w:sz="4" w:space="0" w:color="auto"/>
              <w:right w:val="single" w:sz="4" w:space="0" w:color="000000"/>
            </w:tcBorders>
          </w:tcPr>
          <w:p w14:paraId="5566F67C" w14:textId="77777777" w:rsidR="00171824" w:rsidRDefault="006D258C">
            <w:pPr>
              <w:pStyle w:val="BodyText"/>
              <w:widowControl/>
              <w:ind w:left="0"/>
              <w:jc w:val="center"/>
              <w:rPr>
                <w:rFonts w:eastAsia="MS Mincho"/>
                <w:lang w:val="el-GR"/>
              </w:rPr>
            </w:pPr>
            <w:r>
              <w:rPr>
                <w:rFonts w:eastAsia="MS Mincho"/>
                <w:lang w:val="el-GR"/>
              </w:rPr>
              <w:t>N = 122</w:t>
            </w:r>
          </w:p>
          <w:p w14:paraId="6A0ADABF" w14:textId="77777777" w:rsidR="00171824" w:rsidRDefault="006D258C">
            <w:pPr>
              <w:pStyle w:val="BodyText"/>
              <w:widowControl/>
              <w:ind w:left="0"/>
              <w:jc w:val="center"/>
              <w:rPr>
                <w:rFonts w:eastAsia="MS Mincho"/>
                <w:lang w:val="el-GR"/>
              </w:rPr>
            </w:pPr>
            <w:r>
              <w:rPr>
                <w:rFonts w:eastAsia="MS Mincho"/>
                <w:lang w:val="el-GR"/>
              </w:rPr>
              <w:t>34 (27,9%)</w:t>
            </w:r>
          </w:p>
        </w:tc>
        <w:tc>
          <w:tcPr>
            <w:tcW w:w="1519" w:type="dxa"/>
            <w:tcBorders>
              <w:top w:val="single" w:sz="4" w:space="0" w:color="000000"/>
              <w:left w:val="single" w:sz="4" w:space="0" w:color="000000"/>
              <w:bottom w:val="single" w:sz="4" w:space="0" w:color="auto"/>
              <w:right w:val="single" w:sz="4" w:space="0" w:color="000000"/>
            </w:tcBorders>
          </w:tcPr>
          <w:p w14:paraId="3D76BA36" w14:textId="77777777" w:rsidR="00171824" w:rsidRDefault="006D258C">
            <w:pPr>
              <w:pStyle w:val="BodyText"/>
              <w:widowControl/>
              <w:ind w:left="0"/>
              <w:jc w:val="center"/>
              <w:rPr>
                <w:rFonts w:eastAsia="MS Mincho"/>
                <w:lang w:val="el-GR"/>
              </w:rPr>
            </w:pPr>
            <w:r>
              <w:rPr>
                <w:rFonts w:eastAsia="MS Mincho"/>
                <w:lang w:val="el-GR"/>
              </w:rPr>
              <w:t>N=111</w:t>
            </w:r>
          </w:p>
          <w:p w14:paraId="0ED287E1" w14:textId="77777777" w:rsidR="00171824" w:rsidRDefault="006D258C">
            <w:pPr>
              <w:pStyle w:val="BodyText"/>
              <w:widowControl/>
              <w:ind w:left="0"/>
              <w:jc w:val="center"/>
              <w:rPr>
                <w:rFonts w:eastAsia="MS Mincho"/>
                <w:lang w:val="el-GR"/>
              </w:rPr>
            </w:pPr>
            <w:r>
              <w:rPr>
                <w:rFonts w:eastAsia="MS Mincho"/>
                <w:lang w:val="el-GR"/>
              </w:rPr>
              <w:t>23 (20,7%)</w:t>
            </w:r>
          </w:p>
        </w:tc>
        <w:tc>
          <w:tcPr>
            <w:tcW w:w="1740" w:type="dxa"/>
            <w:tcBorders>
              <w:top w:val="single" w:sz="4" w:space="0" w:color="000000"/>
              <w:left w:val="single" w:sz="4" w:space="0" w:color="000000"/>
              <w:bottom w:val="single" w:sz="4" w:space="0" w:color="auto"/>
              <w:right w:val="single" w:sz="4" w:space="0" w:color="000000"/>
            </w:tcBorders>
          </w:tcPr>
          <w:p w14:paraId="3DB3898C" w14:textId="77777777" w:rsidR="00171824" w:rsidRDefault="006D258C">
            <w:pPr>
              <w:pStyle w:val="BodyText"/>
              <w:widowControl/>
              <w:ind w:left="0"/>
              <w:jc w:val="center"/>
              <w:rPr>
                <w:rFonts w:eastAsia="MS Mincho"/>
                <w:lang w:val="el-GR"/>
              </w:rPr>
            </w:pPr>
            <w:r>
              <w:rPr>
                <w:rFonts w:eastAsia="MS Mincho"/>
                <w:lang w:val="el-GR"/>
              </w:rPr>
              <w:t>N=105</w:t>
            </w:r>
          </w:p>
          <w:p w14:paraId="2BB08C4A" w14:textId="77777777" w:rsidR="00171824" w:rsidRDefault="006D258C">
            <w:pPr>
              <w:pStyle w:val="BodyText"/>
              <w:widowControl/>
              <w:ind w:left="0"/>
              <w:jc w:val="center"/>
              <w:rPr>
                <w:rFonts w:eastAsia="MS Mincho"/>
                <w:lang w:val="el-GR"/>
              </w:rPr>
            </w:pPr>
            <w:r>
              <w:rPr>
                <w:rFonts w:eastAsia="MS Mincho"/>
                <w:lang w:val="el-GR"/>
              </w:rPr>
              <w:t xml:space="preserve">48 (45,7%) </w:t>
            </w:r>
            <w:r>
              <w:rPr>
                <w:rFonts w:eastAsia="MS Mincho"/>
                <w:vertAlign w:val="superscript"/>
                <w:lang w:val="el-GR"/>
              </w:rPr>
              <w:t>***</w:t>
            </w:r>
          </w:p>
        </w:tc>
      </w:tr>
      <w:tr w:rsidR="00171824" w:rsidRPr="00422380" w14:paraId="4BE2EB77" w14:textId="77777777">
        <w:trPr>
          <w:trHeight w:val="20"/>
        </w:trPr>
        <w:tc>
          <w:tcPr>
            <w:tcW w:w="9395" w:type="dxa"/>
            <w:gridSpan w:val="5"/>
            <w:tcBorders>
              <w:top w:val="single" w:sz="4" w:space="0" w:color="auto"/>
            </w:tcBorders>
          </w:tcPr>
          <w:p w14:paraId="154756FE" w14:textId="77777777" w:rsidR="00171824" w:rsidRPr="00E10827" w:rsidRDefault="006D258C">
            <w:pPr>
              <w:pStyle w:val="TableParagraph"/>
              <w:widowControl/>
              <w:kinsoku w:val="0"/>
              <w:overflowPunct w:val="0"/>
              <w:rPr>
                <w:rFonts w:eastAsia="MS Mincho"/>
                <w:sz w:val="20"/>
                <w:szCs w:val="20"/>
                <w:lang w:val="el-GR"/>
              </w:rPr>
            </w:pPr>
            <w:r w:rsidRPr="00E10827">
              <w:rPr>
                <w:rFonts w:eastAsia="MS Mincho"/>
                <w:sz w:val="20"/>
                <w:szCs w:val="20"/>
                <w:lang w:val="el-GR"/>
              </w:rPr>
              <w:t xml:space="preserve">* </w:t>
            </w:r>
            <w:r>
              <w:rPr>
                <w:rFonts w:eastAsia="MS Mincho"/>
                <w:iCs/>
                <w:sz w:val="20"/>
                <w:szCs w:val="20"/>
              </w:rPr>
              <w:t>P</w:t>
            </w:r>
            <w:r w:rsidRPr="00E10827">
              <w:rPr>
                <w:rFonts w:eastAsia="MS Mincho"/>
                <w:iCs/>
                <w:sz w:val="20"/>
                <w:szCs w:val="20"/>
                <w:lang w:val="el-GR"/>
              </w:rPr>
              <w:t xml:space="preserve"> </w:t>
            </w:r>
            <w:r w:rsidRPr="00E10827">
              <w:rPr>
                <w:rFonts w:eastAsia="MS Mincho"/>
                <w:sz w:val="20"/>
                <w:szCs w:val="20"/>
                <w:lang w:val="el-GR"/>
              </w:rPr>
              <w:t>&lt; 0,05, ***</w:t>
            </w:r>
            <w:r>
              <w:rPr>
                <w:rFonts w:eastAsia="MS Mincho"/>
                <w:iCs/>
                <w:sz w:val="20"/>
                <w:szCs w:val="20"/>
              </w:rPr>
              <w:t>P</w:t>
            </w:r>
            <w:r w:rsidRPr="00E10827">
              <w:rPr>
                <w:rFonts w:eastAsia="MS Mincho"/>
                <w:iCs/>
                <w:sz w:val="20"/>
                <w:szCs w:val="20"/>
                <w:lang w:val="el-GR"/>
              </w:rPr>
              <w:t xml:space="preserve"> </w:t>
            </w:r>
            <w:r w:rsidRPr="00E10827">
              <w:rPr>
                <w:rFonts w:eastAsia="MS Mincho"/>
                <w:sz w:val="20"/>
                <w:szCs w:val="20"/>
                <w:lang w:val="el-GR"/>
              </w:rPr>
              <w:t xml:space="preserve">&lt; 0,001, </w:t>
            </w:r>
            <w:r>
              <w:rPr>
                <w:rFonts w:eastAsia="MS Mincho"/>
                <w:sz w:val="20"/>
                <w:szCs w:val="20"/>
              </w:rPr>
              <w:t>adalimumab</w:t>
            </w:r>
            <w:r w:rsidRPr="00E10827">
              <w:rPr>
                <w:rFonts w:eastAsia="MS Mincho"/>
                <w:sz w:val="20"/>
                <w:szCs w:val="20"/>
                <w:lang w:val="el-GR"/>
              </w:rPr>
              <w:t xml:space="preserve"> </w:t>
            </w:r>
            <w:r>
              <w:rPr>
                <w:rFonts w:eastAsia="MS Mincho"/>
                <w:sz w:val="20"/>
                <w:szCs w:val="20"/>
                <w:lang w:val="el-GR"/>
              </w:rPr>
              <w:t>έναντι</w:t>
            </w:r>
            <w:r w:rsidRPr="00E10827">
              <w:rPr>
                <w:rFonts w:eastAsia="MS Mincho"/>
                <w:sz w:val="20"/>
                <w:szCs w:val="20"/>
                <w:lang w:val="el-GR"/>
              </w:rPr>
              <w:t xml:space="preserve"> </w:t>
            </w:r>
            <w:r>
              <w:rPr>
                <w:rFonts w:eastAsia="MS Mincho"/>
                <w:sz w:val="20"/>
                <w:szCs w:val="20"/>
                <w:lang w:val="el-GR"/>
              </w:rPr>
              <w:t>εικονικού</w:t>
            </w:r>
            <w:r w:rsidRPr="00E10827">
              <w:rPr>
                <w:rFonts w:eastAsia="MS Mincho"/>
                <w:sz w:val="20"/>
                <w:szCs w:val="20"/>
                <w:lang w:val="el-GR"/>
              </w:rPr>
              <w:t xml:space="preserve"> </w:t>
            </w:r>
            <w:r>
              <w:rPr>
                <w:rFonts w:eastAsia="MS Mincho"/>
                <w:sz w:val="20"/>
                <w:szCs w:val="20"/>
                <w:lang w:val="el-GR"/>
              </w:rPr>
              <w:t>φαρμάκου</w:t>
            </w:r>
          </w:p>
          <w:p w14:paraId="6CE0FFCC" w14:textId="77777777" w:rsidR="00171824" w:rsidRDefault="006D258C">
            <w:pPr>
              <w:pStyle w:val="ListParagraph"/>
              <w:widowControl/>
              <w:numPr>
                <w:ilvl w:val="0"/>
                <w:numId w:val="16"/>
              </w:numPr>
              <w:tabs>
                <w:tab w:val="left" w:pos="469"/>
              </w:tabs>
              <w:kinsoku w:val="0"/>
              <w:overflowPunct w:val="0"/>
              <w:ind w:left="469"/>
              <w:rPr>
                <w:rFonts w:eastAsia="MS Mincho"/>
                <w:sz w:val="20"/>
                <w:szCs w:val="20"/>
                <w:lang w:val="el-GR"/>
              </w:rPr>
            </w:pPr>
            <w:r>
              <w:rPr>
                <w:rFonts w:eastAsia="MS Mincho"/>
                <w:sz w:val="20"/>
                <w:szCs w:val="20"/>
                <w:lang w:val="el-GR"/>
              </w:rPr>
              <w:t>Μεταξύ όλων των τυχαιοποιημένων ασθενών.</w:t>
            </w:r>
          </w:p>
          <w:p w14:paraId="0EC237CA" w14:textId="77777777" w:rsidR="00171824" w:rsidRDefault="006D258C">
            <w:pPr>
              <w:pStyle w:val="ListParagraph"/>
              <w:widowControl/>
              <w:numPr>
                <w:ilvl w:val="0"/>
                <w:numId w:val="16"/>
              </w:numPr>
              <w:tabs>
                <w:tab w:val="left" w:pos="469"/>
              </w:tabs>
              <w:kinsoku w:val="0"/>
              <w:overflowPunct w:val="0"/>
              <w:ind w:left="469" w:right="303"/>
              <w:rPr>
                <w:rFonts w:eastAsia="MS Mincho"/>
                <w:sz w:val="22"/>
                <w:szCs w:val="22"/>
                <w:lang w:val="el-GR"/>
              </w:rPr>
            </w:pPr>
            <w:r>
              <w:rPr>
                <w:rFonts w:eastAsia="MS Mincho"/>
                <w:sz w:val="20"/>
                <w:szCs w:val="20"/>
                <w:lang w:val="el-GR"/>
              </w:rPr>
              <w:t>Μεταξύ των ασθενών με αρχική τιμή αξιολόγησης του συνδεόμενου με τη διαπυητική ιδρωταδενίτιδα άλγους του δέρματος ≥ 3, με βάση την Αριθμητική Κλίμακα Αξιολόγησης 0</w:t>
            </w:r>
            <w:r>
              <w:rPr>
                <w:rFonts w:eastAsia="MS Mincho"/>
                <w:sz w:val="20"/>
                <w:szCs w:val="20"/>
                <w:lang w:val="el-GR"/>
              </w:rPr>
              <w:noBreakHyphen/>
              <w:t>10, όπου 0 = χωρίς άλγος, 10 = αφόρητο άλγος στο δέρμα.</w:t>
            </w:r>
          </w:p>
        </w:tc>
      </w:tr>
    </w:tbl>
    <w:p w14:paraId="5B701F14" w14:textId="77777777" w:rsidR="00171824" w:rsidRDefault="00171824">
      <w:pPr>
        <w:widowControl/>
        <w:kinsoku w:val="0"/>
        <w:overflowPunct w:val="0"/>
        <w:rPr>
          <w:sz w:val="22"/>
          <w:szCs w:val="22"/>
          <w:lang w:val="el-GR"/>
        </w:rPr>
      </w:pPr>
    </w:p>
    <w:p w14:paraId="77651CDA" w14:textId="77777777" w:rsidR="00171824" w:rsidRDefault="006D258C">
      <w:pPr>
        <w:pStyle w:val="BodyText"/>
        <w:widowControl/>
        <w:kinsoku w:val="0"/>
        <w:overflowPunct w:val="0"/>
        <w:ind w:left="0"/>
        <w:rPr>
          <w:lang w:val="el-GR"/>
        </w:rPr>
      </w:pPr>
      <w:r>
        <w:rPr>
          <w:lang w:val="el-GR"/>
        </w:rPr>
        <w:t>Η θεραπεία με 40 mg adalimumab κάθε εβδομάδα μείωσε σημαντικά τον κίνδυνο επιδείνωσης των αποστημάτων και των παραγωγικών συριγγίων. Σχεδόν ο διπλάσιος αριθμός των ασθενών που έλαβαν εικονικό φάρμακο τις πρώτες 12 εβδομάδες των Μελετών HS-Ι και HS-ΙΙ, συγκριτικά με τους ασθενείς που μετείχαν στην ομάδα του adalimumab , παρουσίασαν επιδείνωση των αποστημάτων (23,0% έναντι 11,4%, αντίστοιχα) και των παραγωγικών συριγγίων (30,0 % έναντι 13,9%, αντίστοιχα).</w:t>
      </w:r>
    </w:p>
    <w:p w14:paraId="7D10C82F" w14:textId="77777777" w:rsidR="00171824" w:rsidRDefault="00171824">
      <w:pPr>
        <w:widowControl/>
        <w:kinsoku w:val="0"/>
        <w:overflowPunct w:val="0"/>
        <w:rPr>
          <w:sz w:val="22"/>
          <w:szCs w:val="22"/>
          <w:lang w:val="el-GR"/>
        </w:rPr>
      </w:pPr>
    </w:p>
    <w:p w14:paraId="07DCAFFC" w14:textId="77777777" w:rsidR="00171824" w:rsidRDefault="006D258C">
      <w:pPr>
        <w:pStyle w:val="BodyText"/>
        <w:widowControl/>
        <w:kinsoku w:val="0"/>
        <w:overflowPunct w:val="0"/>
        <w:ind w:left="0"/>
        <w:rPr>
          <w:lang w:val="el-GR"/>
        </w:rPr>
      </w:pPr>
      <w:r>
        <w:rPr>
          <w:lang w:val="el-GR"/>
        </w:rPr>
        <w:t>Μεγαλύτερη βελτίωση κατά την εβδομάδα 12 από την έναρξη της μελέτης σε σύγκριση με το εικονικό φάρμακο παρουσιάστηκε στην ειδική για το δέρμα σχετιζόμενη με την υγεία ποιότητα ζωής, όπως μετράται με το Δερματολογικό Δείκτη Ποιότητας Ζωής (DLQI, Μελέτες HS-I και HS-ΙΙ), στη γενική ικανοποίηση των ασθενών από τη φαρμακευτική αγωγή, όπως μετράται με το Ερωτηματολόγιο Ικανοποίησης από τη φαρμακευτική αγωγή (TSQM, Μελέτες HS-Ι και HS-II), και στη σωματική υγεία, όπως μετράται από τη συνολική βαθμολογία των συνιστωσών του SF-36 για τη σωματική υγεία (Μελέτη HS-I).</w:t>
      </w:r>
    </w:p>
    <w:p w14:paraId="3858023B" w14:textId="77777777" w:rsidR="00171824" w:rsidRDefault="00171824">
      <w:pPr>
        <w:widowControl/>
        <w:kinsoku w:val="0"/>
        <w:overflowPunct w:val="0"/>
        <w:rPr>
          <w:sz w:val="22"/>
          <w:szCs w:val="22"/>
          <w:lang w:val="el-GR"/>
        </w:rPr>
      </w:pPr>
    </w:p>
    <w:p w14:paraId="235A674E" w14:textId="77777777" w:rsidR="00171824" w:rsidRDefault="006D258C">
      <w:pPr>
        <w:pStyle w:val="BodyText"/>
        <w:widowControl/>
        <w:kinsoku w:val="0"/>
        <w:overflowPunct w:val="0"/>
        <w:ind w:left="0"/>
        <w:rPr>
          <w:lang w:val="el-GR"/>
        </w:rPr>
      </w:pPr>
      <w:r>
        <w:rPr>
          <w:lang w:val="el-GR"/>
        </w:rPr>
        <w:t>Σε ασθενείς με τουλάχιστον μερική ανταπόκριση σε adalimumab 40 mg εβδομαδιαίως την εβδομάδα 12, το ποσοστό HiSCR την εβδομάδα 36 ήταν υψηλότερο στους ασθενείς που συνέχισαν την εβδομαδιαία λήψη adalimumab συγκριτικά με τους ασθενείς στους οποίους η συχνότητα της δόσης μειώθηκε σε κάθε δεύτερη εβδομάδα, ή σε ασθενείς που διέκοψαν τη θεραπεία adalimumab (βλέπε πίνακα 20).</w:t>
      </w:r>
    </w:p>
    <w:p w14:paraId="5E39D4F4" w14:textId="77777777" w:rsidR="00171824" w:rsidRDefault="00171824">
      <w:pPr>
        <w:pStyle w:val="BodyText"/>
        <w:widowControl/>
        <w:kinsoku w:val="0"/>
        <w:overflowPunct w:val="0"/>
        <w:ind w:left="0"/>
        <w:rPr>
          <w:lang w:val="el-GR"/>
        </w:rPr>
      </w:pPr>
    </w:p>
    <w:p w14:paraId="6BAB88A1" w14:textId="77777777" w:rsidR="00171824" w:rsidRDefault="006D258C">
      <w:pPr>
        <w:pStyle w:val="BodyText"/>
        <w:keepNext/>
        <w:widowControl/>
        <w:ind w:left="0"/>
        <w:rPr>
          <w:b/>
          <w:bCs/>
          <w:lang w:val="el-GR"/>
        </w:rPr>
      </w:pPr>
      <w:r>
        <w:rPr>
          <w:b/>
          <w:lang w:val="el-GR"/>
        </w:rPr>
        <w:t>Πίνακας 20.</w:t>
      </w:r>
      <w:r>
        <w:rPr>
          <w:b/>
          <w:bCs/>
          <w:lang w:val="el-GR"/>
        </w:rPr>
        <w:t xml:space="preserve"> Ποσοστό Ασθενών</w:t>
      </w:r>
      <w:r>
        <w:rPr>
          <w:b/>
          <w:bCs/>
          <w:vertAlign w:val="superscript"/>
          <w:lang w:val="el-GR"/>
        </w:rPr>
        <w:t>a</w:t>
      </w:r>
      <w:r>
        <w:rPr>
          <w:b/>
          <w:bCs/>
          <w:lang w:val="el-GR"/>
        </w:rPr>
        <w:t xml:space="preserve"> που Πέτυχαν HiSCR</w:t>
      </w:r>
      <w:r>
        <w:rPr>
          <w:b/>
          <w:bCs/>
          <w:vertAlign w:val="superscript"/>
          <w:lang w:val="el-GR"/>
        </w:rPr>
        <w:t>b</w:t>
      </w:r>
      <w:r>
        <w:rPr>
          <w:b/>
          <w:bCs/>
          <w:lang w:val="el-GR"/>
        </w:rPr>
        <w:t xml:space="preserve"> τις εβδομάδες 24 και 36 αφού</w:t>
      </w:r>
    </w:p>
    <w:p w14:paraId="2EA56939" w14:textId="77777777" w:rsidR="00171824" w:rsidRDefault="006D258C">
      <w:pPr>
        <w:pStyle w:val="BodyText"/>
        <w:keepNext/>
        <w:widowControl/>
        <w:ind w:left="0"/>
        <w:rPr>
          <w:b/>
          <w:lang w:val="el-GR"/>
        </w:rPr>
      </w:pPr>
      <w:r>
        <w:rPr>
          <w:b/>
          <w:bCs/>
          <w:lang w:val="el-GR"/>
        </w:rPr>
        <w:t>τυχαιοποιήθηκαν πάλι σε θεραπεία μετά από εβδομαδιαία λήψη adalimumab έως την εβδομάδα 12</w:t>
      </w:r>
    </w:p>
    <w:p w14:paraId="1AC2765E" w14:textId="77777777" w:rsidR="00171824" w:rsidRDefault="00171824">
      <w:pPr>
        <w:keepNext/>
        <w:widowControl/>
        <w:kinsoku w:val="0"/>
        <w:overflowPunct w:val="0"/>
        <w:rPr>
          <w:sz w:val="22"/>
          <w:szCs w:val="22"/>
          <w:lang w:val="el-GR"/>
        </w:rPr>
      </w:pPr>
    </w:p>
    <w:tbl>
      <w:tblPr>
        <w:tblW w:w="5000" w:type="pct"/>
        <w:tblCellMar>
          <w:left w:w="0" w:type="dxa"/>
          <w:right w:w="0" w:type="dxa"/>
        </w:tblCellMar>
        <w:tblLook w:val="04A0" w:firstRow="1" w:lastRow="0" w:firstColumn="1" w:lastColumn="0" w:noHBand="0" w:noVBand="1"/>
      </w:tblPr>
      <w:tblGrid>
        <w:gridCol w:w="1797"/>
        <w:gridCol w:w="2474"/>
        <w:gridCol w:w="2664"/>
        <w:gridCol w:w="2126"/>
      </w:tblGrid>
      <w:tr w:rsidR="00171824" w:rsidRPr="00422380" w14:paraId="5283E96E" w14:textId="77777777">
        <w:trPr>
          <w:trHeight w:val="20"/>
        </w:trPr>
        <w:tc>
          <w:tcPr>
            <w:tcW w:w="992" w:type="pct"/>
            <w:tcBorders>
              <w:top w:val="single" w:sz="4" w:space="0" w:color="000000"/>
              <w:left w:val="single" w:sz="4" w:space="0" w:color="000000"/>
              <w:bottom w:val="single" w:sz="4" w:space="0" w:color="000000"/>
              <w:right w:val="single" w:sz="4" w:space="0" w:color="000000"/>
            </w:tcBorders>
          </w:tcPr>
          <w:p w14:paraId="3143B2A4" w14:textId="77777777" w:rsidR="00171824" w:rsidRDefault="00171824">
            <w:pPr>
              <w:keepNext/>
              <w:widowControl/>
              <w:rPr>
                <w:rFonts w:eastAsia="MS Mincho"/>
                <w:sz w:val="22"/>
                <w:szCs w:val="22"/>
                <w:lang w:val="el-GR"/>
              </w:rPr>
            </w:pPr>
          </w:p>
        </w:tc>
        <w:tc>
          <w:tcPr>
            <w:tcW w:w="1365" w:type="pct"/>
            <w:tcBorders>
              <w:top w:val="single" w:sz="4" w:space="0" w:color="000000"/>
              <w:left w:val="single" w:sz="4" w:space="0" w:color="000000"/>
              <w:bottom w:val="single" w:sz="4" w:space="0" w:color="000000"/>
              <w:right w:val="single" w:sz="4" w:space="0" w:color="000000"/>
            </w:tcBorders>
          </w:tcPr>
          <w:p w14:paraId="0D2903CA"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 (διακοπή θεραπείας)</w:t>
            </w:r>
          </w:p>
          <w:p w14:paraId="7983176C"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73</w:t>
            </w:r>
          </w:p>
        </w:tc>
        <w:tc>
          <w:tcPr>
            <w:tcW w:w="1470" w:type="pct"/>
            <w:tcBorders>
              <w:top w:val="single" w:sz="4" w:space="0" w:color="000000"/>
              <w:left w:val="single" w:sz="4" w:space="0" w:color="000000"/>
              <w:bottom w:val="single" w:sz="4" w:space="0" w:color="000000"/>
              <w:right w:val="single" w:sz="4" w:space="0" w:color="000000"/>
            </w:tcBorders>
          </w:tcPr>
          <w:p w14:paraId="35268F88"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δεύτερη εβδομάδα</w:t>
            </w:r>
          </w:p>
          <w:p w14:paraId="235D33A4"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70</w:t>
            </w:r>
          </w:p>
        </w:tc>
        <w:tc>
          <w:tcPr>
            <w:tcW w:w="1173" w:type="pct"/>
            <w:tcBorders>
              <w:top w:val="single" w:sz="4" w:space="0" w:color="000000"/>
              <w:left w:val="single" w:sz="4" w:space="0" w:color="000000"/>
              <w:bottom w:val="single" w:sz="4" w:space="0" w:color="000000"/>
              <w:right w:val="single" w:sz="4" w:space="0" w:color="000000"/>
            </w:tcBorders>
          </w:tcPr>
          <w:p w14:paraId="4992EF3F"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εβδομάδα</w:t>
            </w:r>
          </w:p>
          <w:p w14:paraId="24F12778"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70</w:t>
            </w:r>
          </w:p>
        </w:tc>
      </w:tr>
      <w:tr w:rsidR="00171824" w14:paraId="59B1A37D" w14:textId="77777777">
        <w:trPr>
          <w:trHeight w:val="20"/>
        </w:trPr>
        <w:tc>
          <w:tcPr>
            <w:tcW w:w="992" w:type="pct"/>
            <w:tcBorders>
              <w:top w:val="single" w:sz="4" w:space="0" w:color="000000"/>
              <w:left w:val="single" w:sz="4" w:space="0" w:color="000000"/>
              <w:bottom w:val="single" w:sz="4" w:space="0" w:color="000000"/>
              <w:right w:val="single" w:sz="4" w:space="0" w:color="000000"/>
            </w:tcBorders>
          </w:tcPr>
          <w:p w14:paraId="299EFBB3" w14:textId="77777777" w:rsidR="00171824" w:rsidRDefault="006D258C">
            <w:pPr>
              <w:pStyle w:val="TableParagraph"/>
              <w:keepNext/>
              <w:widowControl/>
              <w:kinsoku w:val="0"/>
              <w:overflowPunct w:val="0"/>
              <w:ind w:left="102"/>
              <w:rPr>
                <w:rFonts w:eastAsia="MS Mincho"/>
                <w:sz w:val="22"/>
                <w:szCs w:val="22"/>
                <w:lang w:val="el-GR"/>
              </w:rPr>
            </w:pPr>
            <w:r>
              <w:rPr>
                <w:rFonts w:eastAsia="MS Mincho"/>
                <w:sz w:val="22"/>
                <w:szCs w:val="22"/>
                <w:lang w:val="el-GR"/>
              </w:rPr>
              <w:t>Εβδομάδα 24</w:t>
            </w:r>
          </w:p>
        </w:tc>
        <w:tc>
          <w:tcPr>
            <w:tcW w:w="1365" w:type="pct"/>
            <w:tcBorders>
              <w:top w:val="single" w:sz="4" w:space="0" w:color="000000"/>
              <w:left w:val="single" w:sz="4" w:space="0" w:color="000000"/>
              <w:bottom w:val="single" w:sz="4" w:space="0" w:color="000000"/>
              <w:right w:val="single" w:sz="4" w:space="0" w:color="000000"/>
            </w:tcBorders>
          </w:tcPr>
          <w:p w14:paraId="532ADA97"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24 (32,9%)</w:t>
            </w:r>
          </w:p>
        </w:tc>
        <w:tc>
          <w:tcPr>
            <w:tcW w:w="1470" w:type="pct"/>
            <w:tcBorders>
              <w:top w:val="single" w:sz="4" w:space="0" w:color="000000"/>
              <w:left w:val="single" w:sz="4" w:space="0" w:color="000000"/>
              <w:bottom w:val="single" w:sz="4" w:space="0" w:color="000000"/>
              <w:right w:val="single" w:sz="4" w:space="0" w:color="000000"/>
            </w:tcBorders>
          </w:tcPr>
          <w:p w14:paraId="2E10C785"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36 (51,4%)</w:t>
            </w:r>
          </w:p>
        </w:tc>
        <w:tc>
          <w:tcPr>
            <w:tcW w:w="1173" w:type="pct"/>
            <w:tcBorders>
              <w:top w:val="single" w:sz="4" w:space="0" w:color="000000"/>
              <w:left w:val="single" w:sz="4" w:space="0" w:color="000000"/>
              <w:bottom w:val="single" w:sz="4" w:space="0" w:color="000000"/>
              <w:right w:val="single" w:sz="4" w:space="0" w:color="000000"/>
            </w:tcBorders>
          </w:tcPr>
          <w:p w14:paraId="54C30C09"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40 (57,1%)</w:t>
            </w:r>
          </w:p>
        </w:tc>
      </w:tr>
      <w:tr w:rsidR="00171824" w14:paraId="1985187B" w14:textId="77777777">
        <w:trPr>
          <w:trHeight w:val="20"/>
        </w:trPr>
        <w:tc>
          <w:tcPr>
            <w:tcW w:w="992" w:type="pct"/>
            <w:tcBorders>
              <w:top w:val="single" w:sz="4" w:space="0" w:color="000000"/>
              <w:left w:val="single" w:sz="4" w:space="0" w:color="000000"/>
              <w:bottom w:val="single" w:sz="4" w:space="0" w:color="auto"/>
              <w:right w:val="single" w:sz="4" w:space="0" w:color="000000"/>
            </w:tcBorders>
          </w:tcPr>
          <w:p w14:paraId="0ED9D3AC" w14:textId="77777777" w:rsidR="00171824" w:rsidRDefault="006D258C">
            <w:pPr>
              <w:pStyle w:val="TableParagraph"/>
              <w:keepNext/>
              <w:widowControl/>
              <w:kinsoku w:val="0"/>
              <w:overflowPunct w:val="0"/>
              <w:ind w:left="102"/>
              <w:rPr>
                <w:rFonts w:eastAsia="MS Mincho"/>
                <w:sz w:val="22"/>
                <w:szCs w:val="22"/>
                <w:lang w:val="el-GR"/>
              </w:rPr>
            </w:pPr>
            <w:r>
              <w:rPr>
                <w:rFonts w:eastAsia="MS Mincho"/>
                <w:sz w:val="22"/>
                <w:szCs w:val="22"/>
                <w:lang w:val="el-GR"/>
              </w:rPr>
              <w:t>Εβδομάδα 36</w:t>
            </w:r>
          </w:p>
        </w:tc>
        <w:tc>
          <w:tcPr>
            <w:tcW w:w="1365" w:type="pct"/>
            <w:tcBorders>
              <w:top w:val="single" w:sz="4" w:space="0" w:color="000000"/>
              <w:left w:val="single" w:sz="4" w:space="0" w:color="000000"/>
              <w:bottom w:val="single" w:sz="4" w:space="0" w:color="auto"/>
              <w:right w:val="single" w:sz="4" w:space="0" w:color="000000"/>
            </w:tcBorders>
          </w:tcPr>
          <w:p w14:paraId="559A181E"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22 (30,1%)</w:t>
            </w:r>
          </w:p>
        </w:tc>
        <w:tc>
          <w:tcPr>
            <w:tcW w:w="1470" w:type="pct"/>
            <w:tcBorders>
              <w:top w:val="single" w:sz="4" w:space="0" w:color="000000"/>
              <w:left w:val="single" w:sz="4" w:space="0" w:color="000000"/>
              <w:bottom w:val="single" w:sz="4" w:space="0" w:color="auto"/>
              <w:right w:val="single" w:sz="4" w:space="0" w:color="000000"/>
            </w:tcBorders>
          </w:tcPr>
          <w:p w14:paraId="139C1E4D"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28 (40,0%)</w:t>
            </w:r>
          </w:p>
        </w:tc>
        <w:tc>
          <w:tcPr>
            <w:tcW w:w="1173" w:type="pct"/>
            <w:tcBorders>
              <w:top w:val="single" w:sz="4" w:space="0" w:color="000000"/>
              <w:left w:val="single" w:sz="4" w:space="0" w:color="000000"/>
              <w:bottom w:val="single" w:sz="4" w:space="0" w:color="auto"/>
              <w:right w:val="single" w:sz="4" w:space="0" w:color="000000"/>
            </w:tcBorders>
          </w:tcPr>
          <w:p w14:paraId="67433CEC"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39 (55,7%)</w:t>
            </w:r>
          </w:p>
        </w:tc>
      </w:tr>
      <w:tr w:rsidR="00171824" w:rsidRPr="00422380" w14:paraId="2EE58E0B" w14:textId="77777777">
        <w:trPr>
          <w:trHeight w:val="20"/>
        </w:trPr>
        <w:tc>
          <w:tcPr>
            <w:tcW w:w="5000" w:type="pct"/>
            <w:gridSpan w:val="4"/>
            <w:tcBorders>
              <w:top w:val="single" w:sz="4" w:space="0" w:color="auto"/>
            </w:tcBorders>
          </w:tcPr>
          <w:p w14:paraId="2208EBFF" w14:textId="77777777" w:rsidR="00171824" w:rsidRDefault="006D258C">
            <w:pPr>
              <w:pStyle w:val="ListParagraph"/>
              <w:keepNext/>
              <w:widowControl/>
              <w:numPr>
                <w:ilvl w:val="0"/>
                <w:numId w:val="17"/>
              </w:numPr>
              <w:tabs>
                <w:tab w:val="left" w:pos="361"/>
              </w:tabs>
              <w:kinsoku w:val="0"/>
              <w:overflowPunct w:val="0"/>
              <w:ind w:left="318" w:hanging="261"/>
              <w:rPr>
                <w:rFonts w:eastAsia="MS Mincho"/>
                <w:sz w:val="20"/>
                <w:szCs w:val="20"/>
                <w:lang w:val="el-GR"/>
              </w:rPr>
            </w:pPr>
            <w:r>
              <w:rPr>
                <w:rFonts w:eastAsia="MS Mincho"/>
                <w:sz w:val="20"/>
                <w:szCs w:val="20"/>
                <w:lang w:val="el-GR"/>
              </w:rPr>
              <w:t>Ασθενείς με τουλάχιστον μερική ανταπόκριση σε adalimumab</w:t>
            </w:r>
            <w:r>
              <w:rPr>
                <w:rFonts w:eastAsia="MS Mincho"/>
                <w:b/>
                <w:sz w:val="20"/>
                <w:szCs w:val="20"/>
                <w:lang w:val="el-GR"/>
              </w:rPr>
              <w:t xml:space="preserve"> </w:t>
            </w:r>
            <w:r>
              <w:rPr>
                <w:rFonts w:eastAsia="MS Mincho"/>
                <w:sz w:val="20"/>
                <w:szCs w:val="20"/>
                <w:lang w:val="el-GR"/>
              </w:rPr>
              <w:t>40 mg κάθε βδομάδα μετά από 12 εβδομάδες θεραπείας.</w:t>
            </w:r>
          </w:p>
          <w:p w14:paraId="4B5249C9" w14:textId="77777777" w:rsidR="00171824" w:rsidRDefault="006D258C">
            <w:pPr>
              <w:pStyle w:val="ListParagraph"/>
              <w:keepNext/>
              <w:widowControl/>
              <w:numPr>
                <w:ilvl w:val="0"/>
                <w:numId w:val="17"/>
              </w:numPr>
              <w:tabs>
                <w:tab w:val="left" w:pos="361"/>
              </w:tabs>
              <w:kinsoku w:val="0"/>
              <w:overflowPunct w:val="0"/>
              <w:ind w:left="318" w:right="100" w:hanging="261"/>
              <w:rPr>
                <w:rFonts w:eastAsia="MS Mincho"/>
                <w:sz w:val="22"/>
                <w:szCs w:val="22"/>
                <w:lang w:val="el-GR"/>
              </w:rPr>
            </w:pPr>
            <w:r>
              <w:rPr>
                <w:rFonts w:eastAsia="MS Mincho"/>
                <w:sz w:val="20"/>
                <w:szCs w:val="20"/>
                <w:lang w:val="el-GR"/>
              </w:rPr>
              <w:t>Οι ασθενείς που πληρούσαν τα κριτήρια που ορίζονται από το πρωτόκολλο για την απώλεια της ανταπόκρισης ή την απουσία βελτίωσης υποχρεώθηκαν να διακόψουν τη συμμετοχή τους στις μελέτες και συμπεριλήφθηκαν στους μη ανταποκρινόμενους.</w:t>
            </w:r>
          </w:p>
        </w:tc>
      </w:tr>
    </w:tbl>
    <w:p w14:paraId="378716A9" w14:textId="77777777" w:rsidR="00171824" w:rsidRDefault="00171824">
      <w:pPr>
        <w:widowControl/>
        <w:kinsoku w:val="0"/>
        <w:overflowPunct w:val="0"/>
        <w:rPr>
          <w:sz w:val="22"/>
          <w:szCs w:val="22"/>
          <w:lang w:val="el-GR"/>
        </w:rPr>
      </w:pPr>
    </w:p>
    <w:p w14:paraId="547D22FE" w14:textId="77777777" w:rsidR="00171824" w:rsidRDefault="006D258C">
      <w:pPr>
        <w:pStyle w:val="BodyText"/>
        <w:widowControl/>
        <w:kinsoku w:val="0"/>
        <w:overflowPunct w:val="0"/>
        <w:ind w:left="0"/>
        <w:rPr>
          <w:lang w:val="el-GR"/>
        </w:rPr>
      </w:pPr>
      <w:r>
        <w:rPr>
          <w:lang w:val="el-GR"/>
        </w:rPr>
        <w:t>Μεταξύ των ασθενών που εμφάνισαν τουλάχιστον μερική ανταπόκριση κατά την εβδομάδα 12, και οι οποίοι έλαβαν συνεχή εβδομαδιαία θεραπεία με adalimumab, το ποσοστό HiSCR την εβδομάδα 48 ήταν 68,3% και την εβδομάδα 96 ήταν 65,1%. Η μακροπρόθεσμη θεραπεία με adalimumab 40 mg εβδομαδιαίως για 96 εβδομάδες δεν παρουσίασε καινούρια ευρήματα ασφαλείας.</w:t>
      </w:r>
    </w:p>
    <w:p w14:paraId="5FB43CB1" w14:textId="77777777" w:rsidR="00171824" w:rsidRDefault="00171824">
      <w:pPr>
        <w:widowControl/>
        <w:kinsoku w:val="0"/>
        <w:overflowPunct w:val="0"/>
        <w:rPr>
          <w:sz w:val="22"/>
          <w:szCs w:val="22"/>
          <w:lang w:val="el-GR"/>
        </w:rPr>
      </w:pPr>
    </w:p>
    <w:p w14:paraId="20894B03" w14:textId="77777777" w:rsidR="00171824" w:rsidRDefault="006D258C">
      <w:pPr>
        <w:pStyle w:val="BodyText"/>
        <w:widowControl/>
        <w:kinsoku w:val="0"/>
        <w:overflowPunct w:val="0"/>
        <w:ind w:left="0"/>
        <w:rPr>
          <w:lang w:val="el-GR"/>
        </w:rPr>
      </w:pPr>
      <w:r>
        <w:rPr>
          <w:lang w:val="el-GR"/>
        </w:rPr>
        <w:t>Μεταξύ των ασθενών που διέκοψαν τη θεραπεία με adalimumab την εβδομάδα 12 στις Μελέτες HS-I και HS-ΙΙ, το ποσοστό HiSCR 12 εβδομάδες μετά τη χορήγηση adalimumab 40 mg την εβδομάδα επέστρεψε σε επίπεδα όμοια με αυτά που παρατηρήθηκαν πριν από τη λήψη του εικονικού φαρμάκου (56,0%).</w:t>
      </w:r>
    </w:p>
    <w:p w14:paraId="4E0F7D78" w14:textId="77777777" w:rsidR="00171824" w:rsidRDefault="00171824">
      <w:pPr>
        <w:pStyle w:val="BodyText"/>
        <w:widowControl/>
        <w:kinsoku w:val="0"/>
        <w:overflowPunct w:val="0"/>
        <w:ind w:left="0"/>
        <w:rPr>
          <w:lang w:val="el-GR"/>
        </w:rPr>
      </w:pPr>
    </w:p>
    <w:p w14:paraId="434D3418" w14:textId="77777777" w:rsidR="00171824" w:rsidRDefault="006D258C">
      <w:pPr>
        <w:keepNext/>
        <w:widowControl/>
        <w:kinsoku w:val="0"/>
        <w:overflowPunct w:val="0"/>
        <w:rPr>
          <w:i/>
          <w:sz w:val="22"/>
          <w:szCs w:val="22"/>
          <w:lang w:val="el-GR"/>
        </w:rPr>
      </w:pPr>
      <w:r>
        <w:rPr>
          <w:i/>
          <w:iCs/>
          <w:sz w:val="22"/>
          <w:szCs w:val="22"/>
          <w:lang w:val="el-GR"/>
        </w:rPr>
        <w:t>Νόσος του Crohn</w:t>
      </w:r>
    </w:p>
    <w:p w14:paraId="03D44BD9" w14:textId="77777777" w:rsidR="00171824" w:rsidRDefault="00171824">
      <w:pPr>
        <w:keepNext/>
        <w:widowControl/>
        <w:kinsoku w:val="0"/>
        <w:overflowPunct w:val="0"/>
        <w:rPr>
          <w:sz w:val="22"/>
          <w:szCs w:val="22"/>
          <w:lang w:val="el-GR"/>
        </w:rPr>
      </w:pPr>
    </w:p>
    <w:p w14:paraId="026E701E" w14:textId="77777777" w:rsidR="00171824" w:rsidRDefault="006D258C">
      <w:pPr>
        <w:pStyle w:val="BodyText"/>
        <w:widowControl/>
        <w:kinsoku w:val="0"/>
        <w:overflowPunct w:val="0"/>
        <w:ind w:left="0"/>
        <w:rPr>
          <w:lang w:val="el-GR"/>
        </w:rPr>
      </w:pPr>
      <w:r>
        <w:rPr>
          <w:lang w:val="el-GR"/>
        </w:rPr>
        <w:t>H ασφάλεια και η αποτελεσματικότητα του adalimumab αξιολογήθηκαν σε πάνω από 1.500 ασθενείς με μέτρια έως σοβαρή ενεργό νόσο του Crohn (Crohn’s Disease Activity (CDAI) ≥ 220 και ≤ 450) σε τυχαιοποιημένες διπλά τυφλές, ελεγχόμενες με εικονικό φάρμακο μελέτες. Συγχορήγηση σταθερών δόσεων αμινοσαλικυλικών, κορτικοστεροειδών και/ή ανοσοτροποποιητικών παραγόντων επιτράπηκαν και το 80% των ασθενών συνέχισαν να λαμβάνουν τουλάχιστον μία από τις παραπάνω αγωγές.</w:t>
      </w:r>
    </w:p>
    <w:p w14:paraId="61CFEFC9" w14:textId="77777777" w:rsidR="00171824" w:rsidRDefault="00171824">
      <w:pPr>
        <w:widowControl/>
        <w:kinsoku w:val="0"/>
        <w:overflowPunct w:val="0"/>
        <w:rPr>
          <w:sz w:val="22"/>
          <w:szCs w:val="22"/>
          <w:lang w:val="el-GR"/>
        </w:rPr>
      </w:pPr>
    </w:p>
    <w:p w14:paraId="012ED767" w14:textId="77777777" w:rsidR="00171824" w:rsidRDefault="006D258C">
      <w:pPr>
        <w:pStyle w:val="BodyText"/>
        <w:widowControl/>
        <w:kinsoku w:val="0"/>
        <w:overflowPunct w:val="0"/>
        <w:ind w:left="0"/>
        <w:rPr>
          <w:lang w:val="el-GR"/>
        </w:rPr>
      </w:pPr>
      <w:r>
        <w:rPr>
          <w:lang w:val="el-GR"/>
        </w:rPr>
        <w:t>Η επαγωγή της κλινικής ύφεσης (οριζόμενη με CDAI &lt; 150) αξιολογήθηκε σε δύο μελέτες, τη μελέτη CD I (CLASSIC I) και τη μελέτη CD II (GAIN). Στην μελέτη CD I, 299 ασθενείς στους οποίους δεν είχε χορηγηθεί ξανά ΤNF-ανταγωνιστής τυχαιοποιήθηκαν σε μία από τέσσερις θεραπευτικές ομάδες: εικονικό φάρμακο τις εβδομάδες 0 και 2, 160 mg adalimumab την εβδομάδα 0 και 80 mg την εβδομάδα 2, 80 mg την Eβδομάδα 0 και 40 mg την εβδομάδα 2 και 40 mg την εβδομάδα 0 και 20 mg την εβδομάδα 2. Στην μελέτη CD II, 325 ασθενείς οι οποίοι δεν ανταποκρίνονταν ή εμφάνισαν δυσανεξία στο infliximab τυχαιοποιήθηκαν ώστε να λαμβάνουν είτε 160 mg adalimumab την εβδομάδα 0 και 80 mg την εβδομάδα 2 είτε εικονικό φάρμακο τις εβδομάδες 0 και 2. Οι ασθενείς που δεν είχαν πρωτογενή κλινική ανταπόκριση αποκλείστηκαν από τη μελέτη και επομένως αυτοί οι ασθενείς δεν αξιολογήθηκαν περαιτέρω.</w:t>
      </w:r>
    </w:p>
    <w:p w14:paraId="7D0A4BAD" w14:textId="77777777" w:rsidR="00171824" w:rsidRDefault="00171824">
      <w:pPr>
        <w:widowControl/>
        <w:kinsoku w:val="0"/>
        <w:overflowPunct w:val="0"/>
        <w:rPr>
          <w:sz w:val="22"/>
          <w:szCs w:val="22"/>
          <w:lang w:val="el-GR"/>
        </w:rPr>
      </w:pPr>
    </w:p>
    <w:p w14:paraId="0F063412" w14:textId="77777777" w:rsidR="00171824" w:rsidRDefault="006D258C">
      <w:pPr>
        <w:pStyle w:val="BodyText"/>
        <w:widowControl/>
        <w:kinsoku w:val="0"/>
        <w:overflowPunct w:val="0"/>
        <w:ind w:left="0"/>
        <w:rPr>
          <w:lang w:val="el-GR"/>
        </w:rPr>
      </w:pPr>
      <w:r>
        <w:rPr>
          <w:lang w:val="el-GR"/>
        </w:rPr>
        <w:t>Η διατήρηση της κλινικής ύφεσης αξιολογήθηκε στη μελέτη CD III (CHARM). Στη μελέτη CD III, 854 ασθενείς έλαβαν σε ανοιχτή χορήγηση 80 mg την Eβδομάδα 0 και 40 mg την εβδομάδα 2. Την εβδομάδα 4 οι ασθενείς τυχαιοποιήθηκαν σε 40 mg κάθε δεύτερη εβδομάδα, είτε σε 40 mg κάθε εβδομάδα, είτε σε εικονικό φάρμακο με συνολική διάρκεια μελέτης 56 εβδομάδων. Οι ασθενείς με κλινική ανταπόκριση (μείωση CDAI≥ 70) την εβδομάδα 4 κατηγοριοποιήθηκαν και αναλύθηκαν ξεχωριστά από αυτούς οι οποίοι δεν είχαν κλινική ανταπόκριση την εβδομάδα 4. Η σταδιακή μείωση των κορτικοστεροειδών επιτράπηκε μετά την εβδομάδα 8.</w:t>
      </w:r>
    </w:p>
    <w:p w14:paraId="7C085E18" w14:textId="77777777" w:rsidR="00171824" w:rsidRDefault="00171824">
      <w:pPr>
        <w:pStyle w:val="BodyText"/>
        <w:widowControl/>
        <w:kinsoku w:val="0"/>
        <w:overflowPunct w:val="0"/>
        <w:ind w:left="0"/>
        <w:rPr>
          <w:lang w:val="el-GR"/>
        </w:rPr>
      </w:pPr>
    </w:p>
    <w:p w14:paraId="680EAA77" w14:textId="77777777" w:rsidR="00171824" w:rsidRDefault="006D258C">
      <w:pPr>
        <w:pStyle w:val="BodyText"/>
        <w:widowControl/>
        <w:kinsoku w:val="0"/>
        <w:overflowPunct w:val="0"/>
        <w:ind w:left="0"/>
        <w:rPr>
          <w:lang w:val="el-GR"/>
        </w:rPr>
      </w:pPr>
      <w:r>
        <w:rPr>
          <w:lang w:val="el-GR"/>
        </w:rPr>
        <w:t>Η επαγωγή της ύφεσης στη μελέτη CD Ι και την μελέτη CD II καθώς και τα ποσοστά ανταπόκρισης παρουσιάζονται στον pίνακα 21.</w:t>
      </w:r>
    </w:p>
    <w:p w14:paraId="15AE78DD" w14:textId="77777777" w:rsidR="00171824" w:rsidRDefault="00171824">
      <w:pPr>
        <w:widowControl/>
        <w:kinsoku w:val="0"/>
        <w:overflowPunct w:val="0"/>
        <w:ind w:right="-427"/>
        <w:rPr>
          <w:sz w:val="22"/>
          <w:szCs w:val="22"/>
          <w:lang w:val="el-GR"/>
        </w:rPr>
      </w:pPr>
    </w:p>
    <w:p w14:paraId="615F83C2" w14:textId="77777777" w:rsidR="00171824" w:rsidRDefault="006D258C">
      <w:pPr>
        <w:pStyle w:val="BodyText"/>
        <w:keepNext/>
        <w:widowControl/>
        <w:ind w:left="0"/>
        <w:rPr>
          <w:b/>
          <w:lang w:val="el-GR"/>
        </w:rPr>
      </w:pPr>
      <w:r>
        <w:rPr>
          <w:b/>
          <w:lang w:val="el-GR"/>
        </w:rPr>
        <w:t>Πίνακας 21.</w:t>
      </w:r>
      <w:r>
        <w:rPr>
          <w:b/>
          <w:bCs/>
          <w:lang w:val="el-GR"/>
        </w:rPr>
        <w:t xml:space="preserve"> Έναρξη Κλινικής Ύφεσης και Κλινικής Ανταπόκρισης(Ποσοστό Ασθενών)</w:t>
      </w:r>
    </w:p>
    <w:p w14:paraId="284EA2A3" w14:textId="77777777" w:rsidR="00171824" w:rsidRDefault="00171824">
      <w:pPr>
        <w:keepNext/>
        <w:widowControl/>
        <w:kinsoku w:val="0"/>
        <w:overflowPunct w:val="0"/>
        <w:rPr>
          <w:sz w:val="22"/>
          <w:szCs w:val="22"/>
          <w:lang w:val="el-GR"/>
        </w:rPr>
      </w:pPr>
    </w:p>
    <w:tbl>
      <w:tblPr>
        <w:tblW w:w="9342" w:type="dxa"/>
        <w:tblInd w:w="5" w:type="dxa"/>
        <w:tblLayout w:type="fixed"/>
        <w:tblCellMar>
          <w:left w:w="0" w:type="dxa"/>
          <w:right w:w="0" w:type="dxa"/>
        </w:tblCellMar>
        <w:tblLook w:val="04A0" w:firstRow="1" w:lastRow="0" w:firstColumn="1" w:lastColumn="0" w:noHBand="0" w:noVBand="1"/>
      </w:tblPr>
      <w:tblGrid>
        <w:gridCol w:w="2286"/>
        <w:gridCol w:w="1270"/>
        <w:gridCol w:w="1547"/>
        <w:gridCol w:w="1276"/>
        <w:gridCol w:w="1418"/>
        <w:gridCol w:w="1545"/>
      </w:tblGrid>
      <w:tr w:rsidR="00171824" w:rsidRPr="00422380" w14:paraId="1C85A2F1" w14:textId="77777777">
        <w:trPr>
          <w:trHeight w:val="20"/>
        </w:trPr>
        <w:tc>
          <w:tcPr>
            <w:tcW w:w="2286" w:type="dxa"/>
            <w:tcBorders>
              <w:top w:val="single" w:sz="4" w:space="0" w:color="000000"/>
              <w:left w:val="single" w:sz="4" w:space="0" w:color="000000"/>
              <w:bottom w:val="single" w:sz="4" w:space="0" w:color="000000"/>
              <w:right w:val="single" w:sz="4" w:space="0" w:color="000000"/>
            </w:tcBorders>
          </w:tcPr>
          <w:p w14:paraId="6BC21609" w14:textId="77777777" w:rsidR="00171824" w:rsidRDefault="00171824">
            <w:pPr>
              <w:keepNext/>
              <w:widowControl/>
              <w:rPr>
                <w:rFonts w:eastAsia="MS Mincho"/>
                <w:sz w:val="22"/>
                <w:szCs w:val="22"/>
                <w:lang w:val="el-GR"/>
              </w:rPr>
            </w:pPr>
          </w:p>
        </w:tc>
        <w:tc>
          <w:tcPr>
            <w:tcW w:w="4093" w:type="dxa"/>
            <w:gridSpan w:val="3"/>
            <w:tcBorders>
              <w:top w:val="single" w:sz="4" w:space="0" w:color="000000"/>
              <w:left w:val="single" w:sz="4" w:space="0" w:color="000000"/>
              <w:bottom w:val="single" w:sz="4" w:space="0" w:color="000000"/>
              <w:right w:val="single" w:sz="4" w:space="0" w:color="000000"/>
            </w:tcBorders>
          </w:tcPr>
          <w:p w14:paraId="0FD45AC6" w14:textId="77777777" w:rsidR="00171824" w:rsidRDefault="006D258C">
            <w:pPr>
              <w:pStyle w:val="TableParagraph"/>
              <w:keepNext/>
              <w:widowControl/>
              <w:kinsoku w:val="0"/>
              <w:overflowPunct w:val="0"/>
              <w:ind w:left="102" w:right="172"/>
              <w:rPr>
                <w:rFonts w:eastAsia="MS Mincho"/>
                <w:sz w:val="22"/>
                <w:szCs w:val="22"/>
                <w:lang w:val="el-GR"/>
              </w:rPr>
            </w:pPr>
            <w:r>
              <w:rPr>
                <w:rFonts w:eastAsia="MS Mincho"/>
                <w:b/>
                <w:bCs/>
                <w:sz w:val="22"/>
                <w:szCs w:val="22"/>
                <w:lang w:val="el-GR"/>
              </w:rPr>
              <w:t>Μελέτη CD I: Ασθενείς στους οποίους δεν έχει χορηγηθεί Infliximab</w:t>
            </w:r>
          </w:p>
        </w:tc>
        <w:tc>
          <w:tcPr>
            <w:tcW w:w="2963" w:type="dxa"/>
            <w:gridSpan w:val="2"/>
            <w:tcBorders>
              <w:top w:val="single" w:sz="4" w:space="0" w:color="000000"/>
              <w:left w:val="single" w:sz="4" w:space="0" w:color="000000"/>
              <w:bottom w:val="single" w:sz="4" w:space="0" w:color="000000"/>
              <w:right w:val="single" w:sz="4" w:space="0" w:color="000000"/>
            </w:tcBorders>
          </w:tcPr>
          <w:p w14:paraId="60AB0903" w14:textId="77777777" w:rsidR="00171824" w:rsidRDefault="006D258C">
            <w:pPr>
              <w:pStyle w:val="TableParagraph"/>
              <w:keepNext/>
              <w:widowControl/>
              <w:kinsoku w:val="0"/>
              <w:overflowPunct w:val="0"/>
              <w:ind w:left="102" w:right="165"/>
              <w:rPr>
                <w:rFonts w:eastAsia="MS Mincho"/>
                <w:sz w:val="22"/>
                <w:szCs w:val="22"/>
                <w:lang w:val="el-GR"/>
              </w:rPr>
            </w:pPr>
            <w:r>
              <w:rPr>
                <w:rFonts w:eastAsia="MS Mincho"/>
                <w:b/>
                <w:bCs/>
                <w:sz w:val="22"/>
                <w:szCs w:val="22"/>
                <w:lang w:val="el-GR"/>
              </w:rPr>
              <w:t>Μελέτη CD IΙ: Ασθενείς στους οποίους έχει χορηγηθεί Infliximab</w:t>
            </w:r>
          </w:p>
        </w:tc>
      </w:tr>
      <w:tr w:rsidR="00171824" w14:paraId="394A1F36" w14:textId="77777777">
        <w:trPr>
          <w:trHeight w:val="20"/>
        </w:trPr>
        <w:tc>
          <w:tcPr>
            <w:tcW w:w="2286" w:type="dxa"/>
            <w:tcBorders>
              <w:top w:val="single" w:sz="4" w:space="0" w:color="000000"/>
              <w:left w:val="single" w:sz="4" w:space="0" w:color="000000"/>
              <w:bottom w:val="single" w:sz="4" w:space="0" w:color="000000"/>
              <w:right w:val="single" w:sz="4" w:space="0" w:color="000000"/>
            </w:tcBorders>
          </w:tcPr>
          <w:p w14:paraId="4DC8ABC6" w14:textId="77777777" w:rsidR="00171824" w:rsidRDefault="00171824">
            <w:pPr>
              <w:keepNext/>
              <w:widowControl/>
              <w:rPr>
                <w:rFonts w:eastAsia="MS Mincho"/>
                <w:sz w:val="22"/>
                <w:szCs w:val="22"/>
                <w:lang w:val="el-GR"/>
              </w:rPr>
            </w:pPr>
          </w:p>
        </w:tc>
        <w:tc>
          <w:tcPr>
            <w:tcW w:w="1270" w:type="dxa"/>
            <w:tcBorders>
              <w:top w:val="single" w:sz="4" w:space="0" w:color="000000"/>
              <w:left w:val="single" w:sz="4" w:space="0" w:color="000000"/>
              <w:bottom w:val="single" w:sz="4" w:space="0" w:color="000000"/>
              <w:right w:val="single" w:sz="4" w:space="0" w:color="000000"/>
            </w:tcBorders>
          </w:tcPr>
          <w:p w14:paraId="2672BBEC"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 N=74</w:t>
            </w:r>
          </w:p>
        </w:tc>
        <w:tc>
          <w:tcPr>
            <w:tcW w:w="1547" w:type="dxa"/>
            <w:tcBorders>
              <w:top w:val="single" w:sz="4" w:space="0" w:color="000000"/>
              <w:left w:val="single" w:sz="4" w:space="0" w:color="000000"/>
              <w:bottom w:val="single" w:sz="4" w:space="0" w:color="000000"/>
              <w:right w:val="single" w:sz="4" w:space="0" w:color="000000"/>
            </w:tcBorders>
          </w:tcPr>
          <w:p w14:paraId="1AA02347" w14:textId="77777777" w:rsidR="00171824" w:rsidRDefault="006D258C">
            <w:pPr>
              <w:pStyle w:val="TableParagraph"/>
              <w:keepNext/>
              <w:widowControl/>
              <w:kinsoku w:val="0"/>
              <w:overflowPunct w:val="0"/>
              <w:jc w:val="center"/>
              <w:rPr>
                <w:rFonts w:eastAsia="MS Mincho"/>
                <w:b/>
                <w:bCs/>
                <w:sz w:val="22"/>
                <w:szCs w:val="22"/>
                <w:lang w:val="el-GR"/>
              </w:rPr>
            </w:pPr>
            <w:r>
              <w:rPr>
                <w:rFonts w:eastAsia="MS Mincho"/>
                <w:b/>
                <w:bCs/>
                <w:sz w:val="22"/>
                <w:szCs w:val="22"/>
                <w:lang w:val="el-GR"/>
              </w:rPr>
              <w:t xml:space="preserve">Adalimumab 80/40 mg </w:t>
            </w:r>
          </w:p>
          <w:p w14:paraId="0C762CC5"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N=75</w:t>
            </w:r>
          </w:p>
        </w:tc>
        <w:tc>
          <w:tcPr>
            <w:tcW w:w="1276" w:type="dxa"/>
            <w:tcBorders>
              <w:top w:val="single" w:sz="4" w:space="0" w:color="000000"/>
              <w:left w:val="single" w:sz="4" w:space="0" w:color="000000"/>
              <w:bottom w:val="single" w:sz="4" w:space="0" w:color="000000"/>
              <w:right w:val="single" w:sz="4" w:space="0" w:color="000000"/>
            </w:tcBorders>
          </w:tcPr>
          <w:p w14:paraId="2CA02A1B"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Adalimumab 160/80 mg N=76</w:t>
            </w:r>
          </w:p>
        </w:tc>
        <w:tc>
          <w:tcPr>
            <w:tcW w:w="1418" w:type="dxa"/>
            <w:tcBorders>
              <w:top w:val="single" w:sz="4" w:space="0" w:color="000000"/>
              <w:left w:val="single" w:sz="4" w:space="0" w:color="000000"/>
              <w:bottom w:val="single" w:sz="4" w:space="0" w:color="000000"/>
              <w:right w:val="single" w:sz="4" w:space="0" w:color="000000"/>
            </w:tcBorders>
          </w:tcPr>
          <w:p w14:paraId="177C0B8D"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 N=166</w:t>
            </w:r>
          </w:p>
        </w:tc>
        <w:tc>
          <w:tcPr>
            <w:tcW w:w="1545" w:type="dxa"/>
            <w:tcBorders>
              <w:top w:val="single" w:sz="4" w:space="0" w:color="000000"/>
              <w:left w:val="single" w:sz="4" w:space="0" w:color="000000"/>
              <w:bottom w:val="single" w:sz="4" w:space="0" w:color="000000"/>
              <w:right w:val="single" w:sz="4" w:space="0" w:color="000000"/>
            </w:tcBorders>
          </w:tcPr>
          <w:p w14:paraId="0CD3ED7A"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Adalimumab 160/80 mg N=159</w:t>
            </w:r>
          </w:p>
        </w:tc>
      </w:tr>
      <w:tr w:rsidR="00171824" w14:paraId="62C8FBD9" w14:textId="77777777">
        <w:trPr>
          <w:trHeight w:val="20"/>
        </w:trPr>
        <w:tc>
          <w:tcPr>
            <w:tcW w:w="9342" w:type="dxa"/>
            <w:gridSpan w:val="6"/>
            <w:tcBorders>
              <w:top w:val="single" w:sz="4" w:space="0" w:color="000000"/>
              <w:left w:val="single" w:sz="4" w:space="0" w:color="000000"/>
              <w:bottom w:val="single" w:sz="4" w:space="0" w:color="000000"/>
              <w:right w:val="single" w:sz="4" w:space="0" w:color="000000"/>
            </w:tcBorders>
          </w:tcPr>
          <w:p w14:paraId="6B9C35CD" w14:textId="77777777" w:rsidR="00171824" w:rsidRDefault="006D258C">
            <w:pPr>
              <w:keepNext/>
              <w:widowControl/>
              <w:ind w:left="102"/>
              <w:rPr>
                <w:rFonts w:eastAsia="MS Mincho"/>
                <w:sz w:val="22"/>
                <w:szCs w:val="22"/>
                <w:lang w:val="el-GR"/>
              </w:rPr>
            </w:pPr>
            <w:r>
              <w:rPr>
                <w:rFonts w:eastAsia="MS Mincho"/>
                <w:sz w:val="22"/>
                <w:szCs w:val="22"/>
                <w:lang w:val="el-GR"/>
              </w:rPr>
              <w:t>Εβδομάδα 4</w:t>
            </w:r>
          </w:p>
        </w:tc>
      </w:tr>
      <w:tr w:rsidR="00171824" w14:paraId="090BF293" w14:textId="77777777">
        <w:trPr>
          <w:trHeight w:val="20"/>
        </w:trPr>
        <w:tc>
          <w:tcPr>
            <w:tcW w:w="2286" w:type="dxa"/>
            <w:tcBorders>
              <w:top w:val="single" w:sz="4" w:space="0" w:color="000000"/>
              <w:left w:val="single" w:sz="4" w:space="0" w:color="000000"/>
              <w:bottom w:val="single" w:sz="4" w:space="0" w:color="000000"/>
              <w:right w:val="single" w:sz="4" w:space="0" w:color="000000"/>
            </w:tcBorders>
          </w:tcPr>
          <w:p w14:paraId="53728FC5" w14:textId="77777777" w:rsidR="00171824" w:rsidRDefault="006D258C">
            <w:pPr>
              <w:pStyle w:val="TableParagraph"/>
              <w:widowControl/>
              <w:kinsoku w:val="0"/>
              <w:overflowPunct w:val="0"/>
              <w:ind w:left="102"/>
              <w:rPr>
                <w:rFonts w:eastAsia="MS Mincho"/>
                <w:sz w:val="22"/>
                <w:szCs w:val="22"/>
                <w:lang w:val="el-GR"/>
              </w:rPr>
            </w:pPr>
            <w:r>
              <w:rPr>
                <w:rFonts w:eastAsia="MS Mincho"/>
                <w:sz w:val="22"/>
                <w:szCs w:val="22"/>
                <w:lang w:val="el-GR"/>
              </w:rPr>
              <w:t>Κλινική ύφεση</w:t>
            </w:r>
          </w:p>
        </w:tc>
        <w:tc>
          <w:tcPr>
            <w:tcW w:w="1270" w:type="dxa"/>
            <w:tcBorders>
              <w:top w:val="single" w:sz="4" w:space="0" w:color="000000"/>
              <w:left w:val="single" w:sz="4" w:space="0" w:color="000000"/>
              <w:bottom w:val="single" w:sz="4" w:space="0" w:color="000000"/>
              <w:right w:val="single" w:sz="4" w:space="0" w:color="000000"/>
            </w:tcBorders>
            <w:vAlign w:val="center"/>
          </w:tcPr>
          <w:p w14:paraId="6D024D88" w14:textId="77777777" w:rsidR="00171824" w:rsidRDefault="006D258C">
            <w:pPr>
              <w:pStyle w:val="BodyText"/>
              <w:widowControl/>
              <w:ind w:left="0"/>
              <w:jc w:val="center"/>
              <w:rPr>
                <w:rFonts w:eastAsia="MS Mincho"/>
                <w:lang w:val="el-GR"/>
              </w:rPr>
            </w:pPr>
            <w:r>
              <w:rPr>
                <w:rFonts w:eastAsia="MS Mincho"/>
                <w:lang w:val="el-GR"/>
              </w:rPr>
              <w:t>12%</w:t>
            </w:r>
          </w:p>
        </w:tc>
        <w:tc>
          <w:tcPr>
            <w:tcW w:w="1547" w:type="dxa"/>
            <w:tcBorders>
              <w:top w:val="single" w:sz="4" w:space="0" w:color="000000"/>
              <w:left w:val="single" w:sz="4" w:space="0" w:color="000000"/>
              <w:bottom w:val="single" w:sz="4" w:space="0" w:color="000000"/>
              <w:right w:val="single" w:sz="4" w:space="0" w:color="000000"/>
            </w:tcBorders>
            <w:vAlign w:val="center"/>
          </w:tcPr>
          <w:p w14:paraId="0C6559DD" w14:textId="77777777" w:rsidR="00171824" w:rsidRDefault="006D258C">
            <w:pPr>
              <w:pStyle w:val="BodyText"/>
              <w:widowControl/>
              <w:ind w:left="0"/>
              <w:jc w:val="center"/>
              <w:rPr>
                <w:rFonts w:eastAsia="MS Mincho"/>
                <w:lang w:val="el-GR"/>
              </w:rPr>
            </w:pPr>
            <w:r>
              <w:rPr>
                <w:rFonts w:eastAsia="MS Mincho"/>
                <w:lang w:val="el-GR"/>
              </w:rPr>
              <w:t>24%</w:t>
            </w:r>
          </w:p>
        </w:tc>
        <w:tc>
          <w:tcPr>
            <w:tcW w:w="1276" w:type="dxa"/>
            <w:tcBorders>
              <w:top w:val="single" w:sz="4" w:space="0" w:color="000000"/>
              <w:left w:val="single" w:sz="4" w:space="0" w:color="000000"/>
              <w:bottom w:val="single" w:sz="4" w:space="0" w:color="000000"/>
              <w:right w:val="single" w:sz="4" w:space="0" w:color="000000"/>
            </w:tcBorders>
            <w:vAlign w:val="center"/>
          </w:tcPr>
          <w:p w14:paraId="273525B7" w14:textId="77777777" w:rsidR="00171824" w:rsidRDefault="006D258C">
            <w:pPr>
              <w:pStyle w:val="BodyText"/>
              <w:widowControl/>
              <w:ind w:left="0"/>
              <w:jc w:val="center"/>
              <w:rPr>
                <w:rFonts w:eastAsia="MS Mincho"/>
                <w:lang w:val="el-GR"/>
              </w:rPr>
            </w:pPr>
            <w:r>
              <w:rPr>
                <w:rFonts w:eastAsia="MS Mincho"/>
                <w:lang w:val="el-GR"/>
              </w:rPr>
              <w:t>36%</w:t>
            </w:r>
            <w:r>
              <w:rPr>
                <w:rFonts w:eastAsia="MS Mincho"/>
                <w:vertAlign w:val="superscript"/>
                <w:lang w:val="el-GR"/>
              </w:rPr>
              <w:t>*</w:t>
            </w:r>
          </w:p>
        </w:tc>
        <w:tc>
          <w:tcPr>
            <w:tcW w:w="1418" w:type="dxa"/>
            <w:tcBorders>
              <w:top w:val="single" w:sz="4" w:space="0" w:color="000000"/>
              <w:left w:val="single" w:sz="4" w:space="0" w:color="000000"/>
              <w:bottom w:val="single" w:sz="4" w:space="0" w:color="000000"/>
              <w:right w:val="single" w:sz="4" w:space="0" w:color="000000"/>
            </w:tcBorders>
            <w:vAlign w:val="center"/>
          </w:tcPr>
          <w:p w14:paraId="3CF49A53" w14:textId="77777777" w:rsidR="00171824" w:rsidRDefault="006D258C">
            <w:pPr>
              <w:pStyle w:val="BodyText"/>
              <w:widowControl/>
              <w:ind w:left="0"/>
              <w:jc w:val="center"/>
              <w:rPr>
                <w:rFonts w:eastAsia="MS Mincho"/>
                <w:lang w:val="el-GR"/>
              </w:rPr>
            </w:pPr>
            <w:r>
              <w:rPr>
                <w:rFonts w:eastAsia="MS Mincho"/>
                <w:lang w:val="el-GR"/>
              </w:rPr>
              <w:t>7%</w:t>
            </w:r>
          </w:p>
        </w:tc>
        <w:tc>
          <w:tcPr>
            <w:tcW w:w="1545" w:type="dxa"/>
            <w:tcBorders>
              <w:top w:val="single" w:sz="4" w:space="0" w:color="000000"/>
              <w:left w:val="single" w:sz="4" w:space="0" w:color="000000"/>
              <w:bottom w:val="single" w:sz="4" w:space="0" w:color="000000"/>
              <w:right w:val="single" w:sz="4" w:space="0" w:color="000000"/>
            </w:tcBorders>
            <w:vAlign w:val="center"/>
          </w:tcPr>
          <w:p w14:paraId="0ED12883" w14:textId="77777777" w:rsidR="00171824" w:rsidRDefault="006D258C">
            <w:pPr>
              <w:pStyle w:val="BodyText"/>
              <w:widowControl/>
              <w:ind w:left="0"/>
              <w:jc w:val="center"/>
              <w:rPr>
                <w:rFonts w:eastAsia="MS Mincho"/>
                <w:lang w:val="el-GR"/>
              </w:rPr>
            </w:pPr>
            <w:r>
              <w:rPr>
                <w:rFonts w:eastAsia="MS Mincho"/>
                <w:lang w:val="el-GR"/>
              </w:rPr>
              <w:t>21%</w:t>
            </w:r>
            <w:r>
              <w:rPr>
                <w:rFonts w:eastAsia="MS Mincho"/>
                <w:vertAlign w:val="superscript"/>
                <w:lang w:val="el-GR"/>
              </w:rPr>
              <w:t>*</w:t>
            </w:r>
          </w:p>
        </w:tc>
      </w:tr>
      <w:tr w:rsidR="00171824" w14:paraId="05C41F63" w14:textId="77777777">
        <w:trPr>
          <w:trHeight w:val="20"/>
        </w:trPr>
        <w:tc>
          <w:tcPr>
            <w:tcW w:w="2286" w:type="dxa"/>
            <w:tcBorders>
              <w:top w:val="single" w:sz="4" w:space="0" w:color="000000"/>
              <w:left w:val="single" w:sz="4" w:space="0" w:color="000000"/>
              <w:bottom w:val="single" w:sz="4" w:space="0" w:color="000000"/>
              <w:right w:val="single" w:sz="4" w:space="0" w:color="000000"/>
            </w:tcBorders>
          </w:tcPr>
          <w:p w14:paraId="2A65A1BC" w14:textId="77777777" w:rsidR="00171824" w:rsidRDefault="006D258C">
            <w:pPr>
              <w:pStyle w:val="TableParagraph"/>
              <w:widowControl/>
              <w:kinsoku w:val="0"/>
              <w:overflowPunct w:val="0"/>
              <w:ind w:left="102" w:right="140"/>
              <w:rPr>
                <w:rFonts w:eastAsia="MS Mincho"/>
                <w:sz w:val="22"/>
                <w:szCs w:val="22"/>
                <w:lang w:val="el-GR"/>
              </w:rPr>
            </w:pPr>
            <w:r>
              <w:rPr>
                <w:rFonts w:eastAsia="MS Mincho"/>
                <w:sz w:val="22"/>
                <w:szCs w:val="22"/>
                <w:lang w:val="el-GR"/>
              </w:rPr>
              <w:t>Κλινική ανταπόκριση (CR-100)</w:t>
            </w:r>
          </w:p>
        </w:tc>
        <w:tc>
          <w:tcPr>
            <w:tcW w:w="1270" w:type="dxa"/>
            <w:tcBorders>
              <w:top w:val="single" w:sz="4" w:space="0" w:color="000000"/>
              <w:left w:val="single" w:sz="4" w:space="0" w:color="000000"/>
              <w:bottom w:val="single" w:sz="4" w:space="0" w:color="000000"/>
              <w:right w:val="single" w:sz="4" w:space="0" w:color="000000"/>
            </w:tcBorders>
          </w:tcPr>
          <w:p w14:paraId="17FA62D8" w14:textId="77777777" w:rsidR="00171824" w:rsidRDefault="006D258C">
            <w:pPr>
              <w:pStyle w:val="BodyText"/>
              <w:widowControl/>
              <w:ind w:left="0"/>
              <w:jc w:val="center"/>
              <w:rPr>
                <w:rFonts w:eastAsia="MS Mincho"/>
                <w:lang w:val="el-GR"/>
              </w:rPr>
            </w:pPr>
            <w:r>
              <w:rPr>
                <w:rFonts w:eastAsia="MS Mincho"/>
                <w:lang w:val="el-GR"/>
              </w:rPr>
              <w:t>24%</w:t>
            </w:r>
          </w:p>
        </w:tc>
        <w:tc>
          <w:tcPr>
            <w:tcW w:w="1547" w:type="dxa"/>
            <w:tcBorders>
              <w:top w:val="single" w:sz="4" w:space="0" w:color="000000"/>
              <w:left w:val="single" w:sz="4" w:space="0" w:color="000000"/>
              <w:bottom w:val="single" w:sz="4" w:space="0" w:color="000000"/>
              <w:right w:val="single" w:sz="4" w:space="0" w:color="000000"/>
            </w:tcBorders>
          </w:tcPr>
          <w:p w14:paraId="7BAEBF1F" w14:textId="77777777" w:rsidR="00171824" w:rsidRDefault="006D258C">
            <w:pPr>
              <w:pStyle w:val="BodyText"/>
              <w:widowControl/>
              <w:ind w:left="0"/>
              <w:jc w:val="center"/>
              <w:rPr>
                <w:rFonts w:eastAsia="MS Mincho"/>
                <w:lang w:val="el-GR"/>
              </w:rPr>
            </w:pPr>
            <w:r>
              <w:rPr>
                <w:rFonts w:eastAsia="MS Mincho"/>
                <w:lang w:val="el-GR"/>
              </w:rPr>
              <w:t>37%</w:t>
            </w:r>
          </w:p>
        </w:tc>
        <w:tc>
          <w:tcPr>
            <w:tcW w:w="1276" w:type="dxa"/>
            <w:tcBorders>
              <w:top w:val="single" w:sz="4" w:space="0" w:color="000000"/>
              <w:left w:val="single" w:sz="4" w:space="0" w:color="000000"/>
              <w:bottom w:val="single" w:sz="4" w:space="0" w:color="000000"/>
              <w:right w:val="single" w:sz="4" w:space="0" w:color="000000"/>
            </w:tcBorders>
          </w:tcPr>
          <w:p w14:paraId="79E7137A" w14:textId="77777777" w:rsidR="00171824" w:rsidRDefault="006D258C">
            <w:pPr>
              <w:pStyle w:val="BodyText"/>
              <w:widowControl/>
              <w:ind w:left="0"/>
              <w:jc w:val="center"/>
              <w:rPr>
                <w:rFonts w:eastAsia="MS Mincho"/>
                <w:lang w:val="el-GR"/>
              </w:rPr>
            </w:pPr>
            <w:r>
              <w:rPr>
                <w:rFonts w:eastAsia="MS Mincho"/>
                <w:lang w:val="el-GR"/>
              </w:rPr>
              <w:t>49%</w:t>
            </w:r>
            <w:r>
              <w:rPr>
                <w:rFonts w:eastAsia="MS Mincho"/>
                <w:vertAlign w:val="superscript"/>
                <w:lang w:val="el-GR"/>
              </w:rPr>
              <w:t>**</w:t>
            </w:r>
          </w:p>
        </w:tc>
        <w:tc>
          <w:tcPr>
            <w:tcW w:w="1418" w:type="dxa"/>
            <w:tcBorders>
              <w:top w:val="single" w:sz="4" w:space="0" w:color="000000"/>
              <w:left w:val="single" w:sz="4" w:space="0" w:color="000000"/>
              <w:bottom w:val="single" w:sz="4" w:space="0" w:color="000000"/>
              <w:right w:val="single" w:sz="4" w:space="0" w:color="000000"/>
            </w:tcBorders>
          </w:tcPr>
          <w:p w14:paraId="30E31C0B" w14:textId="77777777" w:rsidR="00171824" w:rsidRDefault="006D258C">
            <w:pPr>
              <w:pStyle w:val="BodyText"/>
              <w:widowControl/>
              <w:ind w:left="0"/>
              <w:jc w:val="center"/>
              <w:rPr>
                <w:rFonts w:eastAsia="MS Mincho"/>
                <w:lang w:val="el-GR"/>
              </w:rPr>
            </w:pPr>
            <w:r>
              <w:rPr>
                <w:rFonts w:eastAsia="MS Mincho"/>
                <w:lang w:val="el-GR"/>
              </w:rPr>
              <w:t>25%</w:t>
            </w:r>
          </w:p>
        </w:tc>
        <w:tc>
          <w:tcPr>
            <w:tcW w:w="1545" w:type="dxa"/>
            <w:tcBorders>
              <w:top w:val="single" w:sz="4" w:space="0" w:color="000000"/>
              <w:left w:val="single" w:sz="4" w:space="0" w:color="000000"/>
              <w:bottom w:val="single" w:sz="4" w:space="0" w:color="000000"/>
              <w:right w:val="single" w:sz="4" w:space="0" w:color="000000"/>
            </w:tcBorders>
          </w:tcPr>
          <w:p w14:paraId="13B79B0E" w14:textId="77777777" w:rsidR="00171824" w:rsidRDefault="006D258C">
            <w:pPr>
              <w:pStyle w:val="BodyText"/>
              <w:widowControl/>
              <w:ind w:left="0"/>
              <w:jc w:val="center"/>
              <w:rPr>
                <w:rFonts w:eastAsia="MS Mincho"/>
                <w:lang w:val="el-GR"/>
              </w:rPr>
            </w:pPr>
            <w:r>
              <w:rPr>
                <w:rFonts w:eastAsia="MS Mincho"/>
                <w:lang w:val="el-GR"/>
              </w:rPr>
              <w:t>38%</w:t>
            </w:r>
            <w:r>
              <w:rPr>
                <w:rFonts w:eastAsia="MS Mincho"/>
                <w:vertAlign w:val="superscript"/>
                <w:lang w:val="el-GR"/>
              </w:rPr>
              <w:t>**</w:t>
            </w:r>
          </w:p>
        </w:tc>
      </w:tr>
    </w:tbl>
    <w:p w14:paraId="4FF4CE63" w14:textId="77777777" w:rsidR="00171824" w:rsidRDefault="006D258C">
      <w:pPr>
        <w:pStyle w:val="BodyText"/>
        <w:widowControl/>
        <w:kinsoku w:val="0"/>
        <w:overflowPunct w:val="0"/>
        <w:ind w:left="0"/>
        <w:rPr>
          <w:sz w:val="20"/>
          <w:szCs w:val="20"/>
          <w:lang w:val="el-GR"/>
        </w:rPr>
      </w:pPr>
      <w:r>
        <w:rPr>
          <w:sz w:val="20"/>
          <w:szCs w:val="20"/>
          <w:lang w:val="el-GR"/>
        </w:rPr>
        <w:t>Όλες οι p-τιμές είναι συγκρίσεις κατά ζεύγη των ποσοστών για το adalimumab</w:t>
      </w:r>
      <w:r>
        <w:rPr>
          <w:i/>
          <w:sz w:val="20"/>
          <w:szCs w:val="20"/>
          <w:lang w:val="el-GR"/>
        </w:rPr>
        <w:t xml:space="preserve"> </w:t>
      </w:r>
      <w:r>
        <w:rPr>
          <w:i/>
          <w:iCs/>
          <w:sz w:val="20"/>
          <w:szCs w:val="20"/>
          <w:lang w:val="el-GR"/>
        </w:rPr>
        <w:t xml:space="preserve">έναντι </w:t>
      </w:r>
      <w:r>
        <w:rPr>
          <w:sz w:val="20"/>
          <w:szCs w:val="20"/>
          <w:lang w:val="el-GR"/>
        </w:rPr>
        <w:t>εικονικού φαρμάκου</w:t>
      </w:r>
    </w:p>
    <w:p w14:paraId="7D9E995B" w14:textId="77777777" w:rsidR="00171824" w:rsidRDefault="006D258C">
      <w:pPr>
        <w:pStyle w:val="BodyText"/>
        <w:widowControl/>
        <w:tabs>
          <w:tab w:val="left" w:pos="578"/>
        </w:tabs>
        <w:kinsoku w:val="0"/>
        <w:overflowPunct w:val="0"/>
        <w:ind w:left="284" w:hanging="284"/>
        <w:rPr>
          <w:sz w:val="20"/>
          <w:szCs w:val="20"/>
          <w:lang w:val="el-GR"/>
        </w:rPr>
      </w:pPr>
      <w:r>
        <w:rPr>
          <w:position w:val="10"/>
          <w:sz w:val="20"/>
          <w:szCs w:val="20"/>
          <w:lang w:val="el-GR"/>
        </w:rPr>
        <w:t>*</w:t>
      </w:r>
      <w:r>
        <w:rPr>
          <w:position w:val="10"/>
          <w:sz w:val="12"/>
          <w:szCs w:val="12"/>
          <w:lang w:val="el-GR"/>
        </w:rPr>
        <w:tab/>
      </w:r>
      <w:r>
        <w:rPr>
          <w:sz w:val="20"/>
          <w:szCs w:val="20"/>
          <w:lang w:val="el-GR"/>
        </w:rPr>
        <w:t>p &lt; 0,001</w:t>
      </w:r>
    </w:p>
    <w:p w14:paraId="486E3FC1" w14:textId="77777777" w:rsidR="00171824" w:rsidRDefault="006D258C">
      <w:pPr>
        <w:widowControl/>
        <w:tabs>
          <w:tab w:val="left" w:pos="578"/>
        </w:tabs>
        <w:kinsoku w:val="0"/>
        <w:overflowPunct w:val="0"/>
        <w:ind w:left="284" w:hanging="284"/>
        <w:rPr>
          <w:sz w:val="20"/>
          <w:szCs w:val="20"/>
          <w:lang w:val="el-GR"/>
        </w:rPr>
      </w:pPr>
      <w:r>
        <w:rPr>
          <w:position w:val="10"/>
          <w:sz w:val="20"/>
          <w:szCs w:val="20"/>
          <w:lang w:val="el-GR"/>
        </w:rPr>
        <w:t>**</w:t>
      </w:r>
      <w:r>
        <w:rPr>
          <w:position w:val="10"/>
          <w:sz w:val="20"/>
          <w:szCs w:val="20"/>
          <w:lang w:val="el-GR"/>
        </w:rPr>
        <w:tab/>
      </w:r>
      <w:r>
        <w:rPr>
          <w:sz w:val="20"/>
          <w:szCs w:val="20"/>
          <w:lang w:val="el-GR"/>
        </w:rPr>
        <w:t>p &lt; 0,01</w:t>
      </w:r>
    </w:p>
    <w:p w14:paraId="4890A727" w14:textId="77777777" w:rsidR="00171824" w:rsidRDefault="00171824">
      <w:pPr>
        <w:widowControl/>
        <w:kinsoku w:val="0"/>
        <w:overflowPunct w:val="0"/>
        <w:rPr>
          <w:sz w:val="22"/>
          <w:szCs w:val="22"/>
          <w:lang w:val="el-GR"/>
        </w:rPr>
      </w:pPr>
    </w:p>
    <w:p w14:paraId="70696D6A" w14:textId="77777777" w:rsidR="00171824" w:rsidRDefault="006D258C">
      <w:pPr>
        <w:pStyle w:val="BodyText"/>
        <w:widowControl/>
        <w:kinsoku w:val="0"/>
        <w:overflowPunct w:val="0"/>
        <w:ind w:left="0"/>
        <w:rPr>
          <w:lang w:val="el-GR"/>
        </w:rPr>
      </w:pPr>
      <w:r>
        <w:rPr>
          <w:lang w:val="el-GR"/>
        </w:rPr>
        <w:t>Παρόμοια ποσοστά κλινικής ύφεσης παρατηρήθηκαν για τα 160/80 mg και 80/40 mg επαγωγικά σχήματα την εβδομάδα 8 και παρατηρήθηκαν πιο συχνά ανεπιθύμητες ενέργειες στην ομάδα που έλαβε 160/80 mg.</w:t>
      </w:r>
    </w:p>
    <w:p w14:paraId="17976B14" w14:textId="77777777" w:rsidR="00171824" w:rsidRDefault="00171824">
      <w:pPr>
        <w:widowControl/>
        <w:kinsoku w:val="0"/>
        <w:overflowPunct w:val="0"/>
        <w:rPr>
          <w:sz w:val="22"/>
          <w:szCs w:val="22"/>
          <w:lang w:val="el-GR"/>
        </w:rPr>
      </w:pPr>
    </w:p>
    <w:p w14:paraId="26F3A393" w14:textId="77777777" w:rsidR="00171824" w:rsidRDefault="006D258C">
      <w:pPr>
        <w:pStyle w:val="BodyText"/>
        <w:widowControl/>
        <w:kinsoku w:val="0"/>
        <w:overflowPunct w:val="0"/>
        <w:ind w:left="0"/>
        <w:rPr>
          <w:lang w:val="el-GR"/>
        </w:rPr>
      </w:pPr>
      <w:r>
        <w:rPr>
          <w:lang w:val="el-GR"/>
        </w:rPr>
        <w:t>Στην μελέτη CD ΙΙΙ, την εβδομάδα 4 το 58% (499/854) των ασθενών είχαν κλινική ανταπόκριση και αξιολογήθηκαν στην πρωτεύουσα ανάλυση. Από τους ασθενείς που εμφάνισαν κλινική ανταπόκριση την εβδομάδα 4, το 48% είχαν λάβει στο παρελθόν άλλον TNF-ανταγωνιστή. Η διατήρηση της ύφεσης και τα ποσοστά ανταπόκρισης παρουσιάζονται στον πίνακα 22. Τα ποσοστά της κλινικής ύφεσης παρέμειναν σχετικά σταθερά ανεξαρτήτως προηγούμενης έκθεσης σε TNF-ανταγωνιστές.</w:t>
      </w:r>
    </w:p>
    <w:p w14:paraId="6BD718EA" w14:textId="77777777" w:rsidR="00171824" w:rsidRDefault="00171824">
      <w:pPr>
        <w:widowControl/>
        <w:kinsoku w:val="0"/>
        <w:overflowPunct w:val="0"/>
        <w:rPr>
          <w:sz w:val="22"/>
          <w:szCs w:val="22"/>
          <w:lang w:val="el-GR"/>
        </w:rPr>
      </w:pPr>
    </w:p>
    <w:p w14:paraId="35E3B308" w14:textId="77777777" w:rsidR="00171824" w:rsidRDefault="006D258C">
      <w:pPr>
        <w:pStyle w:val="BodyText"/>
        <w:widowControl/>
        <w:kinsoku w:val="0"/>
        <w:overflowPunct w:val="0"/>
        <w:ind w:left="0"/>
        <w:rPr>
          <w:lang w:val="el-GR"/>
        </w:rPr>
      </w:pPr>
      <w:r>
        <w:rPr>
          <w:lang w:val="el-GR"/>
        </w:rPr>
        <w:t>Νοσηλείες και χειρουργικές επεμβάσεις σχετιζόμενες με τη νόσο ήταν στατιστικά σημαντικά μειωμένες με το adalimumab συγκριτικά με το εικονικό φάρμακο στην εβδομάδα 56.</w:t>
      </w:r>
    </w:p>
    <w:p w14:paraId="7B5814A4" w14:textId="77777777" w:rsidR="00171824" w:rsidRDefault="00171824">
      <w:pPr>
        <w:widowControl/>
        <w:kinsoku w:val="0"/>
        <w:overflowPunct w:val="0"/>
        <w:rPr>
          <w:sz w:val="22"/>
          <w:szCs w:val="22"/>
          <w:lang w:val="el-GR"/>
        </w:rPr>
      </w:pPr>
    </w:p>
    <w:p w14:paraId="7D1CD681" w14:textId="77777777" w:rsidR="00171824" w:rsidRDefault="006D258C">
      <w:pPr>
        <w:pStyle w:val="BodyText"/>
        <w:keepNext/>
        <w:widowControl/>
        <w:ind w:left="0"/>
        <w:rPr>
          <w:b/>
          <w:lang w:val="el-GR"/>
        </w:rPr>
      </w:pPr>
      <w:r>
        <w:rPr>
          <w:b/>
          <w:lang w:val="el-GR"/>
        </w:rPr>
        <w:t>Πίνακας 22.</w:t>
      </w:r>
      <w:r>
        <w:rPr>
          <w:b/>
          <w:bCs/>
          <w:lang w:val="el-GR"/>
        </w:rPr>
        <w:t xml:space="preserve"> Διατήρηση Κλινικής Ύφεσης και Κλινικής Ανταπόκρισης(ποσοστό ασθενών)</w:t>
      </w:r>
    </w:p>
    <w:p w14:paraId="565E07AD" w14:textId="77777777" w:rsidR="00171824" w:rsidRDefault="00171824">
      <w:pPr>
        <w:keepNext/>
        <w:widowControl/>
        <w:kinsoku w:val="0"/>
        <w:overflowPunct w:val="0"/>
        <w:rPr>
          <w:sz w:val="22"/>
          <w:szCs w:val="22"/>
          <w:lang w:val="el-GR"/>
        </w:rPr>
      </w:pPr>
    </w:p>
    <w:tbl>
      <w:tblPr>
        <w:tblW w:w="9393" w:type="dxa"/>
        <w:tblInd w:w="5" w:type="dxa"/>
        <w:tblLayout w:type="fixed"/>
        <w:tblCellMar>
          <w:left w:w="0" w:type="dxa"/>
          <w:right w:w="0" w:type="dxa"/>
        </w:tblCellMar>
        <w:tblLook w:val="04A0" w:firstRow="1" w:lastRow="0" w:firstColumn="1" w:lastColumn="0" w:noHBand="0" w:noVBand="1"/>
      </w:tblPr>
      <w:tblGrid>
        <w:gridCol w:w="3853"/>
        <w:gridCol w:w="1752"/>
        <w:gridCol w:w="2040"/>
        <w:gridCol w:w="1748"/>
      </w:tblGrid>
      <w:tr w:rsidR="00171824" w14:paraId="1578091E" w14:textId="77777777">
        <w:trPr>
          <w:trHeight w:val="20"/>
          <w:tblHeader/>
        </w:trPr>
        <w:tc>
          <w:tcPr>
            <w:tcW w:w="3853" w:type="dxa"/>
            <w:tcBorders>
              <w:top w:val="single" w:sz="4" w:space="0" w:color="000000"/>
              <w:left w:val="single" w:sz="4" w:space="0" w:color="000000"/>
              <w:bottom w:val="single" w:sz="4" w:space="0" w:color="000000"/>
              <w:right w:val="single" w:sz="4" w:space="0" w:color="000000"/>
            </w:tcBorders>
          </w:tcPr>
          <w:p w14:paraId="70595894" w14:textId="77777777" w:rsidR="00171824" w:rsidRDefault="00171824">
            <w:pPr>
              <w:keepNext/>
              <w:widowControl/>
              <w:rPr>
                <w:rFonts w:eastAsia="MS Mincho"/>
                <w:sz w:val="22"/>
                <w:szCs w:val="22"/>
                <w:lang w:val="el-GR"/>
              </w:rPr>
            </w:pPr>
          </w:p>
        </w:tc>
        <w:tc>
          <w:tcPr>
            <w:tcW w:w="1752" w:type="dxa"/>
            <w:tcBorders>
              <w:top w:val="single" w:sz="4" w:space="0" w:color="000000"/>
              <w:left w:val="single" w:sz="4" w:space="0" w:color="000000"/>
              <w:bottom w:val="single" w:sz="4" w:space="0" w:color="000000"/>
              <w:right w:val="single" w:sz="4" w:space="0" w:color="000000"/>
            </w:tcBorders>
          </w:tcPr>
          <w:p w14:paraId="2EA812B6"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w:t>
            </w:r>
          </w:p>
        </w:tc>
        <w:tc>
          <w:tcPr>
            <w:tcW w:w="2040" w:type="dxa"/>
            <w:tcBorders>
              <w:top w:val="single" w:sz="4" w:space="0" w:color="000000"/>
              <w:left w:val="single" w:sz="4" w:space="0" w:color="000000"/>
              <w:bottom w:val="single" w:sz="4" w:space="0" w:color="000000"/>
              <w:right w:val="single" w:sz="4" w:space="0" w:color="000000"/>
            </w:tcBorders>
          </w:tcPr>
          <w:p w14:paraId="00E2AE28"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δεύτερη εβδομάδα</w:t>
            </w:r>
          </w:p>
        </w:tc>
        <w:tc>
          <w:tcPr>
            <w:tcW w:w="1748" w:type="dxa"/>
            <w:tcBorders>
              <w:top w:val="single" w:sz="4" w:space="0" w:color="000000"/>
              <w:left w:val="single" w:sz="4" w:space="0" w:color="000000"/>
              <w:bottom w:val="single" w:sz="4" w:space="0" w:color="000000"/>
              <w:right w:val="single" w:sz="4" w:space="0" w:color="000000"/>
            </w:tcBorders>
          </w:tcPr>
          <w:p w14:paraId="133FE670"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εβδομάδα</w:t>
            </w:r>
          </w:p>
        </w:tc>
      </w:tr>
      <w:tr w:rsidR="00171824" w14:paraId="327CE549" w14:textId="77777777">
        <w:trPr>
          <w:trHeight w:val="20"/>
        </w:trPr>
        <w:tc>
          <w:tcPr>
            <w:tcW w:w="3853" w:type="dxa"/>
            <w:tcBorders>
              <w:top w:val="single" w:sz="4" w:space="0" w:color="000000"/>
              <w:left w:val="single" w:sz="4" w:space="0" w:color="000000"/>
              <w:bottom w:val="single" w:sz="4" w:space="0" w:color="000000"/>
              <w:right w:val="single" w:sz="4" w:space="0" w:color="000000"/>
            </w:tcBorders>
          </w:tcPr>
          <w:p w14:paraId="39028C3E" w14:textId="77777777" w:rsidR="00171824" w:rsidRDefault="006D258C">
            <w:pPr>
              <w:pStyle w:val="TableParagraph"/>
              <w:keepNext/>
              <w:widowControl/>
              <w:kinsoku w:val="0"/>
              <w:overflowPunct w:val="0"/>
              <w:ind w:left="102"/>
              <w:rPr>
                <w:rFonts w:eastAsia="MS Mincho"/>
                <w:sz w:val="22"/>
                <w:szCs w:val="22"/>
                <w:lang w:val="el-GR"/>
              </w:rPr>
            </w:pPr>
            <w:r>
              <w:rPr>
                <w:rFonts w:eastAsia="MS Mincho"/>
                <w:b/>
                <w:bCs/>
                <w:sz w:val="22"/>
                <w:szCs w:val="22"/>
                <w:lang w:val="el-GR"/>
              </w:rPr>
              <w:t>Εβδομάδα 26</w:t>
            </w:r>
          </w:p>
        </w:tc>
        <w:tc>
          <w:tcPr>
            <w:tcW w:w="1752" w:type="dxa"/>
            <w:tcBorders>
              <w:top w:val="single" w:sz="4" w:space="0" w:color="000000"/>
              <w:left w:val="single" w:sz="4" w:space="0" w:color="000000"/>
              <w:bottom w:val="single" w:sz="4" w:space="0" w:color="000000"/>
              <w:right w:val="single" w:sz="4" w:space="0" w:color="000000"/>
            </w:tcBorders>
          </w:tcPr>
          <w:p w14:paraId="31CAFB88"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170</w:t>
            </w:r>
          </w:p>
        </w:tc>
        <w:tc>
          <w:tcPr>
            <w:tcW w:w="2040" w:type="dxa"/>
            <w:tcBorders>
              <w:top w:val="single" w:sz="4" w:space="0" w:color="000000"/>
              <w:left w:val="single" w:sz="4" w:space="0" w:color="000000"/>
              <w:bottom w:val="single" w:sz="4" w:space="0" w:color="000000"/>
              <w:right w:val="single" w:sz="4" w:space="0" w:color="000000"/>
            </w:tcBorders>
          </w:tcPr>
          <w:p w14:paraId="532059D6"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172</w:t>
            </w:r>
          </w:p>
        </w:tc>
        <w:tc>
          <w:tcPr>
            <w:tcW w:w="1748" w:type="dxa"/>
            <w:tcBorders>
              <w:top w:val="single" w:sz="4" w:space="0" w:color="000000"/>
              <w:left w:val="single" w:sz="4" w:space="0" w:color="000000"/>
              <w:bottom w:val="single" w:sz="4" w:space="0" w:color="000000"/>
              <w:right w:val="single" w:sz="4" w:space="0" w:color="000000"/>
            </w:tcBorders>
          </w:tcPr>
          <w:p w14:paraId="1B2340E2"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157</w:t>
            </w:r>
          </w:p>
        </w:tc>
      </w:tr>
      <w:tr w:rsidR="00171824" w14:paraId="2C79676A" w14:textId="77777777">
        <w:trPr>
          <w:trHeight w:val="20"/>
        </w:trPr>
        <w:tc>
          <w:tcPr>
            <w:tcW w:w="3853" w:type="dxa"/>
            <w:tcBorders>
              <w:top w:val="single" w:sz="4" w:space="0" w:color="000000"/>
              <w:left w:val="single" w:sz="4" w:space="0" w:color="000000"/>
              <w:bottom w:val="single" w:sz="4" w:space="0" w:color="000000"/>
              <w:right w:val="single" w:sz="4" w:space="0" w:color="000000"/>
            </w:tcBorders>
          </w:tcPr>
          <w:p w14:paraId="7C74EA6C" w14:textId="77777777" w:rsidR="00171824" w:rsidRDefault="006D258C">
            <w:pPr>
              <w:pStyle w:val="TableParagraph"/>
              <w:widowControl/>
              <w:kinsoku w:val="0"/>
              <w:overflowPunct w:val="0"/>
              <w:ind w:left="102"/>
              <w:rPr>
                <w:rFonts w:eastAsia="MS Mincho"/>
                <w:sz w:val="22"/>
                <w:szCs w:val="22"/>
                <w:lang w:val="el-GR"/>
              </w:rPr>
            </w:pPr>
            <w:r>
              <w:rPr>
                <w:rFonts w:eastAsia="MS Mincho"/>
                <w:sz w:val="22"/>
                <w:szCs w:val="22"/>
                <w:lang w:val="el-GR"/>
              </w:rPr>
              <w:t>Κλινική ύφεση</w:t>
            </w:r>
          </w:p>
        </w:tc>
        <w:tc>
          <w:tcPr>
            <w:tcW w:w="1752" w:type="dxa"/>
            <w:tcBorders>
              <w:top w:val="single" w:sz="4" w:space="0" w:color="000000"/>
              <w:left w:val="single" w:sz="4" w:space="0" w:color="000000"/>
              <w:bottom w:val="single" w:sz="4" w:space="0" w:color="000000"/>
              <w:right w:val="single" w:sz="4" w:space="0" w:color="000000"/>
            </w:tcBorders>
          </w:tcPr>
          <w:p w14:paraId="2C52275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17%</w:t>
            </w:r>
          </w:p>
        </w:tc>
        <w:tc>
          <w:tcPr>
            <w:tcW w:w="2040" w:type="dxa"/>
            <w:tcBorders>
              <w:top w:val="single" w:sz="4" w:space="0" w:color="000000"/>
              <w:left w:val="single" w:sz="4" w:space="0" w:color="000000"/>
              <w:bottom w:val="single" w:sz="4" w:space="0" w:color="000000"/>
              <w:right w:val="single" w:sz="4" w:space="0" w:color="000000"/>
            </w:tcBorders>
          </w:tcPr>
          <w:p w14:paraId="66BB58D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40%*</w:t>
            </w:r>
          </w:p>
        </w:tc>
        <w:tc>
          <w:tcPr>
            <w:tcW w:w="1748" w:type="dxa"/>
            <w:tcBorders>
              <w:top w:val="single" w:sz="4" w:space="0" w:color="000000"/>
              <w:left w:val="single" w:sz="4" w:space="0" w:color="000000"/>
              <w:bottom w:val="single" w:sz="4" w:space="0" w:color="000000"/>
              <w:right w:val="single" w:sz="4" w:space="0" w:color="000000"/>
            </w:tcBorders>
          </w:tcPr>
          <w:p w14:paraId="3C4B369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47%*</w:t>
            </w:r>
          </w:p>
        </w:tc>
      </w:tr>
      <w:tr w:rsidR="00171824" w14:paraId="0E652D29" w14:textId="77777777">
        <w:trPr>
          <w:trHeight w:val="20"/>
        </w:trPr>
        <w:tc>
          <w:tcPr>
            <w:tcW w:w="3853" w:type="dxa"/>
            <w:tcBorders>
              <w:top w:val="single" w:sz="4" w:space="0" w:color="000000"/>
              <w:left w:val="single" w:sz="4" w:space="0" w:color="000000"/>
              <w:bottom w:val="single" w:sz="4" w:space="0" w:color="000000"/>
              <w:right w:val="single" w:sz="4" w:space="0" w:color="000000"/>
            </w:tcBorders>
          </w:tcPr>
          <w:p w14:paraId="48812852" w14:textId="77777777" w:rsidR="00171824" w:rsidRDefault="006D258C">
            <w:pPr>
              <w:pStyle w:val="TableParagraph"/>
              <w:widowControl/>
              <w:kinsoku w:val="0"/>
              <w:overflowPunct w:val="0"/>
              <w:ind w:left="102"/>
              <w:rPr>
                <w:rFonts w:eastAsia="MS Mincho"/>
                <w:sz w:val="22"/>
                <w:szCs w:val="22"/>
                <w:lang w:val="el-GR"/>
              </w:rPr>
            </w:pPr>
            <w:r>
              <w:rPr>
                <w:rFonts w:eastAsia="MS Mincho"/>
                <w:sz w:val="22"/>
                <w:szCs w:val="22"/>
                <w:lang w:val="el-GR"/>
              </w:rPr>
              <w:t>Κλινική ανταπόκριση (CR-100)</w:t>
            </w:r>
          </w:p>
        </w:tc>
        <w:tc>
          <w:tcPr>
            <w:tcW w:w="1752" w:type="dxa"/>
            <w:tcBorders>
              <w:top w:val="single" w:sz="4" w:space="0" w:color="000000"/>
              <w:left w:val="single" w:sz="4" w:space="0" w:color="000000"/>
              <w:bottom w:val="single" w:sz="4" w:space="0" w:color="000000"/>
              <w:right w:val="single" w:sz="4" w:space="0" w:color="000000"/>
            </w:tcBorders>
          </w:tcPr>
          <w:p w14:paraId="1DF4B15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27%</w:t>
            </w:r>
          </w:p>
        </w:tc>
        <w:tc>
          <w:tcPr>
            <w:tcW w:w="2040" w:type="dxa"/>
            <w:tcBorders>
              <w:top w:val="single" w:sz="4" w:space="0" w:color="000000"/>
              <w:left w:val="single" w:sz="4" w:space="0" w:color="000000"/>
              <w:bottom w:val="single" w:sz="4" w:space="0" w:color="000000"/>
              <w:right w:val="single" w:sz="4" w:space="0" w:color="000000"/>
            </w:tcBorders>
          </w:tcPr>
          <w:p w14:paraId="4F43875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52%*</w:t>
            </w:r>
          </w:p>
        </w:tc>
        <w:tc>
          <w:tcPr>
            <w:tcW w:w="1748" w:type="dxa"/>
            <w:tcBorders>
              <w:top w:val="single" w:sz="4" w:space="0" w:color="000000"/>
              <w:left w:val="single" w:sz="4" w:space="0" w:color="000000"/>
              <w:bottom w:val="single" w:sz="4" w:space="0" w:color="000000"/>
              <w:right w:val="single" w:sz="4" w:space="0" w:color="000000"/>
            </w:tcBorders>
          </w:tcPr>
          <w:p w14:paraId="6CAB9AF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52%*</w:t>
            </w:r>
          </w:p>
        </w:tc>
      </w:tr>
      <w:tr w:rsidR="00171824" w14:paraId="1B47C551" w14:textId="77777777">
        <w:trPr>
          <w:trHeight w:val="20"/>
        </w:trPr>
        <w:tc>
          <w:tcPr>
            <w:tcW w:w="3853" w:type="dxa"/>
            <w:tcBorders>
              <w:top w:val="single" w:sz="4" w:space="0" w:color="000000"/>
              <w:left w:val="single" w:sz="4" w:space="0" w:color="000000"/>
              <w:bottom w:val="single" w:sz="4" w:space="0" w:color="000000"/>
              <w:right w:val="single" w:sz="4" w:space="0" w:color="000000"/>
            </w:tcBorders>
          </w:tcPr>
          <w:p w14:paraId="5A82242E" w14:textId="77777777" w:rsidR="00171824" w:rsidRDefault="006D258C">
            <w:pPr>
              <w:pStyle w:val="TableParagraph"/>
              <w:widowControl/>
              <w:kinsoku w:val="0"/>
              <w:overflowPunct w:val="0"/>
              <w:ind w:left="102"/>
              <w:rPr>
                <w:rFonts w:eastAsia="MS Mincho"/>
                <w:sz w:val="22"/>
                <w:szCs w:val="22"/>
                <w:lang w:val="el-GR"/>
              </w:rPr>
            </w:pPr>
            <w:r>
              <w:rPr>
                <w:rFonts w:eastAsia="MS Mincho"/>
                <w:sz w:val="22"/>
                <w:szCs w:val="22"/>
                <w:lang w:val="el-GR"/>
              </w:rPr>
              <w:t>Ασθενείς σε ελεύθερη στεροειδών ύφεση για &gt; = 90 ημέρες</w:t>
            </w:r>
            <w:r>
              <w:rPr>
                <w:rFonts w:eastAsia="MS Mincho"/>
                <w:sz w:val="22"/>
                <w:szCs w:val="22"/>
                <w:vertAlign w:val="superscript"/>
                <w:lang w:val="el-GR"/>
              </w:rPr>
              <w:t>a</w:t>
            </w:r>
          </w:p>
        </w:tc>
        <w:tc>
          <w:tcPr>
            <w:tcW w:w="1752" w:type="dxa"/>
            <w:tcBorders>
              <w:top w:val="single" w:sz="4" w:space="0" w:color="000000"/>
              <w:left w:val="single" w:sz="4" w:space="0" w:color="000000"/>
              <w:bottom w:val="single" w:sz="4" w:space="0" w:color="000000"/>
              <w:right w:val="single" w:sz="4" w:space="0" w:color="000000"/>
            </w:tcBorders>
          </w:tcPr>
          <w:p w14:paraId="4DB2F1F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 (2/66)</w:t>
            </w:r>
          </w:p>
        </w:tc>
        <w:tc>
          <w:tcPr>
            <w:tcW w:w="2040" w:type="dxa"/>
            <w:tcBorders>
              <w:top w:val="single" w:sz="4" w:space="0" w:color="000000"/>
              <w:left w:val="single" w:sz="4" w:space="0" w:color="000000"/>
              <w:bottom w:val="single" w:sz="4" w:space="0" w:color="000000"/>
              <w:right w:val="single" w:sz="4" w:space="0" w:color="000000"/>
            </w:tcBorders>
          </w:tcPr>
          <w:p w14:paraId="64F8A6B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19% (11/58)**</w:t>
            </w:r>
          </w:p>
        </w:tc>
        <w:tc>
          <w:tcPr>
            <w:tcW w:w="1748" w:type="dxa"/>
            <w:tcBorders>
              <w:top w:val="single" w:sz="4" w:space="0" w:color="000000"/>
              <w:left w:val="single" w:sz="4" w:space="0" w:color="000000"/>
              <w:bottom w:val="single" w:sz="4" w:space="0" w:color="000000"/>
              <w:right w:val="single" w:sz="4" w:space="0" w:color="000000"/>
            </w:tcBorders>
          </w:tcPr>
          <w:p w14:paraId="322046C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15% (11/74)**</w:t>
            </w:r>
          </w:p>
        </w:tc>
      </w:tr>
      <w:tr w:rsidR="00171824" w14:paraId="53394464" w14:textId="77777777">
        <w:trPr>
          <w:trHeight w:val="20"/>
        </w:trPr>
        <w:tc>
          <w:tcPr>
            <w:tcW w:w="3853" w:type="dxa"/>
            <w:tcBorders>
              <w:top w:val="single" w:sz="4" w:space="0" w:color="000000"/>
              <w:left w:val="single" w:sz="4" w:space="0" w:color="000000"/>
              <w:bottom w:val="single" w:sz="4" w:space="0" w:color="000000"/>
              <w:right w:val="single" w:sz="4" w:space="0" w:color="000000"/>
            </w:tcBorders>
          </w:tcPr>
          <w:p w14:paraId="2B696E6C" w14:textId="77777777" w:rsidR="00171824" w:rsidRDefault="006D258C">
            <w:pPr>
              <w:pStyle w:val="TableParagraph"/>
              <w:widowControl/>
              <w:kinsoku w:val="0"/>
              <w:overflowPunct w:val="0"/>
              <w:ind w:left="102"/>
              <w:rPr>
                <w:rFonts w:eastAsia="MS Mincho"/>
                <w:sz w:val="22"/>
                <w:szCs w:val="22"/>
                <w:lang w:val="el-GR"/>
              </w:rPr>
            </w:pPr>
            <w:r>
              <w:rPr>
                <w:rFonts w:eastAsia="MS Mincho"/>
                <w:b/>
                <w:bCs/>
                <w:sz w:val="22"/>
                <w:szCs w:val="22"/>
                <w:lang w:val="el-GR"/>
              </w:rPr>
              <w:t>Εβδομάδα 56</w:t>
            </w:r>
          </w:p>
        </w:tc>
        <w:tc>
          <w:tcPr>
            <w:tcW w:w="1752" w:type="dxa"/>
            <w:tcBorders>
              <w:top w:val="single" w:sz="4" w:space="0" w:color="000000"/>
              <w:left w:val="single" w:sz="4" w:space="0" w:color="000000"/>
              <w:bottom w:val="single" w:sz="4" w:space="0" w:color="000000"/>
              <w:right w:val="single" w:sz="4" w:space="0" w:color="000000"/>
            </w:tcBorders>
          </w:tcPr>
          <w:p w14:paraId="06BDEF58"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N = 170</w:t>
            </w:r>
          </w:p>
        </w:tc>
        <w:tc>
          <w:tcPr>
            <w:tcW w:w="2040" w:type="dxa"/>
            <w:tcBorders>
              <w:top w:val="single" w:sz="4" w:space="0" w:color="000000"/>
              <w:left w:val="single" w:sz="4" w:space="0" w:color="000000"/>
              <w:bottom w:val="single" w:sz="4" w:space="0" w:color="000000"/>
              <w:right w:val="single" w:sz="4" w:space="0" w:color="000000"/>
            </w:tcBorders>
          </w:tcPr>
          <w:p w14:paraId="3F93A8BC"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N = 172</w:t>
            </w:r>
          </w:p>
        </w:tc>
        <w:tc>
          <w:tcPr>
            <w:tcW w:w="1748" w:type="dxa"/>
            <w:tcBorders>
              <w:top w:val="single" w:sz="4" w:space="0" w:color="000000"/>
              <w:left w:val="single" w:sz="4" w:space="0" w:color="000000"/>
              <w:bottom w:val="single" w:sz="4" w:space="0" w:color="000000"/>
              <w:right w:val="single" w:sz="4" w:space="0" w:color="000000"/>
            </w:tcBorders>
          </w:tcPr>
          <w:p w14:paraId="1EBCFCC1"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N = 157</w:t>
            </w:r>
          </w:p>
        </w:tc>
      </w:tr>
      <w:tr w:rsidR="00171824" w14:paraId="792995B2" w14:textId="77777777">
        <w:trPr>
          <w:trHeight w:val="20"/>
        </w:trPr>
        <w:tc>
          <w:tcPr>
            <w:tcW w:w="3853" w:type="dxa"/>
            <w:tcBorders>
              <w:top w:val="single" w:sz="4" w:space="0" w:color="000000"/>
              <w:left w:val="single" w:sz="4" w:space="0" w:color="000000"/>
              <w:bottom w:val="single" w:sz="4" w:space="0" w:color="000000"/>
              <w:right w:val="single" w:sz="4" w:space="0" w:color="000000"/>
            </w:tcBorders>
          </w:tcPr>
          <w:p w14:paraId="570186B8" w14:textId="77777777" w:rsidR="00171824" w:rsidRDefault="006D258C">
            <w:pPr>
              <w:pStyle w:val="TableParagraph"/>
              <w:widowControl/>
              <w:kinsoku w:val="0"/>
              <w:overflowPunct w:val="0"/>
              <w:ind w:left="102"/>
              <w:rPr>
                <w:rFonts w:eastAsia="MS Mincho"/>
                <w:sz w:val="22"/>
                <w:szCs w:val="22"/>
                <w:lang w:val="el-GR"/>
              </w:rPr>
            </w:pPr>
            <w:r>
              <w:rPr>
                <w:rFonts w:eastAsia="MS Mincho"/>
                <w:sz w:val="22"/>
                <w:szCs w:val="22"/>
                <w:lang w:val="el-GR"/>
              </w:rPr>
              <w:t>Κλινική ύφεση</w:t>
            </w:r>
          </w:p>
        </w:tc>
        <w:tc>
          <w:tcPr>
            <w:tcW w:w="1752" w:type="dxa"/>
            <w:tcBorders>
              <w:top w:val="single" w:sz="4" w:space="0" w:color="000000"/>
              <w:left w:val="single" w:sz="4" w:space="0" w:color="000000"/>
              <w:bottom w:val="single" w:sz="4" w:space="0" w:color="000000"/>
              <w:right w:val="single" w:sz="4" w:space="0" w:color="000000"/>
            </w:tcBorders>
          </w:tcPr>
          <w:p w14:paraId="709A2B3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12%</w:t>
            </w:r>
          </w:p>
        </w:tc>
        <w:tc>
          <w:tcPr>
            <w:tcW w:w="2040" w:type="dxa"/>
            <w:tcBorders>
              <w:top w:val="single" w:sz="4" w:space="0" w:color="000000"/>
              <w:left w:val="single" w:sz="4" w:space="0" w:color="000000"/>
              <w:bottom w:val="single" w:sz="4" w:space="0" w:color="000000"/>
              <w:right w:val="single" w:sz="4" w:space="0" w:color="000000"/>
            </w:tcBorders>
          </w:tcPr>
          <w:p w14:paraId="6579C0A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36%*</w:t>
            </w:r>
          </w:p>
        </w:tc>
        <w:tc>
          <w:tcPr>
            <w:tcW w:w="1748" w:type="dxa"/>
            <w:tcBorders>
              <w:top w:val="single" w:sz="4" w:space="0" w:color="000000"/>
              <w:left w:val="single" w:sz="4" w:space="0" w:color="000000"/>
              <w:bottom w:val="single" w:sz="4" w:space="0" w:color="000000"/>
              <w:right w:val="single" w:sz="4" w:space="0" w:color="000000"/>
            </w:tcBorders>
          </w:tcPr>
          <w:p w14:paraId="0AE11D3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41%*</w:t>
            </w:r>
          </w:p>
        </w:tc>
      </w:tr>
      <w:tr w:rsidR="00171824" w14:paraId="43E3A63C" w14:textId="77777777">
        <w:trPr>
          <w:trHeight w:val="20"/>
        </w:trPr>
        <w:tc>
          <w:tcPr>
            <w:tcW w:w="3853" w:type="dxa"/>
            <w:tcBorders>
              <w:top w:val="single" w:sz="4" w:space="0" w:color="000000"/>
              <w:left w:val="single" w:sz="4" w:space="0" w:color="000000"/>
              <w:bottom w:val="single" w:sz="4" w:space="0" w:color="000000"/>
              <w:right w:val="single" w:sz="4" w:space="0" w:color="000000"/>
            </w:tcBorders>
          </w:tcPr>
          <w:p w14:paraId="4B60D702" w14:textId="77777777" w:rsidR="00171824" w:rsidRDefault="006D258C">
            <w:pPr>
              <w:pStyle w:val="TableParagraph"/>
              <w:widowControl/>
              <w:kinsoku w:val="0"/>
              <w:overflowPunct w:val="0"/>
              <w:ind w:left="102"/>
              <w:rPr>
                <w:rFonts w:eastAsia="MS Mincho"/>
                <w:sz w:val="22"/>
                <w:szCs w:val="22"/>
                <w:lang w:val="el-GR"/>
              </w:rPr>
            </w:pPr>
            <w:r>
              <w:rPr>
                <w:rFonts w:eastAsia="MS Mincho"/>
                <w:sz w:val="22"/>
                <w:szCs w:val="22"/>
                <w:lang w:val="el-GR"/>
              </w:rPr>
              <w:t>Κλινική ανταπόκριση (CR-100)</w:t>
            </w:r>
          </w:p>
        </w:tc>
        <w:tc>
          <w:tcPr>
            <w:tcW w:w="1752" w:type="dxa"/>
            <w:tcBorders>
              <w:top w:val="single" w:sz="4" w:space="0" w:color="000000"/>
              <w:left w:val="single" w:sz="4" w:space="0" w:color="000000"/>
              <w:bottom w:val="single" w:sz="4" w:space="0" w:color="000000"/>
              <w:right w:val="single" w:sz="4" w:space="0" w:color="000000"/>
            </w:tcBorders>
          </w:tcPr>
          <w:p w14:paraId="5D253F9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17%</w:t>
            </w:r>
          </w:p>
        </w:tc>
        <w:tc>
          <w:tcPr>
            <w:tcW w:w="2040" w:type="dxa"/>
            <w:tcBorders>
              <w:top w:val="single" w:sz="4" w:space="0" w:color="000000"/>
              <w:left w:val="single" w:sz="4" w:space="0" w:color="000000"/>
              <w:bottom w:val="single" w:sz="4" w:space="0" w:color="000000"/>
              <w:right w:val="single" w:sz="4" w:space="0" w:color="000000"/>
            </w:tcBorders>
          </w:tcPr>
          <w:p w14:paraId="79066CB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41%*</w:t>
            </w:r>
          </w:p>
        </w:tc>
        <w:tc>
          <w:tcPr>
            <w:tcW w:w="1748" w:type="dxa"/>
            <w:tcBorders>
              <w:top w:val="single" w:sz="4" w:space="0" w:color="000000"/>
              <w:left w:val="single" w:sz="4" w:space="0" w:color="000000"/>
              <w:bottom w:val="single" w:sz="4" w:space="0" w:color="000000"/>
              <w:right w:val="single" w:sz="4" w:space="0" w:color="000000"/>
            </w:tcBorders>
          </w:tcPr>
          <w:p w14:paraId="0685539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48%*</w:t>
            </w:r>
          </w:p>
        </w:tc>
      </w:tr>
      <w:tr w:rsidR="00171824" w14:paraId="1B2B44C8" w14:textId="77777777">
        <w:trPr>
          <w:trHeight w:val="20"/>
        </w:trPr>
        <w:tc>
          <w:tcPr>
            <w:tcW w:w="3853" w:type="dxa"/>
            <w:tcBorders>
              <w:top w:val="single" w:sz="4" w:space="0" w:color="000000"/>
              <w:left w:val="single" w:sz="4" w:space="0" w:color="000000"/>
              <w:bottom w:val="single" w:sz="4" w:space="0" w:color="000000"/>
              <w:right w:val="single" w:sz="4" w:space="0" w:color="000000"/>
            </w:tcBorders>
          </w:tcPr>
          <w:p w14:paraId="0F6D2D5B" w14:textId="77777777" w:rsidR="00171824" w:rsidRDefault="006D258C">
            <w:pPr>
              <w:pStyle w:val="TableParagraph"/>
              <w:widowControl/>
              <w:kinsoku w:val="0"/>
              <w:overflowPunct w:val="0"/>
              <w:ind w:left="102"/>
              <w:rPr>
                <w:rFonts w:eastAsia="MS Mincho"/>
                <w:sz w:val="22"/>
                <w:szCs w:val="22"/>
                <w:lang w:val="el-GR"/>
              </w:rPr>
            </w:pPr>
            <w:r>
              <w:rPr>
                <w:rFonts w:eastAsia="MS Mincho"/>
                <w:sz w:val="22"/>
                <w:szCs w:val="22"/>
                <w:lang w:val="el-GR"/>
              </w:rPr>
              <w:t>Ασθενείς σε ελεύθερη στεροειδών ύφεση για &gt; = 90 ημέρες</w:t>
            </w:r>
            <w:r>
              <w:rPr>
                <w:rFonts w:eastAsia="MS Mincho"/>
                <w:sz w:val="22"/>
                <w:szCs w:val="22"/>
                <w:vertAlign w:val="superscript"/>
                <w:lang w:val="el-GR"/>
              </w:rPr>
              <w:t>a</w:t>
            </w:r>
          </w:p>
        </w:tc>
        <w:tc>
          <w:tcPr>
            <w:tcW w:w="1752" w:type="dxa"/>
            <w:tcBorders>
              <w:top w:val="single" w:sz="4" w:space="0" w:color="000000"/>
              <w:left w:val="single" w:sz="4" w:space="0" w:color="000000"/>
              <w:bottom w:val="single" w:sz="4" w:space="0" w:color="000000"/>
              <w:right w:val="single" w:sz="4" w:space="0" w:color="000000"/>
            </w:tcBorders>
          </w:tcPr>
          <w:p w14:paraId="6A71C29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 (3/66)</w:t>
            </w:r>
          </w:p>
        </w:tc>
        <w:tc>
          <w:tcPr>
            <w:tcW w:w="2040" w:type="dxa"/>
            <w:tcBorders>
              <w:top w:val="single" w:sz="4" w:space="0" w:color="000000"/>
              <w:left w:val="single" w:sz="4" w:space="0" w:color="000000"/>
              <w:bottom w:val="single" w:sz="4" w:space="0" w:color="000000"/>
              <w:right w:val="single" w:sz="4" w:space="0" w:color="000000"/>
            </w:tcBorders>
          </w:tcPr>
          <w:p w14:paraId="29420B9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29% (17/58)*</w:t>
            </w:r>
          </w:p>
        </w:tc>
        <w:tc>
          <w:tcPr>
            <w:tcW w:w="1748" w:type="dxa"/>
            <w:tcBorders>
              <w:top w:val="single" w:sz="4" w:space="0" w:color="000000"/>
              <w:left w:val="single" w:sz="4" w:space="0" w:color="000000"/>
              <w:bottom w:val="single" w:sz="4" w:space="0" w:color="000000"/>
              <w:right w:val="single" w:sz="4" w:space="0" w:color="000000"/>
            </w:tcBorders>
          </w:tcPr>
          <w:p w14:paraId="65C394A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20% (15/74)**</w:t>
            </w:r>
          </w:p>
        </w:tc>
      </w:tr>
    </w:tbl>
    <w:p w14:paraId="65FA6C45" w14:textId="77777777" w:rsidR="00171824" w:rsidRDefault="006D258C">
      <w:pPr>
        <w:pStyle w:val="BodyText"/>
        <w:widowControl/>
        <w:tabs>
          <w:tab w:val="left" w:pos="784"/>
        </w:tabs>
        <w:kinsoku w:val="0"/>
        <w:overflowPunct w:val="0"/>
        <w:ind w:left="284" w:hanging="284"/>
        <w:rPr>
          <w:sz w:val="20"/>
          <w:szCs w:val="20"/>
          <w:lang w:val="el-GR"/>
        </w:rPr>
      </w:pPr>
      <w:r>
        <w:rPr>
          <w:sz w:val="20"/>
          <w:szCs w:val="20"/>
          <w:lang w:val="el-GR"/>
        </w:rPr>
        <w:t>*</w:t>
      </w:r>
      <w:r>
        <w:rPr>
          <w:sz w:val="20"/>
          <w:szCs w:val="20"/>
          <w:lang w:val="el-GR"/>
        </w:rPr>
        <w:tab/>
        <w:t>p &lt; 0,001 για συγκρίσεις κατά ζεύγη των ποσοστών για το adalimumab</w:t>
      </w:r>
      <w:r>
        <w:rPr>
          <w:i/>
          <w:sz w:val="20"/>
          <w:szCs w:val="20"/>
          <w:lang w:val="el-GR"/>
        </w:rPr>
        <w:t xml:space="preserve"> </w:t>
      </w:r>
      <w:r>
        <w:rPr>
          <w:i/>
          <w:iCs/>
          <w:sz w:val="20"/>
          <w:szCs w:val="20"/>
          <w:lang w:val="el-GR"/>
        </w:rPr>
        <w:t xml:space="preserve">έναντι </w:t>
      </w:r>
      <w:r>
        <w:rPr>
          <w:sz w:val="20"/>
          <w:szCs w:val="20"/>
          <w:lang w:val="el-GR"/>
        </w:rPr>
        <w:t>εικονικού φαρμάκου</w:t>
      </w:r>
    </w:p>
    <w:p w14:paraId="53187512" w14:textId="77777777" w:rsidR="00171824" w:rsidRDefault="006D258C">
      <w:pPr>
        <w:pStyle w:val="BodyText"/>
        <w:widowControl/>
        <w:tabs>
          <w:tab w:val="left" w:pos="784"/>
        </w:tabs>
        <w:kinsoku w:val="0"/>
        <w:overflowPunct w:val="0"/>
        <w:ind w:left="284" w:hanging="284"/>
        <w:rPr>
          <w:sz w:val="20"/>
          <w:szCs w:val="20"/>
          <w:lang w:val="el-GR"/>
        </w:rPr>
      </w:pPr>
      <w:r>
        <w:rPr>
          <w:sz w:val="20"/>
          <w:szCs w:val="20"/>
          <w:lang w:val="el-GR"/>
        </w:rPr>
        <w:t>**</w:t>
      </w:r>
      <w:r>
        <w:rPr>
          <w:sz w:val="20"/>
          <w:szCs w:val="20"/>
          <w:lang w:val="el-GR"/>
        </w:rPr>
        <w:tab/>
        <w:t>p &lt; 0,02 για συγκρίσεις κατά ζεύγη των ποσοστών για το adalimumab</w:t>
      </w:r>
      <w:r>
        <w:rPr>
          <w:i/>
          <w:sz w:val="20"/>
          <w:szCs w:val="20"/>
          <w:lang w:val="el-GR"/>
        </w:rPr>
        <w:t xml:space="preserve"> </w:t>
      </w:r>
      <w:r>
        <w:rPr>
          <w:i/>
          <w:iCs/>
          <w:sz w:val="20"/>
          <w:szCs w:val="20"/>
          <w:lang w:val="el-GR"/>
        </w:rPr>
        <w:t xml:space="preserve">έναντι </w:t>
      </w:r>
      <w:r>
        <w:rPr>
          <w:sz w:val="20"/>
          <w:szCs w:val="20"/>
          <w:lang w:val="el-GR"/>
        </w:rPr>
        <w:t>εικονικού φαρμάκου</w:t>
      </w:r>
    </w:p>
    <w:p w14:paraId="6C5023DB" w14:textId="77777777" w:rsidR="00171824" w:rsidRDefault="006D258C">
      <w:pPr>
        <w:pStyle w:val="BodyText"/>
        <w:widowControl/>
        <w:tabs>
          <w:tab w:val="left" w:pos="784"/>
        </w:tabs>
        <w:kinsoku w:val="0"/>
        <w:overflowPunct w:val="0"/>
        <w:ind w:left="284" w:hanging="284"/>
        <w:rPr>
          <w:sz w:val="20"/>
          <w:szCs w:val="20"/>
          <w:lang w:val="el-GR"/>
        </w:rPr>
      </w:pPr>
      <w:r>
        <w:rPr>
          <w:sz w:val="20"/>
          <w:szCs w:val="20"/>
          <w:vertAlign w:val="superscript"/>
          <w:lang w:val="el-GR"/>
        </w:rPr>
        <w:t>a</w:t>
      </w:r>
      <w:r>
        <w:rPr>
          <w:position w:val="10"/>
          <w:sz w:val="20"/>
          <w:szCs w:val="20"/>
          <w:lang w:val="el-GR"/>
        </w:rPr>
        <w:tab/>
      </w:r>
      <w:r>
        <w:rPr>
          <w:sz w:val="20"/>
          <w:szCs w:val="20"/>
          <w:lang w:val="el-GR"/>
        </w:rPr>
        <w:t>Από αυτούς οι οποίοι λάμβαναν κορτικοστεροειδή στην έναρξη της μελέτης</w:t>
      </w:r>
    </w:p>
    <w:p w14:paraId="597C6D1C" w14:textId="77777777" w:rsidR="00171824" w:rsidRDefault="00171824">
      <w:pPr>
        <w:pStyle w:val="BodyText"/>
        <w:widowControl/>
        <w:tabs>
          <w:tab w:val="left" w:pos="784"/>
        </w:tabs>
        <w:kinsoku w:val="0"/>
        <w:overflowPunct w:val="0"/>
        <w:ind w:left="0"/>
        <w:rPr>
          <w:lang w:val="el-GR"/>
        </w:rPr>
      </w:pPr>
    </w:p>
    <w:p w14:paraId="1572C263" w14:textId="77777777" w:rsidR="00171824" w:rsidRDefault="006D258C">
      <w:pPr>
        <w:pStyle w:val="BodyText"/>
        <w:widowControl/>
        <w:tabs>
          <w:tab w:val="left" w:pos="784"/>
        </w:tabs>
        <w:kinsoku w:val="0"/>
        <w:overflowPunct w:val="0"/>
        <w:ind w:left="0"/>
        <w:rPr>
          <w:lang w:val="el-GR"/>
        </w:rPr>
      </w:pPr>
      <w:r>
        <w:rPr>
          <w:lang w:val="el-GR"/>
        </w:rPr>
        <w:t>Μεταξύ των ασθενών οι οποίοι δεν ανταποκρίθηκαν στην εβδομάδα 4, το 43% των ασθενών οι οποίοι έλαβαν δόση συντήρησης adalimumab</w:t>
      </w:r>
      <w:r>
        <w:rPr>
          <w:i/>
          <w:lang w:val="el-GR"/>
        </w:rPr>
        <w:t xml:space="preserve"> </w:t>
      </w:r>
      <w:r>
        <w:rPr>
          <w:lang w:val="el-GR"/>
        </w:rPr>
        <w:t>ανταποκρίθηκαν μέχρι την εβδομάδα 12 συγκριτικά με το 30% που έλαβαν δόση συντήρησης με εικονικό φάρμακο. Αυτά τα αποτελέσματα υποδεικνύουν ότι μερικοί ασθενείς οι οποίοι δεν έχουν ανταποκριθεί μέχρι την εβδομάδα 4, ωφελούνται από τη συνέχιση της θεραπείας συντήρησης μέχρι την εβδομάδα 12. Η θεραπεία που συνεχίστηκε μετά τις 12 εβδομάδες δεν οδήγησε σε σημαντικά περισσότερες ανταποκρίσεις (βλέπε παράγραφο 4.2).</w:t>
      </w:r>
    </w:p>
    <w:p w14:paraId="6E980310" w14:textId="77777777" w:rsidR="00171824" w:rsidRDefault="00171824">
      <w:pPr>
        <w:widowControl/>
        <w:kinsoku w:val="0"/>
        <w:overflowPunct w:val="0"/>
        <w:rPr>
          <w:sz w:val="22"/>
          <w:szCs w:val="22"/>
          <w:lang w:val="el-GR"/>
        </w:rPr>
      </w:pPr>
    </w:p>
    <w:p w14:paraId="58BA785E" w14:textId="77777777" w:rsidR="00171824" w:rsidRDefault="006D258C">
      <w:pPr>
        <w:pStyle w:val="BodyText"/>
        <w:widowControl/>
        <w:kinsoku w:val="0"/>
        <w:overflowPunct w:val="0"/>
        <w:ind w:left="0"/>
        <w:rPr>
          <w:lang w:val="el-GR"/>
        </w:rPr>
      </w:pPr>
      <w:r>
        <w:rPr>
          <w:lang w:val="el-GR"/>
        </w:rPr>
        <w:t>117/276 ασθενείς από τη μελέτη CD I και 272/777 ασθενείς από μελέτες CD ΙΙ και ΙΙΙ παρακολουθήθηκαν για τουλάχιστον 3 χρόνια της θεραπείας ανοικτής επέκτασης (open-label) με adalimumab. 88 και 189 ασθενείς αντίστοιχα, συνέχισαν να είναι σε κλινική ύφεση. Κλινική ανταπόκριση (CR-100) διατηρήθηκε σε 102 και 233 ασθενείς, αντίστοιχα.</w:t>
      </w:r>
    </w:p>
    <w:p w14:paraId="04A89C39" w14:textId="77777777" w:rsidR="00171824" w:rsidRDefault="00171824">
      <w:pPr>
        <w:widowControl/>
        <w:kinsoku w:val="0"/>
        <w:overflowPunct w:val="0"/>
        <w:rPr>
          <w:sz w:val="22"/>
          <w:szCs w:val="22"/>
          <w:lang w:val="el-GR"/>
        </w:rPr>
      </w:pPr>
    </w:p>
    <w:p w14:paraId="537DE3AA" w14:textId="77777777" w:rsidR="00171824" w:rsidRDefault="006D258C">
      <w:pPr>
        <w:widowControl/>
        <w:kinsoku w:val="0"/>
        <w:overflowPunct w:val="0"/>
        <w:rPr>
          <w:sz w:val="22"/>
          <w:szCs w:val="22"/>
          <w:lang w:val="el-GR"/>
        </w:rPr>
      </w:pPr>
      <w:r>
        <w:rPr>
          <w:i/>
          <w:iCs/>
          <w:sz w:val="22"/>
          <w:szCs w:val="22"/>
          <w:u w:val="single"/>
          <w:lang w:val="el-GR"/>
        </w:rPr>
        <w:t>Ποιότητα ζωής</w:t>
      </w:r>
    </w:p>
    <w:p w14:paraId="1F93CA00" w14:textId="77777777" w:rsidR="00171824" w:rsidRDefault="00171824">
      <w:pPr>
        <w:widowControl/>
        <w:kinsoku w:val="0"/>
        <w:overflowPunct w:val="0"/>
        <w:rPr>
          <w:sz w:val="22"/>
          <w:szCs w:val="22"/>
          <w:lang w:val="el-GR"/>
        </w:rPr>
      </w:pPr>
    </w:p>
    <w:p w14:paraId="03B9224B" w14:textId="77777777" w:rsidR="00171824" w:rsidRDefault="006D258C">
      <w:pPr>
        <w:pStyle w:val="BodyText"/>
        <w:widowControl/>
        <w:kinsoku w:val="0"/>
        <w:overflowPunct w:val="0"/>
        <w:ind w:left="0"/>
        <w:rPr>
          <w:lang w:val="el-GR"/>
        </w:rPr>
      </w:pPr>
      <w:r>
        <w:rPr>
          <w:lang w:val="el-GR"/>
        </w:rPr>
        <w:t>Στις μελέτες CD Ι και CD II για τη νόσο του Crohn, επιτεύχθηκε στατιστικά σημαντική βελτίωση στη συνολική βαθμολογία του ειδικού ερωτηματολογίου για τα φλεγμονώδη νοσήματα του εντέρου (ΙΒDQ) την εβδομάδα 4 σε ασθενείς τυχαιοποιημένους σε adalimumab</w:t>
      </w:r>
      <w:r>
        <w:rPr>
          <w:i/>
          <w:lang w:val="el-GR"/>
        </w:rPr>
        <w:t xml:space="preserve"> </w:t>
      </w:r>
      <w:r>
        <w:rPr>
          <w:lang w:val="el-GR"/>
        </w:rPr>
        <w:t>80/40 mg και 160/80 mg συγκριτικά με το εικονικό φάρμακο και επίσης παρατηρήθηκε στις εβδομάδες 26 και 56 στη μελέτη CD ΙII μεταξύ των θεραπευτικών ομάδων που έλαβαν adalimumab συγκριτικά με το εικονικό φάρμακο.</w:t>
      </w:r>
    </w:p>
    <w:p w14:paraId="706544E0" w14:textId="77777777" w:rsidR="00171824" w:rsidRDefault="00171824">
      <w:pPr>
        <w:widowControl/>
        <w:kinsoku w:val="0"/>
        <w:overflowPunct w:val="0"/>
        <w:rPr>
          <w:sz w:val="22"/>
          <w:szCs w:val="22"/>
          <w:lang w:val="el-GR"/>
        </w:rPr>
      </w:pPr>
    </w:p>
    <w:p w14:paraId="781036F7" w14:textId="77777777" w:rsidR="00171824" w:rsidRDefault="006D258C">
      <w:pPr>
        <w:keepNext/>
        <w:keepLines/>
        <w:widowControl/>
        <w:kinsoku w:val="0"/>
        <w:overflowPunct w:val="0"/>
        <w:rPr>
          <w:sz w:val="22"/>
          <w:szCs w:val="22"/>
          <w:lang w:val="el-GR"/>
        </w:rPr>
      </w:pPr>
      <w:r>
        <w:rPr>
          <w:i/>
          <w:iCs/>
          <w:sz w:val="22"/>
          <w:szCs w:val="22"/>
          <w:lang w:val="el-GR"/>
        </w:rPr>
        <w:t>Ελκώδης κολίτιδα</w:t>
      </w:r>
    </w:p>
    <w:p w14:paraId="211989A9" w14:textId="77777777" w:rsidR="00171824" w:rsidRDefault="00171824">
      <w:pPr>
        <w:keepNext/>
        <w:keepLines/>
        <w:widowControl/>
        <w:kinsoku w:val="0"/>
        <w:overflowPunct w:val="0"/>
        <w:rPr>
          <w:sz w:val="22"/>
          <w:szCs w:val="22"/>
          <w:lang w:val="el-GR"/>
        </w:rPr>
      </w:pPr>
    </w:p>
    <w:p w14:paraId="6BC2C978" w14:textId="77777777" w:rsidR="00171824" w:rsidRDefault="006D258C">
      <w:pPr>
        <w:pStyle w:val="BodyText"/>
        <w:widowControl/>
        <w:kinsoku w:val="0"/>
        <w:overflowPunct w:val="0"/>
        <w:ind w:left="0"/>
        <w:rPr>
          <w:lang w:val="el-GR"/>
        </w:rPr>
      </w:pPr>
      <w:r>
        <w:rPr>
          <w:lang w:val="el-GR"/>
        </w:rPr>
        <w:t>Η ασφάλεια και αποτελεσματικότητα πολλαπλών δόσεων του adalimumab</w:t>
      </w:r>
      <w:r>
        <w:rPr>
          <w:i/>
          <w:lang w:val="el-GR"/>
        </w:rPr>
        <w:t xml:space="preserve"> </w:t>
      </w:r>
      <w:r>
        <w:rPr>
          <w:lang w:val="el-GR"/>
        </w:rPr>
        <w:t>αξιολογήθηκαν σε ενήλικες ασθενείς με μέτρια έως σοβαρή ενεργό ελκώδη κολίτιδα (βαθμολογία Mayo 6 έως 12 με υποβαθμολογία ενδοσκόπησης από 2 έως 3) σε τυχαιοποιημένες, διπλές-τυφλές, ελεγχόμενες με εικονικό φάρμακο μελέτες.</w:t>
      </w:r>
    </w:p>
    <w:p w14:paraId="2AB7FFD3" w14:textId="77777777" w:rsidR="00171824" w:rsidRDefault="00171824">
      <w:pPr>
        <w:widowControl/>
        <w:kinsoku w:val="0"/>
        <w:overflowPunct w:val="0"/>
        <w:rPr>
          <w:sz w:val="22"/>
          <w:szCs w:val="22"/>
          <w:lang w:val="el-GR"/>
        </w:rPr>
      </w:pPr>
    </w:p>
    <w:p w14:paraId="6FDE059C" w14:textId="77777777" w:rsidR="00171824" w:rsidRDefault="006D258C">
      <w:pPr>
        <w:pStyle w:val="BodyText"/>
        <w:widowControl/>
        <w:kinsoku w:val="0"/>
        <w:overflowPunct w:val="0"/>
        <w:ind w:left="0"/>
        <w:rPr>
          <w:lang w:val="el-GR"/>
        </w:rPr>
      </w:pPr>
      <w:r>
        <w:rPr>
          <w:lang w:val="el-GR"/>
        </w:rPr>
        <w:lastRenderedPageBreak/>
        <w:t>Στη μελέτη UC-I, 390 ασθενείς που δεν είχαν λάβει θεραπεία με TNF-ανταγωνιστή τυχαιοποιήθηκαν να λάβουν είτε εικονικό φάρμακο τις εβδομάδες 0 και 2, 160 mg adalimumab</w:t>
      </w:r>
      <w:r>
        <w:rPr>
          <w:i/>
          <w:lang w:val="el-GR"/>
        </w:rPr>
        <w:t xml:space="preserve"> </w:t>
      </w:r>
      <w:r>
        <w:rPr>
          <w:lang w:val="el-GR"/>
        </w:rPr>
        <w:t>την εβδομάδα 0 ακολουθούμενο από 80 mg την εβδομάδα 2, ή 80 mg adalimumab</w:t>
      </w:r>
      <w:r>
        <w:rPr>
          <w:i/>
          <w:lang w:val="el-GR"/>
        </w:rPr>
        <w:t xml:space="preserve"> </w:t>
      </w:r>
      <w:r>
        <w:rPr>
          <w:lang w:val="el-GR"/>
        </w:rPr>
        <w:t>την εβδομάδα 0 ακολουθούμενο από 40 mg την εβδομάδα 2. Μετά από την εβδομάδα 2, οι ασθενείς και στα δύο σκέλη adalimumab έλαβαν 40 mg κάθε δεύτερη εβδομάδα. Η κλινική ύφεση (οριζόμενη ως βαθμολογία Mayo ≤ 2 χωρίς υποβαθμολογία&gt; 1) εκτιμήθηκε την εβδομάδα 8.</w:t>
      </w:r>
    </w:p>
    <w:p w14:paraId="338A2836" w14:textId="77777777" w:rsidR="00171824" w:rsidRDefault="00171824">
      <w:pPr>
        <w:widowControl/>
        <w:kinsoku w:val="0"/>
        <w:overflowPunct w:val="0"/>
        <w:rPr>
          <w:sz w:val="22"/>
          <w:szCs w:val="22"/>
          <w:lang w:val="el-GR"/>
        </w:rPr>
      </w:pPr>
    </w:p>
    <w:p w14:paraId="563560E1" w14:textId="77777777" w:rsidR="00171824" w:rsidRDefault="006D258C">
      <w:pPr>
        <w:pStyle w:val="BodyText"/>
        <w:widowControl/>
        <w:kinsoku w:val="0"/>
        <w:overflowPunct w:val="0"/>
        <w:ind w:left="0"/>
        <w:rPr>
          <w:lang w:val="el-GR"/>
        </w:rPr>
      </w:pPr>
      <w:r>
        <w:rPr>
          <w:lang w:val="el-GR"/>
        </w:rPr>
        <w:t>Στη μελέτη UC-ΙΙ, 248 ασθενείς έλαβαν 160 mg adalimumab</w:t>
      </w:r>
      <w:r>
        <w:rPr>
          <w:i/>
          <w:lang w:val="el-GR"/>
        </w:rPr>
        <w:t xml:space="preserve"> </w:t>
      </w:r>
      <w:r>
        <w:rPr>
          <w:lang w:val="el-GR"/>
        </w:rPr>
        <w:t>την εβδομάδα 0, 80 mg την εβδομάδα 2 και, εν συνεχεία, 40 mg κάθε δεύτερη εβδομάδα και 246 ασθενείς έλαβαν εικονικό φάρμακο. Τα κλινικά αποτελέσματα για επαγωγή της ύφεσης αξιολογήθηκαν την εβδομάδα 8 και για τη διατήρηση της ύφεσης την εβδομάδα 52.</w:t>
      </w:r>
    </w:p>
    <w:p w14:paraId="58D27998" w14:textId="77777777" w:rsidR="00171824" w:rsidRDefault="00171824">
      <w:pPr>
        <w:widowControl/>
        <w:kinsoku w:val="0"/>
        <w:overflowPunct w:val="0"/>
        <w:rPr>
          <w:sz w:val="22"/>
          <w:szCs w:val="22"/>
          <w:lang w:val="el-GR"/>
        </w:rPr>
      </w:pPr>
    </w:p>
    <w:p w14:paraId="1D8F9E9A" w14:textId="77777777" w:rsidR="00171824" w:rsidRDefault="006D258C">
      <w:pPr>
        <w:pStyle w:val="BodyText"/>
        <w:widowControl/>
        <w:kinsoku w:val="0"/>
        <w:overflowPunct w:val="0"/>
        <w:ind w:left="0"/>
        <w:rPr>
          <w:lang w:val="el-GR"/>
        </w:rPr>
      </w:pPr>
      <w:r>
        <w:rPr>
          <w:lang w:val="el-GR"/>
        </w:rPr>
        <w:t>Ασθενείς που άρχισαν τη θεραπεία με 160/80 mg adalimumab</w:t>
      </w:r>
      <w:r>
        <w:rPr>
          <w:i/>
          <w:lang w:val="el-GR"/>
        </w:rPr>
        <w:t xml:space="preserve"> </w:t>
      </w:r>
      <w:r>
        <w:rPr>
          <w:lang w:val="el-GR"/>
        </w:rPr>
        <w:t>πέτυχαν κλινική ύφεση έναντι του εικονικού φαρμάκου την εβδομάδα 8 σε στατιστικά σημαντικά μεγαλύτερα ποσοστά στη μελέτη UC-Ι (18% έναντι 9% αντίστοιχα, p = 0,031) και τη μελέτη UC-ΙΙ (17% έναντι 9 % αντίστοιχα, p = 0,019). Στη μελέτη UC-ΙΙ, μεταξύ εκείνων που έλαβαν adalimumab</w:t>
      </w:r>
      <w:r>
        <w:rPr>
          <w:i/>
          <w:lang w:val="el-GR"/>
        </w:rPr>
        <w:t xml:space="preserve"> </w:t>
      </w:r>
      <w:r>
        <w:rPr>
          <w:lang w:val="el-GR"/>
        </w:rPr>
        <w:t>και ήταν σε ύφεση την εβδομάδα 8, 21/41 (51%) ήταν σε ύφεση την εβδομάδα 52.</w:t>
      </w:r>
    </w:p>
    <w:p w14:paraId="29C44061" w14:textId="77777777" w:rsidR="00171824" w:rsidRDefault="00171824">
      <w:pPr>
        <w:widowControl/>
        <w:kinsoku w:val="0"/>
        <w:overflowPunct w:val="0"/>
        <w:rPr>
          <w:sz w:val="22"/>
          <w:szCs w:val="22"/>
          <w:lang w:val="el-GR"/>
        </w:rPr>
      </w:pPr>
    </w:p>
    <w:p w14:paraId="68E6992F" w14:textId="77777777" w:rsidR="00171824" w:rsidRDefault="006D258C">
      <w:pPr>
        <w:pStyle w:val="BodyText"/>
        <w:widowControl/>
        <w:kinsoku w:val="0"/>
        <w:overflowPunct w:val="0"/>
        <w:ind w:left="0"/>
        <w:rPr>
          <w:lang w:val="el-GR"/>
        </w:rPr>
      </w:pPr>
      <w:r>
        <w:rPr>
          <w:lang w:val="el-GR"/>
        </w:rPr>
        <w:t>Τα αποτελέσματα από το συνολικό πληθυσμό της μελέτης UC-ΙΙ παρουσιάζονται στον πίνακα 23.</w:t>
      </w:r>
    </w:p>
    <w:p w14:paraId="718F9901" w14:textId="77777777" w:rsidR="00171824" w:rsidRDefault="00171824">
      <w:pPr>
        <w:widowControl/>
        <w:kinsoku w:val="0"/>
        <w:overflowPunct w:val="0"/>
        <w:rPr>
          <w:sz w:val="22"/>
          <w:szCs w:val="22"/>
          <w:lang w:val="el-GR"/>
        </w:rPr>
      </w:pPr>
    </w:p>
    <w:p w14:paraId="2CEDC203" w14:textId="77777777" w:rsidR="00171824" w:rsidRDefault="006D258C">
      <w:pPr>
        <w:pStyle w:val="BodyText"/>
        <w:keepNext/>
        <w:keepLines/>
        <w:widowControl/>
        <w:ind w:left="0"/>
        <w:rPr>
          <w:b/>
          <w:bCs/>
          <w:lang w:val="el-GR"/>
        </w:rPr>
      </w:pPr>
      <w:r>
        <w:rPr>
          <w:b/>
          <w:lang w:val="el-GR"/>
        </w:rPr>
        <w:t>Πίνακας 23.</w:t>
      </w:r>
      <w:r>
        <w:rPr>
          <w:b/>
          <w:bCs/>
          <w:lang w:val="el-GR"/>
        </w:rPr>
        <w:t xml:space="preserve"> Ανταπόκριση, Ύφεση και Επούλωση Βλεννογόνου στη μελέτη UC-ΙΙ (Ποσοστό Ασθενών)</w:t>
      </w:r>
    </w:p>
    <w:p w14:paraId="3838B04D" w14:textId="77777777" w:rsidR="00171824" w:rsidRDefault="00171824">
      <w:pPr>
        <w:keepNext/>
        <w:keepLines/>
        <w:widowControl/>
        <w:kinsoku w:val="0"/>
        <w:overflowPunct w:val="0"/>
        <w:rPr>
          <w:sz w:val="22"/>
          <w:szCs w:val="22"/>
          <w:lang w:val="el-GR"/>
        </w:rPr>
      </w:pPr>
    </w:p>
    <w:tbl>
      <w:tblPr>
        <w:tblW w:w="9061"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9"/>
        <w:gridCol w:w="1560"/>
        <w:gridCol w:w="2692"/>
      </w:tblGrid>
      <w:tr w:rsidR="00171824" w:rsidRPr="00422380" w14:paraId="31BD4770" w14:textId="77777777">
        <w:trPr>
          <w:trHeight w:val="236"/>
          <w:tblHeader/>
        </w:trPr>
        <w:tc>
          <w:tcPr>
            <w:tcW w:w="4809" w:type="dxa"/>
          </w:tcPr>
          <w:p w14:paraId="71D05130" w14:textId="77777777" w:rsidR="00171824" w:rsidRDefault="00171824">
            <w:pPr>
              <w:pStyle w:val="BodyText"/>
              <w:keepNext/>
              <w:keepLines/>
              <w:widowControl/>
              <w:rPr>
                <w:rFonts w:eastAsia="MS Mincho"/>
                <w:lang w:val="el-GR"/>
              </w:rPr>
            </w:pPr>
          </w:p>
        </w:tc>
        <w:tc>
          <w:tcPr>
            <w:tcW w:w="1560" w:type="dxa"/>
          </w:tcPr>
          <w:p w14:paraId="5FC788C2" w14:textId="77777777" w:rsidR="00171824" w:rsidRDefault="006D258C">
            <w:pPr>
              <w:pStyle w:val="BodyText"/>
              <w:keepNext/>
              <w:keepLines/>
              <w:widowControl/>
              <w:ind w:left="0"/>
              <w:jc w:val="center"/>
              <w:rPr>
                <w:rFonts w:eastAsia="MS Mincho"/>
                <w:lang w:val="el-GR"/>
              </w:rPr>
            </w:pPr>
            <w:r>
              <w:rPr>
                <w:rFonts w:eastAsia="MS Mincho"/>
                <w:b/>
                <w:lang w:val="el-GR"/>
              </w:rPr>
              <w:t>Εικονικό φάρμακο</w:t>
            </w:r>
          </w:p>
        </w:tc>
        <w:tc>
          <w:tcPr>
            <w:tcW w:w="2692" w:type="dxa"/>
          </w:tcPr>
          <w:p w14:paraId="04D67118" w14:textId="77777777" w:rsidR="00171824" w:rsidRDefault="006D258C">
            <w:pPr>
              <w:pStyle w:val="BodyText"/>
              <w:keepNext/>
              <w:keepLines/>
              <w:widowControl/>
              <w:ind w:left="0"/>
              <w:jc w:val="center"/>
              <w:rPr>
                <w:rFonts w:eastAsia="MS Mincho"/>
                <w:lang w:val="el-GR"/>
              </w:rPr>
            </w:pPr>
            <w:r>
              <w:rPr>
                <w:rFonts w:eastAsia="MS Mincho"/>
                <w:b/>
                <w:bCs/>
                <w:lang w:val="el-GR"/>
              </w:rPr>
              <w:t xml:space="preserve">Adalimumab </w:t>
            </w:r>
            <w:r>
              <w:rPr>
                <w:rFonts w:eastAsia="MS Mincho"/>
                <w:b/>
                <w:lang w:val="el-GR"/>
              </w:rPr>
              <w:t>40 mg κάθε δεύτερη εβδομάδα</w:t>
            </w:r>
          </w:p>
        </w:tc>
      </w:tr>
      <w:tr w:rsidR="00171824" w14:paraId="3725DC11" w14:textId="77777777">
        <w:tc>
          <w:tcPr>
            <w:tcW w:w="4809" w:type="dxa"/>
          </w:tcPr>
          <w:p w14:paraId="456A637C" w14:textId="77777777" w:rsidR="00171824" w:rsidRDefault="006D258C">
            <w:pPr>
              <w:pStyle w:val="BodyText"/>
              <w:keepNext/>
              <w:widowControl/>
              <w:ind w:left="0"/>
              <w:rPr>
                <w:rFonts w:eastAsia="MS Mincho"/>
                <w:lang w:val="el-GR"/>
              </w:rPr>
            </w:pPr>
            <w:r>
              <w:rPr>
                <w:rFonts w:eastAsia="MS Mincho"/>
                <w:lang w:val="el-GR"/>
              </w:rPr>
              <w:t>Εβδομάδα 52</w:t>
            </w:r>
          </w:p>
        </w:tc>
        <w:tc>
          <w:tcPr>
            <w:tcW w:w="1560" w:type="dxa"/>
          </w:tcPr>
          <w:p w14:paraId="1D77770C" w14:textId="77777777" w:rsidR="00171824" w:rsidRDefault="006D258C">
            <w:pPr>
              <w:pStyle w:val="BodyText"/>
              <w:widowControl/>
              <w:ind w:left="0"/>
              <w:jc w:val="center"/>
              <w:rPr>
                <w:rFonts w:eastAsia="MS Mincho"/>
                <w:lang w:val="el-GR"/>
              </w:rPr>
            </w:pPr>
            <w:r>
              <w:rPr>
                <w:rFonts w:eastAsia="MS Mincho"/>
                <w:b/>
                <w:lang w:val="el-GR"/>
              </w:rPr>
              <w:t>N = 246</w:t>
            </w:r>
          </w:p>
        </w:tc>
        <w:tc>
          <w:tcPr>
            <w:tcW w:w="2692" w:type="dxa"/>
          </w:tcPr>
          <w:p w14:paraId="0B1EC986" w14:textId="77777777" w:rsidR="00171824" w:rsidRDefault="006D258C">
            <w:pPr>
              <w:pStyle w:val="BodyText"/>
              <w:widowControl/>
              <w:ind w:left="0"/>
              <w:jc w:val="center"/>
              <w:rPr>
                <w:rFonts w:eastAsia="MS Mincho"/>
                <w:lang w:val="el-GR"/>
              </w:rPr>
            </w:pPr>
            <w:r>
              <w:rPr>
                <w:rFonts w:eastAsia="MS Mincho"/>
                <w:b/>
                <w:lang w:val="el-GR"/>
              </w:rPr>
              <w:t>N = 248</w:t>
            </w:r>
          </w:p>
        </w:tc>
      </w:tr>
      <w:tr w:rsidR="00171824" w14:paraId="7BC34EC8" w14:textId="77777777">
        <w:tc>
          <w:tcPr>
            <w:tcW w:w="4809" w:type="dxa"/>
          </w:tcPr>
          <w:p w14:paraId="42784F78" w14:textId="77777777" w:rsidR="00171824" w:rsidRDefault="006D258C">
            <w:pPr>
              <w:pStyle w:val="BodyText"/>
              <w:widowControl/>
              <w:ind w:left="0"/>
              <w:rPr>
                <w:rFonts w:eastAsia="MS Mincho"/>
                <w:lang w:val="el-GR"/>
              </w:rPr>
            </w:pPr>
            <w:r>
              <w:rPr>
                <w:rFonts w:eastAsia="MS Mincho"/>
                <w:lang w:val="el-GR"/>
              </w:rPr>
              <w:t>Κλινική ανταπόκριση</w:t>
            </w:r>
          </w:p>
        </w:tc>
        <w:tc>
          <w:tcPr>
            <w:tcW w:w="1560" w:type="dxa"/>
          </w:tcPr>
          <w:p w14:paraId="1C8D7986" w14:textId="77777777" w:rsidR="00171824" w:rsidRDefault="006D258C">
            <w:pPr>
              <w:pStyle w:val="BodyText"/>
              <w:widowControl/>
              <w:ind w:left="0"/>
              <w:jc w:val="center"/>
              <w:rPr>
                <w:rFonts w:eastAsia="MS Mincho"/>
                <w:lang w:val="el-GR"/>
              </w:rPr>
            </w:pPr>
            <w:r>
              <w:rPr>
                <w:rFonts w:eastAsia="MS Mincho"/>
                <w:lang w:val="el-GR"/>
              </w:rPr>
              <w:t>18%</w:t>
            </w:r>
          </w:p>
        </w:tc>
        <w:tc>
          <w:tcPr>
            <w:tcW w:w="2692" w:type="dxa"/>
          </w:tcPr>
          <w:p w14:paraId="7A7BD5BB" w14:textId="77777777" w:rsidR="00171824" w:rsidRDefault="006D258C">
            <w:pPr>
              <w:pStyle w:val="BodyText"/>
              <w:widowControl/>
              <w:ind w:left="0"/>
              <w:jc w:val="center"/>
              <w:rPr>
                <w:rFonts w:eastAsia="MS Mincho"/>
                <w:lang w:val="el-GR"/>
              </w:rPr>
            </w:pPr>
            <w:r>
              <w:rPr>
                <w:rFonts w:eastAsia="MS Mincho"/>
                <w:lang w:val="el-GR"/>
              </w:rPr>
              <w:t>30%*</w:t>
            </w:r>
          </w:p>
        </w:tc>
      </w:tr>
      <w:tr w:rsidR="00171824" w14:paraId="11E836A6" w14:textId="77777777">
        <w:tc>
          <w:tcPr>
            <w:tcW w:w="4809" w:type="dxa"/>
          </w:tcPr>
          <w:p w14:paraId="0EB24592" w14:textId="77777777" w:rsidR="00171824" w:rsidRDefault="006D258C">
            <w:pPr>
              <w:pStyle w:val="BodyText"/>
              <w:widowControl/>
              <w:ind w:left="0"/>
              <w:rPr>
                <w:rFonts w:eastAsia="MS Mincho"/>
                <w:lang w:val="el-GR"/>
              </w:rPr>
            </w:pPr>
            <w:r>
              <w:rPr>
                <w:rFonts w:eastAsia="MS Mincho"/>
                <w:lang w:val="el-GR"/>
              </w:rPr>
              <w:t>Κλινική ύφεση</w:t>
            </w:r>
          </w:p>
        </w:tc>
        <w:tc>
          <w:tcPr>
            <w:tcW w:w="1560" w:type="dxa"/>
          </w:tcPr>
          <w:p w14:paraId="6823AFB4" w14:textId="77777777" w:rsidR="00171824" w:rsidRDefault="006D258C">
            <w:pPr>
              <w:pStyle w:val="BodyText"/>
              <w:widowControl/>
              <w:ind w:left="0"/>
              <w:jc w:val="center"/>
              <w:rPr>
                <w:rFonts w:eastAsia="MS Mincho"/>
                <w:lang w:val="el-GR"/>
              </w:rPr>
            </w:pPr>
            <w:r>
              <w:rPr>
                <w:rFonts w:eastAsia="MS Mincho"/>
                <w:lang w:val="el-GR"/>
              </w:rPr>
              <w:t>9%</w:t>
            </w:r>
          </w:p>
        </w:tc>
        <w:tc>
          <w:tcPr>
            <w:tcW w:w="2692" w:type="dxa"/>
          </w:tcPr>
          <w:p w14:paraId="3C18790A" w14:textId="77777777" w:rsidR="00171824" w:rsidRDefault="006D258C">
            <w:pPr>
              <w:pStyle w:val="BodyText"/>
              <w:widowControl/>
              <w:ind w:left="0"/>
              <w:jc w:val="center"/>
              <w:rPr>
                <w:rFonts w:eastAsia="MS Mincho"/>
                <w:lang w:val="el-GR"/>
              </w:rPr>
            </w:pPr>
            <w:r>
              <w:rPr>
                <w:rFonts w:eastAsia="MS Mincho"/>
                <w:lang w:val="el-GR"/>
              </w:rPr>
              <w:t>17%*</w:t>
            </w:r>
          </w:p>
        </w:tc>
      </w:tr>
      <w:tr w:rsidR="00171824" w14:paraId="5E638724" w14:textId="77777777">
        <w:trPr>
          <w:trHeight w:val="106"/>
        </w:trPr>
        <w:tc>
          <w:tcPr>
            <w:tcW w:w="4809" w:type="dxa"/>
          </w:tcPr>
          <w:p w14:paraId="148532C2" w14:textId="77777777" w:rsidR="00171824" w:rsidRDefault="006D258C">
            <w:pPr>
              <w:pStyle w:val="BodyText"/>
              <w:widowControl/>
              <w:ind w:left="0"/>
              <w:rPr>
                <w:rFonts w:eastAsia="MS Mincho"/>
                <w:lang w:val="el-GR"/>
              </w:rPr>
            </w:pPr>
            <w:r>
              <w:rPr>
                <w:rFonts w:eastAsia="MS Mincho"/>
                <w:lang w:val="el-GR"/>
              </w:rPr>
              <w:t>Επούλωση Βλεννογόνου</w:t>
            </w:r>
          </w:p>
        </w:tc>
        <w:tc>
          <w:tcPr>
            <w:tcW w:w="1560" w:type="dxa"/>
          </w:tcPr>
          <w:p w14:paraId="54F8F5A5" w14:textId="77777777" w:rsidR="00171824" w:rsidRDefault="006D258C">
            <w:pPr>
              <w:pStyle w:val="BodyText"/>
              <w:widowControl/>
              <w:ind w:left="0"/>
              <w:jc w:val="center"/>
              <w:rPr>
                <w:rFonts w:eastAsia="MS Mincho"/>
                <w:lang w:val="el-GR"/>
              </w:rPr>
            </w:pPr>
            <w:r>
              <w:rPr>
                <w:rFonts w:eastAsia="MS Mincho"/>
                <w:lang w:val="el-GR"/>
              </w:rPr>
              <w:t>15%</w:t>
            </w:r>
          </w:p>
        </w:tc>
        <w:tc>
          <w:tcPr>
            <w:tcW w:w="2692" w:type="dxa"/>
          </w:tcPr>
          <w:p w14:paraId="6DF4AB7B" w14:textId="77777777" w:rsidR="00171824" w:rsidRDefault="006D258C">
            <w:pPr>
              <w:pStyle w:val="BodyText"/>
              <w:widowControl/>
              <w:ind w:left="0"/>
              <w:jc w:val="center"/>
              <w:rPr>
                <w:rFonts w:eastAsia="MS Mincho"/>
                <w:lang w:val="el-GR"/>
              </w:rPr>
            </w:pPr>
            <w:r>
              <w:rPr>
                <w:rFonts w:eastAsia="MS Mincho"/>
                <w:lang w:val="el-GR"/>
              </w:rPr>
              <w:t>25%*</w:t>
            </w:r>
          </w:p>
        </w:tc>
      </w:tr>
      <w:tr w:rsidR="00171824" w14:paraId="5324724F" w14:textId="77777777">
        <w:trPr>
          <w:trHeight w:val="548"/>
        </w:trPr>
        <w:tc>
          <w:tcPr>
            <w:tcW w:w="4809" w:type="dxa"/>
            <w:vAlign w:val="center"/>
          </w:tcPr>
          <w:p w14:paraId="2B445ADA" w14:textId="77777777" w:rsidR="00171824" w:rsidRDefault="006D258C">
            <w:pPr>
              <w:pStyle w:val="BodyText"/>
              <w:widowControl/>
              <w:ind w:left="0"/>
              <w:rPr>
                <w:rFonts w:eastAsia="MS Mincho"/>
                <w:lang w:val="el-GR"/>
              </w:rPr>
            </w:pPr>
            <w:r>
              <w:rPr>
                <w:rFonts w:eastAsia="MS Mincho"/>
                <w:lang w:val="el-GR"/>
              </w:rPr>
              <w:t xml:space="preserve">Ύφεση χωρίς Στεροειδή για ≥ 90 ημέρες </w:t>
            </w:r>
            <w:r>
              <w:rPr>
                <w:rFonts w:eastAsia="MS Mincho"/>
                <w:vertAlign w:val="superscript"/>
                <w:lang w:val="el-GR"/>
              </w:rPr>
              <w:t>a</w:t>
            </w:r>
          </w:p>
        </w:tc>
        <w:tc>
          <w:tcPr>
            <w:tcW w:w="1560" w:type="dxa"/>
          </w:tcPr>
          <w:p w14:paraId="785E30D0" w14:textId="77777777" w:rsidR="00171824" w:rsidRDefault="006D258C">
            <w:pPr>
              <w:pStyle w:val="BodyText"/>
              <w:widowControl/>
              <w:ind w:left="0"/>
              <w:jc w:val="center"/>
              <w:rPr>
                <w:rFonts w:eastAsia="MS Mincho"/>
                <w:lang w:val="el-GR"/>
              </w:rPr>
            </w:pPr>
            <w:r>
              <w:rPr>
                <w:rFonts w:eastAsia="MS Mincho"/>
                <w:lang w:val="el-GR"/>
              </w:rPr>
              <w:t>6%</w:t>
            </w:r>
          </w:p>
          <w:p w14:paraId="508390AD" w14:textId="77777777" w:rsidR="00171824" w:rsidRDefault="006D258C">
            <w:pPr>
              <w:pStyle w:val="BodyText"/>
              <w:ind w:left="0"/>
              <w:jc w:val="center"/>
              <w:rPr>
                <w:rFonts w:eastAsia="MS Mincho"/>
                <w:lang w:val="el-GR"/>
              </w:rPr>
            </w:pPr>
            <w:r>
              <w:rPr>
                <w:rFonts w:eastAsia="MS Mincho"/>
                <w:lang w:val="el-GR"/>
              </w:rPr>
              <w:t>(N = 140)</w:t>
            </w:r>
          </w:p>
        </w:tc>
        <w:tc>
          <w:tcPr>
            <w:tcW w:w="2692" w:type="dxa"/>
          </w:tcPr>
          <w:p w14:paraId="62521317" w14:textId="77777777" w:rsidR="00171824" w:rsidRDefault="006D258C">
            <w:pPr>
              <w:pStyle w:val="BodyText"/>
              <w:widowControl/>
              <w:ind w:left="0"/>
              <w:jc w:val="center"/>
              <w:rPr>
                <w:rFonts w:eastAsia="MS Mincho"/>
                <w:lang w:val="el-GR"/>
              </w:rPr>
            </w:pPr>
            <w:r>
              <w:rPr>
                <w:rFonts w:eastAsia="MS Mincho"/>
                <w:lang w:val="el-GR"/>
              </w:rPr>
              <w:t>13%*</w:t>
            </w:r>
          </w:p>
          <w:p w14:paraId="01B335D2" w14:textId="77777777" w:rsidR="00171824" w:rsidRDefault="006D258C">
            <w:pPr>
              <w:pStyle w:val="BodyText"/>
              <w:ind w:left="0"/>
              <w:jc w:val="center"/>
              <w:rPr>
                <w:rFonts w:eastAsia="MS Mincho"/>
                <w:lang w:val="el-GR"/>
              </w:rPr>
            </w:pPr>
            <w:r>
              <w:rPr>
                <w:rFonts w:eastAsia="MS Mincho"/>
                <w:lang w:val="el-GR"/>
              </w:rPr>
              <w:t>(N = 150)</w:t>
            </w:r>
          </w:p>
        </w:tc>
      </w:tr>
      <w:tr w:rsidR="00171824" w14:paraId="2C433474" w14:textId="77777777">
        <w:tc>
          <w:tcPr>
            <w:tcW w:w="4809" w:type="dxa"/>
          </w:tcPr>
          <w:p w14:paraId="3842234F" w14:textId="77777777" w:rsidR="00171824" w:rsidRDefault="006D258C">
            <w:pPr>
              <w:widowControl/>
              <w:tabs>
                <w:tab w:val="left" w:pos="3684"/>
                <w:tab w:val="left" w:pos="7961"/>
              </w:tabs>
              <w:kinsoku w:val="0"/>
              <w:overflowPunct w:val="0"/>
              <w:rPr>
                <w:rFonts w:eastAsia="MS Mincho"/>
                <w:bCs/>
                <w:sz w:val="22"/>
                <w:szCs w:val="22"/>
                <w:lang w:val="el-GR"/>
              </w:rPr>
            </w:pPr>
            <w:r>
              <w:rPr>
                <w:rFonts w:eastAsia="MS Mincho"/>
                <w:sz w:val="22"/>
                <w:szCs w:val="22"/>
                <w:lang w:val="el-GR"/>
              </w:rPr>
              <w:t>Εβδομάδα 8 και 52</w:t>
            </w:r>
          </w:p>
        </w:tc>
        <w:tc>
          <w:tcPr>
            <w:tcW w:w="1560" w:type="dxa"/>
          </w:tcPr>
          <w:p w14:paraId="5C5159AD" w14:textId="77777777" w:rsidR="00171824" w:rsidRDefault="00171824">
            <w:pPr>
              <w:widowControl/>
              <w:tabs>
                <w:tab w:val="left" w:pos="3684"/>
                <w:tab w:val="left" w:pos="7961"/>
              </w:tabs>
              <w:kinsoku w:val="0"/>
              <w:overflowPunct w:val="0"/>
              <w:jc w:val="center"/>
              <w:rPr>
                <w:rFonts w:eastAsia="MS Mincho"/>
                <w:bCs/>
                <w:sz w:val="22"/>
                <w:szCs w:val="22"/>
                <w:lang w:val="el-GR"/>
              </w:rPr>
            </w:pPr>
          </w:p>
        </w:tc>
        <w:tc>
          <w:tcPr>
            <w:tcW w:w="2692" w:type="dxa"/>
          </w:tcPr>
          <w:p w14:paraId="37EA22BB" w14:textId="77777777" w:rsidR="00171824" w:rsidRDefault="00171824">
            <w:pPr>
              <w:widowControl/>
              <w:tabs>
                <w:tab w:val="left" w:pos="3684"/>
                <w:tab w:val="left" w:pos="7961"/>
              </w:tabs>
              <w:kinsoku w:val="0"/>
              <w:overflowPunct w:val="0"/>
              <w:jc w:val="center"/>
              <w:rPr>
                <w:rFonts w:eastAsia="MS Mincho"/>
                <w:bCs/>
                <w:sz w:val="22"/>
                <w:szCs w:val="22"/>
                <w:lang w:val="el-GR"/>
              </w:rPr>
            </w:pPr>
          </w:p>
        </w:tc>
      </w:tr>
      <w:tr w:rsidR="00171824" w14:paraId="24996826" w14:textId="77777777">
        <w:tc>
          <w:tcPr>
            <w:tcW w:w="4809" w:type="dxa"/>
          </w:tcPr>
          <w:p w14:paraId="29401BC9" w14:textId="77777777" w:rsidR="00171824" w:rsidRDefault="006D258C">
            <w:pPr>
              <w:pStyle w:val="BodyText"/>
              <w:widowControl/>
              <w:ind w:left="0"/>
              <w:rPr>
                <w:rFonts w:eastAsia="MS Mincho"/>
                <w:lang w:val="el-GR"/>
              </w:rPr>
            </w:pPr>
            <w:r>
              <w:rPr>
                <w:rFonts w:eastAsia="MS Mincho"/>
                <w:lang w:val="el-GR"/>
              </w:rPr>
              <w:t>Παρατεταμένη ανταπόκριση</w:t>
            </w:r>
          </w:p>
        </w:tc>
        <w:tc>
          <w:tcPr>
            <w:tcW w:w="1560" w:type="dxa"/>
          </w:tcPr>
          <w:p w14:paraId="1B76B91A" w14:textId="77777777" w:rsidR="00171824" w:rsidRDefault="006D258C">
            <w:pPr>
              <w:pStyle w:val="BodyText"/>
              <w:widowControl/>
              <w:ind w:left="0"/>
              <w:jc w:val="center"/>
              <w:rPr>
                <w:rFonts w:eastAsia="MS Mincho"/>
                <w:lang w:val="el-GR"/>
              </w:rPr>
            </w:pPr>
            <w:r>
              <w:rPr>
                <w:rFonts w:eastAsia="MS Mincho"/>
                <w:lang w:val="el-GR"/>
              </w:rPr>
              <w:t>12%</w:t>
            </w:r>
          </w:p>
        </w:tc>
        <w:tc>
          <w:tcPr>
            <w:tcW w:w="2692" w:type="dxa"/>
          </w:tcPr>
          <w:p w14:paraId="34A7CE12" w14:textId="77777777" w:rsidR="00171824" w:rsidRDefault="006D258C">
            <w:pPr>
              <w:pStyle w:val="BodyText"/>
              <w:widowControl/>
              <w:ind w:left="0"/>
              <w:jc w:val="center"/>
              <w:rPr>
                <w:rFonts w:eastAsia="MS Mincho"/>
                <w:lang w:val="el-GR"/>
              </w:rPr>
            </w:pPr>
            <w:r>
              <w:rPr>
                <w:rFonts w:eastAsia="MS Mincho"/>
                <w:lang w:val="el-GR"/>
              </w:rPr>
              <w:t>24%**</w:t>
            </w:r>
          </w:p>
        </w:tc>
      </w:tr>
      <w:tr w:rsidR="00171824" w14:paraId="4B236E4D" w14:textId="77777777">
        <w:tc>
          <w:tcPr>
            <w:tcW w:w="4809" w:type="dxa"/>
          </w:tcPr>
          <w:p w14:paraId="2C3D4AF4" w14:textId="77777777" w:rsidR="00171824" w:rsidRDefault="006D258C">
            <w:pPr>
              <w:pStyle w:val="BodyText"/>
              <w:widowControl/>
              <w:ind w:left="0"/>
              <w:rPr>
                <w:rFonts w:eastAsia="MS Mincho"/>
                <w:lang w:val="el-GR"/>
              </w:rPr>
            </w:pPr>
            <w:r>
              <w:rPr>
                <w:rFonts w:eastAsia="MS Mincho"/>
                <w:lang w:val="el-GR"/>
              </w:rPr>
              <w:t>Παρατεταμένη ύφεση</w:t>
            </w:r>
          </w:p>
        </w:tc>
        <w:tc>
          <w:tcPr>
            <w:tcW w:w="1560" w:type="dxa"/>
          </w:tcPr>
          <w:p w14:paraId="4671419D" w14:textId="77777777" w:rsidR="00171824" w:rsidRDefault="006D258C">
            <w:pPr>
              <w:pStyle w:val="BodyText"/>
              <w:widowControl/>
              <w:ind w:left="0"/>
              <w:jc w:val="center"/>
              <w:rPr>
                <w:rFonts w:eastAsia="MS Mincho"/>
                <w:lang w:val="el-GR"/>
              </w:rPr>
            </w:pPr>
            <w:r>
              <w:rPr>
                <w:rFonts w:eastAsia="MS Mincho"/>
                <w:lang w:val="el-GR"/>
              </w:rPr>
              <w:t>4%</w:t>
            </w:r>
          </w:p>
        </w:tc>
        <w:tc>
          <w:tcPr>
            <w:tcW w:w="2692" w:type="dxa"/>
          </w:tcPr>
          <w:p w14:paraId="01EF0F1D" w14:textId="77777777" w:rsidR="00171824" w:rsidRDefault="006D258C">
            <w:pPr>
              <w:pStyle w:val="BodyText"/>
              <w:widowControl/>
              <w:ind w:left="0"/>
              <w:jc w:val="center"/>
              <w:rPr>
                <w:rFonts w:eastAsia="MS Mincho"/>
                <w:lang w:val="el-GR"/>
              </w:rPr>
            </w:pPr>
            <w:r>
              <w:rPr>
                <w:rFonts w:eastAsia="MS Mincho"/>
                <w:lang w:val="el-GR"/>
              </w:rPr>
              <w:t>8%*</w:t>
            </w:r>
          </w:p>
        </w:tc>
      </w:tr>
      <w:tr w:rsidR="00171824" w14:paraId="629E964B" w14:textId="77777777">
        <w:tc>
          <w:tcPr>
            <w:tcW w:w="4809" w:type="dxa"/>
          </w:tcPr>
          <w:p w14:paraId="294B649B" w14:textId="77777777" w:rsidR="00171824" w:rsidRDefault="006D258C">
            <w:pPr>
              <w:pStyle w:val="BodyText"/>
              <w:widowControl/>
              <w:ind w:left="0"/>
              <w:rPr>
                <w:rFonts w:eastAsia="MS Mincho"/>
                <w:lang w:val="el-GR"/>
              </w:rPr>
            </w:pPr>
            <w:r>
              <w:rPr>
                <w:rFonts w:eastAsia="MS Mincho"/>
                <w:lang w:val="el-GR"/>
              </w:rPr>
              <w:t>Παρατεταμένη Επούλωση Βλεννογόνου</w:t>
            </w:r>
          </w:p>
        </w:tc>
        <w:tc>
          <w:tcPr>
            <w:tcW w:w="1560" w:type="dxa"/>
          </w:tcPr>
          <w:p w14:paraId="4C5F569D" w14:textId="77777777" w:rsidR="00171824" w:rsidRDefault="006D258C">
            <w:pPr>
              <w:pStyle w:val="BodyText"/>
              <w:widowControl/>
              <w:ind w:left="0"/>
              <w:jc w:val="center"/>
              <w:rPr>
                <w:rFonts w:eastAsia="MS Mincho"/>
                <w:lang w:val="el-GR"/>
              </w:rPr>
            </w:pPr>
            <w:r>
              <w:rPr>
                <w:rFonts w:eastAsia="MS Mincho"/>
                <w:lang w:val="el-GR"/>
              </w:rPr>
              <w:t>11%</w:t>
            </w:r>
          </w:p>
        </w:tc>
        <w:tc>
          <w:tcPr>
            <w:tcW w:w="2692" w:type="dxa"/>
          </w:tcPr>
          <w:p w14:paraId="008AA9BE" w14:textId="77777777" w:rsidR="00171824" w:rsidRDefault="006D258C">
            <w:pPr>
              <w:pStyle w:val="BodyText"/>
              <w:widowControl/>
              <w:ind w:left="0"/>
              <w:jc w:val="center"/>
              <w:rPr>
                <w:rFonts w:eastAsia="MS Mincho"/>
                <w:lang w:val="el-GR"/>
              </w:rPr>
            </w:pPr>
            <w:r>
              <w:rPr>
                <w:rFonts w:eastAsia="MS Mincho"/>
                <w:lang w:val="el-GR"/>
              </w:rPr>
              <w:t>19%*</w:t>
            </w:r>
          </w:p>
        </w:tc>
      </w:tr>
    </w:tbl>
    <w:p w14:paraId="78F8A4E5" w14:textId="77777777" w:rsidR="00171824" w:rsidRDefault="006D258C">
      <w:pPr>
        <w:pStyle w:val="BodyText"/>
        <w:widowControl/>
        <w:tabs>
          <w:tab w:val="left" w:pos="5710"/>
          <w:tab w:val="left" w:pos="7267"/>
        </w:tabs>
        <w:kinsoku w:val="0"/>
        <w:overflowPunct w:val="0"/>
        <w:ind w:left="0" w:right="1482"/>
        <w:rPr>
          <w:sz w:val="20"/>
          <w:szCs w:val="20"/>
          <w:lang w:val="el-GR"/>
        </w:rPr>
      </w:pPr>
      <w:r>
        <w:rPr>
          <w:sz w:val="20"/>
          <w:szCs w:val="20"/>
          <w:lang w:val="el-GR"/>
        </w:rPr>
        <w:t>Κλινική ύφεση είναι η βαθμολογία Mayo ≤ 2 χωρίς υποβαθμολογία&gt; 1.</w:t>
      </w:r>
    </w:p>
    <w:p w14:paraId="75DACED6" w14:textId="77777777" w:rsidR="00171824" w:rsidRDefault="006D258C">
      <w:pPr>
        <w:pStyle w:val="BodyText"/>
        <w:widowControl/>
        <w:tabs>
          <w:tab w:val="left" w:pos="8931"/>
        </w:tabs>
        <w:kinsoku w:val="0"/>
        <w:overflowPunct w:val="0"/>
        <w:ind w:left="0"/>
        <w:rPr>
          <w:sz w:val="20"/>
          <w:szCs w:val="20"/>
          <w:lang w:val="el-GR"/>
        </w:rPr>
      </w:pPr>
      <w:r>
        <w:rPr>
          <w:sz w:val="20"/>
          <w:szCs w:val="20"/>
          <w:lang w:val="el-GR"/>
        </w:rPr>
        <w:t>Κλινική ανταπόκριση είναι η μείωση, από την αρχική τιμή, της βαθμολογίας Mayo κατά</w:t>
      </w:r>
    </w:p>
    <w:p w14:paraId="663DEC70" w14:textId="77777777" w:rsidR="00171824" w:rsidRDefault="006D258C">
      <w:pPr>
        <w:pStyle w:val="BodyText"/>
        <w:widowControl/>
        <w:tabs>
          <w:tab w:val="left" w:pos="8931"/>
        </w:tabs>
        <w:kinsoku w:val="0"/>
        <w:overflowPunct w:val="0"/>
        <w:ind w:left="0"/>
        <w:rPr>
          <w:sz w:val="20"/>
          <w:szCs w:val="20"/>
          <w:lang w:val="el-GR"/>
        </w:rPr>
      </w:pPr>
      <w:r>
        <w:rPr>
          <w:sz w:val="20"/>
          <w:szCs w:val="20"/>
          <w:lang w:val="el-GR"/>
        </w:rPr>
        <w:t>≥ 3 πόντους και ≥ 30%, συνοδευόμενη από μία μείωση της υποβαθμολογίας ορθικής</w:t>
      </w:r>
    </w:p>
    <w:p w14:paraId="70A478E6" w14:textId="77777777" w:rsidR="00171824" w:rsidRDefault="006D258C">
      <w:pPr>
        <w:pStyle w:val="BodyText"/>
        <w:widowControl/>
        <w:tabs>
          <w:tab w:val="left" w:pos="8931"/>
        </w:tabs>
        <w:kinsoku w:val="0"/>
        <w:overflowPunct w:val="0"/>
        <w:ind w:left="0"/>
        <w:rPr>
          <w:sz w:val="20"/>
          <w:szCs w:val="20"/>
          <w:lang w:val="el-GR"/>
        </w:rPr>
      </w:pPr>
      <w:r>
        <w:rPr>
          <w:sz w:val="20"/>
          <w:szCs w:val="20"/>
          <w:lang w:val="el-GR"/>
        </w:rPr>
        <w:t>αιμορραγίας [RBS] κατά ≥ 1 ή από μια απόλυτη RBS 0 ή 1.</w:t>
      </w:r>
    </w:p>
    <w:p w14:paraId="70BF0531" w14:textId="77777777" w:rsidR="00171824" w:rsidRDefault="006D258C">
      <w:pPr>
        <w:pStyle w:val="BodyText"/>
        <w:widowControl/>
        <w:tabs>
          <w:tab w:val="left" w:pos="970"/>
        </w:tabs>
        <w:kinsoku w:val="0"/>
        <w:overflowPunct w:val="0"/>
        <w:ind w:left="284" w:right="1268" w:hanging="284"/>
        <w:rPr>
          <w:sz w:val="20"/>
          <w:szCs w:val="20"/>
          <w:lang w:val="el-GR"/>
        </w:rPr>
      </w:pPr>
      <w:r>
        <w:rPr>
          <w:sz w:val="20"/>
          <w:szCs w:val="20"/>
          <w:lang w:val="el-GR"/>
        </w:rPr>
        <w:t>*</w:t>
      </w:r>
      <w:r>
        <w:rPr>
          <w:position w:val="11"/>
          <w:sz w:val="20"/>
          <w:szCs w:val="20"/>
          <w:lang w:val="el-GR"/>
        </w:rPr>
        <w:tab/>
      </w:r>
      <w:r>
        <w:rPr>
          <w:sz w:val="20"/>
          <w:szCs w:val="20"/>
          <w:lang w:val="el-GR"/>
        </w:rPr>
        <w:t>p &lt; 0,05 για το adalimumab</w:t>
      </w:r>
      <w:r>
        <w:rPr>
          <w:i/>
          <w:iCs/>
          <w:sz w:val="20"/>
          <w:szCs w:val="20"/>
          <w:lang w:val="el-GR"/>
        </w:rPr>
        <w:t xml:space="preserve"> </w:t>
      </w:r>
      <w:r>
        <w:rPr>
          <w:sz w:val="20"/>
          <w:szCs w:val="20"/>
          <w:lang w:val="el-GR"/>
        </w:rPr>
        <w:t>έναντι του εικονικού φαρμάκου σχετικά με τη σύγκριση αναλογιών σε ζεύγη</w:t>
      </w:r>
    </w:p>
    <w:p w14:paraId="6B370988" w14:textId="77777777" w:rsidR="00171824" w:rsidRDefault="006D258C">
      <w:pPr>
        <w:pStyle w:val="BodyText"/>
        <w:widowControl/>
        <w:kinsoku w:val="0"/>
        <w:overflowPunct w:val="0"/>
        <w:ind w:left="284" w:right="276" w:hanging="284"/>
        <w:rPr>
          <w:sz w:val="20"/>
          <w:szCs w:val="20"/>
          <w:lang w:val="el-GR"/>
        </w:rPr>
      </w:pPr>
      <w:r>
        <w:rPr>
          <w:sz w:val="20"/>
          <w:szCs w:val="20"/>
          <w:lang w:val="el-GR"/>
        </w:rPr>
        <w:t>** p &lt; 0,001 για το adalimumab</w:t>
      </w:r>
      <w:r>
        <w:rPr>
          <w:i/>
          <w:iCs/>
          <w:sz w:val="20"/>
          <w:szCs w:val="20"/>
          <w:lang w:val="el-GR"/>
        </w:rPr>
        <w:t xml:space="preserve"> </w:t>
      </w:r>
      <w:r>
        <w:rPr>
          <w:sz w:val="20"/>
          <w:szCs w:val="20"/>
          <w:lang w:val="el-GR"/>
        </w:rPr>
        <w:t>έναντι του εικονικού φαρμάκου σχετικά με τη σύγκριση αναλογιών σε ζεύγη</w:t>
      </w:r>
    </w:p>
    <w:p w14:paraId="3975936D" w14:textId="77777777" w:rsidR="00171824" w:rsidRDefault="006D258C">
      <w:pPr>
        <w:pStyle w:val="BodyText"/>
        <w:widowControl/>
        <w:tabs>
          <w:tab w:val="left" w:pos="970"/>
        </w:tabs>
        <w:kinsoku w:val="0"/>
        <w:overflowPunct w:val="0"/>
        <w:ind w:left="284" w:right="1268" w:hanging="284"/>
        <w:rPr>
          <w:sz w:val="20"/>
          <w:szCs w:val="20"/>
          <w:lang w:val="el-GR"/>
        </w:rPr>
      </w:pPr>
      <w:r>
        <w:rPr>
          <w:position w:val="10"/>
          <w:sz w:val="20"/>
          <w:szCs w:val="20"/>
          <w:lang w:val="el-GR"/>
        </w:rPr>
        <w:t>a</w:t>
      </w:r>
      <w:r>
        <w:rPr>
          <w:position w:val="10"/>
          <w:sz w:val="20"/>
          <w:szCs w:val="20"/>
          <w:lang w:val="el-GR"/>
        </w:rPr>
        <w:tab/>
      </w:r>
      <w:r>
        <w:rPr>
          <w:sz w:val="20"/>
          <w:szCs w:val="20"/>
          <w:lang w:val="el-GR"/>
        </w:rPr>
        <w:t>Από εκείνους που λαμβάνουν κορτικοστεροειδή στην έναρξη της θεραπείας</w:t>
      </w:r>
    </w:p>
    <w:p w14:paraId="6EA5A186" w14:textId="77777777" w:rsidR="00171824" w:rsidRDefault="00171824">
      <w:pPr>
        <w:widowControl/>
        <w:kinsoku w:val="0"/>
        <w:overflowPunct w:val="0"/>
        <w:rPr>
          <w:sz w:val="22"/>
          <w:szCs w:val="22"/>
          <w:lang w:val="el-GR"/>
        </w:rPr>
      </w:pPr>
    </w:p>
    <w:p w14:paraId="63328538" w14:textId="77777777" w:rsidR="00171824" w:rsidRDefault="006D258C">
      <w:pPr>
        <w:pStyle w:val="BodyText"/>
        <w:widowControl/>
        <w:kinsoku w:val="0"/>
        <w:overflowPunct w:val="0"/>
        <w:ind w:left="0"/>
        <w:rPr>
          <w:lang w:val="el-GR"/>
        </w:rPr>
      </w:pPr>
      <w:r>
        <w:rPr>
          <w:lang w:val="el-GR"/>
        </w:rPr>
        <w:t xml:space="preserve">Από εκείνους τους ασθενείς που εμφάνισαν ανταπόκριση την εβδομάδα 8, το 47% βρισκόταν σε κατάσταση ανταπόκρισης, το 29% ήταν σε ύφεση, το 41% είχε επούλωση του βλεννογόνου, και το 20% ήταν σε ελεύθερη στεροειδών ύφεση για ≥ 90 ημέρες την εβδομάδα 52. </w:t>
      </w:r>
    </w:p>
    <w:p w14:paraId="242D92C8" w14:textId="77777777" w:rsidR="00171824" w:rsidRDefault="00171824">
      <w:pPr>
        <w:pStyle w:val="BodyText"/>
        <w:widowControl/>
        <w:kinsoku w:val="0"/>
        <w:overflowPunct w:val="0"/>
        <w:ind w:left="0"/>
        <w:rPr>
          <w:lang w:val="el-GR"/>
        </w:rPr>
      </w:pPr>
    </w:p>
    <w:p w14:paraId="0364C98B" w14:textId="77777777" w:rsidR="00171824" w:rsidRDefault="006D258C">
      <w:pPr>
        <w:pStyle w:val="BodyText"/>
        <w:widowControl/>
        <w:kinsoku w:val="0"/>
        <w:overflowPunct w:val="0"/>
        <w:ind w:left="0"/>
        <w:rPr>
          <w:lang w:val="el-GR"/>
        </w:rPr>
      </w:pPr>
      <w:r>
        <w:rPr>
          <w:lang w:val="el-GR"/>
        </w:rPr>
        <w:t>Περίπου το 40% των ασθενών στη μελέτη UC-ΙΙ είχαν αποτύχει σε προηγούμενη αντι-TNF θεραπεία με infliximab. Η αποτελεσματικότητα του adalimumab σε αυτούς τους ασθενείς ήταν μειωμένη συγκριτικά με τους ασθενείς που δεν είχαν λάβει προηγουμένως αντι-TNF θεραπεία. Μεταξύ των ασθενών που είχαν αποτύχει σε προηγούμενη αντι-TNF θεραπεία, η ύφεση την εβδομάδα 52 επιτεύχθηκε στο 3% για το εικονικό φάρμακο και στο 10% για το adalimumab.</w:t>
      </w:r>
    </w:p>
    <w:p w14:paraId="4C948687" w14:textId="77777777" w:rsidR="00171824" w:rsidRDefault="00171824">
      <w:pPr>
        <w:widowControl/>
        <w:kinsoku w:val="0"/>
        <w:overflowPunct w:val="0"/>
        <w:rPr>
          <w:sz w:val="22"/>
          <w:szCs w:val="22"/>
          <w:lang w:val="el-GR"/>
        </w:rPr>
      </w:pPr>
    </w:p>
    <w:p w14:paraId="78F9C93F" w14:textId="77777777" w:rsidR="00171824" w:rsidRDefault="006D258C">
      <w:pPr>
        <w:pStyle w:val="BodyText"/>
        <w:widowControl/>
        <w:kinsoku w:val="0"/>
        <w:overflowPunct w:val="0"/>
        <w:ind w:left="0"/>
        <w:rPr>
          <w:lang w:val="el-GR"/>
        </w:rPr>
      </w:pPr>
      <w:r>
        <w:rPr>
          <w:lang w:val="el-GR"/>
        </w:rPr>
        <w:lastRenderedPageBreak/>
        <w:t>Ασθενείς από τις μελέτες UC-Ι και UC-ΙΙ είχαν τη δυνατότητα να μεταβούν σε μια ανοικτή μακροχρόνια μελέτη επέκτασης (UC-ΙΙΙ). Μετά από 3 χρόνια θεραπείας με adalimumab, το 75% (301/402) συνέχισε να βρίσκεται σε κλινική ύφεση κατά την επιμέρους βαθμολογία Mayo.</w:t>
      </w:r>
    </w:p>
    <w:p w14:paraId="21AA7EC8" w14:textId="77777777" w:rsidR="00171824" w:rsidRDefault="00171824">
      <w:pPr>
        <w:widowControl/>
        <w:kinsoku w:val="0"/>
        <w:overflowPunct w:val="0"/>
        <w:rPr>
          <w:sz w:val="22"/>
          <w:szCs w:val="22"/>
          <w:lang w:val="el-GR"/>
        </w:rPr>
      </w:pPr>
    </w:p>
    <w:p w14:paraId="24CE931A" w14:textId="77777777" w:rsidR="00171824" w:rsidRDefault="006D258C">
      <w:pPr>
        <w:widowControl/>
        <w:kinsoku w:val="0"/>
        <w:overflowPunct w:val="0"/>
        <w:rPr>
          <w:sz w:val="22"/>
          <w:szCs w:val="22"/>
          <w:lang w:val="el-GR"/>
        </w:rPr>
      </w:pPr>
      <w:r>
        <w:rPr>
          <w:i/>
          <w:iCs/>
          <w:sz w:val="22"/>
          <w:szCs w:val="22"/>
          <w:u w:val="single"/>
          <w:lang w:val="el-GR"/>
        </w:rPr>
        <w:t>Ποσοστά νοσηλειών</w:t>
      </w:r>
    </w:p>
    <w:p w14:paraId="23EE1B1F" w14:textId="77777777" w:rsidR="00171824" w:rsidRDefault="00171824">
      <w:pPr>
        <w:widowControl/>
        <w:kinsoku w:val="0"/>
        <w:overflowPunct w:val="0"/>
        <w:rPr>
          <w:sz w:val="22"/>
          <w:szCs w:val="22"/>
          <w:lang w:val="el-GR"/>
        </w:rPr>
      </w:pPr>
    </w:p>
    <w:p w14:paraId="00934377" w14:textId="77777777" w:rsidR="00171824" w:rsidRDefault="006D258C">
      <w:pPr>
        <w:pStyle w:val="BodyText"/>
        <w:widowControl/>
        <w:kinsoku w:val="0"/>
        <w:overflowPunct w:val="0"/>
        <w:ind w:left="0"/>
        <w:rPr>
          <w:lang w:val="el-GR"/>
        </w:rPr>
      </w:pPr>
      <w:r>
        <w:rPr>
          <w:lang w:val="el-GR"/>
        </w:rPr>
        <w:t>Κατά τη διάρκεια των 52 εβδομάδων των μελετών UC-I και UC-II, παρατηρήθηκαν χαμηλότερα ποσοστά νοσηλειών από όλα τα αίτια και από αίτια σχετιζόμενα με UC για το σκέλος θεραπείας με adalimumab σε σύγκριση με το σκέλος θεραπείας με εικονικό φάρμακο. Ο αριθμός των νοσηλειών από όλα τα αίτια στην ομάδα θεραπείας με adalimumab ήταν 0,18 ανά έτος ασθενή έναντι 0,26 ανά έτος ασθενή στην ομάδα του εικονικού φαρμάκου και οι αντίστοιχοι αριθμοί για τις UC-σχετιζόμενες νοσηλείες ήταν 0,12 ανά έτος ασθενή έναντι 0,22 ανά έτος ασθενή.</w:t>
      </w:r>
    </w:p>
    <w:p w14:paraId="2C8FDF7C" w14:textId="77777777" w:rsidR="00171824" w:rsidRDefault="00171824">
      <w:pPr>
        <w:widowControl/>
        <w:kinsoku w:val="0"/>
        <w:overflowPunct w:val="0"/>
        <w:rPr>
          <w:sz w:val="22"/>
          <w:szCs w:val="22"/>
          <w:lang w:val="el-GR"/>
        </w:rPr>
      </w:pPr>
    </w:p>
    <w:p w14:paraId="267D54D1" w14:textId="77777777" w:rsidR="00171824" w:rsidRDefault="006D258C">
      <w:pPr>
        <w:keepNext/>
        <w:widowControl/>
        <w:kinsoku w:val="0"/>
        <w:overflowPunct w:val="0"/>
        <w:rPr>
          <w:sz w:val="22"/>
          <w:szCs w:val="22"/>
          <w:lang w:val="el-GR"/>
        </w:rPr>
      </w:pPr>
      <w:r>
        <w:rPr>
          <w:i/>
          <w:iCs/>
          <w:sz w:val="22"/>
          <w:szCs w:val="22"/>
          <w:u w:val="single"/>
          <w:lang w:val="el-GR"/>
        </w:rPr>
        <w:t>Ποιότητα ζωής</w:t>
      </w:r>
    </w:p>
    <w:p w14:paraId="312BA0D1" w14:textId="77777777" w:rsidR="00171824" w:rsidRDefault="00171824">
      <w:pPr>
        <w:keepNext/>
        <w:widowControl/>
        <w:kinsoku w:val="0"/>
        <w:overflowPunct w:val="0"/>
        <w:rPr>
          <w:sz w:val="22"/>
          <w:szCs w:val="22"/>
          <w:lang w:val="el-GR"/>
        </w:rPr>
      </w:pPr>
    </w:p>
    <w:p w14:paraId="71C54DAC" w14:textId="77777777" w:rsidR="00171824" w:rsidRDefault="006D258C">
      <w:pPr>
        <w:pStyle w:val="BodyText"/>
        <w:keepNext/>
        <w:widowControl/>
        <w:kinsoku w:val="0"/>
        <w:overflowPunct w:val="0"/>
        <w:ind w:left="0"/>
        <w:rPr>
          <w:lang w:val="el-GR"/>
        </w:rPr>
      </w:pPr>
      <w:r>
        <w:rPr>
          <w:lang w:val="el-GR"/>
        </w:rPr>
        <w:t>Στη μελέτη UC-ΙΙ, η θεραπεία με adalimumab οδήγησε σε βελτίωση της βαθμολογίας στο Ερωτηματολόγιο για τη Φλεγμονώδη Νόσο του Εντέρου (IBDQ).</w:t>
      </w:r>
    </w:p>
    <w:p w14:paraId="3941BC94" w14:textId="77777777" w:rsidR="00171824" w:rsidRDefault="00171824">
      <w:pPr>
        <w:widowControl/>
        <w:kinsoku w:val="0"/>
        <w:overflowPunct w:val="0"/>
        <w:rPr>
          <w:sz w:val="22"/>
          <w:szCs w:val="22"/>
          <w:lang w:val="el-GR"/>
        </w:rPr>
      </w:pPr>
    </w:p>
    <w:p w14:paraId="29EC4A04" w14:textId="77777777" w:rsidR="00171824" w:rsidRDefault="006D258C">
      <w:pPr>
        <w:keepNext/>
        <w:widowControl/>
        <w:kinsoku w:val="0"/>
        <w:overflowPunct w:val="0"/>
        <w:rPr>
          <w:sz w:val="22"/>
          <w:szCs w:val="22"/>
          <w:lang w:val="el-GR"/>
        </w:rPr>
      </w:pPr>
      <w:r>
        <w:rPr>
          <w:i/>
          <w:iCs/>
          <w:sz w:val="22"/>
          <w:szCs w:val="22"/>
          <w:lang w:val="el-GR"/>
        </w:rPr>
        <w:t>Ραγοειδίτιδα</w:t>
      </w:r>
    </w:p>
    <w:p w14:paraId="68E04388" w14:textId="77777777" w:rsidR="00171824" w:rsidRDefault="00171824">
      <w:pPr>
        <w:keepNext/>
        <w:widowControl/>
        <w:kinsoku w:val="0"/>
        <w:overflowPunct w:val="0"/>
        <w:rPr>
          <w:sz w:val="22"/>
          <w:szCs w:val="22"/>
          <w:lang w:val="el-GR"/>
        </w:rPr>
      </w:pPr>
    </w:p>
    <w:p w14:paraId="7E8BAE91" w14:textId="77777777" w:rsidR="00171824" w:rsidRDefault="006D258C">
      <w:pPr>
        <w:pStyle w:val="BodyText"/>
        <w:widowControl/>
        <w:kinsoku w:val="0"/>
        <w:overflowPunct w:val="0"/>
        <w:ind w:left="0"/>
        <w:rPr>
          <w:lang w:val="el-GR"/>
        </w:rPr>
      </w:pPr>
      <w:r>
        <w:rPr>
          <w:lang w:val="el-GR"/>
        </w:rPr>
        <w:t>Η ασφάλεια και η αποτελεσματικότητα του adalimumab αξιολογήθηκαν σε ενήλικες ασθενείς με μη</w:t>
      </w:r>
      <w:r>
        <w:rPr>
          <w:lang w:val="el-GR"/>
        </w:rPr>
        <w:noBreakHyphen/>
        <w:t>λοιμώδη ενδιάμεση, οπίσθια, και πανραγοειδίτιδα, με εξαίρεση τους ασθενείς με μεμονωμένη πρόσθια ραγοειδίτιδα, σε δύο τυχαιοποιημένες, διπλά τυφλές, ελεγχόμενες με εικονικό φάρμακο μελέτες (UV Ι και ΙΙ). Οι ασθενείς έλαβαν εικονικό φάρμακο ή adalimumab σε αρχική δόση 80 mg, ακολουθούμενη από 40 mg κάθε δεύτερη εβδομάδα, αρχίζοντας μία εβδομάδα μετά την αρχική δόση. Επιτρέπονταν ταυτόχρονες σταθερές δόσεις ενός μη-βιολογικού ανοσοκατασταλτικού.</w:t>
      </w:r>
    </w:p>
    <w:p w14:paraId="4FB4DBAC" w14:textId="77777777" w:rsidR="00171824" w:rsidRDefault="00171824">
      <w:pPr>
        <w:widowControl/>
        <w:kinsoku w:val="0"/>
        <w:overflowPunct w:val="0"/>
        <w:rPr>
          <w:sz w:val="22"/>
          <w:szCs w:val="22"/>
          <w:lang w:val="el-GR"/>
        </w:rPr>
      </w:pPr>
    </w:p>
    <w:p w14:paraId="685C3E02" w14:textId="77777777" w:rsidR="00171824" w:rsidRDefault="006D258C">
      <w:pPr>
        <w:pStyle w:val="BodyText"/>
        <w:widowControl/>
        <w:kinsoku w:val="0"/>
        <w:overflowPunct w:val="0"/>
        <w:ind w:left="0"/>
        <w:rPr>
          <w:lang w:val="el-GR"/>
        </w:rPr>
      </w:pPr>
      <w:r>
        <w:rPr>
          <w:lang w:val="el-GR"/>
        </w:rPr>
        <w:t>Η Μελέτη UV Ι αξιολόγησε 217 ασθενείς με ενεργό ραγοειδίτιδα παρά τη θεραπεία με κορτικοστεροειδή (από στόματος πρεδνιζόνη σε δόση 10 έως 60 mg/ημέρα). Όλοι οι ασθενείς έλαβαν για 2 εβδομάδες τυποποιημένη δόση πρεδνιζόνης 60 mg/ημέρα κατά την έναρξη της μελέτης ακολουθούμενη από ένα υποχρεωτικό πρόγραμμα σταδιακής μείωσης, με πλήρη διακοπή των κορτικοστεροειδών μέχρι την εβδομάδα 15.</w:t>
      </w:r>
    </w:p>
    <w:p w14:paraId="35C3BB7A" w14:textId="77777777" w:rsidR="00171824" w:rsidRDefault="00171824">
      <w:pPr>
        <w:widowControl/>
        <w:kinsoku w:val="0"/>
        <w:overflowPunct w:val="0"/>
        <w:rPr>
          <w:sz w:val="22"/>
          <w:szCs w:val="22"/>
          <w:lang w:val="el-GR"/>
        </w:rPr>
      </w:pPr>
    </w:p>
    <w:p w14:paraId="30FC0E9D" w14:textId="77777777" w:rsidR="00171824" w:rsidRDefault="006D258C">
      <w:pPr>
        <w:pStyle w:val="BodyText"/>
        <w:widowControl/>
        <w:kinsoku w:val="0"/>
        <w:overflowPunct w:val="0"/>
        <w:ind w:left="0"/>
        <w:rPr>
          <w:lang w:val="el-GR"/>
        </w:rPr>
      </w:pPr>
      <w:r>
        <w:rPr>
          <w:lang w:val="el-GR"/>
        </w:rPr>
        <w:t>Η Μελέτη UV ΙΙ αξιολόγησε 226 ασθενείς με ανενεργό ραγοειδίτιδα που απαιτούν χρόνια θεραπεία με κορτικοστεροειδή (10</w:t>
      </w:r>
      <w:r>
        <w:rPr>
          <w:lang w:val="el-GR"/>
        </w:rPr>
        <w:noBreakHyphen/>
        <w:t>35 mg/ημέρα από στόματος πρεδνιζόνη) κατά την έναρξη για τον έλεγχο της νόσου τους. Οι ασθενείς στη συνέχεια υποβλήθηκαν σε ένα υποχρεωτικό πρόγραμμα σταδιακής μείωσης, με πλήρη διακοπή των κορτικοστεροειδών μέχρι την εβδομάδα 19.</w:t>
      </w:r>
    </w:p>
    <w:p w14:paraId="50C967F6" w14:textId="77777777" w:rsidR="00171824" w:rsidRDefault="00171824">
      <w:pPr>
        <w:widowControl/>
        <w:kinsoku w:val="0"/>
        <w:overflowPunct w:val="0"/>
        <w:rPr>
          <w:sz w:val="22"/>
          <w:szCs w:val="22"/>
          <w:lang w:val="el-GR"/>
        </w:rPr>
      </w:pPr>
    </w:p>
    <w:p w14:paraId="59A63AC8" w14:textId="77777777" w:rsidR="00171824" w:rsidRDefault="006D258C">
      <w:pPr>
        <w:pStyle w:val="BodyText"/>
        <w:widowControl/>
        <w:kinsoku w:val="0"/>
        <w:overflowPunct w:val="0"/>
        <w:ind w:left="0"/>
        <w:rPr>
          <w:lang w:val="el-GR"/>
        </w:rPr>
      </w:pPr>
      <w:r>
        <w:rPr>
          <w:lang w:val="el-GR"/>
        </w:rPr>
        <w:t>Το πρωτεύον καταληκτικό σημείο αποτελεσματικότητας και στις δύο μελέτες ήταν ο “χρόνος έως την αποτυχία της θεραπείας”. Η αποτυχία της θεραπείας ορίσθηκε από το αποτέλεσμα πολλών συνιστωσών που βασίζεται στις φλεγμονώδεις χοριοαμφιβληστροειδικές και/ή φλεγμονώδεις αγγειακές βλάβες του αμφιβληστροειδούς, στη βαθμολογία κυττάρων στον πρόσθιο θάλαμο (AC), στη θόλωση του υαλοειδούς σώματος (VH) και την καλύτερα διορθωμένη οπτική οξύτητα (BCVA).</w:t>
      </w:r>
    </w:p>
    <w:p w14:paraId="5929F281" w14:textId="77777777" w:rsidR="00171824" w:rsidRDefault="00171824">
      <w:pPr>
        <w:widowControl/>
        <w:kinsoku w:val="0"/>
        <w:overflowPunct w:val="0"/>
        <w:rPr>
          <w:sz w:val="22"/>
          <w:szCs w:val="22"/>
          <w:lang w:val="el-GR"/>
        </w:rPr>
      </w:pPr>
    </w:p>
    <w:p w14:paraId="394935A0" w14:textId="77777777" w:rsidR="00171824" w:rsidRDefault="006D258C">
      <w:pPr>
        <w:widowControl/>
        <w:rPr>
          <w:sz w:val="22"/>
          <w:szCs w:val="22"/>
          <w:lang w:val="el-GR"/>
        </w:rPr>
      </w:pPr>
      <w:r>
        <w:rPr>
          <w:sz w:val="22"/>
          <w:szCs w:val="22"/>
          <w:lang w:val="el-GR"/>
        </w:rPr>
        <w:t>Οι ασθενείς οι οποίοι ολοκλήρωσαν τις Μελέτες UV I και UV II ήταν κατάλληλοι για να ενταχθούν σε μια μη-ελεγχόμενη μακροχρόνια μελέτη επέκτασης με αρχικά σχεδιασμένη διάρκεια 78 εβδομάδων. Στους ασθενείς επιτράπηκε να συνεχίσουν τη φαρμακευτική αγωγή της μελέτης πέραν της εβδομάδας 78 έως ότου είχαν πρόσβαση στο adalimumab.</w:t>
      </w:r>
    </w:p>
    <w:p w14:paraId="489B1124" w14:textId="77777777" w:rsidR="00171824" w:rsidRDefault="00171824">
      <w:pPr>
        <w:widowControl/>
        <w:rPr>
          <w:sz w:val="22"/>
          <w:szCs w:val="22"/>
          <w:lang w:val="el-GR"/>
        </w:rPr>
      </w:pPr>
    </w:p>
    <w:p w14:paraId="7FED7FFF" w14:textId="77777777" w:rsidR="00171824" w:rsidRDefault="006D258C">
      <w:pPr>
        <w:keepNext/>
        <w:widowControl/>
        <w:kinsoku w:val="0"/>
        <w:overflowPunct w:val="0"/>
        <w:rPr>
          <w:sz w:val="22"/>
          <w:szCs w:val="22"/>
          <w:lang w:val="el-GR"/>
        </w:rPr>
      </w:pPr>
      <w:r>
        <w:rPr>
          <w:i/>
          <w:iCs/>
          <w:sz w:val="22"/>
          <w:szCs w:val="22"/>
          <w:u w:val="single"/>
          <w:lang w:val="el-GR"/>
        </w:rPr>
        <w:t>Κλινική Ανταπόκριση</w:t>
      </w:r>
    </w:p>
    <w:p w14:paraId="55544562" w14:textId="77777777" w:rsidR="00171824" w:rsidRDefault="00171824">
      <w:pPr>
        <w:keepNext/>
        <w:widowControl/>
        <w:kinsoku w:val="0"/>
        <w:overflowPunct w:val="0"/>
        <w:rPr>
          <w:sz w:val="22"/>
          <w:szCs w:val="22"/>
          <w:lang w:val="el-GR"/>
        </w:rPr>
      </w:pPr>
    </w:p>
    <w:p w14:paraId="1CF6A23C" w14:textId="77777777" w:rsidR="00171824" w:rsidRDefault="006D258C">
      <w:pPr>
        <w:pStyle w:val="BodyText"/>
        <w:widowControl/>
        <w:kinsoku w:val="0"/>
        <w:overflowPunct w:val="0"/>
        <w:ind w:left="0"/>
        <w:rPr>
          <w:lang w:val="el-GR"/>
        </w:rPr>
      </w:pPr>
      <w:r>
        <w:rPr>
          <w:lang w:val="el-GR"/>
        </w:rPr>
        <w:t>Τα αποτελέσματα και από τις δύο μελέτες έδειξαν στατιστικά σημαντική μείωση του κινδύνου αποτυχίας της θεραπείας σε ασθενείς που έλαβαν adalimumab έναντι των ασθενών που έλαβαν εικονικό φάρμακο (βλέπε πίνακα 24). Και οι δύο μελέτες έδειξαν μια πρώιμη και παρατεταμένη επίδραση του adalimumab επί του ποσοστού αποτυχίας της θεραπείας έναντι του εικονικού φαρμάκου (βλέπε Σχήμα 2).</w:t>
      </w:r>
    </w:p>
    <w:p w14:paraId="3CBAA546" w14:textId="77777777" w:rsidR="00171824" w:rsidRDefault="00171824">
      <w:pPr>
        <w:keepNext/>
        <w:widowControl/>
        <w:kinsoku w:val="0"/>
        <w:overflowPunct w:val="0"/>
        <w:rPr>
          <w:sz w:val="22"/>
          <w:szCs w:val="22"/>
          <w:lang w:val="el-GR"/>
        </w:rPr>
      </w:pPr>
    </w:p>
    <w:p w14:paraId="5F634139" w14:textId="77777777" w:rsidR="00171824" w:rsidRDefault="006D258C">
      <w:pPr>
        <w:pStyle w:val="BodyText"/>
        <w:keepNext/>
        <w:widowControl/>
        <w:ind w:left="0"/>
        <w:rPr>
          <w:b/>
          <w:bCs/>
          <w:lang w:val="el-GR"/>
        </w:rPr>
      </w:pPr>
      <w:r>
        <w:rPr>
          <w:b/>
          <w:lang w:val="el-GR"/>
        </w:rPr>
        <w:t>Πίνακας 24.</w:t>
      </w:r>
      <w:r>
        <w:rPr>
          <w:b/>
          <w:bCs/>
          <w:lang w:val="el-GR"/>
        </w:rPr>
        <w:t xml:space="preserve"> Χρόνος έως την Αποτυχία της Θεραπείας στις Μελέτες UV I και UV II</w:t>
      </w:r>
    </w:p>
    <w:p w14:paraId="7DCA1CE4" w14:textId="77777777" w:rsidR="00171824" w:rsidRDefault="00171824">
      <w:pPr>
        <w:keepNext/>
        <w:widowControl/>
        <w:kinsoku w:val="0"/>
        <w:overflowPunct w:val="0"/>
        <w:rPr>
          <w:sz w:val="22"/>
          <w:szCs w:val="22"/>
          <w:lang w:val="el-GR"/>
        </w:rPr>
      </w:pPr>
    </w:p>
    <w:tbl>
      <w:tblPr>
        <w:tblW w:w="92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806"/>
        <w:gridCol w:w="1250"/>
        <w:gridCol w:w="1950"/>
        <w:gridCol w:w="709"/>
        <w:gridCol w:w="1134"/>
        <w:gridCol w:w="1174"/>
      </w:tblGrid>
      <w:tr w:rsidR="00171824" w14:paraId="12C65DBC" w14:textId="77777777">
        <w:tc>
          <w:tcPr>
            <w:tcW w:w="2231" w:type="dxa"/>
          </w:tcPr>
          <w:p w14:paraId="4DC35A54" w14:textId="77777777" w:rsidR="00171824" w:rsidRDefault="006D258C">
            <w:pPr>
              <w:keepNext/>
              <w:widowControl/>
              <w:kinsoku w:val="0"/>
              <w:overflowPunct w:val="0"/>
              <w:rPr>
                <w:rFonts w:eastAsia="MS Mincho"/>
                <w:b/>
                <w:bCs/>
                <w:sz w:val="22"/>
                <w:szCs w:val="22"/>
                <w:lang w:val="el-GR"/>
              </w:rPr>
            </w:pPr>
            <w:r>
              <w:rPr>
                <w:rFonts w:eastAsia="MS Mincho"/>
                <w:b/>
                <w:bCs/>
                <w:sz w:val="22"/>
                <w:szCs w:val="22"/>
                <w:lang w:val="el-GR"/>
              </w:rPr>
              <w:t>Ανάλυση</w:t>
            </w:r>
          </w:p>
          <w:p w14:paraId="5A6D19F6"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Θεραπεία</w:t>
            </w:r>
          </w:p>
        </w:tc>
        <w:tc>
          <w:tcPr>
            <w:tcW w:w="806" w:type="dxa"/>
          </w:tcPr>
          <w:p w14:paraId="2689DD38" w14:textId="77777777" w:rsidR="00171824" w:rsidRDefault="006D258C">
            <w:pPr>
              <w:widowControl/>
              <w:kinsoku w:val="0"/>
              <w:overflowPunct w:val="0"/>
              <w:jc w:val="center"/>
              <w:rPr>
                <w:rFonts w:eastAsia="MS Mincho"/>
                <w:sz w:val="22"/>
                <w:szCs w:val="22"/>
                <w:lang w:val="el-GR"/>
              </w:rPr>
            </w:pPr>
            <w:r>
              <w:rPr>
                <w:rFonts w:eastAsia="MS Mincho"/>
                <w:b/>
                <w:bCs/>
                <w:sz w:val="22"/>
                <w:szCs w:val="22"/>
                <w:lang w:val="el-GR"/>
              </w:rPr>
              <w:t>N</w:t>
            </w:r>
          </w:p>
        </w:tc>
        <w:tc>
          <w:tcPr>
            <w:tcW w:w="1250" w:type="dxa"/>
          </w:tcPr>
          <w:p w14:paraId="11F86192" w14:textId="77777777" w:rsidR="00171824" w:rsidRDefault="006D258C">
            <w:pPr>
              <w:widowControl/>
              <w:jc w:val="center"/>
              <w:rPr>
                <w:rFonts w:eastAsia="MS Mincho"/>
                <w:b/>
                <w:bCs/>
                <w:sz w:val="22"/>
                <w:szCs w:val="22"/>
                <w:lang w:val="el-GR"/>
              </w:rPr>
            </w:pPr>
            <w:r>
              <w:rPr>
                <w:rFonts w:eastAsia="MS Mincho"/>
                <w:b/>
                <w:bCs/>
                <w:sz w:val="22"/>
                <w:szCs w:val="22"/>
                <w:lang w:val="el-GR"/>
              </w:rPr>
              <w:t>Αποτυχία</w:t>
            </w:r>
          </w:p>
          <w:p w14:paraId="00C3E8AC" w14:textId="77777777" w:rsidR="00171824" w:rsidRDefault="006D258C">
            <w:pPr>
              <w:widowControl/>
              <w:kinsoku w:val="0"/>
              <w:overflowPunct w:val="0"/>
              <w:jc w:val="center"/>
              <w:rPr>
                <w:rFonts w:eastAsia="MS Mincho"/>
                <w:sz w:val="22"/>
                <w:szCs w:val="22"/>
                <w:lang w:val="el-GR"/>
              </w:rPr>
            </w:pPr>
            <w:r>
              <w:rPr>
                <w:rFonts w:eastAsia="MS Mincho"/>
                <w:b/>
                <w:bCs/>
                <w:sz w:val="22"/>
                <w:szCs w:val="22"/>
                <w:lang w:val="el-GR"/>
              </w:rPr>
              <w:t>N (%)</w:t>
            </w:r>
          </w:p>
        </w:tc>
        <w:tc>
          <w:tcPr>
            <w:tcW w:w="1950" w:type="dxa"/>
          </w:tcPr>
          <w:p w14:paraId="76C1BEA9" w14:textId="77777777" w:rsidR="00171824" w:rsidRDefault="006D258C">
            <w:pPr>
              <w:widowControl/>
              <w:rPr>
                <w:rFonts w:eastAsia="MS Mincho"/>
                <w:b/>
                <w:bCs/>
                <w:sz w:val="22"/>
                <w:szCs w:val="22"/>
                <w:lang w:val="el-GR"/>
              </w:rPr>
            </w:pPr>
            <w:r>
              <w:rPr>
                <w:rFonts w:eastAsia="MS Mincho"/>
                <w:b/>
                <w:bCs/>
                <w:sz w:val="22"/>
                <w:szCs w:val="22"/>
                <w:lang w:val="el-GR"/>
              </w:rPr>
              <w:t>Διάμεσος Χρόνος</w:t>
            </w:r>
          </w:p>
          <w:p w14:paraId="01BC51BC"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Αποτυχίας (months)</w:t>
            </w:r>
          </w:p>
        </w:tc>
        <w:tc>
          <w:tcPr>
            <w:tcW w:w="709" w:type="dxa"/>
          </w:tcPr>
          <w:p w14:paraId="30984D60" w14:textId="77777777" w:rsidR="00171824" w:rsidRDefault="006D258C">
            <w:pPr>
              <w:widowControl/>
              <w:kinsoku w:val="0"/>
              <w:overflowPunct w:val="0"/>
              <w:jc w:val="center"/>
              <w:rPr>
                <w:rFonts w:eastAsia="MS Mincho"/>
                <w:sz w:val="22"/>
                <w:szCs w:val="22"/>
                <w:lang w:val="el-GR"/>
              </w:rPr>
            </w:pPr>
            <w:r>
              <w:rPr>
                <w:rFonts w:eastAsia="MS Mincho"/>
                <w:b/>
                <w:bCs/>
                <w:sz w:val="22"/>
                <w:szCs w:val="22"/>
                <w:lang w:val="el-GR"/>
              </w:rPr>
              <w:t>HR</w:t>
            </w:r>
            <w:r>
              <w:rPr>
                <w:rFonts w:eastAsia="MS Mincho"/>
                <w:b/>
                <w:sz w:val="22"/>
                <w:szCs w:val="22"/>
                <w:vertAlign w:val="superscript"/>
                <w:lang w:val="el-GR"/>
              </w:rPr>
              <w:t>a</w:t>
            </w:r>
          </w:p>
        </w:tc>
        <w:tc>
          <w:tcPr>
            <w:tcW w:w="1134" w:type="dxa"/>
          </w:tcPr>
          <w:p w14:paraId="5DDD1891" w14:textId="77777777" w:rsidR="00171824" w:rsidRDefault="006D258C">
            <w:pPr>
              <w:widowControl/>
              <w:jc w:val="center"/>
              <w:rPr>
                <w:rFonts w:eastAsia="MS Mincho"/>
                <w:b/>
                <w:bCs/>
                <w:sz w:val="22"/>
                <w:szCs w:val="22"/>
                <w:lang w:val="el-GR"/>
              </w:rPr>
            </w:pPr>
            <w:r>
              <w:rPr>
                <w:rFonts w:eastAsia="MS Mincho"/>
                <w:b/>
                <w:bCs/>
                <w:sz w:val="22"/>
                <w:szCs w:val="22"/>
                <w:lang w:val="el-GR"/>
              </w:rPr>
              <w:t>CI 95%</w:t>
            </w:r>
          </w:p>
          <w:p w14:paraId="06046878" w14:textId="77777777" w:rsidR="00171824" w:rsidRDefault="006D258C">
            <w:pPr>
              <w:widowControl/>
              <w:kinsoku w:val="0"/>
              <w:overflowPunct w:val="0"/>
              <w:jc w:val="center"/>
              <w:rPr>
                <w:rFonts w:eastAsia="MS Mincho"/>
                <w:sz w:val="22"/>
                <w:szCs w:val="22"/>
                <w:lang w:val="el-GR"/>
              </w:rPr>
            </w:pPr>
            <w:r>
              <w:rPr>
                <w:rFonts w:eastAsia="MS Mincho"/>
                <w:b/>
                <w:bCs/>
                <w:sz w:val="22"/>
                <w:szCs w:val="22"/>
                <w:lang w:val="el-GR"/>
              </w:rPr>
              <w:t>για HR</w:t>
            </w:r>
            <w:r>
              <w:rPr>
                <w:rFonts w:eastAsia="MS Mincho"/>
                <w:b/>
                <w:sz w:val="22"/>
                <w:szCs w:val="22"/>
                <w:vertAlign w:val="superscript"/>
                <w:lang w:val="el-GR"/>
              </w:rPr>
              <w:t>a</w:t>
            </w:r>
          </w:p>
        </w:tc>
        <w:tc>
          <w:tcPr>
            <w:tcW w:w="1174" w:type="dxa"/>
          </w:tcPr>
          <w:p w14:paraId="72286562" w14:textId="77777777" w:rsidR="00171824" w:rsidRDefault="006D258C">
            <w:pPr>
              <w:widowControl/>
              <w:kinsoku w:val="0"/>
              <w:overflowPunct w:val="0"/>
              <w:jc w:val="center"/>
              <w:rPr>
                <w:rFonts w:eastAsia="MS Mincho"/>
                <w:sz w:val="22"/>
                <w:szCs w:val="22"/>
                <w:lang w:val="el-GR"/>
              </w:rPr>
            </w:pPr>
            <w:r>
              <w:rPr>
                <w:rFonts w:eastAsia="MS Mincho"/>
                <w:b/>
                <w:bCs/>
                <w:i/>
                <w:iCs/>
                <w:sz w:val="22"/>
                <w:szCs w:val="22"/>
                <w:lang w:val="el-GR"/>
              </w:rPr>
              <w:t xml:space="preserve">P </w:t>
            </w:r>
            <w:r>
              <w:rPr>
                <w:rFonts w:eastAsia="MS Mincho"/>
                <w:b/>
                <w:bCs/>
                <w:sz w:val="22"/>
                <w:szCs w:val="22"/>
                <w:lang w:val="el-GR"/>
              </w:rPr>
              <w:t>Value</w:t>
            </w:r>
            <w:r>
              <w:rPr>
                <w:rFonts w:eastAsia="MS Mincho"/>
                <w:b/>
                <w:bCs/>
                <w:sz w:val="22"/>
                <w:szCs w:val="22"/>
                <w:vertAlign w:val="superscript"/>
                <w:lang w:val="el-GR"/>
              </w:rPr>
              <w:t>b</w:t>
            </w:r>
          </w:p>
        </w:tc>
      </w:tr>
      <w:tr w:rsidR="00171824" w14:paraId="76CC0B17" w14:textId="77777777">
        <w:trPr>
          <w:trHeight w:val="592"/>
        </w:trPr>
        <w:tc>
          <w:tcPr>
            <w:tcW w:w="9254" w:type="dxa"/>
            <w:gridSpan w:val="7"/>
          </w:tcPr>
          <w:p w14:paraId="5F06B5F5"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Χρόνος έως την Αποτυχία της Θεραπείας Στην ή Μετά την εβδομάδα 6 στη Μελέτη UV I</w:t>
            </w:r>
          </w:p>
          <w:p w14:paraId="1F7F6ED8" w14:textId="77777777" w:rsidR="00171824" w:rsidRDefault="006D258C">
            <w:pPr>
              <w:kinsoku w:val="0"/>
              <w:overflowPunct w:val="0"/>
              <w:rPr>
                <w:rFonts w:eastAsia="MS Mincho"/>
                <w:sz w:val="22"/>
                <w:szCs w:val="22"/>
                <w:lang w:val="el-GR"/>
              </w:rPr>
            </w:pPr>
            <w:r>
              <w:rPr>
                <w:rFonts w:eastAsia="MS Mincho"/>
                <w:sz w:val="22"/>
                <w:szCs w:val="22"/>
                <w:lang w:val="el-GR"/>
              </w:rPr>
              <w:t>Κύρια ανάλυση (ITT)</w:t>
            </w:r>
          </w:p>
        </w:tc>
      </w:tr>
      <w:tr w:rsidR="00171824" w14:paraId="5A440FF5" w14:textId="77777777">
        <w:tc>
          <w:tcPr>
            <w:tcW w:w="2231" w:type="dxa"/>
          </w:tcPr>
          <w:p w14:paraId="0CD25B28" w14:textId="77777777" w:rsidR="00171824" w:rsidRDefault="006D258C">
            <w:pPr>
              <w:pStyle w:val="BodyText"/>
              <w:widowControl/>
              <w:ind w:left="242"/>
              <w:rPr>
                <w:rFonts w:eastAsia="MS Mincho"/>
                <w:lang w:val="el-GR"/>
              </w:rPr>
            </w:pPr>
            <w:r>
              <w:rPr>
                <w:rFonts w:eastAsia="MS Mincho"/>
                <w:lang w:val="el-GR"/>
              </w:rPr>
              <w:t>Εικονικό φάρμακο</w:t>
            </w:r>
          </w:p>
        </w:tc>
        <w:tc>
          <w:tcPr>
            <w:tcW w:w="806" w:type="dxa"/>
          </w:tcPr>
          <w:p w14:paraId="7CFFD349" w14:textId="77777777" w:rsidR="00171824" w:rsidRDefault="006D258C">
            <w:pPr>
              <w:widowControl/>
              <w:kinsoku w:val="0"/>
              <w:overflowPunct w:val="0"/>
              <w:jc w:val="center"/>
              <w:rPr>
                <w:rFonts w:eastAsia="MS Mincho"/>
                <w:sz w:val="22"/>
                <w:szCs w:val="22"/>
                <w:lang w:val="el-GR"/>
              </w:rPr>
            </w:pPr>
            <w:r>
              <w:rPr>
                <w:rFonts w:eastAsia="MS Mincho"/>
                <w:sz w:val="22"/>
                <w:szCs w:val="22"/>
                <w:lang w:val="el-GR"/>
              </w:rPr>
              <w:t>107</w:t>
            </w:r>
          </w:p>
        </w:tc>
        <w:tc>
          <w:tcPr>
            <w:tcW w:w="1250" w:type="dxa"/>
          </w:tcPr>
          <w:p w14:paraId="7D599BD7" w14:textId="77777777" w:rsidR="00171824" w:rsidRDefault="006D258C">
            <w:pPr>
              <w:widowControl/>
              <w:kinsoku w:val="0"/>
              <w:overflowPunct w:val="0"/>
              <w:jc w:val="center"/>
              <w:rPr>
                <w:rFonts w:eastAsia="MS Mincho"/>
                <w:sz w:val="22"/>
                <w:szCs w:val="22"/>
                <w:lang w:val="el-GR"/>
              </w:rPr>
            </w:pPr>
            <w:r>
              <w:rPr>
                <w:rFonts w:eastAsia="MS Mincho"/>
                <w:sz w:val="22"/>
                <w:szCs w:val="22"/>
                <w:lang w:val="el-GR"/>
              </w:rPr>
              <w:t>84 (78,5)</w:t>
            </w:r>
          </w:p>
        </w:tc>
        <w:tc>
          <w:tcPr>
            <w:tcW w:w="1950" w:type="dxa"/>
          </w:tcPr>
          <w:p w14:paraId="71BC7EEA" w14:textId="77777777" w:rsidR="00171824" w:rsidRDefault="006D258C">
            <w:pPr>
              <w:widowControl/>
              <w:kinsoku w:val="0"/>
              <w:overflowPunct w:val="0"/>
              <w:rPr>
                <w:rFonts w:eastAsia="MS Mincho"/>
                <w:sz w:val="22"/>
                <w:szCs w:val="22"/>
                <w:lang w:val="el-GR"/>
              </w:rPr>
            </w:pPr>
            <w:r>
              <w:rPr>
                <w:rFonts w:eastAsia="MS Mincho"/>
                <w:sz w:val="22"/>
                <w:szCs w:val="22"/>
                <w:lang w:val="el-GR"/>
              </w:rPr>
              <w:t>3,0</w:t>
            </w:r>
          </w:p>
        </w:tc>
        <w:tc>
          <w:tcPr>
            <w:tcW w:w="709" w:type="dxa"/>
          </w:tcPr>
          <w:p w14:paraId="675DC1EE"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c>
          <w:tcPr>
            <w:tcW w:w="1134" w:type="dxa"/>
          </w:tcPr>
          <w:p w14:paraId="12E5A918"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c>
          <w:tcPr>
            <w:tcW w:w="1174" w:type="dxa"/>
          </w:tcPr>
          <w:p w14:paraId="0F94CB33"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r>
      <w:tr w:rsidR="00171824" w14:paraId="4B2439E7" w14:textId="77777777">
        <w:tc>
          <w:tcPr>
            <w:tcW w:w="2231" w:type="dxa"/>
          </w:tcPr>
          <w:p w14:paraId="00251F32" w14:textId="77777777" w:rsidR="00171824" w:rsidRDefault="006D258C">
            <w:pPr>
              <w:pStyle w:val="BodyText"/>
              <w:widowControl/>
              <w:ind w:left="242"/>
              <w:rPr>
                <w:rFonts w:eastAsia="MS Mincho"/>
                <w:lang w:val="el-GR"/>
              </w:rPr>
            </w:pPr>
            <w:r>
              <w:rPr>
                <w:rFonts w:eastAsia="MS Mincho"/>
                <w:lang w:val="el-GR"/>
              </w:rPr>
              <w:t>Adalimumab</w:t>
            </w:r>
          </w:p>
        </w:tc>
        <w:tc>
          <w:tcPr>
            <w:tcW w:w="806" w:type="dxa"/>
          </w:tcPr>
          <w:p w14:paraId="2B2A77F0" w14:textId="77777777" w:rsidR="00171824" w:rsidRDefault="006D258C">
            <w:pPr>
              <w:widowControl/>
              <w:kinsoku w:val="0"/>
              <w:overflowPunct w:val="0"/>
              <w:jc w:val="center"/>
              <w:rPr>
                <w:rFonts w:eastAsia="MS Mincho"/>
                <w:sz w:val="22"/>
                <w:szCs w:val="22"/>
                <w:lang w:val="el-GR"/>
              </w:rPr>
            </w:pPr>
            <w:r>
              <w:rPr>
                <w:rFonts w:eastAsia="MS Mincho"/>
                <w:sz w:val="22"/>
                <w:szCs w:val="22"/>
                <w:lang w:val="el-GR"/>
              </w:rPr>
              <w:t>110</w:t>
            </w:r>
          </w:p>
        </w:tc>
        <w:tc>
          <w:tcPr>
            <w:tcW w:w="1250" w:type="dxa"/>
          </w:tcPr>
          <w:p w14:paraId="17480390" w14:textId="77777777" w:rsidR="00171824" w:rsidRDefault="006D258C">
            <w:pPr>
              <w:widowControl/>
              <w:kinsoku w:val="0"/>
              <w:overflowPunct w:val="0"/>
              <w:jc w:val="center"/>
              <w:rPr>
                <w:rFonts w:eastAsia="MS Mincho"/>
                <w:sz w:val="22"/>
                <w:szCs w:val="22"/>
                <w:lang w:val="el-GR"/>
              </w:rPr>
            </w:pPr>
            <w:r>
              <w:rPr>
                <w:rFonts w:eastAsia="MS Mincho"/>
                <w:sz w:val="22"/>
                <w:szCs w:val="22"/>
                <w:lang w:val="el-GR"/>
              </w:rPr>
              <w:t>60 (54,5)</w:t>
            </w:r>
          </w:p>
        </w:tc>
        <w:tc>
          <w:tcPr>
            <w:tcW w:w="1950" w:type="dxa"/>
          </w:tcPr>
          <w:p w14:paraId="40BD7737" w14:textId="77777777" w:rsidR="00171824" w:rsidRDefault="006D258C">
            <w:pPr>
              <w:widowControl/>
              <w:kinsoku w:val="0"/>
              <w:overflowPunct w:val="0"/>
              <w:rPr>
                <w:rFonts w:eastAsia="MS Mincho"/>
                <w:sz w:val="22"/>
                <w:szCs w:val="22"/>
                <w:lang w:val="el-GR"/>
              </w:rPr>
            </w:pPr>
            <w:r>
              <w:rPr>
                <w:rFonts w:eastAsia="MS Mincho"/>
                <w:sz w:val="22"/>
                <w:szCs w:val="22"/>
                <w:lang w:val="el-GR"/>
              </w:rPr>
              <w:t>5,6</w:t>
            </w:r>
          </w:p>
        </w:tc>
        <w:tc>
          <w:tcPr>
            <w:tcW w:w="709" w:type="dxa"/>
          </w:tcPr>
          <w:p w14:paraId="3F9352E5" w14:textId="77777777" w:rsidR="00171824" w:rsidRDefault="006D258C">
            <w:pPr>
              <w:widowControl/>
              <w:kinsoku w:val="0"/>
              <w:overflowPunct w:val="0"/>
              <w:rPr>
                <w:rFonts w:eastAsia="MS Mincho"/>
                <w:sz w:val="22"/>
                <w:szCs w:val="22"/>
                <w:lang w:val="el-GR"/>
              </w:rPr>
            </w:pPr>
            <w:r>
              <w:rPr>
                <w:rFonts w:eastAsia="MS Mincho"/>
                <w:sz w:val="22"/>
                <w:szCs w:val="22"/>
                <w:lang w:val="el-GR"/>
              </w:rPr>
              <w:t>0,50</w:t>
            </w:r>
          </w:p>
        </w:tc>
        <w:tc>
          <w:tcPr>
            <w:tcW w:w="1134" w:type="dxa"/>
          </w:tcPr>
          <w:p w14:paraId="11DFF3D6" w14:textId="77777777" w:rsidR="00171824" w:rsidRDefault="006D258C">
            <w:pPr>
              <w:widowControl/>
              <w:kinsoku w:val="0"/>
              <w:overflowPunct w:val="0"/>
              <w:rPr>
                <w:rFonts w:eastAsia="MS Mincho"/>
                <w:sz w:val="22"/>
                <w:szCs w:val="22"/>
                <w:lang w:val="el-GR"/>
              </w:rPr>
            </w:pPr>
            <w:r>
              <w:rPr>
                <w:rFonts w:eastAsia="MS Mincho"/>
                <w:sz w:val="22"/>
                <w:szCs w:val="22"/>
                <w:lang w:val="el-GR"/>
              </w:rPr>
              <w:t>0,36, 0,70</w:t>
            </w:r>
          </w:p>
        </w:tc>
        <w:tc>
          <w:tcPr>
            <w:tcW w:w="1174" w:type="dxa"/>
          </w:tcPr>
          <w:p w14:paraId="579A07A5" w14:textId="77777777" w:rsidR="00171824" w:rsidRDefault="006D258C">
            <w:pPr>
              <w:widowControl/>
              <w:kinsoku w:val="0"/>
              <w:overflowPunct w:val="0"/>
              <w:rPr>
                <w:rFonts w:eastAsia="MS Mincho"/>
                <w:sz w:val="22"/>
                <w:szCs w:val="22"/>
                <w:lang w:val="el-GR"/>
              </w:rPr>
            </w:pPr>
            <w:r>
              <w:rPr>
                <w:rFonts w:eastAsia="MS Mincho"/>
                <w:sz w:val="22"/>
                <w:szCs w:val="22"/>
                <w:lang w:val="el-GR"/>
              </w:rPr>
              <w:t>&lt; 0,001</w:t>
            </w:r>
          </w:p>
        </w:tc>
      </w:tr>
      <w:tr w:rsidR="00171824" w14:paraId="6EAF7EE8" w14:textId="77777777">
        <w:trPr>
          <w:trHeight w:val="592"/>
        </w:trPr>
        <w:tc>
          <w:tcPr>
            <w:tcW w:w="9254" w:type="dxa"/>
            <w:gridSpan w:val="7"/>
          </w:tcPr>
          <w:p w14:paraId="47CE4183"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Χρόνος έως την Αποτυχία της Θεραπείας Στην ή Μετά την εβδομάδα 2 στη Μελέτη UV II</w:t>
            </w:r>
          </w:p>
          <w:p w14:paraId="4EB41C53" w14:textId="77777777" w:rsidR="00171824" w:rsidRDefault="006D258C">
            <w:pPr>
              <w:kinsoku w:val="0"/>
              <w:overflowPunct w:val="0"/>
              <w:rPr>
                <w:rFonts w:eastAsia="MS Mincho"/>
                <w:sz w:val="22"/>
                <w:szCs w:val="22"/>
                <w:lang w:val="el-GR"/>
              </w:rPr>
            </w:pPr>
            <w:r>
              <w:rPr>
                <w:rFonts w:eastAsia="MS Mincho"/>
                <w:sz w:val="22"/>
                <w:szCs w:val="22"/>
                <w:lang w:val="el-GR"/>
              </w:rPr>
              <w:t>Κύρια ανάλυση (ITT)</w:t>
            </w:r>
          </w:p>
        </w:tc>
      </w:tr>
      <w:tr w:rsidR="00171824" w14:paraId="2B83DB44" w14:textId="77777777">
        <w:tc>
          <w:tcPr>
            <w:tcW w:w="2231" w:type="dxa"/>
          </w:tcPr>
          <w:p w14:paraId="5DA4738E" w14:textId="77777777" w:rsidR="00171824" w:rsidRDefault="006D258C">
            <w:pPr>
              <w:pStyle w:val="BodyText"/>
              <w:widowControl/>
              <w:ind w:left="242"/>
              <w:rPr>
                <w:rFonts w:eastAsia="MS Mincho"/>
                <w:lang w:val="el-GR"/>
              </w:rPr>
            </w:pPr>
            <w:r>
              <w:rPr>
                <w:rFonts w:eastAsia="MS Mincho"/>
                <w:lang w:val="el-GR"/>
              </w:rPr>
              <w:t>Εικονικό φάρμακο</w:t>
            </w:r>
          </w:p>
        </w:tc>
        <w:tc>
          <w:tcPr>
            <w:tcW w:w="806" w:type="dxa"/>
          </w:tcPr>
          <w:p w14:paraId="08F1F05F" w14:textId="77777777" w:rsidR="00171824" w:rsidRDefault="006D258C">
            <w:pPr>
              <w:widowControl/>
              <w:kinsoku w:val="0"/>
              <w:overflowPunct w:val="0"/>
              <w:rPr>
                <w:rFonts w:eastAsia="MS Mincho"/>
                <w:sz w:val="22"/>
                <w:szCs w:val="22"/>
                <w:lang w:val="el-GR"/>
              </w:rPr>
            </w:pPr>
            <w:r>
              <w:rPr>
                <w:rFonts w:eastAsia="MS Mincho"/>
                <w:sz w:val="22"/>
                <w:szCs w:val="22"/>
                <w:lang w:val="el-GR"/>
              </w:rPr>
              <w:t>111</w:t>
            </w:r>
          </w:p>
        </w:tc>
        <w:tc>
          <w:tcPr>
            <w:tcW w:w="1250" w:type="dxa"/>
          </w:tcPr>
          <w:p w14:paraId="449F2190" w14:textId="77777777" w:rsidR="00171824" w:rsidRDefault="006D258C">
            <w:pPr>
              <w:widowControl/>
              <w:kinsoku w:val="0"/>
              <w:overflowPunct w:val="0"/>
              <w:rPr>
                <w:rFonts w:eastAsia="MS Mincho"/>
                <w:sz w:val="22"/>
                <w:szCs w:val="22"/>
                <w:lang w:val="el-GR"/>
              </w:rPr>
            </w:pPr>
            <w:r>
              <w:rPr>
                <w:rFonts w:eastAsia="MS Mincho"/>
                <w:sz w:val="22"/>
                <w:szCs w:val="22"/>
                <w:lang w:val="el-GR"/>
              </w:rPr>
              <w:t>61 (55,0)</w:t>
            </w:r>
          </w:p>
        </w:tc>
        <w:tc>
          <w:tcPr>
            <w:tcW w:w="1950" w:type="dxa"/>
          </w:tcPr>
          <w:p w14:paraId="27D75BDE" w14:textId="77777777" w:rsidR="00171824" w:rsidRDefault="006D258C">
            <w:pPr>
              <w:widowControl/>
              <w:kinsoku w:val="0"/>
              <w:overflowPunct w:val="0"/>
              <w:rPr>
                <w:rFonts w:eastAsia="MS Mincho"/>
                <w:sz w:val="22"/>
                <w:szCs w:val="22"/>
                <w:lang w:val="el-GR"/>
              </w:rPr>
            </w:pPr>
            <w:r>
              <w:rPr>
                <w:rFonts w:eastAsia="MS Mincho"/>
                <w:sz w:val="22"/>
                <w:szCs w:val="22"/>
                <w:lang w:val="el-GR"/>
              </w:rPr>
              <w:t>8,3</w:t>
            </w:r>
          </w:p>
        </w:tc>
        <w:tc>
          <w:tcPr>
            <w:tcW w:w="709" w:type="dxa"/>
          </w:tcPr>
          <w:p w14:paraId="0BEC233A"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c>
          <w:tcPr>
            <w:tcW w:w="1134" w:type="dxa"/>
          </w:tcPr>
          <w:p w14:paraId="7D1017CC"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c>
          <w:tcPr>
            <w:tcW w:w="1174" w:type="dxa"/>
          </w:tcPr>
          <w:p w14:paraId="6D6DE1FF"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r>
      <w:tr w:rsidR="00171824" w14:paraId="15595727" w14:textId="77777777">
        <w:tc>
          <w:tcPr>
            <w:tcW w:w="2231" w:type="dxa"/>
          </w:tcPr>
          <w:p w14:paraId="7C7F7B45" w14:textId="77777777" w:rsidR="00171824" w:rsidRDefault="006D258C">
            <w:pPr>
              <w:pStyle w:val="BodyText"/>
              <w:widowControl/>
              <w:ind w:left="242"/>
              <w:rPr>
                <w:rFonts w:eastAsia="MS Mincho"/>
                <w:lang w:val="el-GR"/>
              </w:rPr>
            </w:pPr>
            <w:r>
              <w:rPr>
                <w:rFonts w:eastAsia="MS Mincho"/>
                <w:lang w:val="el-GR"/>
              </w:rPr>
              <w:t>Adalimumab</w:t>
            </w:r>
          </w:p>
        </w:tc>
        <w:tc>
          <w:tcPr>
            <w:tcW w:w="806" w:type="dxa"/>
          </w:tcPr>
          <w:p w14:paraId="41A8EF6A" w14:textId="77777777" w:rsidR="00171824" w:rsidRDefault="006D258C">
            <w:pPr>
              <w:widowControl/>
              <w:kinsoku w:val="0"/>
              <w:overflowPunct w:val="0"/>
              <w:rPr>
                <w:rFonts w:eastAsia="MS Mincho"/>
                <w:sz w:val="22"/>
                <w:szCs w:val="22"/>
                <w:lang w:val="el-GR"/>
              </w:rPr>
            </w:pPr>
            <w:r>
              <w:rPr>
                <w:rFonts w:eastAsia="MS Mincho"/>
                <w:sz w:val="22"/>
                <w:szCs w:val="22"/>
                <w:lang w:val="el-GR"/>
              </w:rPr>
              <w:t>115</w:t>
            </w:r>
          </w:p>
        </w:tc>
        <w:tc>
          <w:tcPr>
            <w:tcW w:w="1250" w:type="dxa"/>
          </w:tcPr>
          <w:p w14:paraId="08F59E56" w14:textId="77777777" w:rsidR="00171824" w:rsidRDefault="006D258C">
            <w:pPr>
              <w:widowControl/>
              <w:kinsoku w:val="0"/>
              <w:overflowPunct w:val="0"/>
              <w:rPr>
                <w:rFonts w:eastAsia="MS Mincho"/>
                <w:sz w:val="22"/>
                <w:szCs w:val="22"/>
                <w:lang w:val="el-GR"/>
              </w:rPr>
            </w:pPr>
            <w:r>
              <w:rPr>
                <w:rFonts w:eastAsia="MS Mincho"/>
                <w:sz w:val="22"/>
                <w:szCs w:val="22"/>
                <w:lang w:val="el-GR"/>
              </w:rPr>
              <w:t>45 (39,1)</w:t>
            </w:r>
          </w:p>
        </w:tc>
        <w:tc>
          <w:tcPr>
            <w:tcW w:w="1950" w:type="dxa"/>
          </w:tcPr>
          <w:p w14:paraId="51C80123" w14:textId="77777777" w:rsidR="00171824" w:rsidRDefault="006D258C">
            <w:pPr>
              <w:widowControl/>
              <w:kinsoku w:val="0"/>
              <w:overflowPunct w:val="0"/>
              <w:rPr>
                <w:rFonts w:eastAsia="MS Mincho"/>
                <w:sz w:val="22"/>
                <w:szCs w:val="22"/>
                <w:lang w:val="el-GR"/>
              </w:rPr>
            </w:pPr>
            <w:r>
              <w:rPr>
                <w:rFonts w:eastAsia="MS Mincho"/>
                <w:sz w:val="22"/>
                <w:szCs w:val="22"/>
                <w:lang w:val="el-GR"/>
              </w:rPr>
              <w:t>NE</w:t>
            </w:r>
            <w:r>
              <w:rPr>
                <w:rFonts w:eastAsia="MS Mincho"/>
                <w:sz w:val="22"/>
                <w:szCs w:val="22"/>
                <w:vertAlign w:val="superscript"/>
                <w:lang w:val="el-GR"/>
              </w:rPr>
              <w:t>c</w:t>
            </w:r>
          </w:p>
        </w:tc>
        <w:tc>
          <w:tcPr>
            <w:tcW w:w="709" w:type="dxa"/>
          </w:tcPr>
          <w:p w14:paraId="00E088E4" w14:textId="77777777" w:rsidR="00171824" w:rsidRDefault="006D258C">
            <w:pPr>
              <w:widowControl/>
              <w:kinsoku w:val="0"/>
              <w:overflowPunct w:val="0"/>
              <w:rPr>
                <w:rFonts w:eastAsia="MS Mincho"/>
                <w:sz w:val="22"/>
                <w:szCs w:val="22"/>
                <w:lang w:val="el-GR"/>
              </w:rPr>
            </w:pPr>
            <w:r>
              <w:rPr>
                <w:rFonts w:eastAsia="MS Mincho"/>
                <w:sz w:val="22"/>
                <w:szCs w:val="22"/>
                <w:lang w:val="el-GR"/>
              </w:rPr>
              <w:t>0,57</w:t>
            </w:r>
          </w:p>
        </w:tc>
        <w:tc>
          <w:tcPr>
            <w:tcW w:w="1134" w:type="dxa"/>
          </w:tcPr>
          <w:p w14:paraId="40F038E4" w14:textId="77777777" w:rsidR="00171824" w:rsidRDefault="006D258C">
            <w:pPr>
              <w:widowControl/>
              <w:kinsoku w:val="0"/>
              <w:overflowPunct w:val="0"/>
              <w:rPr>
                <w:rFonts w:eastAsia="MS Mincho"/>
                <w:sz w:val="22"/>
                <w:szCs w:val="22"/>
                <w:lang w:val="el-GR"/>
              </w:rPr>
            </w:pPr>
            <w:r>
              <w:rPr>
                <w:rFonts w:eastAsia="MS Mincho"/>
                <w:sz w:val="22"/>
                <w:szCs w:val="22"/>
                <w:lang w:val="el-GR"/>
              </w:rPr>
              <w:t>0,39, 0,84</w:t>
            </w:r>
          </w:p>
        </w:tc>
        <w:tc>
          <w:tcPr>
            <w:tcW w:w="1174" w:type="dxa"/>
          </w:tcPr>
          <w:p w14:paraId="5AC36728" w14:textId="77777777" w:rsidR="00171824" w:rsidRDefault="006D258C">
            <w:pPr>
              <w:widowControl/>
              <w:kinsoku w:val="0"/>
              <w:overflowPunct w:val="0"/>
              <w:rPr>
                <w:rFonts w:eastAsia="MS Mincho"/>
                <w:sz w:val="22"/>
                <w:szCs w:val="22"/>
                <w:lang w:val="el-GR"/>
              </w:rPr>
            </w:pPr>
            <w:r>
              <w:rPr>
                <w:rFonts w:eastAsia="MS Mincho"/>
                <w:sz w:val="22"/>
                <w:szCs w:val="22"/>
                <w:lang w:val="el-GR"/>
              </w:rPr>
              <w:t>0,004</w:t>
            </w:r>
          </w:p>
        </w:tc>
      </w:tr>
    </w:tbl>
    <w:p w14:paraId="1F71430B" w14:textId="77777777" w:rsidR="00171824" w:rsidRDefault="006D258C">
      <w:pPr>
        <w:pStyle w:val="BodyText"/>
        <w:widowControl/>
        <w:kinsoku w:val="0"/>
        <w:overflowPunct w:val="0"/>
        <w:ind w:left="0"/>
        <w:rPr>
          <w:sz w:val="20"/>
          <w:szCs w:val="20"/>
          <w:lang w:val="el-GR"/>
        </w:rPr>
      </w:pPr>
      <w:r>
        <w:rPr>
          <w:sz w:val="20"/>
          <w:szCs w:val="20"/>
          <w:lang w:val="el-GR"/>
        </w:rPr>
        <w:t>Σημείωση: Η Αποτυχία της Θεραπείας στην ή μετά την εβδομάδα 6 (Μελέτη UV I), ή στην ή μετά</w:t>
      </w:r>
    </w:p>
    <w:p w14:paraId="5725C899" w14:textId="77777777" w:rsidR="00171824" w:rsidRDefault="006D258C">
      <w:pPr>
        <w:pStyle w:val="BodyText"/>
        <w:widowControl/>
        <w:kinsoku w:val="0"/>
        <w:overflowPunct w:val="0"/>
        <w:ind w:left="0"/>
        <w:rPr>
          <w:sz w:val="20"/>
          <w:szCs w:val="20"/>
          <w:lang w:val="el-GR"/>
        </w:rPr>
      </w:pPr>
      <w:r>
        <w:rPr>
          <w:sz w:val="20"/>
          <w:szCs w:val="20"/>
          <w:lang w:val="el-GR"/>
        </w:rPr>
        <w:t>την εβδομάδα 2 (Μελέτη UV II), μετρήθηκε ως γεγονός. Οι ασθενείς που δεν ολοκλήρωσαν τη θεραπεία για λόγους άλλους εκτός από την αποτυχία της θεραπείας, δεν υπολογίστηκαν κατά το χρόνο που εγκατέλειψαν τη μελέτη.</w:t>
      </w:r>
    </w:p>
    <w:p w14:paraId="5F8D79FC" w14:textId="77777777" w:rsidR="00171824" w:rsidRDefault="006D258C">
      <w:pPr>
        <w:pStyle w:val="BodyText"/>
        <w:widowControl/>
        <w:tabs>
          <w:tab w:val="left" w:pos="142"/>
        </w:tabs>
        <w:kinsoku w:val="0"/>
        <w:overflowPunct w:val="0"/>
        <w:ind w:left="142" w:right="254" w:hanging="100"/>
        <w:rPr>
          <w:sz w:val="20"/>
          <w:szCs w:val="20"/>
          <w:lang w:val="el-GR"/>
        </w:rPr>
      </w:pPr>
      <w:r>
        <w:rPr>
          <w:sz w:val="20"/>
          <w:szCs w:val="20"/>
          <w:vertAlign w:val="superscript"/>
          <w:lang w:val="el-GR"/>
        </w:rPr>
        <w:t>a</w:t>
      </w:r>
      <w:r>
        <w:rPr>
          <w:sz w:val="20"/>
          <w:szCs w:val="20"/>
          <w:vertAlign w:val="superscript"/>
          <w:lang w:val="el-GR"/>
        </w:rPr>
        <w:tab/>
      </w:r>
      <w:r>
        <w:rPr>
          <w:sz w:val="20"/>
          <w:szCs w:val="20"/>
          <w:lang w:val="el-GR"/>
        </w:rPr>
        <w:t>HR του adalimumab έναντι του εικονικού φαρμάκου από αναλογική παλινδρόμηση κινδύνου με τη θεραπεία ως παράγοντα.</w:t>
      </w:r>
    </w:p>
    <w:p w14:paraId="518DA1AC" w14:textId="77777777" w:rsidR="00171824" w:rsidRDefault="006D258C">
      <w:pPr>
        <w:pStyle w:val="BodyText"/>
        <w:widowControl/>
        <w:tabs>
          <w:tab w:val="left" w:pos="142"/>
        </w:tabs>
        <w:kinsoku w:val="0"/>
        <w:overflowPunct w:val="0"/>
        <w:ind w:left="142" w:right="254" w:hanging="100"/>
        <w:rPr>
          <w:sz w:val="20"/>
          <w:szCs w:val="20"/>
          <w:lang w:val="el-GR"/>
        </w:rPr>
      </w:pPr>
      <w:r>
        <w:rPr>
          <w:sz w:val="20"/>
          <w:szCs w:val="20"/>
          <w:vertAlign w:val="superscript"/>
          <w:lang w:val="el-GR"/>
        </w:rPr>
        <w:t>b</w:t>
      </w:r>
      <w:r>
        <w:rPr>
          <w:sz w:val="20"/>
          <w:szCs w:val="20"/>
          <w:vertAlign w:val="superscript"/>
          <w:lang w:val="el-GR"/>
        </w:rPr>
        <w:tab/>
      </w:r>
      <w:r>
        <w:rPr>
          <w:sz w:val="20"/>
          <w:szCs w:val="20"/>
          <w:lang w:val="el-GR"/>
        </w:rPr>
        <w:t xml:space="preserve">2-όψεων τιμή </w:t>
      </w:r>
      <w:r>
        <w:rPr>
          <w:i/>
          <w:iCs/>
          <w:sz w:val="20"/>
          <w:szCs w:val="20"/>
          <w:lang w:val="el-GR"/>
        </w:rPr>
        <w:t xml:space="preserve">P </w:t>
      </w:r>
      <w:r>
        <w:rPr>
          <w:sz w:val="20"/>
          <w:szCs w:val="20"/>
          <w:lang w:val="el-GR"/>
        </w:rPr>
        <w:t>από τη δοκιμασία log rank.</w:t>
      </w:r>
    </w:p>
    <w:p w14:paraId="41801741" w14:textId="77777777" w:rsidR="00171824" w:rsidRDefault="006D258C">
      <w:pPr>
        <w:pStyle w:val="BodyText"/>
        <w:widowControl/>
        <w:tabs>
          <w:tab w:val="left" w:pos="142"/>
        </w:tabs>
        <w:kinsoku w:val="0"/>
        <w:overflowPunct w:val="0"/>
        <w:ind w:left="142" w:right="254" w:hanging="100"/>
        <w:rPr>
          <w:sz w:val="20"/>
          <w:szCs w:val="20"/>
          <w:lang w:val="el-GR"/>
        </w:rPr>
      </w:pPr>
      <w:r>
        <w:rPr>
          <w:sz w:val="20"/>
          <w:szCs w:val="20"/>
          <w:vertAlign w:val="superscript"/>
          <w:lang w:val="el-GR"/>
        </w:rPr>
        <w:t>c</w:t>
      </w:r>
      <w:r>
        <w:rPr>
          <w:sz w:val="20"/>
          <w:szCs w:val="20"/>
          <w:vertAlign w:val="superscript"/>
          <w:lang w:val="el-GR"/>
        </w:rPr>
        <w:tab/>
      </w:r>
      <w:r>
        <w:rPr>
          <w:sz w:val="20"/>
          <w:szCs w:val="20"/>
          <w:lang w:val="el-GR"/>
        </w:rPr>
        <w:t>NE = δεν μπορεί να εκτιμηθεί. Λιγότεροι από τους μισούς ασθενείς που διέτρεχαν κίνδυνο είχαν ένα συμβάν.</w:t>
      </w:r>
    </w:p>
    <w:p w14:paraId="6A08F54C" w14:textId="77777777" w:rsidR="00171824" w:rsidRDefault="00171824">
      <w:pPr>
        <w:pStyle w:val="BodyText"/>
        <w:widowControl/>
        <w:tabs>
          <w:tab w:val="left" w:pos="684"/>
        </w:tabs>
        <w:kinsoku w:val="0"/>
        <w:overflowPunct w:val="0"/>
        <w:ind w:left="0"/>
        <w:rPr>
          <w:lang w:val="el-GR"/>
        </w:rPr>
      </w:pPr>
    </w:p>
    <w:p w14:paraId="74B758E5" w14:textId="77777777" w:rsidR="00171824" w:rsidRDefault="006D258C">
      <w:pPr>
        <w:pStyle w:val="BodyText"/>
        <w:widowControl/>
        <w:ind w:left="907" w:hanging="907"/>
        <w:rPr>
          <w:b/>
          <w:bCs/>
          <w:lang w:val="el-GR"/>
        </w:rPr>
      </w:pPr>
      <w:r>
        <w:rPr>
          <w:b/>
          <w:lang w:val="el-GR"/>
        </w:rPr>
        <w:t>Σχήμα 2. Καμπύλες Kaplan-Meier που Συνοψίζουν το Χρόνο έως την Αποτυχία της Θεραπείας στην ή μετά την εβδομάδα 6 (Μελέτη UV I) ή εβδομάδα 2 (Μελέτη UV II)</w:t>
      </w:r>
    </w:p>
    <w:p w14:paraId="38DA45CC" w14:textId="77777777" w:rsidR="00171824" w:rsidRDefault="00171824">
      <w:pPr>
        <w:pStyle w:val="BodyText"/>
        <w:widowControl/>
        <w:ind w:left="0"/>
        <w:rPr>
          <w:b/>
          <w:lang w:val="el-GR"/>
        </w:rPr>
      </w:pPr>
    </w:p>
    <w:p w14:paraId="28B47FA6" w14:textId="11E544F6" w:rsidR="00171824" w:rsidRDefault="009039B7">
      <w:pPr>
        <w:pStyle w:val="BodyText"/>
        <w:widowControl/>
        <w:tabs>
          <w:tab w:val="left" w:pos="684"/>
        </w:tabs>
        <w:kinsoku w:val="0"/>
        <w:overflowPunct w:val="0"/>
        <w:ind w:left="0"/>
        <w:rPr>
          <w:lang w:val="el-GR"/>
        </w:rPr>
      </w:pPr>
      <w:r>
        <w:rPr>
          <w:noProof/>
          <w:lang w:val="el-GR" w:eastAsia="zh-CN"/>
        </w:rPr>
        <w:drawing>
          <wp:inline distT="0" distB="0" distL="0" distR="0" wp14:anchorId="235F82F7" wp14:editId="73C2C3FA">
            <wp:extent cx="5857875" cy="2651760"/>
            <wp:effectExtent l="0" t="0" r="0" b="0"/>
            <wp:docPr id="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57875" cy="2651760"/>
                    </a:xfrm>
                    <a:prstGeom prst="rect">
                      <a:avLst/>
                    </a:prstGeom>
                    <a:noFill/>
                    <a:ln>
                      <a:noFill/>
                    </a:ln>
                  </pic:spPr>
                </pic:pic>
              </a:graphicData>
            </a:graphic>
          </wp:inline>
        </w:drawing>
      </w:r>
    </w:p>
    <w:p w14:paraId="05FDF2BC" w14:textId="05774983" w:rsidR="00171824" w:rsidRDefault="009039B7">
      <w:pPr>
        <w:pStyle w:val="BodyText"/>
        <w:widowControl/>
        <w:tabs>
          <w:tab w:val="left" w:pos="684"/>
        </w:tabs>
        <w:kinsoku w:val="0"/>
        <w:overflowPunct w:val="0"/>
        <w:ind w:left="0"/>
        <w:rPr>
          <w:lang w:val="el-GR"/>
        </w:rPr>
      </w:pPr>
      <w:r>
        <w:rPr>
          <w:noProof/>
          <w:lang w:val="el-GR" w:eastAsia="zh-CN"/>
        </w:rPr>
        <w:lastRenderedPageBreak/>
        <w:drawing>
          <wp:inline distT="0" distB="0" distL="0" distR="0" wp14:anchorId="38AF1A1E" wp14:editId="01D28CFC">
            <wp:extent cx="5852160" cy="2646045"/>
            <wp:effectExtent l="0" t="0" r="0" b="0"/>
            <wp:docPr id="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2160" cy="2646045"/>
                    </a:xfrm>
                    <a:prstGeom prst="rect">
                      <a:avLst/>
                    </a:prstGeom>
                    <a:noFill/>
                    <a:ln>
                      <a:noFill/>
                    </a:ln>
                  </pic:spPr>
                </pic:pic>
              </a:graphicData>
            </a:graphic>
          </wp:inline>
        </w:drawing>
      </w:r>
    </w:p>
    <w:p w14:paraId="7A55CBA5" w14:textId="77777777" w:rsidR="00171824" w:rsidRDefault="00171824">
      <w:pPr>
        <w:pStyle w:val="BodyText"/>
        <w:widowControl/>
        <w:kinsoku w:val="0"/>
        <w:overflowPunct w:val="0"/>
        <w:ind w:left="0"/>
        <w:rPr>
          <w:lang w:val="el-GR"/>
        </w:rPr>
      </w:pPr>
    </w:p>
    <w:p w14:paraId="48725F5E" w14:textId="77777777" w:rsidR="00171824" w:rsidRDefault="006D258C">
      <w:pPr>
        <w:pStyle w:val="BodyText"/>
        <w:widowControl/>
        <w:kinsoku w:val="0"/>
        <w:overflowPunct w:val="0"/>
        <w:ind w:left="0"/>
        <w:rPr>
          <w:lang w:val="el-GR"/>
        </w:rPr>
      </w:pPr>
      <w:r>
        <w:rPr>
          <w:lang w:val="el-GR"/>
        </w:rPr>
        <w:t>Σημείωση: P# = Εικονικό φάρμακο (Αριθμός Συμβάντων/Αριθμός ασθενών που διατρέχουν κίνδυνο).</w:t>
      </w:r>
    </w:p>
    <w:p w14:paraId="66C17EAD" w14:textId="77777777" w:rsidR="00171824" w:rsidRDefault="006D258C">
      <w:pPr>
        <w:pStyle w:val="BodyText"/>
        <w:widowControl/>
        <w:kinsoku w:val="0"/>
        <w:overflowPunct w:val="0"/>
        <w:ind w:left="0"/>
        <w:jc w:val="center"/>
        <w:rPr>
          <w:lang w:val="el-GR"/>
        </w:rPr>
      </w:pPr>
      <w:r>
        <w:rPr>
          <w:lang w:val="el-GR"/>
        </w:rPr>
        <w:t>A# = Adalimumab (Αριθμός Συμβάντων/Αριθμός ασθενών που διατρέχουν κίνδυνο).</w:t>
      </w:r>
    </w:p>
    <w:p w14:paraId="28259169" w14:textId="77777777" w:rsidR="00171824" w:rsidRDefault="00171824">
      <w:pPr>
        <w:pStyle w:val="BodyText"/>
        <w:widowControl/>
        <w:tabs>
          <w:tab w:val="left" w:pos="684"/>
        </w:tabs>
        <w:kinsoku w:val="0"/>
        <w:overflowPunct w:val="0"/>
        <w:ind w:left="0"/>
        <w:rPr>
          <w:lang w:val="el-GR"/>
        </w:rPr>
      </w:pPr>
    </w:p>
    <w:p w14:paraId="44482576" w14:textId="77777777" w:rsidR="00171824" w:rsidRDefault="006D258C">
      <w:pPr>
        <w:pStyle w:val="BodyText"/>
        <w:widowControl/>
        <w:kinsoku w:val="0"/>
        <w:overflowPunct w:val="0"/>
        <w:ind w:left="0"/>
        <w:rPr>
          <w:lang w:val="el-GR"/>
        </w:rPr>
      </w:pPr>
      <w:r>
        <w:rPr>
          <w:lang w:val="el-GR"/>
        </w:rPr>
        <w:t xml:space="preserve">Στη Μελέτη UV I παρατηρήθηκαν στατιστικά σημαντικές διαφορές υπέρ του adalimumab </w:t>
      </w:r>
      <w:r>
        <w:rPr>
          <w:i/>
          <w:iCs/>
          <w:lang w:val="el-GR"/>
        </w:rPr>
        <w:t xml:space="preserve">έναντι </w:t>
      </w:r>
      <w:r>
        <w:rPr>
          <w:lang w:val="el-GR"/>
        </w:rPr>
        <w:t>του εικονικού φαρμάκου για κάθε συνιστώσα ορισμού της αποτυχίας της θεραπείας. Στη Μελέτη UV II, παρατηρήθηκαν στατιστικά σημαντικές διαφορές μόνο για την οπτική οξύτητα, αλλά οι άλλες συνιστώσες ήταν αριθμητικά υπέρ του adalimumab.</w:t>
      </w:r>
    </w:p>
    <w:p w14:paraId="1ED2022D" w14:textId="77777777" w:rsidR="00171824" w:rsidRDefault="00171824">
      <w:pPr>
        <w:widowControl/>
        <w:kinsoku w:val="0"/>
        <w:overflowPunct w:val="0"/>
        <w:rPr>
          <w:sz w:val="22"/>
          <w:szCs w:val="22"/>
          <w:lang w:val="el-GR"/>
        </w:rPr>
      </w:pPr>
    </w:p>
    <w:p w14:paraId="79AA37CF" w14:textId="77777777" w:rsidR="00171824" w:rsidRDefault="006D258C">
      <w:pPr>
        <w:widowControl/>
        <w:kinsoku w:val="0"/>
        <w:overflowPunct w:val="0"/>
        <w:rPr>
          <w:sz w:val="22"/>
          <w:szCs w:val="22"/>
          <w:lang w:val="el-GR"/>
        </w:rPr>
      </w:pPr>
      <w:r>
        <w:rPr>
          <w:sz w:val="22"/>
          <w:szCs w:val="22"/>
          <w:lang w:val="el-GR"/>
        </w:rPr>
        <w:t>Από τους 424 ασθενείς που συμπεριλήφθηκαν στη μη ελεγχόμενη μακροχρόνια επέκταση των Μελετών UV I και UV II, 60 ασθενείς θεωρήθηκαν μη επιλέξιμοι (π.χ. λόγω αποκλίσεων ή λόγω δευτερογενών επιπλοκών διαβητικής αμφιβληστροειδοπάθειας, λόγω της χειρουργικής επέμβασης καταρράκτη ή υαλοειδεκτομής) και αποκλείστηκαν από την αρχική ανάλυση της αποτελεσματικότητας. Από τους υπόλοιπους 364 ασθενείς, 269 αξιολογήσιμοι ασθενείς (74%) έφτασαν τις 78 εβδομάδες ανοικτής θεραπείας με adalimumab. Με βάση την προσέγγιση των παρατηρηθέντων δεδομένων, 216 (80,3 %) βρίσκονταν σε αδράνεια (δεν υπήρξαν ενεργές φλεγμονώδεις αλλοιώσεις, βαθμός AC κυττάρων ≤ 0,5+, βαθμός VH ≤ 0,5+) με ταυτόχρονη δόση στεροειδών ≤ 7,5 mg ημερησίως, και οι 178 (66,2 %) ήταν σε αδράνεια χωρίς στεροειδή. Η καλύτερη οπτική οξύτητα (BCVA) είτε βελτιώθηκε είτε διατηρήθηκε (&lt; 5 επιδείνωση της αντίληψης των γραμμάτων) στο 88,6 % των οφθαλμών την εβδομάδα 78. Τα δεδομένα πέραν της Εβδομάδας 78 γενικώς συμβάδιζαν με αυτά τα αποτελέσματα αλλά ο αριθμός των εντεταγμένων ασθενών μειώθηκε ύστερα από αυτό το χρονικό διάστημα. Συνολικά, μεταξύ των ασθενών που διέκοψαν τη μελέτη, το 18 % διέκοψε λόγω ανεπιθύμητων ενεργειών, και το 8 % λόγω ανεπαρκούς ανταπόκρισης θεραπεία με adalimumab.</w:t>
      </w:r>
    </w:p>
    <w:p w14:paraId="122BFAA3" w14:textId="77777777" w:rsidR="00171824" w:rsidRDefault="00171824">
      <w:pPr>
        <w:widowControl/>
        <w:kinsoku w:val="0"/>
        <w:overflowPunct w:val="0"/>
        <w:rPr>
          <w:sz w:val="22"/>
          <w:szCs w:val="22"/>
          <w:lang w:val="el-GR"/>
        </w:rPr>
      </w:pPr>
    </w:p>
    <w:p w14:paraId="3C3AEB33" w14:textId="77777777" w:rsidR="00171824" w:rsidRDefault="006D258C">
      <w:pPr>
        <w:keepNext/>
        <w:widowControl/>
        <w:kinsoku w:val="0"/>
        <w:overflowPunct w:val="0"/>
        <w:rPr>
          <w:sz w:val="22"/>
          <w:szCs w:val="22"/>
          <w:lang w:val="el-GR"/>
        </w:rPr>
      </w:pPr>
      <w:r>
        <w:rPr>
          <w:i/>
          <w:iCs/>
          <w:sz w:val="22"/>
          <w:szCs w:val="22"/>
          <w:u w:val="single"/>
          <w:lang w:val="el-GR"/>
        </w:rPr>
        <w:t>Ποιότητα ζωής</w:t>
      </w:r>
    </w:p>
    <w:p w14:paraId="3B5DCEE8" w14:textId="77777777" w:rsidR="00171824" w:rsidRDefault="00171824">
      <w:pPr>
        <w:keepNext/>
        <w:widowControl/>
        <w:kinsoku w:val="0"/>
        <w:overflowPunct w:val="0"/>
        <w:rPr>
          <w:sz w:val="22"/>
          <w:szCs w:val="22"/>
          <w:lang w:val="el-GR"/>
        </w:rPr>
      </w:pPr>
    </w:p>
    <w:p w14:paraId="18D769C8" w14:textId="77777777" w:rsidR="00171824" w:rsidRDefault="006D258C">
      <w:pPr>
        <w:pStyle w:val="BodyText"/>
        <w:keepNext/>
        <w:widowControl/>
        <w:kinsoku w:val="0"/>
        <w:overflowPunct w:val="0"/>
        <w:ind w:left="0"/>
        <w:rPr>
          <w:lang w:val="el-GR"/>
        </w:rPr>
      </w:pPr>
      <w:r>
        <w:rPr>
          <w:lang w:val="el-GR"/>
        </w:rPr>
        <w:t>Οι παράμετροι αυτοαξιολόγησης των ασθενών σχετικά με τη λειτουργία της όρασης μετρήθηκαν και στις δύο κλινικές μελέτες χρησιμοποιώντας το NEI VFQ-25. Το adalimumab υπερίσχυσε αριθμητικά στην πλειονότητα των επιμέρους βαθμολογιών με στατιστικά σημαντικές μέσες διαφορές για τη γενική όραση, το οφθαλμικό άλγος, την κοντινή όραση, την ψυχική υγεία και τη συνολική βαθμολογία στη Μελέτη UV Ι, και για τη γενική όραση και την ψυχική υγεία στη Μελέτη UV II. Το adalimumab δεν υπερίσχυσε αριθμητικά στις επιδράσεις που σχετίζονταν με την όραση για την αντίληψη των χρωμάτων στη Μελέτη UV I και για την αντίληψη των χρωμάτων, την περιφερική όραση και την κοντινή όραση στη Μελέτη UV II.</w:t>
      </w:r>
    </w:p>
    <w:p w14:paraId="1B01ECC8" w14:textId="77777777" w:rsidR="00171824" w:rsidRDefault="00171824">
      <w:pPr>
        <w:widowControl/>
        <w:kinsoku w:val="0"/>
        <w:overflowPunct w:val="0"/>
        <w:rPr>
          <w:sz w:val="22"/>
          <w:szCs w:val="22"/>
          <w:lang w:val="el-GR"/>
        </w:rPr>
      </w:pPr>
    </w:p>
    <w:p w14:paraId="33E5874E" w14:textId="77777777" w:rsidR="00171824" w:rsidRDefault="006D258C">
      <w:pPr>
        <w:pStyle w:val="BodyText"/>
        <w:keepNext/>
        <w:keepLines/>
        <w:widowControl/>
        <w:kinsoku w:val="0"/>
        <w:overflowPunct w:val="0"/>
        <w:ind w:left="0"/>
        <w:rPr>
          <w:lang w:val="el-GR"/>
        </w:rPr>
      </w:pPr>
      <w:r>
        <w:rPr>
          <w:u w:val="single"/>
          <w:lang w:val="el-GR"/>
        </w:rPr>
        <w:lastRenderedPageBreak/>
        <w:t>Ανοσογονικότητα</w:t>
      </w:r>
    </w:p>
    <w:p w14:paraId="07847C3A" w14:textId="77777777" w:rsidR="00171824" w:rsidRDefault="00171824">
      <w:pPr>
        <w:pStyle w:val="BodyText"/>
        <w:keepNext/>
        <w:keepLines/>
        <w:widowControl/>
        <w:kinsoku w:val="0"/>
        <w:overflowPunct w:val="0"/>
        <w:ind w:left="0"/>
        <w:rPr>
          <w:lang w:val="el-GR"/>
        </w:rPr>
      </w:pPr>
    </w:p>
    <w:p w14:paraId="009E7C17" w14:textId="77777777" w:rsidR="00171824" w:rsidRDefault="006D258C">
      <w:pPr>
        <w:pStyle w:val="BodyText"/>
        <w:keepNext/>
        <w:keepLines/>
        <w:widowControl/>
        <w:kinsoku w:val="0"/>
        <w:overflowPunct w:val="0"/>
        <w:ind w:left="0"/>
        <w:rPr>
          <w:lang w:val="el-GR"/>
        </w:rPr>
      </w:pPr>
      <w:r>
        <w:rPr>
          <w:lang w:val="el-GR"/>
        </w:rPr>
        <w:t xml:space="preserve">Κατά τη διάρκεια της θεραπείας με adalimumab ενδέχεται να αναπτυχθούν αντισώματα έναντι του adalimumab. Ο σχηματισμός αντισωμάτων έναντι του adalimumab συνδέεται με αυξημένη κάθαρση και μειωμένη αποτελεσματικότητα του adalimumab. Δεν υπάρχει εμφανής συσχετισμός μεταξύ της παρουσίας των αντισωμάτων έναντι του adalimumab και της εμφάνισης ανεπιθύμητων ενεργειών. </w:t>
      </w:r>
    </w:p>
    <w:p w14:paraId="5B0B289D" w14:textId="77777777" w:rsidR="00171824" w:rsidRDefault="00171824">
      <w:pPr>
        <w:pStyle w:val="BodyText"/>
        <w:widowControl/>
        <w:kinsoku w:val="0"/>
        <w:overflowPunct w:val="0"/>
        <w:ind w:left="0"/>
        <w:rPr>
          <w:u w:val="single"/>
          <w:lang w:val="el-GR"/>
        </w:rPr>
      </w:pPr>
    </w:p>
    <w:p w14:paraId="5621F9F5" w14:textId="77777777" w:rsidR="00171824" w:rsidRDefault="006D258C">
      <w:pPr>
        <w:pStyle w:val="BodyText"/>
        <w:keepNext/>
        <w:widowControl/>
        <w:kinsoku w:val="0"/>
        <w:overflowPunct w:val="0"/>
        <w:ind w:left="0"/>
        <w:rPr>
          <w:u w:val="single"/>
          <w:lang w:val="el-GR"/>
        </w:rPr>
      </w:pPr>
      <w:r>
        <w:rPr>
          <w:u w:val="single"/>
          <w:lang w:val="el-GR"/>
        </w:rPr>
        <w:t>Παιδιατρικός πληθυσμός</w:t>
      </w:r>
    </w:p>
    <w:p w14:paraId="707F1906" w14:textId="77777777" w:rsidR="00171824" w:rsidRDefault="00171824">
      <w:pPr>
        <w:pStyle w:val="BodyText"/>
        <w:keepNext/>
        <w:widowControl/>
        <w:kinsoku w:val="0"/>
        <w:overflowPunct w:val="0"/>
        <w:ind w:left="0"/>
        <w:rPr>
          <w:u w:val="single"/>
          <w:lang w:val="el-GR"/>
        </w:rPr>
      </w:pPr>
    </w:p>
    <w:p w14:paraId="56EFE008" w14:textId="77777777" w:rsidR="00171824" w:rsidRDefault="006D258C">
      <w:pPr>
        <w:keepNext/>
        <w:widowControl/>
        <w:rPr>
          <w:i/>
          <w:iCs/>
          <w:color w:val="000000"/>
          <w:sz w:val="22"/>
          <w:szCs w:val="22"/>
          <w:lang w:val="el-GR" w:eastAsia="ja-JP"/>
        </w:rPr>
      </w:pPr>
      <w:r>
        <w:rPr>
          <w:i/>
          <w:iCs/>
          <w:color w:val="000000"/>
          <w:sz w:val="22"/>
          <w:szCs w:val="22"/>
          <w:lang w:val="el-GR" w:eastAsia="ja-JP"/>
        </w:rPr>
        <w:t>Νεανική ιδιοπαθής αρθρίτιδα (</w:t>
      </w:r>
      <w:bookmarkStart w:id="55" w:name="_Hlk73721479"/>
      <w:r>
        <w:rPr>
          <w:i/>
          <w:iCs/>
          <w:color w:val="000000"/>
          <w:sz w:val="22"/>
          <w:szCs w:val="22"/>
          <w:lang w:val="el-GR" w:eastAsia="ja-JP"/>
        </w:rPr>
        <w:t>JΙΑ</w:t>
      </w:r>
      <w:bookmarkEnd w:id="55"/>
      <w:r>
        <w:rPr>
          <w:i/>
          <w:iCs/>
          <w:color w:val="000000"/>
          <w:sz w:val="22"/>
          <w:szCs w:val="22"/>
          <w:lang w:val="el-GR" w:eastAsia="ja-JP"/>
        </w:rPr>
        <w:t xml:space="preserve">) </w:t>
      </w:r>
    </w:p>
    <w:p w14:paraId="4B727FA0" w14:textId="77777777" w:rsidR="00171824" w:rsidRDefault="00171824">
      <w:pPr>
        <w:keepNext/>
        <w:widowControl/>
        <w:rPr>
          <w:color w:val="000000"/>
          <w:sz w:val="22"/>
          <w:szCs w:val="22"/>
          <w:lang w:val="el-GR" w:eastAsia="ja-JP"/>
        </w:rPr>
      </w:pPr>
    </w:p>
    <w:p w14:paraId="02970C79" w14:textId="77777777" w:rsidR="00171824" w:rsidRDefault="006D258C">
      <w:pPr>
        <w:keepNext/>
        <w:widowControl/>
        <w:rPr>
          <w:i/>
          <w:iCs/>
          <w:color w:val="000000"/>
          <w:sz w:val="22"/>
          <w:szCs w:val="22"/>
          <w:u w:val="single"/>
          <w:lang w:val="el-GR" w:eastAsia="ja-JP"/>
        </w:rPr>
      </w:pPr>
      <w:r>
        <w:rPr>
          <w:i/>
          <w:iCs/>
          <w:color w:val="000000"/>
          <w:sz w:val="22"/>
          <w:szCs w:val="22"/>
          <w:u w:val="single"/>
          <w:lang w:val="el-GR" w:eastAsia="ja-JP"/>
        </w:rPr>
        <w:t xml:space="preserve">Πολυαρθρική νεανική ιδιοπαθής αρθρίτιδα (pJIA) </w:t>
      </w:r>
    </w:p>
    <w:p w14:paraId="77C62E48" w14:textId="77777777" w:rsidR="00171824" w:rsidRDefault="00171824">
      <w:pPr>
        <w:keepNext/>
        <w:widowControl/>
        <w:rPr>
          <w:color w:val="000000"/>
          <w:sz w:val="22"/>
          <w:szCs w:val="22"/>
          <w:lang w:val="el-GR" w:eastAsia="ja-JP"/>
        </w:rPr>
      </w:pPr>
    </w:p>
    <w:p w14:paraId="08EA866F" w14:textId="77777777" w:rsidR="00171824" w:rsidRDefault="006D258C">
      <w:pPr>
        <w:widowControl/>
        <w:rPr>
          <w:color w:val="000000"/>
          <w:sz w:val="22"/>
          <w:szCs w:val="22"/>
          <w:lang w:val="el-GR" w:eastAsia="ja-JP"/>
        </w:rPr>
      </w:pPr>
      <w:r>
        <w:rPr>
          <w:color w:val="000000"/>
          <w:sz w:val="22"/>
          <w:szCs w:val="22"/>
          <w:lang w:val="el-GR" w:eastAsia="ja-JP"/>
        </w:rPr>
        <w:t xml:space="preserve">Η ασφάλεια και η αποτελεσματικότητα του </w:t>
      </w:r>
      <w:r>
        <w:rPr>
          <w:sz w:val="22"/>
          <w:lang w:val="el-GR"/>
        </w:rPr>
        <w:t>adalimumab</w:t>
      </w:r>
      <w:r>
        <w:rPr>
          <w:i/>
          <w:iCs/>
          <w:sz w:val="22"/>
          <w:lang w:val="el-GR"/>
        </w:rPr>
        <w:t xml:space="preserve"> </w:t>
      </w:r>
      <w:r>
        <w:rPr>
          <w:color w:val="000000"/>
          <w:sz w:val="22"/>
          <w:szCs w:val="22"/>
          <w:lang w:val="el-GR" w:eastAsia="ja-JP"/>
        </w:rPr>
        <w:t xml:space="preserve">αξιολογήθηκαν σε δύο μελέτες (pJIA I και II) σε παιδιά με ενεργό πολυαρθρική ή πολυαρθρικής μορφής νεανική ιδιοπαθή αρθρίτιδα, τα οποία είχαν μια ποικιλία τύπων εμφάνισης νεανικής ιδιοπαθούς αρθρίτιδας (JΙΑ) (πιο συχνά πολυαρθρίτιδα με αρνητικό ή θετικό ρευματοειδή παράγοντα και εκτεταμένη ολιγοαρθρίτιδα). </w:t>
      </w:r>
    </w:p>
    <w:p w14:paraId="283407B3" w14:textId="77777777" w:rsidR="00171824" w:rsidRDefault="00171824">
      <w:pPr>
        <w:widowControl/>
        <w:rPr>
          <w:color w:val="000000"/>
          <w:sz w:val="22"/>
          <w:szCs w:val="22"/>
          <w:lang w:val="el-GR" w:eastAsia="ja-JP"/>
        </w:rPr>
      </w:pPr>
    </w:p>
    <w:p w14:paraId="6F181A6B" w14:textId="77777777" w:rsidR="00171824" w:rsidRDefault="006D258C">
      <w:pPr>
        <w:widowControl/>
        <w:rPr>
          <w:color w:val="000000"/>
          <w:sz w:val="22"/>
          <w:szCs w:val="22"/>
          <w:lang w:val="el-GR" w:eastAsia="ja-JP"/>
        </w:rPr>
      </w:pPr>
      <w:r>
        <w:rPr>
          <w:color w:val="000000"/>
          <w:sz w:val="22"/>
          <w:szCs w:val="22"/>
          <w:lang w:val="el-GR" w:eastAsia="ja-JP"/>
        </w:rPr>
        <w:t xml:space="preserve">pJIA I </w:t>
      </w:r>
    </w:p>
    <w:p w14:paraId="0ABA6426" w14:textId="77777777" w:rsidR="00171824" w:rsidRDefault="00171824">
      <w:pPr>
        <w:widowControl/>
        <w:rPr>
          <w:color w:val="000000"/>
          <w:sz w:val="22"/>
          <w:szCs w:val="22"/>
          <w:lang w:val="el-GR" w:eastAsia="ja-JP"/>
        </w:rPr>
      </w:pPr>
    </w:p>
    <w:p w14:paraId="2BA0C139" w14:textId="77777777" w:rsidR="00171824" w:rsidRDefault="006D258C">
      <w:pPr>
        <w:pStyle w:val="BodyText"/>
        <w:keepNext/>
        <w:widowControl/>
        <w:kinsoku w:val="0"/>
        <w:overflowPunct w:val="0"/>
        <w:ind w:left="0"/>
        <w:rPr>
          <w:color w:val="000000"/>
          <w:lang w:val="el-GR" w:eastAsia="ja-JP"/>
        </w:rPr>
      </w:pPr>
      <w:r>
        <w:rPr>
          <w:color w:val="000000"/>
          <w:lang w:val="el-GR" w:eastAsia="ja-JP"/>
        </w:rPr>
        <w:t xml:space="preserve">Η ασφάλεια και η αποτελεσματικότητα του </w:t>
      </w:r>
      <w:r>
        <w:rPr>
          <w:lang w:val="el-GR"/>
        </w:rPr>
        <w:t>adalimumab</w:t>
      </w:r>
      <w:r>
        <w:rPr>
          <w:i/>
          <w:iCs/>
          <w:lang w:val="el-GR"/>
        </w:rPr>
        <w:t xml:space="preserve"> </w:t>
      </w:r>
      <w:r>
        <w:rPr>
          <w:color w:val="000000"/>
          <w:lang w:val="el-GR" w:eastAsia="ja-JP"/>
        </w:rPr>
        <w:t>αξιολογήθηκαν σε μία πολυκεντρική, τυχαιοποιημένη, διπλά-τυφλή, παραλλήλων ομάδων μελέτη σε 171 παιδιά (4-17 ετών) με πολυαρθρική JΙΑ. Στην αρχική φάση ανοικτής επέκτασης (OL LI) οι ασθενείς κατηγοριοποιήθηκαν σε δύο ομάδες, θεραπεία με MTX (μεθοτρεξάτη) ή θεραπεία χωρίς ΜΤΧ. Οι ασθενείς που ήταν στο σκέλος χωρίς MTX είτε δεν είχαν λάβει στο παρελθόν ΜΤΧ είτε είχαν αποσυρθεί από τη MTX τουλάχιστον δύο εβδομάδες πριν από τη χορήγηση του φαρμάκου μελέτης. Οι ασθενείς παρέμειναν σε σταθερές δόσεις μη στεροειδών αντιφλεγμονωδών φαρμάκων (ΜΣΑΦ) και / ή πρεδνιζόνης (≤ 0,2 mg/kg /ημέρα ή 10 mg/ημέρα κατ' ανώτατο όριο). Στη φάση OL LI όλοι οι ασθενείς έλαβαν 24 mg / m</w:t>
      </w:r>
      <w:r>
        <w:rPr>
          <w:vertAlign w:val="superscript"/>
          <w:lang w:val="el-GR"/>
        </w:rPr>
        <w:t>2</w:t>
      </w:r>
      <w:r>
        <w:rPr>
          <w:lang w:val="el-GR"/>
        </w:rPr>
        <w:t xml:space="preserve"> </w:t>
      </w:r>
      <w:r>
        <w:rPr>
          <w:color w:val="000000"/>
          <w:lang w:val="el-GR" w:eastAsia="ja-JP"/>
        </w:rPr>
        <w:t xml:space="preserve">μέχρι μέγιστης δόσης 40 mg </w:t>
      </w:r>
      <w:r>
        <w:rPr>
          <w:lang w:val="el-GR"/>
        </w:rPr>
        <w:t>adalimumab</w:t>
      </w:r>
      <w:r>
        <w:rPr>
          <w:i/>
          <w:iCs/>
          <w:lang w:val="el-GR"/>
        </w:rPr>
        <w:t xml:space="preserve"> </w:t>
      </w:r>
      <w:r>
        <w:rPr>
          <w:color w:val="000000"/>
          <w:lang w:val="el-GR" w:eastAsia="ja-JP"/>
        </w:rPr>
        <w:t>κάθε δεύτερη εβδομάδα για 16 εβδομάδες. Η κατανομή των ασθενών ανά ηλικία και ελάχιστη, μέση και μέγιστη δόση που έλαβαν κατά τη φάση OL LI παρουσιάζεται στον Πίνακα 25.</w:t>
      </w:r>
    </w:p>
    <w:p w14:paraId="5121831E" w14:textId="77777777" w:rsidR="00171824" w:rsidRDefault="00171824">
      <w:pPr>
        <w:pStyle w:val="BodyText"/>
        <w:keepNext/>
        <w:widowControl/>
        <w:kinsoku w:val="0"/>
        <w:overflowPunct w:val="0"/>
        <w:ind w:left="0"/>
        <w:rPr>
          <w:color w:val="000000"/>
          <w:lang w:val="el-GR" w:eastAsia="ja-JP"/>
        </w:rPr>
      </w:pPr>
    </w:p>
    <w:p w14:paraId="0DB006D2" w14:textId="77777777" w:rsidR="00171824" w:rsidRDefault="006D258C">
      <w:pPr>
        <w:widowControl/>
        <w:rPr>
          <w:b/>
          <w:bCs/>
          <w:color w:val="000000"/>
          <w:sz w:val="22"/>
          <w:lang w:val="el-GR" w:eastAsia="ja-JP"/>
        </w:rPr>
      </w:pPr>
      <w:r>
        <w:rPr>
          <w:b/>
          <w:bCs/>
          <w:color w:val="000000"/>
          <w:sz w:val="22"/>
          <w:szCs w:val="22"/>
          <w:lang w:val="el-GR" w:eastAsia="ja-JP"/>
        </w:rPr>
        <w:t xml:space="preserve">Πίνακας 25. </w:t>
      </w:r>
      <w:r>
        <w:rPr>
          <w:b/>
          <w:bCs/>
          <w:color w:val="000000"/>
          <w:sz w:val="22"/>
          <w:lang w:val="el-GR" w:eastAsia="ja-JP"/>
        </w:rPr>
        <w:t>Κατανομή ασθενών ανά ηλικία και δόση adalimumab που έλαβαν στη φάση OL LI</w:t>
      </w:r>
    </w:p>
    <w:p w14:paraId="35024F80" w14:textId="77777777" w:rsidR="00171824" w:rsidRDefault="00171824">
      <w:pPr>
        <w:pStyle w:val="BodyTextIndent"/>
        <w:keepNext/>
        <w:spacing w:after="0"/>
        <w:ind w:left="0"/>
        <w:rPr>
          <w:b/>
          <w:bCs/>
          <w:sz w:val="22"/>
          <w:lang w:val="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955"/>
        <w:gridCol w:w="3239"/>
      </w:tblGrid>
      <w:tr w:rsidR="00171824" w:rsidRPr="00422380" w14:paraId="47CA323C" w14:textId="77777777">
        <w:trPr>
          <w:cantSplit/>
        </w:trPr>
        <w:tc>
          <w:tcPr>
            <w:tcW w:w="1985" w:type="dxa"/>
          </w:tcPr>
          <w:p w14:paraId="34B0B798" w14:textId="77777777" w:rsidR="00171824" w:rsidRDefault="006D258C">
            <w:pPr>
              <w:pStyle w:val="BodyTextIndent"/>
              <w:keepNext/>
              <w:spacing w:after="0"/>
              <w:ind w:left="0" w:right="51"/>
              <w:rPr>
                <w:b/>
                <w:bCs/>
                <w:sz w:val="22"/>
                <w:szCs w:val="22"/>
                <w:lang w:val="el-GR"/>
              </w:rPr>
            </w:pPr>
            <w:r>
              <w:rPr>
                <w:b/>
                <w:bCs/>
                <w:sz w:val="22"/>
                <w:szCs w:val="22"/>
                <w:lang w:val="el-GR"/>
              </w:rPr>
              <w:t xml:space="preserve">Ηλικιακή Ομάδα </w:t>
            </w:r>
          </w:p>
        </w:tc>
        <w:tc>
          <w:tcPr>
            <w:tcW w:w="3955" w:type="dxa"/>
          </w:tcPr>
          <w:p w14:paraId="7A8010BE" w14:textId="77777777" w:rsidR="00171824" w:rsidRDefault="006D258C">
            <w:pPr>
              <w:pStyle w:val="BodyTextIndent"/>
              <w:keepNext/>
              <w:spacing w:after="0"/>
              <w:ind w:left="0" w:right="51"/>
              <w:rPr>
                <w:b/>
                <w:bCs/>
                <w:sz w:val="22"/>
                <w:szCs w:val="22"/>
                <w:lang w:val="el-GR"/>
              </w:rPr>
            </w:pPr>
            <w:r>
              <w:rPr>
                <w:b/>
                <w:bCs/>
                <w:sz w:val="22"/>
                <w:szCs w:val="22"/>
                <w:lang w:val="el-GR"/>
              </w:rPr>
              <w:t>Αριθμός Ασθενών στη Έναρξη n (%)</w:t>
            </w:r>
          </w:p>
        </w:tc>
        <w:tc>
          <w:tcPr>
            <w:tcW w:w="3239" w:type="dxa"/>
          </w:tcPr>
          <w:p w14:paraId="1E0F30A7" w14:textId="77777777" w:rsidR="00171824" w:rsidRDefault="006D258C">
            <w:pPr>
              <w:pStyle w:val="BodyTextIndent"/>
              <w:keepNext/>
              <w:spacing w:after="0"/>
              <w:ind w:left="0" w:right="51"/>
              <w:jc w:val="center"/>
              <w:rPr>
                <w:b/>
                <w:bCs/>
                <w:sz w:val="22"/>
                <w:szCs w:val="22"/>
                <w:lang w:val="el-GR"/>
              </w:rPr>
            </w:pPr>
            <w:r>
              <w:rPr>
                <w:b/>
                <w:sz w:val="22"/>
                <w:szCs w:val="22"/>
                <w:lang w:val="el-GR"/>
              </w:rPr>
              <w:t>Ελάχιστη, μέση και μέγιστη δόση</w:t>
            </w:r>
          </w:p>
        </w:tc>
      </w:tr>
      <w:tr w:rsidR="00171824" w14:paraId="2E5075C2" w14:textId="77777777">
        <w:trPr>
          <w:cantSplit/>
        </w:trPr>
        <w:tc>
          <w:tcPr>
            <w:tcW w:w="1985" w:type="dxa"/>
          </w:tcPr>
          <w:p w14:paraId="32F61126" w14:textId="77777777" w:rsidR="00171824" w:rsidRDefault="006D258C">
            <w:pPr>
              <w:pStyle w:val="BodyTextIndent"/>
              <w:keepNext/>
              <w:spacing w:after="0"/>
              <w:ind w:left="0" w:right="53"/>
              <w:rPr>
                <w:bCs/>
                <w:sz w:val="22"/>
                <w:szCs w:val="22"/>
                <w:lang w:val="el-GR"/>
              </w:rPr>
            </w:pPr>
            <w:r>
              <w:rPr>
                <w:bCs/>
                <w:sz w:val="22"/>
                <w:szCs w:val="22"/>
                <w:lang w:val="el-GR"/>
              </w:rPr>
              <w:t>4 έως 7 έτη</w:t>
            </w:r>
          </w:p>
        </w:tc>
        <w:tc>
          <w:tcPr>
            <w:tcW w:w="3955" w:type="dxa"/>
          </w:tcPr>
          <w:p w14:paraId="24FCA11E" w14:textId="77777777" w:rsidR="00171824" w:rsidRDefault="006D258C">
            <w:pPr>
              <w:pStyle w:val="BodyTextIndent"/>
              <w:keepNext/>
              <w:spacing w:after="0"/>
              <w:ind w:left="0" w:right="53"/>
              <w:jc w:val="center"/>
              <w:rPr>
                <w:bCs/>
                <w:sz w:val="22"/>
                <w:szCs w:val="22"/>
                <w:lang w:val="el-GR"/>
              </w:rPr>
            </w:pPr>
            <w:r>
              <w:rPr>
                <w:bCs/>
                <w:sz w:val="22"/>
                <w:szCs w:val="22"/>
                <w:lang w:val="el-GR"/>
              </w:rPr>
              <w:t>31 (18,1)</w:t>
            </w:r>
          </w:p>
        </w:tc>
        <w:tc>
          <w:tcPr>
            <w:tcW w:w="3239" w:type="dxa"/>
          </w:tcPr>
          <w:p w14:paraId="0ABDCC3A" w14:textId="77777777" w:rsidR="00171824" w:rsidRDefault="006D258C">
            <w:pPr>
              <w:pStyle w:val="BodyTextIndent"/>
              <w:keepNext/>
              <w:spacing w:after="0"/>
              <w:ind w:left="0" w:right="53"/>
              <w:jc w:val="center"/>
              <w:rPr>
                <w:bCs/>
                <w:sz w:val="22"/>
                <w:szCs w:val="22"/>
                <w:lang w:val="el-GR"/>
              </w:rPr>
            </w:pPr>
            <w:r>
              <w:rPr>
                <w:bCs/>
                <w:sz w:val="22"/>
                <w:szCs w:val="22"/>
                <w:lang w:val="el-GR"/>
              </w:rPr>
              <w:t>10, 20 και 25 mg</w:t>
            </w:r>
          </w:p>
        </w:tc>
      </w:tr>
      <w:tr w:rsidR="00171824" w14:paraId="10CC6FDD" w14:textId="77777777">
        <w:trPr>
          <w:cantSplit/>
        </w:trPr>
        <w:tc>
          <w:tcPr>
            <w:tcW w:w="1985" w:type="dxa"/>
          </w:tcPr>
          <w:p w14:paraId="5FC25F27" w14:textId="77777777" w:rsidR="00171824" w:rsidRDefault="006D258C">
            <w:pPr>
              <w:pStyle w:val="BodyTextIndent"/>
              <w:keepNext/>
              <w:spacing w:after="0"/>
              <w:ind w:left="0" w:right="53"/>
              <w:rPr>
                <w:bCs/>
                <w:sz w:val="22"/>
                <w:szCs w:val="22"/>
                <w:lang w:val="el-GR"/>
              </w:rPr>
            </w:pPr>
            <w:r>
              <w:rPr>
                <w:bCs/>
                <w:sz w:val="22"/>
                <w:szCs w:val="22"/>
                <w:lang w:val="el-GR"/>
              </w:rPr>
              <w:t>8 έως 12 έτη</w:t>
            </w:r>
          </w:p>
        </w:tc>
        <w:tc>
          <w:tcPr>
            <w:tcW w:w="3955" w:type="dxa"/>
          </w:tcPr>
          <w:p w14:paraId="3EC9468A" w14:textId="77777777" w:rsidR="00171824" w:rsidRDefault="006D258C">
            <w:pPr>
              <w:pStyle w:val="BodyTextIndent"/>
              <w:keepNext/>
              <w:spacing w:after="0"/>
              <w:ind w:left="0" w:right="53"/>
              <w:jc w:val="center"/>
              <w:rPr>
                <w:bCs/>
                <w:sz w:val="22"/>
                <w:szCs w:val="22"/>
                <w:lang w:val="el-GR"/>
              </w:rPr>
            </w:pPr>
            <w:r>
              <w:rPr>
                <w:bCs/>
                <w:sz w:val="22"/>
                <w:szCs w:val="22"/>
                <w:lang w:val="el-GR"/>
              </w:rPr>
              <w:t>71 (41,5)</w:t>
            </w:r>
          </w:p>
        </w:tc>
        <w:tc>
          <w:tcPr>
            <w:tcW w:w="3239" w:type="dxa"/>
          </w:tcPr>
          <w:p w14:paraId="4AA40123" w14:textId="77777777" w:rsidR="00171824" w:rsidRDefault="006D258C">
            <w:pPr>
              <w:pStyle w:val="BodyTextIndent"/>
              <w:keepNext/>
              <w:spacing w:after="0"/>
              <w:ind w:left="0" w:right="53"/>
              <w:jc w:val="center"/>
              <w:rPr>
                <w:bCs/>
                <w:sz w:val="22"/>
                <w:szCs w:val="22"/>
                <w:lang w:val="el-GR"/>
              </w:rPr>
            </w:pPr>
            <w:r>
              <w:rPr>
                <w:bCs/>
                <w:sz w:val="22"/>
                <w:szCs w:val="22"/>
                <w:lang w:val="el-GR"/>
              </w:rPr>
              <w:t>20, 25 και 40 mg</w:t>
            </w:r>
          </w:p>
        </w:tc>
      </w:tr>
      <w:tr w:rsidR="00171824" w14:paraId="6B8C7995" w14:textId="77777777">
        <w:trPr>
          <w:cantSplit/>
        </w:trPr>
        <w:tc>
          <w:tcPr>
            <w:tcW w:w="1985" w:type="dxa"/>
          </w:tcPr>
          <w:p w14:paraId="0DEC2417" w14:textId="77777777" w:rsidR="00171824" w:rsidRDefault="006D258C">
            <w:pPr>
              <w:pStyle w:val="BodyTextIndent"/>
              <w:keepNext/>
              <w:spacing w:after="0"/>
              <w:ind w:left="0" w:right="53"/>
              <w:rPr>
                <w:bCs/>
                <w:sz w:val="22"/>
                <w:szCs w:val="22"/>
                <w:lang w:val="el-GR"/>
              </w:rPr>
            </w:pPr>
            <w:r>
              <w:rPr>
                <w:bCs/>
                <w:sz w:val="22"/>
                <w:szCs w:val="22"/>
                <w:lang w:val="el-GR"/>
              </w:rPr>
              <w:t>13 έως 17 έτη</w:t>
            </w:r>
          </w:p>
        </w:tc>
        <w:tc>
          <w:tcPr>
            <w:tcW w:w="3955" w:type="dxa"/>
          </w:tcPr>
          <w:p w14:paraId="37313FAD" w14:textId="77777777" w:rsidR="00171824" w:rsidRDefault="006D258C">
            <w:pPr>
              <w:pStyle w:val="BodyTextIndent"/>
              <w:keepNext/>
              <w:spacing w:after="0"/>
              <w:ind w:left="0" w:right="53"/>
              <w:jc w:val="center"/>
              <w:rPr>
                <w:bCs/>
                <w:sz w:val="22"/>
                <w:szCs w:val="22"/>
                <w:lang w:val="el-GR"/>
              </w:rPr>
            </w:pPr>
            <w:r>
              <w:rPr>
                <w:bCs/>
                <w:sz w:val="22"/>
                <w:szCs w:val="22"/>
                <w:lang w:val="el-GR"/>
              </w:rPr>
              <w:t>69 (40,4)</w:t>
            </w:r>
          </w:p>
        </w:tc>
        <w:tc>
          <w:tcPr>
            <w:tcW w:w="3239" w:type="dxa"/>
          </w:tcPr>
          <w:p w14:paraId="7764A7F6" w14:textId="77777777" w:rsidR="00171824" w:rsidRDefault="006D258C">
            <w:pPr>
              <w:pStyle w:val="BodyTextIndent"/>
              <w:keepNext/>
              <w:spacing w:after="0"/>
              <w:ind w:left="0" w:right="53"/>
              <w:jc w:val="center"/>
              <w:rPr>
                <w:bCs/>
                <w:sz w:val="22"/>
                <w:szCs w:val="22"/>
                <w:lang w:val="el-GR"/>
              </w:rPr>
            </w:pPr>
            <w:r>
              <w:rPr>
                <w:bCs/>
                <w:sz w:val="22"/>
                <w:szCs w:val="22"/>
                <w:lang w:val="el-GR"/>
              </w:rPr>
              <w:t>25, 40 και 40 mg</w:t>
            </w:r>
          </w:p>
        </w:tc>
      </w:tr>
    </w:tbl>
    <w:p w14:paraId="072134A8" w14:textId="77777777" w:rsidR="00171824" w:rsidRDefault="00171824">
      <w:pPr>
        <w:widowControl/>
        <w:rPr>
          <w:sz w:val="22"/>
          <w:szCs w:val="22"/>
          <w:lang w:val="el-GR"/>
        </w:rPr>
      </w:pPr>
    </w:p>
    <w:p w14:paraId="1FEDB752" w14:textId="77777777" w:rsidR="00171824" w:rsidRDefault="006D258C">
      <w:pPr>
        <w:widowControl/>
        <w:rPr>
          <w:sz w:val="22"/>
          <w:szCs w:val="22"/>
          <w:lang w:val="el-GR"/>
        </w:rPr>
      </w:pPr>
      <w:r>
        <w:rPr>
          <w:sz w:val="22"/>
          <w:szCs w:val="22"/>
          <w:lang w:val="el-GR"/>
        </w:rPr>
        <w:t xml:space="preserve">Οι ασθενείς που κατέδειξαν μια ανταπόκριση κατά Paediatric ACR 30 την εβδομάδα 16 ήταν επιλέξιμοι προς τυχαιοποίηση στη διπλά τυφλή (DB) φάση και έλαβαν είτε </w:t>
      </w:r>
      <w:r>
        <w:rPr>
          <w:sz w:val="22"/>
          <w:lang w:val="el-GR"/>
        </w:rPr>
        <w:t>adalimumab</w:t>
      </w:r>
      <w:r>
        <w:rPr>
          <w:i/>
          <w:iCs/>
          <w:sz w:val="22"/>
          <w:lang w:val="el-GR"/>
        </w:rPr>
        <w:t xml:space="preserve"> </w:t>
      </w:r>
      <w:r>
        <w:rPr>
          <w:sz w:val="22"/>
          <w:szCs w:val="22"/>
          <w:lang w:val="el-GR"/>
        </w:rPr>
        <w:t>24 mg/ m</w:t>
      </w:r>
      <w:r>
        <w:rPr>
          <w:sz w:val="22"/>
          <w:szCs w:val="22"/>
          <w:vertAlign w:val="superscript"/>
          <w:lang w:val="el-GR"/>
        </w:rPr>
        <w:t>2</w:t>
      </w:r>
      <w:r>
        <w:rPr>
          <w:sz w:val="14"/>
          <w:szCs w:val="14"/>
          <w:lang w:val="el-GR"/>
        </w:rPr>
        <w:t xml:space="preserve"> </w:t>
      </w:r>
      <w:r>
        <w:rPr>
          <w:sz w:val="22"/>
          <w:szCs w:val="22"/>
          <w:lang w:val="el-GR"/>
        </w:rPr>
        <w:t>μέχρι μέγιστης δόσης 40 mg ή εικονικό φαρμάκου κάθε δεύτερη εβδομάδα για επιπλέον 32 εβδομάδες ή μέχρι την έξαρση της νόσου. Τα κριτήρια έξαρσης της νόσου ορίστηκαν ως επιδείνωση ≥ 30% από την έναρξη σε ≥ 3 από 6 Paediatric ACR βασικά κριτήρια, ≥ 2 ενεργές αρθρώσεις και βελτίωση &gt; 30% σε όχι περισσότερα του 1 από τα 6 κριτήρια. Μετά από 32 εβδομάδες ή στην έξαρση της νόσου, οι ασθενείς ήταν επιλέξιμοι να εισαχθούν στην ανοικτή φάση επέκτασης.</w:t>
      </w:r>
    </w:p>
    <w:p w14:paraId="7D9E97A8" w14:textId="77777777" w:rsidR="00171824" w:rsidRDefault="00171824">
      <w:pPr>
        <w:widowControl/>
        <w:rPr>
          <w:sz w:val="22"/>
          <w:szCs w:val="22"/>
          <w:lang w:val="el-GR"/>
        </w:rPr>
      </w:pPr>
    </w:p>
    <w:p w14:paraId="482D0430" w14:textId="77777777" w:rsidR="00171824" w:rsidRDefault="006D258C">
      <w:pPr>
        <w:keepNext/>
        <w:widowControl/>
        <w:rPr>
          <w:b/>
          <w:bCs/>
          <w:color w:val="000000"/>
          <w:sz w:val="22"/>
          <w:szCs w:val="22"/>
          <w:lang w:val="el-GR" w:eastAsia="ja-JP"/>
        </w:rPr>
      </w:pPr>
      <w:r>
        <w:rPr>
          <w:b/>
          <w:bCs/>
          <w:color w:val="000000"/>
          <w:sz w:val="22"/>
          <w:szCs w:val="22"/>
          <w:lang w:val="el-GR" w:eastAsia="ja-JP"/>
        </w:rPr>
        <w:lastRenderedPageBreak/>
        <w:t>Πίνακας 26. Ανταποκρίσεις κατά Ped ACR 30 στη μελέτη JIA</w:t>
      </w:r>
    </w:p>
    <w:p w14:paraId="02067E88" w14:textId="77777777" w:rsidR="00171824" w:rsidRDefault="00171824">
      <w:pPr>
        <w:keepNext/>
        <w:widowControl/>
        <w:rPr>
          <w:b/>
          <w:bCs/>
          <w:color w:val="000000"/>
          <w:sz w:val="22"/>
          <w:szCs w:val="22"/>
          <w:lang w:val="el-GR" w:eastAsia="ja-JP"/>
        </w:rPr>
      </w:pPr>
    </w:p>
    <w:tbl>
      <w:tblPr>
        <w:tblW w:w="91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9"/>
        <w:gridCol w:w="1736"/>
        <w:gridCol w:w="1736"/>
        <w:gridCol w:w="1631"/>
        <w:gridCol w:w="1572"/>
      </w:tblGrid>
      <w:tr w:rsidR="00171824" w14:paraId="5A61D745" w14:textId="77777777">
        <w:trPr>
          <w:cantSplit/>
        </w:trPr>
        <w:tc>
          <w:tcPr>
            <w:tcW w:w="2429" w:type="dxa"/>
          </w:tcPr>
          <w:p w14:paraId="4E30D9C2" w14:textId="77777777" w:rsidR="00171824" w:rsidRDefault="006D258C">
            <w:pPr>
              <w:keepNext/>
              <w:rPr>
                <w:b/>
                <w:sz w:val="22"/>
                <w:szCs w:val="22"/>
                <w:lang w:val="el-GR"/>
              </w:rPr>
            </w:pPr>
            <w:r>
              <w:rPr>
                <w:b/>
                <w:sz w:val="22"/>
                <w:szCs w:val="22"/>
                <w:lang w:val="el-GR"/>
              </w:rPr>
              <w:t>Σκέλος</w:t>
            </w:r>
          </w:p>
        </w:tc>
        <w:tc>
          <w:tcPr>
            <w:tcW w:w="3472" w:type="dxa"/>
            <w:gridSpan w:val="2"/>
          </w:tcPr>
          <w:p w14:paraId="431EC3B7" w14:textId="77777777" w:rsidR="00171824" w:rsidRDefault="006D258C">
            <w:pPr>
              <w:pStyle w:val="BodyTextIndent"/>
              <w:keepNext/>
              <w:spacing w:after="0"/>
              <w:ind w:left="0"/>
              <w:jc w:val="center"/>
              <w:rPr>
                <w:b/>
                <w:bCs/>
                <w:sz w:val="22"/>
                <w:szCs w:val="22"/>
                <w:lang w:val="el-GR"/>
              </w:rPr>
            </w:pPr>
            <w:r>
              <w:rPr>
                <w:b/>
                <w:bCs/>
                <w:sz w:val="22"/>
                <w:szCs w:val="22"/>
                <w:lang w:val="el-GR"/>
              </w:rPr>
              <w:t>MTX</w:t>
            </w:r>
          </w:p>
        </w:tc>
        <w:tc>
          <w:tcPr>
            <w:tcW w:w="3203" w:type="dxa"/>
            <w:gridSpan w:val="2"/>
          </w:tcPr>
          <w:p w14:paraId="0E4724F7" w14:textId="77777777" w:rsidR="00171824" w:rsidRDefault="006D258C">
            <w:pPr>
              <w:pStyle w:val="BodyTextIndent"/>
              <w:keepNext/>
              <w:spacing w:after="0"/>
              <w:ind w:left="0"/>
              <w:jc w:val="center"/>
              <w:rPr>
                <w:b/>
                <w:bCs/>
                <w:sz w:val="22"/>
                <w:szCs w:val="22"/>
                <w:lang w:val="el-GR"/>
              </w:rPr>
            </w:pPr>
            <w:r>
              <w:rPr>
                <w:b/>
                <w:bCs/>
                <w:sz w:val="22"/>
                <w:szCs w:val="22"/>
                <w:lang w:val="el-GR"/>
              </w:rPr>
              <w:t>Χωρίς MTX</w:t>
            </w:r>
          </w:p>
        </w:tc>
      </w:tr>
      <w:tr w:rsidR="00171824" w14:paraId="673ABA31" w14:textId="77777777">
        <w:trPr>
          <w:cantSplit/>
        </w:trPr>
        <w:tc>
          <w:tcPr>
            <w:tcW w:w="2429" w:type="dxa"/>
          </w:tcPr>
          <w:p w14:paraId="768C4D1A" w14:textId="77777777" w:rsidR="00171824" w:rsidRDefault="006D258C">
            <w:pPr>
              <w:keepNext/>
              <w:rPr>
                <w:b/>
                <w:sz w:val="22"/>
                <w:szCs w:val="22"/>
                <w:lang w:val="el-GR"/>
              </w:rPr>
            </w:pPr>
            <w:r>
              <w:rPr>
                <w:b/>
                <w:sz w:val="22"/>
                <w:szCs w:val="22"/>
                <w:lang w:val="el-GR"/>
              </w:rPr>
              <w:t>Φάση</w:t>
            </w:r>
          </w:p>
        </w:tc>
        <w:tc>
          <w:tcPr>
            <w:tcW w:w="3472" w:type="dxa"/>
            <w:gridSpan w:val="2"/>
          </w:tcPr>
          <w:p w14:paraId="7F76D2E1" w14:textId="77777777" w:rsidR="00171824" w:rsidRDefault="00171824">
            <w:pPr>
              <w:pStyle w:val="BodyTextIndent"/>
              <w:keepNext/>
              <w:spacing w:after="0"/>
              <w:ind w:left="0"/>
              <w:jc w:val="center"/>
              <w:rPr>
                <w:bCs/>
                <w:sz w:val="22"/>
                <w:szCs w:val="22"/>
                <w:lang w:val="el-GR"/>
              </w:rPr>
            </w:pPr>
          </w:p>
        </w:tc>
        <w:tc>
          <w:tcPr>
            <w:tcW w:w="3203" w:type="dxa"/>
            <w:gridSpan w:val="2"/>
          </w:tcPr>
          <w:p w14:paraId="0C850C6F" w14:textId="77777777" w:rsidR="00171824" w:rsidRDefault="00171824">
            <w:pPr>
              <w:pStyle w:val="BodyTextIndent"/>
              <w:keepNext/>
              <w:spacing w:after="0"/>
              <w:ind w:left="0"/>
              <w:jc w:val="center"/>
              <w:rPr>
                <w:bCs/>
                <w:sz w:val="22"/>
                <w:szCs w:val="22"/>
                <w:lang w:val="el-GR"/>
              </w:rPr>
            </w:pPr>
          </w:p>
        </w:tc>
      </w:tr>
      <w:tr w:rsidR="00171824" w14:paraId="43472B64" w14:textId="77777777">
        <w:trPr>
          <w:cantSplit/>
        </w:trPr>
        <w:tc>
          <w:tcPr>
            <w:tcW w:w="2429" w:type="dxa"/>
          </w:tcPr>
          <w:p w14:paraId="5305C8A9" w14:textId="77777777" w:rsidR="00171824" w:rsidRDefault="006D258C">
            <w:pPr>
              <w:keepNext/>
              <w:rPr>
                <w:sz w:val="22"/>
                <w:szCs w:val="22"/>
                <w:lang w:val="el-GR"/>
              </w:rPr>
            </w:pPr>
            <w:r>
              <w:rPr>
                <w:sz w:val="22"/>
                <w:szCs w:val="22"/>
                <w:lang w:val="el-GR"/>
              </w:rPr>
              <w:t xml:space="preserve">OL-LI 16 εβδομάδες </w:t>
            </w:r>
          </w:p>
        </w:tc>
        <w:tc>
          <w:tcPr>
            <w:tcW w:w="3472" w:type="dxa"/>
            <w:gridSpan w:val="2"/>
          </w:tcPr>
          <w:p w14:paraId="1FEFD396" w14:textId="77777777" w:rsidR="00171824" w:rsidRDefault="00171824">
            <w:pPr>
              <w:pStyle w:val="BodyTextIndent"/>
              <w:keepNext/>
              <w:spacing w:after="0"/>
              <w:ind w:left="0"/>
              <w:jc w:val="center"/>
              <w:rPr>
                <w:bCs/>
                <w:sz w:val="22"/>
                <w:szCs w:val="22"/>
                <w:lang w:val="el-GR"/>
              </w:rPr>
            </w:pPr>
          </w:p>
        </w:tc>
        <w:tc>
          <w:tcPr>
            <w:tcW w:w="3203" w:type="dxa"/>
            <w:gridSpan w:val="2"/>
          </w:tcPr>
          <w:p w14:paraId="4E94F350" w14:textId="77777777" w:rsidR="00171824" w:rsidRDefault="00171824">
            <w:pPr>
              <w:pStyle w:val="BodyTextIndent"/>
              <w:keepNext/>
              <w:spacing w:after="0"/>
              <w:ind w:left="0"/>
              <w:jc w:val="center"/>
              <w:rPr>
                <w:bCs/>
                <w:sz w:val="22"/>
                <w:szCs w:val="22"/>
                <w:lang w:val="el-GR"/>
              </w:rPr>
            </w:pPr>
          </w:p>
        </w:tc>
      </w:tr>
      <w:tr w:rsidR="00171824" w14:paraId="2BE317B5" w14:textId="77777777">
        <w:trPr>
          <w:cantSplit/>
        </w:trPr>
        <w:tc>
          <w:tcPr>
            <w:tcW w:w="2429" w:type="dxa"/>
          </w:tcPr>
          <w:p w14:paraId="1C586150" w14:textId="77777777" w:rsidR="00171824" w:rsidRDefault="006D258C">
            <w:pPr>
              <w:pStyle w:val="BodyTextIndent"/>
              <w:keepNext/>
              <w:suppressAutoHyphens/>
              <w:spacing w:after="0"/>
              <w:ind w:left="0" w:hanging="26"/>
              <w:rPr>
                <w:bCs/>
                <w:sz w:val="22"/>
                <w:szCs w:val="22"/>
                <w:lang w:val="el-GR"/>
              </w:rPr>
            </w:pPr>
            <w:r>
              <w:rPr>
                <w:bCs/>
                <w:sz w:val="22"/>
                <w:szCs w:val="22"/>
                <w:lang w:val="el-GR"/>
              </w:rPr>
              <w:t>Aνταποκρίσεις κατά Ped ACR 30 (n/N)</w:t>
            </w:r>
          </w:p>
        </w:tc>
        <w:tc>
          <w:tcPr>
            <w:tcW w:w="3472" w:type="dxa"/>
            <w:gridSpan w:val="2"/>
          </w:tcPr>
          <w:p w14:paraId="059A0691" w14:textId="77777777" w:rsidR="00171824" w:rsidRDefault="006D258C">
            <w:pPr>
              <w:pStyle w:val="BodyTextIndent"/>
              <w:keepNext/>
              <w:spacing w:after="0"/>
              <w:ind w:left="0"/>
              <w:jc w:val="center"/>
              <w:rPr>
                <w:bCs/>
                <w:sz w:val="22"/>
                <w:szCs w:val="22"/>
                <w:lang w:val="el-GR"/>
              </w:rPr>
            </w:pPr>
            <w:r>
              <w:rPr>
                <w:bCs/>
                <w:sz w:val="22"/>
                <w:szCs w:val="22"/>
                <w:lang w:val="el-GR"/>
              </w:rPr>
              <w:t>94,1% (80/85)</w:t>
            </w:r>
          </w:p>
        </w:tc>
        <w:tc>
          <w:tcPr>
            <w:tcW w:w="3203" w:type="dxa"/>
            <w:gridSpan w:val="2"/>
          </w:tcPr>
          <w:p w14:paraId="00FAAD9D" w14:textId="77777777" w:rsidR="00171824" w:rsidRDefault="006D258C">
            <w:pPr>
              <w:pStyle w:val="BodyTextIndent"/>
              <w:keepNext/>
              <w:spacing w:after="0"/>
              <w:ind w:left="0"/>
              <w:jc w:val="center"/>
              <w:rPr>
                <w:bCs/>
                <w:sz w:val="22"/>
                <w:szCs w:val="22"/>
                <w:lang w:val="el-GR"/>
              </w:rPr>
            </w:pPr>
            <w:r>
              <w:rPr>
                <w:bCs/>
                <w:sz w:val="22"/>
                <w:szCs w:val="22"/>
                <w:lang w:val="el-GR"/>
              </w:rPr>
              <w:t>74,4% (64/86)</w:t>
            </w:r>
          </w:p>
        </w:tc>
      </w:tr>
      <w:tr w:rsidR="00171824" w14:paraId="2DAACB1C" w14:textId="77777777">
        <w:trPr>
          <w:cantSplit/>
        </w:trPr>
        <w:tc>
          <w:tcPr>
            <w:tcW w:w="9104" w:type="dxa"/>
            <w:gridSpan w:val="5"/>
          </w:tcPr>
          <w:p w14:paraId="42115305" w14:textId="77777777" w:rsidR="00171824" w:rsidRDefault="006D258C">
            <w:pPr>
              <w:keepNext/>
              <w:jc w:val="center"/>
              <w:rPr>
                <w:bCs/>
                <w:sz w:val="22"/>
                <w:szCs w:val="22"/>
                <w:lang w:val="el-GR"/>
              </w:rPr>
            </w:pPr>
            <w:r>
              <w:rPr>
                <w:bCs/>
                <w:sz w:val="22"/>
                <w:szCs w:val="22"/>
                <w:lang w:val="el-GR"/>
              </w:rPr>
              <w:t>Αποτελεσματικότητα</w:t>
            </w:r>
          </w:p>
        </w:tc>
      </w:tr>
      <w:tr w:rsidR="00171824" w14:paraId="56B78E35" w14:textId="77777777">
        <w:trPr>
          <w:cantSplit/>
          <w:trHeight w:val="777"/>
        </w:trPr>
        <w:tc>
          <w:tcPr>
            <w:tcW w:w="2429" w:type="dxa"/>
          </w:tcPr>
          <w:p w14:paraId="0C3EBCB4" w14:textId="77777777" w:rsidR="00171824" w:rsidRDefault="006D258C">
            <w:pPr>
              <w:keepNext/>
              <w:rPr>
                <w:sz w:val="22"/>
                <w:szCs w:val="22"/>
                <w:lang w:val="el-GR"/>
              </w:rPr>
            </w:pPr>
            <w:r>
              <w:rPr>
                <w:sz w:val="22"/>
                <w:szCs w:val="22"/>
                <w:lang w:val="el-GR"/>
              </w:rPr>
              <w:t>Διπλά τυφλή 32 εβδομάδες</w:t>
            </w:r>
          </w:p>
        </w:tc>
        <w:tc>
          <w:tcPr>
            <w:tcW w:w="1736" w:type="dxa"/>
          </w:tcPr>
          <w:p w14:paraId="5DD9FC76" w14:textId="77777777" w:rsidR="00171824" w:rsidRDefault="006D258C">
            <w:pPr>
              <w:pStyle w:val="BodyTextIndent"/>
              <w:keepNext/>
              <w:spacing w:after="0"/>
              <w:ind w:left="0"/>
              <w:jc w:val="center"/>
              <w:rPr>
                <w:bCs/>
                <w:sz w:val="22"/>
                <w:szCs w:val="22"/>
                <w:lang w:val="el-GR"/>
              </w:rPr>
            </w:pPr>
            <w:r>
              <w:rPr>
                <w:color w:val="000000"/>
                <w:sz w:val="22"/>
                <w:szCs w:val="22"/>
                <w:lang w:val="el-GR"/>
              </w:rPr>
              <w:t>Adalimumab</w:t>
            </w:r>
            <w:r>
              <w:rPr>
                <w:bCs/>
                <w:sz w:val="22"/>
                <w:szCs w:val="22"/>
                <w:lang w:val="el-GR"/>
              </w:rPr>
              <w:t xml:space="preserve"> / MTX</w:t>
            </w:r>
          </w:p>
          <w:p w14:paraId="0EB7281E" w14:textId="77777777" w:rsidR="00171824" w:rsidRDefault="006D258C">
            <w:pPr>
              <w:pStyle w:val="BodyTextIndent"/>
              <w:keepNext/>
              <w:spacing w:after="0"/>
              <w:ind w:left="0"/>
              <w:jc w:val="center"/>
              <w:rPr>
                <w:bCs/>
                <w:sz w:val="22"/>
                <w:szCs w:val="22"/>
                <w:lang w:val="el-GR"/>
              </w:rPr>
            </w:pPr>
            <w:r>
              <w:rPr>
                <w:bCs/>
                <w:sz w:val="22"/>
                <w:szCs w:val="22"/>
                <w:lang w:val="el-GR"/>
              </w:rPr>
              <w:t>(N = 38)</w:t>
            </w:r>
          </w:p>
        </w:tc>
        <w:tc>
          <w:tcPr>
            <w:tcW w:w="1736" w:type="dxa"/>
          </w:tcPr>
          <w:p w14:paraId="238AB3EF" w14:textId="77777777" w:rsidR="00171824" w:rsidRDefault="006D258C">
            <w:pPr>
              <w:pStyle w:val="BodyTextIndent"/>
              <w:keepNext/>
              <w:spacing w:after="0"/>
              <w:ind w:left="0"/>
              <w:jc w:val="center"/>
              <w:rPr>
                <w:bCs/>
                <w:sz w:val="22"/>
                <w:szCs w:val="22"/>
                <w:lang w:val="el-GR"/>
              </w:rPr>
            </w:pPr>
            <w:r>
              <w:rPr>
                <w:bCs/>
                <w:sz w:val="22"/>
                <w:szCs w:val="22"/>
                <w:lang w:val="el-GR"/>
              </w:rPr>
              <w:t>Εικονικό φάρμακο / MTX</w:t>
            </w:r>
          </w:p>
          <w:p w14:paraId="1B2591AC" w14:textId="77777777" w:rsidR="00171824" w:rsidRDefault="006D258C">
            <w:pPr>
              <w:pStyle w:val="BodyTextIndent"/>
              <w:keepNext/>
              <w:spacing w:after="0"/>
              <w:ind w:left="0"/>
              <w:jc w:val="center"/>
              <w:rPr>
                <w:bCs/>
                <w:sz w:val="22"/>
                <w:szCs w:val="22"/>
                <w:lang w:val="el-GR"/>
              </w:rPr>
            </w:pPr>
            <w:r>
              <w:rPr>
                <w:bCs/>
                <w:sz w:val="22"/>
                <w:szCs w:val="22"/>
                <w:lang w:val="el-GR"/>
              </w:rPr>
              <w:t>(N = 37)</w:t>
            </w:r>
          </w:p>
        </w:tc>
        <w:tc>
          <w:tcPr>
            <w:tcW w:w="1631" w:type="dxa"/>
          </w:tcPr>
          <w:p w14:paraId="0B522FA8" w14:textId="77777777" w:rsidR="00171824" w:rsidRDefault="006D258C">
            <w:pPr>
              <w:pStyle w:val="BodyTextIndent"/>
              <w:keepNext/>
              <w:spacing w:after="0"/>
              <w:ind w:left="0"/>
              <w:jc w:val="center"/>
              <w:rPr>
                <w:bCs/>
                <w:sz w:val="22"/>
                <w:szCs w:val="22"/>
                <w:lang w:val="el-GR"/>
              </w:rPr>
            </w:pPr>
            <w:r>
              <w:rPr>
                <w:color w:val="000000"/>
                <w:sz w:val="22"/>
                <w:szCs w:val="22"/>
                <w:lang w:val="el-GR"/>
              </w:rPr>
              <w:t>Adalimumab</w:t>
            </w:r>
          </w:p>
          <w:p w14:paraId="6AFAEE09" w14:textId="77777777" w:rsidR="00171824" w:rsidRDefault="006D258C">
            <w:pPr>
              <w:pStyle w:val="BodyTextIndent"/>
              <w:keepNext/>
              <w:spacing w:after="0"/>
              <w:ind w:left="0"/>
              <w:jc w:val="center"/>
              <w:rPr>
                <w:bCs/>
                <w:sz w:val="22"/>
                <w:szCs w:val="22"/>
                <w:lang w:val="el-GR"/>
              </w:rPr>
            </w:pPr>
            <w:r>
              <w:rPr>
                <w:bCs/>
                <w:sz w:val="22"/>
                <w:szCs w:val="22"/>
                <w:lang w:val="el-GR"/>
              </w:rPr>
              <w:t>(N = 30)</w:t>
            </w:r>
          </w:p>
        </w:tc>
        <w:tc>
          <w:tcPr>
            <w:tcW w:w="1572" w:type="dxa"/>
          </w:tcPr>
          <w:p w14:paraId="378ABD57" w14:textId="77777777" w:rsidR="00171824" w:rsidRDefault="006D258C">
            <w:pPr>
              <w:pStyle w:val="BodyTextIndent"/>
              <w:keepNext/>
              <w:spacing w:after="0"/>
              <w:ind w:left="0"/>
              <w:jc w:val="center"/>
              <w:rPr>
                <w:bCs/>
                <w:sz w:val="22"/>
                <w:szCs w:val="22"/>
                <w:lang w:val="el-GR"/>
              </w:rPr>
            </w:pPr>
            <w:r>
              <w:rPr>
                <w:bCs/>
                <w:sz w:val="22"/>
                <w:szCs w:val="22"/>
                <w:lang w:val="el-GR"/>
              </w:rPr>
              <w:t>Εικονικό Φάρμακο</w:t>
            </w:r>
          </w:p>
          <w:p w14:paraId="608E8600" w14:textId="77777777" w:rsidR="00171824" w:rsidRDefault="006D258C">
            <w:pPr>
              <w:pStyle w:val="BodyTextIndent"/>
              <w:keepNext/>
              <w:spacing w:after="0"/>
              <w:ind w:left="0"/>
              <w:jc w:val="center"/>
              <w:rPr>
                <w:bCs/>
                <w:sz w:val="22"/>
                <w:szCs w:val="22"/>
                <w:lang w:val="el-GR"/>
              </w:rPr>
            </w:pPr>
            <w:r>
              <w:rPr>
                <w:bCs/>
                <w:sz w:val="22"/>
                <w:szCs w:val="22"/>
                <w:lang w:val="el-GR"/>
              </w:rPr>
              <w:t>(N = 28)</w:t>
            </w:r>
          </w:p>
        </w:tc>
      </w:tr>
      <w:tr w:rsidR="00171824" w14:paraId="06B4C960" w14:textId="77777777">
        <w:trPr>
          <w:cantSplit/>
          <w:trHeight w:val="778"/>
        </w:trPr>
        <w:tc>
          <w:tcPr>
            <w:tcW w:w="2429" w:type="dxa"/>
          </w:tcPr>
          <w:p w14:paraId="5AD769C9" w14:textId="77777777" w:rsidR="00171824" w:rsidRDefault="006D258C">
            <w:pPr>
              <w:pStyle w:val="BodyTextIndent"/>
              <w:keepNext/>
              <w:suppressAutoHyphens/>
              <w:spacing w:after="0"/>
              <w:ind w:left="0" w:firstLine="26"/>
              <w:rPr>
                <w:bCs/>
                <w:sz w:val="22"/>
                <w:szCs w:val="22"/>
                <w:lang w:val="el-GR"/>
              </w:rPr>
            </w:pPr>
            <w:r>
              <w:rPr>
                <w:bCs/>
                <w:sz w:val="22"/>
                <w:szCs w:val="22"/>
                <w:lang w:val="el-GR"/>
              </w:rPr>
              <w:t>Εξάρσεις της νόσου στο τέλος των 32 εβδομάδων</w:t>
            </w:r>
            <w:r>
              <w:rPr>
                <w:bCs/>
                <w:sz w:val="22"/>
                <w:szCs w:val="22"/>
                <w:vertAlign w:val="superscript"/>
                <w:lang w:val="el-GR"/>
              </w:rPr>
              <w:t>α</w:t>
            </w:r>
            <w:r>
              <w:rPr>
                <w:bCs/>
                <w:sz w:val="22"/>
                <w:szCs w:val="22"/>
                <w:lang w:val="el-GR"/>
              </w:rPr>
              <w:t xml:space="preserve"> (n/N)</w:t>
            </w:r>
          </w:p>
        </w:tc>
        <w:tc>
          <w:tcPr>
            <w:tcW w:w="1736" w:type="dxa"/>
          </w:tcPr>
          <w:p w14:paraId="15021864" w14:textId="77777777" w:rsidR="00171824" w:rsidRDefault="006D258C">
            <w:pPr>
              <w:pStyle w:val="BodyTextIndent"/>
              <w:keepNext/>
              <w:spacing w:after="0"/>
              <w:ind w:left="0"/>
              <w:jc w:val="center"/>
              <w:rPr>
                <w:bCs/>
                <w:sz w:val="22"/>
                <w:szCs w:val="22"/>
                <w:lang w:val="el-GR"/>
              </w:rPr>
            </w:pPr>
            <w:r>
              <w:rPr>
                <w:bCs/>
                <w:sz w:val="22"/>
                <w:szCs w:val="22"/>
                <w:lang w:val="el-GR"/>
              </w:rPr>
              <w:t>36,8% (14/38)</w:t>
            </w:r>
          </w:p>
        </w:tc>
        <w:tc>
          <w:tcPr>
            <w:tcW w:w="1736" w:type="dxa"/>
          </w:tcPr>
          <w:p w14:paraId="0C6E7C0A" w14:textId="77777777" w:rsidR="00171824" w:rsidRDefault="006D258C">
            <w:pPr>
              <w:pStyle w:val="BodyTextIndent"/>
              <w:keepNext/>
              <w:spacing w:after="0"/>
              <w:ind w:left="0"/>
              <w:jc w:val="center"/>
              <w:rPr>
                <w:bCs/>
                <w:sz w:val="22"/>
                <w:szCs w:val="22"/>
                <w:lang w:val="el-GR"/>
              </w:rPr>
            </w:pPr>
            <w:r>
              <w:rPr>
                <w:bCs/>
                <w:sz w:val="22"/>
                <w:szCs w:val="22"/>
                <w:lang w:val="el-GR"/>
              </w:rPr>
              <w:t>64,9% (24/37)</w:t>
            </w:r>
            <w:r>
              <w:rPr>
                <w:bCs/>
                <w:sz w:val="22"/>
                <w:szCs w:val="22"/>
                <w:vertAlign w:val="superscript"/>
                <w:lang w:val="el-GR"/>
              </w:rPr>
              <w:t>β</w:t>
            </w:r>
          </w:p>
        </w:tc>
        <w:tc>
          <w:tcPr>
            <w:tcW w:w="1631" w:type="dxa"/>
          </w:tcPr>
          <w:p w14:paraId="05993898" w14:textId="77777777" w:rsidR="00171824" w:rsidRDefault="006D258C">
            <w:pPr>
              <w:pStyle w:val="BodyTextIndent"/>
              <w:keepNext/>
              <w:spacing w:after="0"/>
              <w:ind w:left="0"/>
              <w:jc w:val="center"/>
              <w:rPr>
                <w:bCs/>
                <w:sz w:val="22"/>
                <w:szCs w:val="22"/>
                <w:lang w:val="el-GR"/>
              </w:rPr>
            </w:pPr>
            <w:r>
              <w:rPr>
                <w:bCs/>
                <w:sz w:val="22"/>
                <w:szCs w:val="22"/>
                <w:lang w:val="el-GR"/>
              </w:rPr>
              <w:t>43,3% (13/30)</w:t>
            </w:r>
          </w:p>
        </w:tc>
        <w:tc>
          <w:tcPr>
            <w:tcW w:w="1572" w:type="dxa"/>
          </w:tcPr>
          <w:p w14:paraId="621CD218" w14:textId="77777777" w:rsidR="00171824" w:rsidRDefault="006D258C">
            <w:pPr>
              <w:pStyle w:val="BodyTextIndent"/>
              <w:keepNext/>
              <w:spacing w:after="0"/>
              <w:ind w:left="0"/>
              <w:jc w:val="center"/>
              <w:rPr>
                <w:bCs/>
                <w:sz w:val="22"/>
                <w:szCs w:val="22"/>
                <w:lang w:val="el-GR"/>
              </w:rPr>
            </w:pPr>
            <w:r>
              <w:rPr>
                <w:bCs/>
                <w:sz w:val="22"/>
                <w:szCs w:val="22"/>
                <w:lang w:val="el-GR"/>
              </w:rPr>
              <w:t>71,4% (20/28)</w:t>
            </w:r>
            <w:r>
              <w:rPr>
                <w:bCs/>
                <w:sz w:val="22"/>
                <w:szCs w:val="22"/>
                <w:vertAlign w:val="superscript"/>
                <w:lang w:val="el-GR"/>
              </w:rPr>
              <w:t>γ</w:t>
            </w:r>
          </w:p>
        </w:tc>
      </w:tr>
      <w:tr w:rsidR="00171824" w14:paraId="4DDABC5D" w14:textId="77777777">
        <w:trPr>
          <w:cantSplit/>
          <w:trHeight w:val="593"/>
        </w:trPr>
        <w:tc>
          <w:tcPr>
            <w:tcW w:w="2429" w:type="dxa"/>
          </w:tcPr>
          <w:p w14:paraId="609E1581" w14:textId="77777777" w:rsidR="00171824" w:rsidRDefault="006D258C">
            <w:pPr>
              <w:pStyle w:val="BodyTextIndent"/>
              <w:keepNext/>
              <w:suppressAutoHyphens/>
              <w:spacing w:after="0"/>
              <w:ind w:left="0" w:firstLine="26"/>
              <w:rPr>
                <w:bCs/>
                <w:sz w:val="22"/>
                <w:szCs w:val="22"/>
                <w:lang w:val="el-GR"/>
              </w:rPr>
            </w:pPr>
            <w:r>
              <w:rPr>
                <w:bCs/>
                <w:sz w:val="22"/>
                <w:szCs w:val="22"/>
                <w:lang w:val="el-GR"/>
              </w:rPr>
              <w:t>Μέσος χρόνος ως την έξαρση της νόσου</w:t>
            </w:r>
          </w:p>
        </w:tc>
        <w:tc>
          <w:tcPr>
            <w:tcW w:w="1736" w:type="dxa"/>
          </w:tcPr>
          <w:p w14:paraId="2BABE775" w14:textId="77777777" w:rsidR="00171824" w:rsidRDefault="006D258C">
            <w:pPr>
              <w:pStyle w:val="BodyTextIndent"/>
              <w:keepNext/>
              <w:spacing w:after="0"/>
              <w:ind w:left="0"/>
              <w:jc w:val="center"/>
              <w:rPr>
                <w:bCs/>
                <w:sz w:val="22"/>
                <w:szCs w:val="22"/>
                <w:lang w:val="el-GR"/>
              </w:rPr>
            </w:pPr>
            <w:r>
              <w:rPr>
                <w:bCs/>
                <w:sz w:val="22"/>
                <w:szCs w:val="22"/>
                <w:lang w:val="el-GR"/>
              </w:rPr>
              <w:t>&gt;32 εβδομάδες</w:t>
            </w:r>
          </w:p>
        </w:tc>
        <w:tc>
          <w:tcPr>
            <w:tcW w:w="1736" w:type="dxa"/>
          </w:tcPr>
          <w:p w14:paraId="7CDB3510" w14:textId="77777777" w:rsidR="00171824" w:rsidRDefault="006D258C">
            <w:pPr>
              <w:pStyle w:val="BodyTextIndent"/>
              <w:keepNext/>
              <w:spacing w:after="0"/>
              <w:ind w:left="0"/>
              <w:jc w:val="center"/>
              <w:rPr>
                <w:bCs/>
                <w:sz w:val="22"/>
                <w:szCs w:val="22"/>
                <w:lang w:val="el-GR"/>
              </w:rPr>
            </w:pPr>
            <w:r>
              <w:rPr>
                <w:bCs/>
                <w:sz w:val="22"/>
                <w:szCs w:val="22"/>
                <w:lang w:val="el-GR"/>
              </w:rPr>
              <w:t>20 εβδομάδες</w:t>
            </w:r>
          </w:p>
        </w:tc>
        <w:tc>
          <w:tcPr>
            <w:tcW w:w="1631" w:type="dxa"/>
          </w:tcPr>
          <w:p w14:paraId="008FA48C" w14:textId="77777777" w:rsidR="00171824" w:rsidRDefault="006D258C">
            <w:pPr>
              <w:pStyle w:val="BodyTextIndent"/>
              <w:keepNext/>
              <w:spacing w:after="0"/>
              <w:ind w:left="0"/>
              <w:jc w:val="center"/>
              <w:rPr>
                <w:bCs/>
                <w:sz w:val="22"/>
                <w:szCs w:val="22"/>
                <w:lang w:val="el-GR"/>
              </w:rPr>
            </w:pPr>
            <w:r>
              <w:rPr>
                <w:bCs/>
                <w:sz w:val="22"/>
                <w:szCs w:val="22"/>
                <w:lang w:val="el-GR"/>
              </w:rPr>
              <w:t>&gt;32 εβδομάδες</w:t>
            </w:r>
          </w:p>
        </w:tc>
        <w:tc>
          <w:tcPr>
            <w:tcW w:w="1572" w:type="dxa"/>
          </w:tcPr>
          <w:p w14:paraId="21A83A8B" w14:textId="77777777" w:rsidR="00171824" w:rsidRDefault="006D258C">
            <w:pPr>
              <w:pStyle w:val="BodyTextIndent"/>
              <w:keepNext/>
              <w:spacing w:after="0"/>
              <w:ind w:left="0"/>
              <w:jc w:val="center"/>
              <w:rPr>
                <w:bCs/>
                <w:sz w:val="22"/>
                <w:szCs w:val="22"/>
                <w:lang w:val="el-GR"/>
              </w:rPr>
            </w:pPr>
            <w:r>
              <w:rPr>
                <w:bCs/>
                <w:sz w:val="22"/>
                <w:szCs w:val="22"/>
                <w:lang w:val="el-GR"/>
              </w:rPr>
              <w:t>14 εβδομάδες</w:t>
            </w:r>
          </w:p>
        </w:tc>
      </w:tr>
    </w:tbl>
    <w:p w14:paraId="5B792745" w14:textId="77777777" w:rsidR="00171824" w:rsidRDefault="006D258C">
      <w:pPr>
        <w:widowControl/>
        <w:rPr>
          <w:color w:val="000000"/>
          <w:sz w:val="20"/>
          <w:szCs w:val="20"/>
          <w:lang w:val="el-GR" w:eastAsia="ja-JP"/>
        </w:rPr>
      </w:pPr>
      <w:r>
        <w:rPr>
          <w:color w:val="000000"/>
          <w:sz w:val="20"/>
          <w:szCs w:val="20"/>
          <w:vertAlign w:val="superscript"/>
          <w:lang w:val="el-GR" w:eastAsia="ja-JP"/>
        </w:rPr>
        <w:t>α</w:t>
      </w:r>
      <w:r>
        <w:rPr>
          <w:color w:val="000000"/>
          <w:sz w:val="20"/>
          <w:szCs w:val="20"/>
          <w:lang w:val="el-GR" w:eastAsia="ja-JP"/>
        </w:rPr>
        <w:t xml:space="preserve">Aνταποκρίσεις κατά Ped ACR 30/50/70 την Εβδομάδα 48 σημαντικά μεγαλύτερες από εκείνες των ασθενών που έλαβαν εικονικό φάρμακο </w:t>
      </w:r>
    </w:p>
    <w:p w14:paraId="51E45E61" w14:textId="77777777" w:rsidR="00171824" w:rsidRDefault="006D258C">
      <w:pPr>
        <w:widowControl/>
        <w:rPr>
          <w:color w:val="000000"/>
          <w:sz w:val="20"/>
          <w:szCs w:val="20"/>
          <w:lang w:val="el-GR" w:eastAsia="ja-JP"/>
        </w:rPr>
      </w:pPr>
      <w:r>
        <w:rPr>
          <w:color w:val="000000"/>
          <w:sz w:val="20"/>
          <w:szCs w:val="20"/>
          <w:vertAlign w:val="superscript"/>
          <w:lang w:val="el-GR" w:eastAsia="ja-JP"/>
        </w:rPr>
        <w:t>β</w:t>
      </w:r>
      <w:r>
        <w:rPr>
          <w:color w:val="000000"/>
          <w:sz w:val="20"/>
          <w:szCs w:val="20"/>
          <w:lang w:val="el-GR" w:eastAsia="ja-JP"/>
        </w:rPr>
        <w:t xml:space="preserve"> p = 0,015</w:t>
      </w:r>
    </w:p>
    <w:p w14:paraId="410580B0" w14:textId="77777777" w:rsidR="00171824" w:rsidRDefault="006D258C">
      <w:pPr>
        <w:widowControl/>
        <w:rPr>
          <w:color w:val="000000"/>
          <w:sz w:val="20"/>
          <w:szCs w:val="20"/>
          <w:lang w:val="el-GR" w:eastAsia="ja-JP"/>
        </w:rPr>
      </w:pPr>
      <w:r>
        <w:rPr>
          <w:color w:val="000000"/>
          <w:sz w:val="20"/>
          <w:szCs w:val="20"/>
          <w:vertAlign w:val="superscript"/>
          <w:lang w:val="el-GR" w:eastAsia="ja-JP"/>
        </w:rPr>
        <w:t>γ</w:t>
      </w:r>
      <w:r>
        <w:rPr>
          <w:color w:val="000000"/>
          <w:sz w:val="20"/>
          <w:szCs w:val="20"/>
          <w:lang w:val="el-GR" w:eastAsia="ja-JP"/>
        </w:rPr>
        <w:t xml:space="preserve"> p = 0,031</w:t>
      </w:r>
    </w:p>
    <w:p w14:paraId="0B26A46D" w14:textId="77777777" w:rsidR="00171824" w:rsidRDefault="00171824">
      <w:pPr>
        <w:widowControl/>
        <w:rPr>
          <w:sz w:val="22"/>
          <w:lang w:val="el-GR"/>
        </w:rPr>
      </w:pPr>
    </w:p>
    <w:p w14:paraId="647E9DD2" w14:textId="77777777" w:rsidR="00171824" w:rsidRDefault="006D258C">
      <w:pPr>
        <w:widowControl/>
        <w:rPr>
          <w:color w:val="000000"/>
          <w:sz w:val="22"/>
          <w:szCs w:val="22"/>
          <w:lang w:val="el-GR" w:eastAsia="ja-JP"/>
        </w:rPr>
      </w:pPr>
      <w:r>
        <w:rPr>
          <w:color w:val="000000"/>
          <w:sz w:val="22"/>
          <w:szCs w:val="22"/>
          <w:lang w:val="el-GR" w:eastAsia="ja-JP"/>
        </w:rPr>
        <w:t xml:space="preserve">Μεταξύ εκείνων που ανταποκρίθηκαν στην εβδομάδα 16 (n = 144), οι ανταποκρίσεις κατά Paediatric ACR 30/50/70/90 διατηρήθηκαν μέχρι και έξι χρόνια στη φάση OLE σε ασθενείς που έλαβαν </w:t>
      </w:r>
      <w:r>
        <w:rPr>
          <w:sz w:val="22"/>
          <w:szCs w:val="22"/>
          <w:lang w:val="el-GR"/>
        </w:rPr>
        <w:t>adalimumab</w:t>
      </w:r>
      <w:r>
        <w:rPr>
          <w:i/>
          <w:iCs/>
          <w:sz w:val="22"/>
          <w:lang w:val="el-GR"/>
        </w:rPr>
        <w:t xml:space="preserve"> </w:t>
      </w:r>
      <w:r>
        <w:rPr>
          <w:color w:val="000000"/>
          <w:sz w:val="22"/>
          <w:szCs w:val="22"/>
          <w:lang w:val="el-GR" w:eastAsia="ja-JP"/>
        </w:rPr>
        <w:t xml:space="preserve">καθ΄όλη τη διάρκεια της μελέτης. Συνολικά 19 άτομα έλαβαν θεραπεία 6 ετών ή περισσότερο, 11 εκ των οποίων από την ηλικιακή ομάδα αναφοράς 4 έως 12 ετών και 8 της ηλικιακής ομάδας αναφοράς 13 έως 17 ετών. </w:t>
      </w:r>
    </w:p>
    <w:p w14:paraId="68797247" w14:textId="77777777" w:rsidR="00171824" w:rsidRDefault="00171824">
      <w:pPr>
        <w:widowControl/>
        <w:rPr>
          <w:color w:val="000000"/>
          <w:sz w:val="22"/>
          <w:szCs w:val="22"/>
          <w:lang w:val="el-GR" w:eastAsia="ja-JP"/>
        </w:rPr>
      </w:pPr>
    </w:p>
    <w:p w14:paraId="16220AB4" w14:textId="77777777" w:rsidR="00171824" w:rsidRDefault="006D258C">
      <w:pPr>
        <w:widowControl/>
        <w:kinsoku w:val="0"/>
        <w:overflowPunct w:val="0"/>
        <w:rPr>
          <w:color w:val="000000"/>
          <w:sz w:val="22"/>
          <w:szCs w:val="22"/>
          <w:lang w:val="el-GR" w:eastAsia="ja-JP"/>
        </w:rPr>
      </w:pPr>
      <w:r>
        <w:rPr>
          <w:color w:val="000000"/>
          <w:sz w:val="22"/>
          <w:szCs w:val="22"/>
          <w:lang w:val="el-GR" w:eastAsia="ja-JP"/>
        </w:rPr>
        <w:t xml:space="preserve">Οι ανταποκρίσεις στο σύνολό τους ήταν γενικά καλύτερες και λιγότεροι ασθενείς ανέπτυξαν αντισώματα όταν έλαβαν θεραπεία συνδυασμού </w:t>
      </w:r>
      <w:r>
        <w:rPr>
          <w:sz w:val="22"/>
          <w:szCs w:val="22"/>
          <w:lang w:val="el-GR"/>
        </w:rPr>
        <w:t>adalimumab</w:t>
      </w:r>
      <w:r>
        <w:rPr>
          <w:i/>
          <w:iCs/>
          <w:sz w:val="22"/>
          <w:lang w:val="el-GR"/>
        </w:rPr>
        <w:t xml:space="preserve"> </w:t>
      </w:r>
      <w:r>
        <w:rPr>
          <w:color w:val="000000"/>
          <w:sz w:val="22"/>
          <w:szCs w:val="22"/>
          <w:lang w:val="el-GR" w:eastAsia="ja-JP"/>
        </w:rPr>
        <w:t xml:space="preserve">και μεθοτρεξάτης συγκριτικά με το </w:t>
      </w:r>
      <w:r>
        <w:rPr>
          <w:sz w:val="22"/>
          <w:szCs w:val="22"/>
          <w:lang w:val="el-GR"/>
        </w:rPr>
        <w:t>adalimumab</w:t>
      </w:r>
      <w:r>
        <w:rPr>
          <w:i/>
          <w:iCs/>
          <w:sz w:val="22"/>
          <w:lang w:val="el-GR"/>
        </w:rPr>
        <w:t xml:space="preserve"> </w:t>
      </w:r>
      <w:r>
        <w:rPr>
          <w:color w:val="000000"/>
          <w:sz w:val="22"/>
          <w:szCs w:val="22"/>
          <w:lang w:val="el-GR" w:eastAsia="ja-JP"/>
        </w:rPr>
        <w:t xml:space="preserve">σε μονοθεραπεία. Λαμβάνοντας υπόψη τα αποτελέσματα αυτά, το </w:t>
      </w:r>
      <w:r>
        <w:rPr>
          <w:sz w:val="22"/>
          <w:szCs w:val="22"/>
          <w:lang w:val="el-GR"/>
        </w:rPr>
        <w:t>adalimumab</w:t>
      </w:r>
      <w:r>
        <w:rPr>
          <w:i/>
          <w:iCs/>
          <w:sz w:val="22"/>
          <w:lang w:val="el-GR"/>
        </w:rPr>
        <w:t xml:space="preserve"> </w:t>
      </w:r>
      <w:r>
        <w:rPr>
          <w:color w:val="000000"/>
          <w:sz w:val="22"/>
          <w:szCs w:val="22"/>
          <w:lang w:val="el-GR" w:eastAsia="ja-JP"/>
        </w:rPr>
        <w:t>συνιστάται για χρήση σε συνδυασμό με MTX και για χρήση ως μονοθεραπεία σε ασθενείς στους οποίους η χρήση της ΜΤΧ κρίνεται ακατάλληλη (βλέπε παράγραφο 4.2).</w:t>
      </w:r>
    </w:p>
    <w:p w14:paraId="33014700" w14:textId="77777777" w:rsidR="00171824" w:rsidRDefault="00171824">
      <w:pPr>
        <w:keepNext/>
        <w:widowControl/>
        <w:kinsoku w:val="0"/>
        <w:overflowPunct w:val="0"/>
        <w:rPr>
          <w:color w:val="000000"/>
          <w:sz w:val="22"/>
          <w:szCs w:val="22"/>
          <w:lang w:val="el-GR" w:eastAsia="ja-JP"/>
        </w:rPr>
      </w:pPr>
    </w:p>
    <w:p w14:paraId="530D99E6" w14:textId="77777777" w:rsidR="00171824" w:rsidRDefault="006D258C">
      <w:pPr>
        <w:keepNext/>
        <w:widowControl/>
        <w:kinsoku w:val="0"/>
        <w:overflowPunct w:val="0"/>
        <w:rPr>
          <w:color w:val="000000"/>
          <w:sz w:val="22"/>
          <w:szCs w:val="22"/>
          <w:lang w:val="el-GR" w:eastAsia="ja-JP"/>
        </w:rPr>
      </w:pPr>
      <w:r>
        <w:rPr>
          <w:sz w:val="22"/>
          <w:szCs w:val="22"/>
          <w:lang w:val="el-GR"/>
        </w:rPr>
        <w:t>pJIA II</w:t>
      </w:r>
    </w:p>
    <w:p w14:paraId="4BD5F0A9" w14:textId="77777777" w:rsidR="00171824" w:rsidRDefault="00171824">
      <w:pPr>
        <w:keepNext/>
        <w:widowControl/>
        <w:kinsoku w:val="0"/>
        <w:overflowPunct w:val="0"/>
        <w:rPr>
          <w:color w:val="000000"/>
          <w:sz w:val="22"/>
          <w:szCs w:val="22"/>
          <w:lang w:val="el-GR" w:eastAsia="ja-JP"/>
        </w:rPr>
      </w:pPr>
    </w:p>
    <w:p w14:paraId="697E50A5" w14:textId="77777777" w:rsidR="00171824" w:rsidRDefault="006D258C">
      <w:pPr>
        <w:keepNext/>
        <w:widowControl/>
        <w:kinsoku w:val="0"/>
        <w:overflowPunct w:val="0"/>
        <w:rPr>
          <w:sz w:val="22"/>
          <w:szCs w:val="22"/>
          <w:lang w:val="el-GR"/>
        </w:rPr>
      </w:pPr>
      <w:r>
        <w:rPr>
          <w:sz w:val="22"/>
          <w:szCs w:val="22"/>
          <w:lang w:val="el-GR"/>
        </w:rPr>
        <w:t>Η ασφάλεια και η αποτελεσματικότητα του adalimumab</w:t>
      </w:r>
      <w:r>
        <w:rPr>
          <w:i/>
          <w:iCs/>
          <w:sz w:val="22"/>
          <w:lang w:val="el-GR"/>
        </w:rPr>
        <w:t xml:space="preserve"> </w:t>
      </w:r>
      <w:r>
        <w:rPr>
          <w:sz w:val="22"/>
          <w:szCs w:val="22"/>
          <w:lang w:val="el-GR"/>
        </w:rPr>
        <w:t>αξιολογήθηκαν σε μια ανοικτή, πολυκεντρική μελέτη σε 32 παιδιά (2 - &lt;4 ετών ή ηλικίας 4 ετών και άνω με βάρος &lt;15 kg) με μέτρια έως σοβαρή ενεργό πολυαρθρική νεανική ιδιοπαθή αρθρίτιδα. Οι ασθενείς έλαβαν adalimumab</w:t>
      </w:r>
      <w:r>
        <w:rPr>
          <w:i/>
          <w:iCs/>
          <w:sz w:val="22"/>
          <w:lang w:val="el-GR"/>
        </w:rPr>
        <w:t xml:space="preserve"> </w:t>
      </w:r>
      <w:r>
        <w:rPr>
          <w:sz w:val="22"/>
          <w:szCs w:val="22"/>
          <w:lang w:val="el-GR"/>
        </w:rPr>
        <w:t>24 mg/m</w:t>
      </w:r>
      <w:r>
        <w:rPr>
          <w:sz w:val="22"/>
          <w:szCs w:val="22"/>
          <w:vertAlign w:val="superscript"/>
          <w:lang w:val="el-GR" w:eastAsia="en-GB"/>
        </w:rPr>
        <w:t>2</w:t>
      </w:r>
      <w:r>
        <w:rPr>
          <w:sz w:val="22"/>
          <w:szCs w:val="22"/>
          <w:lang w:val="el-GR" w:eastAsia="en-GB"/>
        </w:rPr>
        <w:t xml:space="preserve"> </w:t>
      </w:r>
      <w:r>
        <w:rPr>
          <w:sz w:val="22"/>
          <w:szCs w:val="22"/>
          <w:lang w:val="el-GR"/>
        </w:rPr>
        <w:t>επιφάνειας σώματος (BSA, body surface area) με μέγιστη δόση τα 20 mg κάθε δεύτερη εβδομάδα, ως μία δόση χορηγούμενη με υποδόρια έγχυση για τουλάχιστον 24 εβδομάδες. Κατά τη διάρκεια της μελέτης, τα περισσότερα άτομα έλαβαν ταυτόχρονα μεθοτρεξάτη (MTX), ενώ λιγότερα ανέφεραν χρήση κορτικοστεροειδών ή ΜΣΑΦ.</w:t>
      </w:r>
    </w:p>
    <w:p w14:paraId="2DE8AE32" w14:textId="77777777" w:rsidR="00171824" w:rsidRDefault="00171824">
      <w:pPr>
        <w:keepNext/>
        <w:widowControl/>
        <w:kinsoku w:val="0"/>
        <w:overflowPunct w:val="0"/>
        <w:rPr>
          <w:sz w:val="22"/>
          <w:szCs w:val="22"/>
          <w:lang w:val="el-GR"/>
        </w:rPr>
      </w:pPr>
    </w:p>
    <w:p w14:paraId="526F8F5A" w14:textId="77777777" w:rsidR="00171824" w:rsidRDefault="006D258C">
      <w:pPr>
        <w:widowControl/>
        <w:kinsoku w:val="0"/>
        <w:overflowPunct w:val="0"/>
        <w:rPr>
          <w:color w:val="000000"/>
          <w:sz w:val="22"/>
          <w:szCs w:val="22"/>
          <w:lang w:val="el-GR" w:eastAsia="ja-JP"/>
        </w:rPr>
      </w:pPr>
      <w:r>
        <w:rPr>
          <w:sz w:val="22"/>
          <w:szCs w:val="22"/>
          <w:lang w:val="el-GR"/>
        </w:rPr>
        <w:t>Στην εβδομάδα 12 και στην εβδομάδα 24, η ανταπόκριση PedACR30 ήταν 93,5% και 90,0%, αντίστοιχα, με τη χρήση της προσέγγισης των παρατηρούμενων δεδομένων. Τα ποσοστά των ασθενών με PedACR50/70/90 την εβδομάδα 12 και την εβδομάδα 24 ήταν 90,3% / 61,3% / 38,7% και 83,3% / 73,3% / 36,7%, αντίστοιχα. Μεταξύ εκείνων που ανταποκρίθηκαν (PedACR30) την εβδομάδα 24 (n = 27 από 30 ασθενείς), οι ανταποκρίσεις στο Paediatric ACR30 διατηρήθηκαν για διάστημα έως 60 εβδομάδες στη φάση OLE σε ασθενείς που έλαβαν adalimumab</w:t>
      </w:r>
      <w:r>
        <w:rPr>
          <w:i/>
          <w:iCs/>
          <w:sz w:val="22"/>
          <w:lang w:val="el-GR"/>
        </w:rPr>
        <w:t xml:space="preserve"> </w:t>
      </w:r>
      <w:r>
        <w:rPr>
          <w:sz w:val="22"/>
          <w:szCs w:val="22"/>
          <w:lang w:val="el-GR"/>
        </w:rPr>
        <w:t>καθ’ όλη τη χρονική αυτή περίοδο. Συνολικά, 20 ασθενείς υποβλήθηκαν σε θεραπεία για 60 εβδομάδες ή περισσότερο.</w:t>
      </w:r>
    </w:p>
    <w:p w14:paraId="1CDB4BB6" w14:textId="77777777" w:rsidR="00171824" w:rsidRDefault="00171824">
      <w:pPr>
        <w:keepNext/>
        <w:widowControl/>
        <w:kinsoku w:val="0"/>
        <w:overflowPunct w:val="0"/>
        <w:rPr>
          <w:sz w:val="22"/>
          <w:szCs w:val="22"/>
          <w:lang w:val="el-GR"/>
        </w:rPr>
      </w:pPr>
    </w:p>
    <w:p w14:paraId="23F43AB1" w14:textId="77777777" w:rsidR="00171824" w:rsidRDefault="006D258C">
      <w:pPr>
        <w:keepNext/>
        <w:widowControl/>
        <w:kinsoku w:val="0"/>
        <w:overflowPunct w:val="0"/>
        <w:rPr>
          <w:sz w:val="22"/>
          <w:szCs w:val="22"/>
          <w:u w:val="single"/>
          <w:lang w:val="el-GR"/>
        </w:rPr>
      </w:pPr>
      <w:r>
        <w:rPr>
          <w:i/>
          <w:iCs/>
          <w:sz w:val="22"/>
          <w:szCs w:val="22"/>
          <w:u w:val="single"/>
          <w:lang w:val="el-GR"/>
        </w:rPr>
        <w:t>Αρθρίτιδα σχετιζόμενη με ενθεσίτιδα</w:t>
      </w:r>
    </w:p>
    <w:p w14:paraId="6B7C6D44" w14:textId="77777777" w:rsidR="00171824" w:rsidRDefault="00171824">
      <w:pPr>
        <w:keepNext/>
        <w:widowControl/>
        <w:kinsoku w:val="0"/>
        <w:overflowPunct w:val="0"/>
        <w:rPr>
          <w:sz w:val="22"/>
          <w:szCs w:val="22"/>
          <w:lang w:val="el-GR"/>
        </w:rPr>
      </w:pPr>
    </w:p>
    <w:p w14:paraId="1F78C929" w14:textId="77777777" w:rsidR="00171824" w:rsidRDefault="006D258C">
      <w:pPr>
        <w:keepNext/>
        <w:widowControl/>
        <w:kinsoku w:val="0"/>
        <w:overflowPunct w:val="0"/>
        <w:rPr>
          <w:rFonts w:eastAsia="TimesNewRomanPSMT"/>
          <w:sz w:val="22"/>
          <w:szCs w:val="22"/>
          <w:lang w:val="el-GR" w:eastAsia="ja-JP"/>
        </w:rPr>
      </w:pPr>
      <w:r>
        <w:rPr>
          <w:sz w:val="22"/>
          <w:szCs w:val="22"/>
          <w:lang w:val="el-GR"/>
        </w:rPr>
        <w:t xml:space="preserve">Η ασφάλεια και η αποτελεσματικότητα του adalimumab αξιολογήθηκαν σε μία πολυκεντρική, </w:t>
      </w:r>
      <w:r>
        <w:rPr>
          <w:rFonts w:eastAsia="TimesNewRomanPSMT"/>
          <w:sz w:val="22"/>
          <w:szCs w:val="22"/>
          <w:lang w:val="el-GR" w:eastAsia="ja-JP"/>
        </w:rPr>
        <w:t xml:space="preserve">τυχαιοποιημένη διπλά τυφλή μελέτη, σε 46 παιδιατρικούς ασθενείς (ηλικίας 6 έως 17 ετών) με μέτρια αρθρίτιδα σχετιζόμενη με ενθεσίτιδα. Οι ασθενείς τυχαιοποιήθηκαν και έλαβαν είτε </w:t>
      </w:r>
      <w:r>
        <w:rPr>
          <w:sz w:val="22"/>
          <w:szCs w:val="22"/>
          <w:lang w:val="el-GR"/>
        </w:rPr>
        <w:t>adalimumab</w:t>
      </w:r>
      <w:r>
        <w:rPr>
          <w:rFonts w:eastAsia="TimesNewRomanPSMT"/>
          <w:sz w:val="22"/>
          <w:szCs w:val="22"/>
          <w:lang w:val="el-GR" w:eastAsia="ja-JP"/>
        </w:rPr>
        <w:t xml:space="preserve"> 24 mg/m</w:t>
      </w:r>
      <w:r>
        <w:rPr>
          <w:sz w:val="22"/>
          <w:szCs w:val="22"/>
          <w:vertAlign w:val="superscript"/>
          <w:lang w:val="el-GR" w:eastAsia="en-GB"/>
        </w:rPr>
        <w:t>2</w:t>
      </w:r>
      <w:r>
        <w:rPr>
          <w:rFonts w:eastAsia="TimesNewRomanPSMT"/>
          <w:sz w:val="22"/>
          <w:szCs w:val="22"/>
          <w:lang w:val="el-GR" w:eastAsia="ja-JP"/>
        </w:rPr>
        <w:t xml:space="preserve"> επιφάνειας σώματος (BSA), με μέγιστη δόση τα 40 mg, ή εικονικό φάρμακο κάθε δεύτερη </w:t>
      </w:r>
      <w:r>
        <w:rPr>
          <w:rFonts w:eastAsia="TimesNewRomanPSMT"/>
          <w:sz w:val="22"/>
          <w:szCs w:val="22"/>
          <w:lang w:val="el-GR" w:eastAsia="ja-JP"/>
        </w:rPr>
        <w:lastRenderedPageBreak/>
        <w:t xml:space="preserve">εβδομάδα για 12 εβδομάδες. Η διπλά-τυφλή περίοδος ακολουθήθηκε από μια περίοδο ανοιχτής θεραπείας (OL, open-label), κατά την οποία οι ασθενείς έλαβαν </w:t>
      </w:r>
      <w:r>
        <w:rPr>
          <w:sz w:val="22"/>
          <w:szCs w:val="22"/>
          <w:lang w:val="el-GR"/>
        </w:rPr>
        <w:t>adalimumab</w:t>
      </w:r>
      <w:r>
        <w:rPr>
          <w:i/>
          <w:iCs/>
          <w:sz w:val="22"/>
          <w:szCs w:val="22"/>
          <w:lang w:val="el-GR"/>
        </w:rPr>
        <w:t xml:space="preserve"> </w:t>
      </w:r>
      <w:r>
        <w:rPr>
          <w:rFonts w:eastAsia="TimesNewRomanPSMT"/>
          <w:sz w:val="22"/>
          <w:szCs w:val="22"/>
          <w:lang w:val="el-GR" w:eastAsia="ja-JP"/>
        </w:rPr>
        <w:t>24 mg/m</w:t>
      </w:r>
      <w:r>
        <w:rPr>
          <w:sz w:val="22"/>
          <w:szCs w:val="22"/>
          <w:vertAlign w:val="superscript"/>
          <w:lang w:val="el-GR" w:eastAsia="en-GB"/>
        </w:rPr>
        <w:t>2</w:t>
      </w:r>
      <w:r>
        <w:rPr>
          <w:rFonts w:eastAsia="TimesNewRomanPSMT"/>
          <w:sz w:val="22"/>
          <w:szCs w:val="22"/>
          <w:lang w:val="el-GR" w:eastAsia="ja-JP"/>
        </w:rPr>
        <w:t xml:space="preserve"> επιφάνειας σώματος, με μέγιστη δόση τα 40 mg κάθε δεύτερη εβδομάδα, χορηγούμενο μέσω υποδόριας έγχυσης, για 192 επιπλέον εβδομάδες. Το πρωτεύον καταληκτικό σημείο ήταν η ποσοστιαία μεταβολή από την αρχική τιμή έως την εβδομάδα 12 στον αριθμό των ενεργών αρθρώσεων με αρθρίτιδα (οίδημα που δεν οφείλεται σε δυσμορφία ή αρθρώσεις με απώλεια κίνησης και πόνο και/ή ευαισθησία), η οποία επιτεύχθηκε με μέση ποσοστιαία μείωση -62,6% (διάμεση ποσοστιαία μεταβολή </w:t>
      </w:r>
      <w:r>
        <w:rPr>
          <w:rFonts w:eastAsia="TimesNewRomanPSMT"/>
          <w:sz w:val="22"/>
          <w:szCs w:val="22"/>
          <w:lang w:val="el-GR" w:eastAsia="ja-JP"/>
        </w:rPr>
        <w:noBreakHyphen/>
        <w:t xml:space="preserve">88,9%) στους ασθενείς της ομάδας που έλαβε </w:t>
      </w:r>
      <w:r>
        <w:rPr>
          <w:sz w:val="22"/>
          <w:szCs w:val="22"/>
          <w:lang w:val="el-GR"/>
        </w:rPr>
        <w:t>adalimumab</w:t>
      </w:r>
      <w:r>
        <w:rPr>
          <w:i/>
          <w:iCs/>
          <w:sz w:val="22"/>
          <w:szCs w:val="22"/>
          <w:lang w:val="el-GR"/>
        </w:rPr>
        <w:t xml:space="preserve"> </w:t>
      </w:r>
      <w:r>
        <w:rPr>
          <w:sz w:val="22"/>
          <w:szCs w:val="22"/>
          <w:lang w:val="el-GR"/>
        </w:rPr>
        <w:t>σε σύγκριση με - 11,6% (διάμεση ποσοστιαία μεταβολή -50,0%) στους ασθενείς της ομάδας που</w:t>
      </w:r>
      <w:r>
        <w:rPr>
          <w:rFonts w:eastAsia="TimesNewRomanPSMT"/>
          <w:sz w:val="20"/>
          <w:szCs w:val="20"/>
          <w:lang w:val="el-GR" w:eastAsia="ja-JP"/>
        </w:rPr>
        <w:t xml:space="preserve"> </w:t>
      </w:r>
      <w:r>
        <w:rPr>
          <w:rFonts w:eastAsia="TimesNewRomanPSMT"/>
          <w:sz w:val="22"/>
          <w:szCs w:val="22"/>
          <w:lang w:val="el-GR" w:eastAsia="ja-JP"/>
        </w:rPr>
        <w:t xml:space="preserve">έλαβε εικονικό φάρμακο. Η βελτίωση του αριθμού των ενεργών αρθρώσεων με αρθρίτιδα διατηρήθηκε κατά τη διάρκεια της περιόδου ανοιχτής θεραπείας έως την Εβδομάδα 156 για τους 26 από τους 31 (84%) ασθενείς της ομάδας του </w:t>
      </w:r>
      <w:r>
        <w:rPr>
          <w:sz w:val="22"/>
          <w:szCs w:val="22"/>
          <w:lang w:val="el-GR"/>
        </w:rPr>
        <w:t>adalimumab</w:t>
      </w:r>
      <w:r>
        <w:rPr>
          <w:rFonts w:eastAsia="TimesNewRomanPSMT"/>
          <w:sz w:val="22"/>
          <w:szCs w:val="22"/>
          <w:lang w:val="el-GR" w:eastAsia="ja-JP"/>
        </w:rPr>
        <w:t xml:space="preserve"> </w:t>
      </w:r>
      <w:r>
        <w:rPr>
          <w:sz w:val="22"/>
          <w:szCs w:val="22"/>
          <w:lang w:val="el-GR"/>
        </w:rPr>
        <w:t>που παρέμειναν στη μελέτη.</w:t>
      </w:r>
      <w:r>
        <w:rPr>
          <w:rFonts w:eastAsia="TimesNewRomanPSMT"/>
          <w:sz w:val="20"/>
          <w:szCs w:val="20"/>
          <w:lang w:val="el-GR" w:eastAsia="ja-JP"/>
        </w:rPr>
        <w:t xml:space="preserve"> </w:t>
      </w:r>
      <w:r>
        <w:rPr>
          <w:rFonts w:eastAsia="TimesNewRomanPSMT"/>
          <w:sz w:val="22"/>
          <w:szCs w:val="22"/>
          <w:lang w:val="el-GR" w:eastAsia="ja-JP"/>
        </w:rPr>
        <w:t>Αν και δεν είναι στατιστικά σημαντικό, η πλειοψηφία των ασθενών παρουσίασε βελτίωση της κλινικής τους εικόνας σε δευτερεύοντα καταληκτικά σημεία, όπως ο αριθμός των θέσεων με ενθεσίτιδα, ο αριθμός των επώδυνων αρθρώσεων (TJC), ο αριθμός των διογκωμένων αρθρώσεων (SJC), η ανταπόκριση κατά Paediatric ACR 50 και η ανταπόκριση κατά Paediatric ACR 70.</w:t>
      </w:r>
    </w:p>
    <w:p w14:paraId="77C9DC51" w14:textId="77777777" w:rsidR="00171824" w:rsidRDefault="00171824">
      <w:pPr>
        <w:keepNext/>
        <w:widowControl/>
        <w:kinsoku w:val="0"/>
        <w:overflowPunct w:val="0"/>
        <w:rPr>
          <w:rFonts w:ascii="Calibri" w:eastAsia="TimesNewRomanPSMT" w:hAnsi="Calibri" w:cs="TimesNewRomanPSMT"/>
          <w:sz w:val="22"/>
          <w:szCs w:val="22"/>
          <w:lang w:val="el-GR" w:eastAsia="ja-JP"/>
        </w:rPr>
      </w:pPr>
    </w:p>
    <w:p w14:paraId="161618FF" w14:textId="77777777" w:rsidR="00171824" w:rsidRDefault="006D258C">
      <w:pPr>
        <w:keepNext/>
        <w:widowControl/>
        <w:kinsoku w:val="0"/>
        <w:overflowPunct w:val="0"/>
        <w:rPr>
          <w:i/>
          <w:iCs/>
          <w:sz w:val="22"/>
          <w:szCs w:val="22"/>
          <w:lang w:val="el-GR"/>
        </w:rPr>
      </w:pPr>
      <w:r>
        <w:rPr>
          <w:i/>
          <w:iCs/>
          <w:sz w:val="22"/>
          <w:szCs w:val="22"/>
          <w:lang w:val="el-GR"/>
        </w:rPr>
        <w:t>Παιδιατρική ψωρίαση κατά πλάκας</w:t>
      </w:r>
    </w:p>
    <w:p w14:paraId="68C9B4FE" w14:textId="77777777" w:rsidR="00171824" w:rsidRDefault="00171824">
      <w:pPr>
        <w:keepNext/>
        <w:widowControl/>
        <w:kinsoku w:val="0"/>
        <w:overflowPunct w:val="0"/>
        <w:rPr>
          <w:i/>
          <w:iCs/>
          <w:sz w:val="22"/>
          <w:szCs w:val="22"/>
          <w:lang w:val="el-GR"/>
        </w:rPr>
      </w:pPr>
    </w:p>
    <w:p w14:paraId="1D31639F" w14:textId="77777777" w:rsidR="00171824" w:rsidRDefault="006D258C">
      <w:pPr>
        <w:keepNext/>
        <w:widowControl/>
        <w:kinsoku w:val="0"/>
        <w:overflowPunct w:val="0"/>
        <w:rPr>
          <w:sz w:val="22"/>
          <w:szCs w:val="22"/>
          <w:lang w:val="el-GR"/>
        </w:rPr>
      </w:pPr>
      <w:r>
        <w:rPr>
          <w:sz w:val="22"/>
          <w:szCs w:val="22"/>
          <w:lang w:val="el-GR"/>
        </w:rPr>
        <w:t>Η αποτελεσματικότητα του adalimumab αξιολογήθηκε σε μια τυχαιοποιημένη, διπλά-τυφλή, ελεγχόμενη μελέτη σε 114 παιδιατρικούς ασθενείς, ηλικίας άνω των 4 ετών, με σοβαρή χρόνια ψωρίαση κατά πλάκας (όπως ορίζεται από PGA ≥</w:t>
      </w:r>
      <w:r>
        <w:rPr>
          <w:rFonts w:eastAsia="TimesNewRomanPSMT"/>
          <w:sz w:val="22"/>
          <w:szCs w:val="22"/>
          <w:lang w:val="el-GR" w:eastAsia="ja-JP"/>
        </w:rPr>
        <w:t> </w:t>
      </w:r>
      <w:r>
        <w:rPr>
          <w:sz w:val="22"/>
          <w:szCs w:val="22"/>
          <w:lang w:val="el-GR"/>
        </w:rPr>
        <w:t>4 ή &gt;</w:t>
      </w:r>
      <w:r>
        <w:rPr>
          <w:rFonts w:eastAsia="TimesNewRomanPSMT"/>
          <w:sz w:val="22"/>
          <w:szCs w:val="22"/>
          <w:lang w:val="el-GR" w:eastAsia="ja-JP"/>
        </w:rPr>
        <w:t> </w:t>
      </w:r>
      <w:r>
        <w:rPr>
          <w:sz w:val="22"/>
          <w:szCs w:val="22"/>
          <w:lang w:val="el-GR"/>
        </w:rPr>
        <w:t>20% BSA ή &gt;</w:t>
      </w:r>
      <w:r>
        <w:rPr>
          <w:rFonts w:eastAsia="TimesNewRomanPSMT"/>
          <w:sz w:val="22"/>
          <w:szCs w:val="22"/>
          <w:lang w:val="el-GR" w:eastAsia="ja-JP"/>
        </w:rPr>
        <w:t> </w:t>
      </w:r>
      <w:r>
        <w:rPr>
          <w:sz w:val="22"/>
          <w:szCs w:val="22"/>
          <w:lang w:val="el-GR"/>
        </w:rPr>
        <w:t>10% BSA με πολύ παχιές βλάβες ή PASI ≥</w:t>
      </w:r>
      <w:r>
        <w:rPr>
          <w:rFonts w:eastAsia="TimesNewRomanPSMT"/>
          <w:sz w:val="22"/>
          <w:szCs w:val="22"/>
          <w:lang w:val="el-GR" w:eastAsia="ja-JP"/>
        </w:rPr>
        <w:t> </w:t>
      </w:r>
      <w:r>
        <w:rPr>
          <w:sz w:val="22"/>
          <w:szCs w:val="22"/>
          <w:lang w:val="el-GR"/>
        </w:rPr>
        <w:t>20 ή ≥</w:t>
      </w:r>
      <w:r>
        <w:rPr>
          <w:rFonts w:eastAsia="TimesNewRomanPSMT"/>
          <w:sz w:val="22"/>
          <w:szCs w:val="22"/>
          <w:lang w:val="el-GR" w:eastAsia="ja-JP"/>
        </w:rPr>
        <w:t> </w:t>
      </w:r>
      <w:r>
        <w:rPr>
          <w:sz w:val="22"/>
          <w:szCs w:val="22"/>
          <w:lang w:val="el-GR"/>
        </w:rPr>
        <w:t>10 με προσβολή κλινικά του προσώπου, της γεννητικής χώρας ή των παλαμών/πελμάτων), οι οποίοι δεν ελέγχονταν επαρκώς με τοπική θεραπεία και ηλιοθεραπεία ή φωτοθεραπεία.</w:t>
      </w:r>
    </w:p>
    <w:p w14:paraId="0AC77B18" w14:textId="77777777" w:rsidR="00171824" w:rsidRDefault="00171824">
      <w:pPr>
        <w:keepNext/>
        <w:widowControl/>
        <w:kinsoku w:val="0"/>
        <w:overflowPunct w:val="0"/>
        <w:rPr>
          <w:sz w:val="22"/>
          <w:szCs w:val="22"/>
          <w:lang w:val="el-GR"/>
        </w:rPr>
      </w:pPr>
    </w:p>
    <w:p w14:paraId="21CA0144" w14:textId="77777777" w:rsidR="00171824" w:rsidRDefault="006D258C">
      <w:pPr>
        <w:keepNext/>
        <w:widowControl/>
        <w:kinsoku w:val="0"/>
        <w:overflowPunct w:val="0"/>
        <w:rPr>
          <w:sz w:val="22"/>
          <w:szCs w:val="22"/>
          <w:lang w:val="el-GR"/>
        </w:rPr>
      </w:pPr>
      <w:r>
        <w:rPr>
          <w:sz w:val="22"/>
          <w:szCs w:val="22"/>
          <w:lang w:val="el-GR"/>
        </w:rPr>
        <w:t>Οι ασθενείς λάμβαναν adalimumab 0,8</w:t>
      </w:r>
      <w:r>
        <w:rPr>
          <w:rFonts w:eastAsia="TimesNewRomanPSMT"/>
          <w:sz w:val="22"/>
          <w:szCs w:val="22"/>
          <w:lang w:val="el-GR" w:eastAsia="ja-JP"/>
        </w:rPr>
        <w:t> </w:t>
      </w:r>
      <w:r>
        <w:rPr>
          <w:sz w:val="22"/>
          <w:szCs w:val="22"/>
          <w:lang w:val="el-GR"/>
        </w:rPr>
        <w:t>mg/kg κάθε δεύτερη εβδομάδα (έως 40 mg), 0,4 mg/kg κάθε δεύτερη εβδομάδα (έως 20</w:t>
      </w:r>
      <w:r>
        <w:rPr>
          <w:rFonts w:eastAsia="TimesNewRomanPSMT"/>
          <w:sz w:val="22"/>
          <w:szCs w:val="22"/>
          <w:lang w:val="el-GR" w:eastAsia="ja-JP"/>
        </w:rPr>
        <w:t> </w:t>
      </w:r>
      <w:r>
        <w:rPr>
          <w:sz w:val="22"/>
          <w:szCs w:val="22"/>
          <w:lang w:val="el-GR"/>
        </w:rPr>
        <w:t>mg) ή μεθοτρεξάτη 0,1-0,4</w:t>
      </w:r>
      <w:r>
        <w:rPr>
          <w:rFonts w:eastAsia="TimesNewRomanPSMT"/>
          <w:sz w:val="22"/>
          <w:szCs w:val="22"/>
          <w:lang w:val="el-GR" w:eastAsia="ja-JP"/>
        </w:rPr>
        <w:t> </w:t>
      </w:r>
      <w:r>
        <w:rPr>
          <w:sz w:val="22"/>
          <w:szCs w:val="22"/>
          <w:lang w:val="el-GR"/>
        </w:rPr>
        <w:t>mg/kg την εβδομάδα (έως 25</w:t>
      </w:r>
      <w:r>
        <w:rPr>
          <w:rFonts w:eastAsia="TimesNewRomanPSMT"/>
          <w:sz w:val="22"/>
          <w:szCs w:val="22"/>
          <w:lang w:val="el-GR" w:eastAsia="ja-JP"/>
        </w:rPr>
        <w:t> </w:t>
      </w:r>
      <w:r>
        <w:rPr>
          <w:sz w:val="22"/>
          <w:szCs w:val="22"/>
          <w:lang w:val="el-GR"/>
        </w:rPr>
        <w:t>mg). Την εβδομάδα 16, περισσότεροι ασθενείς που τυχαιοποιήθηκαν σε adalimumab 0,8</w:t>
      </w:r>
      <w:r>
        <w:rPr>
          <w:rFonts w:eastAsia="TimesNewRomanPSMT"/>
          <w:sz w:val="22"/>
          <w:szCs w:val="22"/>
          <w:lang w:val="el-GR" w:eastAsia="ja-JP"/>
        </w:rPr>
        <w:t> </w:t>
      </w:r>
      <w:r>
        <w:rPr>
          <w:sz w:val="22"/>
          <w:szCs w:val="22"/>
          <w:lang w:val="el-GR"/>
        </w:rPr>
        <w:t>mg/kg εμφάνισαν ανταπόκριση (π.χ., PASI 75) σε σχέση με εκείνους που τυχαιοποιήθηκαν σε 0,4</w:t>
      </w:r>
      <w:r>
        <w:rPr>
          <w:rFonts w:eastAsia="TimesNewRomanPSMT"/>
          <w:sz w:val="22"/>
          <w:szCs w:val="22"/>
          <w:lang w:val="el-GR" w:eastAsia="ja-JP"/>
        </w:rPr>
        <w:t> </w:t>
      </w:r>
      <w:r>
        <w:rPr>
          <w:sz w:val="22"/>
          <w:szCs w:val="22"/>
          <w:lang w:val="el-GR"/>
        </w:rPr>
        <w:t>mg/kg κάθε δεύτερη εβδομάδα ή σε ΜΤΧ.</w:t>
      </w:r>
    </w:p>
    <w:p w14:paraId="5D9F545C" w14:textId="77777777" w:rsidR="00171824" w:rsidRDefault="00171824">
      <w:pPr>
        <w:pStyle w:val="BodyText"/>
        <w:widowControl/>
        <w:kinsoku w:val="0"/>
        <w:overflowPunct w:val="0"/>
        <w:ind w:left="0"/>
        <w:rPr>
          <w:lang w:val="el-GR"/>
        </w:rPr>
      </w:pPr>
    </w:p>
    <w:p w14:paraId="44743247" w14:textId="77777777" w:rsidR="00171824" w:rsidRDefault="006D258C">
      <w:pPr>
        <w:widowControl/>
        <w:rPr>
          <w:b/>
          <w:bCs/>
          <w:color w:val="000000"/>
          <w:sz w:val="22"/>
          <w:szCs w:val="22"/>
          <w:lang w:val="el-GR" w:eastAsia="ja-JP"/>
        </w:rPr>
      </w:pPr>
      <w:r>
        <w:rPr>
          <w:b/>
          <w:bCs/>
          <w:color w:val="000000"/>
          <w:sz w:val="22"/>
          <w:szCs w:val="22"/>
          <w:lang w:val="el-GR" w:eastAsia="ja-JP"/>
        </w:rPr>
        <w:t xml:space="preserve">Πίνακας 27. Παιδιατρική ψωρίαση κατά πλάκας Αποτελεσματικότητα στις 16 Εβδομάδες </w:t>
      </w:r>
    </w:p>
    <w:p w14:paraId="38B99400" w14:textId="77777777" w:rsidR="00171824" w:rsidRDefault="00171824">
      <w:pPr>
        <w:widowControl/>
        <w:rPr>
          <w:b/>
          <w:bCs/>
          <w:color w:val="000000"/>
          <w:sz w:val="22"/>
          <w:szCs w:val="22"/>
          <w:lang w:val="el-GR" w:eastAsia="ja-JP"/>
        </w:rPr>
      </w:pPr>
    </w:p>
    <w:tbl>
      <w:tblPr>
        <w:tblW w:w="4885" w:type="pct"/>
        <w:tblInd w:w="108"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2628"/>
        <w:gridCol w:w="1523"/>
        <w:gridCol w:w="4696"/>
      </w:tblGrid>
      <w:tr w:rsidR="00171824" w14:paraId="46155E99" w14:textId="77777777">
        <w:trPr>
          <w:cantSplit/>
        </w:trPr>
        <w:tc>
          <w:tcPr>
            <w:tcW w:w="2694" w:type="dxa"/>
            <w:tcBorders>
              <w:top w:val="single" w:sz="6" w:space="0" w:color="000000"/>
              <w:left w:val="single" w:sz="6" w:space="0" w:color="000000"/>
              <w:bottom w:val="outset" w:sz="6" w:space="0" w:color="auto"/>
              <w:right w:val="outset" w:sz="6" w:space="0" w:color="auto"/>
            </w:tcBorders>
            <w:vAlign w:val="center"/>
          </w:tcPr>
          <w:p w14:paraId="426FA568" w14:textId="77777777" w:rsidR="00171824" w:rsidRDefault="00171824">
            <w:pPr>
              <w:keepNext/>
              <w:tabs>
                <w:tab w:val="left" w:pos="567"/>
              </w:tabs>
              <w:autoSpaceDE/>
              <w:autoSpaceDN/>
              <w:adjustRightInd/>
              <w:rPr>
                <w:b/>
                <w:bCs/>
                <w:sz w:val="22"/>
                <w:szCs w:val="22"/>
                <w:lang w:val="el-GR"/>
              </w:rPr>
            </w:pPr>
          </w:p>
        </w:tc>
        <w:tc>
          <w:tcPr>
            <w:tcW w:w="1559" w:type="dxa"/>
            <w:tcBorders>
              <w:top w:val="single" w:sz="6" w:space="0" w:color="000000"/>
              <w:left w:val="single" w:sz="6" w:space="0" w:color="000000"/>
              <w:bottom w:val="outset" w:sz="6" w:space="0" w:color="auto"/>
              <w:right w:val="outset" w:sz="6" w:space="0" w:color="auto"/>
            </w:tcBorders>
            <w:vAlign w:val="center"/>
          </w:tcPr>
          <w:p w14:paraId="502965B7" w14:textId="77777777" w:rsidR="00171824" w:rsidRDefault="006D258C">
            <w:pPr>
              <w:keepNext/>
              <w:tabs>
                <w:tab w:val="left" w:pos="567"/>
              </w:tabs>
              <w:autoSpaceDE/>
              <w:autoSpaceDN/>
              <w:adjustRightInd/>
              <w:jc w:val="center"/>
              <w:rPr>
                <w:b/>
                <w:bCs/>
                <w:sz w:val="22"/>
                <w:szCs w:val="22"/>
                <w:lang w:val="el-GR"/>
              </w:rPr>
            </w:pPr>
            <w:r>
              <w:rPr>
                <w:b/>
                <w:bCs/>
                <w:sz w:val="22"/>
                <w:szCs w:val="22"/>
                <w:lang w:val="el-GR"/>
              </w:rPr>
              <w:t>MTX</w:t>
            </w:r>
            <w:r>
              <w:rPr>
                <w:b/>
                <w:bCs/>
                <w:sz w:val="22"/>
                <w:szCs w:val="22"/>
                <w:vertAlign w:val="superscript"/>
                <w:lang w:val="el-GR"/>
              </w:rPr>
              <w:t>α</w:t>
            </w:r>
          </w:p>
          <w:p w14:paraId="5F2FFCA3" w14:textId="77777777" w:rsidR="00171824" w:rsidRDefault="006D258C">
            <w:pPr>
              <w:keepNext/>
              <w:tabs>
                <w:tab w:val="left" w:pos="567"/>
              </w:tabs>
              <w:autoSpaceDE/>
              <w:autoSpaceDN/>
              <w:adjustRightInd/>
              <w:jc w:val="center"/>
              <w:rPr>
                <w:b/>
                <w:bCs/>
                <w:sz w:val="22"/>
                <w:szCs w:val="22"/>
                <w:lang w:val="el-GR"/>
              </w:rPr>
            </w:pPr>
            <w:r>
              <w:rPr>
                <w:b/>
                <w:bCs/>
                <w:sz w:val="22"/>
                <w:szCs w:val="22"/>
                <w:lang w:val="el-GR"/>
              </w:rPr>
              <w:t xml:space="preserve">N=37 </w:t>
            </w:r>
          </w:p>
        </w:tc>
        <w:tc>
          <w:tcPr>
            <w:tcW w:w="4820" w:type="dxa"/>
            <w:tcBorders>
              <w:top w:val="single" w:sz="6" w:space="0" w:color="000000"/>
              <w:left w:val="single" w:sz="6" w:space="0" w:color="000000"/>
              <w:bottom w:val="outset" w:sz="6" w:space="0" w:color="auto"/>
              <w:right w:val="single" w:sz="6" w:space="0" w:color="000000"/>
            </w:tcBorders>
            <w:vAlign w:val="center"/>
          </w:tcPr>
          <w:p w14:paraId="4EFBED47" w14:textId="77777777" w:rsidR="00171824" w:rsidRDefault="006D258C">
            <w:pPr>
              <w:keepNext/>
              <w:tabs>
                <w:tab w:val="left" w:pos="567"/>
              </w:tabs>
              <w:autoSpaceDE/>
              <w:autoSpaceDN/>
              <w:adjustRightInd/>
              <w:jc w:val="center"/>
              <w:rPr>
                <w:b/>
                <w:bCs/>
                <w:sz w:val="22"/>
                <w:szCs w:val="22"/>
                <w:lang w:val="el-GR"/>
              </w:rPr>
            </w:pPr>
            <w:r>
              <w:rPr>
                <w:b/>
                <w:color w:val="000000"/>
                <w:sz w:val="22"/>
                <w:szCs w:val="22"/>
                <w:lang w:val="el-GR"/>
              </w:rPr>
              <w:t>Adalimumab</w:t>
            </w:r>
            <w:r>
              <w:rPr>
                <w:b/>
                <w:bCs/>
                <w:sz w:val="22"/>
                <w:szCs w:val="22"/>
                <w:lang w:val="el-GR"/>
              </w:rPr>
              <w:t xml:space="preserve"> 0,8 mg/kg κάθε δεύτερη εβδομάδα</w:t>
            </w:r>
          </w:p>
          <w:p w14:paraId="31CAA47F" w14:textId="77777777" w:rsidR="00171824" w:rsidRDefault="006D258C">
            <w:pPr>
              <w:keepNext/>
              <w:tabs>
                <w:tab w:val="left" w:pos="567"/>
              </w:tabs>
              <w:autoSpaceDE/>
              <w:autoSpaceDN/>
              <w:adjustRightInd/>
              <w:jc w:val="center"/>
              <w:rPr>
                <w:b/>
                <w:bCs/>
                <w:sz w:val="22"/>
                <w:szCs w:val="22"/>
                <w:lang w:val="el-GR"/>
              </w:rPr>
            </w:pPr>
            <w:r>
              <w:rPr>
                <w:b/>
                <w:bCs/>
                <w:sz w:val="22"/>
                <w:szCs w:val="22"/>
                <w:lang w:val="el-GR"/>
              </w:rPr>
              <w:t>N=38</w:t>
            </w:r>
          </w:p>
        </w:tc>
      </w:tr>
      <w:tr w:rsidR="00171824" w14:paraId="128ABAAD" w14:textId="77777777">
        <w:trPr>
          <w:cantSplit/>
        </w:trPr>
        <w:tc>
          <w:tcPr>
            <w:tcW w:w="2694" w:type="dxa"/>
            <w:tcBorders>
              <w:top w:val="single" w:sz="6" w:space="0" w:color="000000"/>
              <w:left w:val="single" w:sz="6" w:space="0" w:color="000000"/>
              <w:bottom w:val="outset" w:sz="6" w:space="0" w:color="auto"/>
              <w:right w:val="outset" w:sz="6" w:space="0" w:color="auto"/>
            </w:tcBorders>
            <w:vAlign w:val="center"/>
          </w:tcPr>
          <w:p w14:paraId="3CDAF1D8" w14:textId="77777777" w:rsidR="00171824" w:rsidRDefault="006D258C">
            <w:pPr>
              <w:keepNext/>
              <w:tabs>
                <w:tab w:val="left" w:pos="567"/>
              </w:tabs>
              <w:autoSpaceDE/>
              <w:autoSpaceDN/>
              <w:adjustRightInd/>
              <w:rPr>
                <w:sz w:val="22"/>
                <w:szCs w:val="22"/>
                <w:lang w:val="el-GR"/>
              </w:rPr>
            </w:pPr>
            <w:r>
              <w:rPr>
                <w:sz w:val="22"/>
                <w:szCs w:val="22"/>
                <w:lang w:val="el-GR"/>
              </w:rPr>
              <w:t>PASI 75</w:t>
            </w:r>
            <w:r>
              <w:rPr>
                <w:sz w:val="22"/>
                <w:szCs w:val="22"/>
                <w:vertAlign w:val="superscript"/>
                <w:lang w:val="el-GR"/>
              </w:rPr>
              <w:t>β</w:t>
            </w:r>
          </w:p>
        </w:tc>
        <w:tc>
          <w:tcPr>
            <w:tcW w:w="1559" w:type="dxa"/>
            <w:tcBorders>
              <w:top w:val="single" w:sz="6" w:space="0" w:color="000000"/>
              <w:left w:val="single" w:sz="6" w:space="0" w:color="000000"/>
              <w:bottom w:val="outset" w:sz="6" w:space="0" w:color="auto"/>
              <w:right w:val="outset" w:sz="6" w:space="0" w:color="auto"/>
            </w:tcBorders>
            <w:vAlign w:val="center"/>
          </w:tcPr>
          <w:p w14:paraId="367CB247" w14:textId="77777777" w:rsidR="00171824" w:rsidRDefault="006D258C">
            <w:pPr>
              <w:keepNext/>
              <w:tabs>
                <w:tab w:val="left" w:pos="567"/>
              </w:tabs>
              <w:autoSpaceDE/>
              <w:autoSpaceDN/>
              <w:adjustRightInd/>
              <w:jc w:val="center"/>
              <w:rPr>
                <w:sz w:val="22"/>
                <w:szCs w:val="22"/>
                <w:lang w:val="el-GR"/>
              </w:rPr>
            </w:pPr>
            <w:r>
              <w:rPr>
                <w:sz w:val="22"/>
                <w:szCs w:val="22"/>
                <w:lang w:val="el-GR"/>
              </w:rPr>
              <w:t>12 (32,4%)</w:t>
            </w:r>
          </w:p>
        </w:tc>
        <w:tc>
          <w:tcPr>
            <w:tcW w:w="4820" w:type="dxa"/>
            <w:tcBorders>
              <w:top w:val="single" w:sz="6" w:space="0" w:color="000000"/>
              <w:left w:val="single" w:sz="6" w:space="0" w:color="000000"/>
              <w:bottom w:val="outset" w:sz="6" w:space="0" w:color="auto"/>
              <w:right w:val="single" w:sz="6" w:space="0" w:color="000000"/>
            </w:tcBorders>
            <w:vAlign w:val="center"/>
          </w:tcPr>
          <w:p w14:paraId="68D01A38" w14:textId="77777777" w:rsidR="00171824" w:rsidRDefault="006D258C">
            <w:pPr>
              <w:keepNext/>
              <w:tabs>
                <w:tab w:val="left" w:pos="567"/>
              </w:tabs>
              <w:autoSpaceDE/>
              <w:autoSpaceDN/>
              <w:adjustRightInd/>
              <w:jc w:val="center"/>
              <w:rPr>
                <w:sz w:val="22"/>
                <w:szCs w:val="22"/>
                <w:lang w:val="el-GR"/>
              </w:rPr>
            </w:pPr>
            <w:r>
              <w:rPr>
                <w:sz w:val="22"/>
                <w:szCs w:val="22"/>
                <w:lang w:val="el-GR"/>
              </w:rPr>
              <w:t>22 (57,9%)</w:t>
            </w:r>
          </w:p>
        </w:tc>
      </w:tr>
      <w:tr w:rsidR="00171824" w14:paraId="35C9B5AD" w14:textId="77777777">
        <w:trPr>
          <w:cantSplit/>
        </w:trPr>
        <w:tc>
          <w:tcPr>
            <w:tcW w:w="2694" w:type="dxa"/>
            <w:tcBorders>
              <w:top w:val="single" w:sz="6" w:space="0" w:color="000000"/>
              <w:left w:val="single" w:sz="6" w:space="0" w:color="000000"/>
              <w:bottom w:val="single" w:sz="6" w:space="0" w:color="000000"/>
              <w:right w:val="outset" w:sz="6" w:space="0" w:color="auto"/>
            </w:tcBorders>
            <w:vAlign w:val="center"/>
          </w:tcPr>
          <w:p w14:paraId="6F283AA3" w14:textId="77777777" w:rsidR="00171824" w:rsidRDefault="006D258C">
            <w:pPr>
              <w:keepNext/>
              <w:tabs>
                <w:tab w:val="left" w:pos="567"/>
              </w:tabs>
              <w:autoSpaceDE/>
              <w:autoSpaceDN/>
              <w:adjustRightInd/>
              <w:rPr>
                <w:sz w:val="22"/>
                <w:szCs w:val="22"/>
                <w:lang w:val="el-GR"/>
              </w:rPr>
            </w:pPr>
            <w:r>
              <w:rPr>
                <w:sz w:val="22"/>
                <w:szCs w:val="22"/>
                <w:lang w:val="el-GR"/>
              </w:rPr>
              <w:t>PGA: Καθαρό /ελάχιστο</w:t>
            </w:r>
            <w:r>
              <w:rPr>
                <w:sz w:val="22"/>
                <w:szCs w:val="22"/>
                <w:vertAlign w:val="superscript"/>
                <w:lang w:val="el-GR"/>
              </w:rPr>
              <w:t>γ</w:t>
            </w:r>
          </w:p>
        </w:tc>
        <w:tc>
          <w:tcPr>
            <w:tcW w:w="1559" w:type="dxa"/>
            <w:tcBorders>
              <w:top w:val="single" w:sz="6" w:space="0" w:color="000000"/>
              <w:left w:val="single" w:sz="6" w:space="0" w:color="000000"/>
              <w:bottom w:val="single" w:sz="6" w:space="0" w:color="000000"/>
              <w:right w:val="outset" w:sz="6" w:space="0" w:color="auto"/>
            </w:tcBorders>
            <w:vAlign w:val="center"/>
          </w:tcPr>
          <w:p w14:paraId="755E7D77" w14:textId="77777777" w:rsidR="00171824" w:rsidRDefault="006D258C">
            <w:pPr>
              <w:keepNext/>
              <w:tabs>
                <w:tab w:val="left" w:pos="567"/>
              </w:tabs>
              <w:autoSpaceDE/>
              <w:autoSpaceDN/>
              <w:adjustRightInd/>
              <w:jc w:val="center"/>
              <w:rPr>
                <w:sz w:val="22"/>
                <w:szCs w:val="22"/>
                <w:lang w:val="el-GR"/>
              </w:rPr>
            </w:pPr>
            <w:r>
              <w:rPr>
                <w:sz w:val="22"/>
                <w:szCs w:val="22"/>
                <w:lang w:val="el-GR"/>
              </w:rPr>
              <w:t>15 (40,5%)</w:t>
            </w:r>
          </w:p>
        </w:tc>
        <w:tc>
          <w:tcPr>
            <w:tcW w:w="4820" w:type="dxa"/>
            <w:tcBorders>
              <w:top w:val="single" w:sz="6" w:space="0" w:color="000000"/>
              <w:left w:val="single" w:sz="6" w:space="0" w:color="000000"/>
              <w:bottom w:val="single" w:sz="6" w:space="0" w:color="000000"/>
              <w:right w:val="single" w:sz="6" w:space="0" w:color="000000"/>
            </w:tcBorders>
            <w:vAlign w:val="center"/>
          </w:tcPr>
          <w:p w14:paraId="450040FB" w14:textId="77777777" w:rsidR="00171824" w:rsidRDefault="006D258C">
            <w:pPr>
              <w:keepNext/>
              <w:tabs>
                <w:tab w:val="left" w:pos="567"/>
              </w:tabs>
              <w:autoSpaceDE/>
              <w:autoSpaceDN/>
              <w:adjustRightInd/>
              <w:jc w:val="center"/>
              <w:rPr>
                <w:sz w:val="22"/>
                <w:szCs w:val="22"/>
                <w:lang w:val="el-GR"/>
              </w:rPr>
            </w:pPr>
            <w:r>
              <w:rPr>
                <w:sz w:val="22"/>
                <w:szCs w:val="22"/>
                <w:lang w:val="el-GR"/>
              </w:rPr>
              <w:t>23 (60,5%)</w:t>
            </w:r>
          </w:p>
        </w:tc>
      </w:tr>
    </w:tbl>
    <w:p w14:paraId="164B752F" w14:textId="77777777" w:rsidR="00171824" w:rsidRDefault="006D258C">
      <w:pPr>
        <w:keepNext/>
        <w:tabs>
          <w:tab w:val="left" w:pos="567"/>
        </w:tabs>
        <w:autoSpaceDE/>
        <w:autoSpaceDN/>
        <w:adjustRightInd/>
        <w:rPr>
          <w:sz w:val="20"/>
          <w:szCs w:val="20"/>
          <w:lang w:val="el-GR"/>
        </w:rPr>
      </w:pPr>
      <w:r>
        <w:rPr>
          <w:sz w:val="20"/>
          <w:szCs w:val="20"/>
          <w:vertAlign w:val="superscript"/>
          <w:lang w:val="el-GR"/>
        </w:rPr>
        <w:t>α</w:t>
      </w:r>
      <w:r>
        <w:rPr>
          <w:sz w:val="20"/>
          <w:szCs w:val="20"/>
          <w:lang w:val="el-GR"/>
        </w:rPr>
        <w:t xml:space="preserve"> MTX = μεθοτρεξάτη</w:t>
      </w:r>
    </w:p>
    <w:p w14:paraId="67DB3C8D" w14:textId="77777777" w:rsidR="00171824" w:rsidRDefault="006D258C">
      <w:pPr>
        <w:keepNext/>
        <w:tabs>
          <w:tab w:val="left" w:pos="567"/>
        </w:tabs>
        <w:autoSpaceDE/>
        <w:autoSpaceDN/>
        <w:adjustRightInd/>
        <w:rPr>
          <w:sz w:val="20"/>
          <w:szCs w:val="20"/>
          <w:lang w:val="el-GR"/>
        </w:rPr>
      </w:pPr>
      <w:r>
        <w:rPr>
          <w:sz w:val="20"/>
          <w:szCs w:val="20"/>
          <w:vertAlign w:val="superscript"/>
          <w:lang w:val="el-GR"/>
        </w:rPr>
        <w:t>β</w:t>
      </w:r>
      <w:r>
        <w:rPr>
          <w:sz w:val="20"/>
          <w:szCs w:val="20"/>
          <w:lang w:val="el-GR"/>
        </w:rPr>
        <w:t xml:space="preserve"> P=0,027, adalimumab 0,8 mg/kg έναντι MTX</w:t>
      </w:r>
    </w:p>
    <w:p w14:paraId="60AEDB11" w14:textId="77777777" w:rsidR="00171824" w:rsidRDefault="006D258C">
      <w:pPr>
        <w:tabs>
          <w:tab w:val="left" w:pos="567"/>
          <w:tab w:val="left" w:pos="1294"/>
        </w:tabs>
        <w:rPr>
          <w:sz w:val="22"/>
          <w:szCs w:val="20"/>
          <w:lang w:val="el-GR"/>
        </w:rPr>
      </w:pPr>
      <w:r>
        <w:rPr>
          <w:sz w:val="20"/>
          <w:szCs w:val="20"/>
          <w:vertAlign w:val="superscript"/>
          <w:lang w:val="el-GR"/>
        </w:rPr>
        <w:t>γ</w:t>
      </w:r>
      <w:r>
        <w:rPr>
          <w:sz w:val="20"/>
          <w:szCs w:val="20"/>
          <w:lang w:val="el-GR"/>
        </w:rPr>
        <w:t xml:space="preserve"> P=0,083, adalimumab 0,8 mg/kg έναντι MTX</w:t>
      </w:r>
    </w:p>
    <w:p w14:paraId="2F16FFF5" w14:textId="77777777" w:rsidR="00171824" w:rsidRDefault="00171824">
      <w:pPr>
        <w:widowControl/>
        <w:rPr>
          <w:sz w:val="22"/>
          <w:szCs w:val="22"/>
          <w:lang w:val="el-GR"/>
        </w:rPr>
      </w:pPr>
    </w:p>
    <w:p w14:paraId="2066193F" w14:textId="77777777" w:rsidR="00171824" w:rsidRDefault="006D258C">
      <w:pPr>
        <w:widowControl/>
        <w:rPr>
          <w:sz w:val="22"/>
          <w:szCs w:val="22"/>
          <w:lang w:val="el-GR"/>
        </w:rPr>
      </w:pPr>
      <w:r>
        <w:rPr>
          <w:sz w:val="22"/>
          <w:szCs w:val="22"/>
          <w:lang w:val="el-GR"/>
        </w:rPr>
        <w:t>Οι ασθενείς που πέτυχαν PASI 75 και PGA καθαρό ή ελάχιστο αποσύρθηκαν από τη θεραπεία για έως και 36 εβδομάδες και παρακολουθήθηκαν για απώλεια του ελέγχου της νόσου (δηλαδή επιδείνωση του PGA κατά 2 βαθμούς τουλάχιστον). Οι ασθενείς στη συνέχεια έλαβαν και πάλι αγωγή με adalimumab 0,8</w:t>
      </w:r>
      <w:r>
        <w:rPr>
          <w:rFonts w:eastAsia="TimesNewRomanPSMT"/>
          <w:sz w:val="22"/>
          <w:szCs w:val="22"/>
          <w:lang w:val="el-GR" w:eastAsia="ja-JP"/>
        </w:rPr>
        <w:t> </w:t>
      </w:r>
      <w:r>
        <w:rPr>
          <w:sz w:val="22"/>
          <w:szCs w:val="22"/>
          <w:lang w:val="el-GR"/>
        </w:rPr>
        <w:t>mg/kg κάθε δεύτερη εβδομάδα για 16 επιπλέον εβδομάδες και τα ποσοστά ανταπόκρισης που παρατηρήθηκαν κατά τη διάρκεια της επαναθεραπείας ήταν παρόμοια με αυτά της προηγούμενης διπλά-τυφλής περιόδου: ανταπόκριση PASI 75 78,9% (15 από τους 19 ασθενείς) και PGA καθαρό ή ελάχιστο 52,6% (10 από τους 19 ασθενείς).</w:t>
      </w:r>
    </w:p>
    <w:p w14:paraId="07E3450E" w14:textId="77777777" w:rsidR="00171824" w:rsidRDefault="00171824">
      <w:pPr>
        <w:widowControl/>
        <w:rPr>
          <w:sz w:val="22"/>
          <w:szCs w:val="22"/>
          <w:lang w:val="el-GR"/>
        </w:rPr>
      </w:pPr>
    </w:p>
    <w:p w14:paraId="34DCE248" w14:textId="77777777" w:rsidR="00171824" w:rsidRDefault="006D258C">
      <w:pPr>
        <w:widowControl/>
        <w:rPr>
          <w:b/>
          <w:bCs/>
          <w:color w:val="000000"/>
          <w:sz w:val="22"/>
          <w:szCs w:val="22"/>
          <w:lang w:val="el-GR" w:eastAsia="ja-JP"/>
        </w:rPr>
      </w:pPr>
      <w:r>
        <w:rPr>
          <w:sz w:val="22"/>
          <w:szCs w:val="22"/>
          <w:lang w:val="el-GR"/>
        </w:rPr>
        <w:t>Κατά τη διάρκεια της περιόδου ανοιχτής επισήμανσης της μελέτης, διατηρήθηκε η ανταπόκριση PASI 75 και το PGA καθαρό ή ελάχιστο για έως και 52 επιπλέον εβδομάδες χωρίς νέα δεδομένα ασφάλειας.</w:t>
      </w:r>
    </w:p>
    <w:p w14:paraId="18E1C6D7" w14:textId="77777777" w:rsidR="00171824" w:rsidRDefault="00171824">
      <w:pPr>
        <w:pStyle w:val="BodyText"/>
        <w:widowControl/>
        <w:kinsoku w:val="0"/>
        <w:overflowPunct w:val="0"/>
        <w:ind w:left="0"/>
        <w:rPr>
          <w:lang w:val="el-GR"/>
        </w:rPr>
      </w:pPr>
    </w:p>
    <w:p w14:paraId="2895E20D" w14:textId="77777777" w:rsidR="00171824" w:rsidRDefault="006D258C">
      <w:pPr>
        <w:pStyle w:val="BodyText"/>
        <w:widowControl/>
        <w:kinsoku w:val="0"/>
        <w:overflowPunct w:val="0"/>
        <w:ind w:left="0"/>
        <w:rPr>
          <w:lang w:val="el-GR"/>
        </w:rPr>
      </w:pPr>
      <w:r>
        <w:rPr>
          <w:i/>
          <w:iCs/>
          <w:lang w:val="el-GR"/>
        </w:rPr>
        <w:t>Εφηβική διαπυητική ιδρωταδενίτιδα</w:t>
      </w:r>
    </w:p>
    <w:p w14:paraId="190DCC31" w14:textId="77777777" w:rsidR="00171824" w:rsidRDefault="00171824">
      <w:pPr>
        <w:pStyle w:val="BodyText"/>
        <w:widowControl/>
        <w:kinsoku w:val="0"/>
        <w:overflowPunct w:val="0"/>
        <w:ind w:left="0"/>
        <w:rPr>
          <w:lang w:val="el-GR"/>
        </w:rPr>
      </w:pPr>
    </w:p>
    <w:p w14:paraId="415F2182" w14:textId="77777777" w:rsidR="00171824" w:rsidRDefault="006D258C">
      <w:pPr>
        <w:pStyle w:val="BodyText"/>
        <w:widowControl/>
        <w:kinsoku w:val="0"/>
        <w:overflowPunct w:val="0"/>
        <w:ind w:left="0"/>
        <w:rPr>
          <w:lang w:val="el-GR"/>
        </w:rPr>
      </w:pPr>
      <w:r>
        <w:rPr>
          <w:lang w:val="el-GR"/>
        </w:rPr>
        <w:lastRenderedPageBreak/>
        <w:t>Δεν υπάρχουν κλινικές μελέτες με το adalimumab σε έφηβους ασθενείς με HS. Η αποτελεσματικότητα του adalimumab για τη θεραπεία των εφήβων ασθενών με HS προβλέπεται με βάση την αποδεδειγμένη αποτελεσματικότητα και τη σχέση έκθεσης-ανταπόκρισης σε ενήλικες ασθενείς με HS και την πιθανότητα η πορεία της νόσου, η παθοφυσιολογία, και οι επιδράσεις του φαρμάκου να παρουσιάζουν ουσιαστικές ομοιότητες με εκείνες των ενηλίκων στα ίδια επίπεδα έκθεσης. Η ασφάλεια της συνιστώμενης δόσης adalimumab στον πληθυσμό των εφήβων ασθενών με HS βασίζεται στο προφίλ ασφάλειας στις διάφορες ενδείξεις του adalimumab σε ενήλικες και παιδιατρικούς ασθενείς που λαμβάνουν παρόμοιες ή πιο συχνές δόσεις (βλέπε παράγραφο 5.2).</w:t>
      </w:r>
    </w:p>
    <w:p w14:paraId="79954A6B" w14:textId="77777777" w:rsidR="00171824" w:rsidRDefault="00171824">
      <w:pPr>
        <w:pStyle w:val="BodyText"/>
        <w:widowControl/>
        <w:kinsoku w:val="0"/>
        <w:overflowPunct w:val="0"/>
        <w:ind w:left="0"/>
        <w:rPr>
          <w:lang w:val="el-GR"/>
        </w:rPr>
      </w:pPr>
    </w:p>
    <w:p w14:paraId="6F54F509" w14:textId="77777777" w:rsidR="00171824" w:rsidRDefault="006D258C">
      <w:pPr>
        <w:pStyle w:val="BodyText"/>
        <w:widowControl/>
        <w:kinsoku w:val="0"/>
        <w:overflowPunct w:val="0"/>
        <w:ind w:left="0"/>
        <w:rPr>
          <w:lang w:val="el-GR"/>
        </w:rPr>
      </w:pPr>
      <w:r>
        <w:rPr>
          <w:i/>
          <w:iCs/>
          <w:lang w:val="el-GR"/>
        </w:rPr>
        <w:t>Παιδιατρική νόσος του Crohn</w:t>
      </w:r>
    </w:p>
    <w:p w14:paraId="29495860" w14:textId="77777777" w:rsidR="00171824" w:rsidRDefault="00171824">
      <w:pPr>
        <w:pStyle w:val="BodyText"/>
        <w:widowControl/>
        <w:kinsoku w:val="0"/>
        <w:overflowPunct w:val="0"/>
        <w:ind w:left="0"/>
        <w:rPr>
          <w:lang w:val="el-GR"/>
        </w:rPr>
      </w:pPr>
    </w:p>
    <w:p w14:paraId="7DD02952" w14:textId="77777777" w:rsidR="00171824" w:rsidRDefault="006D258C">
      <w:pPr>
        <w:pStyle w:val="BodyText"/>
        <w:widowControl/>
        <w:kinsoku w:val="0"/>
        <w:overflowPunct w:val="0"/>
        <w:ind w:left="0"/>
        <w:rPr>
          <w:lang w:val="el-GR"/>
        </w:rPr>
      </w:pPr>
      <w:r>
        <w:rPr>
          <w:lang w:val="el-GR"/>
        </w:rPr>
        <w:t>Το adalimumab αξιολογήθηκε σε μια πολυκεντρική, τυχαιοποιημένη, διπλά-τυφλή κλινική μελέτη που σχεδιάστηκε για να αξιολογήσει την αποτελεσματικότητα και ασφάλεια της θεραπείας επαγωγής και συντήρησης με δόσεις ανάλογα με το σωματικό βάρος (&lt;</w:t>
      </w:r>
      <w:r>
        <w:rPr>
          <w:rFonts w:eastAsia="TimesNewRomanPSMT"/>
          <w:lang w:val="el-GR" w:eastAsia="ja-JP"/>
        </w:rPr>
        <w:t> </w:t>
      </w:r>
      <w:r>
        <w:rPr>
          <w:lang w:val="el-GR"/>
        </w:rPr>
        <w:t>40</w:t>
      </w:r>
      <w:r>
        <w:rPr>
          <w:rFonts w:eastAsia="TimesNewRomanPSMT"/>
          <w:lang w:val="el-GR" w:eastAsia="ja-JP"/>
        </w:rPr>
        <w:t> </w:t>
      </w:r>
      <w:r>
        <w:rPr>
          <w:lang w:val="el-GR"/>
        </w:rPr>
        <w:t>kg ή ≥</w:t>
      </w:r>
      <w:r>
        <w:rPr>
          <w:rFonts w:eastAsia="TimesNewRomanPSMT"/>
          <w:lang w:val="el-GR" w:eastAsia="ja-JP"/>
        </w:rPr>
        <w:t> </w:t>
      </w:r>
      <w:r>
        <w:rPr>
          <w:lang w:val="el-GR"/>
        </w:rPr>
        <w:t>40</w:t>
      </w:r>
      <w:r>
        <w:rPr>
          <w:rFonts w:eastAsia="TimesNewRomanPSMT"/>
          <w:lang w:val="el-GR" w:eastAsia="ja-JP"/>
        </w:rPr>
        <w:t> </w:t>
      </w:r>
      <w:r>
        <w:rPr>
          <w:lang w:val="el-GR"/>
        </w:rPr>
        <w:t>kg) σε 192 παιδιατρικούς ασθενείς μεταξύ 6 και 17 (συμπεριλαμβανομένου) ετών, με μέτρια έως σοβαρή νόσο του Crohn (CD), που ορίζεται ως PCDAI &gt; 30. Οι ασθενείς έπρεπε να έχουν αποτύχει στη συμβατική θεραπεία (συμπεριλαμβανομένου ενός κορτικοστεροειδούς και/ή ενός ανοσοτροποποιητικού) για CD. Οι ασθενείς μπορεί επίσης να είχαν προηγουμένως χάσει την ανταπόκριση ή να είχαν δυσανεξία στο infliximab.</w:t>
      </w:r>
    </w:p>
    <w:p w14:paraId="35CE35D0" w14:textId="77777777" w:rsidR="00171824" w:rsidRDefault="00171824">
      <w:pPr>
        <w:pStyle w:val="BodyText"/>
        <w:widowControl/>
        <w:kinsoku w:val="0"/>
        <w:overflowPunct w:val="0"/>
        <w:ind w:left="0"/>
        <w:rPr>
          <w:lang w:val="el-GR"/>
        </w:rPr>
      </w:pPr>
    </w:p>
    <w:p w14:paraId="42F32C54" w14:textId="77777777" w:rsidR="00171824" w:rsidRDefault="006D258C">
      <w:pPr>
        <w:pStyle w:val="BodyText"/>
        <w:widowControl/>
        <w:kinsoku w:val="0"/>
        <w:overflowPunct w:val="0"/>
        <w:ind w:left="0"/>
        <w:rPr>
          <w:lang w:val="el-GR"/>
        </w:rPr>
      </w:pPr>
      <w:r>
        <w:rPr>
          <w:lang w:val="el-GR"/>
        </w:rPr>
        <w:t>Όλοι οι ασθενείς έλαβαν αρχική θεραπεία ανοιχτής χορήγησης σε δόση με βάση το σωματικό βάρος τους στην έναρξη: 160</w:t>
      </w:r>
      <w:r>
        <w:rPr>
          <w:rFonts w:eastAsia="TimesNewRomanPSMT"/>
          <w:lang w:val="el-GR" w:eastAsia="ja-JP"/>
        </w:rPr>
        <w:t> </w:t>
      </w:r>
      <w:r>
        <w:rPr>
          <w:lang w:val="el-GR"/>
        </w:rPr>
        <w:t>mg την εβδομάδα 0 και 80</w:t>
      </w:r>
      <w:r>
        <w:rPr>
          <w:rFonts w:eastAsia="TimesNewRomanPSMT"/>
          <w:lang w:val="el-GR" w:eastAsia="ja-JP"/>
        </w:rPr>
        <w:t> </w:t>
      </w:r>
      <w:r>
        <w:rPr>
          <w:lang w:val="el-GR"/>
        </w:rPr>
        <w:t>mg την εβδομάδα 2 για ασθενείς ≥</w:t>
      </w:r>
      <w:r>
        <w:rPr>
          <w:rFonts w:eastAsia="TimesNewRomanPSMT"/>
          <w:lang w:val="el-GR" w:eastAsia="ja-JP"/>
        </w:rPr>
        <w:t> </w:t>
      </w:r>
      <w:r>
        <w:rPr>
          <w:lang w:val="el-GR"/>
        </w:rPr>
        <w:t>40</w:t>
      </w:r>
      <w:r>
        <w:rPr>
          <w:rFonts w:eastAsia="TimesNewRomanPSMT"/>
          <w:lang w:val="el-GR" w:eastAsia="ja-JP"/>
        </w:rPr>
        <w:t> </w:t>
      </w:r>
      <w:r>
        <w:rPr>
          <w:lang w:val="el-GR"/>
        </w:rPr>
        <w:t>kg, και 80</w:t>
      </w:r>
      <w:r>
        <w:rPr>
          <w:rFonts w:eastAsia="TimesNewRomanPSMT"/>
          <w:lang w:val="el-GR" w:eastAsia="ja-JP"/>
        </w:rPr>
        <w:t> </w:t>
      </w:r>
      <w:r>
        <w:rPr>
          <w:lang w:val="el-GR"/>
        </w:rPr>
        <w:t>mg και 40</w:t>
      </w:r>
      <w:r>
        <w:rPr>
          <w:rFonts w:eastAsia="TimesNewRomanPSMT"/>
          <w:lang w:val="el-GR" w:eastAsia="ja-JP"/>
        </w:rPr>
        <w:t> </w:t>
      </w:r>
      <w:r>
        <w:rPr>
          <w:lang w:val="el-GR"/>
        </w:rPr>
        <w:t>mg, αντίστοιχα, για ασθενείς &lt;40</w:t>
      </w:r>
      <w:r>
        <w:rPr>
          <w:rFonts w:eastAsia="TimesNewRomanPSMT"/>
          <w:lang w:val="el-GR" w:eastAsia="ja-JP"/>
        </w:rPr>
        <w:t> </w:t>
      </w:r>
      <w:r>
        <w:rPr>
          <w:lang w:val="el-GR"/>
        </w:rPr>
        <w:t>kg.</w:t>
      </w:r>
    </w:p>
    <w:p w14:paraId="05F85C19" w14:textId="77777777" w:rsidR="00171824" w:rsidRDefault="00171824">
      <w:pPr>
        <w:pStyle w:val="BodyText"/>
        <w:widowControl/>
        <w:kinsoku w:val="0"/>
        <w:overflowPunct w:val="0"/>
        <w:ind w:left="0"/>
        <w:rPr>
          <w:lang w:val="el-GR"/>
        </w:rPr>
      </w:pPr>
    </w:p>
    <w:p w14:paraId="23F1ECCC" w14:textId="77777777" w:rsidR="00171824" w:rsidRDefault="006D258C">
      <w:pPr>
        <w:pStyle w:val="BodyText"/>
        <w:widowControl/>
        <w:kinsoku w:val="0"/>
        <w:overflowPunct w:val="0"/>
        <w:ind w:left="0"/>
        <w:rPr>
          <w:lang w:val="el-GR"/>
        </w:rPr>
      </w:pPr>
      <w:r>
        <w:rPr>
          <w:lang w:val="el-GR"/>
        </w:rPr>
        <w:t>Την εβδομάδα 4, οι ασθενείς τυχαιοποιήθηκαν 1:1 με βάση το σωματικό τους βάρος εκείνη τη στιγμή είτε στη χαμηλή δόση ή στην τυπική δόση θεραπείας συντήρησης όπως φαίνεται στον Πίνακα 28.</w:t>
      </w:r>
    </w:p>
    <w:p w14:paraId="13160D0D" w14:textId="77777777" w:rsidR="00171824" w:rsidRDefault="00171824">
      <w:pPr>
        <w:pStyle w:val="BodyText"/>
        <w:widowControl/>
        <w:kinsoku w:val="0"/>
        <w:overflowPunct w:val="0"/>
        <w:ind w:left="0"/>
        <w:rPr>
          <w:lang w:val="el-GR"/>
        </w:rPr>
      </w:pPr>
    </w:p>
    <w:p w14:paraId="4FFF7560" w14:textId="77777777" w:rsidR="00171824" w:rsidRDefault="006D258C">
      <w:pPr>
        <w:widowControl/>
        <w:rPr>
          <w:b/>
          <w:bCs/>
          <w:color w:val="000000"/>
          <w:sz w:val="22"/>
          <w:szCs w:val="22"/>
          <w:lang w:val="el-GR" w:eastAsia="ja-JP"/>
        </w:rPr>
      </w:pPr>
      <w:r>
        <w:rPr>
          <w:b/>
          <w:bCs/>
          <w:color w:val="000000"/>
          <w:sz w:val="22"/>
          <w:szCs w:val="22"/>
          <w:lang w:val="el-GR" w:eastAsia="ja-JP"/>
        </w:rPr>
        <w:t xml:space="preserve">Πίνακας 28. Δόση Συντήρησης </w:t>
      </w:r>
    </w:p>
    <w:p w14:paraId="1646D2EC" w14:textId="77777777" w:rsidR="00171824" w:rsidRDefault="00171824">
      <w:pPr>
        <w:widowControl/>
        <w:rPr>
          <w:sz w:val="22"/>
          <w:lang w:val="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119"/>
        <w:gridCol w:w="3969"/>
      </w:tblGrid>
      <w:tr w:rsidR="00171824" w14:paraId="5497E786" w14:textId="77777777">
        <w:trPr>
          <w:cantSplit/>
        </w:trPr>
        <w:tc>
          <w:tcPr>
            <w:tcW w:w="1843" w:type="dxa"/>
          </w:tcPr>
          <w:p w14:paraId="3616628E" w14:textId="77777777" w:rsidR="00171824" w:rsidRDefault="006D258C">
            <w:pPr>
              <w:keepNext/>
              <w:tabs>
                <w:tab w:val="left" w:pos="562"/>
              </w:tabs>
              <w:autoSpaceDE/>
              <w:autoSpaceDN/>
              <w:adjustRightInd/>
              <w:rPr>
                <w:b/>
                <w:sz w:val="22"/>
                <w:lang w:val="el-GR"/>
              </w:rPr>
            </w:pPr>
            <w:r>
              <w:rPr>
                <w:b/>
                <w:sz w:val="22"/>
                <w:lang w:val="el-GR"/>
              </w:rPr>
              <w:t>Βάρος Ασθενούς</w:t>
            </w:r>
          </w:p>
        </w:tc>
        <w:tc>
          <w:tcPr>
            <w:tcW w:w="3119" w:type="dxa"/>
          </w:tcPr>
          <w:p w14:paraId="13CFAB9E" w14:textId="77777777" w:rsidR="00171824" w:rsidRDefault="006D258C">
            <w:pPr>
              <w:keepNext/>
              <w:tabs>
                <w:tab w:val="left" w:pos="562"/>
              </w:tabs>
              <w:autoSpaceDE/>
              <w:autoSpaceDN/>
              <w:adjustRightInd/>
              <w:rPr>
                <w:b/>
                <w:sz w:val="22"/>
                <w:lang w:val="el-GR"/>
              </w:rPr>
            </w:pPr>
            <w:r>
              <w:rPr>
                <w:b/>
                <w:sz w:val="22"/>
                <w:lang w:val="el-GR"/>
              </w:rPr>
              <w:t>Χαμηλή δόση</w:t>
            </w:r>
          </w:p>
        </w:tc>
        <w:tc>
          <w:tcPr>
            <w:tcW w:w="3969" w:type="dxa"/>
          </w:tcPr>
          <w:p w14:paraId="20F7918F" w14:textId="77777777" w:rsidR="00171824" w:rsidRDefault="006D258C">
            <w:pPr>
              <w:keepNext/>
              <w:tabs>
                <w:tab w:val="left" w:pos="562"/>
              </w:tabs>
              <w:autoSpaceDE/>
              <w:autoSpaceDN/>
              <w:adjustRightInd/>
              <w:rPr>
                <w:b/>
                <w:sz w:val="22"/>
                <w:lang w:val="el-GR"/>
              </w:rPr>
            </w:pPr>
            <w:r>
              <w:rPr>
                <w:b/>
                <w:sz w:val="22"/>
                <w:szCs w:val="22"/>
                <w:lang w:val="el-GR"/>
              </w:rPr>
              <w:t>Τυπική</w:t>
            </w:r>
            <w:r>
              <w:rPr>
                <w:sz w:val="22"/>
                <w:szCs w:val="22"/>
                <w:lang w:val="el-GR"/>
              </w:rPr>
              <w:t xml:space="preserve"> </w:t>
            </w:r>
            <w:r>
              <w:rPr>
                <w:b/>
                <w:sz w:val="22"/>
                <w:szCs w:val="20"/>
                <w:lang w:val="el-GR"/>
              </w:rPr>
              <w:t>Δόση</w:t>
            </w:r>
          </w:p>
        </w:tc>
      </w:tr>
      <w:tr w:rsidR="00171824" w14:paraId="2CEB854D" w14:textId="77777777">
        <w:trPr>
          <w:cantSplit/>
        </w:trPr>
        <w:tc>
          <w:tcPr>
            <w:tcW w:w="1843" w:type="dxa"/>
          </w:tcPr>
          <w:p w14:paraId="6299F1F2" w14:textId="77777777" w:rsidR="00171824" w:rsidRDefault="006D258C">
            <w:pPr>
              <w:keepNext/>
              <w:tabs>
                <w:tab w:val="left" w:pos="562"/>
              </w:tabs>
              <w:autoSpaceDE/>
              <w:autoSpaceDN/>
              <w:adjustRightInd/>
              <w:rPr>
                <w:sz w:val="22"/>
                <w:lang w:val="el-GR"/>
              </w:rPr>
            </w:pPr>
            <w:r>
              <w:rPr>
                <w:sz w:val="22"/>
                <w:lang w:val="el-GR"/>
              </w:rPr>
              <w:t>&lt; 40 kg</w:t>
            </w:r>
          </w:p>
        </w:tc>
        <w:tc>
          <w:tcPr>
            <w:tcW w:w="3119" w:type="dxa"/>
          </w:tcPr>
          <w:p w14:paraId="46E3AAD4" w14:textId="77777777" w:rsidR="00171824" w:rsidRDefault="006D258C">
            <w:pPr>
              <w:keepNext/>
              <w:tabs>
                <w:tab w:val="left" w:pos="562"/>
              </w:tabs>
              <w:autoSpaceDE/>
              <w:autoSpaceDN/>
              <w:adjustRightInd/>
              <w:rPr>
                <w:sz w:val="22"/>
                <w:lang w:val="el-GR"/>
              </w:rPr>
            </w:pPr>
            <w:r>
              <w:rPr>
                <w:sz w:val="22"/>
                <w:lang w:val="el-GR"/>
              </w:rPr>
              <w:t xml:space="preserve">10 mg κάθε </w:t>
            </w:r>
            <w:r>
              <w:rPr>
                <w:sz w:val="22"/>
                <w:szCs w:val="20"/>
                <w:lang w:val="el-GR"/>
              </w:rPr>
              <w:t xml:space="preserve">δεύτερη </w:t>
            </w:r>
            <w:r>
              <w:rPr>
                <w:sz w:val="22"/>
                <w:lang w:val="el-GR"/>
              </w:rPr>
              <w:t>εβδομάδα</w:t>
            </w:r>
          </w:p>
        </w:tc>
        <w:tc>
          <w:tcPr>
            <w:tcW w:w="3969" w:type="dxa"/>
          </w:tcPr>
          <w:p w14:paraId="271D5FA8" w14:textId="77777777" w:rsidR="00171824" w:rsidRDefault="006D258C">
            <w:pPr>
              <w:keepNext/>
              <w:tabs>
                <w:tab w:val="left" w:pos="562"/>
              </w:tabs>
              <w:autoSpaceDE/>
              <w:autoSpaceDN/>
              <w:adjustRightInd/>
              <w:rPr>
                <w:sz w:val="22"/>
                <w:lang w:val="el-GR"/>
              </w:rPr>
            </w:pPr>
            <w:r>
              <w:rPr>
                <w:sz w:val="22"/>
                <w:lang w:val="el-GR"/>
              </w:rPr>
              <w:t xml:space="preserve">20 mg κάθε </w:t>
            </w:r>
            <w:r>
              <w:rPr>
                <w:sz w:val="22"/>
                <w:szCs w:val="20"/>
                <w:lang w:val="el-GR"/>
              </w:rPr>
              <w:t xml:space="preserve">δεύτερη </w:t>
            </w:r>
            <w:r>
              <w:rPr>
                <w:sz w:val="22"/>
                <w:lang w:val="el-GR"/>
              </w:rPr>
              <w:t>εβδομάδα</w:t>
            </w:r>
          </w:p>
        </w:tc>
      </w:tr>
      <w:tr w:rsidR="00171824" w14:paraId="10254553" w14:textId="77777777">
        <w:trPr>
          <w:cantSplit/>
        </w:trPr>
        <w:tc>
          <w:tcPr>
            <w:tcW w:w="1843" w:type="dxa"/>
          </w:tcPr>
          <w:p w14:paraId="6265A992" w14:textId="77777777" w:rsidR="00171824" w:rsidRDefault="006D258C">
            <w:pPr>
              <w:keepNext/>
              <w:tabs>
                <w:tab w:val="left" w:pos="562"/>
              </w:tabs>
              <w:autoSpaceDE/>
              <w:autoSpaceDN/>
              <w:adjustRightInd/>
              <w:rPr>
                <w:sz w:val="22"/>
                <w:lang w:val="el-GR"/>
              </w:rPr>
            </w:pPr>
            <w:r>
              <w:rPr>
                <w:sz w:val="22"/>
                <w:lang w:val="el-GR"/>
              </w:rPr>
              <w:t>≥ 40 kg</w:t>
            </w:r>
          </w:p>
        </w:tc>
        <w:tc>
          <w:tcPr>
            <w:tcW w:w="3119" w:type="dxa"/>
          </w:tcPr>
          <w:p w14:paraId="712734A1" w14:textId="77777777" w:rsidR="00171824" w:rsidRDefault="006D258C">
            <w:pPr>
              <w:keepNext/>
              <w:tabs>
                <w:tab w:val="left" w:pos="562"/>
              </w:tabs>
              <w:autoSpaceDE/>
              <w:autoSpaceDN/>
              <w:adjustRightInd/>
              <w:rPr>
                <w:sz w:val="22"/>
                <w:lang w:val="el-GR"/>
              </w:rPr>
            </w:pPr>
            <w:r>
              <w:rPr>
                <w:sz w:val="22"/>
                <w:lang w:val="el-GR"/>
              </w:rPr>
              <w:t xml:space="preserve">20 mg κάθε </w:t>
            </w:r>
            <w:r>
              <w:rPr>
                <w:sz w:val="22"/>
                <w:szCs w:val="20"/>
                <w:lang w:val="el-GR"/>
              </w:rPr>
              <w:t xml:space="preserve">δεύτερη </w:t>
            </w:r>
            <w:r>
              <w:rPr>
                <w:sz w:val="22"/>
                <w:lang w:val="el-GR"/>
              </w:rPr>
              <w:t>εβδομάδα</w:t>
            </w:r>
          </w:p>
        </w:tc>
        <w:tc>
          <w:tcPr>
            <w:tcW w:w="3969" w:type="dxa"/>
          </w:tcPr>
          <w:p w14:paraId="081B0897" w14:textId="77777777" w:rsidR="00171824" w:rsidRDefault="006D258C">
            <w:pPr>
              <w:keepNext/>
              <w:tabs>
                <w:tab w:val="left" w:pos="562"/>
              </w:tabs>
              <w:autoSpaceDE/>
              <w:autoSpaceDN/>
              <w:adjustRightInd/>
              <w:rPr>
                <w:sz w:val="22"/>
                <w:lang w:val="el-GR"/>
              </w:rPr>
            </w:pPr>
            <w:r>
              <w:rPr>
                <w:sz w:val="22"/>
                <w:lang w:val="el-GR"/>
              </w:rPr>
              <w:t xml:space="preserve">40 mg κάθε </w:t>
            </w:r>
            <w:r>
              <w:rPr>
                <w:sz w:val="22"/>
                <w:szCs w:val="20"/>
                <w:lang w:val="el-GR"/>
              </w:rPr>
              <w:t xml:space="preserve">δεύτερη </w:t>
            </w:r>
            <w:r>
              <w:rPr>
                <w:sz w:val="22"/>
                <w:lang w:val="el-GR"/>
              </w:rPr>
              <w:t>εβδομάδα</w:t>
            </w:r>
          </w:p>
        </w:tc>
      </w:tr>
    </w:tbl>
    <w:p w14:paraId="00E14B09" w14:textId="77777777" w:rsidR="00171824" w:rsidRDefault="00171824">
      <w:pPr>
        <w:pStyle w:val="BodyText"/>
        <w:widowControl/>
        <w:kinsoku w:val="0"/>
        <w:overflowPunct w:val="0"/>
        <w:ind w:left="0"/>
        <w:rPr>
          <w:lang w:val="el-GR"/>
        </w:rPr>
      </w:pPr>
    </w:p>
    <w:p w14:paraId="5E084F7D" w14:textId="77777777" w:rsidR="00171824" w:rsidRDefault="006D258C">
      <w:pPr>
        <w:widowControl/>
        <w:rPr>
          <w:color w:val="000000"/>
          <w:sz w:val="22"/>
          <w:szCs w:val="22"/>
          <w:u w:val="single"/>
          <w:lang w:val="el-GR" w:eastAsia="ja-JP"/>
        </w:rPr>
      </w:pPr>
      <w:r>
        <w:rPr>
          <w:i/>
          <w:iCs/>
          <w:color w:val="000000"/>
          <w:sz w:val="22"/>
          <w:szCs w:val="22"/>
          <w:u w:val="single"/>
          <w:lang w:val="el-GR" w:eastAsia="ja-JP"/>
        </w:rPr>
        <w:t xml:space="preserve">Αποτελεσματικότητα </w:t>
      </w:r>
    </w:p>
    <w:p w14:paraId="7FDE6997" w14:textId="77777777" w:rsidR="00171824" w:rsidRDefault="00171824">
      <w:pPr>
        <w:pStyle w:val="BodyText"/>
        <w:widowControl/>
        <w:kinsoku w:val="0"/>
        <w:overflowPunct w:val="0"/>
        <w:ind w:left="0"/>
        <w:rPr>
          <w:color w:val="000000"/>
          <w:lang w:val="el-GR" w:eastAsia="ja-JP"/>
        </w:rPr>
      </w:pPr>
    </w:p>
    <w:p w14:paraId="1285C2D7" w14:textId="77777777" w:rsidR="00171824" w:rsidRDefault="006D258C">
      <w:pPr>
        <w:pStyle w:val="BodyText"/>
        <w:widowControl/>
        <w:kinsoku w:val="0"/>
        <w:overflowPunct w:val="0"/>
        <w:ind w:left="0"/>
        <w:rPr>
          <w:lang w:val="el-GR"/>
        </w:rPr>
      </w:pPr>
      <w:r>
        <w:rPr>
          <w:color w:val="000000"/>
          <w:lang w:val="el-GR" w:eastAsia="ja-JP"/>
        </w:rPr>
        <w:t>Το κύριο καταληκτικό σημείο της μελέτης ήταν η κλινική ύφεση την εβδομάδα 26, όπως ορίζεται ως PCDAI ≤ 10.</w:t>
      </w:r>
    </w:p>
    <w:p w14:paraId="309064AF" w14:textId="77777777" w:rsidR="00171824" w:rsidRDefault="00171824">
      <w:pPr>
        <w:pStyle w:val="BodyText"/>
        <w:widowControl/>
        <w:kinsoku w:val="0"/>
        <w:overflowPunct w:val="0"/>
        <w:ind w:left="0"/>
        <w:rPr>
          <w:lang w:val="el-GR"/>
        </w:rPr>
      </w:pPr>
    </w:p>
    <w:p w14:paraId="2E73585B" w14:textId="77777777" w:rsidR="00171824" w:rsidRDefault="006D258C">
      <w:pPr>
        <w:pStyle w:val="BodyText"/>
        <w:widowControl/>
        <w:kinsoku w:val="0"/>
        <w:overflowPunct w:val="0"/>
        <w:ind w:left="0"/>
        <w:rPr>
          <w:lang w:val="el-GR"/>
        </w:rPr>
      </w:pPr>
      <w:r>
        <w:rPr>
          <w:lang w:val="el-GR"/>
        </w:rPr>
        <w:t>Τα ποσοστά κλινικής ύφεσης και κλινικής ανταπόκρισης (που ορίζονται ως μείωση του PCDAI κατά τουλάχιστον 15 βαθμούς από την τιμή Έναρξης) παρουσιάζονται στον Πίνακα 29. Τα ποσοστά διακοπής των κορτικοστεροειδών ή των ανοσοτροποποιητικών παρουσιάζονται στον Πίνακα 30.</w:t>
      </w:r>
    </w:p>
    <w:p w14:paraId="1A11592D" w14:textId="77777777" w:rsidR="00171824" w:rsidRDefault="00171824">
      <w:pPr>
        <w:widowControl/>
        <w:rPr>
          <w:b/>
          <w:bCs/>
          <w:color w:val="000000"/>
          <w:sz w:val="22"/>
          <w:szCs w:val="22"/>
          <w:lang w:val="el-GR" w:eastAsia="ja-JP"/>
        </w:rPr>
      </w:pPr>
    </w:p>
    <w:p w14:paraId="2696DD14" w14:textId="77777777" w:rsidR="00171824" w:rsidRDefault="006D258C">
      <w:pPr>
        <w:keepNext/>
        <w:widowControl/>
        <w:rPr>
          <w:sz w:val="22"/>
          <w:lang w:val="el-GR"/>
        </w:rPr>
      </w:pPr>
      <w:r>
        <w:rPr>
          <w:b/>
          <w:bCs/>
          <w:color w:val="000000"/>
          <w:sz w:val="22"/>
          <w:szCs w:val="22"/>
          <w:lang w:val="el-GR" w:eastAsia="ja-JP"/>
        </w:rPr>
        <w:lastRenderedPageBreak/>
        <w:t xml:space="preserve">Πίνακας 29. Μελέτη Παιδιατρικής CD PCDAI Κλινική Ύφεση και Κλινική Ανταπόκριση </w:t>
      </w:r>
    </w:p>
    <w:p w14:paraId="04AC17EB" w14:textId="77777777" w:rsidR="00171824" w:rsidRDefault="00171824">
      <w:pPr>
        <w:pStyle w:val="BodyText"/>
        <w:keepNext/>
        <w:widowControl/>
        <w:kinsoku w:val="0"/>
        <w:overflowPunct w:val="0"/>
        <w:ind w:left="0"/>
        <w:rPr>
          <w:lang w:val="el-GR"/>
        </w:rPr>
      </w:pPr>
    </w:p>
    <w:tbl>
      <w:tblPr>
        <w:tblW w:w="0" w:type="auto"/>
        <w:tblInd w:w="108" w:type="dxa"/>
        <w:tblLayout w:type="fixed"/>
        <w:tblLook w:val="04A0" w:firstRow="1" w:lastRow="0" w:firstColumn="1" w:lastColumn="0" w:noHBand="0" w:noVBand="1"/>
      </w:tblPr>
      <w:tblGrid>
        <w:gridCol w:w="2694"/>
        <w:gridCol w:w="1842"/>
        <w:gridCol w:w="2268"/>
        <w:gridCol w:w="2127"/>
      </w:tblGrid>
      <w:tr w:rsidR="00171824" w14:paraId="4A1BEAE6" w14:textId="77777777">
        <w:trPr>
          <w:cantSplit/>
        </w:trPr>
        <w:tc>
          <w:tcPr>
            <w:tcW w:w="2694" w:type="dxa"/>
            <w:tcBorders>
              <w:top w:val="single" w:sz="4" w:space="0" w:color="auto"/>
              <w:left w:val="single" w:sz="6" w:space="0" w:color="000000"/>
              <w:bottom w:val="single" w:sz="6" w:space="0" w:color="000000"/>
              <w:right w:val="single" w:sz="6" w:space="0" w:color="000000"/>
            </w:tcBorders>
          </w:tcPr>
          <w:p w14:paraId="591E4911" w14:textId="77777777" w:rsidR="00171824" w:rsidRDefault="00171824">
            <w:pPr>
              <w:keepNext/>
              <w:tabs>
                <w:tab w:val="left" w:pos="-1080"/>
              </w:tabs>
              <w:ind w:left="17"/>
              <w:rPr>
                <w:b/>
                <w:bCs/>
                <w:sz w:val="22"/>
                <w:szCs w:val="22"/>
                <w:lang w:val="el-GR"/>
              </w:rPr>
            </w:pPr>
          </w:p>
        </w:tc>
        <w:tc>
          <w:tcPr>
            <w:tcW w:w="1842" w:type="dxa"/>
            <w:tcBorders>
              <w:top w:val="single" w:sz="4" w:space="0" w:color="auto"/>
              <w:left w:val="single" w:sz="6" w:space="0" w:color="000000"/>
              <w:bottom w:val="single" w:sz="6" w:space="0" w:color="000000"/>
              <w:right w:val="single" w:sz="6" w:space="0" w:color="000000"/>
            </w:tcBorders>
          </w:tcPr>
          <w:p w14:paraId="79E601F1" w14:textId="77777777" w:rsidR="00171824" w:rsidRDefault="006D258C">
            <w:pPr>
              <w:keepNext/>
              <w:tabs>
                <w:tab w:val="left" w:pos="-1080"/>
              </w:tabs>
              <w:ind w:left="17"/>
              <w:jc w:val="center"/>
              <w:rPr>
                <w:b/>
                <w:bCs/>
                <w:sz w:val="22"/>
                <w:szCs w:val="22"/>
                <w:lang w:val="el-GR"/>
              </w:rPr>
            </w:pPr>
            <w:r>
              <w:rPr>
                <w:b/>
                <w:sz w:val="22"/>
                <w:szCs w:val="22"/>
                <w:lang w:val="el-GR"/>
              </w:rPr>
              <w:t xml:space="preserve">Τυπική </w:t>
            </w:r>
            <w:r>
              <w:rPr>
                <w:b/>
                <w:sz w:val="22"/>
                <w:szCs w:val="20"/>
                <w:lang w:val="el-GR"/>
              </w:rPr>
              <w:t>Δόση</w:t>
            </w:r>
            <w:r>
              <w:rPr>
                <w:b/>
                <w:bCs/>
                <w:sz w:val="22"/>
                <w:szCs w:val="22"/>
                <w:lang w:val="el-GR"/>
              </w:rPr>
              <w:t xml:space="preserve"> </w:t>
            </w:r>
          </w:p>
          <w:p w14:paraId="07E5628E" w14:textId="77777777" w:rsidR="00171824" w:rsidRDefault="006D258C">
            <w:pPr>
              <w:keepNext/>
              <w:tabs>
                <w:tab w:val="left" w:pos="-1080"/>
              </w:tabs>
              <w:ind w:left="17"/>
              <w:jc w:val="center"/>
              <w:rPr>
                <w:b/>
                <w:bCs/>
                <w:sz w:val="22"/>
                <w:szCs w:val="22"/>
                <w:lang w:val="el-GR"/>
              </w:rPr>
            </w:pPr>
            <w:r>
              <w:rPr>
                <w:b/>
                <w:bCs/>
                <w:sz w:val="22"/>
                <w:szCs w:val="22"/>
                <w:lang w:val="el-GR"/>
              </w:rPr>
              <w:t>40/20 mg</w:t>
            </w:r>
            <w:r>
              <w:rPr>
                <w:b/>
                <w:sz w:val="22"/>
                <w:lang w:val="el-GR"/>
              </w:rPr>
              <w:t xml:space="preserve"> κάθε </w:t>
            </w:r>
            <w:r>
              <w:rPr>
                <w:b/>
                <w:sz w:val="22"/>
                <w:szCs w:val="20"/>
                <w:lang w:val="el-GR"/>
              </w:rPr>
              <w:t xml:space="preserve">δεύτερη </w:t>
            </w:r>
            <w:r>
              <w:rPr>
                <w:b/>
                <w:sz w:val="22"/>
                <w:lang w:val="el-GR"/>
              </w:rPr>
              <w:t>εβδομάδα</w:t>
            </w:r>
            <w:r>
              <w:rPr>
                <w:b/>
                <w:bCs/>
                <w:sz w:val="22"/>
                <w:szCs w:val="22"/>
                <w:lang w:val="el-GR"/>
              </w:rPr>
              <w:t xml:space="preserve"> </w:t>
            </w:r>
          </w:p>
          <w:p w14:paraId="06029990" w14:textId="77777777" w:rsidR="00171824" w:rsidRDefault="006D258C">
            <w:pPr>
              <w:keepNext/>
              <w:tabs>
                <w:tab w:val="left" w:pos="-1080"/>
              </w:tabs>
              <w:ind w:left="17"/>
              <w:jc w:val="center"/>
              <w:rPr>
                <w:b/>
                <w:bCs/>
                <w:sz w:val="22"/>
                <w:szCs w:val="22"/>
                <w:lang w:val="el-GR"/>
              </w:rPr>
            </w:pPr>
            <w:r>
              <w:rPr>
                <w:b/>
                <w:bCs/>
                <w:sz w:val="22"/>
                <w:szCs w:val="22"/>
                <w:lang w:val="el-GR"/>
              </w:rPr>
              <w:t>N = 93</w:t>
            </w:r>
          </w:p>
        </w:tc>
        <w:tc>
          <w:tcPr>
            <w:tcW w:w="2268" w:type="dxa"/>
            <w:tcBorders>
              <w:top w:val="single" w:sz="4" w:space="0" w:color="auto"/>
              <w:left w:val="single" w:sz="6" w:space="0" w:color="000000"/>
              <w:bottom w:val="single" w:sz="6" w:space="0" w:color="000000"/>
              <w:right w:val="single" w:sz="6" w:space="0" w:color="000000"/>
            </w:tcBorders>
          </w:tcPr>
          <w:p w14:paraId="2CC9D0BA" w14:textId="77777777" w:rsidR="00171824" w:rsidRDefault="006D258C">
            <w:pPr>
              <w:keepNext/>
              <w:tabs>
                <w:tab w:val="left" w:pos="-1080"/>
              </w:tabs>
              <w:ind w:left="17"/>
              <w:jc w:val="center"/>
              <w:rPr>
                <w:b/>
                <w:bCs/>
                <w:sz w:val="22"/>
                <w:szCs w:val="22"/>
                <w:lang w:val="el-GR"/>
              </w:rPr>
            </w:pPr>
            <w:r>
              <w:rPr>
                <w:b/>
                <w:sz w:val="22"/>
                <w:lang w:val="el-GR"/>
              </w:rPr>
              <w:t>Χαμηλή δόση</w:t>
            </w:r>
            <w:r>
              <w:rPr>
                <w:b/>
                <w:bCs/>
                <w:sz w:val="22"/>
                <w:szCs w:val="22"/>
                <w:lang w:val="el-GR"/>
              </w:rPr>
              <w:t xml:space="preserve"> 20/10 mg </w:t>
            </w:r>
            <w:r>
              <w:rPr>
                <w:b/>
                <w:sz w:val="22"/>
                <w:lang w:val="el-GR"/>
              </w:rPr>
              <w:t xml:space="preserve">κάθε </w:t>
            </w:r>
            <w:r>
              <w:rPr>
                <w:b/>
                <w:sz w:val="22"/>
                <w:szCs w:val="20"/>
                <w:lang w:val="el-GR"/>
              </w:rPr>
              <w:t xml:space="preserve">δεύτερη </w:t>
            </w:r>
            <w:r>
              <w:rPr>
                <w:b/>
                <w:sz w:val="22"/>
                <w:lang w:val="el-GR"/>
              </w:rPr>
              <w:t>εβδομάδα</w:t>
            </w:r>
            <w:r>
              <w:rPr>
                <w:b/>
                <w:bCs/>
                <w:sz w:val="22"/>
                <w:szCs w:val="22"/>
                <w:lang w:val="el-GR"/>
              </w:rPr>
              <w:t xml:space="preserve"> </w:t>
            </w:r>
          </w:p>
          <w:p w14:paraId="555937E0" w14:textId="77777777" w:rsidR="00171824" w:rsidRDefault="006D258C">
            <w:pPr>
              <w:keepNext/>
              <w:tabs>
                <w:tab w:val="left" w:pos="-1080"/>
              </w:tabs>
              <w:ind w:left="17"/>
              <w:jc w:val="center"/>
              <w:rPr>
                <w:b/>
                <w:bCs/>
                <w:sz w:val="22"/>
                <w:szCs w:val="22"/>
                <w:lang w:val="el-GR"/>
              </w:rPr>
            </w:pPr>
            <w:r>
              <w:rPr>
                <w:b/>
                <w:bCs/>
                <w:sz w:val="22"/>
                <w:szCs w:val="22"/>
                <w:lang w:val="el-GR"/>
              </w:rPr>
              <w:t>N = 95</w:t>
            </w:r>
          </w:p>
        </w:tc>
        <w:tc>
          <w:tcPr>
            <w:tcW w:w="2127" w:type="dxa"/>
            <w:tcBorders>
              <w:top w:val="single" w:sz="4" w:space="0" w:color="auto"/>
              <w:left w:val="single" w:sz="6" w:space="0" w:color="000000"/>
              <w:bottom w:val="single" w:sz="6" w:space="0" w:color="000000"/>
              <w:right w:val="single" w:sz="6" w:space="0" w:color="000000"/>
            </w:tcBorders>
          </w:tcPr>
          <w:p w14:paraId="5AC17114" w14:textId="77777777" w:rsidR="00171824" w:rsidRDefault="006D258C">
            <w:pPr>
              <w:keepNext/>
              <w:tabs>
                <w:tab w:val="left" w:pos="-1080"/>
              </w:tabs>
              <w:ind w:left="17"/>
              <w:jc w:val="center"/>
              <w:rPr>
                <w:sz w:val="22"/>
                <w:szCs w:val="22"/>
                <w:lang w:val="el-GR"/>
              </w:rPr>
            </w:pPr>
            <w:r>
              <w:rPr>
                <w:b/>
                <w:bCs/>
                <w:sz w:val="22"/>
                <w:szCs w:val="22"/>
                <w:lang w:val="el-GR"/>
              </w:rPr>
              <w:t>Τιμή P</w:t>
            </w:r>
            <w:r>
              <w:rPr>
                <w:sz w:val="22"/>
                <w:szCs w:val="22"/>
                <w:lang w:val="el-GR"/>
              </w:rPr>
              <w:t>*</w:t>
            </w:r>
          </w:p>
        </w:tc>
      </w:tr>
      <w:tr w:rsidR="00171824" w14:paraId="51168A03" w14:textId="77777777">
        <w:trPr>
          <w:cantSplit/>
        </w:trPr>
        <w:tc>
          <w:tcPr>
            <w:tcW w:w="2694" w:type="dxa"/>
            <w:tcBorders>
              <w:top w:val="single" w:sz="6" w:space="0" w:color="000000"/>
              <w:left w:val="single" w:sz="6" w:space="0" w:color="000000"/>
              <w:bottom w:val="single" w:sz="6" w:space="0" w:color="000000"/>
              <w:right w:val="single" w:sz="6" w:space="0" w:color="000000"/>
            </w:tcBorders>
            <w:vAlign w:val="bottom"/>
          </w:tcPr>
          <w:p w14:paraId="2C0F6335" w14:textId="77777777" w:rsidR="00171824" w:rsidRDefault="006D258C">
            <w:pPr>
              <w:keepNext/>
              <w:tabs>
                <w:tab w:val="left" w:pos="-1080"/>
              </w:tabs>
              <w:ind w:left="17"/>
              <w:rPr>
                <w:b/>
                <w:bCs/>
                <w:sz w:val="22"/>
                <w:szCs w:val="22"/>
                <w:lang w:val="el-GR"/>
              </w:rPr>
            </w:pPr>
            <w:r>
              <w:rPr>
                <w:b/>
                <w:bCs/>
                <w:sz w:val="22"/>
                <w:szCs w:val="22"/>
                <w:lang w:val="el-GR"/>
              </w:rPr>
              <w:t>Εβδομάδα 26</w:t>
            </w:r>
          </w:p>
        </w:tc>
        <w:tc>
          <w:tcPr>
            <w:tcW w:w="1842" w:type="dxa"/>
            <w:tcBorders>
              <w:top w:val="single" w:sz="6" w:space="0" w:color="000000"/>
              <w:left w:val="single" w:sz="6" w:space="0" w:color="000000"/>
              <w:bottom w:val="single" w:sz="6" w:space="0" w:color="000000"/>
              <w:right w:val="single" w:sz="6" w:space="0" w:color="000000"/>
            </w:tcBorders>
            <w:vAlign w:val="bottom"/>
          </w:tcPr>
          <w:p w14:paraId="655DA013" w14:textId="77777777" w:rsidR="00171824" w:rsidRDefault="00171824">
            <w:pPr>
              <w:keepNext/>
              <w:tabs>
                <w:tab w:val="left" w:pos="-1080"/>
              </w:tabs>
              <w:ind w:left="17"/>
              <w:jc w:val="center"/>
              <w:rPr>
                <w:b/>
                <w:bCs/>
                <w:sz w:val="22"/>
                <w:szCs w:val="22"/>
                <w:lang w:val="el-GR"/>
              </w:rPr>
            </w:pPr>
          </w:p>
        </w:tc>
        <w:tc>
          <w:tcPr>
            <w:tcW w:w="2268" w:type="dxa"/>
            <w:tcBorders>
              <w:top w:val="single" w:sz="6" w:space="0" w:color="000000"/>
              <w:left w:val="single" w:sz="6" w:space="0" w:color="000000"/>
              <w:bottom w:val="single" w:sz="6" w:space="0" w:color="000000"/>
              <w:right w:val="single" w:sz="6" w:space="0" w:color="000000"/>
            </w:tcBorders>
            <w:vAlign w:val="bottom"/>
          </w:tcPr>
          <w:p w14:paraId="53D2DF1B" w14:textId="77777777" w:rsidR="00171824" w:rsidRDefault="00171824">
            <w:pPr>
              <w:keepNext/>
              <w:tabs>
                <w:tab w:val="left" w:pos="-1080"/>
              </w:tabs>
              <w:ind w:left="17"/>
              <w:jc w:val="center"/>
              <w:rPr>
                <w:b/>
                <w:bCs/>
                <w:sz w:val="22"/>
                <w:szCs w:val="22"/>
                <w:lang w:val="el-GR"/>
              </w:rPr>
            </w:pPr>
          </w:p>
        </w:tc>
        <w:tc>
          <w:tcPr>
            <w:tcW w:w="2127" w:type="dxa"/>
            <w:tcBorders>
              <w:top w:val="single" w:sz="6" w:space="0" w:color="000000"/>
              <w:left w:val="single" w:sz="6" w:space="0" w:color="000000"/>
              <w:bottom w:val="single" w:sz="6" w:space="0" w:color="000000"/>
              <w:right w:val="single" w:sz="6" w:space="0" w:color="000000"/>
            </w:tcBorders>
            <w:vAlign w:val="bottom"/>
          </w:tcPr>
          <w:p w14:paraId="5BC5DF5B" w14:textId="77777777" w:rsidR="00171824" w:rsidRDefault="00171824">
            <w:pPr>
              <w:keepNext/>
              <w:ind w:left="17"/>
              <w:rPr>
                <w:b/>
                <w:bCs/>
                <w:sz w:val="22"/>
                <w:szCs w:val="22"/>
                <w:lang w:val="el-GR"/>
              </w:rPr>
            </w:pPr>
          </w:p>
        </w:tc>
      </w:tr>
      <w:tr w:rsidR="00171824" w14:paraId="775E8D73" w14:textId="77777777">
        <w:trPr>
          <w:cantSplit/>
        </w:trPr>
        <w:tc>
          <w:tcPr>
            <w:tcW w:w="2694" w:type="dxa"/>
            <w:tcBorders>
              <w:top w:val="single" w:sz="6" w:space="0" w:color="000000"/>
              <w:left w:val="single" w:sz="6" w:space="0" w:color="000000"/>
              <w:bottom w:val="single" w:sz="6" w:space="0" w:color="000000"/>
              <w:right w:val="single" w:sz="6" w:space="0" w:color="000000"/>
            </w:tcBorders>
            <w:vAlign w:val="bottom"/>
          </w:tcPr>
          <w:p w14:paraId="68B97AC4" w14:textId="77777777" w:rsidR="00171824" w:rsidRDefault="006D258C">
            <w:pPr>
              <w:keepNext/>
              <w:tabs>
                <w:tab w:val="left" w:pos="-1080"/>
              </w:tabs>
              <w:ind w:left="567"/>
              <w:rPr>
                <w:sz w:val="22"/>
                <w:szCs w:val="22"/>
                <w:lang w:val="el-GR"/>
              </w:rPr>
            </w:pPr>
            <w:r>
              <w:rPr>
                <w:sz w:val="22"/>
                <w:lang w:val="el-GR"/>
              </w:rPr>
              <w:t>Κλινική ύφεση</w:t>
            </w:r>
          </w:p>
        </w:tc>
        <w:tc>
          <w:tcPr>
            <w:tcW w:w="1842" w:type="dxa"/>
            <w:tcBorders>
              <w:top w:val="single" w:sz="6" w:space="0" w:color="000000"/>
              <w:left w:val="single" w:sz="6" w:space="0" w:color="000000"/>
              <w:bottom w:val="single" w:sz="6" w:space="0" w:color="000000"/>
              <w:right w:val="single" w:sz="6" w:space="0" w:color="000000"/>
            </w:tcBorders>
            <w:vAlign w:val="bottom"/>
          </w:tcPr>
          <w:p w14:paraId="2EA79DB3" w14:textId="77777777" w:rsidR="00171824" w:rsidRDefault="006D258C">
            <w:pPr>
              <w:keepNext/>
              <w:tabs>
                <w:tab w:val="left" w:pos="-1080"/>
              </w:tabs>
              <w:ind w:left="17"/>
              <w:jc w:val="center"/>
              <w:rPr>
                <w:sz w:val="22"/>
                <w:szCs w:val="22"/>
                <w:lang w:val="el-GR"/>
              </w:rPr>
            </w:pPr>
            <w:r>
              <w:rPr>
                <w:sz w:val="22"/>
                <w:szCs w:val="22"/>
                <w:lang w:val="el-GR"/>
              </w:rPr>
              <w:t>38,7%</w:t>
            </w:r>
          </w:p>
        </w:tc>
        <w:tc>
          <w:tcPr>
            <w:tcW w:w="2268" w:type="dxa"/>
            <w:tcBorders>
              <w:top w:val="single" w:sz="6" w:space="0" w:color="000000"/>
              <w:left w:val="single" w:sz="6" w:space="0" w:color="000000"/>
              <w:bottom w:val="single" w:sz="6" w:space="0" w:color="000000"/>
              <w:right w:val="single" w:sz="6" w:space="0" w:color="000000"/>
            </w:tcBorders>
            <w:vAlign w:val="bottom"/>
          </w:tcPr>
          <w:p w14:paraId="6F59B677" w14:textId="77777777" w:rsidR="00171824" w:rsidRDefault="006D258C">
            <w:pPr>
              <w:keepNext/>
              <w:tabs>
                <w:tab w:val="left" w:pos="-1080"/>
              </w:tabs>
              <w:ind w:left="17"/>
              <w:jc w:val="center"/>
              <w:rPr>
                <w:sz w:val="22"/>
                <w:szCs w:val="22"/>
                <w:lang w:val="el-GR"/>
              </w:rPr>
            </w:pPr>
            <w:r>
              <w:rPr>
                <w:sz w:val="22"/>
                <w:szCs w:val="22"/>
                <w:lang w:val="el-GR"/>
              </w:rPr>
              <w:t>28,4%</w:t>
            </w:r>
          </w:p>
        </w:tc>
        <w:tc>
          <w:tcPr>
            <w:tcW w:w="2127" w:type="dxa"/>
            <w:tcBorders>
              <w:top w:val="single" w:sz="6" w:space="0" w:color="000000"/>
              <w:left w:val="single" w:sz="6" w:space="0" w:color="000000"/>
              <w:bottom w:val="single" w:sz="6" w:space="0" w:color="000000"/>
              <w:right w:val="single" w:sz="6" w:space="0" w:color="000000"/>
            </w:tcBorders>
            <w:vAlign w:val="bottom"/>
          </w:tcPr>
          <w:p w14:paraId="5FB9D649" w14:textId="77777777" w:rsidR="00171824" w:rsidRDefault="006D258C">
            <w:pPr>
              <w:keepNext/>
              <w:tabs>
                <w:tab w:val="left" w:pos="-1080"/>
              </w:tabs>
              <w:ind w:left="17"/>
              <w:jc w:val="center"/>
              <w:rPr>
                <w:sz w:val="22"/>
                <w:szCs w:val="22"/>
                <w:lang w:val="el-GR"/>
              </w:rPr>
            </w:pPr>
            <w:r>
              <w:rPr>
                <w:sz w:val="22"/>
                <w:szCs w:val="22"/>
                <w:lang w:val="el-GR"/>
              </w:rPr>
              <w:t>0,075</w:t>
            </w:r>
          </w:p>
        </w:tc>
      </w:tr>
      <w:tr w:rsidR="00171824" w14:paraId="1A07645F" w14:textId="77777777">
        <w:trPr>
          <w:cantSplit/>
        </w:trPr>
        <w:tc>
          <w:tcPr>
            <w:tcW w:w="2694" w:type="dxa"/>
            <w:tcBorders>
              <w:top w:val="single" w:sz="6" w:space="0" w:color="000000"/>
              <w:left w:val="single" w:sz="6" w:space="0" w:color="000000"/>
              <w:bottom w:val="single" w:sz="6" w:space="0" w:color="000000"/>
              <w:right w:val="single" w:sz="6" w:space="0" w:color="000000"/>
            </w:tcBorders>
          </w:tcPr>
          <w:p w14:paraId="01657A4E" w14:textId="77777777" w:rsidR="00171824" w:rsidRDefault="006D258C">
            <w:pPr>
              <w:keepNext/>
              <w:tabs>
                <w:tab w:val="left" w:pos="-1080"/>
              </w:tabs>
              <w:ind w:left="567"/>
              <w:rPr>
                <w:sz w:val="22"/>
                <w:szCs w:val="22"/>
                <w:lang w:val="el-GR"/>
              </w:rPr>
            </w:pPr>
            <w:r>
              <w:rPr>
                <w:sz w:val="22"/>
                <w:lang w:val="el-GR"/>
              </w:rPr>
              <w:t>Κλινική α</w:t>
            </w:r>
            <w:r>
              <w:rPr>
                <w:sz w:val="22"/>
                <w:szCs w:val="20"/>
                <w:lang w:val="el-GR"/>
              </w:rPr>
              <w:t>ντα</w:t>
            </w:r>
            <w:r>
              <w:rPr>
                <w:sz w:val="22"/>
                <w:lang w:val="el-GR"/>
              </w:rPr>
              <w:t>πόκριση</w:t>
            </w:r>
            <w:r>
              <w:rPr>
                <w:sz w:val="22"/>
                <w:szCs w:val="22"/>
                <w:lang w:val="el-GR"/>
              </w:rPr>
              <w:t xml:space="preserve"> </w:t>
            </w:r>
          </w:p>
        </w:tc>
        <w:tc>
          <w:tcPr>
            <w:tcW w:w="1842" w:type="dxa"/>
            <w:tcBorders>
              <w:top w:val="single" w:sz="6" w:space="0" w:color="000000"/>
              <w:left w:val="single" w:sz="6" w:space="0" w:color="000000"/>
              <w:bottom w:val="single" w:sz="6" w:space="0" w:color="000000"/>
              <w:right w:val="single" w:sz="6" w:space="0" w:color="000000"/>
            </w:tcBorders>
          </w:tcPr>
          <w:p w14:paraId="2D11A9D3" w14:textId="77777777" w:rsidR="00171824" w:rsidRDefault="006D258C">
            <w:pPr>
              <w:keepNext/>
              <w:tabs>
                <w:tab w:val="left" w:pos="-1080"/>
              </w:tabs>
              <w:ind w:left="17"/>
              <w:jc w:val="center"/>
              <w:rPr>
                <w:sz w:val="22"/>
                <w:szCs w:val="22"/>
                <w:lang w:val="el-GR"/>
              </w:rPr>
            </w:pPr>
            <w:r>
              <w:rPr>
                <w:sz w:val="22"/>
                <w:szCs w:val="22"/>
                <w:lang w:val="el-GR"/>
              </w:rPr>
              <w:t>59,1%</w:t>
            </w:r>
          </w:p>
        </w:tc>
        <w:tc>
          <w:tcPr>
            <w:tcW w:w="2268" w:type="dxa"/>
            <w:tcBorders>
              <w:top w:val="single" w:sz="6" w:space="0" w:color="000000"/>
              <w:left w:val="single" w:sz="6" w:space="0" w:color="000000"/>
              <w:bottom w:val="single" w:sz="6" w:space="0" w:color="000000"/>
              <w:right w:val="single" w:sz="6" w:space="0" w:color="000000"/>
            </w:tcBorders>
          </w:tcPr>
          <w:p w14:paraId="19ACD2EE" w14:textId="77777777" w:rsidR="00171824" w:rsidRDefault="006D258C">
            <w:pPr>
              <w:keepNext/>
              <w:tabs>
                <w:tab w:val="left" w:pos="-1080"/>
              </w:tabs>
              <w:ind w:left="17"/>
              <w:jc w:val="center"/>
              <w:rPr>
                <w:sz w:val="22"/>
                <w:szCs w:val="22"/>
                <w:lang w:val="el-GR"/>
              </w:rPr>
            </w:pPr>
            <w:r>
              <w:rPr>
                <w:sz w:val="22"/>
                <w:szCs w:val="22"/>
                <w:lang w:val="el-GR"/>
              </w:rPr>
              <w:t>48,4%</w:t>
            </w:r>
          </w:p>
        </w:tc>
        <w:tc>
          <w:tcPr>
            <w:tcW w:w="2127" w:type="dxa"/>
            <w:tcBorders>
              <w:top w:val="single" w:sz="6" w:space="0" w:color="000000"/>
              <w:left w:val="single" w:sz="6" w:space="0" w:color="000000"/>
              <w:bottom w:val="single" w:sz="6" w:space="0" w:color="000000"/>
              <w:right w:val="single" w:sz="6" w:space="0" w:color="000000"/>
            </w:tcBorders>
          </w:tcPr>
          <w:p w14:paraId="1624BA2F" w14:textId="77777777" w:rsidR="00171824" w:rsidRDefault="006D258C">
            <w:pPr>
              <w:keepNext/>
              <w:tabs>
                <w:tab w:val="left" w:pos="-1080"/>
              </w:tabs>
              <w:ind w:left="17"/>
              <w:jc w:val="center"/>
              <w:rPr>
                <w:sz w:val="22"/>
                <w:szCs w:val="22"/>
                <w:lang w:val="el-GR"/>
              </w:rPr>
            </w:pPr>
            <w:r>
              <w:rPr>
                <w:sz w:val="22"/>
                <w:szCs w:val="22"/>
                <w:lang w:val="el-GR"/>
              </w:rPr>
              <w:t>0,073</w:t>
            </w:r>
          </w:p>
        </w:tc>
      </w:tr>
      <w:tr w:rsidR="00171824" w14:paraId="2FCB841A" w14:textId="77777777">
        <w:trPr>
          <w:cantSplit/>
        </w:trPr>
        <w:tc>
          <w:tcPr>
            <w:tcW w:w="2694" w:type="dxa"/>
            <w:tcBorders>
              <w:top w:val="single" w:sz="6" w:space="0" w:color="000000"/>
              <w:left w:val="single" w:sz="6" w:space="0" w:color="000000"/>
              <w:bottom w:val="single" w:sz="6" w:space="0" w:color="000000"/>
              <w:right w:val="single" w:sz="6" w:space="0" w:color="000000"/>
            </w:tcBorders>
            <w:vAlign w:val="bottom"/>
          </w:tcPr>
          <w:p w14:paraId="28A250B1" w14:textId="77777777" w:rsidR="00171824" w:rsidRDefault="006D258C">
            <w:pPr>
              <w:keepNext/>
              <w:tabs>
                <w:tab w:val="left" w:pos="-1080"/>
              </w:tabs>
              <w:ind w:left="17"/>
              <w:rPr>
                <w:b/>
                <w:bCs/>
                <w:sz w:val="22"/>
                <w:szCs w:val="22"/>
                <w:lang w:val="el-GR"/>
              </w:rPr>
            </w:pPr>
            <w:r>
              <w:rPr>
                <w:b/>
                <w:bCs/>
                <w:sz w:val="22"/>
                <w:szCs w:val="22"/>
                <w:lang w:val="el-GR"/>
              </w:rPr>
              <w:t>Εβδομάδα 52</w:t>
            </w:r>
          </w:p>
        </w:tc>
        <w:tc>
          <w:tcPr>
            <w:tcW w:w="1842" w:type="dxa"/>
            <w:tcBorders>
              <w:top w:val="single" w:sz="6" w:space="0" w:color="000000"/>
              <w:left w:val="single" w:sz="6" w:space="0" w:color="000000"/>
              <w:bottom w:val="single" w:sz="6" w:space="0" w:color="000000"/>
              <w:right w:val="single" w:sz="6" w:space="0" w:color="000000"/>
            </w:tcBorders>
            <w:vAlign w:val="bottom"/>
          </w:tcPr>
          <w:p w14:paraId="75FE4CA9" w14:textId="77777777" w:rsidR="00171824" w:rsidRDefault="00171824">
            <w:pPr>
              <w:keepNext/>
              <w:tabs>
                <w:tab w:val="left" w:pos="-1080"/>
              </w:tabs>
              <w:ind w:left="17"/>
              <w:jc w:val="center"/>
              <w:rPr>
                <w:b/>
                <w:bCs/>
                <w:sz w:val="22"/>
                <w:szCs w:val="22"/>
                <w:lang w:val="el-GR"/>
              </w:rPr>
            </w:pPr>
          </w:p>
        </w:tc>
        <w:tc>
          <w:tcPr>
            <w:tcW w:w="2268" w:type="dxa"/>
            <w:tcBorders>
              <w:top w:val="single" w:sz="6" w:space="0" w:color="000000"/>
              <w:left w:val="single" w:sz="6" w:space="0" w:color="000000"/>
              <w:bottom w:val="single" w:sz="6" w:space="0" w:color="000000"/>
              <w:right w:val="single" w:sz="6" w:space="0" w:color="000000"/>
            </w:tcBorders>
            <w:vAlign w:val="bottom"/>
          </w:tcPr>
          <w:p w14:paraId="37CFD3FD" w14:textId="77777777" w:rsidR="00171824" w:rsidRDefault="00171824">
            <w:pPr>
              <w:keepNext/>
              <w:tabs>
                <w:tab w:val="left" w:pos="-1080"/>
              </w:tabs>
              <w:ind w:left="17"/>
              <w:jc w:val="center"/>
              <w:rPr>
                <w:b/>
                <w:bCs/>
                <w:sz w:val="22"/>
                <w:szCs w:val="22"/>
                <w:lang w:val="el-GR"/>
              </w:rPr>
            </w:pPr>
          </w:p>
        </w:tc>
        <w:tc>
          <w:tcPr>
            <w:tcW w:w="2127" w:type="dxa"/>
            <w:tcBorders>
              <w:top w:val="single" w:sz="6" w:space="0" w:color="000000"/>
              <w:left w:val="single" w:sz="6" w:space="0" w:color="000000"/>
              <w:bottom w:val="single" w:sz="6" w:space="0" w:color="000000"/>
              <w:right w:val="single" w:sz="6" w:space="0" w:color="000000"/>
            </w:tcBorders>
            <w:vAlign w:val="bottom"/>
          </w:tcPr>
          <w:p w14:paraId="3B045206" w14:textId="77777777" w:rsidR="00171824" w:rsidRDefault="00171824">
            <w:pPr>
              <w:keepNext/>
              <w:ind w:left="17"/>
              <w:rPr>
                <w:b/>
                <w:bCs/>
                <w:sz w:val="22"/>
                <w:szCs w:val="22"/>
                <w:lang w:val="el-GR"/>
              </w:rPr>
            </w:pPr>
          </w:p>
        </w:tc>
      </w:tr>
      <w:tr w:rsidR="00171824" w14:paraId="52FDC206" w14:textId="77777777">
        <w:trPr>
          <w:cantSplit/>
        </w:trPr>
        <w:tc>
          <w:tcPr>
            <w:tcW w:w="2694" w:type="dxa"/>
            <w:tcBorders>
              <w:top w:val="single" w:sz="6" w:space="0" w:color="000000"/>
              <w:left w:val="single" w:sz="6" w:space="0" w:color="000000"/>
              <w:bottom w:val="single" w:sz="6" w:space="0" w:color="000000"/>
              <w:right w:val="single" w:sz="6" w:space="0" w:color="000000"/>
            </w:tcBorders>
            <w:vAlign w:val="bottom"/>
          </w:tcPr>
          <w:p w14:paraId="2D979DB5" w14:textId="77777777" w:rsidR="00171824" w:rsidRDefault="006D258C">
            <w:pPr>
              <w:keepNext/>
              <w:tabs>
                <w:tab w:val="left" w:pos="-1080"/>
              </w:tabs>
              <w:ind w:left="567"/>
              <w:rPr>
                <w:sz w:val="22"/>
                <w:szCs w:val="22"/>
                <w:lang w:val="el-GR"/>
              </w:rPr>
            </w:pPr>
            <w:r>
              <w:rPr>
                <w:sz w:val="22"/>
                <w:lang w:val="el-GR"/>
              </w:rPr>
              <w:t>Κλινική ύφεση</w:t>
            </w:r>
          </w:p>
        </w:tc>
        <w:tc>
          <w:tcPr>
            <w:tcW w:w="1842" w:type="dxa"/>
            <w:tcBorders>
              <w:top w:val="single" w:sz="6" w:space="0" w:color="000000"/>
              <w:left w:val="single" w:sz="6" w:space="0" w:color="000000"/>
              <w:bottom w:val="single" w:sz="6" w:space="0" w:color="000000"/>
              <w:right w:val="single" w:sz="6" w:space="0" w:color="000000"/>
            </w:tcBorders>
            <w:vAlign w:val="bottom"/>
          </w:tcPr>
          <w:p w14:paraId="2C89EE70" w14:textId="77777777" w:rsidR="00171824" w:rsidRDefault="006D258C">
            <w:pPr>
              <w:keepNext/>
              <w:tabs>
                <w:tab w:val="left" w:pos="-1080"/>
              </w:tabs>
              <w:ind w:left="17"/>
              <w:jc w:val="center"/>
              <w:rPr>
                <w:sz w:val="22"/>
                <w:szCs w:val="22"/>
                <w:lang w:val="el-GR"/>
              </w:rPr>
            </w:pPr>
            <w:r>
              <w:rPr>
                <w:sz w:val="22"/>
                <w:szCs w:val="22"/>
                <w:lang w:val="el-GR"/>
              </w:rPr>
              <w:t>33,3%</w:t>
            </w:r>
          </w:p>
        </w:tc>
        <w:tc>
          <w:tcPr>
            <w:tcW w:w="2268" w:type="dxa"/>
            <w:tcBorders>
              <w:top w:val="single" w:sz="6" w:space="0" w:color="000000"/>
              <w:left w:val="single" w:sz="6" w:space="0" w:color="000000"/>
              <w:bottom w:val="single" w:sz="6" w:space="0" w:color="000000"/>
              <w:right w:val="single" w:sz="6" w:space="0" w:color="000000"/>
            </w:tcBorders>
            <w:vAlign w:val="bottom"/>
          </w:tcPr>
          <w:p w14:paraId="428D15AE" w14:textId="77777777" w:rsidR="00171824" w:rsidRDefault="006D258C">
            <w:pPr>
              <w:keepNext/>
              <w:tabs>
                <w:tab w:val="left" w:pos="-1080"/>
              </w:tabs>
              <w:ind w:left="17"/>
              <w:jc w:val="center"/>
              <w:rPr>
                <w:sz w:val="22"/>
                <w:szCs w:val="22"/>
                <w:lang w:val="el-GR"/>
              </w:rPr>
            </w:pPr>
            <w:r>
              <w:rPr>
                <w:sz w:val="22"/>
                <w:szCs w:val="22"/>
                <w:lang w:val="el-GR"/>
              </w:rPr>
              <w:t>23,2%</w:t>
            </w:r>
          </w:p>
        </w:tc>
        <w:tc>
          <w:tcPr>
            <w:tcW w:w="2127" w:type="dxa"/>
            <w:tcBorders>
              <w:top w:val="single" w:sz="6" w:space="0" w:color="000000"/>
              <w:left w:val="single" w:sz="6" w:space="0" w:color="000000"/>
              <w:bottom w:val="single" w:sz="6" w:space="0" w:color="000000"/>
              <w:right w:val="single" w:sz="6" w:space="0" w:color="000000"/>
            </w:tcBorders>
            <w:vAlign w:val="bottom"/>
          </w:tcPr>
          <w:p w14:paraId="398589A1" w14:textId="77777777" w:rsidR="00171824" w:rsidRDefault="006D258C">
            <w:pPr>
              <w:keepNext/>
              <w:tabs>
                <w:tab w:val="left" w:pos="-1080"/>
              </w:tabs>
              <w:ind w:left="17"/>
              <w:jc w:val="center"/>
              <w:rPr>
                <w:sz w:val="22"/>
                <w:szCs w:val="22"/>
                <w:lang w:val="el-GR"/>
              </w:rPr>
            </w:pPr>
            <w:r>
              <w:rPr>
                <w:sz w:val="22"/>
                <w:szCs w:val="22"/>
                <w:lang w:val="el-GR"/>
              </w:rPr>
              <w:t>0,100</w:t>
            </w:r>
          </w:p>
        </w:tc>
      </w:tr>
      <w:tr w:rsidR="00171824" w14:paraId="0687984C" w14:textId="77777777">
        <w:trPr>
          <w:cantSplit/>
        </w:trPr>
        <w:tc>
          <w:tcPr>
            <w:tcW w:w="2694" w:type="dxa"/>
            <w:tcBorders>
              <w:top w:val="single" w:sz="6" w:space="0" w:color="000000"/>
              <w:left w:val="single" w:sz="6" w:space="0" w:color="000000"/>
              <w:bottom w:val="single" w:sz="6" w:space="0" w:color="000000"/>
              <w:right w:val="single" w:sz="6" w:space="0" w:color="000000"/>
            </w:tcBorders>
          </w:tcPr>
          <w:p w14:paraId="6C094688" w14:textId="77777777" w:rsidR="00171824" w:rsidRDefault="006D258C">
            <w:pPr>
              <w:keepNext/>
              <w:tabs>
                <w:tab w:val="left" w:pos="-1080"/>
              </w:tabs>
              <w:ind w:left="567"/>
              <w:rPr>
                <w:sz w:val="22"/>
                <w:szCs w:val="22"/>
                <w:lang w:val="el-GR"/>
              </w:rPr>
            </w:pPr>
            <w:r>
              <w:rPr>
                <w:sz w:val="22"/>
                <w:lang w:val="el-GR"/>
              </w:rPr>
              <w:t>Κλινική α</w:t>
            </w:r>
            <w:r>
              <w:rPr>
                <w:sz w:val="22"/>
                <w:szCs w:val="20"/>
                <w:lang w:val="el-GR"/>
              </w:rPr>
              <w:t>ντα</w:t>
            </w:r>
            <w:r>
              <w:rPr>
                <w:sz w:val="22"/>
                <w:lang w:val="el-GR"/>
              </w:rPr>
              <w:t>πόκριση</w:t>
            </w:r>
          </w:p>
        </w:tc>
        <w:tc>
          <w:tcPr>
            <w:tcW w:w="1842" w:type="dxa"/>
            <w:tcBorders>
              <w:top w:val="single" w:sz="6" w:space="0" w:color="000000"/>
              <w:left w:val="single" w:sz="6" w:space="0" w:color="000000"/>
              <w:bottom w:val="single" w:sz="6" w:space="0" w:color="000000"/>
              <w:right w:val="single" w:sz="6" w:space="0" w:color="000000"/>
            </w:tcBorders>
          </w:tcPr>
          <w:p w14:paraId="3AE3ADE4" w14:textId="77777777" w:rsidR="00171824" w:rsidRDefault="006D258C">
            <w:pPr>
              <w:keepNext/>
              <w:tabs>
                <w:tab w:val="left" w:pos="-1080"/>
              </w:tabs>
              <w:ind w:left="17"/>
              <w:jc w:val="center"/>
              <w:rPr>
                <w:sz w:val="22"/>
                <w:szCs w:val="22"/>
                <w:lang w:val="el-GR"/>
              </w:rPr>
            </w:pPr>
            <w:r>
              <w:rPr>
                <w:sz w:val="22"/>
                <w:szCs w:val="22"/>
                <w:lang w:val="el-GR"/>
              </w:rPr>
              <w:t>41,9%</w:t>
            </w:r>
          </w:p>
        </w:tc>
        <w:tc>
          <w:tcPr>
            <w:tcW w:w="2268" w:type="dxa"/>
            <w:tcBorders>
              <w:top w:val="single" w:sz="6" w:space="0" w:color="000000"/>
              <w:left w:val="single" w:sz="6" w:space="0" w:color="000000"/>
              <w:bottom w:val="single" w:sz="6" w:space="0" w:color="000000"/>
              <w:right w:val="single" w:sz="6" w:space="0" w:color="000000"/>
            </w:tcBorders>
          </w:tcPr>
          <w:p w14:paraId="4B92DF9D" w14:textId="77777777" w:rsidR="00171824" w:rsidRDefault="006D258C">
            <w:pPr>
              <w:keepNext/>
              <w:tabs>
                <w:tab w:val="left" w:pos="-1080"/>
              </w:tabs>
              <w:ind w:left="17"/>
              <w:jc w:val="center"/>
              <w:rPr>
                <w:sz w:val="22"/>
                <w:szCs w:val="22"/>
                <w:lang w:val="el-GR"/>
              </w:rPr>
            </w:pPr>
            <w:r>
              <w:rPr>
                <w:sz w:val="22"/>
                <w:szCs w:val="22"/>
                <w:lang w:val="el-GR"/>
              </w:rPr>
              <w:t>28,4%</w:t>
            </w:r>
          </w:p>
        </w:tc>
        <w:tc>
          <w:tcPr>
            <w:tcW w:w="2127" w:type="dxa"/>
            <w:tcBorders>
              <w:top w:val="single" w:sz="6" w:space="0" w:color="000000"/>
              <w:left w:val="single" w:sz="6" w:space="0" w:color="000000"/>
              <w:bottom w:val="single" w:sz="6" w:space="0" w:color="000000"/>
              <w:right w:val="single" w:sz="6" w:space="0" w:color="000000"/>
            </w:tcBorders>
          </w:tcPr>
          <w:p w14:paraId="5C99776E" w14:textId="77777777" w:rsidR="00171824" w:rsidRDefault="006D258C">
            <w:pPr>
              <w:keepNext/>
              <w:tabs>
                <w:tab w:val="left" w:pos="-1080"/>
              </w:tabs>
              <w:ind w:left="17"/>
              <w:jc w:val="center"/>
              <w:rPr>
                <w:sz w:val="22"/>
                <w:szCs w:val="22"/>
                <w:lang w:val="el-GR"/>
              </w:rPr>
            </w:pPr>
            <w:r>
              <w:rPr>
                <w:sz w:val="22"/>
                <w:szCs w:val="22"/>
                <w:lang w:val="el-GR"/>
              </w:rPr>
              <w:t>0,038</w:t>
            </w:r>
          </w:p>
        </w:tc>
      </w:tr>
    </w:tbl>
    <w:p w14:paraId="1AEA4D37" w14:textId="77777777" w:rsidR="00171824" w:rsidRDefault="006D258C">
      <w:pPr>
        <w:pStyle w:val="BodyText"/>
        <w:widowControl/>
        <w:kinsoku w:val="0"/>
        <w:overflowPunct w:val="0"/>
        <w:ind w:left="0"/>
        <w:rPr>
          <w:sz w:val="20"/>
          <w:szCs w:val="20"/>
          <w:lang w:val="el-GR"/>
        </w:rPr>
      </w:pPr>
      <w:r>
        <w:rPr>
          <w:sz w:val="20"/>
          <w:szCs w:val="20"/>
          <w:lang w:val="el-GR"/>
        </w:rPr>
        <w:t xml:space="preserve">* τιμή p για την σύγκριση της Τυπικής δόσης </w:t>
      </w:r>
      <w:r>
        <w:rPr>
          <w:i/>
          <w:sz w:val="20"/>
          <w:szCs w:val="20"/>
          <w:lang w:val="el-GR"/>
        </w:rPr>
        <w:t>έναντι</w:t>
      </w:r>
      <w:r>
        <w:rPr>
          <w:sz w:val="20"/>
          <w:szCs w:val="20"/>
          <w:lang w:val="el-GR"/>
        </w:rPr>
        <w:t xml:space="preserve"> της Χαμηλής δόσης</w:t>
      </w:r>
    </w:p>
    <w:p w14:paraId="29A0F3E6" w14:textId="77777777" w:rsidR="00171824" w:rsidRDefault="00171824">
      <w:pPr>
        <w:pStyle w:val="BodyText"/>
        <w:keepNext/>
        <w:widowControl/>
        <w:kinsoku w:val="0"/>
        <w:overflowPunct w:val="0"/>
        <w:ind w:left="0"/>
        <w:rPr>
          <w:lang w:val="el-GR"/>
        </w:rPr>
      </w:pPr>
    </w:p>
    <w:p w14:paraId="1EB98BE2" w14:textId="77777777" w:rsidR="00171824" w:rsidRDefault="006D258C">
      <w:pPr>
        <w:keepNext/>
        <w:widowControl/>
        <w:rPr>
          <w:sz w:val="22"/>
          <w:lang w:val="el-GR"/>
        </w:rPr>
      </w:pPr>
      <w:r>
        <w:rPr>
          <w:b/>
          <w:bCs/>
          <w:color w:val="000000"/>
          <w:sz w:val="22"/>
          <w:szCs w:val="22"/>
          <w:lang w:val="el-GR" w:eastAsia="ja-JP"/>
        </w:rPr>
        <w:t xml:space="preserve">Πίνακας 30. Μελέτη Παιδιατρικής CD Διακοπή Κορτικοστεροειδών ή Ανοσοτροποποιητικών και Σύγκλιση Συριγγίων </w:t>
      </w:r>
    </w:p>
    <w:p w14:paraId="4F3821F6" w14:textId="77777777" w:rsidR="00171824" w:rsidRDefault="00171824">
      <w:pPr>
        <w:pStyle w:val="BodyText"/>
        <w:keepNext/>
        <w:widowControl/>
        <w:kinsoku w:val="0"/>
        <w:overflowPunct w:val="0"/>
        <w:ind w:left="0"/>
        <w:rPr>
          <w:lang w:val="el-GR"/>
        </w:rPr>
      </w:pPr>
    </w:p>
    <w:tbl>
      <w:tblPr>
        <w:tblW w:w="9214" w:type="dxa"/>
        <w:tblInd w:w="108" w:type="dxa"/>
        <w:tblLayout w:type="fixed"/>
        <w:tblLook w:val="04A0" w:firstRow="1" w:lastRow="0" w:firstColumn="1" w:lastColumn="0" w:noHBand="0" w:noVBand="1"/>
      </w:tblPr>
      <w:tblGrid>
        <w:gridCol w:w="3261"/>
        <w:gridCol w:w="2126"/>
        <w:gridCol w:w="2126"/>
        <w:gridCol w:w="1701"/>
      </w:tblGrid>
      <w:tr w:rsidR="00171824" w14:paraId="2ADBEBB5" w14:textId="77777777">
        <w:trPr>
          <w:cantSplit/>
        </w:trPr>
        <w:tc>
          <w:tcPr>
            <w:tcW w:w="3261" w:type="dxa"/>
            <w:tcBorders>
              <w:top w:val="single" w:sz="4" w:space="0" w:color="auto"/>
              <w:left w:val="single" w:sz="6" w:space="0" w:color="000000"/>
              <w:bottom w:val="single" w:sz="6" w:space="0" w:color="000000"/>
              <w:right w:val="single" w:sz="6" w:space="0" w:color="000000"/>
            </w:tcBorders>
          </w:tcPr>
          <w:p w14:paraId="377BB16F" w14:textId="77777777" w:rsidR="00171824" w:rsidRDefault="00171824">
            <w:pPr>
              <w:keepNext/>
              <w:tabs>
                <w:tab w:val="left" w:pos="-1080"/>
              </w:tabs>
              <w:jc w:val="center"/>
              <w:rPr>
                <w:b/>
                <w:bCs/>
                <w:sz w:val="22"/>
                <w:szCs w:val="22"/>
                <w:lang w:val="el-GR"/>
              </w:rPr>
            </w:pPr>
          </w:p>
        </w:tc>
        <w:tc>
          <w:tcPr>
            <w:tcW w:w="2126" w:type="dxa"/>
            <w:tcBorders>
              <w:top w:val="single" w:sz="4" w:space="0" w:color="auto"/>
              <w:left w:val="single" w:sz="6" w:space="0" w:color="000000"/>
              <w:bottom w:val="single" w:sz="6" w:space="0" w:color="000000"/>
              <w:right w:val="single" w:sz="6" w:space="0" w:color="000000"/>
            </w:tcBorders>
          </w:tcPr>
          <w:p w14:paraId="1F52CBB7" w14:textId="77777777" w:rsidR="00171824" w:rsidRDefault="006D258C">
            <w:pPr>
              <w:keepNext/>
              <w:tabs>
                <w:tab w:val="left" w:pos="-1080"/>
              </w:tabs>
              <w:jc w:val="center"/>
              <w:rPr>
                <w:b/>
                <w:bCs/>
                <w:sz w:val="22"/>
                <w:szCs w:val="22"/>
                <w:lang w:val="el-GR"/>
              </w:rPr>
            </w:pPr>
            <w:r>
              <w:rPr>
                <w:b/>
                <w:bCs/>
                <w:sz w:val="22"/>
                <w:szCs w:val="22"/>
                <w:lang w:val="el-GR"/>
              </w:rPr>
              <w:t xml:space="preserve">Τυπική </w:t>
            </w:r>
            <w:r>
              <w:rPr>
                <w:b/>
                <w:bCs/>
                <w:sz w:val="22"/>
                <w:szCs w:val="20"/>
                <w:lang w:val="el-GR"/>
              </w:rPr>
              <w:t>Δόση</w:t>
            </w:r>
          </w:p>
          <w:p w14:paraId="465DDD88" w14:textId="77777777" w:rsidR="00171824" w:rsidRDefault="006D258C">
            <w:pPr>
              <w:keepNext/>
              <w:tabs>
                <w:tab w:val="left" w:pos="-1080"/>
              </w:tabs>
              <w:jc w:val="center"/>
              <w:rPr>
                <w:b/>
                <w:bCs/>
                <w:sz w:val="22"/>
                <w:szCs w:val="22"/>
                <w:lang w:val="el-GR"/>
              </w:rPr>
            </w:pPr>
            <w:r>
              <w:rPr>
                <w:b/>
                <w:bCs/>
                <w:sz w:val="22"/>
                <w:szCs w:val="22"/>
                <w:lang w:val="el-GR"/>
              </w:rPr>
              <w:t xml:space="preserve">40/20 mg </w:t>
            </w:r>
            <w:r>
              <w:rPr>
                <w:b/>
                <w:bCs/>
                <w:sz w:val="22"/>
                <w:lang w:val="el-GR"/>
              </w:rPr>
              <w:t xml:space="preserve">κάθε </w:t>
            </w:r>
            <w:r>
              <w:rPr>
                <w:b/>
                <w:bCs/>
                <w:sz w:val="22"/>
                <w:szCs w:val="20"/>
                <w:lang w:val="el-GR"/>
              </w:rPr>
              <w:t xml:space="preserve">δεύτερη </w:t>
            </w:r>
            <w:r>
              <w:rPr>
                <w:b/>
                <w:bCs/>
                <w:sz w:val="22"/>
                <w:lang w:val="el-GR"/>
              </w:rPr>
              <w:t>εβδομάδα</w:t>
            </w:r>
            <w:r>
              <w:rPr>
                <w:b/>
                <w:bCs/>
                <w:sz w:val="22"/>
                <w:szCs w:val="22"/>
                <w:lang w:val="el-GR"/>
              </w:rPr>
              <w:t xml:space="preserve"> </w:t>
            </w:r>
          </w:p>
        </w:tc>
        <w:tc>
          <w:tcPr>
            <w:tcW w:w="2126" w:type="dxa"/>
            <w:tcBorders>
              <w:top w:val="single" w:sz="4" w:space="0" w:color="auto"/>
              <w:left w:val="single" w:sz="6" w:space="0" w:color="000000"/>
              <w:bottom w:val="single" w:sz="6" w:space="0" w:color="000000"/>
              <w:right w:val="single" w:sz="6" w:space="0" w:color="000000"/>
            </w:tcBorders>
          </w:tcPr>
          <w:p w14:paraId="1A089123" w14:textId="77777777" w:rsidR="00171824" w:rsidRDefault="006D258C">
            <w:pPr>
              <w:keepNext/>
              <w:tabs>
                <w:tab w:val="left" w:pos="-1080"/>
              </w:tabs>
              <w:jc w:val="center"/>
              <w:rPr>
                <w:b/>
                <w:bCs/>
                <w:sz w:val="22"/>
                <w:lang w:val="el-GR"/>
              </w:rPr>
            </w:pPr>
            <w:r>
              <w:rPr>
                <w:b/>
                <w:bCs/>
                <w:sz w:val="22"/>
                <w:lang w:val="el-GR"/>
              </w:rPr>
              <w:t>Χαμηλή δόση</w:t>
            </w:r>
          </w:p>
          <w:p w14:paraId="55B4A050" w14:textId="77777777" w:rsidR="00171824" w:rsidRDefault="006D258C">
            <w:pPr>
              <w:keepNext/>
              <w:tabs>
                <w:tab w:val="left" w:pos="-1080"/>
              </w:tabs>
              <w:jc w:val="center"/>
              <w:rPr>
                <w:b/>
                <w:bCs/>
                <w:sz w:val="22"/>
                <w:szCs w:val="22"/>
                <w:lang w:val="el-GR"/>
              </w:rPr>
            </w:pPr>
            <w:r>
              <w:rPr>
                <w:b/>
                <w:bCs/>
                <w:sz w:val="22"/>
                <w:szCs w:val="22"/>
                <w:lang w:val="el-GR"/>
              </w:rPr>
              <w:t xml:space="preserve">20/10 mg </w:t>
            </w:r>
            <w:r>
              <w:rPr>
                <w:b/>
                <w:bCs/>
                <w:sz w:val="22"/>
                <w:lang w:val="el-GR"/>
              </w:rPr>
              <w:t xml:space="preserve">κάθε </w:t>
            </w:r>
            <w:r>
              <w:rPr>
                <w:b/>
                <w:bCs/>
                <w:sz w:val="22"/>
                <w:szCs w:val="20"/>
                <w:lang w:val="el-GR"/>
              </w:rPr>
              <w:t xml:space="preserve">δεύτερη </w:t>
            </w:r>
            <w:r>
              <w:rPr>
                <w:b/>
                <w:bCs/>
                <w:sz w:val="22"/>
                <w:lang w:val="el-GR"/>
              </w:rPr>
              <w:t>εβδομάδα</w:t>
            </w:r>
            <w:r>
              <w:rPr>
                <w:b/>
                <w:bCs/>
                <w:sz w:val="22"/>
                <w:szCs w:val="22"/>
                <w:lang w:val="el-GR"/>
              </w:rPr>
              <w:t xml:space="preserve"> </w:t>
            </w:r>
          </w:p>
        </w:tc>
        <w:tc>
          <w:tcPr>
            <w:tcW w:w="1701" w:type="dxa"/>
            <w:tcBorders>
              <w:top w:val="single" w:sz="4" w:space="0" w:color="auto"/>
              <w:left w:val="single" w:sz="6" w:space="0" w:color="000000"/>
              <w:bottom w:val="single" w:sz="6" w:space="0" w:color="000000"/>
              <w:right w:val="single" w:sz="6" w:space="0" w:color="000000"/>
            </w:tcBorders>
          </w:tcPr>
          <w:p w14:paraId="0D770A89" w14:textId="77777777" w:rsidR="00171824" w:rsidRDefault="006D258C">
            <w:pPr>
              <w:keepNext/>
              <w:tabs>
                <w:tab w:val="left" w:pos="-1080"/>
              </w:tabs>
              <w:jc w:val="center"/>
              <w:rPr>
                <w:b/>
                <w:bCs/>
                <w:sz w:val="22"/>
                <w:szCs w:val="22"/>
                <w:lang w:val="el-GR"/>
              </w:rPr>
            </w:pPr>
            <w:r>
              <w:rPr>
                <w:b/>
                <w:bCs/>
                <w:sz w:val="22"/>
                <w:szCs w:val="22"/>
                <w:lang w:val="el-GR"/>
              </w:rPr>
              <w:t>Τιμή P</w:t>
            </w:r>
            <w:r>
              <w:rPr>
                <w:b/>
                <w:bCs/>
                <w:sz w:val="22"/>
                <w:szCs w:val="22"/>
                <w:vertAlign w:val="superscript"/>
                <w:lang w:val="el-GR"/>
              </w:rPr>
              <w:t>1</w:t>
            </w:r>
          </w:p>
        </w:tc>
      </w:tr>
      <w:tr w:rsidR="00171824" w14:paraId="764C7D45" w14:textId="77777777">
        <w:trPr>
          <w:cantSplit/>
        </w:trPr>
        <w:tc>
          <w:tcPr>
            <w:tcW w:w="3261" w:type="dxa"/>
            <w:tcBorders>
              <w:top w:val="single" w:sz="6" w:space="0" w:color="000000"/>
              <w:left w:val="single" w:sz="6" w:space="0" w:color="000000"/>
              <w:bottom w:val="single" w:sz="6" w:space="0" w:color="000000"/>
              <w:right w:val="single" w:sz="6" w:space="0" w:color="000000"/>
            </w:tcBorders>
            <w:vAlign w:val="bottom"/>
          </w:tcPr>
          <w:p w14:paraId="51EE5299" w14:textId="77777777" w:rsidR="00171824" w:rsidRDefault="006D258C">
            <w:pPr>
              <w:keepNext/>
              <w:tabs>
                <w:tab w:val="left" w:pos="-1080"/>
              </w:tabs>
              <w:rPr>
                <w:b/>
                <w:sz w:val="22"/>
                <w:szCs w:val="22"/>
                <w:lang w:val="el-GR"/>
              </w:rPr>
            </w:pPr>
            <w:r>
              <w:rPr>
                <w:b/>
                <w:sz w:val="22"/>
                <w:lang w:val="el-GR"/>
              </w:rPr>
              <w:t>Διακοπή κορτικοστεροειδών</w:t>
            </w:r>
          </w:p>
        </w:tc>
        <w:tc>
          <w:tcPr>
            <w:tcW w:w="2126" w:type="dxa"/>
            <w:tcBorders>
              <w:top w:val="single" w:sz="6" w:space="0" w:color="000000"/>
              <w:left w:val="single" w:sz="6" w:space="0" w:color="000000"/>
              <w:bottom w:val="single" w:sz="6" w:space="0" w:color="000000"/>
              <w:right w:val="single" w:sz="6" w:space="0" w:color="000000"/>
            </w:tcBorders>
            <w:vAlign w:val="bottom"/>
          </w:tcPr>
          <w:p w14:paraId="3EE39B3D" w14:textId="77777777" w:rsidR="00171824" w:rsidRDefault="006D258C">
            <w:pPr>
              <w:keepNext/>
              <w:tabs>
                <w:tab w:val="left" w:pos="-1080"/>
              </w:tabs>
              <w:jc w:val="center"/>
              <w:rPr>
                <w:b/>
                <w:sz w:val="22"/>
                <w:szCs w:val="22"/>
                <w:lang w:val="el-GR"/>
              </w:rPr>
            </w:pPr>
            <w:r>
              <w:rPr>
                <w:b/>
                <w:sz w:val="22"/>
                <w:szCs w:val="22"/>
                <w:lang w:val="el-GR"/>
              </w:rPr>
              <w:t>N=33</w:t>
            </w:r>
          </w:p>
        </w:tc>
        <w:tc>
          <w:tcPr>
            <w:tcW w:w="2126" w:type="dxa"/>
            <w:tcBorders>
              <w:top w:val="single" w:sz="6" w:space="0" w:color="000000"/>
              <w:left w:val="single" w:sz="6" w:space="0" w:color="000000"/>
              <w:bottom w:val="single" w:sz="6" w:space="0" w:color="000000"/>
              <w:right w:val="single" w:sz="6" w:space="0" w:color="000000"/>
            </w:tcBorders>
            <w:vAlign w:val="bottom"/>
          </w:tcPr>
          <w:p w14:paraId="3CC73CF7" w14:textId="77777777" w:rsidR="00171824" w:rsidRDefault="006D258C">
            <w:pPr>
              <w:keepNext/>
              <w:tabs>
                <w:tab w:val="left" w:pos="-1080"/>
              </w:tabs>
              <w:jc w:val="center"/>
              <w:rPr>
                <w:b/>
                <w:sz w:val="22"/>
                <w:szCs w:val="22"/>
                <w:lang w:val="el-GR"/>
              </w:rPr>
            </w:pPr>
            <w:r>
              <w:rPr>
                <w:b/>
                <w:sz w:val="22"/>
                <w:szCs w:val="22"/>
                <w:lang w:val="el-GR"/>
              </w:rPr>
              <w:t>N=38</w:t>
            </w:r>
          </w:p>
        </w:tc>
        <w:tc>
          <w:tcPr>
            <w:tcW w:w="1701" w:type="dxa"/>
            <w:tcBorders>
              <w:top w:val="single" w:sz="6" w:space="0" w:color="000000"/>
              <w:left w:val="single" w:sz="6" w:space="0" w:color="000000"/>
              <w:bottom w:val="single" w:sz="6" w:space="0" w:color="000000"/>
              <w:right w:val="single" w:sz="6" w:space="0" w:color="000000"/>
            </w:tcBorders>
            <w:vAlign w:val="bottom"/>
          </w:tcPr>
          <w:p w14:paraId="427AA659" w14:textId="77777777" w:rsidR="00171824" w:rsidRDefault="00171824">
            <w:pPr>
              <w:keepNext/>
              <w:rPr>
                <w:b/>
                <w:sz w:val="22"/>
                <w:szCs w:val="22"/>
                <w:lang w:val="el-GR"/>
              </w:rPr>
            </w:pPr>
          </w:p>
        </w:tc>
      </w:tr>
      <w:tr w:rsidR="00171824" w14:paraId="0CD0FB29" w14:textId="77777777">
        <w:trPr>
          <w:cantSplit/>
        </w:trPr>
        <w:tc>
          <w:tcPr>
            <w:tcW w:w="3261" w:type="dxa"/>
            <w:tcBorders>
              <w:top w:val="single" w:sz="6" w:space="0" w:color="000000"/>
              <w:left w:val="single" w:sz="6" w:space="0" w:color="000000"/>
              <w:bottom w:val="single" w:sz="6" w:space="0" w:color="000000"/>
              <w:right w:val="single" w:sz="6" w:space="0" w:color="000000"/>
            </w:tcBorders>
            <w:vAlign w:val="bottom"/>
          </w:tcPr>
          <w:p w14:paraId="6F6EB135"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bCs/>
                <w:sz w:val="22"/>
                <w:szCs w:val="22"/>
                <w:lang w:val="el-GR"/>
              </w:rPr>
              <w:t>26</w:t>
            </w:r>
          </w:p>
        </w:tc>
        <w:tc>
          <w:tcPr>
            <w:tcW w:w="2126" w:type="dxa"/>
            <w:tcBorders>
              <w:top w:val="single" w:sz="6" w:space="0" w:color="000000"/>
              <w:left w:val="single" w:sz="6" w:space="0" w:color="000000"/>
              <w:bottom w:val="single" w:sz="6" w:space="0" w:color="000000"/>
              <w:right w:val="single" w:sz="6" w:space="0" w:color="000000"/>
            </w:tcBorders>
            <w:vAlign w:val="bottom"/>
          </w:tcPr>
          <w:p w14:paraId="049122E3" w14:textId="77777777" w:rsidR="00171824" w:rsidRDefault="006D258C">
            <w:pPr>
              <w:keepNext/>
              <w:tabs>
                <w:tab w:val="left" w:pos="-1080"/>
              </w:tabs>
              <w:jc w:val="center"/>
              <w:rPr>
                <w:sz w:val="22"/>
                <w:szCs w:val="22"/>
                <w:lang w:val="el-GR"/>
              </w:rPr>
            </w:pPr>
            <w:r>
              <w:rPr>
                <w:sz w:val="22"/>
                <w:szCs w:val="22"/>
                <w:lang w:val="el-GR"/>
              </w:rPr>
              <w:t>84,8%</w:t>
            </w:r>
          </w:p>
        </w:tc>
        <w:tc>
          <w:tcPr>
            <w:tcW w:w="2126" w:type="dxa"/>
            <w:tcBorders>
              <w:top w:val="single" w:sz="6" w:space="0" w:color="000000"/>
              <w:left w:val="single" w:sz="6" w:space="0" w:color="000000"/>
              <w:bottom w:val="single" w:sz="6" w:space="0" w:color="000000"/>
              <w:right w:val="single" w:sz="6" w:space="0" w:color="000000"/>
            </w:tcBorders>
            <w:vAlign w:val="bottom"/>
          </w:tcPr>
          <w:p w14:paraId="4EF40FD8" w14:textId="77777777" w:rsidR="00171824" w:rsidRDefault="006D258C">
            <w:pPr>
              <w:keepNext/>
              <w:tabs>
                <w:tab w:val="left" w:pos="-1080"/>
              </w:tabs>
              <w:jc w:val="center"/>
              <w:rPr>
                <w:sz w:val="22"/>
                <w:szCs w:val="22"/>
                <w:lang w:val="el-GR"/>
              </w:rPr>
            </w:pPr>
            <w:r>
              <w:rPr>
                <w:sz w:val="22"/>
                <w:szCs w:val="22"/>
                <w:lang w:val="el-GR"/>
              </w:rPr>
              <w:t>65,8%</w:t>
            </w:r>
          </w:p>
        </w:tc>
        <w:tc>
          <w:tcPr>
            <w:tcW w:w="1701" w:type="dxa"/>
            <w:tcBorders>
              <w:top w:val="single" w:sz="6" w:space="0" w:color="000000"/>
              <w:left w:val="single" w:sz="6" w:space="0" w:color="000000"/>
              <w:bottom w:val="single" w:sz="6" w:space="0" w:color="000000"/>
              <w:right w:val="single" w:sz="6" w:space="0" w:color="000000"/>
            </w:tcBorders>
            <w:vAlign w:val="bottom"/>
          </w:tcPr>
          <w:p w14:paraId="04109FD9" w14:textId="77777777" w:rsidR="00171824" w:rsidRDefault="006D258C">
            <w:pPr>
              <w:keepNext/>
              <w:tabs>
                <w:tab w:val="left" w:pos="-1080"/>
              </w:tabs>
              <w:jc w:val="center"/>
              <w:rPr>
                <w:sz w:val="22"/>
                <w:szCs w:val="22"/>
                <w:lang w:val="el-GR"/>
              </w:rPr>
            </w:pPr>
            <w:r>
              <w:rPr>
                <w:sz w:val="22"/>
                <w:szCs w:val="22"/>
                <w:lang w:val="el-GR"/>
              </w:rPr>
              <w:t>0,066</w:t>
            </w:r>
          </w:p>
        </w:tc>
      </w:tr>
      <w:tr w:rsidR="00171824" w14:paraId="01481B55" w14:textId="77777777">
        <w:trPr>
          <w:cantSplit/>
        </w:trPr>
        <w:tc>
          <w:tcPr>
            <w:tcW w:w="3261" w:type="dxa"/>
            <w:tcBorders>
              <w:top w:val="single" w:sz="6" w:space="0" w:color="000000"/>
              <w:left w:val="single" w:sz="6" w:space="0" w:color="000000"/>
              <w:bottom w:val="single" w:sz="6" w:space="0" w:color="000000"/>
              <w:right w:val="single" w:sz="6" w:space="0" w:color="000000"/>
            </w:tcBorders>
            <w:vAlign w:val="bottom"/>
          </w:tcPr>
          <w:p w14:paraId="484017A1"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bCs/>
                <w:sz w:val="22"/>
                <w:szCs w:val="22"/>
                <w:lang w:val="el-GR"/>
              </w:rPr>
              <w:t>52</w:t>
            </w:r>
          </w:p>
        </w:tc>
        <w:tc>
          <w:tcPr>
            <w:tcW w:w="2126" w:type="dxa"/>
            <w:tcBorders>
              <w:top w:val="single" w:sz="6" w:space="0" w:color="000000"/>
              <w:left w:val="single" w:sz="6" w:space="0" w:color="000000"/>
              <w:bottom w:val="single" w:sz="6" w:space="0" w:color="000000"/>
              <w:right w:val="single" w:sz="6" w:space="0" w:color="000000"/>
            </w:tcBorders>
          </w:tcPr>
          <w:p w14:paraId="5DD75D1E" w14:textId="77777777" w:rsidR="00171824" w:rsidRDefault="006D258C">
            <w:pPr>
              <w:keepNext/>
              <w:tabs>
                <w:tab w:val="left" w:pos="-1080"/>
              </w:tabs>
              <w:jc w:val="center"/>
              <w:rPr>
                <w:sz w:val="22"/>
                <w:szCs w:val="22"/>
                <w:lang w:val="el-GR"/>
              </w:rPr>
            </w:pPr>
            <w:r>
              <w:rPr>
                <w:sz w:val="22"/>
                <w:szCs w:val="22"/>
                <w:lang w:val="el-GR"/>
              </w:rPr>
              <w:t>69,7%</w:t>
            </w:r>
          </w:p>
        </w:tc>
        <w:tc>
          <w:tcPr>
            <w:tcW w:w="2126" w:type="dxa"/>
            <w:tcBorders>
              <w:top w:val="single" w:sz="6" w:space="0" w:color="000000"/>
              <w:left w:val="single" w:sz="6" w:space="0" w:color="000000"/>
              <w:bottom w:val="single" w:sz="6" w:space="0" w:color="000000"/>
              <w:right w:val="single" w:sz="6" w:space="0" w:color="000000"/>
            </w:tcBorders>
          </w:tcPr>
          <w:p w14:paraId="2A1C3BBD" w14:textId="77777777" w:rsidR="00171824" w:rsidRDefault="006D258C">
            <w:pPr>
              <w:keepNext/>
              <w:tabs>
                <w:tab w:val="left" w:pos="-1080"/>
              </w:tabs>
              <w:jc w:val="center"/>
              <w:rPr>
                <w:sz w:val="22"/>
                <w:szCs w:val="22"/>
                <w:lang w:val="el-GR"/>
              </w:rPr>
            </w:pPr>
            <w:r>
              <w:rPr>
                <w:sz w:val="22"/>
                <w:szCs w:val="22"/>
                <w:lang w:val="el-GR"/>
              </w:rPr>
              <w:t>60,5%</w:t>
            </w:r>
          </w:p>
        </w:tc>
        <w:tc>
          <w:tcPr>
            <w:tcW w:w="1701" w:type="dxa"/>
            <w:tcBorders>
              <w:top w:val="single" w:sz="6" w:space="0" w:color="000000"/>
              <w:left w:val="single" w:sz="6" w:space="0" w:color="000000"/>
              <w:bottom w:val="single" w:sz="6" w:space="0" w:color="000000"/>
              <w:right w:val="single" w:sz="6" w:space="0" w:color="000000"/>
            </w:tcBorders>
            <w:vAlign w:val="bottom"/>
          </w:tcPr>
          <w:p w14:paraId="182C9475" w14:textId="77777777" w:rsidR="00171824" w:rsidRDefault="006D258C">
            <w:pPr>
              <w:keepNext/>
              <w:tabs>
                <w:tab w:val="left" w:pos="-1080"/>
              </w:tabs>
              <w:jc w:val="center"/>
              <w:rPr>
                <w:sz w:val="22"/>
                <w:szCs w:val="22"/>
                <w:lang w:val="el-GR"/>
              </w:rPr>
            </w:pPr>
            <w:r>
              <w:rPr>
                <w:sz w:val="22"/>
                <w:szCs w:val="22"/>
                <w:lang w:val="el-GR"/>
              </w:rPr>
              <w:t>0,420</w:t>
            </w:r>
          </w:p>
        </w:tc>
      </w:tr>
      <w:tr w:rsidR="00171824" w14:paraId="467CF27F" w14:textId="77777777">
        <w:trPr>
          <w:cantSplit/>
        </w:trPr>
        <w:tc>
          <w:tcPr>
            <w:tcW w:w="3261" w:type="dxa"/>
            <w:tcBorders>
              <w:top w:val="single" w:sz="6" w:space="0" w:color="000000"/>
              <w:left w:val="single" w:sz="6" w:space="0" w:color="000000"/>
              <w:bottom w:val="single" w:sz="6" w:space="0" w:color="000000"/>
              <w:right w:val="single" w:sz="6" w:space="0" w:color="000000"/>
            </w:tcBorders>
            <w:vAlign w:val="bottom"/>
          </w:tcPr>
          <w:p w14:paraId="464D42A7" w14:textId="77777777" w:rsidR="00171824" w:rsidRDefault="006D258C">
            <w:pPr>
              <w:keepNext/>
              <w:tabs>
                <w:tab w:val="left" w:pos="-1080"/>
              </w:tabs>
              <w:rPr>
                <w:b/>
                <w:sz w:val="22"/>
                <w:szCs w:val="22"/>
                <w:lang w:val="el-GR"/>
              </w:rPr>
            </w:pPr>
            <w:r>
              <w:rPr>
                <w:b/>
                <w:sz w:val="22"/>
                <w:lang w:val="el-GR"/>
              </w:rPr>
              <w:t>Διακοπή α</w:t>
            </w:r>
            <w:r>
              <w:rPr>
                <w:b/>
                <w:sz w:val="22"/>
                <w:szCs w:val="20"/>
                <w:lang w:val="el-GR"/>
              </w:rPr>
              <w:t>νοσοτροποποιητικών</w:t>
            </w:r>
            <w:r>
              <w:rPr>
                <w:b/>
                <w:sz w:val="22"/>
                <w:szCs w:val="22"/>
                <w:vertAlign w:val="superscript"/>
                <w:lang w:val="el-GR"/>
              </w:rPr>
              <w:t>2</w:t>
            </w:r>
          </w:p>
        </w:tc>
        <w:tc>
          <w:tcPr>
            <w:tcW w:w="2126" w:type="dxa"/>
            <w:tcBorders>
              <w:top w:val="single" w:sz="6" w:space="0" w:color="000000"/>
              <w:left w:val="single" w:sz="6" w:space="0" w:color="000000"/>
              <w:bottom w:val="single" w:sz="6" w:space="0" w:color="000000"/>
              <w:right w:val="single" w:sz="6" w:space="0" w:color="000000"/>
            </w:tcBorders>
            <w:vAlign w:val="bottom"/>
          </w:tcPr>
          <w:p w14:paraId="1D02D20B" w14:textId="77777777" w:rsidR="00171824" w:rsidRDefault="006D258C">
            <w:pPr>
              <w:keepNext/>
              <w:tabs>
                <w:tab w:val="left" w:pos="-1080"/>
              </w:tabs>
              <w:jc w:val="center"/>
              <w:rPr>
                <w:b/>
                <w:sz w:val="22"/>
                <w:szCs w:val="22"/>
                <w:lang w:val="el-GR"/>
              </w:rPr>
            </w:pPr>
            <w:r>
              <w:rPr>
                <w:b/>
                <w:sz w:val="22"/>
                <w:szCs w:val="22"/>
                <w:lang w:val="el-GR"/>
              </w:rPr>
              <w:t>N=60</w:t>
            </w:r>
          </w:p>
        </w:tc>
        <w:tc>
          <w:tcPr>
            <w:tcW w:w="2126" w:type="dxa"/>
            <w:tcBorders>
              <w:top w:val="single" w:sz="6" w:space="0" w:color="000000"/>
              <w:left w:val="single" w:sz="6" w:space="0" w:color="000000"/>
              <w:bottom w:val="single" w:sz="6" w:space="0" w:color="000000"/>
              <w:right w:val="single" w:sz="6" w:space="0" w:color="000000"/>
            </w:tcBorders>
            <w:vAlign w:val="bottom"/>
          </w:tcPr>
          <w:p w14:paraId="1040B8FB" w14:textId="77777777" w:rsidR="00171824" w:rsidRDefault="006D258C">
            <w:pPr>
              <w:keepNext/>
              <w:tabs>
                <w:tab w:val="left" w:pos="-1080"/>
              </w:tabs>
              <w:jc w:val="center"/>
              <w:rPr>
                <w:b/>
                <w:sz w:val="22"/>
                <w:szCs w:val="22"/>
                <w:lang w:val="el-GR"/>
              </w:rPr>
            </w:pPr>
            <w:r>
              <w:rPr>
                <w:b/>
                <w:sz w:val="22"/>
                <w:szCs w:val="22"/>
                <w:lang w:val="el-GR"/>
              </w:rPr>
              <w:t>N=57</w:t>
            </w:r>
          </w:p>
        </w:tc>
        <w:tc>
          <w:tcPr>
            <w:tcW w:w="1701" w:type="dxa"/>
            <w:tcBorders>
              <w:top w:val="single" w:sz="6" w:space="0" w:color="000000"/>
              <w:left w:val="single" w:sz="6" w:space="0" w:color="000000"/>
              <w:bottom w:val="single" w:sz="6" w:space="0" w:color="000000"/>
              <w:right w:val="single" w:sz="6" w:space="0" w:color="000000"/>
            </w:tcBorders>
            <w:vAlign w:val="bottom"/>
          </w:tcPr>
          <w:p w14:paraId="1E052584" w14:textId="77777777" w:rsidR="00171824" w:rsidRDefault="00171824">
            <w:pPr>
              <w:keepNext/>
              <w:rPr>
                <w:b/>
                <w:sz w:val="22"/>
                <w:szCs w:val="22"/>
                <w:lang w:val="el-GR"/>
              </w:rPr>
            </w:pPr>
          </w:p>
        </w:tc>
      </w:tr>
      <w:tr w:rsidR="00171824" w14:paraId="65C2CA43" w14:textId="77777777">
        <w:trPr>
          <w:cantSplit/>
        </w:trPr>
        <w:tc>
          <w:tcPr>
            <w:tcW w:w="3261" w:type="dxa"/>
            <w:tcBorders>
              <w:top w:val="single" w:sz="6" w:space="0" w:color="000000"/>
              <w:left w:val="single" w:sz="6" w:space="0" w:color="000000"/>
              <w:bottom w:val="single" w:sz="6" w:space="0" w:color="000000"/>
              <w:right w:val="single" w:sz="6" w:space="0" w:color="000000"/>
            </w:tcBorders>
          </w:tcPr>
          <w:p w14:paraId="426FDF28"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bCs/>
                <w:sz w:val="22"/>
                <w:szCs w:val="22"/>
                <w:lang w:val="el-GR"/>
              </w:rPr>
              <w:t>52</w:t>
            </w:r>
          </w:p>
        </w:tc>
        <w:tc>
          <w:tcPr>
            <w:tcW w:w="2126" w:type="dxa"/>
            <w:tcBorders>
              <w:top w:val="single" w:sz="6" w:space="0" w:color="000000"/>
              <w:left w:val="single" w:sz="6" w:space="0" w:color="000000"/>
              <w:bottom w:val="single" w:sz="6" w:space="0" w:color="000000"/>
              <w:right w:val="single" w:sz="6" w:space="0" w:color="000000"/>
            </w:tcBorders>
          </w:tcPr>
          <w:p w14:paraId="58D0E662" w14:textId="77777777" w:rsidR="00171824" w:rsidRDefault="006D258C">
            <w:pPr>
              <w:keepNext/>
              <w:tabs>
                <w:tab w:val="left" w:pos="-1080"/>
              </w:tabs>
              <w:jc w:val="center"/>
              <w:rPr>
                <w:sz w:val="22"/>
                <w:szCs w:val="22"/>
                <w:lang w:val="el-GR"/>
              </w:rPr>
            </w:pPr>
            <w:r>
              <w:rPr>
                <w:sz w:val="22"/>
                <w:szCs w:val="22"/>
                <w:lang w:val="el-GR"/>
              </w:rPr>
              <w:t>30,0%</w:t>
            </w:r>
          </w:p>
        </w:tc>
        <w:tc>
          <w:tcPr>
            <w:tcW w:w="2126" w:type="dxa"/>
            <w:tcBorders>
              <w:top w:val="single" w:sz="6" w:space="0" w:color="000000"/>
              <w:left w:val="single" w:sz="6" w:space="0" w:color="000000"/>
              <w:bottom w:val="single" w:sz="6" w:space="0" w:color="000000"/>
              <w:right w:val="single" w:sz="6" w:space="0" w:color="000000"/>
            </w:tcBorders>
          </w:tcPr>
          <w:p w14:paraId="61232A2C" w14:textId="77777777" w:rsidR="00171824" w:rsidRDefault="006D258C">
            <w:pPr>
              <w:keepNext/>
              <w:tabs>
                <w:tab w:val="left" w:pos="-1080"/>
              </w:tabs>
              <w:jc w:val="center"/>
              <w:rPr>
                <w:sz w:val="22"/>
                <w:szCs w:val="22"/>
                <w:lang w:val="el-GR"/>
              </w:rPr>
            </w:pPr>
            <w:r>
              <w:rPr>
                <w:sz w:val="22"/>
                <w:szCs w:val="22"/>
                <w:lang w:val="el-GR"/>
              </w:rPr>
              <w:t>29,8%</w:t>
            </w:r>
          </w:p>
        </w:tc>
        <w:tc>
          <w:tcPr>
            <w:tcW w:w="1701" w:type="dxa"/>
            <w:tcBorders>
              <w:top w:val="single" w:sz="6" w:space="0" w:color="000000"/>
              <w:left w:val="single" w:sz="6" w:space="0" w:color="000000"/>
              <w:bottom w:val="single" w:sz="6" w:space="0" w:color="000000"/>
              <w:right w:val="single" w:sz="6" w:space="0" w:color="000000"/>
            </w:tcBorders>
          </w:tcPr>
          <w:p w14:paraId="1D15BB65" w14:textId="77777777" w:rsidR="00171824" w:rsidRDefault="006D258C">
            <w:pPr>
              <w:keepNext/>
              <w:tabs>
                <w:tab w:val="left" w:pos="-1080"/>
              </w:tabs>
              <w:jc w:val="center"/>
              <w:rPr>
                <w:sz w:val="22"/>
                <w:szCs w:val="22"/>
                <w:lang w:val="el-GR"/>
              </w:rPr>
            </w:pPr>
            <w:r>
              <w:rPr>
                <w:sz w:val="22"/>
                <w:szCs w:val="22"/>
                <w:lang w:val="el-GR"/>
              </w:rPr>
              <w:t>0,983</w:t>
            </w:r>
          </w:p>
        </w:tc>
      </w:tr>
      <w:tr w:rsidR="00171824" w14:paraId="33224158" w14:textId="77777777">
        <w:trPr>
          <w:cantSplit/>
        </w:trPr>
        <w:tc>
          <w:tcPr>
            <w:tcW w:w="3261" w:type="dxa"/>
            <w:tcBorders>
              <w:top w:val="single" w:sz="6" w:space="0" w:color="000000"/>
              <w:left w:val="single" w:sz="6" w:space="0" w:color="000000"/>
              <w:bottom w:val="single" w:sz="6" w:space="0" w:color="000000"/>
              <w:right w:val="single" w:sz="6" w:space="0" w:color="000000"/>
            </w:tcBorders>
          </w:tcPr>
          <w:p w14:paraId="7CD64B7F" w14:textId="77777777" w:rsidR="00171824" w:rsidRDefault="006D258C">
            <w:pPr>
              <w:keepNext/>
              <w:tabs>
                <w:tab w:val="left" w:pos="-1080"/>
              </w:tabs>
              <w:rPr>
                <w:b/>
                <w:bCs/>
                <w:sz w:val="22"/>
                <w:szCs w:val="22"/>
                <w:lang w:val="el-GR"/>
              </w:rPr>
            </w:pPr>
            <w:r>
              <w:rPr>
                <w:b/>
                <w:bCs/>
                <w:sz w:val="22"/>
                <w:szCs w:val="22"/>
                <w:lang w:val="el-GR"/>
              </w:rPr>
              <w:t>Σύγκλιση Συριγγίων</w:t>
            </w:r>
            <w:r>
              <w:rPr>
                <w:b/>
                <w:sz w:val="22"/>
                <w:szCs w:val="20"/>
                <w:vertAlign w:val="superscript"/>
                <w:lang w:val="el-GR"/>
              </w:rPr>
              <w:t>3</w:t>
            </w:r>
          </w:p>
        </w:tc>
        <w:tc>
          <w:tcPr>
            <w:tcW w:w="2126" w:type="dxa"/>
            <w:tcBorders>
              <w:top w:val="single" w:sz="6" w:space="0" w:color="000000"/>
              <w:left w:val="single" w:sz="6" w:space="0" w:color="000000"/>
              <w:bottom w:val="single" w:sz="6" w:space="0" w:color="000000"/>
              <w:right w:val="single" w:sz="6" w:space="0" w:color="000000"/>
            </w:tcBorders>
          </w:tcPr>
          <w:p w14:paraId="441B3B33" w14:textId="77777777" w:rsidR="00171824" w:rsidRDefault="006D258C">
            <w:pPr>
              <w:keepNext/>
              <w:tabs>
                <w:tab w:val="left" w:pos="-1080"/>
              </w:tabs>
              <w:jc w:val="center"/>
              <w:rPr>
                <w:b/>
                <w:sz w:val="22"/>
                <w:szCs w:val="22"/>
                <w:lang w:val="el-GR"/>
              </w:rPr>
            </w:pPr>
            <w:r>
              <w:rPr>
                <w:b/>
                <w:sz w:val="22"/>
                <w:szCs w:val="22"/>
                <w:lang w:val="el-GR"/>
              </w:rPr>
              <w:t>N=15</w:t>
            </w:r>
          </w:p>
        </w:tc>
        <w:tc>
          <w:tcPr>
            <w:tcW w:w="2126" w:type="dxa"/>
            <w:tcBorders>
              <w:top w:val="single" w:sz="6" w:space="0" w:color="000000"/>
              <w:left w:val="single" w:sz="6" w:space="0" w:color="000000"/>
              <w:bottom w:val="single" w:sz="6" w:space="0" w:color="000000"/>
              <w:right w:val="single" w:sz="6" w:space="0" w:color="000000"/>
            </w:tcBorders>
          </w:tcPr>
          <w:p w14:paraId="63BAFB4D" w14:textId="77777777" w:rsidR="00171824" w:rsidRDefault="006D258C">
            <w:pPr>
              <w:keepNext/>
              <w:tabs>
                <w:tab w:val="left" w:pos="-1080"/>
              </w:tabs>
              <w:jc w:val="center"/>
              <w:rPr>
                <w:b/>
                <w:sz w:val="22"/>
                <w:szCs w:val="22"/>
                <w:lang w:val="el-GR"/>
              </w:rPr>
            </w:pPr>
            <w:r>
              <w:rPr>
                <w:b/>
                <w:sz w:val="22"/>
                <w:szCs w:val="22"/>
                <w:lang w:val="el-GR"/>
              </w:rPr>
              <w:t>N=21</w:t>
            </w:r>
          </w:p>
        </w:tc>
        <w:tc>
          <w:tcPr>
            <w:tcW w:w="1701" w:type="dxa"/>
            <w:tcBorders>
              <w:top w:val="single" w:sz="6" w:space="0" w:color="000000"/>
              <w:left w:val="single" w:sz="6" w:space="0" w:color="000000"/>
              <w:bottom w:val="single" w:sz="6" w:space="0" w:color="000000"/>
              <w:right w:val="single" w:sz="6" w:space="0" w:color="000000"/>
            </w:tcBorders>
          </w:tcPr>
          <w:p w14:paraId="1747A8C5" w14:textId="77777777" w:rsidR="00171824" w:rsidRDefault="00171824">
            <w:pPr>
              <w:keepNext/>
              <w:tabs>
                <w:tab w:val="left" w:pos="-1080"/>
              </w:tabs>
              <w:jc w:val="center"/>
              <w:rPr>
                <w:sz w:val="22"/>
                <w:szCs w:val="22"/>
                <w:lang w:val="el-GR"/>
              </w:rPr>
            </w:pPr>
          </w:p>
        </w:tc>
      </w:tr>
      <w:tr w:rsidR="00171824" w14:paraId="7DE94BD0" w14:textId="77777777">
        <w:trPr>
          <w:cantSplit/>
        </w:trPr>
        <w:tc>
          <w:tcPr>
            <w:tcW w:w="3261" w:type="dxa"/>
            <w:tcBorders>
              <w:top w:val="single" w:sz="6" w:space="0" w:color="000000"/>
              <w:left w:val="single" w:sz="6" w:space="0" w:color="000000"/>
              <w:bottom w:val="single" w:sz="6" w:space="0" w:color="000000"/>
              <w:right w:val="single" w:sz="6" w:space="0" w:color="000000"/>
            </w:tcBorders>
          </w:tcPr>
          <w:p w14:paraId="44319427"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bCs/>
                <w:sz w:val="22"/>
                <w:szCs w:val="22"/>
                <w:lang w:val="el-GR"/>
              </w:rPr>
              <w:t>26</w:t>
            </w:r>
          </w:p>
        </w:tc>
        <w:tc>
          <w:tcPr>
            <w:tcW w:w="2126" w:type="dxa"/>
            <w:tcBorders>
              <w:top w:val="single" w:sz="6" w:space="0" w:color="000000"/>
              <w:left w:val="single" w:sz="6" w:space="0" w:color="000000"/>
              <w:bottom w:val="single" w:sz="6" w:space="0" w:color="000000"/>
              <w:right w:val="single" w:sz="6" w:space="0" w:color="000000"/>
            </w:tcBorders>
          </w:tcPr>
          <w:p w14:paraId="3D0D6513" w14:textId="77777777" w:rsidR="00171824" w:rsidRDefault="006D258C">
            <w:pPr>
              <w:keepNext/>
              <w:tabs>
                <w:tab w:val="left" w:pos="-1080"/>
              </w:tabs>
              <w:jc w:val="center"/>
              <w:rPr>
                <w:sz w:val="22"/>
                <w:szCs w:val="22"/>
                <w:lang w:val="el-GR"/>
              </w:rPr>
            </w:pPr>
            <w:r>
              <w:rPr>
                <w:sz w:val="22"/>
                <w:szCs w:val="20"/>
                <w:lang w:val="el-GR"/>
              </w:rPr>
              <w:t>46,7%</w:t>
            </w:r>
          </w:p>
        </w:tc>
        <w:tc>
          <w:tcPr>
            <w:tcW w:w="2126" w:type="dxa"/>
            <w:tcBorders>
              <w:top w:val="single" w:sz="6" w:space="0" w:color="000000"/>
              <w:left w:val="single" w:sz="6" w:space="0" w:color="000000"/>
              <w:bottom w:val="single" w:sz="6" w:space="0" w:color="000000"/>
              <w:right w:val="single" w:sz="6" w:space="0" w:color="000000"/>
            </w:tcBorders>
          </w:tcPr>
          <w:p w14:paraId="45EB59A0" w14:textId="77777777" w:rsidR="00171824" w:rsidRDefault="006D258C">
            <w:pPr>
              <w:keepNext/>
              <w:tabs>
                <w:tab w:val="left" w:pos="-1080"/>
              </w:tabs>
              <w:jc w:val="center"/>
              <w:rPr>
                <w:sz w:val="22"/>
                <w:szCs w:val="22"/>
                <w:lang w:val="el-GR"/>
              </w:rPr>
            </w:pPr>
            <w:r>
              <w:rPr>
                <w:sz w:val="22"/>
                <w:szCs w:val="20"/>
                <w:lang w:val="el-GR"/>
              </w:rPr>
              <w:t>38,1%</w:t>
            </w:r>
          </w:p>
        </w:tc>
        <w:tc>
          <w:tcPr>
            <w:tcW w:w="1701" w:type="dxa"/>
            <w:tcBorders>
              <w:top w:val="single" w:sz="6" w:space="0" w:color="000000"/>
              <w:left w:val="single" w:sz="6" w:space="0" w:color="000000"/>
              <w:bottom w:val="single" w:sz="6" w:space="0" w:color="000000"/>
              <w:right w:val="single" w:sz="6" w:space="0" w:color="000000"/>
            </w:tcBorders>
          </w:tcPr>
          <w:p w14:paraId="70DA3327" w14:textId="77777777" w:rsidR="00171824" w:rsidRDefault="006D258C">
            <w:pPr>
              <w:keepNext/>
              <w:tabs>
                <w:tab w:val="left" w:pos="-1080"/>
              </w:tabs>
              <w:jc w:val="center"/>
              <w:rPr>
                <w:sz w:val="22"/>
                <w:szCs w:val="22"/>
                <w:lang w:val="el-GR"/>
              </w:rPr>
            </w:pPr>
            <w:r>
              <w:rPr>
                <w:sz w:val="22"/>
                <w:szCs w:val="20"/>
                <w:lang w:val="el-GR"/>
              </w:rPr>
              <w:t>0,608</w:t>
            </w:r>
          </w:p>
        </w:tc>
      </w:tr>
      <w:tr w:rsidR="00171824" w14:paraId="70973634" w14:textId="77777777">
        <w:trPr>
          <w:cantSplit/>
        </w:trPr>
        <w:tc>
          <w:tcPr>
            <w:tcW w:w="3261" w:type="dxa"/>
            <w:tcBorders>
              <w:top w:val="single" w:sz="6" w:space="0" w:color="000000"/>
              <w:left w:val="single" w:sz="6" w:space="0" w:color="000000"/>
              <w:bottom w:val="single" w:sz="4" w:space="0" w:color="auto"/>
              <w:right w:val="single" w:sz="6" w:space="0" w:color="000000"/>
            </w:tcBorders>
          </w:tcPr>
          <w:p w14:paraId="7A0E5316"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sz w:val="22"/>
                <w:szCs w:val="20"/>
                <w:lang w:val="el-GR"/>
              </w:rPr>
              <w:t>52</w:t>
            </w:r>
          </w:p>
        </w:tc>
        <w:tc>
          <w:tcPr>
            <w:tcW w:w="2126" w:type="dxa"/>
            <w:tcBorders>
              <w:top w:val="single" w:sz="6" w:space="0" w:color="000000"/>
              <w:left w:val="single" w:sz="6" w:space="0" w:color="000000"/>
              <w:bottom w:val="single" w:sz="4" w:space="0" w:color="auto"/>
              <w:right w:val="single" w:sz="6" w:space="0" w:color="000000"/>
            </w:tcBorders>
          </w:tcPr>
          <w:p w14:paraId="12965BD2" w14:textId="77777777" w:rsidR="00171824" w:rsidRDefault="006D258C">
            <w:pPr>
              <w:keepNext/>
              <w:tabs>
                <w:tab w:val="left" w:pos="-1080"/>
              </w:tabs>
              <w:jc w:val="center"/>
              <w:rPr>
                <w:sz w:val="22"/>
                <w:szCs w:val="20"/>
                <w:lang w:val="el-GR"/>
              </w:rPr>
            </w:pPr>
            <w:r>
              <w:rPr>
                <w:sz w:val="22"/>
                <w:szCs w:val="20"/>
                <w:lang w:val="el-GR"/>
              </w:rPr>
              <w:t>40,0%</w:t>
            </w:r>
          </w:p>
        </w:tc>
        <w:tc>
          <w:tcPr>
            <w:tcW w:w="2126" w:type="dxa"/>
            <w:tcBorders>
              <w:top w:val="single" w:sz="6" w:space="0" w:color="000000"/>
              <w:left w:val="single" w:sz="6" w:space="0" w:color="000000"/>
              <w:bottom w:val="single" w:sz="4" w:space="0" w:color="auto"/>
              <w:right w:val="single" w:sz="6" w:space="0" w:color="000000"/>
            </w:tcBorders>
          </w:tcPr>
          <w:p w14:paraId="2D4D3F43" w14:textId="77777777" w:rsidR="00171824" w:rsidRDefault="006D258C">
            <w:pPr>
              <w:keepNext/>
              <w:tabs>
                <w:tab w:val="left" w:pos="-1080"/>
              </w:tabs>
              <w:jc w:val="center"/>
              <w:rPr>
                <w:sz w:val="22"/>
                <w:szCs w:val="20"/>
                <w:lang w:val="el-GR"/>
              </w:rPr>
            </w:pPr>
            <w:r>
              <w:rPr>
                <w:sz w:val="22"/>
                <w:szCs w:val="20"/>
                <w:lang w:val="el-GR"/>
              </w:rPr>
              <w:t>23,8%</w:t>
            </w:r>
          </w:p>
        </w:tc>
        <w:tc>
          <w:tcPr>
            <w:tcW w:w="1701" w:type="dxa"/>
            <w:tcBorders>
              <w:top w:val="single" w:sz="6" w:space="0" w:color="000000"/>
              <w:left w:val="single" w:sz="6" w:space="0" w:color="000000"/>
              <w:bottom w:val="single" w:sz="4" w:space="0" w:color="auto"/>
              <w:right w:val="single" w:sz="6" w:space="0" w:color="000000"/>
            </w:tcBorders>
          </w:tcPr>
          <w:p w14:paraId="0780BB1F" w14:textId="77777777" w:rsidR="00171824" w:rsidRDefault="006D258C">
            <w:pPr>
              <w:keepNext/>
              <w:tabs>
                <w:tab w:val="left" w:pos="-1080"/>
              </w:tabs>
              <w:jc w:val="center"/>
              <w:rPr>
                <w:sz w:val="22"/>
                <w:szCs w:val="20"/>
                <w:lang w:val="el-GR"/>
              </w:rPr>
            </w:pPr>
            <w:r>
              <w:rPr>
                <w:sz w:val="22"/>
                <w:szCs w:val="20"/>
                <w:lang w:val="el-GR"/>
              </w:rPr>
              <w:t>0,303</w:t>
            </w:r>
          </w:p>
        </w:tc>
      </w:tr>
    </w:tbl>
    <w:p w14:paraId="74074D97" w14:textId="77777777" w:rsidR="00171824" w:rsidRDefault="006D258C">
      <w:pPr>
        <w:widowControl/>
        <w:rPr>
          <w:color w:val="000000"/>
          <w:sz w:val="20"/>
          <w:szCs w:val="20"/>
          <w:lang w:val="el-GR" w:eastAsia="ja-JP"/>
        </w:rPr>
      </w:pPr>
      <w:r>
        <w:rPr>
          <w:color w:val="000000"/>
          <w:sz w:val="20"/>
          <w:szCs w:val="20"/>
          <w:vertAlign w:val="superscript"/>
          <w:lang w:val="el-GR" w:eastAsia="ja-JP"/>
        </w:rPr>
        <w:t>1</w:t>
      </w:r>
      <w:r>
        <w:rPr>
          <w:color w:val="000000"/>
          <w:sz w:val="20"/>
          <w:szCs w:val="20"/>
          <w:lang w:val="el-GR" w:eastAsia="ja-JP"/>
        </w:rPr>
        <w:t xml:space="preserve"> τιμή p για την σύγκριση της Τυπικής δόσης </w:t>
      </w:r>
      <w:r>
        <w:rPr>
          <w:i/>
          <w:iCs/>
          <w:color w:val="000000"/>
          <w:sz w:val="20"/>
          <w:szCs w:val="20"/>
          <w:lang w:val="el-GR" w:eastAsia="ja-JP"/>
        </w:rPr>
        <w:t xml:space="preserve">έναντι </w:t>
      </w:r>
      <w:r>
        <w:rPr>
          <w:color w:val="000000"/>
          <w:sz w:val="20"/>
          <w:szCs w:val="20"/>
          <w:lang w:val="el-GR" w:eastAsia="ja-JP"/>
        </w:rPr>
        <w:t xml:space="preserve">της Χαμηλής δόσης </w:t>
      </w:r>
    </w:p>
    <w:p w14:paraId="57389EDA" w14:textId="77777777" w:rsidR="00171824" w:rsidRDefault="006D258C">
      <w:pPr>
        <w:widowControl/>
        <w:rPr>
          <w:color w:val="000000"/>
          <w:sz w:val="20"/>
          <w:szCs w:val="20"/>
          <w:lang w:val="el-GR" w:eastAsia="ja-JP"/>
        </w:rPr>
      </w:pPr>
      <w:r>
        <w:rPr>
          <w:color w:val="000000"/>
          <w:sz w:val="20"/>
          <w:szCs w:val="20"/>
          <w:vertAlign w:val="superscript"/>
          <w:lang w:val="el-GR" w:eastAsia="ja-JP"/>
        </w:rPr>
        <w:t>2</w:t>
      </w:r>
      <w:r>
        <w:rPr>
          <w:color w:val="000000"/>
          <w:sz w:val="20"/>
          <w:szCs w:val="20"/>
          <w:lang w:val="el-GR" w:eastAsia="ja-JP"/>
        </w:rPr>
        <w:t xml:space="preserve"> η ανοσοκατασταλτική θεραπεία μπορεί να διακοπεί μόνο κατά ή μετά την εβδομάδα 26, κατά την κρίση του ερευνητή, αν ο ασθενής πέτυχε το κριτήριο κλινικής ανταπόκρισης </w:t>
      </w:r>
    </w:p>
    <w:p w14:paraId="3232FAEC" w14:textId="77777777" w:rsidR="00171824" w:rsidRDefault="006D258C">
      <w:pPr>
        <w:pStyle w:val="BodyText"/>
        <w:widowControl/>
        <w:kinsoku w:val="0"/>
        <w:overflowPunct w:val="0"/>
        <w:ind w:left="0"/>
        <w:rPr>
          <w:sz w:val="20"/>
          <w:szCs w:val="20"/>
          <w:lang w:val="el-GR"/>
        </w:rPr>
      </w:pPr>
      <w:r>
        <w:rPr>
          <w:color w:val="000000"/>
          <w:sz w:val="20"/>
          <w:szCs w:val="20"/>
          <w:vertAlign w:val="superscript"/>
          <w:lang w:val="el-GR" w:eastAsia="ja-JP"/>
        </w:rPr>
        <w:t>3</w:t>
      </w:r>
      <w:r>
        <w:rPr>
          <w:color w:val="000000"/>
          <w:sz w:val="20"/>
          <w:szCs w:val="20"/>
          <w:lang w:val="el-GR" w:eastAsia="ja-JP"/>
        </w:rPr>
        <w:t xml:space="preserve"> ορίζεται ως το κλείσιμο όλων των συριγγίων που παροχέτευαν στην Έναρξη, για τουλάχιστον 2 συνεχείς επισκέψεις μετά την Έναρξη </w:t>
      </w:r>
    </w:p>
    <w:p w14:paraId="68D0EE86" w14:textId="77777777" w:rsidR="00171824" w:rsidRDefault="00171824">
      <w:pPr>
        <w:pStyle w:val="BodyText"/>
        <w:widowControl/>
        <w:kinsoku w:val="0"/>
        <w:overflowPunct w:val="0"/>
        <w:ind w:left="0"/>
        <w:rPr>
          <w:lang w:val="el-GR"/>
        </w:rPr>
      </w:pPr>
    </w:p>
    <w:p w14:paraId="325B6CC3" w14:textId="77777777" w:rsidR="00171824" w:rsidRDefault="006D258C">
      <w:pPr>
        <w:pStyle w:val="BodyText"/>
        <w:widowControl/>
        <w:kinsoku w:val="0"/>
        <w:overflowPunct w:val="0"/>
        <w:ind w:left="0"/>
        <w:rPr>
          <w:lang w:val="el-GR"/>
        </w:rPr>
      </w:pPr>
      <w:r>
        <w:rPr>
          <w:lang w:val="el-GR"/>
        </w:rPr>
        <w:t>Στατιστικά σημαντικές αυξήσεις (βελτίωση) από την Έναρξη του Δείκτη Μάζας Σώματος και της ταχύτητας ύψους παρατηρήθηκαν και για τις δύο ομάδες θεραπείας την εβδομάδα 26 και 52.</w:t>
      </w:r>
    </w:p>
    <w:p w14:paraId="786845C2" w14:textId="77777777" w:rsidR="00171824" w:rsidRDefault="00171824">
      <w:pPr>
        <w:pStyle w:val="BodyText"/>
        <w:widowControl/>
        <w:kinsoku w:val="0"/>
        <w:overflowPunct w:val="0"/>
        <w:ind w:left="0"/>
        <w:rPr>
          <w:lang w:val="el-GR"/>
        </w:rPr>
      </w:pPr>
    </w:p>
    <w:p w14:paraId="53492A46" w14:textId="77777777" w:rsidR="00171824" w:rsidRDefault="006D258C">
      <w:pPr>
        <w:pStyle w:val="BodyText"/>
        <w:widowControl/>
        <w:kinsoku w:val="0"/>
        <w:overflowPunct w:val="0"/>
        <w:ind w:left="0"/>
        <w:rPr>
          <w:lang w:val="el-GR"/>
        </w:rPr>
      </w:pPr>
      <w:r>
        <w:rPr>
          <w:lang w:val="el-GR"/>
        </w:rPr>
        <w:t>Στατιστικά και κλινικά σημαντικές βελτιώσεις από την Έναρξη παρατηρήθηκαν επίσης και στις δύο ομάδες θεραπείας για παραμέτρους ποιότητας ζωής (συμπεριλαμβανομένης της IMPACT III).</w:t>
      </w:r>
    </w:p>
    <w:p w14:paraId="38E79094" w14:textId="77777777" w:rsidR="00171824" w:rsidRDefault="00171824">
      <w:pPr>
        <w:pStyle w:val="BodyText"/>
        <w:widowControl/>
        <w:kinsoku w:val="0"/>
        <w:overflowPunct w:val="0"/>
        <w:ind w:left="0"/>
        <w:rPr>
          <w:lang w:val="el-GR"/>
        </w:rPr>
      </w:pPr>
    </w:p>
    <w:p w14:paraId="26A24CBE" w14:textId="77777777" w:rsidR="00171824" w:rsidRDefault="006D258C">
      <w:pPr>
        <w:pStyle w:val="BodyText"/>
        <w:widowControl/>
        <w:kinsoku w:val="0"/>
        <w:overflowPunct w:val="0"/>
        <w:ind w:left="0"/>
        <w:rPr>
          <w:lang w:val="el-GR"/>
        </w:rPr>
      </w:pPr>
      <w:r>
        <w:rPr>
          <w:lang w:val="el-GR"/>
        </w:rPr>
        <w:t>Εκατό ασθενείς (n = 100) από τη Μελέτη Παιδιατρικής CD συνέχισαν σε μια ανοικτή μακροχρόνια μελέτη επέκτασης. Έπειτα από 5 χρόνια θεραπείας με adalimumab, 74,0% (37/50) των 50 ασθενών που παρέμειναν στη μελέτη συνέχισαν να είναι σε κλινική ύφεση και 92,0% (46/50) των ασθενών συνέχισαν να έχουν κλινική ανταπόκριση κατά PCDAI.</w:t>
      </w:r>
    </w:p>
    <w:p w14:paraId="3B66D9BC" w14:textId="77777777" w:rsidR="00171824" w:rsidRDefault="00171824">
      <w:pPr>
        <w:pStyle w:val="BodyText"/>
        <w:widowControl/>
        <w:kinsoku w:val="0"/>
        <w:overflowPunct w:val="0"/>
        <w:ind w:left="0"/>
        <w:rPr>
          <w:lang w:val="el-GR"/>
        </w:rPr>
      </w:pPr>
    </w:p>
    <w:p w14:paraId="73BBCA6D" w14:textId="77777777" w:rsidR="00171824" w:rsidRDefault="006D258C">
      <w:pPr>
        <w:pStyle w:val="BodyText"/>
        <w:widowControl/>
        <w:kinsoku w:val="0"/>
        <w:overflowPunct w:val="0"/>
        <w:ind w:left="0"/>
        <w:rPr>
          <w:lang w:val="el-GR"/>
        </w:rPr>
      </w:pPr>
      <w:r>
        <w:rPr>
          <w:i/>
          <w:iCs/>
          <w:lang w:val="el-GR"/>
        </w:rPr>
        <w:t>Παιδιατρική ελκώδης κολίτιδα</w:t>
      </w:r>
    </w:p>
    <w:p w14:paraId="06519C3B" w14:textId="77777777" w:rsidR="00171824" w:rsidRDefault="00171824">
      <w:pPr>
        <w:pStyle w:val="BodyText"/>
        <w:widowControl/>
        <w:kinsoku w:val="0"/>
        <w:overflowPunct w:val="0"/>
        <w:ind w:left="0"/>
        <w:rPr>
          <w:lang w:val="el-GR"/>
        </w:rPr>
      </w:pPr>
    </w:p>
    <w:p w14:paraId="03E334D1" w14:textId="77777777" w:rsidR="00171824" w:rsidRDefault="006D258C">
      <w:pPr>
        <w:pStyle w:val="BodyText"/>
        <w:widowControl/>
        <w:kinsoku w:val="0"/>
        <w:overflowPunct w:val="0"/>
        <w:ind w:left="0"/>
        <w:rPr>
          <w:lang w:val="el-GR"/>
        </w:rPr>
      </w:pPr>
      <w:r>
        <w:rPr>
          <w:lang w:val="el-GR"/>
        </w:rPr>
        <w:t xml:space="preserve">Η ασφάλεια και η αποτελεσματικότητα του adalimumab αξιολογήθηκαν σε μια πολυκεντρική, τυχαιοποιημένη, διπλά τυφλή δοκιμή σε 93 παιδιατρικούς ασθενείς ηλικίας από 5 έως 17 ετών με μέτρια έως σοβαρή ενεργό ελκώδη κολίτιδα (βαθμολογία Mayo 6 έως 12 με υποβαθμολογία ενδοσκόπησης από 2 έως 3 βαθμούς, επιβεβαιωμένη μέσω κεντρικής ερμηνείας της ενδοσκόπησης), οι οποίοι είχαν ανεπαρκή ανταπόκριση ή δυσανεξία στη συμβατική θεραπεία. Περίπου το 16% των ασθενών στη μελέτη είχαν αποτύχει σε προηγούμενη αντι-TNF θεραπεία. Στους ασθενείς που </w:t>
      </w:r>
      <w:r>
        <w:rPr>
          <w:lang w:val="el-GR"/>
        </w:rPr>
        <w:lastRenderedPageBreak/>
        <w:t xml:space="preserve">λάμβαναν κορτικοστεροειδή κατά την εισαγωγή στη μελέτη, επιτράπηκε η σταδιακή μείωση της θεραπείας με κορτικοστεροειδή μετά την εβδομάδα 4. </w:t>
      </w:r>
    </w:p>
    <w:p w14:paraId="3E6DDDF0" w14:textId="77777777" w:rsidR="00171824" w:rsidRDefault="00171824">
      <w:pPr>
        <w:pStyle w:val="BodyText"/>
        <w:widowControl/>
        <w:kinsoku w:val="0"/>
        <w:overflowPunct w:val="0"/>
        <w:ind w:left="0"/>
        <w:rPr>
          <w:lang w:val="el-GR"/>
        </w:rPr>
      </w:pPr>
    </w:p>
    <w:p w14:paraId="17E819E1" w14:textId="77777777" w:rsidR="00171824" w:rsidRDefault="006D258C">
      <w:pPr>
        <w:pStyle w:val="BodyText"/>
        <w:widowControl/>
        <w:kinsoku w:val="0"/>
        <w:overflowPunct w:val="0"/>
        <w:ind w:left="0"/>
        <w:rPr>
          <w:lang w:val="el-GR"/>
        </w:rPr>
      </w:pPr>
      <w:r>
        <w:rPr>
          <w:lang w:val="el-GR"/>
        </w:rPr>
        <w:t>Στην περίοδο αρχικής δόσης της μελέτης, 77 ασθενείς τυχαιοποιήθηκαν με αναλογία 3:2 στη λήψη διπλά τυφλής θεραπείας με adalimumab σε αρχική δόση 2,4 mg/kg (μέγιστη δόση 160 mg) την εβδομάδα 0 και την εβδομάδα 1, και 1,2 mg/kg (μέγιστη δόση 80 mg) την εβδομάδα 2, ή αρχική δόση 2,4 mg/kg (μέγιστη δόση 160 mg) την εβδομάδα 0, εικονικό φάρμακο την εβδομάδα 1 και 1,2 mg/kg (μέγιστη δόση 80 mg) την εβδομάδα 2. Αμφότερες οι ομάδες έλαβαν 0,6 mg/kg (μέγιστη δόση 40 mg) την εβδομάδα 4 και την εβδομάδα 6. Μετά από τροποποίηση στον σχεδιασμό της μελέτης, οι υπόλοιποι 16 ασθενείς που εγγράφηκαν στην αρχική περίοδο έλαβαν ανοικτή θεραπεία με adalimumab στην αρχική δόση των 2,4 mg/kg (μέγιστη δόση 160 mg) την εβδομάδα 0 και την εβδομάδα 1, και 1,2 mg/kg (μέγιστη δόση 80 mg) την εβδομάδα 2.</w:t>
      </w:r>
    </w:p>
    <w:p w14:paraId="3E359079" w14:textId="77777777" w:rsidR="00171824" w:rsidRDefault="00171824">
      <w:pPr>
        <w:pStyle w:val="BodyText"/>
        <w:widowControl/>
        <w:kinsoku w:val="0"/>
        <w:overflowPunct w:val="0"/>
        <w:ind w:left="0"/>
        <w:rPr>
          <w:lang w:val="el-GR"/>
        </w:rPr>
      </w:pPr>
    </w:p>
    <w:p w14:paraId="27F45397" w14:textId="77777777" w:rsidR="00171824" w:rsidRDefault="006D258C">
      <w:pPr>
        <w:pStyle w:val="BodyText"/>
        <w:widowControl/>
        <w:kinsoku w:val="0"/>
        <w:overflowPunct w:val="0"/>
        <w:ind w:left="0"/>
        <w:rPr>
          <w:lang w:val="el-GR"/>
        </w:rPr>
      </w:pPr>
      <w:r>
        <w:rPr>
          <w:lang w:val="el-GR"/>
        </w:rPr>
        <w:t>Την εβδομάδα 8, 62 ασθενείς που επέδειξαν κλινική ανταπόκριση κατά την επιμέρους βαθμολογία Mayo (PMS, οριζόμενη ως μείωση της PMS ≥ 2 βαθμούς και ≥ 30% σε σχέση με τα αρχικά επίπεδα) τυχαιοποιήθηκαν ισομερώς στη λήψη διπλά τυφλής θεραπείας συντήρησης με adalimumab σε δόση 0,6 mg/kg (μέγιστη δόση 40 mg) κάθε εβδομάδα ή δόσης συντήρησης 0,6 mg/kg (μέγιστη δόση 40 mg) κάθε δεύτερη εβδομάδα. Πριν από την τροποποίηση στον σχεδιασμό της μελέτης, 12 ακόμα ασθενείς που επέδειξαν κλινική ανταπόκριση κατά PMS τυχαιοποιήθηκαν στη λήψη εικονικού φαρμάκου, αλλά δεν συμπεριλήφθηκαν στην επιβεβαιωτική ανάλυση αποτελεσματικότητας.</w:t>
      </w:r>
    </w:p>
    <w:p w14:paraId="63379554" w14:textId="77777777" w:rsidR="00171824" w:rsidRDefault="00171824">
      <w:pPr>
        <w:pStyle w:val="BodyText"/>
        <w:widowControl/>
        <w:kinsoku w:val="0"/>
        <w:overflowPunct w:val="0"/>
        <w:ind w:left="0"/>
        <w:rPr>
          <w:lang w:val="el-GR"/>
        </w:rPr>
      </w:pPr>
    </w:p>
    <w:p w14:paraId="6668B0AC" w14:textId="77777777" w:rsidR="00171824" w:rsidRDefault="006D258C">
      <w:pPr>
        <w:pStyle w:val="BodyText"/>
        <w:widowControl/>
        <w:kinsoku w:val="0"/>
        <w:overflowPunct w:val="0"/>
        <w:ind w:left="0"/>
        <w:rPr>
          <w:lang w:val="el-GR"/>
        </w:rPr>
      </w:pPr>
      <w:r>
        <w:rPr>
          <w:lang w:val="el-GR"/>
        </w:rPr>
        <w:t>Ως έξαρση της νόσου ορίστηκε αύξηση στην PMS τουλάχιστον 3 βαθμών (για ασθενείς με PMS 0 έως 2 την εβδομάδα 8), τουλάχιστον 2 βαθμών (για ασθενείς με PMS 3 έως 4 την εβδομάδα 8) ή τουλάχιστον 1 βαθμού (για ασθενείς με PMS 5 έως 6 την εβδομάδα 8).</w:t>
      </w:r>
    </w:p>
    <w:p w14:paraId="594EABAC" w14:textId="77777777" w:rsidR="00171824" w:rsidRDefault="00171824">
      <w:pPr>
        <w:pStyle w:val="BodyText"/>
        <w:widowControl/>
        <w:kinsoku w:val="0"/>
        <w:overflowPunct w:val="0"/>
        <w:ind w:left="0"/>
        <w:rPr>
          <w:lang w:val="el-GR"/>
        </w:rPr>
      </w:pPr>
    </w:p>
    <w:p w14:paraId="3A1CC29F" w14:textId="77777777" w:rsidR="00171824" w:rsidRDefault="006D258C">
      <w:pPr>
        <w:pStyle w:val="BodyText"/>
        <w:widowControl/>
        <w:kinsoku w:val="0"/>
        <w:overflowPunct w:val="0"/>
        <w:ind w:left="0"/>
        <w:rPr>
          <w:lang w:val="el-GR"/>
        </w:rPr>
      </w:pPr>
      <w:r>
        <w:rPr>
          <w:lang w:val="el-GR"/>
        </w:rPr>
        <w:t>Οι ασθενείς που πληρούσαν τα κριτήρια για την έξαρση της νόσου από την εβδομάδα 12 και μετά τυχαιοποιήθηκαν στη λήψη νέας αρχικής δόσης 2,4 mg/kg (μέγιστη δόση 160 mg) ή δόσης 0,6 mg/kg (μέγιστη δόση 40 mg) και συνέχισαν να λαμβάνουν το αντίστοιχο σχήμα δόσης συντήρησης εφεξής.</w:t>
      </w:r>
    </w:p>
    <w:p w14:paraId="7C631F21" w14:textId="77777777" w:rsidR="00171824" w:rsidRDefault="00171824">
      <w:pPr>
        <w:pStyle w:val="BodyText"/>
        <w:widowControl/>
        <w:kinsoku w:val="0"/>
        <w:overflowPunct w:val="0"/>
        <w:ind w:left="0"/>
        <w:rPr>
          <w:lang w:val="el-GR"/>
        </w:rPr>
      </w:pPr>
    </w:p>
    <w:p w14:paraId="01AE3F3C" w14:textId="77777777" w:rsidR="00171824" w:rsidRDefault="006D258C">
      <w:pPr>
        <w:pStyle w:val="BodyText"/>
        <w:widowControl/>
        <w:kinsoku w:val="0"/>
        <w:overflowPunct w:val="0"/>
        <w:ind w:left="0"/>
        <w:rPr>
          <w:lang w:val="el-GR"/>
        </w:rPr>
      </w:pPr>
      <w:r>
        <w:rPr>
          <w:i/>
          <w:iCs/>
          <w:lang w:val="el-GR"/>
        </w:rPr>
        <w:t>Αποτελέσματα αναφορικά με την αποτελεσματικότητα</w:t>
      </w:r>
    </w:p>
    <w:p w14:paraId="14BC9939" w14:textId="77777777" w:rsidR="00171824" w:rsidRDefault="00171824">
      <w:pPr>
        <w:pStyle w:val="BodyText"/>
        <w:widowControl/>
        <w:kinsoku w:val="0"/>
        <w:overflowPunct w:val="0"/>
        <w:ind w:left="0"/>
        <w:rPr>
          <w:lang w:val="el-GR"/>
        </w:rPr>
      </w:pPr>
    </w:p>
    <w:p w14:paraId="224ECA92" w14:textId="77777777" w:rsidR="00171824" w:rsidRDefault="006D258C">
      <w:pPr>
        <w:pStyle w:val="BodyText"/>
        <w:widowControl/>
        <w:kinsoku w:val="0"/>
        <w:overflowPunct w:val="0"/>
        <w:ind w:left="0"/>
        <w:rPr>
          <w:lang w:val="el-GR"/>
        </w:rPr>
      </w:pPr>
      <w:r>
        <w:rPr>
          <w:lang w:val="el-GR"/>
        </w:rPr>
        <w:t>Τα πρωτεύοντα καταληκτικά σημεία της μελέτης ήταν η κλινική ύφεση κατά PMS (οριζόμενη ως PMS ≤ 2 και χωρίς επιμέρους υποβαθμολογία &gt; 1) την εβδομάδα 8 και η κλινική ύφεση κατά FMS (πλήρης βαθμολογία Mayo) (οριζόμενη ως βαθμολογία Mayo ≤ 2 και χωρίς επιμέρους υποβαθμολογία &gt; 1) την εβδομάδα 52 στους ασθενείς που επέτυχαν κλινική ανταπόκριση κατά PMS την εβδομάδα 8.</w:t>
      </w:r>
    </w:p>
    <w:p w14:paraId="43BE099F" w14:textId="77777777" w:rsidR="00171824" w:rsidRDefault="00171824">
      <w:pPr>
        <w:pStyle w:val="BodyText"/>
        <w:widowControl/>
        <w:kinsoku w:val="0"/>
        <w:overflowPunct w:val="0"/>
        <w:ind w:left="0"/>
        <w:rPr>
          <w:lang w:val="el-GR"/>
        </w:rPr>
      </w:pPr>
    </w:p>
    <w:p w14:paraId="6C83F6A5" w14:textId="77777777" w:rsidR="00171824" w:rsidRDefault="006D258C">
      <w:pPr>
        <w:pStyle w:val="BodyText"/>
        <w:widowControl/>
        <w:kinsoku w:val="0"/>
        <w:overflowPunct w:val="0"/>
        <w:ind w:left="0"/>
        <w:rPr>
          <w:lang w:val="el-GR"/>
        </w:rPr>
      </w:pPr>
      <w:r>
        <w:rPr>
          <w:lang w:val="el-GR"/>
        </w:rPr>
        <w:t xml:space="preserve">Τα ποσοστά κλινικής ύφεσης κατά PMS την εβδομάδα 8 για τους ασθενείς σε έκαστη των δύο διπλά τυφλών ομάδων αρχικής δόσης του </w:t>
      </w:r>
      <w:r>
        <w:rPr>
          <w:color w:val="000000"/>
          <w:lang w:val="el-GR" w:eastAsia="en-GB"/>
        </w:rPr>
        <w:t>adalimumab</w:t>
      </w:r>
      <w:r>
        <w:rPr>
          <w:lang w:val="el-GR" w:eastAsia="en-GB"/>
        </w:rPr>
        <w:t xml:space="preserve"> </w:t>
      </w:r>
      <w:r>
        <w:rPr>
          <w:lang w:val="el-GR"/>
        </w:rPr>
        <w:t>παρέχονται στον Πίνακα 31.</w:t>
      </w:r>
    </w:p>
    <w:p w14:paraId="1D9A08A3" w14:textId="77777777" w:rsidR="00171824" w:rsidRDefault="00171824">
      <w:pPr>
        <w:pStyle w:val="BodyText"/>
        <w:widowControl/>
        <w:kinsoku w:val="0"/>
        <w:overflowPunct w:val="0"/>
        <w:ind w:left="0"/>
        <w:rPr>
          <w:lang w:val="el-GR"/>
        </w:rPr>
      </w:pPr>
    </w:p>
    <w:p w14:paraId="394A0FE2" w14:textId="77777777" w:rsidR="00171824" w:rsidRDefault="006D258C">
      <w:pPr>
        <w:pStyle w:val="BodyText"/>
        <w:keepNext/>
        <w:widowControl/>
        <w:kinsoku w:val="0"/>
        <w:overflowPunct w:val="0"/>
        <w:ind w:left="0"/>
        <w:rPr>
          <w:lang w:val="el-GR"/>
        </w:rPr>
      </w:pPr>
      <w:r>
        <w:rPr>
          <w:b/>
          <w:bCs/>
          <w:lang w:val="el-GR"/>
        </w:rPr>
        <w:t>Πίνακας 31. Κλινική ύφεση κατά PMS στις 8 εβδομάδες</w:t>
      </w:r>
    </w:p>
    <w:p w14:paraId="6950338E" w14:textId="77777777" w:rsidR="00171824" w:rsidRDefault="00171824">
      <w:pPr>
        <w:pStyle w:val="BodyText"/>
        <w:keepNext/>
        <w:widowControl/>
        <w:kinsoku w:val="0"/>
        <w:overflowPunct w:val="0"/>
        <w:ind w:left="0"/>
        <w:rPr>
          <w:i/>
          <w:iCs/>
          <w:lang w:val="el-GR"/>
        </w:rPr>
      </w:pPr>
    </w:p>
    <w:tbl>
      <w:tblPr>
        <w:tblW w:w="4904" w:type="pct"/>
        <w:tblInd w:w="15" w:type="dxa"/>
        <w:tblLayout w:type="fixed"/>
        <w:tblLook w:val="04A0" w:firstRow="1" w:lastRow="0" w:firstColumn="1" w:lastColumn="0" w:noHBand="0" w:noVBand="1"/>
      </w:tblPr>
      <w:tblGrid>
        <w:gridCol w:w="1692"/>
        <w:gridCol w:w="3949"/>
        <w:gridCol w:w="3240"/>
      </w:tblGrid>
      <w:tr w:rsidR="00171824" w14:paraId="62D6301C" w14:textId="77777777">
        <w:trPr>
          <w:cantSplit/>
        </w:trPr>
        <w:tc>
          <w:tcPr>
            <w:tcW w:w="1701"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4D6C25A" w14:textId="77777777" w:rsidR="00171824" w:rsidRDefault="00171824">
            <w:pPr>
              <w:keepNext/>
              <w:widowControl/>
              <w:tabs>
                <w:tab w:val="left" w:pos="567"/>
              </w:tabs>
              <w:autoSpaceDE/>
              <w:autoSpaceDN/>
              <w:adjustRightInd/>
              <w:rPr>
                <w:sz w:val="22"/>
                <w:szCs w:val="20"/>
                <w:lang w:val="el-GR"/>
              </w:rPr>
            </w:pPr>
          </w:p>
        </w:tc>
        <w:tc>
          <w:tcPr>
            <w:tcW w:w="3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DEAC285" w14:textId="77777777" w:rsidR="00171824" w:rsidRDefault="006D258C">
            <w:pPr>
              <w:keepNext/>
              <w:widowControl/>
              <w:autoSpaceDE/>
              <w:autoSpaceDN/>
              <w:adjustRightInd/>
              <w:jc w:val="center"/>
              <w:textAlignment w:val="baseline"/>
              <w:rPr>
                <w:sz w:val="22"/>
                <w:szCs w:val="22"/>
                <w:lang w:val="el-GR"/>
              </w:rPr>
            </w:pPr>
            <w:r>
              <w:rPr>
                <w:b/>
                <w:bCs/>
                <w:color w:val="000000"/>
                <w:sz w:val="22"/>
                <w:szCs w:val="22"/>
                <w:lang w:val="el-GR" w:eastAsia="en-GB"/>
              </w:rPr>
              <w:t>Adalimumab</w:t>
            </w:r>
            <w:r>
              <w:rPr>
                <w:b/>
                <w:sz w:val="22"/>
                <w:vertAlign w:val="superscript"/>
                <w:lang w:val="el-GR"/>
              </w:rPr>
              <w:t>α</w:t>
            </w:r>
            <w:r>
              <w:rPr>
                <w:sz w:val="22"/>
                <w:lang w:val="el-GR"/>
              </w:rPr>
              <w:t> </w:t>
            </w:r>
          </w:p>
          <w:p w14:paraId="323561A0" w14:textId="77777777" w:rsidR="00171824" w:rsidRDefault="006D258C">
            <w:pPr>
              <w:keepNext/>
              <w:widowControl/>
              <w:tabs>
                <w:tab w:val="left" w:pos="567"/>
              </w:tabs>
              <w:autoSpaceDE/>
              <w:autoSpaceDN/>
              <w:adjustRightInd/>
              <w:jc w:val="center"/>
              <w:rPr>
                <w:sz w:val="22"/>
                <w:szCs w:val="20"/>
                <w:lang w:val="el-GR"/>
              </w:rPr>
            </w:pPr>
            <w:r>
              <w:rPr>
                <w:b/>
                <w:sz w:val="22"/>
                <w:szCs w:val="20"/>
                <w:lang w:val="el-GR"/>
              </w:rPr>
              <w:t>Μέγιστη δόση 160 mg την εβδομάδα 0/Εικονικό φάρμακο την εβδομάδα 1</w:t>
            </w:r>
            <w:r>
              <w:rPr>
                <w:sz w:val="22"/>
                <w:szCs w:val="20"/>
                <w:lang w:val="el-GR"/>
              </w:rPr>
              <w:t> </w:t>
            </w:r>
          </w:p>
          <w:p w14:paraId="44EF13F6" w14:textId="77777777" w:rsidR="00171824" w:rsidRDefault="006D258C">
            <w:pPr>
              <w:keepNext/>
              <w:widowControl/>
              <w:tabs>
                <w:tab w:val="left" w:pos="567"/>
              </w:tabs>
              <w:autoSpaceDE/>
              <w:autoSpaceDN/>
              <w:adjustRightInd/>
              <w:jc w:val="center"/>
              <w:rPr>
                <w:sz w:val="22"/>
                <w:szCs w:val="20"/>
                <w:lang w:val="el-GR"/>
              </w:rPr>
            </w:pPr>
            <w:r>
              <w:rPr>
                <w:sz w:val="22"/>
                <w:szCs w:val="20"/>
                <w:lang w:val="el-GR"/>
              </w:rPr>
              <w:t>N=30</w:t>
            </w:r>
          </w:p>
        </w:tc>
        <w:tc>
          <w:tcPr>
            <w:tcW w:w="325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2DDA03B" w14:textId="77777777" w:rsidR="00171824" w:rsidRDefault="006D258C">
            <w:pPr>
              <w:keepNext/>
              <w:widowControl/>
              <w:autoSpaceDE/>
              <w:autoSpaceDN/>
              <w:adjustRightInd/>
              <w:jc w:val="center"/>
              <w:textAlignment w:val="baseline"/>
              <w:rPr>
                <w:sz w:val="22"/>
                <w:szCs w:val="22"/>
                <w:lang w:val="el-GR"/>
              </w:rPr>
            </w:pPr>
            <w:r>
              <w:rPr>
                <w:b/>
                <w:bCs/>
                <w:color w:val="000000"/>
                <w:sz w:val="22"/>
                <w:szCs w:val="22"/>
                <w:lang w:val="el-GR" w:eastAsia="en-GB"/>
              </w:rPr>
              <w:t>Adalimumab</w:t>
            </w:r>
            <w:r>
              <w:rPr>
                <w:b/>
                <w:sz w:val="22"/>
                <w:vertAlign w:val="superscript"/>
                <w:lang w:val="el-GR"/>
              </w:rPr>
              <w:t>β, γ</w:t>
            </w:r>
            <w:r>
              <w:rPr>
                <w:sz w:val="22"/>
                <w:lang w:val="el-GR"/>
              </w:rPr>
              <w:t> </w:t>
            </w:r>
          </w:p>
          <w:p w14:paraId="2B58C56F" w14:textId="77777777" w:rsidR="00171824" w:rsidRDefault="006D258C">
            <w:pPr>
              <w:keepNext/>
              <w:widowControl/>
              <w:tabs>
                <w:tab w:val="left" w:pos="567"/>
              </w:tabs>
              <w:autoSpaceDE/>
              <w:autoSpaceDN/>
              <w:adjustRightInd/>
              <w:jc w:val="center"/>
              <w:rPr>
                <w:sz w:val="22"/>
                <w:szCs w:val="20"/>
                <w:lang w:val="el-GR"/>
              </w:rPr>
            </w:pPr>
            <w:r>
              <w:rPr>
                <w:b/>
                <w:sz w:val="22"/>
                <w:szCs w:val="20"/>
                <w:lang w:val="el-GR"/>
              </w:rPr>
              <w:t>Μέγιστη δόση 160 mg την εβδομάδα 0 και την εβδομάδα 1</w:t>
            </w:r>
            <w:r>
              <w:rPr>
                <w:sz w:val="22"/>
                <w:szCs w:val="20"/>
                <w:lang w:val="el-GR"/>
              </w:rPr>
              <w:t> </w:t>
            </w:r>
          </w:p>
          <w:p w14:paraId="079B108A" w14:textId="77777777" w:rsidR="00171824" w:rsidRDefault="006D258C">
            <w:pPr>
              <w:keepNext/>
              <w:widowControl/>
              <w:tabs>
                <w:tab w:val="left" w:pos="567"/>
              </w:tabs>
              <w:autoSpaceDE/>
              <w:autoSpaceDN/>
              <w:adjustRightInd/>
              <w:jc w:val="center"/>
              <w:rPr>
                <w:sz w:val="22"/>
                <w:szCs w:val="20"/>
                <w:lang w:val="el-GR"/>
              </w:rPr>
            </w:pPr>
            <w:r>
              <w:rPr>
                <w:sz w:val="22"/>
                <w:szCs w:val="20"/>
                <w:lang w:val="el-GR"/>
              </w:rPr>
              <w:t>N=47</w:t>
            </w:r>
          </w:p>
        </w:tc>
      </w:tr>
      <w:tr w:rsidR="00171824" w14:paraId="1C17BFAE" w14:textId="77777777">
        <w:trPr>
          <w:cantSplit/>
        </w:trPr>
        <w:tc>
          <w:tcPr>
            <w:tcW w:w="1701"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E0081EE" w14:textId="77777777" w:rsidR="00171824" w:rsidRDefault="006D258C">
            <w:pPr>
              <w:keepNext/>
              <w:widowControl/>
              <w:autoSpaceDE/>
              <w:autoSpaceDN/>
              <w:adjustRightInd/>
              <w:rPr>
                <w:sz w:val="22"/>
                <w:szCs w:val="20"/>
                <w:lang w:val="el-GR"/>
              </w:rPr>
            </w:pPr>
            <w:r>
              <w:rPr>
                <w:sz w:val="22"/>
                <w:szCs w:val="20"/>
                <w:lang w:val="el-GR"/>
              </w:rPr>
              <w:t>Κλινική ύφεση</w:t>
            </w:r>
          </w:p>
        </w:tc>
        <w:tc>
          <w:tcPr>
            <w:tcW w:w="3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0485668D" w14:textId="77777777" w:rsidR="00171824" w:rsidRDefault="006D258C">
            <w:pPr>
              <w:keepNext/>
              <w:widowControl/>
              <w:tabs>
                <w:tab w:val="left" w:pos="567"/>
              </w:tabs>
              <w:autoSpaceDE/>
              <w:autoSpaceDN/>
              <w:adjustRightInd/>
              <w:jc w:val="center"/>
              <w:rPr>
                <w:sz w:val="22"/>
                <w:szCs w:val="20"/>
                <w:lang w:val="el-GR"/>
              </w:rPr>
            </w:pPr>
            <w:r>
              <w:rPr>
                <w:sz w:val="22"/>
                <w:szCs w:val="20"/>
                <w:lang w:val="el-GR"/>
              </w:rPr>
              <w:t>13/30 (43,3%)</w:t>
            </w:r>
          </w:p>
        </w:tc>
        <w:tc>
          <w:tcPr>
            <w:tcW w:w="325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CBBCF98" w14:textId="77777777" w:rsidR="00171824" w:rsidRDefault="006D258C">
            <w:pPr>
              <w:keepNext/>
              <w:widowControl/>
              <w:tabs>
                <w:tab w:val="left" w:pos="567"/>
              </w:tabs>
              <w:autoSpaceDE/>
              <w:autoSpaceDN/>
              <w:adjustRightInd/>
              <w:jc w:val="center"/>
              <w:rPr>
                <w:sz w:val="22"/>
                <w:szCs w:val="20"/>
                <w:vertAlign w:val="superscript"/>
                <w:lang w:val="el-GR"/>
              </w:rPr>
            </w:pPr>
            <w:r>
              <w:rPr>
                <w:sz w:val="22"/>
                <w:szCs w:val="20"/>
                <w:lang w:val="el-GR"/>
              </w:rPr>
              <w:t>28/47 (59,6%)</w:t>
            </w:r>
          </w:p>
        </w:tc>
      </w:tr>
      <w:tr w:rsidR="00171824" w:rsidRPr="00422380" w14:paraId="2034A392" w14:textId="77777777">
        <w:trPr>
          <w:cantSplit/>
        </w:trPr>
        <w:tc>
          <w:tcPr>
            <w:tcW w:w="8926" w:type="dxa"/>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5621384C" w14:textId="77777777" w:rsidR="00171824" w:rsidRDefault="006D258C">
            <w:pPr>
              <w:keepNext/>
              <w:widowControl/>
              <w:autoSpaceDE/>
              <w:autoSpaceDN/>
              <w:adjustRightInd/>
              <w:textAlignment w:val="baseline"/>
              <w:rPr>
                <w:sz w:val="20"/>
                <w:szCs w:val="20"/>
                <w:lang w:val="el-GR"/>
              </w:rPr>
            </w:pPr>
            <w:r>
              <w:rPr>
                <w:sz w:val="20"/>
                <w:szCs w:val="20"/>
                <w:vertAlign w:val="superscript"/>
                <w:lang w:val="el-GR"/>
              </w:rPr>
              <w:t>α </w:t>
            </w:r>
            <w:r>
              <w:rPr>
                <w:color w:val="000000"/>
                <w:sz w:val="20"/>
                <w:szCs w:val="20"/>
                <w:lang w:val="el-GR" w:eastAsia="en-GB"/>
              </w:rPr>
              <w:t>Adalimumab</w:t>
            </w:r>
            <w:r>
              <w:rPr>
                <w:sz w:val="20"/>
                <w:szCs w:val="20"/>
                <w:lang w:val="el-GR"/>
              </w:rPr>
              <w:t> 2,4 mg/kg (μέγιστη δόση 160 mg) την εβδομάδα 0, εικονικό φάρμακο την εβδομάδα 1 και 1,2 mg/kg (μέγιστη δόση 80 mg) την εβδομάδα 2 </w:t>
            </w:r>
          </w:p>
          <w:p w14:paraId="53799D64" w14:textId="77777777" w:rsidR="00171824" w:rsidRDefault="006D258C">
            <w:pPr>
              <w:keepNext/>
              <w:widowControl/>
              <w:autoSpaceDE/>
              <w:autoSpaceDN/>
              <w:adjustRightInd/>
              <w:textAlignment w:val="baseline"/>
              <w:rPr>
                <w:sz w:val="20"/>
                <w:szCs w:val="20"/>
                <w:lang w:val="el-GR"/>
              </w:rPr>
            </w:pPr>
            <w:r>
              <w:rPr>
                <w:sz w:val="20"/>
                <w:szCs w:val="20"/>
                <w:vertAlign w:val="superscript"/>
                <w:lang w:val="el-GR"/>
              </w:rPr>
              <w:t>β </w:t>
            </w:r>
            <w:r>
              <w:rPr>
                <w:color w:val="000000"/>
                <w:sz w:val="20"/>
                <w:szCs w:val="20"/>
                <w:lang w:val="el-GR" w:eastAsia="en-GB"/>
              </w:rPr>
              <w:t>Adalimumab</w:t>
            </w:r>
            <w:r>
              <w:rPr>
                <w:sz w:val="20"/>
                <w:szCs w:val="20"/>
                <w:lang w:val="el-GR"/>
              </w:rPr>
              <w:t> 2,4 mg/kg (μέγιστη δόση 160 mg) την εβδομάδα 0 και την εβδομάδα 1, και 1,2 mg/kg (μέγιστη δόση 80 mg) την εβδομάδα 2 </w:t>
            </w:r>
          </w:p>
          <w:p w14:paraId="7B97E0BD" w14:textId="77777777" w:rsidR="00171824" w:rsidRDefault="006D258C">
            <w:pPr>
              <w:keepNext/>
              <w:widowControl/>
              <w:autoSpaceDE/>
              <w:autoSpaceDN/>
              <w:adjustRightInd/>
              <w:textAlignment w:val="baseline"/>
              <w:rPr>
                <w:sz w:val="20"/>
                <w:szCs w:val="20"/>
                <w:lang w:val="el-GR"/>
              </w:rPr>
            </w:pPr>
            <w:r>
              <w:rPr>
                <w:sz w:val="20"/>
                <w:szCs w:val="20"/>
                <w:vertAlign w:val="superscript"/>
                <w:lang w:val="el-GR"/>
              </w:rPr>
              <w:t>γ </w:t>
            </w:r>
            <w:r>
              <w:rPr>
                <w:sz w:val="20"/>
                <w:szCs w:val="20"/>
                <w:lang w:val="el-GR"/>
              </w:rPr>
              <w:t xml:space="preserve">Μη συμπεριλαμβανομένης της ανοικτής αρχικής δόσης </w:t>
            </w:r>
            <w:r>
              <w:rPr>
                <w:color w:val="000000"/>
                <w:sz w:val="20"/>
                <w:szCs w:val="20"/>
                <w:lang w:val="el-GR" w:eastAsia="en-GB"/>
              </w:rPr>
              <w:t>adalimumab</w:t>
            </w:r>
            <w:r>
              <w:rPr>
                <w:sz w:val="20"/>
                <w:szCs w:val="20"/>
                <w:lang w:val="el-GR"/>
              </w:rPr>
              <w:t> 2,4 mg/kg (μέγιστη δόση 160 mg) την εβδομάδα 0 και την εβδομάδα 1 και 1,2 mg/kg (μέγιστη δόση 80 mg) την εβδομάδα 2</w:t>
            </w:r>
          </w:p>
          <w:p w14:paraId="0C95A395" w14:textId="77777777" w:rsidR="00171824" w:rsidRDefault="006D258C">
            <w:pPr>
              <w:keepNext/>
              <w:widowControl/>
              <w:autoSpaceDE/>
              <w:autoSpaceDN/>
              <w:adjustRightInd/>
              <w:textAlignment w:val="baseline"/>
              <w:rPr>
                <w:sz w:val="20"/>
                <w:szCs w:val="20"/>
                <w:lang w:val="el-GR"/>
              </w:rPr>
            </w:pPr>
            <w:r>
              <w:rPr>
                <w:sz w:val="20"/>
                <w:szCs w:val="20"/>
                <w:lang w:val="el-GR"/>
              </w:rPr>
              <w:t>Σημείωση 1: Αμφότερες οι ομάδες αρχικής δόσης έλαβαν 0,6 mg/kg (μέγιστη δόση 40 mg) την εβδομάδα 4 και την εβδομάδα 6 </w:t>
            </w:r>
          </w:p>
          <w:p w14:paraId="63B1346A" w14:textId="77777777" w:rsidR="00171824" w:rsidRDefault="006D258C">
            <w:pPr>
              <w:keepNext/>
              <w:widowControl/>
              <w:tabs>
                <w:tab w:val="left" w:pos="567"/>
              </w:tabs>
              <w:autoSpaceDE/>
              <w:autoSpaceDN/>
              <w:adjustRightInd/>
              <w:rPr>
                <w:sz w:val="22"/>
                <w:szCs w:val="20"/>
                <w:lang w:val="el-GR"/>
              </w:rPr>
            </w:pPr>
            <w:r>
              <w:rPr>
                <w:sz w:val="20"/>
                <w:szCs w:val="20"/>
                <w:lang w:val="el-GR"/>
              </w:rPr>
              <w:t>Σημείωση 2: Οι ασθενείς με ελλείπουσες τιμές την εβδομάδα 8 θεωρήθηκε ότι δεν πληρούσαν το καταληκτικό σημείο</w:t>
            </w:r>
          </w:p>
        </w:tc>
      </w:tr>
    </w:tbl>
    <w:p w14:paraId="1E73E272" w14:textId="77777777" w:rsidR="00171824" w:rsidRDefault="00171824">
      <w:pPr>
        <w:pStyle w:val="BodyText"/>
        <w:widowControl/>
        <w:kinsoku w:val="0"/>
        <w:overflowPunct w:val="0"/>
        <w:ind w:left="0"/>
        <w:rPr>
          <w:lang w:val="el-GR"/>
        </w:rPr>
      </w:pPr>
    </w:p>
    <w:p w14:paraId="5EC2F10D" w14:textId="77777777" w:rsidR="00171824" w:rsidRDefault="006D258C">
      <w:pPr>
        <w:pStyle w:val="BodyText"/>
        <w:widowControl/>
        <w:kinsoku w:val="0"/>
        <w:overflowPunct w:val="0"/>
        <w:ind w:left="0"/>
        <w:rPr>
          <w:lang w:val="el-GR"/>
        </w:rPr>
      </w:pPr>
      <w:r>
        <w:rPr>
          <w:lang w:val="el-GR"/>
        </w:rPr>
        <w:lastRenderedPageBreak/>
        <w:t>Την εβδομάδα 52, αξιολογήθηκε η κλινική ύφεση κατά FMS στους ασθενείς που είχαν ανταπόκριση την εβδομάδα 8, η κλινική ύφεση κατά FMS (οριζόμενη ως μείωση στη βαθμολογία Mayo ≥ 3 βαθμούς και ≥ 30% από τις αρχικές τιμές) στους ασθενείς που είχαν ανταπόκριση την εβδομάδα 8, η επούλωση του βλεννογόνου κατά FMS (οριζόμενη ως βαθμολογία ενδοσκόπησης Mayo ≤ 1) στους ασθενείς που είχαν ανταπόκριση την εβδομάδα 8, η κλινική ύφεση κατά FMS στους ασθενείς που παρουσίαζαν ύφεση την εβδομάδα 8 και το ποσοστό ασθενών σε ύφεση χωρίς κορτικοστεροειδή κατά FMS στους ασθενείς που είχαν ανταπόκριση την εβδομάδα 8, σε ασθενείς που έλαβαν adalimumab στις διπλά τυφλές μέγιστες δόσεις συντήρησης των 40 mg κάθε δεύτερη εβδομάδα (0,6 mg/kg) και των 40 mg κάθε εβδομάδα (0,6 mg/kg) (Πίνακας 32).</w:t>
      </w:r>
    </w:p>
    <w:p w14:paraId="77A65E0E" w14:textId="77777777" w:rsidR="00171824" w:rsidRDefault="00171824">
      <w:pPr>
        <w:pStyle w:val="BodyText"/>
        <w:keepNext/>
        <w:widowControl/>
        <w:kinsoku w:val="0"/>
        <w:overflowPunct w:val="0"/>
        <w:ind w:left="0"/>
        <w:rPr>
          <w:lang w:val="el-GR"/>
        </w:rPr>
      </w:pPr>
    </w:p>
    <w:p w14:paraId="4473333A" w14:textId="77777777" w:rsidR="00171824" w:rsidRDefault="006D258C">
      <w:pPr>
        <w:pStyle w:val="BodyText"/>
        <w:keepNext/>
        <w:widowControl/>
        <w:kinsoku w:val="0"/>
        <w:overflowPunct w:val="0"/>
        <w:ind w:left="0"/>
        <w:rPr>
          <w:lang w:val="el-GR"/>
        </w:rPr>
      </w:pPr>
      <w:r>
        <w:rPr>
          <w:b/>
          <w:bCs/>
          <w:lang w:val="el-GR"/>
        </w:rPr>
        <w:t>Πίνακας 32. Αποτελέσματα αναφορικά με την αποτελεσματικότητα στις 52 εβδομάδες</w:t>
      </w:r>
    </w:p>
    <w:p w14:paraId="12810087" w14:textId="77777777" w:rsidR="00171824" w:rsidRDefault="00171824">
      <w:pPr>
        <w:pStyle w:val="BodyText"/>
        <w:keepNext/>
        <w:widowControl/>
        <w:kinsoku w:val="0"/>
        <w:overflowPunct w:val="0"/>
        <w:ind w:left="0"/>
        <w:rPr>
          <w:lang w:val="el-GR"/>
        </w:rPr>
      </w:pPr>
    </w:p>
    <w:tbl>
      <w:tblPr>
        <w:tblW w:w="9072" w:type="dxa"/>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3402"/>
        <w:gridCol w:w="2835"/>
        <w:gridCol w:w="2835"/>
      </w:tblGrid>
      <w:tr w:rsidR="00171824" w14:paraId="1D906183" w14:textId="77777777">
        <w:trPr>
          <w:cantSplit/>
          <w:trHeight w:val="912"/>
        </w:trPr>
        <w:tc>
          <w:tcPr>
            <w:tcW w:w="3402" w:type="dxa"/>
            <w:tcBorders>
              <w:top w:val="single" w:sz="6" w:space="0" w:color="auto"/>
              <w:left w:val="single" w:sz="6" w:space="0" w:color="auto"/>
              <w:bottom w:val="single" w:sz="6" w:space="0" w:color="auto"/>
              <w:right w:val="single" w:sz="6" w:space="0" w:color="auto"/>
            </w:tcBorders>
          </w:tcPr>
          <w:p w14:paraId="79FE0751" w14:textId="77777777" w:rsidR="00171824" w:rsidRDefault="00171824">
            <w:pPr>
              <w:keepNext/>
              <w:widowControl/>
              <w:tabs>
                <w:tab w:val="left" w:pos="567"/>
              </w:tabs>
              <w:autoSpaceDE/>
              <w:autoSpaceDN/>
              <w:adjustRightInd/>
              <w:jc w:val="center"/>
              <w:textAlignment w:val="baseline"/>
              <w:rPr>
                <w:sz w:val="22"/>
                <w:szCs w:val="20"/>
                <w:lang w:val="el-GR" w:eastAsia="en-GB"/>
              </w:rPr>
            </w:pPr>
          </w:p>
        </w:tc>
        <w:tc>
          <w:tcPr>
            <w:tcW w:w="2835" w:type="dxa"/>
            <w:tcBorders>
              <w:top w:val="single" w:sz="6" w:space="0" w:color="auto"/>
              <w:left w:val="nil"/>
              <w:bottom w:val="single" w:sz="6" w:space="0" w:color="auto"/>
              <w:right w:val="single" w:sz="6" w:space="0" w:color="auto"/>
            </w:tcBorders>
            <w:vAlign w:val="center"/>
          </w:tcPr>
          <w:p w14:paraId="216BAB2F" w14:textId="77777777" w:rsidR="00171824" w:rsidRDefault="006D258C">
            <w:pPr>
              <w:widowControl/>
              <w:tabs>
                <w:tab w:val="left" w:pos="567"/>
              </w:tabs>
              <w:autoSpaceDE/>
              <w:autoSpaceDN/>
              <w:adjustRightInd/>
              <w:jc w:val="center"/>
              <w:textAlignment w:val="baseline"/>
              <w:rPr>
                <w:sz w:val="22"/>
                <w:szCs w:val="20"/>
                <w:lang w:val="el-GR"/>
              </w:rPr>
            </w:pPr>
            <w:r>
              <w:rPr>
                <w:b/>
                <w:bCs/>
                <w:color w:val="000000"/>
                <w:sz w:val="22"/>
                <w:szCs w:val="22"/>
                <w:lang w:val="el-GR" w:eastAsia="en-GB"/>
              </w:rPr>
              <w:t>Adalimumab</w:t>
            </w:r>
            <w:r>
              <w:rPr>
                <w:b/>
                <w:sz w:val="22"/>
                <w:szCs w:val="20"/>
                <w:vertAlign w:val="superscript"/>
                <w:lang w:val="el-GR"/>
              </w:rPr>
              <w:t>α</w:t>
            </w:r>
            <w:r>
              <w:rPr>
                <w:b/>
                <w:sz w:val="22"/>
                <w:szCs w:val="20"/>
                <w:lang w:val="el-GR"/>
              </w:rPr>
              <w:t> </w:t>
            </w:r>
            <w:r>
              <w:rPr>
                <w:sz w:val="22"/>
                <w:szCs w:val="20"/>
                <w:lang w:val="el-GR"/>
              </w:rPr>
              <w:t> </w:t>
            </w:r>
          </w:p>
          <w:p w14:paraId="3A92EE2F" w14:textId="77777777" w:rsidR="00171824" w:rsidRDefault="006D258C">
            <w:pPr>
              <w:widowControl/>
              <w:tabs>
                <w:tab w:val="left" w:pos="567"/>
              </w:tabs>
              <w:autoSpaceDE/>
              <w:autoSpaceDN/>
              <w:adjustRightInd/>
              <w:jc w:val="center"/>
              <w:textAlignment w:val="baseline"/>
              <w:rPr>
                <w:sz w:val="22"/>
                <w:szCs w:val="20"/>
                <w:lang w:val="el-GR"/>
              </w:rPr>
            </w:pPr>
            <w:r>
              <w:rPr>
                <w:b/>
                <w:sz w:val="22"/>
                <w:szCs w:val="20"/>
                <w:lang w:val="el-GR"/>
              </w:rPr>
              <w:t>Μέγιστη δόση 40 mg</w:t>
            </w:r>
            <w:r>
              <w:rPr>
                <w:sz w:val="22"/>
                <w:szCs w:val="20"/>
                <w:lang w:val="el-GR"/>
              </w:rPr>
              <w:t> </w:t>
            </w:r>
            <w:r>
              <w:rPr>
                <w:b/>
                <w:sz w:val="22"/>
                <w:szCs w:val="20"/>
                <w:lang w:val="el-GR"/>
              </w:rPr>
              <w:t>κάθε δεύτερη εβδομάδα</w:t>
            </w:r>
            <w:r>
              <w:rPr>
                <w:sz w:val="22"/>
                <w:szCs w:val="20"/>
                <w:lang w:val="el-GR"/>
              </w:rPr>
              <w:t> </w:t>
            </w:r>
          </w:p>
          <w:p w14:paraId="31C85F2F"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N=31</w:t>
            </w:r>
          </w:p>
        </w:tc>
        <w:tc>
          <w:tcPr>
            <w:tcW w:w="2835" w:type="dxa"/>
            <w:tcBorders>
              <w:top w:val="single" w:sz="6" w:space="0" w:color="auto"/>
              <w:left w:val="nil"/>
              <w:bottom w:val="single" w:sz="6" w:space="0" w:color="auto"/>
              <w:right w:val="single" w:sz="6" w:space="0" w:color="auto"/>
            </w:tcBorders>
            <w:vAlign w:val="center"/>
          </w:tcPr>
          <w:p w14:paraId="6EF86D4E" w14:textId="77777777" w:rsidR="00171824" w:rsidRDefault="006D258C">
            <w:pPr>
              <w:widowControl/>
              <w:tabs>
                <w:tab w:val="left" w:pos="567"/>
              </w:tabs>
              <w:autoSpaceDE/>
              <w:autoSpaceDN/>
              <w:adjustRightInd/>
              <w:jc w:val="center"/>
              <w:textAlignment w:val="baseline"/>
              <w:rPr>
                <w:sz w:val="22"/>
                <w:szCs w:val="20"/>
                <w:lang w:val="el-GR"/>
              </w:rPr>
            </w:pPr>
            <w:r>
              <w:rPr>
                <w:b/>
                <w:bCs/>
                <w:color w:val="000000"/>
                <w:sz w:val="22"/>
                <w:szCs w:val="22"/>
                <w:lang w:val="el-GR" w:eastAsia="en-GB"/>
              </w:rPr>
              <w:t>Adalimumab</w:t>
            </w:r>
            <w:r>
              <w:rPr>
                <w:b/>
                <w:sz w:val="22"/>
                <w:szCs w:val="20"/>
                <w:vertAlign w:val="superscript"/>
                <w:lang w:val="el-GR"/>
              </w:rPr>
              <w:t>β</w:t>
            </w:r>
            <w:r>
              <w:rPr>
                <w:b/>
                <w:sz w:val="22"/>
                <w:szCs w:val="20"/>
                <w:lang w:val="el-GR"/>
              </w:rPr>
              <w:t> </w:t>
            </w:r>
            <w:r>
              <w:rPr>
                <w:sz w:val="22"/>
                <w:szCs w:val="20"/>
                <w:lang w:val="el-GR"/>
              </w:rPr>
              <w:t> </w:t>
            </w:r>
          </w:p>
          <w:p w14:paraId="4B86445E" w14:textId="77777777" w:rsidR="00171824" w:rsidRDefault="006D258C">
            <w:pPr>
              <w:widowControl/>
              <w:tabs>
                <w:tab w:val="left" w:pos="567"/>
              </w:tabs>
              <w:autoSpaceDE/>
              <w:autoSpaceDN/>
              <w:adjustRightInd/>
              <w:jc w:val="center"/>
              <w:textAlignment w:val="baseline"/>
              <w:rPr>
                <w:sz w:val="22"/>
                <w:szCs w:val="20"/>
                <w:lang w:val="el-GR"/>
              </w:rPr>
            </w:pPr>
            <w:r>
              <w:rPr>
                <w:b/>
                <w:sz w:val="22"/>
                <w:szCs w:val="20"/>
                <w:lang w:val="el-GR"/>
              </w:rPr>
              <w:t>Μέγιστη δόση 40 mg</w:t>
            </w:r>
            <w:r>
              <w:rPr>
                <w:sz w:val="22"/>
                <w:szCs w:val="20"/>
                <w:lang w:val="el-GR"/>
              </w:rPr>
              <w:t> </w:t>
            </w:r>
            <w:r>
              <w:rPr>
                <w:b/>
                <w:sz w:val="22"/>
                <w:szCs w:val="20"/>
                <w:lang w:val="el-GR"/>
              </w:rPr>
              <w:t>κάθε εβδομάδα</w:t>
            </w:r>
          </w:p>
          <w:p w14:paraId="78F9ADE0"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N=31</w:t>
            </w:r>
          </w:p>
        </w:tc>
      </w:tr>
      <w:tr w:rsidR="00171824" w14:paraId="3F2FB25C" w14:textId="77777777">
        <w:trPr>
          <w:cantSplit/>
          <w:trHeight w:val="570"/>
        </w:trPr>
        <w:tc>
          <w:tcPr>
            <w:tcW w:w="3402" w:type="dxa"/>
            <w:tcBorders>
              <w:top w:val="nil"/>
              <w:left w:val="single" w:sz="6" w:space="0" w:color="auto"/>
              <w:bottom w:val="single" w:sz="6" w:space="0" w:color="auto"/>
              <w:right w:val="single" w:sz="6" w:space="0" w:color="auto"/>
            </w:tcBorders>
            <w:vAlign w:val="center"/>
          </w:tcPr>
          <w:p w14:paraId="46F9B13C" w14:textId="77777777" w:rsidR="00171824" w:rsidRDefault="006D258C">
            <w:pPr>
              <w:widowControl/>
              <w:tabs>
                <w:tab w:val="left" w:pos="567"/>
              </w:tabs>
              <w:autoSpaceDE/>
              <w:autoSpaceDN/>
              <w:adjustRightInd/>
              <w:textAlignment w:val="baseline"/>
              <w:rPr>
                <w:sz w:val="22"/>
                <w:szCs w:val="20"/>
                <w:lang w:val="el-GR"/>
              </w:rPr>
            </w:pPr>
            <w:r>
              <w:rPr>
                <w:sz w:val="22"/>
                <w:szCs w:val="20"/>
                <w:lang w:val="el-GR"/>
              </w:rPr>
              <w:t>Κλινική ύφεση στους ασθενείς που είχαν ανταπόκριση κατά PMS την εβδομάδα 8 </w:t>
            </w:r>
          </w:p>
        </w:tc>
        <w:tc>
          <w:tcPr>
            <w:tcW w:w="2835" w:type="dxa"/>
            <w:tcBorders>
              <w:top w:val="nil"/>
              <w:left w:val="nil"/>
              <w:bottom w:val="single" w:sz="6" w:space="0" w:color="auto"/>
              <w:right w:val="single" w:sz="6" w:space="0" w:color="auto"/>
            </w:tcBorders>
            <w:vAlign w:val="center"/>
          </w:tcPr>
          <w:p w14:paraId="7411320C"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9/31 (29,0%) </w:t>
            </w:r>
          </w:p>
        </w:tc>
        <w:tc>
          <w:tcPr>
            <w:tcW w:w="2835" w:type="dxa"/>
            <w:tcBorders>
              <w:top w:val="nil"/>
              <w:left w:val="nil"/>
              <w:bottom w:val="single" w:sz="6" w:space="0" w:color="auto"/>
              <w:right w:val="single" w:sz="6" w:space="0" w:color="auto"/>
            </w:tcBorders>
            <w:vAlign w:val="center"/>
          </w:tcPr>
          <w:p w14:paraId="52B9DBBD"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14/31 (45,2%)</w:t>
            </w:r>
          </w:p>
        </w:tc>
      </w:tr>
      <w:tr w:rsidR="00171824" w14:paraId="72163F2D" w14:textId="77777777">
        <w:trPr>
          <w:cantSplit/>
          <w:trHeight w:val="555"/>
        </w:trPr>
        <w:tc>
          <w:tcPr>
            <w:tcW w:w="3402" w:type="dxa"/>
            <w:tcBorders>
              <w:top w:val="nil"/>
              <w:left w:val="single" w:sz="6" w:space="0" w:color="auto"/>
              <w:bottom w:val="single" w:sz="6" w:space="0" w:color="auto"/>
              <w:right w:val="single" w:sz="6" w:space="0" w:color="auto"/>
            </w:tcBorders>
            <w:vAlign w:val="center"/>
          </w:tcPr>
          <w:p w14:paraId="23DA3EF4" w14:textId="77777777" w:rsidR="00171824" w:rsidRDefault="006D258C">
            <w:pPr>
              <w:widowControl/>
              <w:tabs>
                <w:tab w:val="left" w:pos="567"/>
              </w:tabs>
              <w:autoSpaceDE/>
              <w:autoSpaceDN/>
              <w:adjustRightInd/>
              <w:textAlignment w:val="baseline"/>
              <w:rPr>
                <w:sz w:val="22"/>
                <w:szCs w:val="20"/>
                <w:lang w:val="el-GR"/>
              </w:rPr>
            </w:pPr>
            <w:r>
              <w:rPr>
                <w:sz w:val="22"/>
                <w:szCs w:val="20"/>
                <w:lang w:val="el-GR"/>
              </w:rPr>
              <w:t>Κλινική ανταπόκριση στους ασθενείς που είχαν ανταπόκριση κατά PMS την εβδομάδα 8 </w:t>
            </w:r>
          </w:p>
        </w:tc>
        <w:tc>
          <w:tcPr>
            <w:tcW w:w="2835" w:type="dxa"/>
            <w:tcBorders>
              <w:top w:val="nil"/>
              <w:left w:val="nil"/>
              <w:bottom w:val="single" w:sz="6" w:space="0" w:color="auto"/>
              <w:right w:val="single" w:sz="6" w:space="0" w:color="auto"/>
            </w:tcBorders>
            <w:vAlign w:val="center"/>
          </w:tcPr>
          <w:p w14:paraId="06ADCDB7"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19/31 (61,3%) </w:t>
            </w:r>
          </w:p>
        </w:tc>
        <w:tc>
          <w:tcPr>
            <w:tcW w:w="2835" w:type="dxa"/>
            <w:tcBorders>
              <w:top w:val="nil"/>
              <w:left w:val="nil"/>
              <w:bottom w:val="single" w:sz="6" w:space="0" w:color="auto"/>
              <w:right w:val="single" w:sz="6" w:space="0" w:color="auto"/>
            </w:tcBorders>
            <w:vAlign w:val="center"/>
          </w:tcPr>
          <w:p w14:paraId="54B9AC5D"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21/31 (67,7%) </w:t>
            </w:r>
          </w:p>
        </w:tc>
      </w:tr>
      <w:tr w:rsidR="00171824" w14:paraId="047E2C98" w14:textId="77777777">
        <w:trPr>
          <w:cantSplit/>
        </w:trPr>
        <w:tc>
          <w:tcPr>
            <w:tcW w:w="3402" w:type="dxa"/>
            <w:tcBorders>
              <w:top w:val="nil"/>
              <w:left w:val="single" w:sz="6" w:space="0" w:color="auto"/>
              <w:bottom w:val="single" w:sz="6" w:space="0" w:color="auto"/>
              <w:right w:val="single" w:sz="6" w:space="0" w:color="auto"/>
            </w:tcBorders>
            <w:vAlign w:val="center"/>
          </w:tcPr>
          <w:p w14:paraId="5A82A7EB" w14:textId="77777777" w:rsidR="00171824" w:rsidRDefault="006D258C">
            <w:pPr>
              <w:widowControl/>
              <w:tabs>
                <w:tab w:val="left" w:pos="567"/>
              </w:tabs>
              <w:autoSpaceDE/>
              <w:autoSpaceDN/>
              <w:adjustRightInd/>
              <w:textAlignment w:val="baseline"/>
              <w:rPr>
                <w:sz w:val="22"/>
                <w:szCs w:val="20"/>
                <w:lang w:val="el-GR"/>
              </w:rPr>
            </w:pPr>
            <w:r>
              <w:rPr>
                <w:sz w:val="22"/>
                <w:szCs w:val="20"/>
                <w:lang w:val="el-GR"/>
              </w:rPr>
              <w:t>Επούλωση του βλεννογόνου στους ασθενείς που είχαν ανταπόκριση κατά PMS την εβδομάδα 8 </w:t>
            </w:r>
          </w:p>
        </w:tc>
        <w:tc>
          <w:tcPr>
            <w:tcW w:w="2835" w:type="dxa"/>
            <w:tcBorders>
              <w:top w:val="nil"/>
              <w:left w:val="nil"/>
              <w:bottom w:val="single" w:sz="6" w:space="0" w:color="auto"/>
              <w:right w:val="single" w:sz="6" w:space="0" w:color="auto"/>
            </w:tcBorders>
            <w:vAlign w:val="center"/>
          </w:tcPr>
          <w:p w14:paraId="6170C4E6"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12/31 (38,7%) </w:t>
            </w:r>
          </w:p>
        </w:tc>
        <w:tc>
          <w:tcPr>
            <w:tcW w:w="2835" w:type="dxa"/>
            <w:tcBorders>
              <w:top w:val="nil"/>
              <w:left w:val="nil"/>
              <w:bottom w:val="single" w:sz="6" w:space="0" w:color="auto"/>
              <w:right w:val="single" w:sz="6" w:space="0" w:color="auto"/>
            </w:tcBorders>
            <w:vAlign w:val="center"/>
          </w:tcPr>
          <w:p w14:paraId="3E3EA64A"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16/31 (51,6%) </w:t>
            </w:r>
          </w:p>
        </w:tc>
      </w:tr>
      <w:tr w:rsidR="00171824" w14:paraId="5E393B4E" w14:textId="77777777">
        <w:trPr>
          <w:cantSplit/>
        </w:trPr>
        <w:tc>
          <w:tcPr>
            <w:tcW w:w="3402" w:type="dxa"/>
            <w:tcBorders>
              <w:top w:val="nil"/>
              <w:left w:val="single" w:sz="6" w:space="0" w:color="auto"/>
              <w:bottom w:val="single" w:sz="6" w:space="0" w:color="auto"/>
              <w:right w:val="single" w:sz="6" w:space="0" w:color="auto"/>
            </w:tcBorders>
            <w:vAlign w:val="center"/>
          </w:tcPr>
          <w:p w14:paraId="7781702C" w14:textId="77777777" w:rsidR="00171824" w:rsidRDefault="006D258C">
            <w:pPr>
              <w:widowControl/>
              <w:tabs>
                <w:tab w:val="left" w:pos="567"/>
              </w:tabs>
              <w:autoSpaceDE/>
              <w:autoSpaceDN/>
              <w:adjustRightInd/>
              <w:textAlignment w:val="baseline"/>
              <w:rPr>
                <w:sz w:val="22"/>
                <w:szCs w:val="20"/>
                <w:lang w:val="el-GR"/>
              </w:rPr>
            </w:pPr>
            <w:r>
              <w:rPr>
                <w:sz w:val="22"/>
                <w:szCs w:val="20"/>
                <w:lang w:val="el-GR"/>
              </w:rPr>
              <w:t>Κλινική ύφεση στους ασθενείς που παρουσίαζαν ύφεση κατά PMS την εβδομάδα 8 </w:t>
            </w:r>
          </w:p>
        </w:tc>
        <w:tc>
          <w:tcPr>
            <w:tcW w:w="2835" w:type="dxa"/>
            <w:tcBorders>
              <w:top w:val="nil"/>
              <w:left w:val="nil"/>
              <w:bottom w:val="single" w:sz="6" w:space="0" w:color="auto"/>
              <w:right w:val="single" w:sz="6" w:space="0" w:color="auto"/>
            </w:tcBorders>
            <w:vAlign w:val="center"/>
          </w:tcPr>
          <w:p w14:paraId="3BB94796"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9/21 (42,9%) </w:t>
            </w:r>
          </w:p>
        </w:tc>
        <w:tc>
          <w:tcPr>
            <w:tcW w:w="2835" w:type="dxa"/>
            <w:tcBorders>
              <w:top w:val="nil"/>
              <w:left w:val="nil"/>
              <w:bottom w:val="single" w:sz="6" w:space="0" w:color="auto"/>
              <w:right w:val="single" w:sz="6" w:space="0" w:color="auto"/>
            </w:tcBorders>
            <w:vAlign w:val="center"/>
          </w:tcPr>
          <w:p w14:paraId="4DFC2C38"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10/22 (45,5%) </w:t>
            </w:r>
          </w:p>
        </w:tc>
      </w:tr>
      <w:tr w:rsidR="00171824" w14:paraId="3C42569B" w14:textId="77777777">
        <w:trPr>
          <w:cantSplit/>
        </w:trPr>
        <w:tc>
          <w:tcPr>
            <w:tcW w:w="3402" w:type="dxa"/>
            <w:tcBorders>
              <w:top w:val="nil"/>
              <w:left w:val="single" w:sz="6" w:space="0" w:color="auto"/>
              <w:bottom w:val="single" w:sz="4" w:space="0" w:color="auto"/>
              <w:right w:val="single" w:sz="6" w:space="0" w:color="auto"/>
            </w:tcBorders>
            <w:vAlign w:val="center"/>
          </w:tcPr>
          <w:p w14:paraId="54A50CCE" w14:textId="77777777" w:rsidR="00171824" w:rsidRDefault="006D258C">
            <w:pPr>
              <w:keepNext/>
              <w:widowControl/>
              <w:tabs>
                <w:tab w:val="left" w:pos="567"/>
              </w:tabs>
              <w:autoSpaceDE/>
              <w:autoSpaceDN/>
              <w:adjustRightInd/>
              <w:textAlignment w:val="baseline"/>
              <w:rPr>
                <w:sz w:val="22"/>
                <w:szCs w:val="20"/>
                <w:lang w:val="el-GR"/>
              </w:rPr>
            </w:pPr>
            <w:r>
              <w:rPr>
                <w:sz w:val="22"/>
                <w:szCs w:val="20"/>
                <w:lang w:val="el-GR"/>
              </w:rPr>
              <w:t>Ύφεση χωρίς κορτικοστεροειδή στους ασθενείς που είχαν ανταπόκριση κατά PMS την εβδομάδα 8</w:t>
            </w:r>
            <w:r>
              <w:rPr>
                <w:sz w:val="22"/>
                <w:szCs w:val="20"/>
                <w:vertAlign w:val="superscript"/>
                <w:lang w:val="el-GR"/>
              </w:rPr>
              <w:t>γ</w:t>
            </w:r>
            <w:r>
              <w:rPr>
                <w:sz w:val="22"/>
                <w:szCs w:val="20"/>
                <w:lang w:val="el-GR"/>
              </w:rPr>
              <w:t> </w:t>
            </w:r>
          </w:p>
        </w:tc>
        <w:tc>
          <w:tcPr>
            <w:tcW w:w="2835" w:type="dxa"/>
            <w:tcBorders>
              <w:top w:val="nil"/>
              <w:left w:val="nil"/>
              <w:bottom w:val="single" w:sz="4" w:space="0" w:color="auto"/>
              <w:right w:val="single" w:sz="6" w:space="0" w:color="auto"/>
            </w:tcBorders>
            <w:vAlign w:val="center"/>
          </w:tcPr>
          <w:p w14:paraId="5AE92323"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4/13 (30,8%) </w:t>
            </w:r>
          </w:p>
        </w:tc>
        <w:tc>
          <w:tcPr>
            <w:tcW w:w="2835" w:type="dxa"/>
            <w:tcBorders>
              <w:top w:val="nil"/>
              <w:left w:val="nil"/>
              <w:bottom w:val="single" w:sz="4" w:space="0" w:color="auto"/>
              <w:right w:val="single" w:sz="6" w:space="0" w:color="auto"/>
            </w:tcBorders>
            <w:vAlign w:val="center"/>
          </w:tcPr>
          <w:p w14:paraId="3CF5C98F"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5/16 (31,3%) </w:t>
            </w:r>
          </w:p>
        </w:tc>
      </w:tr>
      <w:tr w:rsidR="00171824" w:rsidRPr="00422380" w14:paraId="5EC1A0C1" w14:textId="77777777">
        <w:trPr>
          <w:cantSplit/>
        </w:trPr>
        <w:tc>
          <w:tcPr>
            <w:tcW w:w="9072" w:type="dxa"/>
            <w:gridSpan w:val="3"/>
            <w:tcBorders>
              <w:top w:val="single" w:sz="4" w:space="0" w:color="auto"/>
              <w:left w:val="single" w:sz="6" w:space="0" w:color="auto"/>
              <w:bottom w:val="single" w:sz="4" w:space="0" w:color="auto"/>
              <w:right w:val="single" w:sz="6" w:space="0" w:color="auto"/>
            </w:tcBorders>
            <w:vAlign w:val="center"/>
          </w:tcPr>
          <w:p w14:paraId="5801421D" w14:textId="77777777" w:rsidR="00171824" w:rsidRDefault="006D258C">
            <w:pPr>
              <w:widowControl/>
              <w:tabs>
                <w:tab w:val="left" w:pos="567"/>
              </w:tabs>
              <w:autoSpaceDE/>
              <w:autoSpaceDN/>
              <w:adjustRightInd/>
              <w:textAlignment w:val="baseline"/>
              <w:rPr>
                <w:sz w:val="20"/>
                <w:szCs w:val="20"/>
                <w:lang w:val="el-GR"/>
              </w:rPr>
            </w:pPr>
            <w:r>
              <w:rPr>
                <w:sz w:val="20"/>
                <w:szCs w:val="20"/>
                <w:vertAlign w:val="superscript"/>
                <w:lang w:val="el-GR"/>
              </w:rPr>
              <w:t>α </w:t>
            </w:r>
            <w:r>
              <w:rPr>
                <w:color w:val="000000"/>
                <w:sz w:val="20"/>
                <w:szCs w:val="20"/>
                <w:lang w:val="el-GR" w:eastAsia="en-GB"/>
              </w:rPr>
              <w:t>Adalimumab</w:t>
            </w:r>
            <w:r>
              <w:rPr>
                <w:sz w:val="20"/>
                <w:szCs w:val="20"/>
                <w:lang w:val="el-GR"/>
              </w:rPr>
              <w:t xml:space="preserve"> 0,6 mg/kg (μέγιστη δόση 40 mg) κάθε δεύτερη εβδομάδα </w:t>
            </w:r>
          </w:p>
          <w:p w14:paraId="43522927" w14:textId="77777777" w:rsidR="00171824" w:rsidRDefault="006D258C">
            <w:pPr>
              <w:widowControl/>
              <w:tabs>
                <w:tab w:val="left" w:pos="567"/>
              </w:tabs>
              <w:autoSpaceDE/>
              <w:autoSpaceDN/>
              <w:adjustRightInd/>
              <w:textAlignment w:val="baseline"/>
              <w:rPr>
                <w:sz w:val="20"/>
                <w:szCs w:val="20"/>
                <w:lang w:val="el-GR"/>
              </w:rPr>
            </w:pPr>
            <w:r>
              <w:rPr>
                <w:sz w:val="20"/>
                <w:szCs w:val="20"/>
                <w:vertAlign w:val="superscript"/>
                <w:lang w:val="el-GR"/>
              </w:rPr>
              <w:t>β </w:t>
            </w:r>
            <w:r>
              <w:rPr>
                <w:color w:val="000000"/>
                <w:sz w:val="20"/>
                <w:szCs w:val="20"/>
                <w:lang w:val="el-GR" w:eastAsia="en-GB"/>
              </w:rPr>
              <w:t>Adalimumab</w:t>
            </w:r>
            <w:r>
              <w:rPr>
                <w:sz w:val="20"/>
                <w:szCs w:val="20"/>
                <w:lang w:val="el-GR"/>
              </w:rPr>
              <w:t xml:space="preserve"> 0,6 mg/kg (μέγιστη δόση 40 mg) κάθε εβδομάδα </w:t>
            </w:r>
          </w:p>
          <w:p w14:paraId="4201961C" w14:textId="77777777" w:rsidR="00171824" w:rsidRDefault="006D258C">
            <w:pPr>
              <w:keepNext/>
              <w:widowControl/>
              <w:tabs>
                <w:tab w:val="left" w:pos="567"/>
              </w:tabs>
              <w:autoSpaceDE/>
              <w:autoSpaceDN/>
              <w:adjustRightInd/>
              <w:textAlignment w:val="baseline"/>
              <w:rPr>
                <w:sz w:val="20"/>
                <w:szCs w:val="20"/>
                <w:lang w:val="el-GR"/>
              </w:rPr>
            </w:pPr>
            <w:r>
              <w:rPr>
                <w:sz w:val="20"/>
                <w:szCs w:val="20"/>
                <w:vertAlign w:val="superscript"/>
                <w:lang w:val="el-GR"/>
              </w:rPr>
              <w:t>γ</w:t>
            </w:r>
            <w:r>
              <w:rPr>
                <w:sz w:val="20"/>
                <w:szCs w:val="20"/>
                <w:lang w:val="el-GR"/>
              </w:rPr>
              <w:t> Σε ασθενείς που λάμβαναν συγχορηγούμενα κορτικοστεροειδή κατά την έναρξη </w:t>
            </w:r>
          </w:p>
          <w:p w14:paraId="51E87AF3" w14:textId="77777777" w:rsidR="00171824" w:rsidRDefault="006D258C">
            <w:pPr>
              <w:widowControl/>
              <w:tabs>
                <w:tab w:val="left" w:pos="567"/>
              </w:tabs>
              <w:autoSpaceDE/>
              <w:autoSpaceDN/>
              <w:adjustRightInd/>
              <w:textAlignment w:val="baseline"/>
              <w:rPr>
                <w:sz w:val="22"/>
                <w:szCs w:val="20"/>
                <w:lang w:val="el-GR"/>
              </w:rPr>
            </w:pPr>
            <w:r>
              <w:rPr>
                <w:sz w:val="20"/>
                <w:szCs w:val="20"/>
                <w:lang w:val="el-GR"/>
              </w:rPr>
              <w:t>Σημείωση: Οι ασθενείς με ελλείπουσες τιμές την εβδομάδα 52 ή εκείνοι που τυχαιοποιήθηκαν ώστε να λάβουν θεραπεία νέας αρχικής δόσης ή θεραπεία συντήρησης θεωρήθηκαν ως μη ανταποκριθέντες για τα καταληκτικά σημεία της εβδομάδας 52</w:t>
            </w:r>
          </w:p>
        </w:tc>
      </w:tr>
    </w:tbl>
    <w:p w14:paraId="4540FC35" w14:textId="77777777" w:rsidR="00171824" w:rsidRDefault="00171824">
      <w:pPr>
        <w:pStyle w:val="BodyText"/>
        <w:widowControl/>
        <w:kinsoku w:val="0"/>
        <w:overflowPunct w:val="0"/>
        <w:ind w:left="0"/>
        <w:rPr>
          <w:lang w:val="el-GR"/>
        </w:rPr>
      </w:pPr>
    </w:p>
    <w:p w14:paraId="69184CE7" w14:textId="77777777" w:rsidR="00171824" w:rsidRDefault="006D258C">
      <w:pPr>
        <w:pStyle w:val="BodyText"/>
        <w:widowControl/>
        <w:kinsoku w:val="0"/>
        <w:overflowPunct w:val="0"/>
        <w:ind w:left="0"/>
        <w:rPr>
          <w:lang w:val="el-GR"/>
        </w:rPr>
      </w:pPr>
      <w:r>
        <w:rPr>
          <w:lang w:val="el-GR"/>
        </w:rPr>
        <w:t>Τα επιπρόσθετα διερευνητικά καταληκτικά σημεία περιλάμβαναν την κλινική ανταπόκριση κατά τον δείκτη ενεργότητας παιδιατρικής ελκώδους κολίτιδας (PUCAI) (οριζόμενη ως μείωση στον PUCAI ≥ 20 βαθμούς από τις αρχικές τιμές) και κλινική ύφεση κατά PUCAI (οριζόμενη ως PUCAI &lt; 10) την εβδομάδα 8 και την εβδομάδα 52 (Πίνακας 33).</w:t>
      </w:r>
    </w:p>
    <w:p w14:paraId="644B16FA" w14:textId="77777777" w:rsidR="00171824" w:rsidRDefault="00171824">
      <w:pPr>
        <w:pStyle w:val="BodyText"/>
        <w:widowControl/>
        <w:kinsoku w:val="0"/>
        <w:overflowPunct w:val="0"/>
        <w:ind w:left="0"/>
        <w:rPr>
          <w:lang w:val="el-GR"/>
        </w:rPr>
      </w:pPr>
    </w:p>
    <w:p w14:paraId="2FBD6597" w14:textId="77777777" w:rsidR="00171824" w:rsidRDefault="006D258C">
      <w:pPr>
        <w:widowControl/>
        <w:rPr>
          <w:color w:val="000000"/>
          <w:sz w:val="22"/>
          <w:szCs w:val="22"/>
          <w:lang w:val="el-GR" w:eastAsia="ja-JP"/>
        </w:rPr>
      </w:pPr>
      <w:r>
        <w:rPr>
          <w:b/>
          <w:bCs/>
          <w:color w:val="000000"/>
          <w:sz w:val="22"/>
          <w:szCs w:val="22"/>
          <w:lang w:val="el-GR" w:eastAsia="ja-JP"/>
        </w:rPr>
        <w:t xml:space="preserve">Πίνακας 33. Αποτελέσματα διερευνητικών καταληκτικών σημείων κατά PUCAI </w:t>
      </w:r>
    </w:p>
    <w:p w14:paraId="0FEF137F" w14:textId="77777777" w:rsidR="00171824" w:rsidRDefault="00171824">
      <w:pPr>
        <w:pStyle w:val="BodyText"/>
        <w:widowControl/>
        <w:kinsoku w:val="0"/>
        <w:overflowPunct w:val="0"/>
        <w:ind w:left="0"/>
        <w:rPr>
          <w:lang w:val="el-GR"/>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119"/>
        <w:gridCol w:w="2976"/>
      </w:tblGrid>
      <w:tr w:rsidR="00171824" w14:paraId="3268F496" w14:textId="77777777">
        <w:trPr>
          <w:cantSplit/>
          <w:trHeight w:val="265"/>
        </w:trPr>
        <w:tc>
          <w:tcPr>
            <w:tcW w:w="2977" w:type="dxa"/>
            <w:vMerge w:val="restart"/>
            <w:tcMar>
              <w:top w:w="0" w:type="dxa"/>
              <w:left w:w="108" w:type="dxa"/>
              <w:bottom w:w="0" w:type="dxa"/>
              <w:right w:w="108" w:type="dxa"/>
            </w:tcMar>
          </w:tcPr>
          <w:p w14:paraId="61CBA71B" w14:textId="77777777" w:rsidR="00171824" w:rsidRDefault="00171824">
            <w:pPr>
              <w:widowControl/>
              <w:tabs>
                <w:tab w:val="left" w:pos="567"/>
              </w:tabs>
              <w:autoSpaceDE/>
              <w:autoSpaceDN/>
              <w:adjustRightInd/>
              <w:rPr>
                <w:sz w:val="22"/>
                <w:szCs w:val="22"/>
                <w:lang w:val="el-GR"/>
              </w:rPr>
            </w:pPr>
          </w:p>
        </w:tc>
        <w:tc>
          <w:tcPr>
            <w:tcW w:w="6095" w:type="dxa"/>
            <w:gridSpan w:val="2"/>
            <w:tcMar>
              <w:top w:w="0" w:type="dxa"/>
              <w:left w:w="108" w:type="dxa"/>
              <w:bottom w:w="0" w:type="dxa"/>
              <w:right w:w="108" w:type="dxa"/>
            </w:tcMar>
          </w:tcPr>
          <w:p w14:paraId="5CD6AAF2" w14:textId="77777777" w:rsidR="00171824" w:rsidRDefault="006D258C">
            <w:pPr>
              <w:widowControl/>
              <w:tabs>
                <w:tab w:val="left" w:pos="567"/>
              </w:tabs>
              <w:autoSpaceDE/>
              <w:autoSpaceDN/>
              <w:adjustRightInd/>
              <w:jc w:val="center"/>
              <w:rPr>
                <w:b/>
                <w:bCs/>
                <w:sz w:val="22"/>
                <w:szCs w:val="22"/>
                <w:lang w:val="el-GR"/>
              </w:rPr>
            </w:pPr>
            <w:r>
              <w:rPr>
                <w:b/>
                <w:sz w:val="22"/>
                <w:szCs w:val="22"/>
                <w:lang w:val="el-GR"/>
              </w:rPr>
              <w:t>Εβδομάδα 8</w:t>
            </w:r>
          </w:p>
        </w:tc>
      </w:tr>
      <w:tr w:rsidR="00171824" w14:paraId="052B2383" w14:textId="77777777">
        <w:trPr>
          <w:cantSplit/>
          <w:trHeight w:val="1042"/>
        </w:trPr>
        <w:tc>
          <w:tcPr>
            <w:tcW w:w="2977" w:type="dxa"/>
            <w:vMerge/>
            <w:vAlign w:val="center"/>
          </w:tcPr>
          <w:p w14:paraId="7F7BDCD4" w14:textId="77777777" w:rsidR="00171824" w:rsidRDefault="00171824">
            <w:pPr>
              <w:widowControl/>
              <w:tabs>
                <w:tab w:val="left" w:pos="567"/>
              </w:tabs>
              <w:autoSpaceDE/>
              <w:autoSpaceDN/>
              <w:adjustRightInd/>
              <w:rPr>
                <w:sz w:val="22"/>
                <w:szCs w:val="22"/>
                <w:lang w:val="el-GR"/>
              </w:rPr>
            </w:pPr>
          </w:p>
        </w:tc>
        <w:tc>
          <w:tcPr>
            <w:tcW w:w="3119" w:type="dxa"/>
            <w:tcMar>
              <w:top w:w="0" w:type="dxa"/>
              <w:left w:w="108" w:type="dxa"/>
              <w:bottom w:w="0" w:type="dxa"/>
              <w:right w:w="108" w:type="dxa"/>
            </w:tcMar>
          </w:tcPr>
          <w:p w14:paraId="4DD3B603" w14:textId="77777777" w:rsidR="00171824" w:rsidRDefault="006D258C">
            <w:pPr>
              <w:widowControl/>
              <w:tabs>
                <w:tab w:val="left" w:pos="567"/>
              </w:tabs>
              <w:autoSpaceDE/>
              <w:autoSpaceDN/>
              <w:adjustRightInd/>
              <w:jc w:val="center"/>
              <w:rPr>
                <w:b/>
                <w:bCs/>
                <w:sz w:val="22"/>
                <w:szCs w:val="22"/>
                <w:vertAlign w:val="superscript"/>
                <w:lang w:val="el-GR"/>
              </w:rPr>
            </w:pPr>
            <w:r>
              <w:rPr>
                <w:b/>
                <w:bCs/>
                <w:color w:val="000000"/>
                <w:sz w:val="22"/>
                <w:szCs w:val="22"/>
                <w:lang w:val="el-GR" w:eastAsia="en-GB"/>
              </w:rPr>
              <w:t>Adalimumab</w:t>
            </w:r>
            <w:r>
              <w:rPr>
                <w:b/>
                <w:sz w:val="22"/>
                <w:szCs w:val="22"/>
                <w:vertAlign w:val="superscript"/>
                <w:lang w:val="el-GR"/>
              </w:rPr>
              <w:t>α</w:t>
            </w:r>
          </w:p>
          <w:p w14:paraId="4DFA7AD0" w14:textId="77777777" w:rsidR="00171824" w:rsidRDefault="006D258C">
            <w:pPr>
              <w:widowControl/>
              <w:tabs>
                <w:tab w:val="left" w:pos="567"/>
              </w:tabs>
              <w:autoSpaceDE/>
              <w:autoSpaceDN/>
              <w:adjustRightInd/>
              <w:jc w:val="center"/>
              <w:rPr>
                <w:b/>
                <w:bCs/>
                <w:sz w:val="22"/>
                <w:szCs w:val="22"/>
                <w:lang w:val="el-GR"/>
              </w:rPr>
            </w:pPr>
            <w:r>
              <w:rPr>
                <w:b/>
                <w:sz w:val="22"/>
                <w:szCs w:val="22"/>
                <w:lang w:val="el-GR"/>
              </w:rPr>
              <w:t>Μέγιστη δόση 160 mg την εβδομάδα 0/Εικονικό φάρμακο την εβδομάδα 1</w:t>
            </w:r>
          </w:p>
          <w:p w14:paraId="1D4662B8" w14:textId="77777777" w:rsidR="00171824" w:rsidRDefault="006D258C">
            <w:pPr>
              <w:widowControl/>
              <w:tabs>
                <w:tab w:val="left" w:pos="567"/>
              </w:tabs>
              <w:autoSpaceDE/>
              <w:autoSpaceDN/>
              <w:adjustRightInd/>
              <w:jc w:val="center"/>
              <w:rPr>
                <w:sz w:val="22"/>
                <w:szCs w:val="22"/>
                <w:lang w:val="el-GR"/>
              </w:rPr>
            </w:pPr>
            <w:r>
              <w:rPr>
                <w:sz w:val="22"/>
                <w:szCs w:val="22"/>
                <w:lang w:val="el-GR"/>
              </w:rPr>
              <w:t>N=30</w:t>
            </w:r>
          </w:p>
        </w:tc>
        <w:tc>
          <w:tcPr>
            <w:tcW w:w="2976" w:type="dxa"/>
            <w:tcMar>
              <w:top w:w="0" w:type="dxa"/>
              <w:left w:w="108" w:type="dxa"/>
              <w:bottom w:w="0" w:type="dxa"/>
              <w:right w:w="108" w:type="dxa"/>
            </w:tcMar>
          </w:tcPr>
          <w:p w14:paraId="3045E890" w14:textId="77777777" w:rsidR="00171824" w:rsidRDefault="006D258C">
            <w:pPr>
              <w:widowControl/>
              <w:tabs>
                <w:tab w:val="left" w:pos="567"/>
              </w:tabs>
              <w:autoSpaceDE/>
              <w:autoSpaceDN/>
              <w:adjustRightInd/>
              <w:jc w:val="center"/>
              <w:rPr>
                <w:b/>
                <w:bCs/>
                <w:sz w:val="22"/>
                <w:szCs w:val="22"/>
                <w:vertAlign w:val="superscript"/>
                <w:lang w:val="el-GR"/>
              </w:rPr>
            </w:pPr>
            <w:r>
              <w:rPr>
                <w:b/>
                <w:bCs/>
                <w:color w:val="000000"/>
                <w:sz w:val="22"/>
                <w:szCs w:val="22"/>
                <w:lang w:val="el-GR" w:eastAsia="en-GB"/>
              </w:rPr>
              <w:t>Adalimumab</w:t>
            </w:r>
            <w:r>
              <w:rPr>
                <w:b/>
                <w:sz w:val="22"/>
                <w:szCs w:val="22"/>
                <w:vertAlign w:val="superscript"/>
                <w:lang w:val="el-GR"/>
              </w:rPr>
              <w:t>β,γ</w:t>
            </w:r>
          </w:p>
          <w:p w14:paraId="04F7AD3D" w14:textId="77777777" w:rsidR="00171824" w:rsidRDefault="006D258C">
            <w:pPr>
              <w:widowControl/>
              <w:tabs>
                <w:tab w:val="left" w:pos="567"/>
              </w:tabs>
              <w:autoSpaceDE/>
              <w:autoSpaceDN/>
              <w:adjustRightInd/>
              <w:jc w:val="center"/>
              <w:rPr>
                <w:b/>
                <w:bCs/>
                <w:sz w:val="22"/>
                <w:szCs w:val="22"/>
                <w:lang w:val="el-GR"/>
              </w:rPr>
            </w:pPr>
            <w:r>
              <w:rPr>
                <w:b/>
                <w:sz w:val="22"/>
                <w:szCs w:val="22"/>
                <w:lang w:val="el-GR"/>
              </w:rPr>
              <w:t>Μέγιστη δόση 160 mg την εβδομάδα 0 και την εβδομάδα 1</w:t>
            </w:r>
          </w:p>
          <w:p w14:paraId="2CBDB73B" w14:textId="77777777" w:rsidR="00171824" w:rsidRDefault="006D258C">
            <w:pPr>
              <w:widowControl/>
              <w:tabs>
                <w:tab w:val="left" w:pos="567"/>
              </w:tabs>
              <w:autoSpaceDE/>
              <w:autoSpaceDN/>
              <w:adjustRightInd/>
              <w:jc w:val="center"/>
              <w:rPr>
                <w:sz w:val="22"/>
                <w:szCs w:val="22"/>
                <w:lang w:val="el-GR"/>
              </w:rPr>
            </w:pPr>
            <w:r>
              <w:rPr>
                <w:sz w:val="22"/>
                <w:szCs w:val="22"/>
                <w:lang w:val="el-GR"/>
              </w:rPr>
              <w:t>N=47</w:t>
            </w:r>
          </w:p>
        </w:tc>
      </w:tr>
      <w:tr w:rsidR="00171824" w14:paraId="6BA12FAC" w14:textId="77777777">
        <w:trPr>
          <w:cantSplit/>
          <w:trHeight w:val="202"/>
        </w:trPr>
        <w:tc>
          <w:tcPr>
            <w:tcW w:w="2977" w:type="dxa"/>
            <w:tcMar>
              <w:top w:w="0" w:type="dxa"/>
              <w:left w:w="108" w:type="dxa"/>
              <w:bottom w:w="0" w:type="dxa"/>
              <w:right w:w="108" w:type="dxa"/>
            </w:tcMar>
          </w:tcPr>
          <w:p w14:paraId="62FDFA3B" w14:textId="77777777" w:rsidR="00171824" w:rsidRDefault="006D258C">
            <w:pPr>
              <w:widowControl/>
              <w:tabs>
                <w:tab w:val="left" w:pos="567"/>
              </w:tabs>
              <w:autoSpaceDE/>
              <w:autoSpaceDN/>
              <w:adjustRightInd/>
              <w:rPr>
                <w:sz w:val="22"/>
                <w:szCs w:val="22"/>
                <w:lang w:val="el-GR"/>
              </w:rPr>
            </w:pPr>
            <w:r>
              <w:rPr>
                <w:sz w:val="22"/>
                <w:szCs w:val="22"/>
                <w:lang w:val="el-GR"/>
              </w:rPr>
              <w:t>Κλινική ύφεση κατά PUCAI</w:t>
            </w:r>
          </w:p>
        </w:tc>
        <w:tc>
          <w:tcPr>
            <w:tcW w:w="3119" w:type="dxa"/>
            <w:tcMar>
              <w:top w:w="0" w:type="dxa"/>
              <w:left w:w="108" w:type="dxa"/>
              <w:bottom w:w="0" w:type="dxa"/>
              <w:right w:w="108" w:type="dxa"/>
            </w:tcMar>
          </w:tcPr>
          <w:p w14:paraId="447598A1" w14:textId="77777777" w:rsidR="00171824" w:rsidRDefault="006D258C">
            <w:pPr>
              <w:widowControl/>
              <w:tabs>
                <w:tab w:val="left" w:pos="567"/>
              </w:tabs>
              <w:autoSpaceDE/>
              <w:autoSpaceDN/>
              <w:adjustRightInd/>
              <w:jc w:val="center"/>
              <w:rPr>
                <w:sz w:val="22"/>
                <w:szCs w:val="22"/>
                <w:lang w:val="el-GR"/>
              </w:rPr>
            </w:pPr>
            <w:r>
              <w:rPr>
                <w:sz w:val="22"/>
                <w:szCs w:val="22"/>
                <w:lang w:val="el-GR"/>
              </w:rPr>
              <w:t>10/30 (33,3%)</w:t>
            </w:r>
          </w:p>
        </w:tc>
        <w:tc>
          <w:tcPr>
            <w:tcW w:w="2976" w:type="dxa"/>
            <w:tcMar>
              <w:top w:w="0" w:type="dxa"/>
              <w:left w:w="108" w:type="dxa"/>
              <w:bottom w:w="0" w:type="dxa"/>
              <w:right w:w="108" w:type="dxa"/>
            </w:tcMar>
          </w:tcPr>
          <w:p w14:paraId="6E6D213E" w14:textId="77777777" w:rsidR="00171824" w:rsidRDefault="006D258C">
            <w:pPr>
              <w:widowControl/>
              <w:tabs>
                <w:tab w:val="left" w:pos="567"/>
              </w:tabs>
              <w:autoSpaceDE/>
              <w:autoSpaceDN/>
              <w:adjustRightInd/>
              <w:jc w:val="center"/>
              <w:rPr>
                <w:sz w:val="22"/>
                <w:szCs w:val="22"/>
                <w:lang w:val="el-GR"/>
              </w:rPr>
            </w:pPr>
            <w:r>
              <w:rPr>
                <w:sz w:val="22"/>
                <w:szCs w:val="22"/>
                <w:lang w:val="el-GR"/>
              </w:rPr>
              <w:t>22/47 (46,8%)</w:t>
            </w:r>
          </w:p>
        </w:tc>
      </w:tr>
      <w:tr w:rsidR="00171824" w14:paraId="4C4CB066" w14:textId="77777777">
        <w:trPr>
          <w:cantSplit/>
          <w:trHeight w:val="238"/>
        </w:trPr>
        <w:tc>
          <w:tcPr>
            <w:tcW w:w="2977" w:type="dxa"/>
            <w:tcMar>
              <w:top w:w="0" w:type="dxa"/>
              <w:left w:w="108" w:type="dxa"/>
              <w:bottom w:w="0" w:type="dxa"/>
              <w:right w:w="108" w:type="dxa"/>
            </w:tcMar>
          </w:tcPr>
          <w:p w14:paraId="21AEC5E8" w14:textId="77777777" w:rsidR="00171824" w:rsidRDefault="006D258C">
            <w:pPr>
              <w:widowControl/>
              <w:tabs>
                <w:tab w:val="left" w:pos="567"/>
              </w:tabs>
              <w:autoSpaceDE/>
              <w:autoSpaceDN/>
              <w:adjustRightInd/>
              <w:rPr>
                <w:sz w:val="22"/>
                <w:szCs w:val="22"/>
                <w:lang w:val="el-GR"/>
              </w:rPr>
            </w:pPr>
            <w:r>
              <w:rPr>
                <w:sz w:val="22"/>
                <w:szCs w:val="22"/>
                <w:lang w:val="el-GR"/>
              </w:rPr>
              <w:t>Κλινική ανταπόκριση κατά PUCAI</w:t>
            </w:r>
          </w:p>
        </w:tc>
        <w:tc>
          <w:tcPr>
            <w:tcW w:w="3119" w:type="dxa"/>
            <w:tcMar>
              <w:top w:w="0" w:type="dxa"/>
              <w:left w:w="108" w:type="dxa"/>
              <w:bottom w:w="0" w:type="dxa"/>
              <w:right w:w="108" w:type="dxa"/>
            </w:tcMar>
          </w:tcPr>
          <w:p w14:paraId="48EB28D3" w14:textId="77777777" w:rsidR="00171824" w:rsidRDefault="006D258C">
            <w:pPr>
              <w:widowControl/>
              <w:tabs>
                <w:tab w:val="left" w:pos="567"/>
              </w:tabs>
              <w:autoSpaceDE/>
              <w:autoSpaceDN/>
              <w:adjustRightInd/>
              <w:jc w:val="center"/>
              <w:rPr>
                <w:sz w:val="22"/>
                <w:szCs w:val="22"/>
                <w:lang w:val="el-GR"/>
              </w:rPr>
            </w:pPr>
            <w:r>
              <w:rPr>
                <w:sz w:val="22"/>
                <w:szCs w:val="22"/>
                <w:lang w:val="el-GR"/>
              </w:rPr>
              <w:t>15/30 (50,0%)</w:t>
            </w:r>
          </w:p>
        </w:tc>
        <w:tc>
          <w:tcPr>
            <w:tcW w:w="2976" w:type="dxa"/>
            <w:tcMar>
              <w:top w:w="0" w:type="dxa"/>
              <w:left w:w="108" w:type="dxa"/>
              <w:bottom w:w="0" w:type="dxa"/>
              <w:right w:w="108" w:type="dxa"/>
            </w:tcMar>
          </w:tcPr>
          <w:p w14:paraId="008A14CD" w14:textId="77777777" w:rsidR="00171824" w:rsidRDefault="006D258C">
            <w:pPr>
              <w:widowControl/>
              <w:tabs>
                <w:tab w:val="left" w:pos="567"/>
              </w:tabs>
              <w:autoSpaceDE/>
              <w:autoSpaceDN/>
              <w:adjustRightInd/>
              <w:jc w:val="center"/>
              <w:rPr>
                <w:sz w:val="22"/>
                <w:szCs w:val="22"/>
                <w:lang w:val="el-GR"/>
              </w:rPr>
            </w:pPr>
            <w:r>
              <w:rPr>
                <w:sz w:val="22"/>
                <w:szCs w:val="22"/>
                <w:lang w:val="el-GR"/>
              </w:rPr>
              <w:t>32/47 (68,1%)</w:t>
            </w:r>
          </w:p>
        </w:tc>
      </w:tr>
      <w:tr w:rsidR="00171824" w14:paraId="3BED30C7" w14:textId="77777777">
        <w:trPr>
          <w:cantSplit/>
          <w:trHeight w:val="238"/>
        </w:trPr>
        <w:tc>
          <w:tcPr>
            <w:tcW w:w="2977" w:type="dxa"/>
            <w:vMerge w:val="restart"/>
            <w:tcMar>
              <w:top w:w="0" w:type="dxa"/>
              <w:left w:w="108" w:type="dxa"/>
              <w:bottom w:w="0" w:type="dxa"/>
              <w:right w:w="108" w:type="dxa"/>
            </w:tcMar>
          </w:tcPr>
          <w:p w14:paraId="35180E2D" w14:textId="77777777" w:rsidR="00171824" w:rsidRDefault="00171824">
            <w:pPr>
              <w:keepNext/>
              <w:widowControl/>
              <w:tabs>
                <w:tab w:val="left" w:pos="567"/>
              </w:tabs>
              <w:autoSpaceDE/>
              <w:autoSpaceDN/>
              <w:adjustRightInd/>
              <w:rPr>
                <w:sz w:val="22"/>
                <w:szCs w:val="22"/>
                <w:lang w:val="el-GR"/>
              </w:rPr>
            </w:pPr>
          </w:p>
        </w:tc>
        <w:tc>
          <w:tcPr>
            <w:tcW w:w="6095" w:type="dxa"/>
            <w:gridSpan w:val="2"/>
            <w:tcMar>
              <w:top w:w="0" w:type="dxa"/>
              <w:left w:w="108" w:type="dxa"/>
              <w:bottom w:w="0" w:type="dxa"/>
              <w:right w:w="108" w:type="dxa"/>
            </w:tcMar>
          </w:tcPr>
          <w:p w14:paraId="76E4A079" w14:textId="77777777" w:rsidR="00171824" w:rsidRDefault="006D258C">
            <w:pPr>
              <w:keepNext/>
              <w:widowControl/>
              <w:tabs>
                <w:tab w:val="left" w:pos="567"/>
              </w:tabs>
              <w:autoSpaceDE/>
              <w:autoSpaceDN/>
              <w:adjustRightInd/>
              <w:jc w:val="center"/>
              <w:rPr>
                <w:b/>
                <w:bCs/>
                <w:sz w:val="22"/>
                <w:szCs w:val="22"/>
                <w:lang w:val="el-GR"/>
              </w:rPr>
            </w:pPr>
            <w:r>
              <w:rPr>
                <w:b/>
                <w:sz w:val="22"/>
                <w:szCs w:val="22"/>
                <w:lang w:val="el-GR"/>
              </w:rPr>
              <w:t>Εβδομάδα 52</w:t>
            </w:r>
          </w:p>
        </w:tc>
      </w:tr>
      <w:tr w:rsidR="00171824" w14:paraId="7C346408" w14:textId="77777777">
        <w:trPr>
          <w:cantSplit/>
          <w:trHeight w:val="238"/>
        </w:trPr>
        <w:tc>
          <w:tcPr>
            <w:tcW w:w="2977" w:type="dxa"/>
            <w:vMerge/>
            <w:vAlign w:val="center"/>
          </w:tcPr>
          <w:p w14:paraId="15750EA6" w14:textId="77777777" w:rsidR="00171824" w:rsidRDefault="00171824">
            <w:pPr>
              <w:keepNext/>
              <w:widowControl/>
              <w:tabs>
                <w:tab w:val="left" w:pos="567"/>
              </w:tabs>
              <w:autoSpaceDE/>
              <w:autoSpaceDN/>
              <w:adjustRightInd/>
              <w:rPr>
                <w:sz w:val="22"/>
                <w:szCs w:val="22"/>
                <w:lang w:val="el-GR"/>
              </w:rPr>
            </w:pPr>
          </w:p>
        </w:tc>
        <w:tc>
          <w:tcPr>
            <w:tcW w:w="3119" w:type="dxa"/>
            <w:tcMar>
              <w:top w:w="0" w:type="dxa"/>
              <w:left w:w="108" w:type="dxa"/>
              <w:bottom w:w="0" w:type="dxa"/>
              <w:right w:w="108" w:type="dxa"/>
            </w:tcMar>
          </w:tcPr>
          <w:p w14:paraId="46BFAD4D" w14:textId="77777777" w:rsidR="00171824" w:rsidRDefault="006D258C">
            <w:pPr>
              <w:keepNext/>
              <w:widowControl/>
              <w:tabs>
                <w:tab w:val="left" w:pos="567"/>
              </w:tabs>
              <w:autoSpaceDE/>
              <w:autoSpaceDN/>
              <w:adjustRightInd/>
              <w:jc w:val="center"/>
              <w:rPr>
                <w:b/>
                <w:bCs/>
                <w:sz w:val="22"/>
                <w:szCs w:val="22"/>
                <w:vertAlign w:val="superscript"/>
                <w:lang w:val="el-GR"/>
              </w:rPr>
            </w:pPr>
            <w:r>
              <w:rPr>
                <w:b/>
                <w:bCs/>
                <w:color w:val="000000"/>
                <w:sz w:val="22"/>
                <w:szCs w:val="22"/>
                <w:lang w:val="el-GR" w:eastAsia="en-GB"/>
              </w:rPr>
              <w:t>Adalimumab</w:t>
            </w:r>
            <w:r>
              <w:rPr>
                <w:b/>
                <w:sz w:val="22"/>
                <w:szCs w:val="22"/>
                <w:vertAlign w:val="superscript"/>
                <w:lang w:val="el-GR"/>
              </w:rPr>
              <w:t>δ</w:t>
            </w:r>
          </w:p>
          <w:p w14:paraId="42684940" w14:textId="77777777" w:rsidR="00171824" w:rsidRDefault="006D258C">
            <w:pPr>
              <w:keepNext/>
              <w:widowControl/>
              <w:tabs>
                <w:tab w:val="left" w:pos="567"/>
              </w:tabs>
              <w:autoSpaceDE/>
              <w:autoSpaceDN/>
              <w:adjustRightInd/>
              <w:jc w:val="center"/>
              <w:rPr>
                <w:b/>
                <w:bCs/>
                <w:sz w:val="22"/>
                <w:szCs w:val="22"/>
                <w:lang w:val="el-GR"/>
              </w:rPr>
            </w:pPr>
            <w:r>
              <w:rPr>
                <w:b/>
                <w:sz w:val="22"/>
                <w:szCs w:val="22"/>
                <w:lang w:val="el-GR"/>
              </w:rPr>
              <w:t>Μέγιστη δόση 40 mg κάθε δεύτερη εβδομάδα</w:t>
            </w:r>
          </w:p>
          <w:p w14:paraId="35CEF3C4" w14:textId="77777777" w:rsidR="00171824" w:rsidRDefault="006D258C">
            <w:pPr>
              <w:keepNext/>
              <w:widowControl/>
              <w:tabs>
                <w:tab w:val="left" w:pos="567"/>
              </w:tabs>
              <w:autoSpaceDE/>
              <w:autoSpaceDN/>
              <w:adjustRightInd/>
              <w:jc w:val="center"/>
              <w:rPr>
                <w:sz w:val="22"/>
                <w:szCs w:val="22"/>
                <w:lang w:val="el-GR"/>
              </w:rPr>
            </w:pPr>
            <w:r>
              <w:rPr>
                <w:sz w:val="22"/>
                <w:szCs w:val="22"/>
                <w:lang w:val="el-GR"/>
              </w:rPr>
              <w:t>N=31</w:t>
            </w:r>
          </w:p>
        </w:tc>
        <w:tc>
          <w:tcPr>
            <w:tcW w:w="2976" w:type="dxa"/>
            <w:tcMar>
              <w:top w:w="0" w:type="dxa"/>
              <w:left w:w="108" w:type="dxa"/>
              <w:bottom w:w="0" w:type="dxa"/>
              <w:right w:w="108" w:type="dxa"/>
            </w:tcMar>
          </w:tcPr>
          <w:p w14:paraId="5F6A8609" w14:textId="77777777" w:rsidR="00171824" w:rsidRDefault="006D258C">
            <w:pPr>
              <w:keepNext/>
              <w:widowControl/>
              <w:tabs>
                <w:tab w:val="left" w:pos="567"/>
              </w:tabs>
              <w:autoSpaceDE/>
              <w:autoSpaceDN/>
              <w:adjustRightInd/>
              <w:jc w:val="center"/>
              <w:rPr>
                <w:b/>
                <w:bCs/>
                <w:sz w:val="22"/>
                <w:szCs w:val="22"/>
                <w:vertAlign w:val="superscript"/>
                <w:lang w:val="el-GR"/>
              </w:rPr>
            </w:pPr>
            <w:r>
              <w:rPr>
                <w:b/>
                <w:bCs/>
                <w:color w:val="000000"/>
                <w:sz w:val="22"/>
                <w:szCs w:val="22"/>
                <w:lang w:val="el-GR" w:eastAsia="en-GB"/>
              </w:rPr>
              <w:t>Adalimumab</w:t>
            </w:r>
            <w:r>
              <w:rPr>
                <w:b/>
                <w:sz w:val="22"/>
                <w:szCs w:val="22"/>
                <w:vertAlign w:val="superscript"/>
                <w:lang w:val="el-GR"/>
              </w:rPr>
              <w:t>ε</w:t>
            </w:r>
          </w:p>
          <w:p w14:paraId="14A4ED53" w14:textId="77777777" w:rsidR="00171824" w:rsidRDefault="006D258C">
            <w:pPr>
              <w:keepNext/>
              <w:widowControl/>
              <w:tabs>
                <w:tab w:val="left" w:pos="567"/>
              </w:tabs>
              <w:autoSpaceDE/>
              <w:autoSpaceDN/>
              <w:adjustRightInd/>
              <w:jc w:val="center"/>
              <w:rPr>
                <w:b/>
                <w:bCs/>
                <w:sz w:val="22"/>
                <w:szCs w:val="22"/>
                <w:lang w:val="el-GR"/>
              </w:rPr>
            </w:pPr>
            <w:r>
              <w:rPr>
                <w:b/>
                <w:sz w:val="22"/>
                <w:szCs w:val="22"/>
                <w:lang w:val="el-GR"/>
              </w:rPr>
              <w:t>Μέγιστη δόση 40 mg κάθε εβδομάδα</w:t>
            </w:r>
          </w:p>
          <w:p w14:paraId="16314BC4" w14:textId="77777777" w:rsidR="00171824" w:rsidRDefault="006D258C">
            <w:pPr>
              <w:keepNext/>
              <w:widowControl/>
              <w:tabs>
                <w:tab w:val="left" w:pos="567"/>
              </w:tabs>
              <w:autoSpaceDE/>
              <w:autoSpaceDN/>
              <w:adjustRightInd/>
              <w:jc w:val="center"/>
              <w:rPr>
                <w:sz w:val="22"/>
                <w:szCs w:val="22"/>
                <w:lang w:val="el-GR"/>
              </w:rPr>
            </w:pPr>
            <w:r>
              <w:rPr>
                <w:sz w:val="22"/>
                <w:szCs w:val="22"/>
                <w:lang w:val="el-GR"/>
              </w:rPr>
              <w:t>N=31</w:t>
            </w:r>
          </w:p>
        </w:tc>
      </w:tr>
      <w:tr w:rsidR="00171824" w14:paraId="36DC9283" w14:textId="77777777">
        <w:trPr>
          <w:cantSplit/>
          <w:trHeight w:val="238"/>
        </w:trPr>
        <w:tc>
          <w:tcPr>
            <w:tcW w:w="2977" w:type="dxa"/>
            <w:tcMar>
              <w:top w:w="0" w:type="dxa"/>
              <w:left w:w="108" w:type="dxa"/>
              <w:bottom w:w="0" w:type="dxa"/>
              <w:right w:w="108" w:type="dxa"/>
            </w:tcMar>
          </w:tcPr>
          <w:p w14:paraId="00EE9234" w14:textId="77777777" w:rsidR="00171824" w:rsidRDefault="006D258C">
            <w:pPr>
              <w:keepNext/>
              <w:widowControl/>
              <w:tabs>
                <w:tab w:val="left" w:pos="567"/>
              </w:tabs>
              <w:autoSpaceDE/>
              <w:autoSpaceDN/>
              <w:adjustRightInd/>
              <w:rPr>
                <w:sz w:val="22"/>
                <w:szCs w:val="22"/>
                <w:lang w:val="el-GR"/>
              </w:rPr>
            </w:pPr>
            <w:r>
              <w:rPr>
                <w:sz w:val="22"/>
                <w:szCs w:val="22"/>
                <w:lang w:val="el-GR"/>
              </w:rPr>
              <w:t>Κλινική ύφεση κατά PUCAI στους ασθενείς που είχαν ανταπόκριση κατά PMS την εβδομάδα 8</w:t>
            </w:r>
          </w:p>
        </w:tc>
        <w:tc>
          <w:tcPr>
            <w:tcW w:w="3119" w:type="dxa"/>
            <w:tcMar>
              <w:top w:w="0" w:type="dxa"/>
              <w:left w:w="108" w:type="dxa"/>
              <w:bottom w:w="0" w:type="dxa"/>
              <w:right w:w="108" w:type="dxa"/>
            </w:tcMar>
          </w:tcPr>
          <w:p w14:paraId="5B6B7BC7" w14:textId="77777777" w:rsidR="00171824" w:rsidRDefault="006D258C">
            <w:pPr>
              <w:keepNext/>
              <w:widowControl/>
              <w:tabs>
                <w:tab w:val="left" w:pos="567"/>
              </w:tabs>
              <w:autoSpaceDE/>
              <w:autoSpaceDN/>
              <w:adjustRightInd/>
              <w:jc w:val="center"/>
              <w:rPr>
                <w:sz w:val="22"/>
                <w:szCs w:val="22"/>
                <w:lang w:val="el-GR"/>
              </w:rPr>
            </w:pPr>
            <w:r>
              <w:rPr>
                <w:sz w:val="22"/>
                <w:szCs w:val="22"/>
                <w:lang w:val="el-GR"/>
              </w:rPr>
              <w:t>14/31 (45,2%)</w:t>
            </w:r>
          </w:p>
        </w:tc>
        <w:tc>
          <w:tcPr>
            <w:tcW w:w="2976" w:type="dxa"/>
            <w:tcMar>
              <w:top w:w="0" w:type="dxa"/>
              <w:left w:w="108" w:type="dxa"/>
              <w:bottom w:w="0" w:type="dxa"/>
              <w:right w:w="108" w:type="dxa"/>
            </w:tcMar>
          </w:tcPr>
          <w:p w14:paraId="4578658C" w14:textId="77777777" w:rsidR="00171824" w:rsidRDefault="006D258C">
            <w:pPr>
              <w:keepNext/>
              <w:widowControl/>
              <w:tabs>
                <w:tab w:val="left" w:pos="567"/>
              </w:tabs>
              <w:autoSpaceDE/>
              <w:autoSpaceDN/>
              <w:adjustRightInd/>
              <w:jc w:val="center"/>
              <w:rPr>
                <w:sz w:val="22"/>
                <w:szCs w:val="22"/>
                <w:lang w:val="el-GR"/>
              </w:rPr>
            </w:pPr>
            <w:r>
              <w:rPr>
                <w:sz w:val="22"/>
                <w:szCs w:val="22"/>
                <w:lang w:val="el-GR"/>
              </w:rPr>
              <w:t>18/31 (58,1%)</w:t>
            </w:r>
          </w:p>
        </w:tc>
      </w:tr>
      <w:tr w:rsidR="00171824" w14:paraId="697856EE" w14:textId="77777777">
        <w:trPr>
          <w:cantSplit/>
          <w:trHeight w:val="238"/>
        </w:trPr>
        <w:tc>
          <w:tcPr>
            <w:tcW w:w="2977" w:type="dxa"/>
            <w:tcMar>
              <w:top w:w="0" w:type="dxa"/>
              <w:left w:w="108" w:type="dxa"/>
              <w:bottom w:w="0" w:type="dxa"/>
              <w:right w:w="108" w:type="dxa"/>
            </w:tcMar>
          </w:tcPr>
          <w:p w14:paraId="46ED7F96" w14:textId="77777777" w:rsidR="00171824" w:rsidRDefault="006D258C">
            <w:pPr>
              <w:widowControl/>
              <w:tabs>
                <w:tab w:val="left" w:pos="567"/>
              </w:tabs>
              <w:autoSpaceDE/>
              <w:autoSpaceDN/>
              <w:adjustRightInd/>
              <w:rPr>
                <w:sz w:val="22"/>
                <w:szCs w:val="22"/>
                <w:lang w:val="el-GR"/>
              </w:rPr>
            </w:pPr>
            <w:r>
              <w:rPr>
                <w:sz w:val="22"/>
                <w:szCs w:val="22"/>
                <w:lang w:val="el-GR"/>
              </w:rPr>
              <w:t>Κλινική ανταπόκριση κατά PUCAI στους ασθενείς που είχαν ανταπόκριση κατά PMS την εβδομάδα 8</w:t>
            </w:r>
          </w:p>
        </w:tc>
        <w:tc>
          <w:tcPr>
            <w:tcW w:w="3119" w:type="dxa"/>
            <w:tcMar>
              <w:top w:w="0" w:type="dxa"/>
              <w:left w:w="108" w:type="dxa"/>
              <w:bottom w:w="0" w:type="dxa"/>
              <w:right w:w="108" w:type="dxa"/>
            </w:tcMar>
          </w:tcPr>
          <w:p w14:paraId="204468B9" w14:textId="77777777" w:rsidR="00171824" w:rsidRDefault="006D258C">
            <w:pPr>
              <w:widowControl/>
              <w:tabs>
                <w:tab w:val="left" w:pos="567"/>
              </w:tabs>
              <w:autoSpaceDE/>
              <w:autoSpaceDN/>
              <w:adjustRightInd/>
              <w:jc w:val="center"/>
              <w:rPr>
                <w:sz w:val="22"/>
                <w:szCs w:val="22"/>
                <w:lang w:val="el-GR"/>
              </w:rPr>
            </w:pPr>
            <w:r>
              <w:rPr>
                <w:sz w:val="22"/>
                <w:szCs w:val="22"/>
                <w:lang w:val="el-GR"/>
              </w:rPr>
              <w:t>18/31 (58,1%)</w:t>
            </w:r>
          </w:p>
        </w:tc>
        <w:tc>
          <w:tcPr>
            <w:tcW w:w="2976" w:type="dxa"/>
            <w:tcMar>
              <w:top w:w="0" w:type="dxa"/>
              <w:left w:w="108" w:type="dxa"/>
              <w:bottom w:w="0" w:type="dxa"/>
              <w:right w:w="108" w:type="dxa"/>
            </w:tcMar>
          </w:tcPr>
          <w:p w14:paraId="7B7242C4" w14:textId="77777777" w:rsidR="00171824" w:rsidRDefault="006D258C">
            <w:pPr>
              <w:widowControl/>
              <w:tabs>
                <w:tab w:val="left" w:pos="567"/>
              </w:tabs>
              <w:autoSpaceDE/>
              <w:autoSpaceDN/>
              <w:adjustRightInd/>
              <w:jc w:val="center"/>
              <w:rPr>
                <w:sz w:val="22"/>
                <w:szCs w:val="22"/>
                <w:lang w:val="el-GR"/>
              </w:rPr>
            </w:pPr>
            <w:r>
              <w:rPr>
                <w:sz w:val="22"/>
                <w:szCs w:val="22"/>
                <w:lang w:val="el-GR"/>
              </w:rPr>
              <w:t>16/31 (51,6%)</w:t>
            </w:r>
          </w:p>
        </w:tc>
      </w:tr>
      <w:tr w:rsidR="00171824" w:rsidRPr="00422380" w14:paraId="45207C91" w14:textId="77777777">
        <w:trPr>
          <w:cantSplit/>
          <w:trHeight w:val="238"/>
        </w:trPr>
        <w:tc>
          <w:tcPr>
            <w:tcW w:w="9072" w:type="dxa"/>
            <w:gridSpan w:val="3"/>
            <w:tcMar>
              <w:top w:w="0" w:type="dxa"/>
              <w:left w:w="108" w:type="dxa"/>
              <w:bottom w:w="0" w:type="dxa"/>
              <w:right w:w="108" w:type="dxa"/>
            </w:tcMar>
          </w:tcPr>
          <w:p w14:paraId="48ABE0DF" w14:textId="77777777" w:rsidR="00171824" w:rsidRDefault="006D258C">
            <w:pPr>
              <w:widowControl/>
              <w:tabs>
                <w:tab w:val="left" w:pos="567"/>
              </w:tabs>
              <w:autoSpaceDE/>
              <w:autoSpaceDN/>
              <w:adjustRightInd/>
              <w:rPr>
                <w:sz w:val="20"/>
                <w:szCs w:val="20"/>
                <w:lang w:val="el-GR"/>
              </w:rPr>
            </w:pPr>
            <w:r>
              <w:rPr>
                <w:sz w:val="20"/>
                <w:szCs w:val="20"/>
                <w:vertAlign w:val="superscript"/>
                <w:lang w:val="el-GR"/>
              </w:rPr>
              <w:t>α </w:t>
            </w:r>
            <w:r>
              <w:rPr>
                <w:color w:val="000000"/>
                <w:sz w:val="20"/>
                <w:szCs w:val="20"/>
                <w:lang w:val="el-GR" w:eastAsia="en-GB"/>
              </w:rPr>
              <w:t>Adalimumab</w:t>
            </w:r>
            <w:r>
              <w:rPr>
                <w:sz w:val="20"/>
                <w:szCs w:val="20"/>
                <w:lang w:val="el-GR"/>
              </w:rPr>
              <w:t> 2,4 mg/kg (μέγιστη δόση 160 mg) την εβδομάδα 0, εικονικό φάρμακο την εβδομάδα 1 και 1,2 mg/kg (μέγιστη δόση 80 mg) την εβδομάδα 2</w:t>
            </w:r>
          </w:p>
          <w:p w14:paraId="04DEA0E2" w14:textId="77777777" w:rsidR="00171824" w:rsidRDefault="006D258C">
            <w:pPr>
              <w:widowControl/>
              <w:autoSpaceDE/>
              <w:autoSpaceDN/>
              <w:adjustRightInd/>
              <w:textAlignment w:val="baseline"/>
              <w:rPr>
                <w:sz w:val="20"/>
                <w:szCs w:val="20"/>
                <w:lang w:val="el-GR"/>
              </w:rPr>
            </w:pPr>
            <w:r>
              <w:rPr>
                <w:sz w:val="20"/>
                <w:szCs w:val="20"/>
                <w:vertAlign w:val="superscript"/>
                <w:lang w:val="el-GR"/>
              </w:rPr>
              <w:t>β </w:t>
            </w:r>
            <w:r>
              <w:rPr>
                <w:color w:val="000000"/>
                <w:sz w:val="20"/>
                <w:szCs w:val="20"/>
                <w:lang w:val="el-GR" w:eastAsia="en-GB"/>
              </w:rPr>
              <w:t>Adalimumab</w:t>
            </w:r>
            <w:r>
              <w:rPr>
                <w:sz w:val="20"/>
                <w:szCs w:val="20"/>
                <w:lang w:val="el-GR"/>
              </w:rPr>
              <w:t> 2,4 mg/kg (μέγιστη δόση 160 mg) την εβδομάδα 0 και την εβδομάδα 1, και 1,2 mg/kg (μέγιστη δόση 80 mg) την εβδομάδα 2</w:t>
            </w:r>
          </w:p>
          <w:p w14:paraId="6BCEB7B8" w14:textId="77777777" w:rsidR="00171824" w:rsidRDefault="006D258C">
            <w:pPr>
              <w:widowControl/>
              <w:autoSpaceDE/>
              <w:autoSpaceDN/>
              <w:adjustRightInd/>
              <w:textAlignment w:val="baseline"/>
              <w:rPr>
                <w:sz w:val="20"/>
                <w:szCs w:val="20"/>
                <w:lang w:val="el-GR"/>
              </w:rPr>
            </w:pPr>
            <w:r>
              <w:rPr>
                <w:sz w:val="20"/>
                <w:szCs w:val="20"/>
                <w:vertAlign w:val="superscript"/>
                <w:lang w:val="el-GR"/>
              </w:rPr>
              <w:t>γ </w:t>
            </w:r>
            <w:r>
              <w:rPr>
                <w:sz w:val="20"/>
                <w:szCs w:val="20"/>
                <w:lang w:val="el-GR"/>
              </w:rPr>
              <w:t>Μη συμπεριλαμβανομένης της ανοικτής αρχικής δόσης a</w:t>
            </w:r>
            <w:r>
              <w:rPr>
                <w:color w:val="000000"/>
                <w:sz w:val="20"/>
                <w:szCs w:val="20"/>
                <w:lang w:val="el-GR" w:eastAsia="en-GB"/>
              </w:rPr>
              <w:t>dalimumab</w:t>
            </w:r>
            <w:r>
              <w:rPr>
                <w:sz w:val="20"/>
                <w:szCs w:val="20"/>
                <w:lang w:val="el-GR"/>
              </w:rPr>
              <w:t> 2,4 mg/kg (μέγιστη δόση 160 mg) την εβδομάδα 0 και την εβδομάδα 1 και 1,2 mg/kg (μέγιστη δόση 80 mg) την εβδομάδα 2</w:t>
            </w:r>
          </w:p>
          <w:p w14:paraId="746B01D4" w14:textId="77777777" w:rsidR="00171824" w:rsidRDefault="006D258C">
            <w:pPr>
              <w:widowControl/>
              <w:autoSpaceDE/>
              <w:autoSpaceDN/>
              <w:adjustRightInd/>
              <w:textAlignment w:val="baseline"/>
              <w:rPr>
                <w:sz w:val="20"/>
                <w:szCs w:val="20"/>
                <w:lang w:val="el-GR"/>
              </w:rPr>
            </w:pPr>
            <w:r>
              <w:rPr>
                <w:sz w:val="20"/>
                <w:szCs w:val="20"/>
                <w:vertAlign w:val="superscript"/>
                <w:lang w:val="el-GR"/>
              </w:rPr>
              <w:t>δ</w:t>
            </w:r>
            <w:r>
              <w:rPr>
                <w:sz w:val="20"/>
                <w:szCs w:val="20"/>
                <w:lang w:val="el-GR"/>
              </w:rPr>
              <w:t xml:space="preserve"> </w:t>
            </w:r>
            <w:r>
              <w:rPr>
                <w:color w:val="000000"/>
                <w:sz w:val="20"/>
                <w:szCs w:val="20"/>
                <w:lang w:val="el-GR" w:eastAsia="en-GB"/>
              </w:rPr>
              <w:t>Adalimumab</w:t>
            </w:r>
            <w:r>
              <w:rPr>
                <w:sz w:val="20"/>
                <w:szCs w:val="20"/>
                <w:lang w:val="el-GR"/>
              </w:rPr>
              <w:t xml:space="preserve"> 0,6 mg/kg (μέγιστη δόση 40 mg) κάθε δεύτερη εβδομάδα</w:t>
            </w:r>
          </w:p>
          <w:p w14:paraId="4832291C" w14:textId="77777777" w:rsidR="00171824" w:rsidRDefault="006D258C">
            <w:pPr>
              <w:widowControl/>
              <w:tabs>
                <w:tab w:val="left" w:pos="567"/>
              </w:tabs>
              <w:autoSpaceDE/>
              <w:autoSpaceDN/>
              <w:adjustRightInd/>
              <w:rPr>
                <w:sz w:val="20"/>
                <w:szCs w:val="20"/>
                <w:lang w:val="el-GR"/>
              </w:rPr>
            </w:pPr>
            <w:r>
              <w:rPr>
                <w:sz w:val="20"/>
                <w:szCs w:val="20"/>
                <w:vertAlign w:val="superscript"/>
                <w:lang w:val="el-GR"/>
              </w:rPr>
              <w:t>ε </w:t>
            </w:r>
            <w:r>
              <w:rPr>
                <w:color w:val="000000"/>
                <w:sz w:val="20"/>
                <w:szCs w:val="20"/>
                <w:lang w:val="el-GR" w:eastAsia="en-GB"/>
              </w:rPr>
              <w:t>Adalimumab</w:t>
            </w:r>
            <w:r>
              <w:rPr>
                <w:sz w:val="20"/>
                <w:szCs w:val="20"/>
                <w:lang w:val="el-GR"/>
              </w:rPr>
              <w:t xml:space="preserve"> 0,6 mg/kg (μέγιστη δόση 40 mg) κάθε εβδομάδα</w:t>
            </w:r>
          </w:p>
          <w:p w14:paraId="47600431" w14:textId="77777777" w:rsidR="00171824" w:rsidRDefault="006D258C">
            <w:pPr>
              <w:widowControl/>
              <w:autoSpaceDE/>
              <w:autoSpaceDN/>
              <w:adjustRightInd/>
              <w:textAlignment w:val="baseline"/>
              <w:rPr>
                <w:sz w:val="20"/>
                <w:szCs w:val="20"/>
                <w:lang w:val="el-GR"/>
              </w:rPr>
            </w:pPr>
            <w:r>
              <w:rPr>
                <w:sz w:val="20"/>
                <w:szCs w:val="20"/>
                <w:lang w:val="el-GR"/>
              </w:rPr>
              <w:t>Σημείωση 1: Αμφότερες οι ομάδες αρχικής δόσης έλαβαν 0,6 mg/kg (μέγιστη δόση 40 mg) την εβδομάδα 4 και την εβδομάδα 6</w:t>
            </w:r>
          </w:p>
          <w:p w14:paraId="498DB0A7" w14:textId="77777777" w:rsidR="00171824" w:rsidRDefault="006D258C">
            <w:pPr>
              <w:widowControl/>
              <w:autoSpaceDE/>
              <w:autoSpaceDN/>
              <w:adjustRightInd/>
              <w:textAlignment w:val="baseline"/>
              <w:rPr>
                <w:sz w:val="20"/>
                <w:szCs w:val="20"/>
                <w:lang w:val="el-GR"/>
              </w:rPr>
            </w:pPr>
            <w:r>
              <w:rPr>
                <w:sz w:val="20"/>
                <w:szCs w:val="20"/>
                <w:lang w:val="el-GR"/>
              </w:rPr>
              <w:t>Σημείωση 2: Οι ασθενείς με ελλείπουσες τιμές την εβδομάδα 8 θεωρήθηκε ότι δεν πληρούσαν τα καταληκτικά σημεία</w:t>
            </w:r>
          </w:p>
          <w:p w14:paraId="5BBEE33D" w14:textId="77777777" w:rsidR="00171824" w:rsidRDefault="006D258C">
            <w:pPr>
              <w:widowControl/>
              <w:tabs>
                <w:tab w:val="left" w:pos="567"/>
              </w:tabs>
              <w:autoSpaceDE/>
              <w:autoSpaceDN/>
              <w:adjustRightInd/>
              <w:rPr>
                <w:sz w:val="22"/>
                <w:szCs w:val="22"/>
                <w:lang w:val="el-GR"/>
              </w:rPr>
            </w:pPr>
            <w:r>
              <w:rPr>
                <w:sz w:val="20"/>
                <w:szCs w:val="20"/>
                <w:lang w:val="el-GR"/>
              </w:rPr>
              <w:t>Σημείωση 3: Οι ασθενείς με ελλείπουσες τιμές την εβδομάδα 52 ή εκείνοι που τυχαιοποιήθηκαν ώστε να λάβουν θεραπεία νέας αρχικής δόσης ή θεραπεία συντήρησης θεωρήθηκαν ως μη ανταποκριθέντες για τα καταληκτικά σημεία της εβδομάδας 52</w:t>
            </w:r>
          </w:p>
        </w:tc>
      </w:tr>
    </w:tbl>
    <w:p w14:paraId="0A57A59D" w14:textId="77777777" w:rsidR="00171824" w:rsidRDefault="00171824">
      <w:pPr>
        <w:widowControl/>
        <w:tabs>
          <w:tab w:val="left" w:pos="567"/>
        </w:tabs>
        <w:autoSpaceDE/>
        <w:autoSpaceDN/>
        <w:adjustRightInd/>
        <w:rPr>
          <w:sz w:val="22"/>
          <w:szCs w:val="20"/>
          <w:lang w:val="el-GR"/>
        </w:rPr>
      </w:pPr>
    </w:p>
    <w:p w14:paraId="5F7930D4" w14:textId="77777777" w:rsidR="00171824" w:rsidRDefault="006D258C">
      <w:pPr>
        <w:pStyle w:val="BodyText"/>
        <w:widowControl/>
        <w:kinsoku w:val="0"/>
        <w:overflowPunct w:val="0"/>
        <w:ind w:left="0"/>
        <w:rPr>
          <w:lang w:val="el-GR"/>
        </w:rPr>
      </w:pPr>
      <w:r>
        <w:rPr>
          <w:lang w:val="el-GR"/>
        </w:rPr>
        <w:t>Από τους ασθενείς υπό θεραπεία με adalimumab που έλαβαν θεραπεία νέας αρχικής δόσης κατά τη διάρκεια της περιόδου συντήρησης, 2/6 (33%) επέτυχαν κλινική ανταπόκριση κατά FMS την εβδομάδα 52.</w:t>
      </w:r>
    </w:p>
    <w:p w14:paraId="47532914" w14:textId="77777777" w:rsidR="00171824" w:rsidRDefault="00171824">
      <w:pPr>
        <w:pStyle w:val="BodyText"/>
        <w:widowControl/>
        <w:kinsoku w:val="0"/>
        <w:overflowPunct w:val="0"/>
        <w:ind w:left="0"/>
        <w:rPr>
          <w:lang w:val="el-GR"/>
        </w:rPr>
      </w:pPr>
    </w:p>
    <w:p w14:paraId="5C5BCBF7" w14:textId="77777777" w:rsidR="00171824" w:rsidRDefault="006D258C">
      <w:pPr>
        <w:pStyle w:val="BodyText"/>
        <w:keepNext/>
        <w:widowControl/>
        <w:kinsoku w:val="0"/>
        <w:overflowPunct w:val="0"/>
        <w:ind w:left="0"/>
        <w:rPr>
          <w:u w:val="single"/>
          <w:lang w:val="el-GR"/>
        </w:rPr>
      </w:pPr>
      <w:r>
        <w:rPr>
          <w:i/>
          <w:iCs/>
          <w:u w:val="single"/>
          <w:lang w:val="el-GR"/>
        </w:rPr>
        <w:t>Ποιότητα ζωής</w:t>
      </w:r>
    </w:p>
    <w:p w14:paraId="48ACAB8E" w14:textId="77777777" w:rsidR="00171824" w:rsidRDefault="00171824">
      <w:pPr>
        <w:pStyle w:val="BodyText"/>
        <w:keepNext/>
        <w:widowControl/>
        <w:kinsoku w:val="0"/>
        <w:overflowPunct w:val="0"/>
        <w:ind w:left="0"/>
        <w:rPr>
          <w:lang w:val="el-GR"/>
        </w:rPr>
      </w:pPr>
    </w:p>
    <w:p w14:paraId="233E44D9" w14:textId="77777777" w:rsidR="00171824" w:rsidRDefault="006D258C">
      <w:pPr>
        <w:pStyle w:val="BodyText"/>
        <w:widowControl/>
        <w:kinsoku w:val="0"/>
        <w:overflowPunct w:val="0"/>
        <w:ind w:left="0"/>
        <w:rPr>
          <w:lang w:val="el-GR"/>
        </w:rPr>
      </w:pPr>
      <w:r>
        <w:rPr>
          <w:lang w:val="el-GR"/>
        </w:rPr>
        <w:t>Για τις ομάδες που λάμβαναν θεραπεία με adalimumab, παρατηρήθηκαν κλινικά σημαντικές βελτιώσεις από τις αρχικές τιμές όσον αφορά την IMPACT III και τις βαθμολογίες παραγωγικότητας στην εργασία και αδυναμίας διεκπεραίωσης δραστηριοτήτων (WPAI) κατά τον φροντιστή.</w:t>
      </w:r>
    </w:p>
    <w:p w14:paraId="26E3FFA4" w14:textId="77777777" w:rsidR="00171824" w:rsidRDefault="00171824">
      <w:pPr>
        <w:pStyle w:val="BodyText"/>
        <w:widowControl/>
        <w:kinsoku w:val="0"/>
        <w:overflowPunct w:val="0"/>
        <w:ind w:left="0"/>
        <w:rPr>
          <w:lang w:val="el-GR"/>
        </w:rPr>
      </w:pPr>
    </w:p>
    <w:p w14:paraId="13D30302" w14:textId="77777777" w:rsidR="00171824" w:rsidRDefault="006D258C">
      <w:pPr>
        <w:pStyle w:val="BodyText"/>
        <w:widowControl/>
        <w:kinsoku w:val="0"/>
        <w:overflowPunct w:val="0"/>
        <w:ind w:left="0"/>
        <w:rPr>
          <w:lang w:val="el-GR"/>
        </w:rPr>
      </w:pPr>
      <w:r>
        <w:rPr>
          <w:lang w:val="el-GR"/>
        </w:rPr>
        <w:t>Για τις ομάδες που λάμβαναν adalimumab, παρατηρήθηκαν κλινικά σημαντικές αυξήσεις (βελτίωση) στην ταχύτητα ύψους σε σχέση με τις αρχικές τιμές και για τους ασθενείς που λάμβαναν την υψηλή δόση συντήρησης με μέγιστη τιμή τα 40 mg (0,6 mg/kg) κάθε εβδομάδα, παρατηρήθηκαν κλινικά σημαντικές αυξήσεις (βελτίωση) στον δείκτη μάζας σώματος σε σχέση με τις αρχικές τιμές.</w:t>
      </w:r>
    </w:p>
    <w:p w14:paraId="212721B2" w14:textId="77777777" w:rsidR="00171824" w:rsidRDefault="00171824">
      <w:pPr>
        <w:pStyle w:val="BodyText"/>
        <w:widowControl/>
        <w:kinsoku w:val="0"/>
        <w:overflowPunct w:val="0"/>
        <w:ind w:left="0"/>
        <w:rPr>
          <w:lang w:val="el-GR"/>
        </w:rPr>
      </w:pPr>
    </w:p>
    <w:p w14:paraId="75446574" w14:textId="77777777" w:rsidR="00171824" w:rsidRDefault="006D258C">
      <w:pPr>
        <w:widowControl/>
        <w:rPr>
          <w:color w:val="000000"/>
          <w:sz w:val="22"/>
          <w:szCs w:val="22"/>
          <w:lang w:val="el-GR" w:eastAsia="ja-JP"/>
        </w:rPr>
      </w:pPr>
      <w:r>
        <w:rPr>
          <w:i/>
          <w:iCs/>
          <w:color w:val="000000"/>
          <w:sz w:val="22"/>
          <w:szCs w:val="22"/>
          <w:lang w:val="el-GR" w:eastAsia="ja-JP"/>
        </w:rPr>
        <w:t xml:space="preserve">Παιδιατρική Ραγοειδίτιδα </w:t>
      </w:r>
    </w:p>
    <w:p w14:paraId="5BF51165" w14:textId="77777777" w:rsidR="00171824" w:rsidRDefault="00171824">
      <w:pPr>
        <w:widowControl/>
        <w:rPr>
          <w:color w:val="000000"/>
          <w:sz w:val="22"/>
          <w:szCs w:val="22"/>
          <w:lang w:val="el-GR" w:eastAsia="ja-JP"/>
        </w:rPr>
      </w:pPr>
    </w:p>
    <w:p w14:paraId="63A92C13" w14:textId="77777777" w:rsidR="00171824" w:rsidRDefault="006D258C">
      <w:pPr>
        <w:widowControl/>
        <w:rPr>
          <w:color w:val="000000"/>
          <w:sz w:val="22"/>
          <w:szCs w:val="22"/>
          <w:lang w:val="el-GR" w:eastAsia="ja-JP"/>
        </w:rPr>
      </w:pPr>
      <w:r>
        <w:rPr>
          <w:color w:val="000000"/>
          <w:sz w:val="22"/>
          <w:szCs w:val="22"/>
          <w:lang w:val="el-GR" w:eastAsia="ja-JP"/>
        </w:rPr>
        <w:t xml:space="preserve">Η ασφάλεια και η αποτελεσματικότητα του </w:t>
      </w:r>
      <w:r>
        <w:rPr>
          <w:sz w:val="22"/>
          <w:szCs w:val="22"/>
          <w:lang w:val="el-GR"/>
        </w:rPr>
        <w:t>adalimumab</w:t>
      </w:r>
      <w:r>
        <w:rPr>
          <w:color w:val="000000"/>
          <w:sz w:val="22"/>
          <w:szCs w:val="22"/>
          <w:lang w:val="el-GR" w:eastAsia="ja-JP"/>
        </w:rPr>
        <w:t xml:space="preserve"> αξιολογήθηκαν σε μια τυχαιοποιημένη, διπλά συγκαλυμμένη, ελεγχόμενη μελέτη 90 παιδιατρικών ασθενών ηλικίας 2 έως &lt;</w:t>
      </w:r>
      <w:r>
        <w:rPr>
          <w:sz w:val="22"/>
          <w:lang w:val="el-GR"/>
        </w:rPr>
        <w:t> </w:t>
      </w:r>
      <w:r>
        <w:rPr>
          <w:color w:val="000000"/>
          <w:sz w:val="22"/>
          <w:szCs w:val="22"/>
          <w:lang w:val="el-GR" w:eastAsia="ja-JP"/>
        </w:rPr>
        <w:t>18 ετών με ενεργή μη-λοιμώδη πρόσθια ραγοειδίτιδα που σχετίζονταν με JIA, οι οποίοι δεν ανταποκρίθηκαν σε θεραπεία με μεθοτρεξάτη τουλάχιστον 12 εβδομάδων. Οι ασθενείς έλαβαν είτε εικονικό φάρμακο ή 20</w:t>
      </w:r>
      <w:r>
        <w:rPr>
          <w:sz w:val="22"/>
          <w:lang w:val="el-GR"/>
        </w:rPr>
        <w:t> </w:t>
      </w:r>
      <w:r>
        <w:rPr>
          <w:color w:val="000000"/>
          <w:sz w:val="22"/>
          <w:szCs w:val="22"/>
          <w:lang w:val="el-GR" w:eastAsia="ja-JP"/>
        </w:rPr>
        <w:t>mg adalimumab (εάν &lt;</w:t>
      </w:r>
      <w:r>
        <w:rPr>
          <w:sz w:val="22"/>
          <w:lang w:val="el-GR"/>
        </w:rPr>
        <w:t> </w:t>
      </w:r>
      <w:r>
        <w:rPr>
          <w:color w:val="000000"/>
          <w:sz w:val="22"/>
          <w:szCs w:val="22"/>
          <w:lang w:val="el-GR" w:eastAsia="ja-JP"/>
        </w:rPr>
        <w:t>30</w:t>
      </w:r>
      <w:r>
        <w:rPr>
          <w:sz w:val="22"/>
          <w:lang w:val="el-GR"/>
        </w:rPr>
        <w:t> </w:t>
      </w:r>
      <w:r>
        <w:rPr>
          <w:color w:val="000000"/>
          <w:sz w:val="22"/>
          <w:szCs w:val="22"/>
          <w:lang w:val="el-GR" w:eastAsia="ja-JP"/>
        </w:rPr>
        <w:t>kg) ή 40 mg adalimumab (εάν ≥</w:t>
      </w:r>
      <w:r>
        <w:rPr>
          <w:sz w:val="22"/>
          <w:lang w:val="el-GR"/>
        </w:rPr>
        <w:t> </w:t>
      </w:r>
      <w:r>
        <w:rPr>
          <w:color w:val="000000"/>
          <w:sz w:val="22"/>
          <w:szCs w:val="22"/>
          <w:lang w:val="el-GR" w:eastAsia="ja-JP"/>
        </w:rPr>
        <w:t>30</w:t>
      </w:r>
      <w:r>
        <w:rPr>
          <w:sz w:val="22"/>
          <w:lang w:val="el-GR"/>
        </w:rPr>
        <w:t> </w:t>
      </w:r>
      <w:r>
        <w:rPr>
          <w:color w:val="000000"/>
          <w:sz w:val="22"/>
          <w:szCs w:val="22"/>
          <w:lang w:val="el-GR" w:eastAsia="ja-JP"/>
        </w:rPr>
        <w:t>kg) κάθε δεύτερη εβδομάδα σε συνδυασμό με την αρχική δόση μεθοτρεξάτης.</w:t>
      </w:r>
    </w:p>
    <w:p w14:paraId="6C0CD3AE" w14:textId="77777777" w:rsidR="00171824" w:rsidRDefault="00171824">
      <w:pPr>
        <w:pStyle w:val="BodyText"/>
        <w:widowControl/>
        <w:kinsoku w:val="0"/>
        <w:overflowPunct w:val="0"/>
        <w:ind w:left="0"/>
        <w:rPr>
          <w:color w:val="000000"/>
          <w:lang w:val="el-GR" w:eastAsia="ja-JP"/>
        </w:rPr>
      </w:pPr>
    </w:p>
    <w:p w14:paraId="4321A0F0" w14:textId="77777777" w:rsidR="00171824" w:rsidRDefault="006D258C">
      <w:pPr>
        <w:pStyle w:val="BodyText"/>
        <w:widowControl/>
        <w:kinsoku w:val="0"/>
        <w:overflowPunct w:val="0"/>
        <w:ind w:left="0"/>
        <w:rPr>
          <w:lang w:val="el-GR"/>
        </w:rPr>
      </w:pPr>
      <w:r>
        <w:rPr>
          <w:color w:val="000000"/>
          <w:lang w:val="el-GR" w:eastAsia="ja-JP"/>
        </w:rPr>
        <w:t>Το πρωτεύον καταληκτικό σημείο ήταν ο «χρόνος έως την αποτυχία της θεραπείας». Τα κριτήρια που καθορίζουν την αποτυχία της θεραπείας ήταν η επιδείνωση ή η παρατεταμένη μη βελτίωση της οφθαλμικής φλεγμονής, η μερική βελτίωση με ανάπτυξη συνεχών οφθαλμικών συννοσηρότητων ή η επιδείνωση οφθαλμικών συννοσηρότητων, η μη επιτρεπόμενη χρήση συγχορηγούμενων φαρμάκων και η αναστολή της θεραπείας για παρατεταμένη χρονική περίοδο.</w:t>
      </w:r>
    </w:p>
    <w:p w14:paraId="7C27F239" w14:textId="77777777" w:rsidR="00171824" w:rsidRDefault="00171824">
      <w:pPr>
        <w:pStyle w:val="BodyText"/>
        <w:widowControl/>
        <w:kinsoku w:val="0"/>
        <w:overflowPunct w:val="0"/>
        <w:ind w:left="0"/>
        <w:rPr>
          <w:lang w:val="el-GR"/>
        </w:rPr>
      </w:pPr>
    </w:p>
    <w:p w14:paraId="23846926" w14:textId="77777777" w:rsidR="00171824" w:rsidRDefault="006D258C">
      <w:pPr>
        <w:widowControl/>
        <w:rPr>
          <w:color w:val="000000"/>
          <w:sz w:val="22"/>
          <w:szCs w:val="22"/>
          <w:lang w:val="el-GR" w:eastAsia="ja-JP"/>
        </w:rPr>
      </w:pPr>
      <w:r>
        <w:rPr>
          <w:i/>
          <w:iCs/>
          <w:color w:val="000000"/>
          <w:sz w:val="22"/>
          <w:szCs w:val="22"/>
          <w:lang w:val="el-GR" w:eastAsia="ja-JP"/>
        </w:rPr>
        <w:t xml:space="preserve">Κλινική Ανταπόκριση </w:t>
      </w:r>
    </w:p>
    <w:p w14:paraId="29C294C6" w14:textId="77777777" w:rsidR="00171824" w:rsidRDefault="00171824">
      <w:pPr>
        <w:pStyle w:val="BodyText"/>
        <w:widowControl/>
        <w:kinsoku w:val="0"/>
        <w:overflowPunct w:val="0"/>
        <w:ind w:left="0"/>
        <w:rPr>
          <w:color w:val="000000"/>
          <w:lang w:val="el-GR" w:eastAsia="ja-JP"/>
        </w:rPr>
      </w:pPr>
    </w:p>
    <w:p w14:paraId="28D22BB9" w14:textId="77777777" w:rsidR="00171824" w:rsidRDefault="006D258C">
      <w:pPr>
        <w:pStyle w:val="BodyText"/>
        <w:widowControl/>
        <w:kinsoku w:val="0"/>
        <w:overflowPunct w:val="0"/>
        <w:ind w:left="0"/>
        <w:rPr>
          <w:lang w:val="el-GR"/>
        </w:rPr>
      </w:pPr>
      <w:r>
        <w:rPr>
          <w:color w:val="000000"/>
          <w:lang w:val="el-GR" w:eastAsia="ja-JP"/>
        </w:rPr>
        <w:t>Το adalimumab μείωσε σημαντικά τον χρόνο έως την αποτυχία της θεραπείας συγκριτικά με το εικονικό φάρμακο (βλέπε Σχήμα 3, P &lt;</w:t>
      </w:r>
      <w:r>
        <w:rPr>
          <w:lang w:val="el-GR"/>
        </w:rPr>
        <w:t> </w:t>
      </w:r>
      <w:r>
        <w:rPr>
          <w:color w:val="000000"/>
          <w:lang w:val="el-GR" w:eastAsia="ja-JP"/>
        </w:rPr>
        <w:t>0.0001 από τη δοκιμασία log rank). Ο διάμεσος χρόνος έως την αποτυχία της θεραπείας ήταν 24,1 εβδομάδες για ασθενείς που έλαβαν θεραπεία με εικονικό φάρμακο, ενώ ο διάμεσος χρόνος έως την αποτυχία της θεραπείας για ασθενείς που έλαβαν θεραπεία με adalimumab δεν μπορεί να εκτιμηθεί, επειδή λιγότερο από τους μισούς ασθενείς εμφάνισαν αποτυχία στη θεραπεία. Το adalimumab μείωσε σημαντικά τον κίνδυνο αποτυχίας της θεραπείας κατά 75% συγκριτικά με το εικονικό φάρμακο, όπως φαίνεται από τον λόγο κινδύνου (HR = 0,25 [95% CI 0,12, 0,49]).</w:t>
      </w:r>
    </w:p>
    <w:p w14:paraId="21E4301A" w14:textId="77777777" w:rsidR="00171824" w:rsidRDefault="00171824">
      <w:pPr>
        <w:pStyle w:val="BodyText"/>
        <w:widowControl/>
        <w:kinsoku w:val="0"/>
        <w:overflowPunct w:val="0"/>
        <w:ind w:left="0"/>
        <w:rPr>
          <w:b/>
          <w:bCs/>
          <w:lang w:val="el-GR"/>
        </w:rPr>
      </w:pPr>
    </w:p>
    <w:p w14:paraId="4A160B65" w14:textId="77777777" w:rsidR="00171824" w:rsidRDefault="006D258C">
      <w:pPr>
        <w:pStyle w:val="BodyText"/>
        <w:keepNext/>
        <w:widowControl/>
        <w:kinsoku w:val="0"/>
        <w:overflowPunct w:val="0"/>
        <w:ind w:left="0"/>
        <w:rPr>
          <w:lang w:val="el-GR"/>
        </w:rPr>
      </w:pPr>
      <w:r>
        <w:rPr>
          <w:b/>
          <w:bCs/>
          <w:lang w:val="el-GR"/>
        </w:rPr>
        <w:t>Σχήμα 3. Καμπύλες Kaplan-Meier που Συνοψίζουν το Χρόνο έως την Αποτυχία της Θεραπείας στην Παιδιατρική Μελέτη για τη Ραγοειδίτιδα</w:t>
      </w:r>
    </w:p>
    <w:p w14:paraId="4ABFF323" w14:textId="77777777" w:rsidR="00171824" w:rsidRDefault="00171824">
      <w:pPr>
        <w:keepNext/>
        <w:widowControl/>
        <w:autoSpaceDE/>
        <w:autoSpaceDN/>
        <w:adjustRightInd/>
        <w:rPr>
          <w:b/>
          <w:sz w:val="22"/>
          <w:szCs w:val="22"/>
          <w:lang w:val="el-GR"/>
        </w:rPr>
      </w:pPr>
    </w:p>
    <w:tbl>
      <w:tblPr>
        <w:tblW w:w="9288" w:type="dxa"/>
        <w:tblLayout w:type="fixed"/>
        <w:tblLook w:val="04A0" w:firstRow="1" w:lastRow="0" w:firstColumn="1" w:lastColumn="0" w:noHBand="0" w:noVBand="1"/>
      </w:tblPr>
      <w:tblGrid>
        <w:gridCol w:w="468"/>
        <w:gridCol w:w="2475"/>
        <w:gridCol w:w="1560"/>
        <w:gridCol w:w="1995"/>
        <w:gridCol w:w="900"/>
        <w:gridCol w:w="1890"/>
      </w:tblGrid>
      <w:tr w:rsidR="00171824" w14:paraId="08244E8D" w14:textId="77777777">
        <w:trPr>
          <w:cantSplit/>
          <w:trHeight w:val="3806"/>
        </w:trPr>
        <w:tc>
          <w:tcPr>
            <w:tcW w:w="468" w:type="dxa"/>
            <w:textDirection w:val="btLr"/>
            <w:vAlign w:val="bottom"/>
          </w:tcPr>
          <w:p w14:paraId="40DF7090" w14:textId="77777777" w:rsidR="00171824" w:rsidRDefault="006D258C">
            <w:pPr>
              <w:keepNext/>
              <w:widowControl/>
              <w:tabs>
                <w:tab w:val="left" w:pos="562"/>
              </w:tabs>
              <w:suppressAutoHyphens/>
              <w:autoSpaceDE/>
              <w:autoSpaceDN/>
              <w:adjustRightInd/>
              <w:ind w:left="113" w:right="113"/>
              <w:jc w:val="center"/>
              <w:rPr>
                <w:b/>
                <w:sz w:val="22"/>
                <w:szCs w:val="22"/>
                <w:lang w:val="el-GR"/>
              </w:rPr>
            </w:pPr>
            <w:r>
              <w:rPr>
                <w:b/>
                <w:sz w:val="22"/>
                <w:szCs w:val="22"/>
                <w:lang w:val="el-GR"/>
              </w:rPr>
              <w:t>ΠΙΘΑΝΌΤΗΤΑ ΑΠΟΤΥΧΙΑΣ ΤΗΣ ΘΕΡΑΠΕΊΑΣ</w:t>
            </w:r>
          </w:p>
        </w:tc>
        <w:tc>
          <w:tcPr>
            <w:tcW w:w="8820" w:type="dxa"/>
            <w:gridSpan w:val="5"/>
            <w:vAlign w:val="bottom"/>
          </w:tcPr>
          <w:p w14:paraId="56EE1EE6" w14:textId="6C80321C" w:rsidR="00171824" w:rsidRDefault="009039B7">
            <w:pPr>
              <w:keepNext/>
              <w:widowControl/>
              <w:tabs>
                <w:tab w:val="left" w:pos="562"/>
              </w:tabs>
              <w:autoSpaceDE/>
              <w:autoSpaceDN/>
              <w:adjustRightInd/>
              <w:rPr>
                <w:sz w:val="22"/>
                <w:szCs w:val="22"/>
                <w:lang w:val="el-GR"/>
              </w:rPr>
            </w:pPr>
            <w:r>
              <w:rPr>
                <w:noProof/>
                <w:sz w:val="22"/>
                <w:szCs w:val="22"/>
                <w:lang w:val="el-GR" w:eastAsia="zh-CN"/>
              </w:rPr>
              <w:drawing>
                <wp:inline distT="0" distB="0" distL="0" distR="0" wp14:anchorId="01861EE5" wp14:editId="3C0A26D3">
                  <wp:extent cx="5486400" cy="4572000"/>
                  <wp:effectExtent l="0" t="0" r="0" b="0"/>
                  <wp:docPr id="4" name="Picture 23"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umira PED UV KM Curve REVISED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171824" w14:paraId="29850761" w14:textId="77777777">
        <w:tc>
          <w:tcPr>
            <w:tcW w:w="468" w:type="dxa"/>
          </w:tcPr>
          <w:p w14:paraId="73E62766" w14:textId="77777777" w:rsidR="00171824" w:rsidRDefault="00171824">
            <w:pPr>
              <w:widowControl/>
              <w:tabs>
                <w:tab w:val="left" w:pos="562"/>
              </w:tabs>
              <w:suppressAutoHyphens/>
              <w:autoSpaceDE/>
              <w:autoSpaceDN/>
              <w:adjustRightInd/>
              <w:rPr>
                <w:sz w:val="22"/>
                <w:szCs w:val="22"/>
                <w:lang w:val="el-GR"/>
              </w:rPr>
            </w:pPr>
          </w:p>
        </w:tc>
        <w:tc>
          <w:tcPr>
            <w:tcW w:w="8820" w:type="dxa"/>
            <w:gridSpan w:val="5"/>
          </w:tcPr>
          <w:p w14:paraId="5F826C63" w14:textId="77777777" w:rsidR="00171824" w:rsidRDefault="006D258C">
            <w:pPr>
              <w:widowControl/>
              <w:tabs>
                <w:tab w:val="left" w:pos="562"/>
              </w:tabs>
              <w:autoSpaceDE/>
              <w:autoSpaceDN/>
              <w:adjustRightInd/>
              <w:jc w:val="center"/>
              <w:rPr>
                <w:b/>
                <w:sz w:val="22"/>
                <w:szCs w:val="22"/>
                <w:lang w:val="el-GR"/>
              </w:rPr>
            </w:pPr>
            <w:r>
              <w:rPr>
                <w:b/>
                <w:sz w:val="22"/>
                <w:szCs w:val="22"/>
                <w:lang w:val="el-GR"/>
              </w:rPr>
              <w:t>ΧΡΟΝΟΣ (ΕΒΔΟΜΑΔΕΣ)</w:t>
            </w:r>
          </w:p>
        </w:tc>
      </w:tr>
      <w:tr w:rsidR="00171824" w14:paraId="18C58287" w14:textId="77777777">
        <w:tc>
          <w:tcPr>
            <w:tcW w:w="468" w:type="dxa"/>
          </w:tcPr>
          <w:p w14:paraId="6F78DFEA" w14:textId="77777777" w:rsidR="00171824" w:rsidRDefault="00171824">
            <w:pPr>
              <w:widowControl/>
              <w:tabs>
                <w:tab w:val="left" w:pos="562"/>
              </w:tabs>
              <w:suppressAutoHyphens/>
              <w:autoSpaceDE/>
              <w:autoSpaceDN/>
              <w:adjustRightInd/>
              <w:rPr>
                <w:sz w:val="22"/>
                <w:szCs w:val="22"/>
                <w:lang w:val="el-GR"/>
              </w:rPr>
            </w:pPr>
          </w:p>
        </w:tc>
        <w:tc>
          <w:tcPr>
            <w:tcW w:w="2475" w:type="dxa"/>
          </w:tcPr>
          <w:p w14:paraId="0B32FF62" w14:textId="77777777" w:rsidR="00171824" w:rsidRDefault="006D258C">
            <w:pPr>
              <w:widowControl/>
              <w:tabs>
                <w:tab w:val="left" w:pos="562"/>
              </w:tabs>
              <w:autoSpaceDE/>
              <w:autoSpaceDN/>
              <w:adjustRightInd/>
              <w:rPr>
                <w:sz w:val="22"/>
                <w:szCs w:val="22"/>
                <w:lang w:val="el-GR"/>
              </w:rPr>
            </w:pPr>
            <w:r>
              <w:rPr>
                <w:sz w:val="22"/>
                <w:szCs w:val="22"/>
                <w:lang w:val="el-GR"/>
              </w:rPr>
              <w:t>Θεραπεία</w:t>
            </w:r>
          </w:p>
        </w:tc>
        <w:tc>
          <w:tcPr>
            <w:tcW w:w="1560" w:type="dxa"/>
            <w:vAlign w:val="bottom"/>
          </w:tcPr>
          <w:p w14:paraId="3E7C1151" w14:textId="1FE46DD5" w:rsidR="00171824" w:rsidRDefault="009039B7">
            <w:pPr>
              <w:widowControl/>
              <w:tabs>
                <w:tab w:val="left" w:pos="562"/>
              </w:tabs>
              <w:autoSpaceDE/>
              <w:autoSpaceDN/>
              <w:adjustRightInd/>
              <w:jc w:val="center"/>
              <w:rPr>
                <w:sz w:val="22"/>
                <w:szCs w:val="22"/>
                <w:lang w:val="el-GR"/>
              </w:rPr>
            </w:pPr>
            <w:r>
              <w:rPr>
                <w:noProof/>
                <w:sz w:val="22"/>
                <w:szCs w:val="22"/>
                <w:lang w:val="el-GR" w:eastAsia="zh-CN"/>
              </w:rPr>
              <w:drawing>
                <wp:inline distT="0" distB="0" distL="0" distR="0" wp14:anchorId="1F11CBDD" wp14:editId="6BD9DC47">
                  <wp:extent cx="457200" cy="97155"/>
                  <wp:effectExtent l="0" t="0" r="0" b="0"/>
                  <wp:docPr id="5" name="Picture 22"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mira PED UV KM Curv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 cy="97155"/>
                          </a:xfrm>
                          <a:prstGeom prst="rect">
                            <a:avLst/>
                          </a:prstGeom>
                          <a:noFill/>
                          <a:ln>
                            <a:noFill/>
                          </a:ln>
                        </pic:spPr>
                      </pic:pic>
                    </a:graphicData>
                  </a:graphic>
                </wp:inline>
              </w:drawing>
            </w:r>
          </w:p>
        </w:tc>
        <w:tc>
          <w:tcPr>
            <w:tcW w:w="1995" w:type="dxa"/>
          </w:tcPr>
          <w:p w14:paraId="38B12B8A" w14:textId="77777777" w:rsidR="00171824" w:rsidRDefault="006D258C">
            <w:pPr>
              <w:widowControl/>
              <w:tabs>
                <w:tab w:val="left" w:pos="562"/>
              </w:tabs>
              <w:autoSpaceDE/>
              <w:autoSpaceDN/>
              <w:adjustRightInd/>
              <w:rPr>
                <w:sz w:val="22"/>
                <w:szCs w:val="22"/>
                <w:lang w:val="el-GR"/>
              </w:rPr>
            </w:pPr>
            <w:r>
              <w:rPr>
                <w:sz w:val="22"/>
                <w:szCs w:val="22"/>
                <w:lang w:val="el-GR"/>
              </w:rPr>
              <w:t>Εικονικό φάρμακο</w:t>
            </w:r>
          </w:p>
        </w:tc>
        <w:tc>
          <w:tcPr>
            <w:tcW w:w="900" w:type="dxa"/>
            <w:vAlign w:val="center"/>
          </w:tcPr>
          <w:p w14:paraId="7FE0222C" w14:textId="1811FD0C" w:rsidR="00171824" w:rsidRDefault="009039B7">
            <w:pPr>
              <w:widowControl/>
              <w:tabs>
                <w:tab w:val="left" w:pos="562"/>
              </w:tabs>
              <w:autoSpaceDE/>
              <w:autoSpaceDN/>
              <w:adjustRightInd/>
              <w:rPr>
                <w:sz w:val="22"/>
                <w:szCs w:val="22"/>
                <w:lang w:val="el-GR"/>
              </w:rPr>
            </w:pPr>
            <w:r>
              <w:rPr>
                <w:noProof/>
                <w:sz w:val="22"/>
                <w:szCs w:val="22"/>
                <w:lang w:val="el-GR" w:eastAsia="zh-CN"/>
              </w:rPr>
              <w:drawing>
                <wp:inline distT="0" distB="0" distL="0" distR="0" wp14:anchorId="1FBAF05C" wp14:editId="7131A19D">
                  <wp:extent cx="457200" cy="97155"/>
                  <wp:effectExtent l="0" t="0" r="0" b="0"/>
                  <wp:docPr id="6" name="Picture 21"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 cy="97155"/>
                          </a:xfrm>
                          <a:prstGeom prst="rect">
                            <a:avLst/>
                          </a:prstGeom>
                          <a:noFill/>
                          <a:ln>
                            <a:noFill/>
                          </a:ln>
                        </pic:spPr>
                      </pic:pic>
                    </a:graphicData>
                  </a:graphic>
                </wp:inline>
              </w:drawing>
            </w:r>
          </w:p>
        </w:tc>
        <w:tc>
          <w:tcPr>
            <w:tcW w:w="1890" w:type="dxa"/>
          </w:tcPr>
          <w:p w14:paraId="548BF868" w14:textId="77777777" w:rsidR="00171824" w:rsidRDefault="006D258C">
            <w:pPr>
              <w:widowControl/>
              <w:tabs>
                <w:tab w:val="left" w:pos="562"/>
              </w:tabs>
              <w:autoSpaceDE/>
              <w:autoSpaceDN/>
              <w:adjustRightInd/>
              <w:rPr>
                <w:sz w:val="22"/>
                <w:szCs w:val="22"/>
                <w:lang w:val="el-GR"/>
              </w:rPr>
            </w:pPr>
            <w:r>
              <w:rPr>
                <w:sz w:val="22"/>
                <w:szCs w:val="22"/>
                <w:lang w:val="el-GR"/>
              </w:rPr>
              <w:t>Adalimumab</w:t>
            </w:r>
          </w:p>
        </w:tc>
      </w:tr>
      <w:tr w:rsidR="00171824" w:rsidRPr="00422380" w14:paraId="7FC4CBFD" w14:textId="77777777">
        <w:tc>
          <w:tcPr>
            <w:tcW w:w="468" w:type="dxa"/>
          </w:tcPr>
          <w:p w14:paraId="6C2D393A" w14:textId="77777777" w:rsidR="00171824" w:rsidRDefault="00171824">
            <w:pPr>
              <w:widowControl/>
              <w:tabs>
                <w:tab w:val="left" w:pos="562"/>
              </w:tabs>
              <w:suppressAutoHyphens/>
              <w:autoSpaceDE/>
              <w:autoSpaceDN/>
              <w:adjustRightInd/>
              <w:rPr>
                <w:sz w:val="22"/>
                <w:szCs w:val="22"/>
                <w:lang w:val="el-GR"/>
              </w:rPr>
            </w:pPr>
          </w:p>
        </w:tc>
        <w:tc>
          <w:tcPr>
            <w:tcW w:w="8820" w:type="dxa"/>
            <w:gridSpan w:val="5"/>
          </w:tcPr>
          <w:p w14:paraId="1DF94B27" w14:textId="77777777" w:rsidR="00171824" w:rsidRDefault="006D258C">
            <w:pPr>
              <w:widowControl/>
              <w:tabs>
                <w:tab w:val="left" w:pos="562"/>
              </w:tabs>
              <w:autoSpaceDE/>
              <w:autoSpaceDN/>
              <w:adjustRightInd/>
              <w:rPr>
                <w:sz w:val="22"/>
                <w:szCs w:val="22"/>
                <w:lang w:val="el-GR"/>
              </w:rPr>
            </w:pPr>
            <w:r>
              <w:rPr>
                <w:sz w:val="22"/>
                <w:szCs w:val="22"/>
                <w:lang w:val="el-GR"/>
              </w:rPr>
              <w:t>Σημείωση: P = Εικονικό φάρμακο (Αριθμός Συμβάντων/Αριθμός ασθενών που διατρέχουν κίνδυνο), Η = Adalimumab (Αριθμός Συμβάντων/Αριθμός ασθενών που διατρέχουν κίνδυνο).</w:t>
            </w:r>
          </w:p>
        </w:tc>
      </w:tr>
    </w:tbl>
    <w:p w14:paraId="3BD2AB49" w14:textId="77777777" w:rsidR="00171824" w:rsidRDefault="00171824">
      <w:pPr>
        <w:pStyle w:val="BodyText"/>
        <w:widowControl/>
        <w:kinsoku w:val="0"/>
        <w:overflowPunct w:val="0"/>
        <w:ind w:left="0"/>
        <w:rPr>
          <w:lang w:val="el-GR"/>
        </w:rPr>
      </w:pPr>
    </w:p>
    <w:p w14:paraId="1C01EB76"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Φαρμακοκινητικές ιδιότητες</w:t>
      </w:r>
    </w:p>
    <w:p w14:paraId="10B2BC7A" w14:textId="77777777" w:rsidR="00171824" w:rsidRDefault="00171824">
      <w:pPr>
        <w:keepNext/>
        <w:widowControl/>
        <w:kinsoku w:val="0"/>
        <w:overflowPunct w:val="0"/>
        <w:rPr>
          <w:sz w:val="22"/>
          <w:szCs w:val="22"/>
          <w:lang w:val="el-GR"/>
        </w:rPr>
      </w:pPr>
    </w:p>
    <w:p w14:paraId="33F5470C" w14:textId="77777777" w:rsidR="00171824" w:rsidRDefault="006D258C">
      <w:pPr>
        <w:pStyle w:val="BodyText"/>
        <w:keepNext/>
        <w:widowControl/>
        <w:kinsoku w:val="0"/>
        <w:overflowPunct w:val="0"/>
        <w:ind w:left="0"/>
        <w:rPr>
          <w:lang w:val="el-GR"/>
        </w:rPr>
      </w:pPr>
      <w:r>
        <w:rPr>
          <w:u w:val="single"/>
          <w:lang w:val="el-GR"/>
        </w:rPr>
        <w:t>Απορρόφηση και κατανομή</w:t>
      </w:r>
    </w:p>
    <w:p w14:paraId="63B37013" w14:textId="77777777" w:rsidR="00171824" w:rsidRDefault="00171824">
      <w:pPr>
        <w:keepNext/>
        <w:widowControl/>
        <w:kinsoku w:val="0"/>
        <w:overflowPunct w:val="0"/>
        <w:rPr>
          <w:sz w:val="22"/>
          <w:szCs w:val="22"/>
          <w:lang w:val="el-GR"/>
        </w:rPr>
      </w:pPr>
    </w:p>
    <w:p w14:paraId="75DF6523" w14:textId="77777777" w:rsidR="00171824" w:rsidRDefault="006D258C">
      <w:pPr>
        <w:pStyle w:val="BodyText"/>
        <w:keepNext/>
        <w:widowControl/>
        <w:kinsoku w:val="0"/>
        <w:overflowPunct w:val="0"/>
        <w:ind w:left="0"/>
        <w:rPr>
          <w:lang w:val="el-GR"/>
        </w:rPr>
      </w:pPr>
      <w:r>
        <w:rPr>
          <w:lang w:val="el-GR"/>
        </w:rPr>
        <w:t xml:space="preserve">Μετά από υποδόρια χορήγηση μιας εφάπαξ δόσης των 40 mg, η απορρόφηση και η κατανομή του adalimumab ήταν αργή και με επίτευξη των μέγιστων συγκεντρώσεων στον ορό στις 5 ημέρες μετά από τη χορήγηση. Η μέση απόλυτη βιοδιαθεσιμότητα του adalimumab που υπολογίσθηκε σε τρεις μελέτες που διεξήχθησαν με το προϊόν αναφοράς μετά από μια υποδόρια εφάπαξ δόση των 40 mg ήταν 64%. Μετά από εφάπαξ ενδοφλέβια χορήγηση δόσεων που κυμαίνονται από 0,25 έως 10 mg/kg, </w:t>
      </w:r>
      <w:r>
        <w:rPr>
          <w:lang w:val="el-GR"/>
        </w:rPr>
        <w:lastRenderedPageBreak/>
        <w:t>οι συγκεντρώσεις ήταν ανάλογες της δόσης. Μετά από δόσεις 0,5 mg/kg (~40 mg), οι καθάρσεις κυμάνθηκαν από 11 έως 15 ml/ώρα, ο όγκος κατανομής (V</w:t>
      </w:r>
      <w:r>
        <w:rPr>
          <w:position w:val="-3"/>
          <w:lang w:val="el-GR"/>
        </w:rPr>
        <w:t>ss</w:t>
      </w:r>
      <w:r>
        <w:rPr>
          <w:lang w:val="el-GR"/>
        </w:rPr>
        <w:t>) κυμαινόταν από 5 έως 6 λίτρα και η μέση τελική φάση ημιζωής ήταν περίπου δυο εβδομάδες. Οι συγκεντρώσεις του adalimumab στο αρθρικό υγρό ασθενών με ρευματοειδή αρθρίτιδα κυμαινόταν από 31</w:t>
      </w:r>
      <w:r>
        <w:rPr>
          <w:lang w:val="el-GR"/>
        </w:rPr>
        <w:noBreakHyphen/>
        <w:t>96% εκείνων του ορού.</w:t>
      </w:r>
    </w:p>
    <w:p w14:paraId="1637E08F" w14:textId="77777777" w:rsidR="00171824" w:rsidRDefault="00171824">
      <w:pPr>
        <w:widowControl/>
        <w:kinsoku w:val="0"/>
        <w:overflowPunct w:val="0"/>
        <w:rPr>
          <w:sz w:val="22"/>
          <w:szCs w:val="22"/>
          <w:lang w:val="el-GR"/>
        </w:rPr>
      </w:pPr>
    </w:p>
    <w:p w14:paraId="78AE96B4" w14:textId="77777777" w:rsidR="00171824" w:rsidRDefault="006D258C">
      <w:pPr>
        <w:pStyle w:val="BodyText"/>
        <w:widowControl/>
        <w:kinsoku w:val="0"/>
        <w:overflowPunct w:val="0"/>
        <w:ind w:left="0"/>
        <w:rPr>
          <w:lang w:val="el-GR"/>
        </w:rPr>
      </w:pPr>
      <w:r>
        <w:rPr>
          <w:lang w:val="el-GR"/>
        </w:rPr>
        <w:t>Μετά από υποδόρια χορήγηση 40 mg adalimumab ανά δεύτερη εβδομάδα σε ενήλικες ασθενείς με ρευματοειδή αρθρίτιδα οι μέσες κατώτερες συγκεντρώσεις σε σταθερή κατάσταση ήταν περίπου 5 μg/ml (άνευ συγχορηγούμενης μεθοτρεξάτης) και 8 έως 9 μg/ml (με παράλληλη χορήγηση μεθοτρεξάτης), αντίστοιχα. Τα ελάσσονα επίπεδα του adalimumab στον ορό σε σταθερή κατάσταση αυξήθηκαν περίπου αναλογικά με τη δόση μετά από υποδόρια δόση των 20, 40 και 80 mg ανά δεύτερη εβδομάδα και ανά εβδομάδα.</w:t>
      </w:r>
    </w:p>
    <w:p w14:paraId="5CD85F8A" w14:textId="77777777" w:rsidR="00171824" w:rsidRDefault="00171824">
      <w:pPr>
        <w:widowControl/>
        <w:kinsoku w:val="0"/>
        <w:overflowPunct w:val="0"/>
        <w:rPr>
          <w:sz w:val="22"/>
          <w:szCs w:val="22"/>
          <w:lang w:val="el-GR"/>
        </w:rPr>
      </w:pPr>
    </w:p>
    <w:p w14:paraId="73D61D8D" w14:textId="77777777" w:rsidR="00171824" w:rsidRDefault="006D258C">
      <w:pPr>
        <w:pStyle w:val="BodyText"/>
        <w:widowControl/>
        <w:kinsoku w:val="0"/>
        <w:overflowPunct w:val="0"/>
        <w:ind w:left="0"/>
        <w:rPr>
          <w:lang w:val="el-GR"/>
        </w:rPr>
      </w:pPr>
      <w:r>
        <w:rPr>
          <w:lang w:val="el-GR"/>
        </w:rPr>
        <w:t>Μετά από χορήγηση 24 mg/m</w:t>
      </w:r>
      <w:r>
        <w:rPr>
          <w:vertAlign w:val="superscript"/>
          <w:lang w:val="el-GR"/>
        </w:rPr>
        <w:t>2</w:t>
      </w:r>
      <w:r>
        <w:rPr>
          <w:lang w:val="el-GR"/>
        </w:rPr>
        <w:t xml:space="preserve"> (μέγιστη δόση 40 mg) υποδορίως κάθε δεύτερη εβδομάδα σε ασθενείς με πολυαρθρική νεανική ιδιοπαθή αρθρίτιδα (ΝΙΑ) ηλικίας 4 έως 17 ετών οι μέσες κατώτερες συγκεντρώσεις σε σταθερή κατάσταση (τιμές μέτρησης από την εβδομάδα 20 έως την 48) της συγκέντρωσης του adalimumab στον ορό ήταν 5,6 ±5,6 μg/ml (102% CV) για το adalimumab χωρίς ταυτόχρονη χορήγηση μεθοτρεξάτης και 10,9 ±5,2 μg/ml (47,7% CV) με παράλληλη χορήγηση μεθοτρεξάτης.</w:t>
      </w:r>
    </w:p>
    <w:p w14:paraId="7838A40E" w14:textId="77777777" w:rsidR="00171824" w:rsidRDefault="00171824">
      <w:pPr>
        <w:widowControl/>
        <w:kinsoku w:val="0"/>
        <w:overflowPunct w:val="0"/>
        <w:rPr>
          <w:sz w:val="22"/>
          <w:szCs w:val="22"/>
          <w:lang w:val="el-GR"/>
        </w:rPr>
      </w:pPr>
    </w:p>
    <w:p w14:paraId="2FFA946A" w14:textId="77777777" w:rsidR="00171824" w:rsidRDefault="006D258C">
      <w:pPr>
        <w:pStyle w:val="BodyText"/>
        <w:widowControl/>
        <w:kinsoku w:val="0"/>
        <w:overflowPunct w:val="0"/>
        <w:ind w:left="0"/>
        <w:rPr>
          <w:lang w:val="el-GR"/>
        </w:rPr>
      </w:pPr>
      <w:r>
        <w:rPr>
          <w:lang w:val="el-GR"/>
        </w:rPr>
        <w:t>Σε ασθενείς με πολυαρθρική νεανική ιδιοπαθή αρθρίτιδα (JIA) ηλικίας 2 έως &lt; 4 ετών ή ηλικίας 4 και άνω που ζυγίζουν &lt; 15 kg και έλαβαν δόση adalimumab 24 mg/m</w:t>
      </w:r>
      <w:r>
        <w:rPr>
          <w:vertAlign w:val="superscript"/>
          <w:lang w:val="el-GR"/>
        </w:rPr>
        <w:t>2</w:t>
      </w:r>
      <w:r>
        <w:rPr>
          <w:lang w:val="el-GR"/>
        </w:rPr>
        <w:t>, οι μέσες κατώτερες συγκεντρώσεις adalimumab στον ορό σε σταθερή κατάσταση ήταν 6,0 ± 6,1 μg/ml (101% CV) για το adalimumab χωρίς ταυτόχρονη χορήγηση μεθοτρεξάτης και 7,9 ± 5,6 μg/ml (71,2% CV) με παράλληλη χορήγηση μεθοτρεξάτης.</w:t>
      </w:r>
    </w:p>
    <w:p w14:paraId="3B1C6C91" w14:textId="77777777" w:rsidR="00171824" w:rsidRDefault="00171824">
      <w:pPr>
        <w:widowControl/>
        <w:kinsoku w:val="0"/>
        <w:overflowPunct w:val="0"/>
        <w:rPr>
          <w:color w:val="222222"/>
          <w:sz w:val="22"/>
          <w:lang w:val="el-GR"/>
        </w:rPr>
      </w:pPr>
    </w:p>
    <w:p w14:paraId="4C7DCA25" w14:textId="77777777" w:rsidR="00171824" w:rsidRDefault="006D258C">
      <w:pPr>
        <w:pStyle w:val="BodyText"/>
        <w:widowControl/>
        <w:kinsoku w:val="0"/>
        <w:overflowPunct w:val="0"/>
        <w:ind w:left="0"/>
        <w:rPr>
          <w:lang w:val="el-GR"/>
        </w:rPr>
      </w:pPr>
      <w:r>
        <w:rPr>
          <w:lang w:val="el-GR"/>
        </w:rPr>
        <w:t>Μετά τη χορήγηση 24 mg/m</w:t>
      </w:r>
      <w:r>
        <w:rPr>
          <w:vertAlign w:val="superscript"/>
          <w:lang w:val="el-GR"/>
        </w:rPr>
        <w:t>2</w:t>
      </w:r>
      <w:r>
        <w:rPr>
          <w:lang w:val="el-GR"/>
        </w:rPr>
        <w:t xml:space="preserve"> (μέγιστη δόση 40 mg) υποδορίως κάθε δεύτερη εβδομάδα σε ασθενείς με αρθρίτιδα σχετιζόμενη με ενθεσίτιδα, ηλικίας 6 έως 17 ετών, οι μέσες κατώτερες συγκεντρώσεις adalimumab στον ορό σε σταθερή κατάσταση (τιμές που μετρώνται κατά την εβδομάδα 24) ήταν 8,8 ± 6,6 μg/ml για το adalimumab χωρίς ταυτόχρονη χορήγηση μεθοτρεξάτης και 11,8 ± 4,3 μg/ml με παράλληλη χορήγηση μεθοτρεξάτης.</w:t>
      </w:r>
    </w:p>
    <w:p w14:paraId="10C0D49F" w14:textId="77777777" w:rsidR="00171824" w:rsidRDefault="00171824">
      <w:pPr>
        <w:pStyle w:val="BodyText"/>
        <w:widowControl/>
        <w:kinsoku w:val="0"/>
        <w:overflowPunct w:val="0"/>
        <w:ind w:left="0"/>
        <w:rPr>
          <w:lang w:val="el-GR"/>
        </w:rPr>
      </w:pPr>
    </w:p>
    <w:p w14:paraId="50A98FCF" w14:textId="77777777" w:rsidR="00171824" w:rsidRDefault="006D258C">
      <w:pPr>
        <w:widowControl/>
        <w:kinsoku w:val="0"/>
        <w:overflowPunct w:val="0"/>
        <w:rPr>
          <w:sz w:val="22"/>
          <w:szCs w:val="22"/>
          <w:lang w:val="el-GR"/>
        </w:rPr>
      </w:pPr>
      <w:r>
        <w:rPr>
          <w:sz w:val="22"/>
          <w:szCs w:val="22"/>
          <w:lang w:val="el-GR"/>
        </w:rPr>
        <w:t>Μετά την υποδόρια χορήγηση 40 mg adalimumab κάθε δεύτερη εβδομάδα σε ενήλικες μη ραδιογραφικούς ασθενείς με αξονική σπονδυλαρθρίτιδα, η μέση (± SD) ελάχιστη συγκέντρωση σταθερής κατάστασης την εβδομάδα 68 ήταν 8,0 ± 4,6 μg/ml.</w:t>
      </w:r>
    </w:p>
    <w:p w14:paraId="13FECCF2" w14:textId="77777777" w:rsidR="00171824" w:rsidRDefault="00171824">
      <w:pPr>
        <w:widowControl/>
        <w:kinsoku w:val="0"/>
        <w:overflowPunct w:val="0"/>
        <w:rPr>
          <w:sz w:val="22"/>
          <w:szCs w:val="22"/>
          <w:lang w:val="el-GR"/>
        </w:rPr>
      </w:pPr>
    </w:p>
    <w:p w14:paraId="3109241A" w14:textId="77777777" w:rsidR="00171824" w:rsidRDefault="006D258C">
      <w:pPr>
        <w:pStyle w:val="BodyText"/>
        <w:widowControl/>
        <w:kinsoku w:val="0"/>
        <w:overflowPunct w:val="0"/>
        <w:ind w:left="0"/>
        <w:rPr>
          <w:lang w:val="el-GR"/>
        </w:rPr>
      </w:pPr>
      <w:r>
        <w:rPr>
          <w:lang w:val="el-GR"/>
        </w:rPr>
        <w:t>Σε ενήλικες ασθενείς με ψωρίαση, η μέση συγκέντρωση στη σταθεροποιημένη κατάσταση ήταν 5 μg/ml κατά τη διάρκεια της θεραπείας με μονοθεραπεία 40 mg adalimumab κάθε δεύτερη εβδομάδα.</w:t>
      </w:r>
    </w:p>
    <w:p w14:paraId="46BAB829" w14:textId="77777777" w:rsidR="00171824" w:rsidRDefault="00171824">
      <w:pPr>
        <w:pStyle w:val="BodyText"/>
        <w:widowControl/>
        <w:kinsoku w:val="0"/>
        <w:overflowPunct w:val="0"/>
        <w:ind w:left="0"/>
        <w:rPr>
          <w:lang w:val="el-GR"/>
        </w:rPr>
      </w:pPr>
    </w:p>
    <w:p w14:paraId="0437D803" w14:textId="77777777" w:rsidR="00171824" w:rsidRDefault="006D258C">
      <w:pPr>
        <w:pStyle w:val="BodyText"/>
        <w:widowControl/>
        <w:kinsoku w:val="0"/>
        <w:overflowPunct w:val="0"/>
        <w:ind w:left="0"/>
        <w:rPr>
          <w:lang w:val="el-GR"/>
        </w:rPr>
      </w:pPr>
      <w:r>
        <w:rPr>
          <w:lang w:val="el-GR"/>
        </w:rPr>
        <w:t>Μετά τη χορήγηση 0,8 mg/kg (μέγιστη δόση 40 mg) υποδορίως κάθε δεύτερη εβδομάδα σε παιδιατρικούς ασθενείς με χρόνια ψωρίαση κατά πλάκας, η μέση (± SD) συγκέντρωση σε σταθερή κατάσταση adalimumab ήταν περίπου 7,4 ± 5,8 μg/ml (79% CV).</w:t>
      </w:r>
    </w:p>
    <w:p w14:paraId="6D6699C5" w14:textId="77777777" w:rsidR="00171824" w:rsidRDefault="00171824">
      <w:pPr>
        <w:widowControl/>
        <w:kinsoku w:val="0"/>
        <w:overflowPunct w:val="0"/>
        <w:rPr>
          <w:sz w:val="22"/>
          <w:szCs w:val="22"/>
          <w:lang w:val="el-GR"/>
        </w:rPr>
      </w:pPr>
    </w:p>
    <w:p w14:paraId="1425FAA1" w14:textId="77777777" w:rsidR="00171824" w:rsidRDefault="006D258C">
      <w:pPr>
        <w:pStyle w:val="BodyText"/>
        <w:widowControl/>
        <w:kinsoku w:val="0"/>
        <w:overflowPunct w:val="0"/>
        <w:ind w:left="0"/>
        <w:rPr>
          <w:lang w:val="el-GR"/>
        </w:rPr>
      </w:pPr>
      <w:r>
        <w:rPr>
          <w:lang w:val="el-GR"/>
        </w:rPr>
        <w:t>Σε ενήλικες ασθενείς με διαπυητική ιδρωταδενίτιδα, μία δόση 160 mg adalimumab την εβδομάδα 0 και ακολούθως 80 mg την εβδομάδα 2 επιτυγχάνει συγκεντρώσεις adalimumab στον ορό περίπου 7 με 8 μg/ml την εβδομάδα 2 και την εβδομάδα 4. Η μέση συγκέντρωση στη σταθεροποιημένη κατάσταση την εβδομάδα 12 έως την εβδομάδα 36 ήταν περίπου 8 με 10 μg/ml κατά τη διάρκεια της θεραπείας με adalimumab 40 mg κάθε εβδομάδα.</w:t>
      </w:r>
    </w:p>
    <w:p w14:paraId="100CA0DF" w14:textId="77777777" w:rsidR="00171824" w:rsidRDefault="00171824">
      <w:pPr>
        <w:pStyle w:val="EMEANormal"/>
        <w:widowControl w:val="0"/>
        <w:rPr>
          <w:iCs/>
          <w:lang w:val="el-GR"/>
        </w:rPr>
      </w:pPr>
    </w:p>
    <w:p w14:paraId="4F844F32" w14:textId="77777777" w:rsidR="00171824" w:rsidRDefault="006D258C">
      <w:pPr>
        <w:pStyle w:val="EMEANormal"/>
        <w:widowControl w:val="0"/>
        <w:rPr>
          <w:iCs/>
          <w:lang w:val="el-GR"/>
        </w:rPr>
      </w:pPr>
      <w:r>
        <w:rPr>
          <w:iCs/>
          <w:lang w:val="el-GR"/>
        </w:rPr>
        <w:t xml:space="preserve">Η έκθεση σε adalimumab σε έφηβους ασθενείς </w:t>
      </w:r>
      <w:r>
        <w:rPr>
          <w:szCs w:val="22"/>
          <w:lang w:val="el-GR"/>
        </w:rPr>
        <w:t xml:space="preserve">με </w:t>
      </w:r>
      <w:r>
        <w:rPr>
          <w:lang w:val="el-GR"/>
        </w:rPr>
        <w:t>διαπυητική ιδρωταδενίτιδα (HS)</w:t>
      </w:r>
      <w:r>
        <w:rPr>
          <w:iCs/>
          <w:lang w:val="el-GR"/>
        </w:rPr>
        <w:t xml:space="preserve"> προβλέφθηκε χρησιμοποιώντας </w:t>
      </w:r>
      <w:r>
        <w:rPr>
          <w:lang w:val="el-GR" w:eastAsia="el-GR"/>
        </w:rPr>
        <w:t xml:space="preserve">φαρμακοκινητικά μοντέλα πληθυσμού και προσομοίωση με βάση τη φαρμακοκινητική στις διάφορες ενδείξεις σε άλλους παιδιατρικούς ασθενείς (παιδιατρική ψωρίαση, νεανική ιδιοπαθής αρθρίτιδα, παιδιατρική νόσος του Crohn, και αρθρίτιδα σχετιζόμενη με ενθεσίτιδα). </w:t>
      </w:r>
      <w:r>
        <w:rPr>
          <w:iCs/>
          <w:lang w:val="el-GR"/>
        </w:rPr>
        <w:t xml:space="preserve">Το συνιστώμενο δοσολογικό σχήμα σε έφηβους ασθενείς </w:t>
      </w:r>
      <w:r>
        <w:rPr>
          <w:szCs w:val="22"/>
          <w:lang w:val="el-GR"/>
        </w:rPr>
        <w:t xml:space="preserve">με </w:t>
      </w:r>
      <w:r>
        <w:rPr>
          <w:lang w:val="el-GR"/>
        </w:rPr>
        <w:t>διαπυητική ιδρωταδενίτιδα (HS)</w:t>
      </w:r>
      <w:r>
        <w:rPr>
          <w:iCs/>
          <w:lang w:val="el-GR"/>
        </w:rPr>
        <w:t xml:space="preserve"> είναι 40 mg κάθε δεύτερη εβδομάδα. Η έκθεση στο adalimumab μπορεί να επηρεαστεί από το </w:t>
      </w:r>
      <w:r>
        <w:rPr>
          <w:szCs w:val="22"/>
          <w:lang w:val="el-GR"/>
        </w:rPr>
        <w:t>βάρος σώματος</w:t>
      </w:r>
      <w:r>
        <w:rPr>
          <w:iCs/>
          <w:lang w:val="el-GR"/>
        </w:rPr>
        <w:t>, έφηβοι με μεγαλύτερο βάρος σώματος και ανεπαρκής ανταπόκριση μπορεί να ωφεληθούν από τη λήψη της συνιστώμενης δόσης για τους ενήλικες των 40 mg κάθε εβδομάδα.</w:t>
      </w:r>
    </w:p>
    <w:p w14:paraId="21DF163F" w14:textId="77777777" w:rsidR="00171824" w:rsidRDefault="00171824">
      <w:pPr>
        <w:widowControl/>
        <w:kinsoku w:val="0"/>
        <w:overflowPunct w:val="0"/>
        <w:rPr>
          <w:sz w:val="22"/>
          <w:szCs w:val="22"/>
          <w:lang w:val="el-GR"/>
        </w:rPr>
      </w:pPr>
    </w:p>
    <w:p w14:paraId="066523A4" w14:textId="77777777" w:rsidR="00171824" w:rsidRDefault="006D258C">
      <w:pPr>
        <w:pStyle w:val="BodyText"/>
        <w:widowControl/>
        <w:kinsoku w:val="0"/>
        <w:overflowPunct w:val="0"/>
        <w:ind w:left="0"/>
        <w:rPr>
          <w:lang w:val="el-GR"/>
        </w:rPr>
      </w:pPr>
      <w:r>
        <w:rPr>
          <w:lang w:val="el-GR"/>
        </w:rPr>
        <w:t>Σε ασθενείς με νόσο του Crohn, η δόση εφόδου 80 mg adalimumab την εβδομάδα 0 και ακολούθως 40 mg adalimumab την εβδομάδα 2 επιτυγχάνει συγκεντρώσεις adalimumab στον ορό περίπου 5,5 μg/ml κατά τη διάρκεια της αρχικής περιόδου. Μία δόση εφόδου 160 mg adalimumab την εβδομάδα 0 και ακολούθως 80 mg adalimumab την εβδομάδα 2 επιτυγχάνει συγκεντρώσεις adalimumab στον ορό περίπου 12 μg/ml κατά τη διάρκεια της αρχικής περιόδου. Μέσες ελάχιστες συγκεντρώσεις στη σταθεροποιημένη κατάσταση της τάξης των 7 μg/ml παρατηρήθηκαν σε ασθενείς με νόσο του Crohn οι οποίοι έλαβαν δόση συντήρησης 40 mg adalimumab κάθε δεύτερη εβδομάδα.</w:t>
      </w:r>
    </w:p>
    <w:p w14:paraId="7114F941" w14:textId="77777777" w:rsidR="00171824" w:rsidRDefault="00171824">
      <w:pPr>
        <w:widowControl/>
        <w:kinsoku w:val="0"/>
        <w:overflowPunct w:val="0"/>
        <w:rPr>
          <w:sz w:val="22"/>
          <w:szCs w:val="22"/>
          <w:lang w:val="el-GR"/>
        </w:rPr>
      </w:pPr>
    </w:p>
    <w:p w14:paraId="4CAB3909" w14:textId="77777777" w:rsidR="00171824" w:rsidRDefault="006D258C">
      <w:pPr>
        <w:pStyle w:val="BodyText"/>
        <w:widowControl/>
        <w:kinsoku w:val="0"/>
        <w:overflowPunct w:val="0"/>
        <w:ind w:left="0"/>
        <w:rPr>
          <w:lang w:val="el-GR"/>
        </w:rPr>
      </w:pPr>
      <w:r>
        <w:rPr>
          <w:lang w:val="el-GR"/>
        </w:rPr>
        <w:t>Σε παιδιατρικούς ασθενείς με μέτρια έως σοβαρή νόσο του Crohn, η επαγωγική δόση ανοιχτής χορήγησης (open-label) adalimumab ήταν 160/80 mg ή 80/40 mg τις εβδομάδες 0 και 2, αντίστοιχα, εξαρτώμενη από ένα ανώτερο όριο σωματικού βάρους των 40 kg. Την εβδομάδα 4, οι ασθενείς τυχαιοποιήθηκαν σε αναλογία 1:1 είτε στην Τυπική δόση (40/20 mg κάθε δεύτερη εβδομάδα) ή στην χαμηλή δόση (20/10 mg κάθε δεύτερη εβδομάδα) σε ομάδες θεραπείας συντήρησης με βάση το σωματικό τους βάρος. Οι μέσες (± SD) ελάχιστες συγκεντρώσεις adalimumab στον ορό που επιτεύχθηκαν την εβδομάδα 4 ήταν 15,7 ± 6,6 µg/ml για ασθενείς ≥ 40 kg (160/80 mg) και 10,6 ± 6,1 µg/ml για ασθενείς &lt; 40 kg (80/40 mg).</w:t>
      </w:r>
    </w:p>
    <w:p w14:paraId="5FB7E303" w14:textId="77777777" w:rsidR="00171824" w:rsidRDefault="00171824">
      <w:pPr>
        <w:widowControl/>
        <w:kinsoku w:val="0"/>
        <w:overflowPunct w:val="0"/>
        <w:rPr>
          <w:sz w:val="22"/>
          <w:szCs w:val="22"/>
          <w:lang w:val="el-GR"/>
        </w:rPr>
      </w:pPr>
    </w:p>
    <w:p w14:paraId="2C8CD4A4" w14:textId="77777777" w:rsidR="00171824" w:rsidRDefault="006D258C">
      <w:pPr>
        <w:pStyle w:val="BodyText"/>
        <w:widowControl/>
        <w:kinsoku w:val="0"/>
        <w:overflowPunct w:val="0"/>
        <w:ind w:left="0"/>
        <w:rPr>
          <w:lang w:val="el-GR"/>
        </w:rPr>
      </w:pPr>
      <w:r>
        <w:rPr>
          <w:lang w:val="el-GR"/>
        </w:rPr>
        <w:t>Για ασθενείς που έμειναν στην τυχαιοποιημένη θεραπεία τους, οι μέσες (± SD) ελάχιστες συγκεντρώσεις adalimumab την εβδομάδα 52 ήταν 9,5 ± 5,6 µg/ml για την ομάδα τυπικής δόσης και 3,5 ± 2,2 µg/ml για την ομάδα χαμηλής δόσης. Οι μέσες ελάχιστες συγκεντρώσεις διατηρήθηκαν σε ασθενείς που συνέχισαν να λαμβάνουν adalimumab κάθε δεύτερη εβδομάδα για 52 εβδομάδες. Σε ασθενείς για τους οποίους η δόση διαμορφώθηκε από κάθε δεύτερη εβδομάδα σε εβδομαδιαίο σχήμα, η μέση (± SD) συγκέντρωση adalimumab στον ορό κατά την εβδομάδα 52 ήταν 15,3 ± 11,4 µg/ml (40/20 mg, εβδομαδιαία) και 6,7 ± 3,5 µg/ml (20/10 mg, εβδομαδιαία).</w:t>
      </w:r>
    </w:p>
    <w:p w14:paraId="31C6564B" w14:textId="77777777" w:rsidR="00171824" w:rsidRDefault="00171824">
      <w:pPr>
        <w:widowControl/>
        <w:kinsoku w:val="0"/>
        <w:overflowPunct w:val="0"/>
        <w:rPr>
          <w:sz w:val="22"/>
          <w:szCs w:val="22"/>
          <w:lang w:val="el-GR"/>
        </w:rPr>
      </w:pPr>
    </w:p>
    <w:p w14:paraId="20E9565C" w14:textId="77777777" w:rsidR="00171824" w:rsidRDefault="006D258C">
      <w:pPr>
        <w:pStyle w:val="BodyText"/>
        <w:widowControl/>
        <w:kinsoku w:val="0"/>
        <w:overflowPunct w:val="0"/>
        <w:ind w:left="0"/>
        <w:rPr>
          <w:lang w:val="el-GR"/>
        </w:rPr>
      </w:pPr>
      <w:r>
        <w:rPr>
          <w:lang w:val="el-GR"/>
        </w:rPr>
        <w:t>Σε ασθενείς με ελκώδη κολίτιδα, μία δόση εφόδου των 160 mg adalimumab</w:t>
      </w:r>
      <w:r>
        <w:rPr>
          <w:i/>
          <w:iCs/>
          <w:lang w:val="el-GR"/>
        </w:rPr>
        <w:t xml:space="preserve"> </w:t>
      </w:r>
      <w:r>
        <w:rPr>
          <w:lang w:val="el-GR"/>
        </w:rPr>
        <w:t>την εβδομάδα 0 ακολουθούμενη από 80 mg adalimumab</w:t>
      </w:r>
      <w:r>
        <w:rPr>
          <w:i/>
          <w:iCs/>
          <w:lang w:val="el-GR"/>
        </w:rPr>
        <w:t xml:space="preserve"> </w:t>
      </w:r>
      <w:r>
        <w:rPr>
          <w:lang w:val="el-GR"/>
        </w:rPr>
        <w:t>την εβδομάδα 2 επιτυγχάνει ελάχιστες συγκεντρώσεις adalimumab στον ορό περίπου 12 µg/ml κατά τη διάρκεια της περιόδου επαγωγής. Τα μέσα κατώτερα επίπεδα που παρατηρήθηκαν σε σταθερή κατάσταση είναι περίπου 8 µg/ml σε ασθενείς με ελκώδη κολίτιδα που έλαβαν δόση συντήρησης 40 mg adalimumab</w:t>
      </w:r>
      <w:r>
        <w:rPr>
          <w:i/>
          <w:iCs/>
          <w:lang w:val="el-GR"/>
        </w:rPr>
        <w:t xml:space="preserve"> </w:t>
      </w:r>
      <w:r>
        <w:rPr>
          <w:lang w:val="el-GR"/>
        </w:rPr>
        <w:t>κάθε δεύτερη εβδομάδα.</w:t>
      </w:r>
    </w:p>
    <w:p w14:paraId="32A2DC77" w14:textId="77777777" w:rsidR="00171824" w:rsidRDefault="00171824">
      <w:pPr>
        <w:widowControl/>
        <w:kinsoku w:val="0"/>
        <w:overflowPunct w:val="0"/>
        <w:rPr>
          <w:sz w:val="22"/>
          <w:szCs w:val="22"/>
          <w:lang w:val="el-GR"/>
        </w:rPr>
      </w:pPr>
    </w:p>
    <w:p w14:paraId="2CF0A14A" w14:textId="77777777" w:rsidR="00171824" w:rsidRDefault="006D258C">
      <w:pPr>
        <w:widowControl/>
        <w:kinsoku w:val="0"/>
        <w:overflowPunct w:val="0"/>
        <w:rPr>
          <w:sz w:val="22"/>
          <w:szCs w:val="22"/>
          <w:lang w:val="el-GR"/>
        </w:rPr>
      </w:pPr>
      <w:r>
        <w:rPr>
          <w:sz w:val="22"/>
          <w:szCs w:val="22"/>
          <w:lang w:val="el-GR"/>
        </w:rPr>
        <w:t>Μετά την υποδόρια χορήγηση δόσης βάσει βάρους σώματος 0,6 mg/kg (μέγιστη δόση 40 mg) κάθε δεύτερη εβδομάδα σε παιδιατρικούς ασθενείς με ελκώδη κολίτιδα, η μέση κατώτερη συγκέντρωση σε σταθερή κατάσταση του adalimumab στον ορό ήταν 5,01±3,28 μg/ml την εβδομάδα 52. Για τους ασθενείς που λάμβαναν 0,6 mg/kg (μέγιστη δόση 40 mg) κάθε εβδομάδα, η μέση (±SD) κατώτερη συγκέντρωση σε σταθερή κατάσταση του adalimumab στον ορό ήταν 15,7±5,60 μg/ml την εβδομάδα 52.</w:t>
      </w:r>
    </w:p>
    <w:p w14:paraId="2668687B" w14:textId="77777777" w:rsidR="00171824" w:rsidRDefault="00171824">
      <w:pPr>
        <w:widowControl/>
        <w:kinsoku w:val="0"/>
        <w:overflowPunct w:val="0"/>
        <w:rPr>
          <w:sz w:val="22"/>
          <w:szCs w:val="22"/>
          <w:lang w:val="el-GR"/>
        </w:rPr>
      </w:pPr>
    </w:p>
    <w:p w14:paraId="0E7CECEF" w14:textId="77777777" w:rsidR="00171824" w:rsidRDefault="006D258C">
      <w:pPr>
        <w:pStyle w:val="BodyText"/>
        <w:widowControl/>
        <w:kinsoku w:val="0"/>
        <w:overflowPunct w:val="0"/>
        <w:ind w:left="0"/>
        <w:rPr>
          <w:lang w:val="el-GR"/>
        </w:rPr>
      </w:pPr>
      <w:r>
        <w:rPr>
          <w:lang w:val="el-GR"/>
        </w:rPr>
        <w:t>Σε ενήλικες ασθενείς με ραγοειδίτιδα, μια δόση εφόδου 80 mg adalimumab την εβδομάδα 0, ακολουθούμενη από 40 mg adalimumab κάθε δεύτερη εβδομάδα ξεκινώντας την εβδομάδα 1, οδήγησε σε μέσες συγκεντρώσεις σταθεροποιημένης κατάστασης περίπου 8 με 10 μg/ml.</w:t>
      </w:r>
    </w:p>
    <w:p w14:paraId="699A53C7" w14:textId="77777777" w:rsidR="00171824" w:rsidRDefault="00171824">
      <w:pPr>
        <w:widowControl/>
        <w:kinsoku w:val="0"/>
        <w:overflowPunct w:val="0"/>
        <w:rPr>
          <w:sz w:val="22"/>
          <w:szCs w:val="22"/>
          <w:lang w:val="el-GR"/>
        </w:rPr>
      </w:pPr>
    </w:p>
    <w:p w14:paraId="608CFA05" w14:textId="77777777" w:rsidR="00171824" w:rsidRDefault="006D258C">
      <w:pPr>
        <w:pStyle w:val="EMEANormal"/>
        <w:widowControl w:val="0"/>
        <w:rPr>
          <w:lang w:val="el-GR"/>
        </w:rPr>
      </w:pPr>
      <w:r>
        <w:rPr>
          <w:iCs/>
          <w:lang w:val="el-GR"/>
        </w:rPr>
        <w:t xml:space="preserve">Η έκθεση σε adalimumab σε ασθενείς με παιδιατρική ραγοειδίτιδα προβλέφθηκε χρησιμοποιώντας </w:t>
      </w:r>
      <w:r>
        <w:rPr>
          <w:lang w:val="el-GR" w:eastAsia="el-GR"/>
        </w:rPr>
        <w:t xml:space="preserve">φαρμακοκινητικά μοντέλα πληθυσμού και προσομοίωση με βάση τη φαρμακοκινητική στις διάφορες ενδείξεις σε άλλους παιδιατρικούς ασθενείς (παιδιατρική ψωρίαση, νεανική ιδιοπαθής αρθρίτιδα, παιδιατρική νόσος του Crohn, και αρθρίτιδα σχετιζόμενη με ενθεσίτιδα). </w:t>
      </w:r>
      <w:r>
        <w:rPr>
          <w:lang w:val="el-GR"/>
        </w:rPr>
        <w:t>Δεν υπάρχουν διαθέσιμα κλινικά δεδομένα σχετικά με τη χρήση της δόσης εφόδου σε παιδιά ηλικίας &lt; 6 ετών.</w:t>
      </w:r>
      <w:r>
        <w:rPr>
          <w:iCs/>
          <w:lang w:val="el-GR"/>
        </w:rPr>
        <w:t xml:space="preserve"> Οι προβλεπόμενες εκθέσεις συνιστούν ότι ελλείψει </w:t>
      </w:r>
      <w:r>
        <w:rPr>
          <w:lang w:val="el-GR"/>
        </w:rPr>
        <w:t>μεθοτρεξάτης, μια δόση εφόδου μπορεί να οδηγήσει σε μια αρχική αύξηση συστημικής έκθεσης.</w:t>
      </w:r>
    </w:p>
    <w:p w14:paraId="1B606DE8" w14:textId="77777777" w:rsidR="00171824" w:rsidRDefault="00171824">
      <w:pPr>
        <w:pStyle w:val="EMEANormal"/>
        <w:widowControl w:val="0"/>
        <w:rPr>
          <w:lang w:val="el-GR"/>
        </w:rPr>
      </w:pPr>
    </w:p>
    <w:p w14:paraId="5D6519D2" w14:textId="77777777" w:rsidR="00171824" w:rsidRDefault="006D258C">
      <w:pPr>
        <w:widowControl/>
        <w:kinsoku w:val="0"/>
        <w:overflowPunct w:val="0"/>
        <w:rPr>
          <w:sz w:val="22"/>
          <w:szCs w:val="22"/>
          <w:lang w:val="el-GR"/>
        </w:rPr>
      </w:pPr>
      <w:r>
        <w:rPr>
          <w:sz w:val="22"/>
          <w:szCs w:val="22"/>
          <w:lang w:val="el-GR"/>
        </w:rPr>
        <w:t xml:space="preserve">Η δημογραφική φαρμακοκινητική και φαρμακοκινητική/φαρμακοδυναμική μοντελοποίηση και προσομοίωση του πληθυσμού προέβλεψαν συγκρίσιμη έκθεση στο adalimumab και αποτελεσματικότητα σε ασθενείς που έλαβαν θεραπεία με 80 mg κάθε δεύτερη εβδομάδα όταν συγκρίνονταν με τη θεραπεία των 40 mg κάθε εβδομάδα (περιλαμβανομένων των ενηλίκων ασθενών με ρευματοειδή αρθρίτιδα, διαπυητική ιδρωταδενίτιδα, ελκώδη κολίτιδα, νόσο του Crohn, ασθενείς με </w:t>
      </w:r>
      <w:r>
        <w:rPr>
          <w:sz w:val="22"/>
          <w:szCs w:val="22"/>
          <w:lang w:val="el-GR"/>
        </w:rPr>
        <w:lastRenderedPageBreak/>
        <w:t>εφηβική διαπυητική ιδρωταδενίτιδα και παιδιατρικούς ασθενείς σωματικού βάρους ≥ 40 kg με νόσο του Crohn και ελκώδη κολίτιδα).</w:t>
      </w:r>
    </w:p>
    <w:p w14:paraId="0A9C8481" w14:textId="77777777" w:rsidR="00171824" w:rsidRDefault="00171824">
      <w:pPr>
        <w:widowControl/>
        <w:kinsoku w:val="0"/>
        <w:overflowPunct w:val="0"/>
        <w:rPr>
          <w:sz w:val="22"/>
          <w:szCs w:val="22"/>
          <w:lang w:val="el-GR"/>
        </w:rPr>
      </w:pPr>
    </w:p>
    <w:p w14:paraId="3193FBF7" w14:textId="77777777" w:rsidR="00171824" w:rsidRDefault="006D258C">
      <w:pPr>
        <w:rPr>
          <w:iCs/>
          <w:sz w:val="22"/>
          <w:szCs w:val="20"/>
          <w:u w:val="single"/>
          <w:lang w:val="el-GR"/>
        </w:rPr>
      </w:pPr>
      <w:r>
        <w:rPr>
          <w:iCs/>
          <w:sz w:val="22"/>
          <w:szCs w:val="20"/>
          <w:u w:val="single"/>
          <w:lang w:val="el-GR"/>
        </w:rPr>
        <w:t>Σχέση έκθεσης-ανταπόκρισης στον παιδιατρικό πληθυσμό</w:t>
      </w:r>
    </w:p>
    <w:p w14:paraId="153607ED" w14:textId="77777777" w:rsidR="00171824" w:rsidRDefault="00171824">
      <w:pPr>
        <w:rPr>
          <w:iCs/>
          <w:sz w:val="22"/>
          <w:szCs w:val="20"/>
          <w:lang w:val="el-GR"/>
        </w:rPr>
      </w:pPr>
    </w:p>
    <w:p w14:paraId="54DAD6BA" w14:textId="77777777" w:rsidR="00171824" w:rsidRDefault="006D258C">
      <w:pPr>
        <w:rPr>
          <w:iCs/>
          <w:sz w:val="22"/>
          <w:szCs w:val="20"/>
          <w:lang w:val="el-GR"/>
        </w:rPr>
      </w:pPr>
      <w:r>
        <w:rPr>
          <w:iCs/>
          <w:sz w:val="22"/>
          <w:szCs w:val="20"/>
          <w:lang w:val="el-GR"/>
        </w:rPr>
        <w:t xml:space="preserve">Βάσει των δεδομένων από κλινικές μελέτες σε ασθενείς με JIA (pJIA και ERA), η σχέση έκθεσης-ανταπόκρισης μεταξύ συγκέντρωσης πλάσματος και ανταπόκρισης PedACR 50 τεκμηριώθηκε. Η φαινομενική συγκέντρωση πλάσματος adalimumab που οδηγεί στο ήμισυ της μέγιστης πιθανότητας PedACR 50 (EC 50) ανταπόκρισης ήταν 3 μg/ml (95% CI: 1-6 μg/ml). </w:t>
      </w:r>
    </w:p>
    <w:p w14:paraId="6A6C9049" w14:textId="77777777" w:rsidR="00171824" w:rsidRDefault="00171824">
      <w:pPr>
        <w:rPr>
          <w:iCs/>
          <w:sz w:val="22"/>
          <w:szCs w:val="20"/>
          <w:lang w:val="el-GR"/>
        </w:rPr>
      </w:pPr>
    </w:p>
    <w:p w14:paraId="61E81DE1" w14:textId="77777777" w:rsidR="00171824" w:rsidRDefault="006D258C">
      <w:pPr>
        <w:rPr>
          <w:iCs/>
          <w:sz w:val="22"/>
          <w:szCs w:val="20"/>
          <w:lang w:val="el-GR"/>
        </w:rPr>
      </w:pPr>
      <w:r>
        <w:rPr>
          <w:iCs/>
          <w:sz w:val="22"/>
          <w:szCs w:val="20"/>
          <w:lang w:val="el-GR"/>
        </w:rPr>
        <w:t>Η σχέση έκθεσης-ανταπόκρισης μεταξύ συγκέντρωσης adalimumab και αποτελεσματικότητας σε παιδιατρικούς ασθενείς με σοβαρή χρόνια ψωρίαση κατά πλάκας τεκμηριώθηκαν για την PASI 75 και το PGA καθαρό ή ελάχιστο, αντιστοίχως. H PASI 75 και το PGA καθαρό ή ελάχιστο αυξήθηκαν με αυξανόμενες συγκεντρώσεις adalimumab, με παρόμοιο φαινομενικό EC50 περίπου 4,5 μg/ml (95% CI: 0,4-47,6 και 1,9-10,5, αντιστοίχως).</w:t>
      </w:r>
    </w:p>
    <w:p w14:paraId="20CF2705" w14:textId="77777777" w:rsidR="00171824" w:rsidRDefault="00171824">
      <w:pPr>
        <w:pStyle w:val="BodyText"/>
        <w:widowControl/>
        <w:kinsoku w:val="0"/>
        <w:overflowPunct w:val="0"/>
        <w:ind w:left="0"/>
        <w:rPr>
          <w:u w:val="single"/>
          <w:lang w:val="el-GR"/>
        </w:rPr>
      </w:pPr>
    </w:p>
    <w:p w14:paraId="46189BF8" w14:textId="77777777" w:rsidR="00171824" w:rsidRDefault="006D258C">
      <w:pPr>
        <w:pStyle w:val="BodyText"/>
        <w:widowControl/>
        <w:kinsoku w:val="0"/>
        <w:overflowPunct w:val="0"/>
        <w:ind w:left="0"/>
        <w:rPr>
          <w:lang w:val="el-GR"/>
        </w:rPr>
      </w:pPr>
      <w:r>
        <w:rPr>
          <w:u w:val="single"/>
          <w:lang w:val="el-GR"/>
        </w:rPr>
        <w:t>Αποβολή</w:t>
      </w:r>
    </w:p>
    <w:p w14:paraId="392458EE" w14:textId="77777777" w:rsidR="00171824" w:rsidRDefault="00171824">
      <w:pPr>
        <w:widowControl/>
        <w:kinsoku w:val="0"/>
        <w:overflowPunct w:val="0"/>
        <w:rPr>
          <w:sz w:val="22"/>
          <w:szCs w:val="22"/>
          <w:lang w:val="el-GR"/>
        </w:rPr>
      </w:pPr>
    </w:p>
    <w:p w14:paraId="42746226" w14:textId="77777777" w:rsidR="00171824" w:rsidRDefault="006D258C">
      <w:pPr>
        <w:pStyle w:val="BodyText"/>
        <w:widowControl/>
        <w:kinsoku w:val="0"/>
        <w:overflowPunct w:val="0"/>
        <w:ind w:left="0"/>
        <w:rPr>
          <w:lang w:val="el-GR"/>
        </w:rPr>
      </w:pPr>
      <w:r>
        <w:rPr>
          <w:lang w:val="el-GR"/>
        </w:rPr>
        <w:t>Οι φαρμακοκινητικές αναλύσεις του πληθυσμού βάσει δεδομένων από 1.300 και άνω ασθενείς με ρευματοειδή αρθρίτιδα έδειξαν μια τάση για αυξημένη φαινομενική κάθαρση του adalimumab όσο αυξάνεται το σωματικό βάρος. Μετά από προσαρμογή στη διαφοροποίηση του σωματικού βάρους, του γένους και της ηλικίας φαίνεται οι παράγοντες αυτοί να έχουν μικρή επίδραση στην κάθαρση του adalimumab. Παρατηρήθηκε ότι τα επίπεδα του ελεύθερου adalimumab στον ορό (μη δεσμευμένα στα anti-adalimumab αντισώματα, AAA) ήταν χαμηλότερα στους ασθενείς με μετρήσιμα ΑΑΑ.</w:t>
      </w:r>
    </w:p>
    <w:p w14:paraId="05E634C8" w14:textId="77777777" w:rsidR="00171824" w:rsidRDefault="00171824">
      <w:pPr>
        <w:pStyle w:val="BodyText"/>
        <w:widowControl/>
        <w:kinsoku w:val="0"/>
        <w:overflowPunct w:val="0"/>
        <w:ind w:left="0"/>
        <w:rPr>
          <w:lang w:val="el-GR"/>
        </w:rPr>
      </w:pPr>
    </w:p>
    <w:p w14:paraId="6B83A27D" w14:textId="77777777" w:rsidR="00171824" w:rsidRDefault="006D258C">
      <w:pPr>
        <w:pStyle w:val="BodyText"/>
        <w:widowControl/>
        <w:kinsoku w:val="0"/>
        <w:overflowPunct w:val="0"/>
        <w:ind w:left="0"/>
        <w:rPr>
          <w:lang w:val="el-GR"/>
        </w:rPr>
      </w:pPr>
      <w:r>
        <w:rPr>
          <w:u w:val="single"/>
          <w:lang w:val="el-GR"/>
        </w:rPr>
        <w:t>Ηπατική ή νεφρική ανεπάρκεια</w:t>
      </w:r>
    </w:p>
    <w:p w14:paraId="33FD7A57" w14:textId="77777777" w:rsidR="00171824" w:rsidRDefault="00171824">
      <w:pPr>
        <w:widowControl/>
        <w:kinsoku w:val="0"/>
        <w:overflowPunct w:val="0"/>
        <w:rPr>
          <w:sz w:val="22"/>
          <w:szCs w:val="22"/>
          <w:lang w:val="el-GR"/>
        </w:rPr>
      </w:pPr>
    </w:p>
    <w:p w14:paraId="1E4B28DC" w14:textId="77777777" w:rsidR="00171824" w:rsidRDefault="006D258C">
      <w:pPr>
        <w:pStyle w:val="BodyText"/>
        <w:widowControl/>
        <w:kinsoku w:val="0"/>
        <w:overflowPunct w:val="0"/>
        <w:ind w:left="0"/>
        <w:rPr>
          <w:lang w:val="el-GR"/>
        </w:rPr>
      </w:pPr>
      <w:r>
        <w:rPr>
          <w:lang w:val="el-GR"/>
        </w:rPr>
        <w:t>Το adalimumab</w:t>
      </w:r>
      <w:r>
        <w:rPr>
          <w:i/>
          <w:iCs/>
          <w:lang w:val="el-GR"/>
        </w:rPr>
        <w:t xml:space="preserve"> </w:t>
      </w:r>
      <w:r>
        <w:rPr>
          <w:lang w:val="el-GR"/>
        </w:rPr>
        <w:t>δεν έχει μελετηθεί σε ασθενείς με ηπατική ή νεφρική ανεπάρκεια.</w:t>
      </w:r>
    </w:p>
    <w:p w14:paraId="446B3DD0" w14:textId="77777777" w:rsidR="00171824" w:rsidRDefault="00171824">
      <w:pPr>
        <w:widowControl/>
        <w:kinsoku w:val="0"/>
        <w:overflowPunct w:val="0"/>
        <w:rPr>
          <w:sz w:val="22"/>
          <w:szCs w:val="22"/>
          <w:lang w:val="el-GR"/>
        </w:rPr>
      </w:pPr>
    </w:p>
    <w:p w14:paraId="612F2FC0"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Προκλινικά δεδομένα για την ασφάλεια</w:t>
      </w:r>
    </w:p>
    <w:p w14:paraId="6A47B4C2" w14:textId="77777777" w:rsidR="00171824" w:rsidRDefault="00171824">
      <w:pPr>
        <w:widowControl/>
        <w:kinsoku w:val="0"/>
        <w:overflowPunct w:val="0"/>
        <w:rPr>
          <w:sz w:val="22"/>
          <w:szCs w:val="22"/>
          <w:lang w:val="el-GR"/>
        </w:rPr>
      </w:pPr>
    </w:p>
    <w:p w14:paraId="5BEE78C7" w14:textId="77777777" w:rsidR="00171824" w:rsidRDefault="006D258C">
      <w:pPr>
        <w:pStyle w:val="BodyText"/>
        <w:widowControl/>
        <w:kinsoku w:val="0"/>
        <w:overflowPunct w:val="0"/>
        <w:ind w:left="0"/>
        <w:rPr>
          <w:lang w:val="el-GR"/>
        </w:rPr>
      </w:pPr>
      <w:r>
        <w:rPr>
          <w:lang w:val="el-GR"/>
        </w:rPr>
        <w:t>Τα μη κλινικά δεδομένα δεν αποκαλύπτουν ιδιαίτερο κίνδυνο για τον άνθρωπο με βάση τις μελέτες τοξικότητας εφάπαξ δόσης, τοξικότητας επαναλαμβανόμενων δόσεων και γονοτοξικότητας.</w:t>
      </w:r>
    </w:p>
    <w:p w14:paraId="669C3F42" w14:textId="77777777" w:rsidR="00171824" w:rsidRDefault="00171824">
      <w:pPr>
        <w:widowControl/>
        <w:kinsoku w:val="0"/>
        <w:overflowPunct w:val="0"/>
        <w:rPr>
          <w:sz w:val="22"/>
          <w:szCs w:val="22"/>
          <w:lang w:val="el-GR"/>
        </w:rPr>
      </w:pPr>
    </w:p>
    <w:p w14:paraId="1333C66F" w14:textId="77777777" w:rsidR="00171824" w:rsidRDefault="006D258C">
      <w:pPr>
        <w:pStyle w:val="BodyText"/>
        <w:widowControl/>
        <w:kinsoku w:val="0"/>
        <w:overflowPunct w:val="0"/>
        <w:ind w:left="0"/>
        <w:rPr>
          <w:lang w:val="el-GR"/>
        </w:rPr>
      </w:pPr>
      <w:r>
        <w:rPr>
          <w:lang w:val="el-GR"/>
        </w:rPr>
        <w:t>Μια μελέτη εμβρυοτοξικότητας/περιγεννητικής ανάπτυξης έγινε σε κυνομόλογους πιθήκους σε 0, 30 και 100 mg/kg (9</w:t>
      </w:r>
      <w:r>
        <w:rPr>
          <w:lang w:val="el-GR"/>
        </w:rPr>
        <w:noBreakHyphen/>
        <w:t>17 πιθήκους/ομάδα) και δεν απεκάλυψε καμία ένδειξη κινδύνου στα έμβρυα λόγω του adalimumab. Καμία μελέτη καρκινογένεσης, όπως ούτε και η πρότυπη εκτίμηση της γονιμότητας και μεταγεννητικής τοξικότητας δεν έγινε με το adalimumab λόγω της απουσίας των κατάλληλων μοντέλων για ένα αντίσωμα με περιορισμένη διασταυρούμενη αντιδραστικότητα στο TNF τρωκτικών και την ανάπτυξη εξουδετερωτικών αντισωμάτων σε τρωκτικά.</w:t>
      </w:r>
    </w:p>
    <w:p w14:paraId="445042AD" w14:textId="77777777" w:rsidR="00171824" w:rsidRDefault="00171824">
      <w:pPr>
        <w:widowControl/>
        <w:kinsoku w:val="0"/>
        <w:overflowPunct w:val="0"/>
        <w:rPr>
          <w:sz w:val="22"/>
          <w:szCs w:val="22"/>
          <w:lang w:val="el-GR"/>
        </w:rPr>
      </w:pPr>
    </w:p>
    <w:p w14:paraId="561AC315" w14:textId="77777777" w:rsidR="00171824" w:rsidRDefault="00171824">
      <w:pPr>
        <w:widowControl/>
        <w:kinsoku w:val="0"/>
        <w:overflowPunct w:val="0"/>
        <w:rPr>
          <w:sz w:val="22"/>
          <w:szCs w:val="22"/>
          <w:lang w:val="el-GR"/>
        </w:rPr>
      </w:pPr>
    </w:p>
    <w:p w14:paraId="5BBAED78" w14:textId="77777777" w:rsidR="00171824" w:rsidRDefault="006D258C">
      <w:pPr>
        <w:pStyle w:val="Heading1"/>
        <w:keepNext/>
        <w:widowControl/>
        <w:numPr>
          <w:ilvl w:val="0"/>
          <w:numId w:val="3"/>
        </w:numPr>
        <w:tabs>
          <w:tab w:val="left" w:pos="567"/>
        </w:tabs>
        <w:kinsoku w:val="0"/>
        <w:overflowPunct w:val="0"/>
        <w:ind w:left="567"/>
        <w:rPr>
          <w:b w:val="0"/>
          <w:bCs w:val="0"/>
          <w:lang w:val="el-GR"/>
        </w:rPr>
      </w:pPr>
      <w:r>
        <w:rPr>
          <w:lang w:val="el-GR"/>
        </w:rPr>
        <w:t>ΦΑΡΜΑΚΕΥΤΙΚΕΣ ΠΛΗΡΟΦΟΡΙΕΣ</w:t>
      </w:r>
    </w:p>
    <w:p w14:paraId="2D350390" w14:textId="77777777" w:rsidR="00171824" w:rsidRDefault="00171824">
      <w:pPr>
        <w:keepNext/>
        <w:widowControl/>
        <w:kinsoku w:val="0"/>
        <w:overflowPunct w:val="0"/>
        <w:rPr>
          <w:sz w:val="22"/>
          <w:szCs w:val="22"/>
          <w:lang w:val="el-GR"/>
        </w:rPr>
      </w:pPr>
    </w:p>
    <w:p w14:paraId="65D68586" w14:textId="77777777" w:rsidR="00171824" w:rsidRDefault="006D258C">
      <w:pPr>
        <w:keepNext/>
        <w:widowControl/>
        <w:numPr>
          <w:ilvl w:val="1"/>
          <w:numId w:val="3"/>
        </w:numPr>
        <w:tabs>
          <w:tab w:val="left" w:pos="567"/>
        </w:tabs>
        <w:kinsoku w:val="0"/>
        <w:overflowPunct w:val="0"/>
        <w:ind w:left="567"/>
        <w:rPr>
          <w:sz w:val="22"/>
          <w:szCs w:val="22"/>
          <w:lang w:val="el-GR"/>
        </w:rPr>
      </w:pPr>
      <w:r>
        <w:rPr>
          <w:b/>
          <w:bCs/>
          <w:sz w:val="22"/>
          <w:szCs w:val="22"/>
          <w:lang w:val="el-GR"/>
        </w:rPr>
        <w:t>Κατάλογος εκδόχων</w:t>
      </w:r>
    </w:p>
    <w:p w14:paraId="71CD5A31" w14:textId="77777777" w:rsidR="00171824" w:rsidRDefault="00171824">
      <w:pPr>
        <w:keepNext/>
        <w:widowControl/>
        <w:kinsoku w:val="0"/>
        <w:overflowPunct w:val="0"/>
        <w:rPr>
          <w:sz w:val="22"/>
          <w:szCs w:val="22"/>
          <w:lang w:val="el-GR"/>
        </w:rPr>
      </w:pPr>
    </w:p>
    <w:p w14:paraId="6E09F4F2" w14:textId="77777777" w:rsidR="00171824" w:rsidRDefault="006D258C">
      <w:pPr>
        <w:pStyle w:val="BodyText"/>
        <w:widowControl/>
        <w:kinsoku w:val="0"/>
        <w:overflowPunct w:val="0"/>
        <w:ind w:left="0"/>
        <w:rPr>
          <w:lang w:val="el-GR"/>
        </w:rPr>
      </w:pPr>
      <w:r>
        <w:rPr>
          <w:lang w:val="el-GR"/>
        </w:rPr>
        <w:t>Παγόμορφο οξικό οξύ</w:t>
      </w:r>
    </w:p>
    <w:p w14:paraId="0F06DE87" w14:textId="77777777" w:rsidR="00171824" w:rsidRDefault="006D258C">
      <w:pPr>
        <w:pStyle w:val="BodyText"/>
        <w:widowControl/>
        <w:kinsoku w:val="0"/>
        <w:overflowPunct w:val="0"/>
        <w:ind w:left="0"/>
        <w:rPr>
          <w:lang w:val="el-GR"/>
        </w:rPr>
      </w:pPr>
      <w:r>
        <w:rPr>
          <w:lang w:val="el-GR"/>
        </w:rPr>
        <w:t>Σακχαρόζη</w:t>
      </w:r>
    </w:p>
    <w:p w14:paraId="1593A934" w14:textId="77777777" w:rsidR="00171824" w:rsidRDefault="006D258C">
      <w:pPr>
        <w:pStyle w:val="BodyText"/>
        <w:widowControl/>
        <w:kinsoku w:val="0"/>
        <w:overflowPunct w:val="0"/>
        <w:ind w:left="0"/>
        <w:rPr>
          <w:lang w:val="el-GR"/>
        </w:rPr>
      </w:pPr>
      <w:r>
        <w:rPr>
          <w:lang w:val="el-GR"/>
        </w:rPr>
        <w:t>Πολυσορβικό 80</w:t>
      </w:r>
    </w:p>
    <w:p w14:paraId="5CCEE04B" w14:textId="77777777" w:rsidR="00171824" w:rsidRDefault="006D258C">
      <w:pPr>
        <w:pStyle w:val="BodyText"/>
        <w:widowControl/>
        <w:kinsoku w:val="0"/>
        <w:overflowPunct w:val="0"/>
        <w:ind w:left="0"/>
        <w:rPr>
          <w:lang w:val="el-GR"/>
        </w:rPr>
      </w:pPr>
      <w:r>
        <w:rPr>
          <w:lang w:val="el-GR"/>
        </w:rPr>
        <w:t>Υδροξείδιο του νατρίου (για ρύθμιση του pH)</w:t>
      </w:r>
    </w:p>
    <w:p w14:paraId="077F8420" w14:textId="77777777" w:rsidR="00171824" w:rsidRDefault="006D258C">
      <w:pPr>
        <w:pStyle w:val="BodyText"/>
        <w:widowControl/>
        <w:kinsoku w:val="0"/>
        <w:overflowPunct w:val="0"/>
        <w:ind w:left="0"/>
        <w:rPr>
          <w:lang w:val="el-GR"/>
        </w:rPr>
      </w:pPr>
      <w:r>
        <w:rPr>
          <w:lang w:val="el-GR"/>
        </w:rPr>
        <w:t>Ύδωρ για ενέσιμα</w:t>
      </w:r>
    </w:p>
    <w:p w14:paraId="41FC8229" w14:textId="77777777" w:rsidR="00171824" w:rsidRDefault="00171824">
      <w:pPr>
        <w:widowControl/>
        <w:kinsoku w:val="0"/>
        <w:overflowPunct w:val="0"/>
        <w:rPr>
          <w:sz w:val="22"/>
          <w:szCs w:val="22"/>
          <w:lang w:val="el-GR"/>
        </w:rPr>
      </w:pPr>
    </w:p>
    <w:p w14:paraId="0F1A4420"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Ασυμβατότητες</w:t>
      </w:r>
    </w:p>
    <w:p w14:paraId="7DB4424F" w14:textId="77777777" w:rsidR="00171824" w:rsidRDefault="00171824">
      <w:pPr>
        <w:keepNext/>
        <w:widowControl/>
        <w:kinsoku w:val="0"/>
        <w:overflowPunct w:val="0"/>
        <w:rPr>
          <w:sz w:val="22"/>
          <w:szCs w:val="22"/>
          <w:lang w:val="el-GR"/>
        </w:rPr>
      </w:pPr>
    </w:p>
    <w:p w14:paraId="0760C3DE" w14:textId="77777777" w:rsidR="00171824" w:rsidRDefault="006D258C">
      <w:pPr>
        <w:pStyle w:val="BodyText"/>
        <w:widowControl/>
        <w:kinsoku w:val="0"/>
        <w:overflowPunct w:val="0"/>
        <w:ind w:left="0"/>
        <w:rPr>
          <w:lang w:val="el-GR"/>
        </w:rPr>
      </w:pPr>
      <w:r>
        <w:rPr>
          <w:lang w:val="el-GR"/>
        </w:rPr>
        <w:t>Ελλείψει μελετών σχετικά με τη συμβατότητα, το παρόν φαρμακευτικό προϊόν δεν πρέπει να αναμειγνύεται με άλλα φαρμακευτικά προϊόντα.</w:t>
      </w:r>
    </w:p>
    <w:p w14:paraId="2646D62B" w14:textId="77777777" w:rsidR="00171824" w:rsidRDefault="00171824">
      <w:pPr>
        <w:keepNext/>
        <w:widowControl/>
        <w:kinsoku w:val="0"/>
        <w:overflowPunct w:val="0"/>
        <w:rPr>
          <w:sz w:val="22"/>
          <w:szCs w:val="22"/>
          <w:lang w:val="el-GR"/>
        </w:rPr>
      </w:pPr>
    </w:p>
    <w:p w14:paraId="06930425"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Διάρκεια ζωής</w:t>
      </w:r>
    </w:p>
    <w:p w14:paraId="5112AEB8" w14:textId="77777777" w:rsidR="00171824" w:rsidRDefault="00171824">
      <w:pPr>
        <w:keepNext/>
        <w:widowControl/>
        <w:kinsoku w:val="0"/>
        <w:overflowPunct w:val="0"/>
        <w:rPr>
          <w:sz w:val="22"/>
          <w:szCs w:val="22"/>
          <w:lang w:val="el-GR"/>
        </w:rPr>
      </w:pPr>
    </w:p>
    <w:p w14:paraId="54C5BA49" w14:textId="77777777" w:rsidR="00171824" w:rsidRDefault="006D258C">
      <w:pPr>
        <w:pStyle w:val="BodyText"/>
        <w:widowControl/>
        <w:kinsoku w:val="0"/>
        <w:overflowPunct w:val="0"/>
        <w:ind w:left="0"/>
        <w:rPr>
          <w:lang w:val="el-GR"/>
        </w:rPr>
      </w:pPr>
      <w:r>
        <w:rPr>
          <w:lang w:val="el-GR"/>
        </w:rPr>
        <w:t>3 χρόνια</w:t>
      </w:r>
    </w:p>
    <w:p w14:paraId="40885C82" w14:textId="77777777" w:rsidR="00171824" w:rsidRDefault="00171824">
      <w:pPr>
        <w:widowControl/>
        <w:kinsoku w:val="0"/>
        <w:overflowPunct w:val="0"/>
        <w:rPr>
          <w:sz w:val="22"/>
          <w:szCs w:val="22"/>
          <w:lang w:val="el-GR"/>
        </w:rPr>
      </w:pPr>
    </w:p>
    <w:p w14:paraId="4A51C6D6"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Ιδιαίτερες προφυλάξεις κατά τη φύλαξη του προϊόντος</w:t>
      </w:r>
    </w:p>
    <w:p w14:paraId="3E45D0E4" w14:textId="77777777" w:rsidR="00171824" w:rsidRDefault="00171824">
      <w:pPr>
        <w:widowControl/>
        <w:kinsoku w:val="0"/>
        <w:overflowPunct w:val="0"/>
        <w:rPr>
          <w:sz w:val="22"/>
          <w:szCs w:val="22"/>
          <w:lang w:val="el-GR"/>
        </w:rPr>
      </w:pPr>
    </w:p>
    <w:p w14:paraId="176B89CE" w14:textId="77777777" w:rsidR="00171824" w:rsidRDefault="006D258C">
      <w:pPr>
        <w:pStyle w:val="BodyText"/>
        <w:widowControl/>
        <w:kinsoku w:val="0"/>
        <w:overflowPunct w:val="0"/>
        <w:ind w:left="0"/>
        <w:rPr>
          <w:lang w:val="el-GR"/>
        </w:rPr>
      </w:pPr>
      <w:r>
        <w:rPr>
          <w:lang w:val="el-GR"/>
        </w:rPr>
        <w:t xml:space="preserve">Φυλάσσετε σε ψυγείο (2°C – 8°C). </w:t>
      </w:r>
    </w:p>
    <w:p w14:paraId="1392688C" w14:textId="77777777" w:rsidR="00171824" w:rsidRDefault="006D258C">
      <w:pPr>
        <w:pStyle w:val="BodyText"/>
        <w:widowControl/>
        <w:kinsoku w:val="0"/>
        <w:overflowPunct w:val="0"/>
        <w:ind w:left="0"/>
        <w:rPr>
          <w:lang w:val="el-GR"/>
        </w:rPr>
      </w:pPr>
      <w:r>
        <w:rPr>
          <w:lang w:val="el-GR"/>
        </w:rPr>
        <w:t xml:space="preserve">Μην καταψύχετε. </w:t>
      </w:r>
    </w:p>
    <w:p w14:paraId="72C18BFD" w14:textId="77777777" w:rsidR="00171824" w:rsidRDefault="006D258C">
      <w:pPr>
        <w:pStyle w:val="BodyText"/>
        <w:widowControl/>
        <w:kinsoku w:val="0"/>
        <w:overflowPunct w:val="0"/>
        <w:ind w:left="0"/>
        <w:rPr>
          <w:lang w:val="el-GR"/>
        </w:rPr>
      </w:pPr>
      <w:r>
        <w:rPr>
          <w:lang w:val="el-GR"/>
        </w:rPr>
        <w:t>Φυλάσσετε την προγεμισμένη σύριγγα ή την προγεμισμένη συσκευή τύπου πένας στο εξωτερικό κουτί για να προστατεύεται από το φως.</w:t>
      </w:r>
    </w:p>
    <w:p w14:paraId="06244D8B" w14:textId="77777777" w:rsidR="00171824" w:rsidRDefault="00171824">
      <w:pPr>
        <w:widowControl/>
        <w:kinsoku w:val="0"/>
        <w:overflowPunct w:val="0"/>
        <w:rPr>
          <w:sz w:val="22"/>
          <w:szCs w:val="22"/>
          <w:lang w:val="el-GR"/>
        </w:rPr>
      </w:pPr>
    </w:p>
    <w:p w14:paraId="39BF7EE0" w14:textId="77777777" w:rsidR="00171824" w:rsidRDefault="006D258C">
      <w:pPr>
        <w:pStyle w:val="BodyText"/>
        <w:widowControl/>
        <w:kinsoku w:val="0"/>
        <w:overflowPunct w:val="0"/>
        <w:ind w:left="0"/>
        <w:rPr>
          <w:lang w:val="el-GR"/>
        </w:rPr>
      </w:pPr>
      <w:r>
        <w:rPr>
          <w:lang w:val="el-GR"/>
        </w:rPr>
        <w:t>Η κάθε προγεμισμένη σύριγγα ή προγεμισμένη συσκευή τύπου πένας μπορεί να φυλάσσεται σε θερμοκρασίες μέχρι 25 °C για χρονικό διάστημα έως και 14 ημέρες. Η προγεμισμένη σύριγγα ή η προγεμισμένη συσκευή τύπου πένας πρέπει να προστατεύεται από το φως, και να απορρίπτεται εάν δεν χρησιμοποιηθεί μέσα στην περίοδο των 14 ημερών.</w:t>
      </w:r>
    </w:p>
    <w:p w14:paraId="027325C1" w14:textId="77777777" w:rsidR="00171824" w:rsidRDefault="00171824">
      <w:pPr>
        <w:widowControl/>
        <w:kinsoku w:val="0"/>
        <w:overflowPunct w:val="0"/>
        <w:rPr>
          <w:sz w:val="22"/>
          <w:szCs w:val="22"/>
          <w:lang w:val="el-GR"/>
        </w:rPr>
      </w:pPr>
    </w:p>
    <w:p w14:paraId="167C1071" w14:textId="77777777" w:rsidR="00171824" w:rsidRDefault="006D258C">
      <w:pPr>
        <w:pStyle w:val="Heading1"/>
        <w:keepNext/>
        <w:widowControl/>
        <w:numPr>
          <w:ilvl w:val="1"/>
          <w:numId w:val="3"/>
        </w:numPr>
        <w:tabs>
          <w:tab w:val="left" w:pos="567"/>
        </w:tabs>
        <w:kinsoku w:val="0"/>
        <w:overflowPunct w:val="0"/>
        <w:ind w:left="567"/>
        <w:rPr>
          <w:b w:val="0"/>
          <w:bCs w:val="0"/>
          <w:lang w:val="el-GR"/>
        </w:rPr>
      </w:pPr>
      <w:r>
        <w:rPr>
          <w:lang w:val="el-GR"/>
        </w:rPr>
        <w:t>Φύση και συστατικά του περιέκτη</w:t>
      </w:r>
    </w:p>
    <w:p w14:paraId="308F82CA" w14:textId="77777777" w:rsidR="00171824" w:rsidRDefault="00171824">
      <w:pPr>
        <w:keepNext/>
        <w:widowControl/>
        <w:kinsoku w:val="0"/>
        <w:overflowPunct w:val="0"/>
        <w:rPr>
          <w:sz w:val="22"/>
          <w:szCs w:val="22"/>
          <w:lang w:val="el-GR"/>
        </w:rPr>
      </w:pPr>
    </w:p>
    <w:p w14:paraId="0C9951A8" w14:textId="77777777" w:rsidR="00171824" w:rsidRDefault="006D258C">
      <w:pPr>
        <w:widowControl/>
        <w:kinsoku w:val="0"/>
        <w:overflowPunct w:val="0"/>
        <w:rPr>
          <w:sz w:val="22"/>
          <w:szCs w:val="22"/>
          <w:u w:val="single"/>
          <w:lang w:val="el-GR"/>
        </w:rPr>
      </w:pPr>
      <w:r>
        <w:rPr>
          <w:sz w:val="22"/>
          <w:szCs w:val="22"/>
          <w:u w:val="single"/>
          <w:lang w:val="el-GR"/>
        </w:rPr>
        <w:t>AMGEVITA 20 mg ενέσιμο διάλυμα σε προγεμισμένη σύριγγα</w:t>
      </w:r>
    </w:p>
    <w:p w14:paraId="70DE5E70" w14:textId="77777777" w:rsidR="00171824" w:rsidRDefault="00171824">
      <w:pPr>
        <w:widowControl/>
        <w:kinsoku w:val="0"/>
        <w:overflowPunct w:val="0"/>
        <w:rPr>
          <w:sz w:val="22"/>
          <w:szCs w:val="22"/>
          <w:u w:val="single"/>
          <w:lang w:val="el-GR"/>
        </w:rPr>
      </w:pPr>
    </w:p>
    <w:p w14:paraId="1DD9E8AC" w14:textId="77777777" w:rsidR="00171824" w:rsidRDefault="006D258C">
      <w:pPr>
        <w:pStyle w:val="BodyText"/>
        <w:widowControl/>
        <w:kinsoku w:val="0"/>
        <w:overflowPunct w:val="0"/>
        <w:ind w:left="0"/>
        <w:rPr>
          <w:lang w:val="el-GR"/>
        </w:rPr>
      </w:pPr>
      <w:r>
        <w:rPr>
          <w:lang w:val="el-GR"/>
        </w:rPr>
        <w:t xml:space="preserve">Διάλυμα 0,4 ml σε προγεμισμένη σύριγγα (γυαλί τύπου Ι) με έμβολο με πώμα (από βρωμοβουτυλικό ελαστικό) και μία βελόνα από ανοξείδωτο ατσάλι με προστατευτικό κάλυμμα (θερμοπλαστικό ελαστομερές). </w:t>
      </w:r>
    </w:p>
    <w:p w14:paraId="4BBFDD3C" w14:textId="77777777" w:rsidR="00171824" w:rsidRDefault="00171824">
      <w:pPr>
        <w:widowControl/>
        <w:kinsoku w:val="0"/>
        <w:overflowPunct w:val="0"/>
        <w:rPr>
          <w:sz w:val="22"/>
          <w:szCs w:val="22"/>
          <w:lang w:val="el-GR"/>
        </w:rPr>
      </w:pPr>
    </w:p>
    <w:p w14:paraId="1A971CF8" w14:textId="77777777" w:rsidR="00171824" w:rsidRDefault="006D258C">
      <w:pPr>
        <w:pStyle w:val="BodyText"/>
        <w:widowControl/>
        <w:kinsoku w:val="0"/>
        <w:overflowPunct w:val="0"/>
        <w:ind w:left="0"/>
        <w:jc w:val="both"/>
        <w:rPr>
          <w:lang w:val="el-GR"/>
        </w:rPr>
      </w:pPr>
      <w:r>
        <w:rPr>
          <w:lang w:val="el-GR"/>
        </w:rPr>
        <w:t>Μέγεθος συσκευασίας 1 προγεμισμένης σύριγγας.</w:t>
      </w:r>
    </w:p>
    <w:p w14:paraId="323F053A" w14:textId="77777777" w:rsidR="00171824" w:rsidRDefault="00171824">
      <w:pPr>
        <w:widowControl/>
        <w:kinsoku w:val="0"/>
        <w:overflowPunct w:val="0"/>
        <w:rPr>
          <w:sz w:val="22"/>
          <w:szCs w:val="22"/>
          <w:u w:val="single"/>
          <w:lang w:val="el-GR"/>
        </w:rPr>
      </w:pPr>
    </w:p>
    <w:p w14:paraId="36B83F36" w14:textId="77777777" w:rsidR="00171824" w:rsidRDefault="006D258C">
      <w:pPr>
        <w:widowControl/>
        <w:kinsoku w:val="0"/>
        <w:overflowPunct w:val="0"/>
        <w:rPr>
          <w:sz w:val="22"/>
          <w:szCs w:val="22"/>
          <w:u w:val="single"/>
          <w:lang w:val="el-GR"/>
        </w:rPr>
      </w:pPr>
      <w:r>
        <w:rPr>
          <w:sz w:val="22"/>
          <w:szCs w:val="22"/>
          <w:u w:val="single"/>
          <w:lang w:val="el-GR"/>
        </w:rPr>
        <w:t>AMGEVITA 40 mg ενέσιμο διάλυμα σε προγεμισμένη σύριγγα</w:t>
      </w:r>
    </w:p>
    <w:p w14:paraId="555DDCD9" w14:textId="77777777" w:rsidR="00171824" w:rsidRDefault="00171824">
      <w:pPr>
        <w:widowControl/>
        <w:kinsoku w:val="0"/>
        <w:overflowPunct w:val="0"/>
        <w:rPr>
          <w:sz w:val="22"/>
          <w:szCs w:val="22"/>
          <w:u w:val="single"/>
          <w:lang w:val="el-GR"/>
        </w:rPr>
      </w:pPr>
    </w:p>
    <w:p w14:paraId="0CEE4FB2" w14:textId="77777777" w:rsidR="00171824" w:rsidRDefault="006D258C">
      <w:pPr>
        <w:pStyle w:val="BodyText"/>
        <w:widowControl/>
        <w:kinsoku w:val="0"/>
        <w:overflowPunct w:val="0"/>
        <w:ind w:left="0"/>
        <w:rPr>
          <w:lang w:val="el-GR"/>
        </w:rPr>
      </w:pPr>
      <w:r>
        <w:rPr>
          <w:lang w:val="el-GR"/>
        </w:rPr>
        <w:t xml:space="preserve">Διάλυμα 0,8 ml σε προγεμισμένη σύριγγα (γυαλί τύπου Ι) με έμβολο με πώμα (από βρωμοβουτυλικό ελαστικό) και μία βελόνα από ανοξείδωτο ατσάλι με προστατευτικό κάλυμμα (θερμοπλαστικό ελαστομερές). </w:t>
      </w:r>
    </w:p>
    <w:p w14:paraId="2D74117E" w14:textId="77777777" w:rsidR="00171824" w:rsidRDefault="00171824">
      <w:pPr>
        <w:pStyle w:val="BodyText"/>
        <w:widowControl/>
        <w:kinsoku w:val="0"/>
        <w:overflowPunct w:val="0"/>
        <w:ind w:left="0"/>
        <w:jc w:val="both"/>
        <w:rPr>
          <w:lang w:val="el-GR"/>
        </w:rPr>
      </w:pPr>
    </w:p>
    <w:p w14:paraId="58CFE098" w14:textId="77777777" w:rsidR="00171824" w:rsidRDefault="006D258C">
      <w:pPr>
        <w:pStyle w:val="BodyText"/>
        <w:widowControl/>
        <w:kinsoku w:val="0"/>
        <w:overflowPunct w:val="0"/>
        <w:ind w:left="0"/>
        <w:rPr>
          <w:lang w:val="el-GR"/>
        </w:rPr>
      </w:pPr>
      <w:r>
        <w:rPr>
          <w:lang w:val="el-GR"/>
        </w:rPr>
        <w:t>Μεγέθη συσκευασίας με 1, 2, 4 ή πολυσυσκευασία των 6 (3 κουτιά των 2) προγεμισμένων -συριγγών.</w:t>
      </w:r>
    </w:p>
    <w:p w14:paraId="39E80E8C" w14:textId="77777777" w:rsidR="00171824" w:rsidRDefault="006D258C">
      <w:pPr>
        <w:pStyle w:val="BodyText"/>
        <w:widowControl/>
        <w:kinsoku w:val="0"/>
        <w:overflowPunct w:val="0"/>
        <w:ind w:left="0"/>
        <w:jc w:val="both"/>
        <w:rPr>
          <w:lang w:val="el-GR"/>
        </w:rPr>
      </w:pPr>
      <w:r>
        <w:rPr>
          <w:lang w:val="el-GR"/>
        </w:rPr>
        <w:t>Μπορεί να μην κυκλοφορούν όλες οι συσκευασίες.</w:t>
      </w:r>
    </w:p>
    <w:p w14:paraId="1682D6D8" w14:textId="77777777" w:rsidR="00171824" w:rsidRDefault="00171824">
      <w:pPr>
        <w:widowControl/>
        <w:kinsoku w:val="0"/>
        <w:overflowPunct w:val="0"/>
        <w:rPr>
          <w:sz w:val="22"/>
          <w:szCs w:val="22"/>
          <w:lang w:val="el-GR"/>
        </w:rPr>
      </w:pPr>
    </w:p>
    <w:p w14:paraId="3478E8F9" w14:textId="77777777" w:rsidR="00171824" w:rsidRDefault="006D258C">
      <w:pPr>
        <w:widowControl/>
        <w:kinsoku w:val="0"/>
        <w:overflowPunct w:val="0"/>
        <w:rPr>
          <w:sz w:val="22"/>
          <w:szCs w:val="22"/>
          <w:u w:val="single"/>
          <w:lang w:val="el-GR"/>
        </w:rPr>
      </w:pPr>
      <w:r>
        <w:rPr>
          <w:sz w:val="22"/>
          <w:szCs w:val="22"/>
          <w:u w:val="single"/>
          <w:lang w:val="el-GR"/>
        </w:rPr>
        <w:t xml:space="preserve">AMGEVITA 40 mg ενέσιμο διάλυμα σε προγεμισμένη συσκευή τύπου πένας </w:t>
      </w:r>
    </w:p>
    <w:p w14:paraId="1D8E5D65" w14:textId="77777777" w:rsidR="00171824" w:rsidRDefault="00171824">
      <w:pPr>
        <w:widowControl/>
        <w:kinsoku w:val="0"/>
        <w:overflowPunct w:val="0"/>
        <w:rPr>
          <w:sz w:val="22"/>
          <w:szCs w:val="22"/>
          <w:u w:val="single"/>
          <w:lang w:val="el-GR"/>
        </w:rPr>
      </w:pPr>
    </w:p>
    <w:p w14:paraId="79A1A35C" w14:textId="77777777" w:rsidR="00171824" w:rsidRDefault="006D258C">
      <w:pPr>
        <w:pStyle w:val="BodyText"/>
        <w:widowControl/>
        <w:kinsoku w:val="0"/>
        <w:overflowPunct w:val="0"/>
        <w:ind w:left="0"/>
        <w:rPr>
          <w:lang w:val="el-GR"/>
        </w:rPr>
      </w:pPr>
      <w:r>
        <w:rPr>
          <w:lang w:val="el-GR"/>
        </w:rPr>
        <w:t>Ενέσιμο διάλυμα 0,8 ml σε προγεμισμένη συσκευή τύπου πένας για χρήση από τους ασθενείς, η οποία περιέχει μία προγεμισμένη σύριγγα (γυαλί τύπου I). Η συσκευή τύπου πένας είναι μία μηχανική συσκευή ένεσης χειρός, μίας χρήσης, η οποία στη συνέχεια θα πρέπει να απορρίπτεται. Το κάλυμμα της βελόνας της προγεμισμένης συσκευής τύπου πένας είναι κατασκευασμένο από συνθετικό ελαστικό.</w:t>
      </w:r>
    </w:p>
    <w:p w14:paraId="4904FF0D" w14:textId="77777777" w:rsidR="00171824" w:rsidRDefault="00171824">
      <w:pPr>
        <w:widowControl/>
        <w:kinsoku w:val="0"/>
        <w:overflowPunct w:val="0"/>
        <w:rPr>
          <w:sz w:val="22"/>
          <w:szCs w:val="22"/>
          <w:lang w:val="el-GR"/>
        </w:rPr>
      </w:pPr>
    </w:p>
    <w:p w14:paraId="5FB96EA9" w14:textId="77777777" w:rsidR="00171824" w:rsidRDefault="006D258C">
      <w:pPr>
        <w:widowControl/>
        <w:kinsoku w:val="0"/>
        <w:overflowPunct w:val="0"/>
        <w:rPr>
          <w:sz w:val="22"/>
          <w:szCs w:val="22"/>
          <w:lang w:val="el-GR"/>
        </w:rPr>
      </w:pPr>
      <w:r>
        <w:rPr>
          <w:sz w:val="22"/>
          <w:szCs w:val="22"/>
          <w:lang w:val="el-GR"/>
        </w:rPr>
        <w:t>Μεγέθη συσκευασίας με 1, 2, 4 ή πολυσυσκευασία των 6 (3 κουτιά των 2)</w:t>
      </w:r>
      <w:r>
        <w:rPr>
          <w:sz w:val="22"/>
          <w:lang w:val="el-GR"/>
        </w:rPr>
        <w:t xml:space="preserve"> </w:t>
      </w:r>
      <w:r>
        <w:rPr>
          <w:sz w:val="22"/>
          <w:szCs w:val="22"/>
          <w:lang w:val="el-GR"/>
        </w:rPr>
        <w:t>προγεμισμένων συσκευών τύπου πένας.</w:t>
      </w:r>
    </w:p>
    <w:p w14:paraId="67D73A89" w14:textId="77777777" w:rsidR="00171824" w:rsidRDefault="006D258C">
      <w:pPr>
        <w:widowControl/>
        <w:kinsoku w:val="0"/>
        <w:overflowPunct w:val="0"/>
        <w:rPr>
          <w:sz w:val="22"/>
          <w:szCs w:val="22"/>
          <w:lang w:val="el-GR"/>
        </w:rPr>
      </w:pPr>
      <w:r>
        <w:rPr>
          <w:sz w:val="22"/>
          <w:szCs w:val="22"/>
          <w:lang w:val="el-GR"/>
        </w:rPr>
        <w:t>Μπορεί να μην κυκλοφορούν όλες οι συσκευασίες.</w:t>
      </w:r>
    </w:p>
    <w:p w14:paraId="46ED7E40" w14:textId="77777777" w:rsidR="00171824" w:rsidRDefault="00171824">
      <w:pPr>
        <w:widowControl/>
        <w:kinsoku w:val="0"/>
        <w:overflowPunct w:val="0"/>
        <w:rPr>
          <w:sz w:val="22"/>
          <w:szCs w:val="22"/>
          <w:lang w:val="el-GR"/>
        </w:rPr>
      </w:pPr>
    </w:p>
    <w:p w14:paraId="201126FB" w14:textId="77777777" w:rsidR="00171824" w:rsidRDefault="006D258C">
      <w:pPr>
        <w:pStyle w:val="Heading1"/>
        <w:widowControl/>
        <w:numPr>
          <w:ilvl w:val="1"/>
          <w:numId w:val="3"/>
        </w:numPr>
        <w:tabs>
          <w:tab w:val="left" w:pos="567"/>
        </w:tabs>
        <w:kinsoku w:val="0"/>
        <w:overflowPunct w:val="0"/>
        <w:ind w:left="567"/>
        <w:rPr>
          <w:b w:val="0"/>
          <w:bCs w:val="0"/>
          <w:lang w:val="el-GR"/>
        </w:rPr>
      </w:pPr>
      <w:r>
        <w:rPr>
          <w:lang w:val="el-GR"/>
        </w:rPr>
        <w:t>Ιδιαίτερες προφυλάξεις απόρριψης και άλλος χειρισμός</w:t>
      </w:r>
    </w:p>
    <w:p w14:paraId="4D113AD5" w14:textId="77777777" w:rsidR="00171824" w:rsidRDefault="00171824">
      <w:pPr>
        <w:widowControl/>
        <w:kinsoku w:val="0"/>
        <w:overflowPunct w:val="0"/>
        <w:rPr>
          <w:sz w:val="22"/>
          <w:szCs w:val="22"/>
          <w:lang w:val="el-GR"/>
        </w:rPr>
      </w:pPr>
    </w:p>
    <w:p w14:paraId="290ADA71" w14:textId="77777777" w:rsidR="00171824" w:rsidRDefault="006D258C">
      <w:pPr>
        <w:pStyle w:val="BodyText"/>
        <w:widowControl/>
        <w:kinsoku w:val="0"/>
        <w:overflowPunct w:val="0"/>
        <w:ind w:left="0"/>
        <w:rPr>
          <w:lang w:val="el-GR"/>
        </w:rPr>
      </w:pPr>
      <w:r>
        <w:rPr>
          <w:lang w:val="el-GR"/>
        </w:rPr>
        <w:t>Κάθε αχρησιμοποίητο φαρμακευτικό προϊόν ή υπόλειμμα πρέπει να απορρίπτεται σύμφωνα με τις κατά τόπους ισχύουσες σχετικές διατάξεις.</w:t>
      </w:r>
    </w:p>
    <w:p w14:paraId="206AEB75" w14:textId="77777777" w:rsidR="00171824" w:rsidRDefault="00171824">
      <w:pPr>
        <w:widowControl/>
        <w:kinsoku w:val="0"/>
        <w:overflowPunct w:val="0"/>
        <w:rPr>
          <w:sz w:val="22"/>
          <w:szCs w:val="22"/>
          <w:lang w:val="el-GR"/>
        </w:rPr>
      </w:pPr>
    </w:p>
    <w:p w14:paraId="40D7A924" w14:textId="77777777" w:rsidR="00171824" w:rsidRDefault="00171824">
      <w:pPr>
        <w:widowControl/>
        <w:kinsoku w:val="0"/>
        <w:overflowPunct w:val="0"/>
        <w:rPr>
          <w:sz w:val="22"/>
          <w:szCs w:val="22"/>
          <w:lang w:val="el-GR"/>
        </w:rPr>
      </w:pPr>
    </w:p>
    <w:p w14:paraId="2C80A86A" w14:textId="77777777" w:rsidR="00171824" w:rsidRDefault="006D258C">
      <w:pPr>
        <w:pStyle w:val="Heading1"/>
        <w:keepNext/>
        <w:widowControl/>
        <w:numPr>
          <w:ilvl w:val="0"/>
          <w:numId w:val="3"/>
        </w:numPr>
        <w:tabs>
          <w:tab w:val="left" w:pos="567"/>
        </w:tabs>
        <w:kinsoku w:val="0"/>
        <w:overflowPunct w:val="0"/>
        <w:ind w:left="567"/>
        <w:jc w:val="both"/>
        <w:rPr>
          <w:b w:val="0"/>
          <w:bCs w:val="0"/>
          <w:lang w:val="el-GR"/>
        </w:rPr>
      </w:pPr>
      <w:r>
        <w:rPr>
          <w:lang w:val="el-GR"/>
        </w:rPr>
        <w:lastRenderedPageBreak/>
        <w:t>ΚΑΤΟΧΟΣ ΤΗΣ ΑΔΕΙΑΣ ΚΥΚΛΟΦΟΡΙΑΣ</w:t>
      </w:r>
    </w:p>
    <w:p w14:paraId="5EC9B848" w14:textId="77777777" w:rsidR="00171824" w:rsidRDefault="00171824">
      <w:pPr>
        <w:keepNext/>
        <w:widowControl/>
        <w:kinsoku w:val="0"/>
        <w:overflowPunct w:val="0"/>
        <w:rPr>
          <w:sz w:val="22"/>
          <w:szCs w:val="22"/>
          <w:lang w:val="el-GR"/>
        </w:rPr>
      </w:pPr>
    </w:p>
    <w:p w14:paraId="7BAF90D2" w14:textId="77777777" w:rsidR="00171824" w:rsidRDefault="006D258C">
      <w:pPr>
        <w:keepNext/>
        <w:keepLines/>
        <w:widowControl/>
        <w:rPr>
          <w:sz w:val="22"/>
          <w:szCs w:val="22"/>
          <w:lang w:val="el-GR"/>
        </w:rPr>
      </w:pPr>
      <w:r>
        <w:rPr>
          <w:sz w:val="22"/>
          <w:szCs w:val="22"/>
          <w:lang w:val="el-GR"/>
        </w:rPr>
        <w:t>Amgen Europe B.V.</w:t>
      </w:r>
    </w:p>
    <w:p w14:paraId="1953D35C" w14:textId="77777777" w:rsidR="00171824" w:rsidRDefault="006D258C">
      <w:pPr>
        <w:keepNext/>
        <w:keepLines/>
        <w:widowControl/>
        <w:rPr>
          <w:sz w:val="22"/>
          <w:szCs w:val="22"/>
          <w:lang w:val="el-GR"/>
        </w:rPr>
      </w:pPr>
      <w:r>
        <w:rPr>
          <w:sz w:val="22"/>
          <w:szCs w:val="22"/>
          <w:lang w:val="el-GR"/>
        </w:rPr>
        <w:t>Minervum 7061</w:t>
      </w:r>
    </w:p>
    <w:p w14:paraId="3FE028B1" w14:textId="77777777" w:rsidR="00171824" w:rsidRDefault="006D258C">
      <w:pPr>
        <w:keepNext/>
        <w:keepLines/>
        <w:widowControl/>
        <w:rPr>
          <w:sz w:val="22"/>
          <w:szCs w:val="22"/>
          <w:lang w:val="el-GR"/>
        </w:rPr>
      </w:pPr>
      <w:r>
        <w:rPr>
          <w:sz w:val="22"/>
          <w:szCs w:val="22"/>
          <w:lang w:val="el-GR"/>
        </w:rPr>
        <w:t>4817 ZK Breda</w:t>
      </w:r>
    </w:p>
    <w:p w14:paraId="1585F7F4" w14:textId="77777777" w:rsidR="00171824" w:rsidRDefault="006D258C">
      <w:pPr>
        <w:keepNext/>
        <w:keepLines/>
        <w:widowControl/>
        <w:rPr>
          <w:sz w:val="22"/>
          <w:szCs w:val="22"/>
          <w:lang w:val="el-GR"/>
        </w:rPr>
      </w:pPr>
      <w:r>
        <w:rPr>
          <w:sz w:val="22"/>
          <w:szCs w:val="22"/>
          <w:lang w:val="el-GR"/>
        </w:rPr>
        <w:t>Ολλανδία</w:t>
      </w:r>
    </w:p>
    <w:p w14:paraId="4F860376" w14:textId="77777777" w:rsidR="00171824" w:rsidRDefault="00171824">
      <w:pPr>
        <w:widowControl/>
        <w:kinsoku w:val="0"/>
        <w:overflowPunct w:val="0"/>
        <w:rPr>
          <w:sz w:val="22"/>
          <w:szCs w:val="22"/>
          <w:lang w:val="el-GR"/>
        </w:rPr>
      </w:pPr>
    </w:p>
    <w:p w14:paraId="633FAC11" w14:textId="77777777" w:rsidR="00171824" w:rsidRDefault="00171824">
      <w:pPr>
        <w:widowControl/>
        <w:kinsoku w:val="0"/>
        <w:overflowPunct w:val="0"/>
        <w:rPr>
          <w:sz w:val="22"/>
          <w:szCs w:val="22"/>
          <w:lang w:val="el-GR"/>
        </w:rPr>
      </w:pPr>
    </w:p>
    <w:p w14:paraId="1CB8FF17" w14:textId="77777777" w:rsidR="00171824" w:rsidRDefault="006D258C">
      <w:pPr>
        <w:pStyle w:val="Heading1"/>
        <w:keepNext/>
        <w:widowControl/>
        <w:numPr>
          <w:ilvl w:val="0"/>
          <w:numId w:val="3"/>
        </w:numPr>
        <w:tabs>
          <w:tab w:val="left" w:pos="567"/>
        </w:tabs>
        <w:kinsoku w:val="0"/>
        <w:overflowPunct w:val="0"/>
        <w:ind w:left="567"/>
        <w:jc w:val="both"/>
        <w:rPr>
          <w:b w:val="0"/>
          <w:bCs w:val="0"/>
          <w:lang w:val="el-GR"/>
        </w:rPr>
      </w:pPr>
      <w:r>
        <w:rPr>
          <w:lang w:val="el-GR"/>
        </w:rPr>
        <w:t>ΑΡΙΘΜΟΙ ΑΔΕΙΑΣ ΚΥΚΛΟΦΟΡΙΑΣ</w:t>
      </w:r>
    </w:p>
    <w:p w14:paraId="001ED2F3" w14:textId="77777777" w:rsidR="00171824" w:rsidRDefault="00171824">
      <w:pPr>
        <w:widowControl/>
        <w:kinsoku w:val="0"/>
        <w:overflowPunct w:val="0"/>
        <w:rPr>
          <w:sz w:val="22"/>
          <w:szCs w:val="22"/>
          <w:lang w:val="el-GR"/>
        </w:rPr>
      </w:pPr>
    </w:p>
    <w:p w14:paraId="398F7398" w14:textId="77777777" w:rsidR="00171824" w:rsidRDefault="006D258C">
      <w:pPr>
        <w:widowControl/>
        <w:kinsoku w:val="0"/>
        <w:overflowPunct w:val="0"/>
        <w:rPr>
          <w:sz w:val="22"/>
          <w:szCs w:val="22"/>
          <w:u w:val="single"/>
          <w:lang w:val="el-GR"/>
        </w:rPr>
      </w:pPr>
      <w:r>
        <w:rPr>
          <w:sz w:val="22"/>
          <w:szCs w:val="22"/>
          <w:u w:val="single"/>
          <w:lang w:val="el-GR"/>
        </w:rPr>
        <w:t>AMGEVITA 20 mg ενέσιμο διάλυμα σε προγεμισμένη σύριγγα</w:t>
      </w:r>
    </w:p>
    <w:p w14:paraId="4F52545A" w14:textId="77777777" w:rsidR="00171824" w:rsidRDefault="00171824">
      <w:pPr>
        <w:widowControl/>
        <w:kinsoku w:val="0"/>
        <w:overflowPunct w:val="0"/>
        <w:rPr>
          <w:sz w:val="22"/>
          <w:szCs w:val="22"/>
          <w:u w:val="single"/>
          <w:lang w:val="el-GR"/>
        </w:rPr>
      </w:pPr>
    </w:p>
    <w:p w14:paraId="247AE986" w14:textId="77777777" w:rsidR="00171824" w:rsidRDefault="006D258C">
      <w:pPr>
        <w:widowControl/>
        <w:kinsoku w:val="0"/>
        <w:overflowPunct w:val="0"/>
        <w:rPr>
          <w:sz w:val="22"/>
          <w:szCs w:val="22"/>
          <w:lang w:val="el-GR"/>
        </w:rPr>
      </w:pPr>
      <w:r>
        <w:rPr>
          <w:sz w:val="22"/>
          <w:szCs w:val="22"/>
          <w:lang w:val="el-GR"/>
        </w:rPr>
        <w:t>EU/1/16/1164/001 – 1 συσκευασία</w:t>
      </w:r>
    </w:p>
    <w:p w14:paraId="1A5D7194" w14:textId="77777777" w:rsidR="00171824" w:rsidRDefault="00171824">
      <w:pPr>
        <w:widowControl/>
        <w:kinsoku w:val="0"/>
        <w:overflowPunct w:val="0"/>
        <w:rPr>
          <w:sz w:val="22"/>
          <w:szCs w:val="22"/>
          <w:lang w:val="el-GR"/>
        </w:rPr>
      </w:pPr>
    </w:p>
    <w:p w14:paraId="0DDB0194" w14:textId="77777777" w:rsidR="00171824" w:rsidRDefault="006D258C">
      <w:pPr>
        <w:widowControl/>
        <w:kinsoku w:val="0"/>
        <w:overflowPunct w:val="0"/>
        <w:rPr>
          <w:sz w:val="22"/>
          <w:szCs w:val="22"/>
          <w:u w:val="single"/>
          <w:lang w:val="el-GR"/>
        </w:rPr>
      </w:pPr>
      <w:r>
        <w:rPr>
          <w:sz w:val="22"/>
          <w:szCs w:val="22"/>
          <w:u w:val="single"/>
          <w:lang w:val="el-GR"/>
        </w:rPr>
        <w:t>AMGEVITA 40 mg ενέσιμο διάλυμα σε προγεμισμένη σύριγγα</w:t>
      </w:r>
    </w:p>
    <w:p w14:paraId="25D830D5" w14:textId="77777777" w:rsidR="00171824" w:rsidRDefault="00171824">
      <w:pPr>
        <w:widowControl/>
        <w:kinsoku w:val="0"/>
        <w:overflowPunct w:val="0"/>
        <w:rPr>
          <w:sz w:val="22"/>
          <w:szCs w:val="22"/>
          <w:u w:val="single"/>
          <w:lang w:val="el-GR"/>
        </w:rPr>
      </w:pPr>
    </w:p>
    <w:p w14:paraId="71D61958" w14:textId="77777777" w:rsidR="00171824" w:rsidRDefault="006D258C">
      <w:pPr>
        <w:pStyle w:val="BodyText"/>
        <w:widowControl/>
        <w:kinsoku w:val="0"/>
        <w:overflowPunct w:val="0"/>
        <w:ind w:left="0"/>
        <w:jc w:val="both"/>
        <w:rPr>
          <w:lang w:val="el-GR"/>
        </w:rPr>
      </w:pPr>
      <w:r>
        <w:rPr>
          <w:lang w:val="el-GR"/>
        </w:rPr>
        <w:t>EU/1/16/1164/002 – 1 συσκευασία</w:t>
      </w:r>
    </w:p>
    <w:p w14:paraId="3D972720" w14:textId="77777777" w:rsidR="00171824" w:rsidRDefault="006D258C">
      <w:pPr>
        <w:pStyle w:val="BodyText"/>
        <w:widowControl/>
        <w:kinsoku w:val="0"/>
        <w:overflowPunct w:val="0"/>
        <w:ind w:left="0"/>
        <w:jc w:val="both"/>
        <w:rPr>
          <w:lang w:val="el-GR"/>
        </w:rPr>
      </w:pPr>
      <w:r>
        <w:rPr>
          <w:lang w:val="el-GR"/>
        </w:rPr>
        <w:t>EU/1/16/1164/003 – 2 συσκευασίες</w:t>
      </w:r>
    </w:p>
    <w:p w14:paraId="6AC4CEAA" w14:textId="77777777" w:rsidR="00171824" w:rsidRDefault="006D258C">
      <w:pPr>
        <w:pStyle w:val="BodyText"/>
        <w:widowControl/>
        <w:kinsoku w:val="0"/>
        <w:overflowPunct w:val="0"/>
        <w:ind w:left="0"/>
        <w:jc w:val="both"/>
        <w:rPr>
          <w:lang w:val="el-GR"/>
        </w:rPr>
      </w:pPr>
      <w:r>
        <w:rPr>
          <w:lang w:val="el-GR"/>
        </w:rPr>
        <w:t xml:space="preserve">EU/1/16/1164/004 – 4 συσκευασίες </w:t>
      </w:r>
    </w:p>
    <w:p w14:paraId="1B393A02" w14:textId="77777777" w:rsidR="00171824" w:rsidRDefault="006D258C">
      <w:pPr>
        <w:widowControl/>
        <w:kinsoku w:val="0"/>
        <w:overflowPunct w:val="0"/>
        <w:rPr>
          <w:sz w:val="22"/>
          <w:szCs w:val="22"/>
          <w:lang w:val="el-GR"/>
        </w:rPr>
      </w:pPr>
      <w:r>
        <w:rPr>
          <w:sz w:val="22"/>
          <w:szCs w:val="22"/>
          <w:lang w:val="el-GR"/>
        </w:rPr>
        <w:t>EU/1/16/1164/005 – 6 (3x2) πολυσυσκευασία</w:t>
      </w:r>
    </w:p>
    <w:p w14:paraId="7D732814" w14:textId="77777777" w:rsidR="00171824" w:rsidRDefault="00171824">
      <w:pPr>
        <w:widowControl/>
        <w:kinsoku w:val="0"/>
        <w:overflowPunct w:val="0"/>
        <w:rPr>
          <w:sz w:val="22"/>
          <w:szCs w:val="22"/>
          <w:lang w:val="el-GR"/>
        </w:rPr>
      </w:pPr>
    </w:p>
    <w:p w14:paraId="45D580CD" w14:textId="77777777" w:rsidR="00171824" w:rsidRDefault="006D258C">
      <w:pPr>
        <w:keepNext/>
        <w:widowControl/>
        <w:kinsoku w:val="0"/>
        <w:overflowPunct w:val="0"/>
        <w:rPr>
          <w:sz w:val="22"/>
          <w:szCs w:val="22"/>
          <w:u w:val="single"/>
          <w:lang w:val="el-GR"/>
        </w:rPr>
      </w:pPr>
      <w:r>
        <w:rPr>
          <w:sz w:val="22"/>
          <w:szCs w:val="22"/>
          <w:u w:val="single"/>
          <w:lang w:val="el-GR"/>
        </w:rPr>
        <w:t xml:space="preserve">AMGEVITA 40 mg ενέσιμο διάλυμα σε προγεμισμένη συσκευή τύπου πένας </w:t>
      </w:r>
    </w:p>
    <w:p w14:paraId="2ABB03ED" w14:textId="77777777" w:rsidR="00171824" w:rsidRDefault="00171824">
      <w:pPr>
        <w:keepNext/>
        <w:widowControl/>
        <w:kinsoku w:val="0"/>
        <w:overflowPunct w:val="0"/>
        <w:rPr>
          <w:sz w:val="22"/>
          <w:szCs w:val="22"/>
          <w:u w:val="single"/>
          <w:lang w:val="el-GR"/>
        </w:rPr>
      </w:pPr>
    </w:p>
    <w:p w14:paraId="63927190" w14:textId="77777777" w:rsidR="00171824" w:rsidRDefault="006D258C">
      <w:pPr>
        <w:pStyle w:val="BodyText"/>
        <w:keepNext/>
        <w:widowControl/>
        <w:kinsoku w:val="0"/>
        <w:overflowPunct w:val="0"/>
        <w:ind w:left="0"/>
        <w:jc w:val="both"/>
        <w:rPr>
          <w:lang w:val="el-GR"/>
        </w:rPr>
      </w:pPr>
      <w:r>
        <w:rPr>
          <w:lang w:val="el-GR"/>
        </w:rPr>
        <w:t>EU/1/16/1164/006 – 1 συσκευασία</w:t>
      </w:r>
    </w:p>
    <w:p w14:paraId="041B92AF" w14:textId="77777777" w:rsidR="00171824" w:rsidRDefault="006D258C">
      <w:pPr>
        <w:pStyle w:val="BodyText"/>
        <w:keepNext/>
        <w:widowControl/>
        <w:kinsoku w:val="0"/>
        <w:overflowPunct w:val="0"/>
        <w:ind w:left="0"/>
        <w:jc w:val="both"/>
        <w:rPr>
          <w:lang w:val="el-GR"/>
        </w:rPr>
      </w:pPr>
      <w:r>
        <w:rPr>
          <w:lang w:val="el-GR"/>
        </w:rPr>
        <w:t>EU/1/16/1164/007 – 2 συσκευασίες</w:t>
      </w:r>
    </w:p>
    <w:p w14:paraId="30D6F03C" w14:textId="77777777" w:rsidR="00171824" w:rsidRDefault="006D258C">
      <w:pPr>
        <w:pStyle w:val="BodyText"/>
        <w:keepNext/>
        <w:widowControl/>
        <w:kinsoku w:val="0"/>
        <w:overflowPunct w:val="0"/>
        <w:ind w:left="0"/>
        <w:jc w:val="both"/>
        <w:rPr>
          <w:lang w:val="el-GR"/>
        </w:rPr>
      </w:pPr>
      <w:r>
        <w:rPr>
          <w:lang w:val="el-GR"/>
        </w:rPr>
        <w:t>EU/1/16/1164/008 – 4 συσκευασίες</w:t>
      </w:r>
    </w:p>
    <w:p w14:paraId="40CAEB2A" w14:textId="77777777" w:rsidR="00171824" w:rsidRDefault="006D258C">
      <w:pPr>
        <w:pStyle w:val="BodyText"/>
        <w:widowControl/>
        <w:kinsoku w:val="0"/>
        <w:overflowPunct w:val="0"/>
        <w:ind w:left="0"/>
        <w:jc w:val="both"/>
        <w:rPr>
          <w:lang w:val="el-GR"/>
        </w:rPr>
      </w:pPr>
      <w:r>
        <w:rPr>
          <w:lang w:val="el-GR"/>
        </w:rPr>
        <w:t>EU/1/16/1164/009 – 6 (3x2) πολυσυσκευασία</w:t>
      </w:r>
    </w:p>
    <w:p w14:paraId="43AC7B08" w14:textId="77777777" w:rsidR="00171824" w:rsidRDefault="00171824">
      <w:pPr>
        <w:pStyle w:val="BodyText"/>
        <w:widowControl/>
        <w:kinsoku w:val="0"/>
        <w:overflowPunct w:val="0"/>
        <w:ind w:left="0"/>
        <w:jc w:val="both"/>
        <w:rPr>
          <w:lang w:val="el-GR"/>
        </w:rPr>
      </w:pPr>
    </w:p>
    <w:p w14:paraId="4AF8B467" w14:textId="77777777" w:rsidR="00171824" w:rsidRDefault="00171824">
      <w:pPr>
        <w:widowControl/>
        <w:kinsoku w:val="0"/>
        <w:overflowPunct w:val="0"/>
        <w:rPr>
          <w:sz w:val="22"/>
          <w:szCs w:val="22"/>
          <w:lang w:val="el-GR"/>
        </w:rPr>
      </w:pPr>
    </w:p>
    <w:p w14:paraId="422DACBC" w14:textId="77777777" w:rsidR="00171824" w:rsidRDefault="006D258C">
      <w:pPr>
        <w:pStyle w:val="Heading1"/>
        <w:keepNext/>
        <w:widowControl/>
        <w:numPr>
          <w:ilvl w:val="0"/>
          <w:numId w:val="3"/>
        </w:numPr>
        <w:tabs>
          <w:tab w:val="left" w:pos="567"/>
        </w:tabs>
        <w:kinsoku w:val="0"/>
        <w:overflowPunct w:val="0"/>
        <w:ind w:left="567"/>
        <w:jc w:val="both"/>
        <w:rPr>
          <w:b w:val="0"/>
          <w:bCs w:val="0"/>
          <w:lang w:val="el-GR"/>
        </w:rPr>
      </w:pPr>
      <w:r>
        <w:rPr>
          <w:lang w:val="el-GR"/>
        </w:rPr>
        <w:t>ΗΜΕΡΟΜΗΝΙΑ ΠΡΩΤΗΣ ΕΓΚΡΙΣΗΣ/ΑΝΑΝΕΩΣΗΣ ΤΗΣ ΑΔΕΙΑΣ</w:t>
      </w:r>
    </w:p>
    <w:p w14:paraId="6D486F8D" w14:textId="77777777" w:rsidR="00171824" w:rsidRDefault="00171824">
      <w:pPr>
        <w:widowControl/>
        <w:kinsoku w:val="0"/>
        <w:overflowPunct w:val="0"/>
        <w:rPr>
          <w:sz w:val="22"/>
          <w:szCs w:val="22"/>
          <w:lang w:val="el-GR"/>
        </w:rPr>
      </w:pPr>
    </w:p>
    <w:p w14:paraId="0EEC6A76" w14:textId="77777777" w:rsidR="00171824" w:rsidRDefault="006D258C">
      <w:pPr>
        <w:pStyle w:val="BodyText"/>
        <w:widowControl/>
        <w:kinsoku w:val="0"/>
        <w:overflowPunct w:val="0"/>
        <w:ind w:left="0"/>
        <w:jc w:val="both"/>
        <w:rPr>
          <w:lang w:val="el-GR"/>
        </w:rPr>
      </w:pPr>
      <w:r>
        <w:rPr>
          <w:lang w:val="el-GR"/>
        </w:rPr>
        <w:t>Ημερομηνία πρώτης έγκρισης: 22 Μαρτίου 2017</w:t>
      </w:r>
    </w:p>
    <w:p w14:paraId="1EBCFC9F" w14:textId="77777777" w:rsidR="00171824" w:rsidRDefault="006D258C">
      <w:pPr>
        <w:pStyle w:val="BodyText"/>
        <w:widowControl/>
        <w:kinsoku w:val="0"/>
        <w:overflowPunct w:val="0"/>
        <w:ind w:left="0"/>
        <w:jc w:val="both"/>
        <w:rPr>
          <w:lang w:val="el-GR"/>
        </w:rPr>
      </w:pPr>
      <w:r>
        <w:rPr>
          <w:lang w:val="el-GR"/>
        </w:rPr>
        <w:t>Ημερομηνία τελευταίας ανανέωσης: 09 Δεκεμβρίου 2021</w:t>
      </w:r>
    </w:p>
    <w:p w14:paraId="53342BBD" w14:textId="77777777" w:rsidR="00171824" w:rsidRDefault="00171824">
      <w:pPr>
        <w:widowControl/>
        <w:kinsoku w:val="0"/>
        <w:overflowPunct w:val="0"/>
        <w:rPr>
          <w:sz w:val="22"/>
          <w:szCs w:val="22"/>
          <w:lang w:val="el-GR"/>
        </w:rPr>
      </w:pPr>
    </w:p>
    <w:p w14:paraId="137ED28C" w14:textId="77777777" w:rsidR="00171824" w:rsidRDefault="00171824">
      <w:pPr>
        <w:widowControl/>
        <w:kinsoku w:val="0"/>
        <w:overflowPunct w:val="0"/>
        <w:rPr>
          <w:sz w:val="22"/>
          <w:szCs w:val="22"/>
          <w:lang w:val="el-GR"/>
        </w:rPr>
      </w:pPr>
    </w:p>
    <w:p w14:paraId="035FF305" w14:textId="77777777" w:rsidR="00171824" w:rsidRDefault="006D258C">
      <w:pPr>
        <w:pStyle w:val="Heading1"/>
        <w:widowControl/>
        <w:numPr>
          <w:ilvl w:val="0"/>
          <w:numId w:val="3"/>
        </w:numPr>
        <w:tabs>
          <w:tab w:val="left" w:pos="567"/>
        </w:tabs>
        <w:kinsoku w:val="0"/>
        <w:overflowPunct w:val="0"/>
        <w:ind w:left="567"/>
        <w:jc w:val="both"/>
        <w:rPr>
          <w:b w:val="0"/>
          <w:bCs w:val="0"/>
          <w:lang w:val="el-GR"/>
        </w:rPr>
      </w:pPr>
      <w:r>
        <w:rPr>
          <w:lang w:val="el-GR"/>
        </w:rPr>
        <w:t>ΗΜΕΡΟΜΗΝΙΑ ΑΝΑΘΕΩΡΗΣΗΣ ΤΟΥ ΚΕΙΜΕΝΟΥ</w:t>
      </w:r>
    </w:p>
    <w:p w14:paraId="12FAB619" w14:textId="77777777" w:rsidR="00171824" w:rsidRDefault="00171824">
      <w:pPr>
        <w:widowControl/>
        <w:kinsoku w:val="0"/>
        <w:overflowPunct w:val="0"/>
        <w:rPr>
          <w:sz w:val="22"/>
          <w:szCs w:val="22"/>
          <w:lang w:val="el-GR"/>
        </w:rPr>
      </w:pPr>
    </w:p>
    <w:p w14:paraId="3728A829" w14:textId="77777777" w:rsidR="00171824" w:rsidRDefault="00171824">
      <w:pPr>
        <w:widowControl/>
        <w:kinsoku w:val="0"/>
        <w:overflowPunct w:val="0"/>
        <w:rPr>
          <w:sz w:val="22"/>
          <w:szCs w:val="22"/>
          <w:lang w:val="el-GR"/>
        </w:rPr>
      </w:pPr>
    </w:p>
    <w:p w14:paraId="2DC806E3" w14:textId="77777777" w:rsidR="00171824" w:rsidRDefault="00171824">
      <w:pPr>
        <w:widowControl/>
        <w:kinsoku w:val="0"/>
        <w:overflowPunct w:val="0"/>
        <w:rPr>
          <w:sz w:val="22"/>
          <w:szCs w:val="22"/>
          <w:lang w:val="el-GR"/>
        </w:rPr>
      </w:pPr>
    </w:p>
    <w:p w14:paraId="6DBCEBB5" w14:textId="77777777" w:rsidR="00171824" w:rsidRDefault="006D258C">
      <w:pPr>
        <w:pStyle w:val="BodyText"/>
        <w:widowControl/>
        <w:kinsoku w:val="0"/>
        <w:overflowPunct w:val="0"/>
        <w:ind w:left="0"/>
        <w:rPr>
          <w:lang w:val="el-GR"/>
        </w:rPr>
      </w:pPr>
      <w:r>
        <w:rPr>
          <w:lang w:val="el-GR"/>
        </w:rPr>
        <w:t xml:space="preserve">Λεπτομερείς πληροφορίες για το παρόν φαρμακευτικό προϊόν είναι διαθέσιμες στον δικτυακό τόπο του Ευρωπαϊκού Οργανισμού Φαρμάκων: </w:t>
      </w:r>
      <w:hyperlink r:id="rId19" w:history="1">
        <w:r>
          <w:rPr>
            <w:rStyle w:val="Hyperlink"/>
            <w:color w:val="0000FF"/>
            <w:szCs w:val="20"/>
            <w:lang w:val="el-GR" w:eastAsia="ro-RO" w:bidi="ro-RO"/>
          </w:rPr>
          <w:t>http://www.ema.europa.eu</w:t>
        </w:r>
      </w:hyperlink>
      <w:r>
        <w:rPr>
          <w:lang w:val="el-GR"/>
        </w:rPr>
        <w:t>.</w:t>
      </w:r>
    </w:p>
    <w:p w14:paraId="03AB7645" w14:textId="77777777" w:rsidR="00171824" w:rsidRDefault="006D258C">
      <w:pPr>
        <w:pStyle w:val="Heading1"/>
        <w:widowControl/>
        <w:tabs>
          <w:tab w:val="left" w:pos="567"/>
        </w:tabs>
        <w:kinsoku w:val="0"/>
        <w:overflowPunct w:val="0"/>
        <w:ind w:left="567" w:hanging="567"/>
        <w:rPr>
          <w:b w:val="0"/>
          <w:bCs w:val="0"/>
          <w:lang w:val="el-GR"/>
        </w:rPr>
      </w:pPr>
      <w:r>
        <w:rPr>
          <w:color w:val="000000"/>
          <w:lang w:val="el-GR"/>
        </w:rPr>
        <w:br w:type="page"/>
      </w:r>
      <w:r>
        <w:rPr>
          <w:color w:val="000000"/>
          <w:lang w:val="el-GR"/>
        </w:rPr>
        <w:lastRenderedPageBreak/>
        <w:t>1.</w:t>
      </w:r>
      <w:r>
        <w:rPr>
          <w:color w:val="000000"/>
          <w:lang w:val="el-GR"/>
        </w:rPr>
        <w:tab/>
      </w:r>
      <w:r>
        <w:rPr>
          <w:lang w:val="el-GR"/>
        </w:rPr>
        <w:t>ΟΝΟΜΑΣΙΑ ΤΟΥ ΦΑΡΜΑΚΕΥΤΙΚΟΥ ΠΡΟΪΟΝΤΟΣ</w:t>
      </w:r>
    </w:p>
    <w:p w14:paraId="63E4DDC0" w14:textId="77777777" w:rsidR="00171824" w:rsidRDefault="00171824">
      <w:pPr>
        <w:widowControl/>
        <w:kinsoku w:val="0"/>
        <w:overflowPunct w:val="0"/>
        <w:rPr>
          <w:sz w:val="22"/>
          <w:szCs w:val="22"/>
          <w:lang w:val="el-GR"/>
        </w:rPr>
      </w:pPr>
    </w:p>
    <w:p w14:paraId="5E1C00CA" w14:textId="77777777" w:rsidR="00171824" w:rsidRDefault="006D258C">
      <w:pPr>
        <w:widowControl/>
        <w:kinsoku w:val="0"/>
        <w:overflowPunct w:val="0"/>
        <w:rPr>
          <w:sz w:val="22"/>
          <w:szCs w:val="22"/>
          <w:lang w:val="el-GR"/>
        </w:rPr>
      </w:pPr>
      <w:r>
        <w:rPr>
          <w:sz w:val="22"/>
          <w:szCs w:val="22"/>
          <w:lang w:val="el-GR"/>
        </w:rPr>
        <w:t>AMGEVITA 20 mg ενέσιμο διάλυμα σε προγεμισμένη σύριγγα.</w:t>
      </w:r>
    </w:p>
    <w:p w14:paraId="735730C1" w14:textId="77777777" w:rsidR="00171824" w:rsidRDefault="006D258C">
      <w:pPr>
        <w:pStyle w:val="BodyText"/>
        <w:widowControl/>
        <w:kinsoku w:val="0"/>
        <w:overflowPunct w:val="0"/>
        <w:ind w:left="0"/>
        <w:rPr>
          <w:lang w:val="el-GR"/>
        </w:rPr>
      </w:pPr>
      <w:r>
        <w:rPr>
          <w:lang w:val="el-GR"/>
        </w:rPr>
        <w:t>AMGEVITA 40 mg ενέσιμο διάλυμα σε προγεμισμένη σύριγγα.</w:t>
      </w:r>
    </w:p>
    <w:p w14:paraId="72F6411D" w14:textId="77777777" w:rsidR="00171824" w:rsidRDefault="006D258C">
      <w:pPr>
        <w:pStyle w:val="Default"/>
        <w:rPr>
          <w:color w:val="auto"/>
          <w:sz w:val="22"/>
          <w:szCs w:val="22"/>
          <w:lang w:val="el-GR" w:eastAsia="en-GB"/>
        </w:rPr>
      </w:pPr>
      <w:r>
        <w:rPr>
          <w:sz w:val="22"/>
          <w:szCs w:val="22"/>
          <w:lang w:val="el-GR" w:eastAsia="en-GB"/>
        </w:rPr>
        <w:t>AMGEVITA</w:t>
      </w:r>
      <w:r>
        <w:rPr>
          <w:color w:val="auto"/>
          <w:sz w:val="22"/>
          <w:szCs w:val="22"/>
          <w:lang w:val="el-GR" w:eastAsia="en-GB"/>
        </w:rPr>
        <w:t xml:space="preserve"> 80</w:t>
      </w:r>
      <w:r>
        <w:rPr>
          <w:color w:val="auto"/>
          <w:sz w:val="22"/>
          <w:szCs w:val="22"/>
          <w:lang w:val="el-GR"/>
        </w:rPr>
        <w:t> </w:t>
      </w:r>
      <w:r>
        <w:rPr>
          <w:color w:val="auto"/>
          <w:sz w:val="22"/>
          <w:szCs w:val="22"/>
          <w:lang w:val="el-GR" w:eastAsia="en-GB"/>
        </w:rPr>
        <w:t>mg ενέσιμο διάλυμα σε προγεμισμένη σύριγγα</w:t>
      </w:r>
    </w:p>
    <w:p w14:paraId="6C2CF00A" w14:textId="77777777" w:rsidR="00171824" w:rsidRDefault="006D258C">
      <w:pPr>
        <w:widowControl/>
        <w:kinsoku w:val="0"/>
        <w:overflowPunct w:val="0"/>
        <w:rPr>
          <w:sz w:val="22"/>
          <w:szCs w:val="22"/>
          <w:lang w:val="el-GR"/>
        </w:rPr>
      </w:pPr>
      <w:r>
        <w:rPr>
          <w:sz w:val="22"/>
          <w:szCs w:val="22"/>
          <w:lang w:val="el-GR"/>
        </w:rPr>
        <w:t>AMGEVITA 40 mg ενέσιμο διάλυμα σε προγεμισμένη συσκευή τύπου πένας.</w:t>
      </w:r>
    </w:p>
    <w:p w14:paraId="1301AF3D" w14:textId="77777777" w:rsidR="00171824" w:rsidRDefault="006D258C">
      <w:pPr>
        <w:pStyle w:val="Default"/>
        <w:rPr>
          <w:color w:val="auto"/>
          <w:sz w:val="22"/>
          <w:szCs w:val="22"/>
          <w:lang w:val="el-GR" w:eastAsia="en-GB"/>
        </w:rPr>
      </w:pPr>
      <w:r>
        <w:rPr>
          <w:sz w:val="22"/>
          <w:szCs w:val="22"/>
          <w:lang w:val="el-GR" w:eastAsia="en-GB"/>
        </w:rPr>
        <w:t>AMGEVITA</w:t>
      </w:r>
      <w:r>
        <w:rPr>
          <w:color w:val="auto"/>
          <w:sz w:val="22"/>
          <w:szCs w:val="22"/>
          <w:lang w:val="el-GR" w:eastAsia="en-GB"/>
        </w:rPr>
        <w:t xml:space="preserve"> 80</w:t>
      </w:r>
      <w:r>
        <w:rPr>
          <w:color w:val="auto"/>
          <w:sz w:val="22"/>
          <w:szCs w:val="22"/>
          <w:lang w:val="el-GR"/>
        </w:rPr>
        <w:t> </w:t>
      </w:r>
      <w:r>
        <w:rPr>
          <w:color w:val="auto"/>
          <w:sz w:val="22"/>
          <w:szCs w:val="22"/>
          <w:lang w:val="el-GR" w:eastAsia="en-GB"/>
        </w:rPr>
        <w:t>mg ενέσιμο διάλυμα σε προγεμικσμένη συσκευή τύπου πένας</w:t>
      </w:r>
    </w:p>
    <w:p w14:paraId="42AC7786" w14:textId="77777777" w:rsidR="00171824" w:rsidRDefault="00171824">
      <w:pPr>
        <w:widowControl/>
        <w:kinsoku w:val="0"/>
        <w:overflowPunct w:val="0"/>
        <w:rPr>
          <w:sz w:val="22"/>
          <w:szCs w:val="22"/>
          <w:lang w:val="el-GR"/>
        </w:rPr>
      </w:pPr>
    </w:p>
    <w:p w14:paraId="6D722AA4" w14:textId="77777777" w:rsidR="00171824" w:rsidRDefault="00171824">
      <w:pPr>
        <w:widowControl/>
        <w:kinsoku w:val="0"/>
        <w:overflowPunct w:val="0"/>
        <w:rPr>
          <w:sz w:val="22"/>
          <w:szCs w:val="22"/>
          <w:lang w:val="el-GR"/>
        </w:rPr>
      </w:pPr>
    </w:p>
    <w:p w14:paraId="4FDAC30C" w14:textId="77777777" w:rsidR="00171824" w:rsidRDefault="006D258C">
      <w:pPr>
        <w:pStyle w:val="Heading1"/>
        <w:widowControl/>
        <w:tabs>
          <w:tab w:val="left" w:pos="567"/>
        </w:tabs>
        <w:kinsoku w:val="0"/>
        <w:overflowPunct w:val="0"/>
        <w:ind w:left="567" w:hanging="567"/>
        <w:rPr>
          <w:b w:val="0"/>
          <w:bCs w:val="0"/>
          <w:lang w:val="el-GR"/>
        </w:rPr>
      </w:pPr>
      <w:r>
        <w:rPr>
          <w:lang w:val="el-GR"/>
        </w:rPr>
        <w:t>2.</w:t>
      </w:r>
      <w:r>
        <w:rPr>
          <w:lang w:val="el-GR"/>
        </w:rPr>
        <w:tab/>
        <w:t>ΠΟΙΟΤΙΚΗ ΚΑΙ ΠΟΣΟΤΙΚΗ ΣΥΝΘΕΣΗ</w:t>
      </w:r>
    </w:p>
    <w:p w14:paraId="16798BBD" w14:textId="77777777" w:rsidR="00171824" w:rsidRDefault="00171824">
      <w:pPr>
        <w:widowControl/>
        <w:kinsoku w:val="0"/>
        <w:overflowPunct w:val="0"/>
        <w:rPr>
          <w:sz w:val="22"/>
          <w:szCs w:val="22"/>
          <w:lang w:val="el-GR"/>
        </w:rPr>
      </w:pPr>
    </w:p>
    <w:p w14:paraId="4FF2861C" w14:textId="77777777" w:rsidR="00171824" w:rsidRDefault="006D258C">
      <w:pPr>
        <w:pStyle w:val="BodyText"/>
        <w:widowControl/>
        <w:kinsoku w:val="0"/>
        <w:overflowPunct w:val="0"/>
        <w:ind w:left="0"/>
        <w:rPr>
          <w:u w:val="single"/>
          <w:lang w:val="el-GR"/>
        </w:rPr>
      </w:pPr>
      <w:r>
        <w:rPr>
          <w:u w:val="single"/>
          <w:lang w:val="el-GR"/>
        </w:rPr>
        <w:t>AMGEVITA 20 mg ενέσιμο διάλυμα σε προγεμισμένη σύριγγα</w:t>
      </w:r>
    </w:p>
    <w:p w14:paraId="260FBFB5" w14:textId="77777777" w:rsidR="00171824" w:rsidRDefault="00171824">
      <w:pPr>
        <w:pStyle w:val="BodyText"/>
        <w:widowControl/>
        <w:kinsoku w:val="0"/>
        <w:overflowPunct w:val="0"/>
        <w:ind w:left="0"/>
        <w:rPr>
          <w:u w:val="single"/>
          <w:lang w:val="el-GR"/>
        </w:rPr>
      </w:pPr>
    </w:p>
    <w:p w14:paraId="453A4CEF" w14:textId="77777777" w:rsidR="00171824" w:rsidRDefault="006D258C">
      <w:pPr>
        <w:pStyle w:val="BodyText"/>
        <w:widowControl/>
        <w:kinsoku w:val="0"/>
        <w:overflowPunct w:val="0"/>
        <w:ind w:left="0"/>
        <w:rPr>
          <w:lang w:val="el-GR"/>
        </w:rPr>
      </w:pPr>
      <w:r>
        <w:rPr>
          <w:lang w:val="el-GR"/>
        </w:rPr>
        <w:t>Κάθε προγεμισμένη σύριγγα μίας δόσης περιέχει 20 mg adalimumab σε 0,2 ml διαλύματος (100 mg/ml).</w:t>
      </w:r>
    </w:p>
    <w:p w14:paraId="68A63FEB" w14:textId="77777777" w:rsidR="00171824" w:rsidRDefault="00171824">
      <w:pPr>
        <w:widowControl/>
        <w:kinsoku w:val="0"/>
        <w:overflowPunct w:val="0"/>
        <w:rPr>
          <w:sz w:val="22"/>
          <w:szCs w:val="22"/>
          <w:lang w:val="el-GR"/>
        </w:rPr>
      </w:pPr>
    </w:p>
    <w:p w14:paraId="4CEF0512" w14:textId="77777777" w:rsidR="00171824" w:rsidRDefault="006D258C">
      <w:pPr>
        <w:pStyle w:val="Default"/>
        <w:rPr>
          <w:color w:val="auto"/>
          <w:sz w:val="22"/>
          <w:szCs w:val="22"/>
          <w:u w:val="single"/>
          <w:lang w:val="el-GR" w:eastAsia="en-GB"/>
        </w:rPr>
      </w:pPr>
      <w:r>
        <w:rPr>
          <w:sz w:val="22"/>
          <w:szCs w:val="22"/>
          <w:u w:val="single"/>
          <w:lang w:val="el-GR" w:eastAsia="en-GB"/>
        </w:rPr>
        <w:t>AMGEVITA</w:t>
      </w:r>
      <w:r>
        <w:rPr>
          <w:color w:val="auto"/>
          <w:sz w:val="22"/>
          <w:szCs w:val="22"/>
          <w:u w:val="single"/>
          <w:lang w:val="el-GR" w:eastAsia="en-GB"/>
        </w:rPr>
        <w:t xml:space="preserve"> 40</w:t>
      </w:r>
      <w:r>
        <w:rPr>
          <w:color w:val="auto"/>
          <w:sz w:val="22"/>
          <w:szCs w:val="22"/>
          <w:u w:val="single"/>
          <w:lang w:val="el-GR"/>
        </w:rPr>
        <w:t> </w:t>
      </w:r>
      <w:r>
        <w:rPr>
          <w:color w:val="auto"/>
          <w:sz w:val="22"/>
          <w:szCs w:val="22"/>
          <w:u w:val="single"/>
          <w:lang w:val="el-GR" w:eastAsia="en-GB"/>
        </w:rPr>
        <w:t>mg ενέσιμο διάλυμα σε προγεμισμένη σύριγγα</w:t>
      </w:r>
    </w:p>
    <w:p w14:paraId="08A25032" w14:textId="77777777" w:rsidR="00171824" w:rsidRDefault="00171824">
      <w:pPr>
        <w:pStyle w:val="Default"/>
        <w:rPr>
          <w:color w:val="auto"/>
          <w:sz w:val="22"/>
          <w:szCs w:val="22"/>
          <w:u w:val="single"/>
          <w:lang w:val="el-GR" w:eastAsia="en-GB"/>
        </w:rPr>
      </w:pPr>
    </w:p>
    <w:p w14:paraId="55EB3AAC" w14:textId="77777777" w:rsidR="00171824" w:rsidRDefault="006D258C">
      <w:pPr>
        <w:pStyle w:val="Default"/>
        <w:rPr>
          <w:szCs w:val="22"/>
          <w:lang w:val="el-GR"/>
        </w:rPr>
      </w:pPr>
      <w:r>
        <w:rPr>
          <w:sz w:val="22"/>
          <w:szCs w:val="22"/>
          <w:lang w:val="el-GR" w:eastAsia="en-GB"/>
        </w:rPr>
        <w:t>Κάθε προγεμισμένη σύριγγα μίας δόσης περιέχει 40</w:t>
      </w:r>
      <w:r>
        <w:rPr>
          <w:sz w:val="22"/>
          <w:szCs w:val="22"/>
          <w:lang w:val="el-GR"/>
        </w:rPr>
        <w:t> </w:t>
      </w:r>
      <w:r>
        <w:rPr>
          <w:sz w:val="22"/>
          <w:szCs w:val="22"/>
          <w:lang w:val="el-GR" w:eastAsia="en-GB"/>
        </w:rPr>
        <w:t>mg adalimumab σε 0,</w:t>
      </w:r>
      <w:r>
        <w:rPr>
          <w:sz w:val="22"/>
          <w:szCs w:val="22"/>
          <w:lang w:val="el-GR"/>
        </w:rPr>
        <w:t xml:space="preserve">4 ml διαλύματος (100 mg/ml). </w:t>
      </w:r>
    </w:p>
    <w:p w14:paraId="3C36AE47" w14:textId="77777777" w:rsidR="00171824" w:rsidRDefault="00171824">
      <w:pPr>
        <w:pStyle w:val="Default"/>
        <w:rPr>
          <w:color w:val="auto"/>
          <w:sz w:val="22"/>
          <w:szCs w:val="22"/>
          <w:u w:val="single"/>
          <w:lang w:val="el-GR" w:eastAsia="en-GB"/>
        </w:rPr>
      </w:pPr>
    </w:p>
    <w:p w14:paraId="18C8B2CF" w14:textId="77777777" w:rsidR="00171824" w:rsidRDefault="006D258C">
      <w:pPr>
        <w:pStyle w:val="Default"/>
        <w:rPr>
          <w:color w:val="auto"/>
          <w:sz w:val="22"/>
          <w:szCs w:val="22"/>
          <w:u w:val="single"/>
          <w:lang w:val="el-GR" w:eastAsia="en-GB"/>
        </w:rPr>
      </w:pPr>
      <w:r>
        <w:rPr>
          <w:sz w:val="22"/>
          <w:szCs w:val="22"/>
          <w:u w:val="single"/>
          <w:lang w:val="el-GR" w:eastAsia="en-GB"/>
        </w:rPr>
        <w:t>AMGEVITA</w:t>
      </w:r>
      <w:r>
        <w:rPr>
          <w:color w:val="auto"/>
          <w:sz w:val="22"/>
          <w:szCs w:val="22"/>
          <w:u w:val="single"/>
          <w:lang w:val="el-GR" w:eastAsia="en-GB"/>
        </w:rPr>
        <w:t xml:space="preserve"> 80</w:t>
      </w:r>
      <w:r>
        <w:rPr>
          <w:color w:val="auto"/>
          <w:sz w:val="22"/>
          <w:szCs w:val="22"/>
          <w:u w:val="single"/>
          <w:lang w:val="el-GR"/>
        </w:rPr>
        <w:t> </w:t>
      </w:r>
      <w:r>
        <w:rPr>
          <w:color w:val="auto"/>
          <w:sz w:val="22"/>
          <w:szCs w:val="22"/>
          <w:u w:val="single"/>
          <w:lang w:val="el-GR" w:eastAsia="en-GB"/>
        </w:rPr>
        <w:t>mg ενέσιμο διάλυμα σε προγεμισμένη σύριγγα</w:t>
      </w:r>
    </w:p>
    <w:p w14:paraId="668080F2" w14:textId="77777777" w:rsidR="00171824" w:rsidRDefault="00171824">
      <w:pPr>
        <w:pStyle w:val="Default"/>
        <w:rPr>
          <w:color w:val="auto"/>
          <w:sz w:val="22"/>
          <w:szCs w:val="22"/>
          <w:u w:val="single"/>
          <w:lang w:val="el-GR" w:eastAsia="en-GB"/>
        </w:rPr>
      </w:pPr>
    </w:p>
    <w:p w14:paraId="6ADFA445" w14:textId="77777777" w:rsidR="00171824" w:rsidRDefault="006D258C">
      <w:pPr>
        <w:widowControl/>
        <w:rPr>
          <w:sz w:val="22"/>
          <w:szCs w:val="22"/>
          <w:lang w:val="el-GR" w:eastAsia="en-GB"/>
        </w:rPr>
      </w:pPr>
      <w:r>
        <w:rPr>
          <w:sz w:val="22"/>
          <w:szCs w:val="22"/>
          <w:lang w:val="el-GR"/>
        </w:rPr>
        <w:t>Κάθε προγεμισμένη σύριγγα μίας δόσης περιέχει 80 mg adalimumab σε 0,</w:t>
      </w:r>
      <w:r>
        <w:rPr>
          <w:sz w:val="22"/>
          <w:szCs w:val="22"/>
          <w:lang w:val="el-GR" w:eastAsia="en-GB"/>
        </w:rPr>
        <w:t>8 ml διαλύματος (100 mg/ml).</w:t>
      </w:r>
    </w:p>
    <w:p w14:paraId="20ADDB89" w14:textId="77777777" w:rsidR="00171824" w:rsidRDefault="00171824">
      <w:pPr>
        <w:pStyle w:val="Default"/>
        <w:rPr>
          <w:color w:val="auto"/>
          <w:sz w:val="22"/>
          <w:szCs w:val="22"/>
          <w:u w:val="single"/>
          <w:lang w:val="el-GR" w:eastAsia="en-GB"/>
        </w:rPr>
      </w:pPr>
    </w:p>
    <w:p w14:paraId="48CBE2F9" w14:textId="77777777" w:rsidR="00171824" w:rsidRDefault="006D258C">
      <w:pPr>
        <w:pStyle w:val="Default"/>
        <w:rPr>
          <w:color w:val="auto"/>
          <w:sz w:val="22"/>
          <w:szCs w:val="22"/>
          <w:u w:val="single"/>
          <w:lang w:val="el-GR" w:eastAsia="en-GB"/>
        </w:rPr>
      </w:pPr>
      <w:r>
        <w:rPr>
          <w:sz w:val="22"/>
          <w:szCs w:val="22"/>
          <w:u w:val="single"/>
          <w:lang w:val="el-GR" w:eastAsia="en-GB"/>
        </w:rPr>
        <w:t>AMGEVITA</w:t>
      </w:r>
      <w:r>
        <w:rPr>
          <w:color w:val="auto"/>
          <w:sz w:val="22"/>
          <w:szCs w:val="22"/>
          <w:u w:val="single"/>
          <w:lang w:val="el-GR" w:eastAsia="en-GB"/>
        </w:rPr>
        <w:t xml:space="preserve"> 40</w:t>
      </w:r>
      <w:r>
        <w:rPr>
          <w:color w:val="auto"/>
          <w:sz w:val="22"/>
          <w:szCs w:val="22"/>
          <w:u w:val="single"/>
          <w:lang w:val="el-GR"/>
        </w:rPr>
        <w:t> </w:t>
      </w:r>
      <w:r>
        <w:rPr>
          <w:color w:val="auto"/>
          <w:sz w:val="22"/>
          <w:szCs w:val="22"/>
          <w:u w:val="single"/>
          <w:lang w:val="el-GR" w:eastAsia="en-GB"/>
        </w:rPr>
        <w:t>mg ενέσιμο διάλυμα σε προγεμισμένη συσκευή τύπου πένας</w:t>
      </w:r>
    </w:p>
    <w:p w14:paraId="50CF39E1" w14:textId="77777777" w:rsidR="00171824" w:rsidRDefault="00171824">
      <w:pPr>
        <w:pStyle w:val="Default"/>
        <w:rPr>
          <w:color w:val="auto"/>
          <w:sz w:val="22"/>
          <w:szCs w:val="22"/>
          <w:u w:val="single"/>
          <w:lang w:val="el-GR" w:eastAsia="en-GB"/>
        </w:rPr>
      </w:pPr>
    </w:p>
    <w:p w14:paraId="38EC5B42" w14:textId="77777777" w:rsidR="00171824" w:rsidRDefault="006D258C">
      <w:pPr>
        <w:widowControl/>
        <w:rPr>
          <w:sz w:val="22"/>
          <w:szCs w:val="22"/>
          <w:lang w:val="el-GR" w:eastAsia="en-GB"/>
        </w:rPr>
      </w:pPr>
      <w:r>
        <w:rPr>
          <w:sz w:val="22"/>
          <w:szCs w:val="22"/>
          <w:lang w:val="el-GR" w:eastAsia="en-GB"/>
        </w:rPr>
        <w:t>Κάθε προγεμισμένη συσκευή τύπου πένας μίας δόσης περιέχει 40</w:t>
      </w:r>
      <w:r>
        <w:rPr>
          <w:sz w:val="22"/>
          <w:szCs w:val="22"/>
          <w:lang w:val="el-GR"/>
        </w:rPr>
        <w:t> </w:t>
      </w:r>
      <w:r>
        <w:rPr>
          <w:sz w:val="22"/>
          <w:szCs w:val="22"/>
          <w:lang w:val="el-GR" w:eastAsia="en-GB"/>
        </w:rPr>
        <w:t>mg adalimumab σε 0,4 ml διαλύματος (100 mg/ml).</w:t>
      </w:r>
    </w:p>
    <w:p w14:paraId="5E75C9BE" w14:textId="77777777" w:rsidR="00171824" w:rsidRDefault="00171824">
      <w:pPr>
        <w:pStyle w:val="BodyText"/>
        <w:widowControl/>
        <w:kinsoku w:val="0"/>
        <w:overflowPunct w:val="0"/>
        <w:ind w:left="0"/>
        <w:rPr>
          <w:lang w:val="el-GR"/>
        </w:rPr>
      </w:pPr>
    </w:p>
    <w:p w14:paraId="67C964E6" w14:textId="77777777" w:rsidR="00171824" w:rsidRDefault="006D258C">
      <w:pPr>
        <w:pStyle w:val="Default"/>
        <w:rPr>
          <w:color w:val="auto"/>
          <w:sz w:val="22"/>
          <w:szCs w:val="22"/>
          <w:u w:val="single"/>
          <w:lang w:val="el-GR" w:eastAsia="en-GB"/>
        </w:rPr>
      </w:pPr>
      <w:r>
        <w:rPr>
          <w:sz w:val="22"/>
          <w:szCs w:val="22"/>
          <w:u w:val="single"/>
          <w:lang w:val="el-GR" w:eastAsia="en-GB"/>
        </w:rPr>
        <w:t>AMGEVITA</w:t>
      </w:r>
      <w:r>
        <w:rPr>
          <w:color w:val="auto"/>
          <w:sz w:val="22"/>
          <w:szCs w:val="22"/>
          <w:u w:val="single"/>
          <w:lang w:val="el-GR" w:eastAsia="en-GB"/>
        </w:rPr>
        <w:t xml:space="preserve"> 80</w:t>
      </w:r>
      <w:r>
        <w:rPr>
          <w:color w:val="auto"/>
          <w:sz w:val="22"/>
          <w:szCs w:val="22"/>
          <w:u w:val="single"/>
          <w:lang w:val="el-GR"/>
        </w:rPr>
        <w:t> </w:t>
      </w:r>
      <w:r>
        <w:rPr>
          <w:color w:val="auto"/>
          <w:sz w:val="22"/>
          <w:szCs w:val="22"/>
          <w:u w:val="single"/>
          <w:lang w:val="el-GR" w:eastAsia="en-GB"/>
        </w:rPr>
        <w:t>mg ενέσιμο διάλυμα σε προγεμισμένη συσκευή τύπου πένας</w:t>
      </w:r>
    </w:p>
    <w:p w14:paraId="3430B475" w14:textId="77777777" w:rsidR="00171824" w:rsidRDefault="00171824">
      <w:pPr>
        <w:pStyle w:val="Default"/>
        <w:rPr>
          <w:color w:val="auto"/>
          <w:sz w:val="22"/>
          <w:szCs w:val="22"/>
          <w:u w:val="single"/>
          <w:lang w:val="el-GR" w:eastAsia="en-GB"/>
        </w:rPr>
      </w:pPr>
    </w:p>
    <w:p w14:paraId="4B87AB5E" w14:textId="77777777" w:rsidR="00171824" w:rsidRDefault="006D258C">
      <w:pPr>
        <w:pStyle w:val="Default"/>
        <w:rPr>
          <w:szCs w:val="22"/>
          <w:lang w:val="el-GR"/>
        </w:rPr>
      </w:pPr>
      <w:r>
        <w:rPr>
          <w:sz w:val="22"/>
          <w:szCs w:val="22"/>
          <w:lang w:val="el-GR"/>
        </w:rPr>
        <w:t>Κάθε προγεμισμένη συσκευή τύπου πένας μίας δόσης περιέχει 80 mg adalimumab σε 0,8 ml διαλύματος (100 mg/ml).</w:t>
      </w:r>
    </w:p>
    <w:p w14:paraId="2EC61E33" w14:textId="77777777" w:rsidR="00171824" w:rsidRDefault="00171824">
      <w:pPr>
        <w:pStyle w:val="BodyText"/>
        <w:widowControl/>
        <w:kinsoku w:val="0"/>
        <w:overflowPunct w:val="0"/>
        <w:ind w:left="0"/>
        <w:rPr>
          <w:lang w:val="el-GR"/>
        </w:rPr>
      </w:pPr>
    </w:p>
    <w:p w14:paraId="01815755" w14:textId="77777777" w:rsidR="00171824" w:rsidRDefault="006D258C">
      <w:pPr>
        <w:pStyle w:val="BodyText"/>
        <w:widowControl/>
        <w:kinsoku w:val="0"/>
        <w:overflowPunct w:val="0"/>
        <w:ind w:left="0"/>
        <w:rPr>
          <w:lang w:val="el-GR"/>
        </w:rPr>
      </w:pPr>
      <w:r>
        <w:rPr>
          <w:lang w:val="el-GR"/>
        </w:rPr>
        <w:t>Το adalimumab είναι ένα ανθρώπινο ανασυνδυασμένο μονοκλωνικό αντίσωμα που παράγεται σε κύτταρα Ωοθηκών Κινέζικων Ηamster.</w:t>
      </w:r>
    </w:p>
    <w:p w14:paraId="5A001252" w14:textId="77777777" w:rsidR="00171824" w:rsidRDefault="00171824">
      <w:pPr>
        <w:widowControl/>
        <w:kinsoku w:val="0"/>
        <w:overflowPunct w:val="0"/>
        <w:rPr>
          <w:sz w:val="22"/>
          <w:szCs w:val="22"/>
          <w:lang w:val="el-GR"/>
        </w:rPr>
      </w:pPr>
    </w:p>
    <w:p w14:paraId="4FCBC7B4" w14:textId="77777777" w:rsidR="00171824" w:rsidRDefault="006D258C">
      <w:pPr>
        <w:pStyle w:val="BodyText"/>
        <w:widowControl/>
        <w:kinsoku w:val="0"/>
        <w:overflowPunct w:val="0"/>
        <w:ind w:left="0"/>
        <w:rPr>
          <w:lang w:val="el-GR"/>
        </w:rPr>
      </w:pPr>
      <w:r>
        <w:rPr>
          <w:lang w:val="el-GR"/>
        </w:rPr>
        <w:t>Για τον πλήρη κατάλογο των εκδόχων, βλέπε παράγραφο 6.1.</w:t>
      </w:r>
    </w:p>
    <w:p w14:paraId="57B9299E" w14:textId="77777777" w:rsidR="00171824" w:rsidRDefault="00171824">
      <w:pPr>
        <w:widowControl/>
        <w:kinsoku w:val="0"/>
        <w:overflowPunct w:val="0"/>
        <w:rPr>
          <w:sz w:val="22"/>
          <w:szCs w:val="22"/>
          <w:lang w:val="el-GR"/>
        </w:rPr>
      </w:pPr>
    </w:p>
    <w:p w14:paraId="757E7B72" w14:textId="77777777" w:rsidR="00171824" w:rsidRDefault="00171824">
      <w:pPr>
        <w:widowControl/>
        <w:kinsoku w:val="0"/>
        <w:overflowPunct w:val="0"/>
        <w:rPr>
          <w:sz w:val="22"/>
          <w:szCs w:val="22"/>
          <w:lang w:val="el-GR"/>
        </w:rPr>
      </w:pPr>
    </w:p>
    <w:p w14:paraId="1052B795" w14:textId="77777777" w:rsidR="00171824" w:rsidRDefault="006D258C">
      <w:pPr>
        <w:pStyle w:val="Heading1"/>
        <w:widowControl/>
        <w:tabs>
          <w:tab w:val="left" w:pos="567"/>
        </w:tabs>
        <w:kinsoku w:val="0"/>
        <w:overflowPunct w:val="0"/>
        <w:ind w:left="567" w:hanging="567"/>
        <w:rPr>
          <w:b w:val="0"/>
          <w:bCs w:val="0"/>
          <w:lang w:val="el-GR"/>
        </w:rPr>
      </w:pPr>
      <w:r>
        <w:rPr>
          <w:lang w:val="el-GR"/>
        </w:rPr>
        <w:t>3.</w:t>
      </w:r>
      <w:r>
        <w:rPr>
          <w:lang w:val="el-GR"/>
        </w:rPr>
        <w:tab/>
        <w:t>ΦΑΡΜΑΚΟΤΕΧΝΙΚΗ ΜΟΡΦΗ</w:t>
      </w:r>
    </w:p>
    <w:p w14:paraId="505989A6" w14:textId="77777777" w:rsidR="00171824" w:rsidRDefault="00171824">
      <w:pPr>
        <w:widowControl/>
        <w:kinsoku w:val="0"/>
        <w:overflowPunct w:val="0"/>
        <w:rPr>
          <w:sz w:val="22"/>
          <w:szCs w:val="22"/>
          <w:lang w:val="el-GR"/>
        </w:rPr>
      </w:pPr>
    </w:p>
    <w:p w14:paraId="160279D4" w14:textId="77777777" w:rsidR="00171824" w:rsidRDefault="006D258C">
      <w:pPr>
        <w:pStyle w:val="BodyText"/>
        <w:widowControl/>
        <w:kinsoku w:val="0"/>
        <w:overflowPunct w:val="0"/>
        <w:ind w:left="0"/>
        <w:rPr>
          <w:lang w:val="el-GR"/>
        </w:rPr>
      </w:pPr>
      <w:r>
        <w:rPr>
          <w:lang w:val="el-GR"/>
        </w:rPr>
        <w:t>Ενέσιμο διάλυμα (ένεση)</w:t>
      </w:r>
    </w:p>
    <w:p w14:paraId="7808694B" w14:textId="77777777" w:rsidR="00171824" w:rsidRDefault="006D258C">
      <w:pPr>
        <w:pStyle w:val="BodyText"/>
        <w:widowControl/>
        <w:kinsoku w:val="0"/>
        <w:overflowPunct w:val="0"/>
        <w:ind w:left="0"/>
        <w:rPr>
          <w:lang w:val="el-GR"/>
        </w:rPr>
      </w:pPr>
      <w:r>
        <w:rPr>
          <w:lang w:val="el-GR"/>
        </w:rPr>
        <w:t>Ενέσιμο διάλυμα (ένεση) σε προγεμισμένη συσκευή τύπου πένας (SureClick)</w:t>
      </w:r>
    </w:p>
    <w:p w14:paraId="75BC53AF" w14:textId="77777777" w:rsidR="00171824" w:rsidRDefault="00171824">
      <w:pPr>
        <w:pStyle w:val="BodyText"/>
        <w:widowControl/>
        <w:kinsoku w:val="0"/>
        <w:overflowPunct w:val="0"/>
        <w:ind w:left="0"/>
        <w:rPr>
          <w:lang w:val="el-GR"/>
        </w:rPr>
      </w:pPr>
    </w:p>
    <w:p w14:paraId="54E36113" w14:textId="77777777" w:rsidR="00171824" w:rsidRDefault="006D258C">
      <w:pPr>
        <w:pStyle w:val="BodyText"/>
        <w:widowControl/>
        <w:kinsoku w:val="0"/>
        <w:overflowPunct w:val="0"/>
        <w:ind w:left="0"/>
        <w:rPr>
          <w:lang w:val="el-GR"/>
        </w:rPr>
      </w:pPr>
      <w:r>
        <w:rPr>
          <w:lang w:val="el-GR"/>
        </w:rPr>
        <w:t>Διαυγές και άχρωμο έως ελαφρώς κίτρινο διάλυμα.</w:t>
      </w:r>
    </w:p>
    <w:p w14:paraId="32100386" w14:textId="77777777" w:rsidR="00171824" w:rsidRDefault="00171824">
      <w:pPr>
        <w:widowControl/>
        <w:kinsoku w:val="0"/>
        <w:overflowPunct w:val="0"/>
        <w:rPr>
          <w:sz w:val="22"/>
          <w:szCs w:val="22"/>
          <w:lang w:val="el-GR"/>
        </w:rPr>
      </w:pPr>
    </w:p>
    <w:p w14:paraId="2B63FB8E" w14:textId="77777777" w:rsidR="00171824" w:rsidRDefault="00171824">
      <w:pPr>
        <w:widowControl/>
        <w:kinsoku w:val="0"/>
        <w:overflowPunct w:val="0"/>
        <w:rPr>
          <w:sz w:val="22"/>
          <w:szCs w:val="22"/>
          <w:lang w:val="el-GR"/>
        </w:rPr>
      </w:pPr>
    </w:p>
    <w:p w14:paraId="35B64231" w14:textId="77777777" w:rsidR="00171824" w:rsidRDefault="006D258C">
      <w:pPr>
        <w:pStyle w:val="Heading1"/>
        <w:keepNext/>
        <w:widowControl/>
        <w:tabs>
          <w:tab w:val="left" w:pos="567"/>
        </w:tabs>
        <w:kinsoku w:val="0"/>
        <w:overflowPunct w:val="0"/>
        <w:ind w:left="567" w:hanging="567"/>
        <w:rPr>
          <w:b w:val="0"/>
          <w:bCs w:val="0"/>
          <w:lang w:val="el-GR"/>
        </w:rPr>
      </w:pPr>
      <w:r>
        <w:rPr>
          <w:lang w:val="el-GR"/>
        </w:rPr>
        <w:lastRenderedPageBreak/>
        <w:t>4.</w:t>
      </w:r>
      <w:r>
        <w:rPr>
          <w:lang w:val="el-GR"/>
        </w:rPr>
        <w:tab/>
        <w:t>ΚΛΙΝΙΚΕΣ ΠΛΗΡΟΦΟΡΙΕΣ</w:t>
      </w:r>
    </w:p>
    <w:p w14:paraId="2C160FD8" w14:textId="77777777" w:rsidR="00171824" w:rsidRDefault="00171824">
      <w:pPr>
        <w:keepNext/>
        <w:widowControl/>
        <w:kinsoku w:val="0"/>
        <w:overflowPunct w:val="0"/>
        <w:rPr>
          <w:sz w:val="22"/>
          <w:szCs w:val="22"/>
          <w:lang w:val="el-GR"/>
        </w:rPr>
      </w:pPr>
    </w:p>
    <w:p w14:paraId="656A943A" w14:textId="77777777" w:rsidR="00171824" w:rsidRDefault="006D258C">
      <w:pPr>
        <w:keepNext/>
        <w:widowControl/>
        <w:tabs>
          <w:tab w:val="left" w:pos="567"/>
        </w:tabs>
        <w:kinsoku w:val="0"/>
        <w:overflowPunct w:val="0"/>
        <w:ind w:left="567" w:hanging="567"/>
        <w:rPr>
          <w:sz w:val="22"/>
          <w:szCs w:val="22"/>
          <w:lang w:val="el-GR"/>
        </w:rPr>
      </w:pPr>
      <w:r>
        <w:rPr>
          <w:b/>
          <w:bCs/>
          <w:sz w:val="22"/>
          <w:szCs w:val="22"/>
          <w:lang w:val="el-GR"/>
        </w:rPr>
        <w:t>4.1</w:t>
      </w:r>
      <w:r>
        <w:rPr>
          <w:b/>
          <w:bCs/>
          <w:sz w:val="22"/>
          <w:szCs w:val="22"/>
          <w:lang w:val="el-GR"/>
        </w:rPr>
        <w:tab/>
        <w:t>Θεραπευτικές ενδείξεις</w:t>
      </w:r>
    </w:p>
    <w:p w14:paraId="44C56F34" w14:textId="77777777" w:rsidR="00171824" w:rsidRDefault="00171824">
      <w:pPr>
        <w:keepNext/>
        <w:widowControl/>
        <w:kinsoku w:val="0"/>
        <w:overflowPunct w:val="0"/>
        <w:rPr>
          <w:sz w:val="22"/>
          <w:szCs w:val="22"/>
          <w:lang w:val="el-GR"/>
        </w:rPr>
      </w:pPr>
    </w:p>
    <w:p w14:paraId="6547FA93" w14:textId="77777777" w:rsidR="00171824" w:rsidRDefault="006D258C">
      <w:pPr>
        <w:pStyle w:val="BodyText"/>
        <w:keepNext/>
        <w:widowControl/>
        <w:kinsoku w:val="0"/>
        <w:overflowPunct w:val="0"/>
        <w:ind w:left="0"/>
        <w:rPr>
          <w:lang w:val="el-GR"/>
        </w:rPr>
      </w:pPr>
      <w:r>
        <w:rPr>
          <w:u w:val="single"/>
          <w:lang w:val="el-GR"/>
        </w:rPr>
        <w:t>Ρευματοειδής αρθρίτιδα</w:t>
      </w:r>
    </w:p>
    <w:p w14:paraId="1564CDB2" w14:textId="77777777" w:rsidR="00171824" w:rsidRDefault="00171824">
      <w:pPr>
        <w:keepNext/>
        <w:widowControl/>
        <w:kinsoku w:val="0"/>
        <w:overflowPunct w:val="0"/>
        <w:rPr>
          <w:sz w:val="22"/>
          <w:szCs w:val="22"/>
          <w:lang w:val="el-GR"/>
        </w:rPr>
      </w:pPr>
    </w:p>
    <w:p w14:paraId="5733D58B" w14:textId="77777777" w:rsidR="00171824" w:rsidRDefault="006D258C">
      <w:pPr>
        <w:pStyle w:val="BodyText"/>
        <w:keepNext/>
        <w:widowControl/>
        <w:kinsoku w:val="0"/>
        <w:overflowPunct w:val="0"/>
        <w:ind w:left="0"/>
        <w:rPr>
          <w:lang w:val="el-GR"/>
        </w:rPr>
      </w:pPr>
      <w:r>
        <w:rPr>
          <w:lang w:val="el-GR"/>
        </w:rPr>
        <w:t>Το AMGEVITA σε συνδυασμό με τη μεθοτρεξάτη ενδείκνυται για:</w:t>
      </w:r>
    </w:p>
    <w:p w14:paraId="7A9411F4" w14:textId="77777777" w:rsidR="00171824" w:rsidRDefault="006D258C">
      <w:pPr>
        <w:pStyle w:val="BodyText"/>
        <w:widowControl/>
        <w:numPr>
          <w:ilvl w:val="0"/>
          <w:numId w:val="4"/>
        </w:numPr>
        <w:kinsoku w:val="0"/>
        <w:overflowPunct w:val="0"/>
        <w:ind w:left="567" w:hanging="567"/>
        <w:rPr>
          <w:lang w:val="el-GR"/>
        </w:rPr>
      </w:pPr>
      <w:r>
        <w:rPr>
          <w:lang w:val="el-GR"/>
        </w:rPr>
        <w:t>τη θεραπεία της μέτριας έως σοβαρής ενεργού ρευματοειδούς αρθρίτιδας των ενηλίκων ασθενών όταν η ανταπόκριση σε τροποποιητικά της νόσου αντιρευματικά φάρμακα (DMARDs) συμπεριλαμβανομένης και της μεθοτρεξάτης έχει αποδειχθεί ανεπαρκής.</w:t>
      </w:r>
    </w:p>
    <w:p w14:paraId="1D81C364" w14:textId="77777777" w:rsidR="00171824" w:rsidRDefault="006D258C">
      <w:pPr>
        <w:pStyle w:val="BodyText"/>
        <w:widowControl/>
        <w:numPr>
          <w:ilvl w:val="0"/>
          <w:numId w:val="4"/>
        </w:numPr>
        <w:kinsoku w:val="0"/>
        <w:overflowPunct w:val="0"/>
        <w:ind w:left="567" w:hanging="567"/>
        <w:rPr>
          <w:lang w:val="el-GR"/>
        </w:rPr>
      </w:pPr>
      <w:r>
        <w:rPr>
          <w:lang w:val="el-GR"/>
        </w:rPr>
        <w:t>τη θεραπεία της σοβαρής, ενεργού και εξελισσόμενης ρευματοειδούς αρθρίτιδας σε ενήλικες ασθενείς στους οποίους δεν είχε προηγουμένως χορηγηθεί μεθοτρεξάτη.</w:t>
      </w:r>
    </w:p>
    <w:p w14:paraId="16318FA6" w14:textId="77777777" w:rsidR="00171824" w:rsidRDefault="00171824">
      <w:pPr>
        <w:widowControl/>
        <w:kinsoku w:val="0"/>
        <w:overflowPunct w:val="0"/>
        <w:rPr>
          <w:sz w:val="22"/>
          <w:szCs w:val="22"/>
          <w:lang w:val="el-GR"/>
        </w:rPr>
      </w:pPr>
    </w:p>
    <w:p w14:paraId="06608F40" w14:textId="77777777" w:rsidR="00171824" w:rsidRDefault="006D258C">
      <w:pPr>
        <w:pStyle w:val="BodyText"/>
        <w:widowControl/>
        <w:kinsoku w:val="0"/>
        <w:overflowPunct w:val="0"/>
        <w:ind w:left="0"/>
        <w:rPr>
          <w:lang w:val="el-GR"/>
        </w:rPr>
      </w:pPr>
      <w:r>
        <w:rPr>
          <w:lang w:val="el-GR"/>
        </w:rPr>
        <w:t>Το AMGEVITA μπορεί να χορηγείται ως μονοθεραπεία στην περίπτωση δυσανεξίας σε μεθοτρεξάτη ή όταν η συνέχιση της θεραπείας με μεθοτρεξάτη κρίνεται ακατάλληλη.</w:t>
      </w:r>
    </w:p>
    <w:p w14:paraId="416449B7" w14:textId="77777777" w:rsidR="00171824" w:rsidRDefault="00171824">
      <w:pPr>
        <w:widowControl/>
        <w:kinsoku w:val="0"/>
        <w:overflowPunct w:val="0"/>
        <w:rPr>
          <w:sz w:val="22"/>
          <w:szCs w:val="22"/>
          <w:lang w:val="el-GR"/>
        </w:rPr>
      </w:pPr>
    </w:p>
    <w:p w14:paraId="3F6CC58D" w14:textId="77777777" w:rsidR="00171824" w:rsidRDefault="006D258C">
      <w:pPr>
        <w:pStyle w:val="BodyText"/>
        <w:widowControl/>
        <w:kinsoku w:val="0"/>
        <w:overflowPunct w:val="0"/>
        <w:ind w:left="0"/>
        <w:rPr>
          <w:lang w:val="el-GR"/>
        </w:rPr>
      </w:pPr>
      <w:r>
        <w:rPr>
          <w:lang w:val="el-GR"/>
        </w:rPr>
        <w:t>Το AMGEVITA επιβραδύνει την εξέλιξη της αρθρικής βλάβης, όπως αξιολογείται ακτινολογικά και βελτιώνει τη λειτουργικότητα όταν χορηγείται σε συνδυασμό με μεθοτρεξάτη.</w:t>
      </w:r>
    </w:p>
    <w:p w14:paraId="4AE3846B" w14:textId="77777777" w:rsidR="00171824" w:rsidRDefault="00171824">
      <w:pPr>
        <w:widowControl/>
        <w:kinsoku w:val="0"/>
        <w:overflowPunct w:val="0"/>
        <w:rPr>
          <w:sz w:val="22"/>
          <w:szCs w:val="22"/>
          <w:lang w:val="el-GR"/>
        </w:rPr>
      </w:pPr>
    </w:p>
    <w:p w14:paraId="155BE0AE" w14:textId="77777777" w:rsidR="00171824" w:rsidRDefault="006D258C">
      <w:pPr>
        <w:pStyle w:val="BodyText"/>
        <w:widowControl/>
        <w:kinsoku w:val="0"/>
        <w:overflowPunct w:val="0"/>
        <w:ind w:left="0"/>
        <w:rPr>
          <w:u w:val="single"/>
          <w:lang w:val="el-GR"/>
        </w:rPr>
      </w:pPr>
      <w:r>
        <w:rPr>
          <w:u w:val="single"/>
          <w:lang w:val="el-GR"/>
        </w:rPr>
        <w:t>Νεανική ιδιοπαθής αρθρίτιδα</w:t>
      </w:r>
    </w:p>
    <w:p w14:paraId="00C72498" w14:textId="77777777" w:rsidR="00171824" w:rsidRDefault="00171824">
      <w:pPr>
        <w:pStyle w:val="BodyText"/>
        <w:widowControl/>
        <w:kinsoku w:val="0"/>
        <w:overflowPunct w:val="0"/>
        <w:ind w:left="0"/>
        <w:rPr>
          <w:lang w:val="el-GR"/>
        </w:rPr>
      </w:pPr>
    </w:p>
    <w:p w14:paraId="72D3833A" w14:textId="77777777" w:rsidR="00171824" w:rsidRDefault="006D258C">
      <w:pPr>
        <w:widowControl/>
        <w:kinsoku w:val="0"/>
        <w:overflowPunct w:val="0"/>
        <w:rPr>
          <w:i/>
          <w:sz w:val="22"/>
          <w:szCs w:val="22"/>
          <w:lang w:val="el-GR"/>
        </w:rPr>
      </w:pPr>
      <w:r>
        <w:rPr>
          <w:i/>
          <w:iCs/>
          <w:sz w:val="22"/>
          <w:szCs w:val="22"/>
          <w:lang w:val="el-GR"/>
        </w:rPr>
        <w:t>Πολυαρθρική νεανική ιδιοπαθής αρθρίτιδα</w:t>
      </w:r>
    </w:p>
    <w:p w14:paraId="375E4820" w14:textId="77777777" w:rsidR="00171824" w:rsidRDefault="00171824">
      <w:pPr>
        <w:widowControl/>
        <w:kinsoku w:val="0"/>
        <w:overflowPunct w:val="0"/>
        <w:rPr>
          <w:sz w:val="22"/>
          <w:szCs w:val="22"/>
          <w:lang w:val="el-GR"/>
        </w:rPr>
      </w:pPr>
    </w:p>
    <w:p w14:paraId="3701C2FA" w14:textId="77777777" w:rsidR="00171824" w:rsidRDefault="006D258C">
      <w:pPr>
        <w:pStyle w:val="BodyText"/>
        <w:widowControl/>
        <w:kinsoku w:val="0"/>
        <w:overflowPunct w:val="0"/>
        <w:ind w:left="0"/>
        <w:rPr>
          <w:lang w:val="el-GR"/>
        </w:rPr>
      </w:pPr>
      <w:r>
        <w:rPr>
          <w:lang w:val="el-GR"/>
        </w:rPr>
        <w:t>Το AMGEVITA σε συνδυασμό με τη μεθοτρεξάτη ενδείκνυται για τη θεραπεία της ενεργού πολυαρθρικής νεανικής ιδιοπαθούς αρθρίτιδας σε ασθενείς από την ηλικία των 2 ετών των οποίων η ανταπόκριση σε ένα ή περισσότερα DMARDs είναι ανεπαρκής. Το AMGEVITA μπορεί να χορηγείται ως μονοθεραπεία στην περίπτωση δυσανεξίας σε μεθοτρεξάτη ή όταν η συνέχιση της θεραπείας με μεθοτρεξάτη κρίνεται ακατάλληλη (για την αποτελεσματικότητα στη μονοθεραπεία, βλέπε παράγραφο 5.1). Το adalimumab δεν έχει μελετηθεί σε ασθενείς μικρότερους των 2 ετών.</w:t>
      </w:r>
    </w:p>
    <w:p w14:paraId="59A1B202" w14:textId="77777777" w:rsidR="00171824" w:rsidRDefault="00171824">
      <w:pPr>
        <w:widowControl/>
        <w:kinsoku w:val="0"/>
        <w:overflowPunct w:val="0"/>
        <w:rPr>
          <w:iCs/>
          <w:sz w:val="22"/>
          <w:szCs w:val="22"/>
          <w:lang w:val="el-GR"/>
        </w:rPr>
      </w:pPr>
    </w:p>
    <w:p w14:paraId="2B36D19E" w14:textId="77777777" w:rsidR="00171824" w:rsidRDefault="006D258C">
      <w:pPr>
        <w:keepNext/>
        <w:widowControl/>
        <w:kinsoku w:val="0"/>
        <w:overflowPunct w:val="0"/>
        <w:rPr>
          <w:sz w:val="22"/>
          <w:szCs w:val="22"/>
          <w:lang w:val="el-GR"/>
        </w:rPr>
      </w:pPr>
      <w:r>
        <w:rPr>
          <w:i/>
          <w:iCs/>
          <w:sz w:val="22"/>
          <w:szCs w:val="22"/>
          <w:lang w:val="el-GR"/>
        </w:rPr>
        <w:t>Αρθρίτιδα σχετιζόμενη με ενθεσίτιδα</w:t>
      </w:r>
    </w:p>
    <w:p w14:paraId="71145A89" w14:textId="77777777" w:rsidR="00171824" w:rsidRDefault="00171824">
      <w:pPr>
        <w:keepNext/>
        <w:widowControl/>
        <w:kinsoku w:val="0"/>
        <w:overflowPunct w:val="0"/>
        <w:rPr>
          <w:sz w:val="22"/>
          <w:szCs w:val="22"/>
          <w:lang w:val="el-GR"/>
        </w:rPr>
      </w:pPr>
    </w:p>
    <w:p w14:paraId="34E22631" w14:textId="77777777" w:rsidR="00171824" w:rsidRDefault="006D258C">
      <w:pPr>
        <w:pStyle w:val="BodyText"/>
        <w:widowControl/>
        <w:kinsoku w:val="0"/>
        <w:overflowPunct w:val="0"/>
        <w:ind w:left="0"/>
        <w:rPr>
          <w:lang w:val="el-GR"/>
        </w:rPr>
      </w:pPr>
      <w:r>
        <w:rPr>
          <w:lang w:val="el-GR"/>
        </w:rPr>
        <w:t>Το AMGEVITA ενδείκνυται για τη θεραπεία της ενεργού αρθρίτιδας που σχετίζεται με ενθεσίτιδα σε ασθενείς, ηλικίας 6 ετών και άνω, οι οποίοι εμφανίζουν ανεπαρκή ανταπόκριση ή δεν ανέχονται τη συμβατική θεραπεία (βλέπε παράγραφο 5.1).</w:t>
      </w:r>
    </w:p>
    <w:p w14:paraId="62DFF958" w14:textId="77777777" w:rsidR="00171824" w:rsidRDefault="00171824">
      <w:pPr>
        <w:widowControl/>
        <w:kinsoku w:val="0"/>
        <w:overflowPunct w:val="0"/>
        <w:rPr>
          <w:sz w:val="22"/>
          <w:szCs w:val="22"/>
          <w:lang w:val="el-GR"/>
        </w:rPr>
      </w:pPr>
    </w:p>
    <w:p w14:paraId="456D931D" w14:textId="77777777" w:rsidR="00171824" w:rsidRDefault="006D258C">
      <w:pPr>
        <w:pStyle w:val="BodyText"/>
        <w:widowControl/>
        <w:kinsoku w:val="0"/>
        <w:overflowPunct w:val="0"/>
        <w:ind w:left="0"/>
        <w:rPr>
          <w:lang w:val="el-GR"/>
        </w:rPr>
      </w:pPr>
      <w:r>
        <w:rPr>
          <w:u w:val="single"/>
          <w:lang w:val="el-GR"/>
        </w:rPr>
        <w:t>Αξονική σπονδυλαρθρίτιδα</w:t>
      </w:r>
    </w:p>
    <w:p w14:paraId="17B199D4" w14:textId="77777777" w:rsidR="00171824" w:rsidRDefault="00171824">
      <w:pPr>
        <w:widowControl/>
        <w:kinsoku w:val="0"/>
        <w:overflowPunct w:val="0"/>
        <w:rPr>
          <w:sz w:val="22"/>
          <w:szCs w:val="22"/>
          <w:lang w:val="el-GR"/>
        </w:rPr>
      </w:pPr>
    </w:p>
    <w:p w14:paraId="136708C6" w14:textId="77777777" w:rsidR="00171824" w:rsidRDefault="006D258C">
      <w:pPr>
        <w:widowControl/>
        <w:kinsoku w:val="0"/>
        <w:overflowPunct w:val="0"/>
        <w:rPr>
          <w:sz w:val="22"/>
          <w:szCs w:val="22"/>
          <w:lang w:val="el-GR"/>
        </w:rPr>
      </w:pPr>
      <w:r>
        <w:rPr>
          <w:i/>
          <w:iCs/>
          <w:sz w:val="22"/>
          <w:szCs w:val="22"/>
          <w:lang w:val="el-GR"/>
        </w:rPr>
        <w:t>Αγκυλοποιητική σπονδυλίτιδα (ΑΣ)</w:t>
      </w:r>
    </w:p>
    <w:p w14:paraId="72C85497" w14:textId="77777777" w:rsidR="00171824" w:rsidRDefault="00171824">
      <w:pPr>
        <w:widowControl/>
        <w:kinsoku w:val="0"/>
        <w:overflowPunct w:val="0"/>
        <w:rPr>
          <w:sz w:val="22"/>
          <w:szCs w:val="22"/>
          <w:lang w:val="el-GR"/>
        </w:rPr>
      </w:pPr>
    </w:p>
    <w:p w14:paraId="0A621BB2" w14:textId="77777777" w:rsidR="00171824" w:rsidRDefault="006D258C">
      <w:pPr>
        <w:pStyle w:val="BodyText"/>
        <w:widowControl/>
        <w:kinsoku w:val="0"/>
        <w:overflowPunct w:val="0"/>
        <w:ind w:left="0"/>
        <w:rPr>
          <w:lang w:val="el-GR"/>
        </w:rPr>
      </w:pPr>
      <w:r>
        <w:rPr>
          <w:lang w:val="el-GR"/>
        </w:rPr>
        <w:t>Το AMGEVITA ενδείκνυται για τη θεραπεία ενηλίκων ασθενών με σοβαρή ενεργό αγκυλοποιητική σπονδυλίτιδα, όταν η ανταπόκριση στη συμβατική θεραπεία έχει αποδειχθεί ανεπαρκής.</w:t>
      </w:r>
    </w:p>
    <w:p w14:paraId="70CD326F" w14:textId="77777777" w:rsidR="00171824" w:rsidRDefault="00171824">
      <w:pPr>
        <w:widowControl/>
        <w:kinsoku w:val="0"/>
        <w:overflowPunct w:val="0"/>
        <w:rPr>
          <w:sz w:val="22"/>
          <w:szCs w:val="22"/>
          <w:lang w:val="el-GR"/>
        </w:rPr>
      </w:pPr>
    </w:p>
    <w:p w14:paraId="0B14C410" w14:textId="77777777" w:rsidR="00171824" w:rsidRDefault="006D258C">
      <w:pPr>
        <w:widowControl/>
        <w:kinsoku w:val="0"/>
        <w:overflowPunct w:val="0"/>
        <w:rPr>
          <w:sz w:val="22"/>
          <w:szCs w:val="22"/>
          <w:lang w:val="el-GR"/>
        </w:rPr>
      </w:pPr>
      <w:r>
        <w:rPr>
          <w:i/>
          <w:iCs/>
          <w:sz w:val="22"/>
          <w:szCs w:val="22"/>
          <w:lang w:val="el-GR"/>
        </w:rPr>
        <w:t>Αξονική σπονδυλαρθρίτιδα χωρίς ακτινολογικά ευρήματα αγκυλοποιητικής σπονδυλίτιδας</w:t>
      </w:r>
    </w:p>
    <w:p w14:paraId="36B2577B" w14:textId="77777777" w:rsidR="00171824" w:rsidRDefault="00171824">
      <w:pPr>
        <w:widowControl/>
        <w:kinsoku w:val="0"/>
        <w:overflowPunct w:val="0"/>
        <w:rPr>
          <w:sz w:val="22"/>
          <w:szCs w:val="22"/>
          <w:lang w:val="el-GR"/>
        </w:rPr>
      </w:pPr>
    </w:p>
    <w:p w14:paraId="72D2CFF7" w14:textId="77777777" w:rsidR="00171824" w:rsidRDefault="006D258C">
      <w:pPr>
        <w:pStyle w:val="BodyText"/>
        <w:widowControl/>
        <w:kinsoku w:val="0"/>
        <w:overflowPunct w:val="0"/>
        <w:ind w:left="0"/>
        <w:rPr>
          <w:lang w:val="el-GR"/>
        </w:rPr>
      </w:pPr>
      <w:r>
        <w:rPr>
          <w:lang w:val="el-GR"/>
        </w:rPr>
        <w:t>Το AMGEVITA ενδείκνυται για τη θεραπεία ενηλίκων ασθενών με σοβαρή αξονική σπονδυλαρθρίτιδα χωρίς ακτινολογικά ευρήματα αγκυλοποιητικής σπονδυλίτιδας (ΑΣ), αλλά με αντικειμενικά σημεία φλεγμονής με αυξημένη CRP και/ή μαγνητική τομογραφία (MRI), που είχαν ανεπαρκή ανταπόκριση ή έχουν δυσανεξία σε μη στεροειδή αντιφλεγμονώδη φάρμακα.</w:t>
      </w:r>
    </w:p>
    <w:p w14:paraId="1C811F1C" w14:textId="77777777" w:rsidR="00171824" w:rsidRDefault="00171824">
      <w:pPr>
        <w:widowControl/>
        <w:kinsoku w:val="0"/>
        <w:overflowPunct w:val="0"/>
        <w:rPr>
          <w:sz w:val="22"/>
          <w:szCs w:val="22"/>
          <w:lang w:val="el-GR"/>
        </w:rPr>
      </w:pPr>
    </w:p>
    <w:p w14:paraId="209329B3" w14:textId="77777777" w:rsidR="00171824" w:rsidRDefault="006D258C">
      <w:pPr>
        <w:pStyle w:val="BodyText"/>
        <w:widowControl/>
        <w:kinsoku w:val="0"/>
        <w:overflowPunct w:val="0"/>
        <w:ind w:left="0"/>
        <w:rPr>
          <w:lang w:val="el-GR"/>
        </w:rPr>
      </w:pPr>
      <w:r>
        <w:rPr>
          <w:u w:val="single"/>
          <w:lang w:val="el-GR"/>
        </w:rPr>
        <w:t>Ψωριασική αρθρίτιδα</w:t>
      </w:r>
    </w:p>
    <w:p w14:paraId="48B3782A" w14:textId="77777777" w:rsidR="00171824" w:rsidRDefault="00171824">
      <w:pPr>
        <w:widowControl/>
        <w:kinsoku w:val="0"/>
        <w:overflowPunct w:val="0"/>
        <w:rPr>
          <w:sz w:val="22"/>
          <w:szCs w:val="22"/>
          <w:lang w:val="el-GR"/>
        </w:rPr>
      </w:pPr>
    </w:p>
    <w:p w14:paraId="2815CFAE" w14:textId="77777777" w:rsidR="00171824" w:rsidRDefault="006D258C">
      <w:pPr>
        <w:pStyle w:val="BodyText"/>
        <w:widowControl/>
        <w:kinsoku w:val="0"/>
        <w:overflowPunct w:val="0"/>
        <w:ind w:left="0"/>
        <w:rPr>
          <w:lang w:val="el-GR"/>
        </w:rPr>
      </w:pPr>
      <w:r>
        <w:rPr>
          <w:lang w:val="el-GR"/>
        </w:rPr>
        <w:t>Το AMGEVITA ενδείκνυται για τη θεραπεία της ενεργού και εξελισσόμενης ψωριασικής αρθρίτιδας σε ενήλικες ασθενείς όταν η ανταπόκριση σε προηγούμενη θεραπεία με DMARD έχει αποδειχθεί ανεπαρκής. To AMGEVITA επιβραδύνει την εξέλιξη της βλάβης των περιφερικών αρθρώσεων, όπως αξιολογείται ακτινολογικά σε ασθενείς με συμμετρικές πολυαρθρικές υποκατηγορίες της νόσου (βλέπε παράγραφο 5.1) και βελτιώνει τη λειτουργικότητα.</w:t>
      </w:r>
    </w:p>
    <w:p w14:paraId="67CD19AE" w14:textId="77777777" w:rsidR="00171824" w:rsidRDefault="00171824">
      <w:pPr>
        <w:widowControl/>
        <w:kinsoku w:val="0"/>
        <w:overflowPunct w:val="0"/>
        <w:rPr>
          <w:sz w:val="22"/>
          <w:szCs w:val="22"/>
          <w:lang w:val="el-GR"/>
        </w:rPr>
      </w:pPr>
    </w:p>
    <w:p w14:paraId="425F0F63" w14:textId="77777777" w:rsidR="00171824" w:rsidRDefault="006D258C">
      <w:pPr>
        <w:pStyle w:val="BodyText"/>
        <w:widowControl/>
        <w:kinsoku w:val="0"/>
        <w:overflowPunct w:val="0"/>
        <w:ind w:left="0"/>
        <w:rPr>
          <w:lang w:val="el-GR"/>
        </w:rPr>
      </w:pPr>
      <w:r>
        <w:rPr>
          <w:u w:val="single"/>
          <w:lang w:val="el-GR"/>
        </w:rPr>
        <w:t>Ψωρίαση</w:t>
      </w:r>
    </w:p>
    <w:p w14:paraId="53DE2760" w14:textId="77777777" w:rsidR="00171824" w:rsidRDefault="00171824">
      <w:pPr>
        <w:widowControl/>
        <w:kinsoku w:val="0"/>
        <w:overflowPunct w:val="0"/>
        <w:rPr>
          <w:sz w:val="22"/>
          <w:szCs w:val="22"/>
          <w:lang w:val="el-GR"/>
        </w:rPr>
      </w:pPr>
    </w:p>
    <w:p w14:paraId="0C99629F"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μέτριας έως σοβαρής χρόνιας ψωρίασης κατά πλάκας σε ενήλικες ασθενείς οι οποίοι είναι υποψήφιοι για συστηματική θεραπεία.</w:t>
      </w:r>
    </w:p>
    <w:p w14:paraId="736931F2" w14:textId="77777777" w:rsidR="00171824" w:rsidRDefault="00171824">
      <w:pPr>
        <w:widowControl/>
        <w:kinsoku w:val="0"/>
        <w:overflowPunct w:val="0"/>
        <w:rPr>
          <w:sz w:val="22"/>
          <w:szCs w:val="22"/>
          <w:lang w:val="el-GR"/>
        </w:rPr>
      </w:pPr>
    </w:p>
    <w:p w14:paraId="25ADF5FF" w14:textId="77777777" w:rsidR="00171824" w:rsidRDefault="006D258C">
      <w:pPr>
        <w:pStyle w:val="BodyText"/>
        <w:widowControl/>
        <w:kinsoku w:val="0"/>
        <w:overflowPunct w:val="0"/>
        <w:ind w:left="0"/>
        <w:rPr>
          <w:lang w:val="el-GR"/>
        </w:rPr>
      </w:pPr>
      <w:r>
        <w:rPr>
          <w:u w:val="single"/>
          <w:lang w:val="el-GR"/>
        </w:rPr>
        <w:t>Παιδιατρική ψωρίαση κατά πλάκας</w:t>
      </w:r>
    </w:p>
    <w:p w14:paraId="1DC2EC77" w14:textId="77777777" w:rsidR="00171824" w:rsidRDefault="00171824">
      <w:pPr>
        <w:widowControl/>
        <w:kinsoku w:val="0"/>
        <w:overflowPunct w:val="0"/>
        <w:rPr>
          <w:sz w:val="22"/>
          <w:szCs w:val="22"/>
          <w:lang w:val="el-GR"/>
        </w:rPr>
      </w:pPr>
    </w:p>
    <w:p w14:paraId="59F646E1" w14:textId="77777777" w:rsidR="00171824" w:rsidRDefault="006D258C">
      <w:pPr>
        <w:pStyle w:val="BodyText"/>
        <w:widowControl/>
        <w:kinsoku w:val="0"/>
        <w:overflowPunct w:val="0"/>
        <w:ind w:left="0"/>
        <w:rPr>
          <w:lang w:val="el-GR"/>
        </w:rPr>
      </w:pPr>
      <w:r>
        <w:rPr>
          <w:lang w:val="el-GR"/>
        </w:rPr>
        <w:t>Το AMGEVITA ενδείκνυται για τη θεραπεία της σοβαρής χρόνιας ψωρίασης κατά πλάκας σε παιδιά και εφήβους από την ηλικία των 4 ετών οι οποίοι εμφάνισαν ανεπαρκή ανταπόκριση ή είναι ακατάλληλοι υποψήφιοι για τοπική θεραπεία και φωτοθεραπείες.</w:t>
      </w:r>
    </w:p>
    <w:p w14:paraId="580A01AD" w14:textId="77777777" w:rsidR="00171824" w:rsidRDefault="00171824">
      <w:pPr>
        <w:widowControl/>
        <w:kinsoku w:val="0"/>
        <w:overflowPunct w:val="0"/>
        <w:rPr>
          <w:sz w:val="22"/>
          <w:szCs w:val="22"/>
          <w:lang w:val="el-GR"/>
        </w:rPr>
      </w:pPr>
    </w:p>
    <w:p w14:paraId="12EF1ED2" w14:textId="77777777" w:rsidR="00171824" w:rsidRDefault="006D258C">
      <w:pPr>
        <w:pStyle w:val="BodyText"/>
        <w:keepNext/>
        <w:widowControl/>
        <w:kinsoku w:val="0"/>
        <w:overflowPunct w:val="0"/>
        <w:ind w:left="0"/>
        <w:rPr>
          <w:lang w:val="el-GR"/>
        </w:rPr>
      </w:pPr>
      <w:r>
        <w:rPr>
          <w:u w:val="single"/>
          <w:lang w:val="el-GR"/>
        </w:rPr>
        <w:t>Διαπυητική ιδρωταδενίτιδα (HS)</w:t>
      </w:r>
    </w:p>
    <w:p w14:paraId="7A7E1103" w14:textId="77777777" w:rsidR="00171824" w:rsidRDefault="00171824">
      <w:pPr>
        <w:keepNext/>
        <w:widowControl/>
        <w:kinsoku w:val="0"/>
        <w:overflowPunct w:val="0"/>
        <w:rPr>
          <w:sz w:val="22"/>
          <w:szCs w:val="22"/>
          <w:lang w:val="el-GR"/>
        </w:rPr>
      </w:pPr>
    </w:p>
    <w:p w14:paraId="515F9F2B"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μέτριας έως σοβαρής ενεργού διαπυητικής ιδρωταδενίτιδας (ανάστροφης ακµής) σε ενήλικες και εφήβους ηλικίας από 12 ετών με ανεπαρκή ανταπόκριση στη συμβατική συστηματική θεραπεία για τη διαπυητική ιδρωταδενίτιδα (βλέπε παραγράφους 5.1 και 5.2).</w:t>
      </w:r>
    </w:p>
    <w:p w14:paraId="5C6A10DB" w14:textId="77777777" w:rsidR="00171824" w:rsidRDefault="00171824">
      <w:pPr>
        <w:widowControl/>
        <w:kinsoku w:val="0"/>
        <w:overflowPunct w:val="0"/>
        <w:rPr>
          <w:sz w:val="22"/>
          <w:szCs w:val="22"/>
          <w:lang w:val="el-GR"/>
        </w:rPr>
      </w:pPr>
    </w:p>
    <w:p w14:paraId="6C159266" w14:textId="77777777" w:rsidR="00171824" w:rsidRDefault="006D258C">
      <w:pPr>
        <w:pStyle w:val="BodyText"/>
        <w:keepNext/>
        <w:widowControl/>
        <w:kinsoku w:val="0"/>
        <w:overflowPunct w:val="0"/>
        <w:ind w:left="0"/>
        <w:rPr>
          <w:lang w:val="el-GR"/>
        </w:rPr>
      </w:pPr>
      <w:r>
        <w:rPr>
          <w:u w:val="single"/>
          <w:lang w:val="el-GR"/>
        </w:rPr>
        <w:t>Nόσος του Crohn</w:t>
      </w:r>
    </w:p>
    <w:p w14:paraId="129E4207" w14:textId="77777777" w:rsidR="00171824" w:rsidRDefault="00171824">
      <w:pPr>
        <w:keepNext/>
        <w:widowControl/>
        <w:kinsoku w:val="0"/>
        <w:overflowPunct w:val="0"/>
        <w:rPr>
          <w:sz w:val="22"/>
          <w:szCs w:val="22"/>
          <w:lang w:val="el-GR"/>
        </w:rPr>
      </w:pPr>
    </w:p>
    <w:p w14:paraId="5C57BA78" w14:textId="77777777" w:rsidR="00171824" w:rsidRDefault="006D258C">
      <w:pPr>
        <w:pStyle w:val="BodyText"/>
        <w:widowControl/>
        <w:kinsoku w:val="0"/>
        <w:overflowPunct w:val="0"/>
        <w:ind w:left="0"/>
        <w:rPr>
          <w:lang w:val="el-GR"/>
        </w:rPr>
      </w:pPr>
      <w:r>
        <w:rPr>
          <w:lang w:val="el-GR"/>
        </w:rPr>
        <w:t>To AMGEVITA ενδείκνυται για τη θεραπεία της μέτριας έως σοβαρής ενεργού νόσου του Crohn, σε ενήλικες ασθενείς οι οποίοι δεν έχουν ανταποκριθεί σε πλήρη, επαρκή θεραπευτική αγωγή με ένα κορτικοστεροειδές και/ή με ένα ανοσοκατασταλτικό, ή οι οποίοι έχουν δυσανεξία ή αντένδειξη για τέτοιες θεραπείες.</w:t>
      </w:r>
    </w:p>
    <w:p w14:paraId="2C9962B7" w14:textId="77777777" w:rsidR="00171824" w:rsidRDefault="00171824">
      <w:pPr>
        <w:widowControl/>
        <w:kinsoku w:val="0"/>
        <w:overflowPunct w:val="0"/>
        <w:rPr>
          <w:sz w:val="22"/>
          <w:szCs w:val="22"/>
          <w:lang w:val="el-GR"/>
        </w:rPr>
      </w:pPr>
    </w:p>
    <w:p w14:paraId="136CC726" w14:textId="77777777" w:rsidR="00171824" w:rsidRDefault="006D258C">
      <w:pPr>
        <w:pStyle w:val="BodyText"/>
        <w:widowControl/>
        <w:kinsoku w:val="0"/>
        <w:overflowPunct w:val="0"/>
        <w:ind w:left="0"/>
        <w:rPr>
          <w:lang w:val="el-GR"/>
        </w:rPr>
      </w:pPr>
      <w:r>
        <w:rPr>
          <w:u w:val="single"/>
          <w:lang w:val="el-GR"/>
        </w:rPr>
        <w:t>Παιδιατρική νόσος του Crohn</w:t>
      </w:r>
    </w:p>
    <w:p w14:paraId="4F20A6EA" w14:textId="77777777" w:rsidR="00171824" w:rsidRDefault="00171824">
      <w:pPr>
        <w:widowControl/>
        <w:kinsoku w:val="0"/>
        <w:overflowPunct w:val="0"/>
        <w:rPr>
          <w:sz w:val="22"/>
          <w:szCs w:val="22"/>
          <w:lang w:val="el-GR"/>
        </w:rPr>
      </w:pPr>
    </w:p>
    <w:p w14:paraId="32B03BFF"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μέτριας έως σοβαρής ενεργού νόσου του Crohn σε παιδιατρικούς ασθενείς (από 6 ετών) που είχαν ανεπαρκή ανταπόκριση στη συμβατική θεραπεία που περιλαμβάνει πρωτογενή διατροφική θεραπεία και ένα κορτικοστεροειδές και/ή ένα ανοσοτροποποιητικό, ή που έχουν δυσανεξία ή αντένδειξη για τέτοιες θεραπείες.</w:t>
      </w:r>
    </w:p>
    <w:p w14:paraId="2DFA6913" w14:textId="77777777" w:rsidR="00171824" w:rsidRDefault="00171824">
      <w:pPr>
        <w:widowControl/>
        <w:kinsoku w:val="0"/>
        <w:overflowPunct w:val="0"/>
        <w:rPr>
          <w:sz w:val="22"/>
          <w:szCs w:val="22"/>
          <w:lang w:val="el-GR"/>
        </w:rPr>
      </w:pPr>
    </w:p>
    <w:p w14:paraId="7A9DC3A8" w14:textId="77777777" w:rsidR="00171824" w:rsidRDefault="006D258C">
      <w:pPr>
        <w:pStyle w:val="BodyText"/>
        <w:widowControl/>
        <w:kinsoku w:val="0"/>
        <w:overflowPunct w:val="0"/>
        <w:ind w:left="0"/>
        <w:rPr>
          <w:lang w:val="el-GR"/>
        </w:rPr>
      </w:pPr>
      <w:r>
        <w:rPr>
          <w:u w:val="single"/>
          <w:lang w:val="el-GR"/>
        </w:rPr>
        <w:t>Ελκώδης κολίτιδα</w:t>
      </w:r>
    </w:p>
    <w:p w14:paraId="1168085C" w14:textId="77777777" w:rsidR="00171824" w:rsidRDefault="00171824">
      <w:pPr>
        <w:widowControl/>
        <w:kinsoku w:val="0"/>
        <w:overflowPunct w:val="0"/>
        <w:rPr>
          <w:sz w:val="22"/>
          <w:szCs w:val="22"/>
          <w:lang w:val="el-GR"/>
        </w:rPr>
      </w:pPr>
    </w:p>
    <w:p w14:paraId="5F155C81"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μέτριας έως σοβαρής ενεργού ελκώδους κολίτιδας σε ενήλικες ασθενείς που είχαν ανεπαρκή ανταπόκριση στη συμβατική θεραπεία συμπεριλαμβανομένων των κορτικοστεροειδών και των 6</w:t>
      </w:r>
      <w:r>
        <w:rPr>
          <w:lang w:val="el-GR" w:eastAsia="en-GB"/>
        </w:rPr>
        <w:noBreakHyphen/>
      </w:r>
      <w:r>
        <w:rPr>
          <w:lang w:val="el-GR"/>
        </w:rPr>
        <w:t>mercaptopurine (6-MP) ή αζαθειοπρίνης (AZA) ή οι οποίοι έχουν δυσανεξία ή αντένδειξη για τέτοιες θεραπείες.</w:t>
      </w:r>
    </w:p>
    <w:p w14:paraId="518AABB6" w14:textId="77777777" w:rsidR="00171824" w:rsidRDefault="00171824">
      <w:pPr>
        <w:pStyle w:val="BodyText"/>
        <w:widowControl/>
        <w:kinsoku w:val="0"/>
        <w:overflowPunct w:val="0"/>
        <w:ind w:left="0"/>
        <w:rPr>
          <w:lang w:val="el-GR"/>
        </w:rPr>
      </w:pPr>
    </w:p>
    <w:p w14:paraId="4FEA3FB4" w14:textId="77777777" w:rsidR="00171824" w:rsidRDefault="006D258C">
      <w:pPr>
        <w:widowControl/>
        <w:rPr>
          <w:color w:val="000000"/>
          <w:sz w:val="22"/>
          <w:szCs w:val="22"/>
          <w:u w:val="single"/>
          <w:lang w:val="el-GR" w:eastAsia="ja-JP"/>
        </w:rPr>
      </w:pPr>
      <w:r>
        <w:rPr>
          <w:color w:val="000000"/>
          <w:sz w:val="22"/>
          <w:szCs w:val="22"/>
          <w:u w:val="single"/>
          <w:lang w:val="el-GR" w:eastAsia="ja-JP"/>
        </w:rPr>
        <w:t xml:space="preserve">Παιδιατρική ελκώδης κολίτιδα </w:t>
      </w:r>
    </w:p>
    <w:p w14:paraId="689ACD61" w14:textId="77777777" w:rsidR="00171824" w:rsidRDefault="00171824">
      <w:pPr>
        <w:widowControl/>
        <w:rPr>
          <w:color w:val="000000"/>
          <w:sz w:val="22"/>
          <w:szCs w:val="22"/>
          <w:lang w:val="el-GR" w:eastAsia="ja-JP"/>
        </w:rPr>
      </w:pPr>
    </w:p>
    <w:p w14:paraId="15C5FF26" w14:textId="77777777" w:rsidR="00171824" w:rsidRDefault="006D258C">
      <w:pPr>
        <w:pStyle w:val="BodyText"/>
        <w:widowControl/>
        <w:kinsoku w:val="0"/>
        <w:overflowPunct w:val="0"/>
        <w:ind w:left="0"/>
        <w:rPr>
          <w:lang w:val="el-GR"/>
        </w:rPr>
      </w:pPr>
      <w:r>
        <w:rPr>
          <w:color w:val="000000"/>
          <w:lang w:val="el-GR" w:eastAsia="ja-JP"/>
        </w:rPr>
        <w:t>Το AMGEVITA ενδείκνυται για τη θεραπεία της μέτριας έως σοβαρής ενεργού ελκώδους κολίτιδας σε παιδιατρικούς ασθενείς (ηλικίας από 6 ετών) που είχαν ανεπαρκή ανταπόκριση στη συμβατική θεραπεία συμπεριλαμβανομένων των κορτικοστεροειδών ή/και των 6-mercaptopurine (6-MP) ή αζαθειοπρίνης (AZA), ή οι οποίοι έχουν δυσανεξία ή αντένδειξη για τέτοιες θεραπείες.</w:t>
      </w:r>
    </w:p>
    <w:p w14:paraId="67DA0069" w14:textId="77777777" w:rsidR="00171824" w:rsidRDefault="00171824">
      <w:pPr>
        <w:widowControl/>
        <w:kinsoku w:val="0"/>
        <w:overflowPunct w:val="0"/>
        <w:rPr>
          <w:sz w:val="22"/>
          <w:szCs w:val="22"/>
          <w:lang w:val="el-GR"/>
        </w:rPr>
      </w:pPr>
    </w:p>
    <w:p w14:paraId="314EB169" w14:textId="77777777" w:rsidR="00171824" w:rsidRDefault="006D258C">
      <w:pPr>
        <w:pStyle w:val="BodyText"/>
        <w:widowControl/>
        <w:kinsoku w:val="0"/>
        <w:overflowPunct w:val="0"/>
        <w:ind w:left="0"/>
        <w:rPr>
          <w:lang w:val="el-GR"/>
        </w:rPr>
      </w:pPr>
      <w:r>
        <w:rPr>
          <w:u w:val="single"/>
          <w:lang w:val="el-GR"/>
        </w:rPr>
        <w:t>Ραγοειδίτιδα</w:t>
      </w:r>
    </w:p>
    <w:p w14:paraId="32F8C6E3" w14:textId="77777777" w:rsidR="00171824" w:rsidRDefault="00171824">
      <w:pPr>
        <w:widowControl/>
        <w:kinsoku w:val="0"/>
        <w:overflowPunct w:val="0"/>
        <w:rPr>
          <w:sz w:val="22"/>
          <w:szCs w:val="22"/>
          <w:lang w:val="el-GR"/>
        </w:rPr>
      </w:pPr>
    </w:p>
    <w:p w14:paraId="0CF2BFB8" w14:textId="77777777" w:rsidR="00171824" w:rsidRDefault="006D258C">
      <w:pPr>
        <w:pStyle w:val="BodyText"/>
        <w:widowControl/>
        <w:kinsoku w:val="0"/>
        <w:overflowPunct w:val="0"/>
        <w:ind w:left="0"/>
        <w:rPr>
          <w:lang w:val="el-GR"/>
        </w:rPr>
      </w:pPr>
      <w:r>
        <w:rPr>
          <w:lang w:val="el-GR"/>
        </w:rPr>
        <w:t>Το AMGEVITA ενδείκνυται για τη θεραπεία της μη-λοιμώδους ενδιάμεσης, οπίσθιας και πανραγοειδίτιδας σε ενήλικες ασθενείς, οι οποίοι είχαν ανεπαρκή ανταπόκριση σε κορτικοστεροειδή, σε ασθενείς που απαιτούν σταδιακή μείωση της δόσης των κορτικοστεροειδών, ή στους οποίους δεν είναι κατάλληλη η θεραπεία με κορτικοστεροειδή.</w:t>
      </w:r>
    </w:p>
    <w:p w14:paraId="57B1B3BC" w14:textId="77777777" w:rsidR="00171824" w:rsidRDefault="00171824">
      <w:pPr>
        <w:keepNext/>
        <w:widowControl/>
        <w:kinsoku w:val="0"/>
        <w:overflowPunct w:val="0"/>
        <w:rPr>
          <w:sz w:val="22"/>
          <w:szCs w:val="22"/>
          <w:lang w:val="el-GR"/>
        </w:rPr>
      </w:pPr>
    </w:p>
    <w:p w14:paraId="57490E7C" w14:textId="77777777" w:rsidR="00171824" w:rsidRDefault="006D258C">
      <w:pPr>
        <w:keepNext/>
        <w:widowControl/>
        <w:kinsoku w:val="0"/>
        <w:overflowPunct w:val="0"/>
        <w:rPr>
          <w:sz w:val="22"/>
          <w:szCs w:val="22"/>
          <w:u w:val="single"/>
          <w:lang w:val="el-GR"/>
        </w:rPr>
      </w:pPr>
      <w:r>
        <w:rPr>
          <w:sz w:val="22"/>
          <w:szCs w:val="22"/>
          <w:u w:val="single"/>
          <w:lang w:val="el-GR"/>
        </w:rPr>
        <w:t>Παιδιατρική ραγοειδίτιδα</w:t>
      </w:r>
    </w:p>
    <w:p w14:paraId="28BD8710" w14:textId="77777777" w:rsidR="00171824" w:rsidRDefault="00171824">
      <w:pPr>
        <w:keepNext/>
        <w:widowControl/>
        <w:rPr>
          <w:sz w:val="22"/>
          <w:szCs w:val="22"/>
          <w:lang w:val="el-GR"/>
        </w:rPr>
      </w:pPr>
    </w:p>
    <w:p w14:paraId="09F32664" w14:textId="77777777" w:rsidR="00171824" w:rsidRDefault="006D258C">
      <w:pPr>
        <w:keepNext/>
        <w:widowControl/>
        <w:rPr>
          <w:sz w:val="22"/>
          <w:szCs w:val="22"/>
          <w:lang w:val="el-GR"/>
        </w:rPr>
      </w:pPr>
      <w:r>
        <w:rPr>
          <w:sz w:val="22"/>
          <w:szCs w:val="22"/>
          <w:lang w:val="el-GR"/>
        </w:rPr>
        <w:t>Το AMGEVITA ενδείκνυται για τη θεραπεία της παιδιατρικής χρόνιας μη-λοιμώδους πρόσθιας ραγοειδίτιδας σε ασθενείς από την ηλικία των 2 ετών που είχαν ανεπαρκή ανταπόκριση ή δεν ανέχονται τη συμβατική θεραπεία ή στους οποίους η συμβατική θεραπεία δεν είναι κατάλληλη.</w:t>
      </w:r>
    </w:p>
    <w:p w14:paraId="501478EF" w14:textId="77777777" w:rsidR="00171824" w:rsidRDefault="00171824">
      <w:pPr>
        <w:widowControl/>
        <w:kinsoku w:val="0"/>
        <w:overflowPunct w:val="0"/>
        <w:rPr>
          <w:sz w:val="22"/>
          <w:szCs w:val="22"/>
          <w:lang w:val="el-GR"/>
        </w:rPr>
      </w:pPr>
    </w:p>
    <w:p w14:paraId="3C7041EA" w14:textId="77777777" w:rsidR="00171824" w:rsidRDefault="006D258C">
      <w:pPr>
        <w:pStyle w:val="Heading1"/>
        <w:widowControl/>
        <w:tabs>
          <w:tab w:val="left" w:pos="567"/>
        </w:tabs>
        <w:kinsoku w:val="0"/>
        <w:overflowPunct w:val="0"/>
        <w:ind w:left="567" w:hanging="567"/>
        <w:rPr>
          <w:b w:val="0"/>
          <w:bCs w:val="0"/>
          <w:lang w:val="el-GR"/>
        </w:rPr>
      </w:pPr>
      <w:r>
        <w:rPr>
          <w:lang w:val="el-GR"/>
        </w:rPr>
        <w:t>4.2</w:t>
      </w:r>
      <w:r>
        <w:rPr>
          <w:lang w:val="el-GR"/>
        </w:rPr>
        <w:tab/>
        <w:t>Δοσολογία και τρόπος χορήγησης</w:t>
      </w:r>
    </w:p>
    <w:p w14:paraId="399D86B9" w14:textId="77777777" w:rsidR="00171824" w:rsidRDefault="00171824">
      <w:pPr>
        <w:widowControl/>
        <w:kinsoku w:val="0"/>
        <w:overflowPunct w:val="0"/>
        <w:rPr>
          <w:sz w:val="22"/>
          <w:szCs w:val="22"/>
          <w:lang w:val="el-GR"/>
        </w:rPr>
      </w:pPr>
    </w:p>
    <w:p w14:paraId="6B464371" w14:textId="77777777" w:rsidR="00171824" w:rsidRDefault="006D258C">
      <w:pPr>
        <w:rPr>
          <w:sz w:val="22"/>
          <w:szCs w:val="22"/>
          <w:lang w:val="el-GR" w:eastAsia="el-GR"/>
        </w:rPr>
      </w:pPr>
      <w:r>
        <w:rPr>
          <w:sz w:val="22"/>
          <w:szCs w:val="22"/>
          <w:lang w:val="el-GR"/>
        </w:rPr>
        <w:t xml:space="preserve">Η θεραπεία με το AMGEVITA θα πρέπει να αρχίσει και να παρακολουθείται από ειδικευμένους γιατρούς με εμπειρία στη διάγνωση και τη θεραπεία νόσων για τις οποίες ενδείκνυται το AMGEVITA. Οι οφθαλμίατροι συνιστάται να συμβουλεύονται έναν ειδικό ιατρό πριν την έναρξη της θεραπείας με AMGEVITA (βλέπε παράγραφο 4.4). Στους ασθενείς που λαμβάνουν AMGEVITA θα πρέπει να δίνεται η </w:t>
      </w:r>
      <w:r>
        <w:rPr>
          <w:sz w:val="22"/>
          <w:szCs w:val="22"/>
          <w:lang w:val="el-GR" w:eastAsia="el-GR"/>
        </w:rPr>
        <w:t>Κάρτα Υπενθύμισης του Ασθενούς</w:t>
      </w:r>
      <w:r>
        <w:rPr>
          <w:color w:val="000000"/>
          <w:sz w:val="22"/>
          <w:szCs w:val="22"/>
          <w:lang w:val="el-GR" w:eastAsia="el-GR"/>
        </w:rPr>
        <w:t>.</w:t>
      </w:r>
    </w:p>
    <w:p w14:paraId="019636E6" w14:textId="77777777" w:rsidR="00171824" w:rsidRDefault="00171824">
      <w:pPr>
        <w:pStyle w:val="BodyText"/>
        <w:widowControl/>
        <w:kinsoku w:val="0"/>
        <w:overflowPunct w:val="0"/>
        <w:ind w:left="0"/>
        <w:rPr>
          <w:lang w:val="el-GR"/>
        </w:rPr>
      </w:pPr>
    </w:p>
    <w:p w14:paraId="7AC4B7F2" w14:textId="77777777" w:rsidR="00171824" w:rsidRDefault="006D258C">
      <w:pPr>
        <w:pStyle w:val="BodyText"/>
        <w:widowControl/>
        <w:kinsoku w:val="0"/>
        <w:overflowPunct w:val="0"/>
        <w:ind w:left="0"/>
        <w:rPr>
          <w:lang w:val="el-GR"/>
        </w:rPr>
      </w:pPr>
      <w:r>
        <w:rPr>
          <w:lang w:val="el-GR"/>
        </w:rPr>
        <w:t>Μετά από κατάλληλη εκπαίδευση στην τεχνική ένεσης, οι ασθενείς μπορούν να κάνουν μόνοι τους την ένεση AMGEVITA εάν ο γιατρός τους το κρίνει εφικτό και κάτω από ιατρική παρακολούθηση, εάν κρίνεται αναγκαίο.</w:t>
      </w:r>
    </w:p>
    <w:p w14:paraId="67D1A710" w14:textId="77777777" w:rsidR="00171824" w:rsidRDefault="00171824">
      <w:pPr>
        <w:widowControl/>
        <w:kinsoku w:val="0"/>
        <w:overflowPunct w:val="0"/>
        <w:rPr>
          <w:sz w:val="22"/>
          <w:szCs w:val="22"/>
          <w:lang w:val="el-GR"/>
        </w:rPr>
      </w:pPr>
    </w:p>
    <w:p w14:paraId="7103089F" w14:textId="77777777" w:rsidR="00171824" w:rsidRDefault="006D258C">
      <w:pPr>
        <w:pStyle w:val="BodyText"/>
        <w:widowControl/>
        <w:kinsoku w:val="0"/>
        <w:overflowPunct w:val="0"/>
        <w:ind w:left="0"/>
        <w:rPr>
          <w:lang w:val="el-GR"/>
        </w:rPr>
      </w:pPr>
      <w:r>
        <w:rPr>
          <w:lang w:val="el-GR"/>
        </w:rPr>
        <w:t>Kατά τη διάρκεια της θεραπείας με AMGEVITA, άλλες συγχορηγούμενες θεραπείες (π.χ. κορτικοστεροειδή και/ή ανοσοτροποποιητικοί παράγοντες) θα πρέπει να βελτιστοποιούνται.</w:t>
      </w:r>
    </w:p>
    <w:p w14:paraId="1C6EA69D" w14:textId="77777777" w:rsidR="00171824" w:rsidRDefault="00171824">
      <w:pPr>
        <w:widowControl/>
        <w:kinsoku w:val="0"/>
        <w:overflowPunct w:val="0"/>
        <w:rPr>
          <w:sz w:val="22"/>
          <w:szCs w:val="22"/>
          <w:lang w:val="el-GR"/>
        </w:rPr>
      </w:pPr>
    </w:p>
    <w:p w14:paraId="5BFA8969" w14:textId="77777777" w:rsidR="00171824" w:rsidRDefault="006D258C">
      <w:pPr>
        <w:pStyle w:val="BodyText"/>
        <w:keepNext/>
        <w:widowControl/>
        <w:kinsoku w:val="0"/>
        <w:overflowPunct w:val="0"/>
        <w:ind w:left="0"/>
        <w:rPr>
          <w:lang w:val="el-GR"/>
        </w:rPr>
      </w:pPr>
      <w:r>
        <w:rPr>
          <w:u w:val="single"/>
          <w:lang w:val="el-GR"/>
        </w:rPr>
        <w:t>Δοσολογία</w:t>
      </w:r>
    </w:p>
    <w:p w14:paraId="357659B6" w14:textId="77777777" w:rsidR="00171824" w:rsidRDefault="00171824">
      <w:pPr>
        <w:widowControl/>
        <w:kinsoku w:val="0"/>
        <w:overflowPunct w:val="0"/>
        <w:rPr>
          <w:sz w:val="22"/>
          <w:szCs w:val="22"/>
          <w:lang w:val="el-GR"/>
        </w:rPr>
      </w:pPr>
    </w:p>
    <w:p w14:paraId="185C696C" w14:textId="77777777" w:rsidR="00171824" w:rsidRDefault="006D258C">
      <w:pPr>
        <w:widowControl/>
        <w:kinsoku w:val="0"/>
        <w:overflowPunct w:val="0"/>
        <w:rPr>
          <w:sz w:val="22"/>
          <w:szCs w:val="22"/>
          <w:lang w:val="el-GR"/>
        </w:rPr>
      </w:pPr>
      <w:r>
        <w:rPr>
          <w:i/>
          <w:iCs/>
          <w:sz w:val="22"/>
          <w:szCs w:val="22"/>
          <w:lang w:val="el-GR"/>
        </w:rPr>
        <w:t>Ρευματοειδής αρθρίτιδα</w:t>
      </w:r>
    </w:p>
    <w:p w14:paraId="2C450098" w14:textId="77777777" w:rsidR="00171824" w:rsidRDefault="00171824">
      <w:pPr>
        <w:widowControl/>
        <w:kinsoku w:val="0"/>
        <w:overflowPunct w:val="0"/>
        <w:rPr>
          <w:sz w:val="22"/>
          <w:szCs w:val="22"/>
          <w:lang w:val="el-GR"/>
        </w:rPr>
      </w:pPr>
    </w:p>
    <w:p w14:paraId="6E348F13" w14:textId="77777777" w:rsidR="00171824" w:rsidRDefault="006D258C">
      <w:pPr>
        <w:pStyle w:val="BodyText"/>
        <w:widowControl/>
        <w:kinsoku w:val="0"/>
        <w:overflowPunct w:val="0"/>
        <w:ind w:left="0"/>
        <w:rPr>
          <w:lang w:val="el-GR"/>
        </w:rPr>
      </w:pPr>
      <w:r>
        <w:rPr>
          <w:lang w:val="el-GR"/>
        </w:rPr>
        <w:t>Η συνιστώμενη δόση του AMGEVITA στους ενήλικες ασθενείς με ρευματοειδή αρθρίτιδα είναι 40 mg adalimumab ως μία δόση χορηγούμενη υποδόρια κάθε δεύτερη εβδομάδα. Η μεθοτρεξάτη θα πρέπει να συνεχίζεται κατά τη διάρκεια της θεραπείας με AMGEVITA.</w:t>
      </w:r>
    </w:p>
    <w:p w14:paraId="7161AD28" w14:textId="77777777" w:rsidR="00171824" w:rsidRDefault="00171824">
      <w:pPr>
        <w:widowControl/>
        <w:kinsoku w:val="0"/>
        <w:overflowPunct w:val="0"/>
        <w:rPr>
          <w:sz w:val="22"/>
          <w:szCs w:val="22"/>
          <w:lang w:val="el-GR"/>
        </w:rPr>
      </w:pPr>
    </w:p>
    <w:p w14:paraId="4B3CCF0B" w14:textId="77777777" w:rsidR="00171824" w:rsidRDefault="006D258C">
      <w:pPr>
        <w:pStyle w:val="BodyText"/>
        <w:widowControl/>
        <w:kinsoku w:val="0"/>
        <w:overflowPunct w:val="0"/>
        <w:ind w:left="0"/>
        <w:rPr>
          <w:lang w:val="el-GR"/>
        </w:rPr>
      </w:pPr>
      <w:r>
        <w:rPr>
          <w:lang w:val="el-GR"/>
        </w:rPr>
        <w:t>Τα γλυκοκορτικοειδή, τα σαλικυλικά, τα μη στεροειδή αντιφλεγμονώδη φάρμακα, ή τα αναλγητικά μπορούν να συνεχισθούν κατά τη διάρκεια της θεραπείας με το AMGEVITA. Για το συνδυασμό με τροποποιητικά της νόσου αντιρευματικά φάρμακα εκτός της μεθοτρεξάτης, βλέπε παραγράφους 4.4 και 5.1.</w:t>
      </w:r>
    </w:p>
    <w:p w14:paraId="76DFA80B" w14:textId="77777777" w:rsidR="00171824" w:rsidRDefault="00171824">
      <w:pPr>
        <w:widowControl/>
        <w:kinsoku w:val="0"/>
        <w:overflowPunct w:val="0"/>
        <w:rPr>
          <w:sz w:val="22"/>
          <w:szCs w:val="22"/>
          <w:lang w:val="el-GR"/>
        </w:rPr>
      </w:pPr>
    </w:p>
    <w:p w14:paraId="7D3EA009" w14:textId="77777777" w:rsidR="00171824" w:rsidRDefault="006D258C">
      <w:pPr>
        <w:pStyle w:val="BodyText"/>
        <w:widowControl/>
        <w:kinsoku w:val="0"/>
        <w:overflowPunct w:val="0"/>
        <w:ind w:left="0"/>
        <w:rPr>
          <w:lang w:val="el-GR"/>
        </w:rPr>
      </w:pPr>
      <w:r>
        <w:rPr>
          <w:lang w:val="el-GR"/>
        </w:rPr>
        <w:t>Στη μονοθεραπεία, μερικοί ασθενείς που παρουσιάζουν μειωμένη ανταπόκριση στο AMGEVITA 40 mg κάθε δεύτερη εβδομάδα μπορεί να ωφεληθούν από μια αυξημένη δόση της τάξεως των 40 mg adalimumab κάθε εβδομάδα ή 80 mg κάθε δεύτερη εβδομάδα.</w:t>
      </w:r>
    </w:p>
    <w:p w14:paraId="668E64CA" w14:textId="77777777" w:rsidR="00171824" w:rsidRDefault="00171824">
      <w:pPr>
        <w:widowControl/>
        <w:kinsoku w:val="0"/>
        <w:overflowPunct w:val="0"/>
        <w:rPr>
          <w:sz w:val="22"/>
          <w:szCs w:val="22"/>
          <w:lang w:val="el-GR"/>
        </w:rPr>
      </w:pPr>
    </w:p>
    <w:p w14:paraId="7FBD8C65" w14:textId="77777777" w:rsidR="00171824" w:rsidRDefault="006D258C">
      <w:pPr>
        <w:pStyle w:val="BodyText"/>
        <w:widowControl/>
        <w:kinsoku w:val="0"/>
        <w:overflowPunct w:val="0"/>
        <w:ind w:left="0"/>
        <w:rPr>
          <w:lang w:val="el-GR"/>
        </w:rPr>
      </w:pPr>
      <w:r>
        <w:rPr>
          <w:lang w:val="el-GR"/>
        </w:rPr>
        <w:t>Τα διαθέσιμα δεδομένα για το adalimumab υποδεικνύουν ότι η κλινική ανταπόκριση επιτυγχάνεται συνήθως μέσα σε 12 εβδομάδες θεραπείας. Η συνέχιση της θεραπείας πρέπει να επαναξιολογείται σε όποιον ασθενή δεν ανταποκρίνεται μέσα σε αυτή τη χρονική περίοδο.</w:t>
      </w:r>
    </w:p>
    <w:p w14:paraId="25BFF7ED" w14:textId="77777777" w:rsidR="00171824" w:rsidRDefault="00171824">
      <w:pPr>
        <w:widowControl/>
        <w:kinsoku w:val="0"/>
        <w:overflowPunct w:val="0"/>
        <w:rPr>
          <w:sz w:val="22"/>
          <w:szCs w:val="22"/>
          <w:lang w:val="el-GR"/>
        </w:rPr>
      </w:pPr>
    </w:p>
    <w:p w14:paraId="5097150A" w14:textId="77777777" w:rsidR="00171824" w:rsidRDefault="006D258C">
      <w:pPr>
        <w:rPr>
          <w:sz w:val="22"/>
          <w:szCs w:val="22"/>
          <w:lang w:val="el-GR" w:eastAsia="en-GB"/>
        </w:rPr>
      </w:pPr>
      <w:bookmarkStart w:id="56" w:name="_Hlk160965545"/>
      <w:r>
        <w:rPr>
          <w:sz w:val="22"/>
          <w:szCs w:val="22"/>
          <w:lang w:val="el-GR" w:eastAsia="en-GB"/>
        </w:rPr>
        <w:t>To AMGEVITA μπορεί να διατίθεται σε διαφορετικές περιεκτικότητες ή/και τύπους ανάλογα με τις μεμονωμένες ανάγκες θεραπείας.</w:t>
      </w:r>
    </w:p>
    <w:bookmarkEnd w:id="56"/>
    <w:p w14:paraId="4F0F0795" w14:textId="77777777" w:rsidR="00171824" w:rsidRDefault="00171824">
      <w:pPr>
        <w:widowControl/>
        <w:kinsoku w:val="0"/>
        <w:overflowPunct w:val="0"/>
        <w:rPr>
          <w:i/>
          <w:iCs/>
          <w:sz w:val="22"/>
          <w:szCs w:val="22"/>
          <w:u w:val="single"/>
          <w:lang w:val="el-GR"/>
        </w:rPr>
      </w:pPr>
    </w:p>
    <w:p w14:paraId="0EA2CF00" w14:textId="77777777" w:rsidR="00171824" w:rsidRDefault="006D258C">
      <w:pPr>
        <w:widowControl/>
        <w:kinsoku w:val="0"/>
        <w:overflowPunct w:val="0"/>
        <w:rPr>
          <w:sz w:val="22"/>
          <w:szCs w:val="22"/>
          <w:lang w:val="el-GR"/>
        </w:rPr>
      </w:pPr>
      <w:r>
        <w:rPr>
          <w:i/>
          <w:iCs/>
          <w:sz w:val="22"/>
          <w:szCs w:val="22"/>
          <w:u w:val="single"/>
          <w:lang w:val="el-GR"/>
        </w:rPr>
        <w:t>Διακοπή της δόσης</w:t>
      </w:r>
    </w:p>
    <w:p w14:paraId="16EBEDBF" w14:textId="77777777" w:rsidR="00171824" w:rsidRDefault="00171824">
      <w:pPr>
        <w:widowControl/>
        <w:kinsoku w:val="0"/>
        <w:overflowPunct w:val="0"/>
        <w:rPr>
          <w:sz w:val="22"/>
          <w:szCs w:val="22"/>
          <w:lang w:val="el-GR"/>
        </w:rPr>
      </w:pPr>
    </w:p>
    <w:p w14:paraId="740C7B72" w14:textId="77777777" w:rsidR="00171824" w:rsidRDefault="006D258C">
      <w:pPr>
        <w:pStyle w:val="BodyText"/>
        <w:widowControl/>
        <w:kinsoku w:val="0"/>
        <w:overflowPunct w:val="0"/>
        <w:ind w:left="0"/>
        <w:rPr>
          <w:lang w:val="el-GR"/>
        </w:rPr>
      </w:pPr>
      <w:r>
        <w:rPr>
          <w:lang w:val="el-GR"/>
        </w:rPr>
        <w:t>Μπορεί να υπάρξει ανάγκη για διακοπή της δόσης, π.χ. πριν από εγχείρηση ή εάν προκύψει μία σοβαρή λοίμωξη.</w:t>
      </w:r>
    </w:p>
    <w:p w14:paraId="1DE8B40F" w14:textId="77777777" w:rsidR="00171824" w:rsidRDefault="00171824">
      <w:pPr>
        <w:widowControl/>
        <w:kinsoku w:val="0"/>
        <w:overflowPunct w:val="0"/>
        <w:rPr>
          <w:sz w:val="22"/>
          <w:szCs w:val="22"/>
          <w:lang w:val="el-GR"/>
        </w:rPr>
      </w:pPr>
    </w:p>
    <w:p w14:paraId="03506FCE" w14:textId="77777777" w:rsidR="00171824" w:rsidRDefault="006D258C">
      <w:pPr>
        <w:pStyle w:val="BodyText"/>
        <w:widowControl/>
        <w:kinsoku w:val="0"/>
        <w:overflowPunct w:val="0"/>
        <w:ind w:left="0"/>
        <w:rPr>
          <w:lang w:val="el-GR"/>
        </w:rPr>
      </w:pPr>
      <w:r>
        <w:rPr>
          <w:lang w:val="el-GR"/>
        </w:rPr>
        <w:t>Τα διαθέσιμα δεδομένα υποδεικνύουν ότι η επανέναρξη του adalimumab μετά από διακοπή 70 ημερών ή περισσότερο είχε ως αποτέλεσμα το ίδιο μέγεθος κλινικής ανταπόκρισης και παρόμοιο προφίλ ασφάλειας όπως πριν από τη διακοπή της δόσης.</w:t>
      </w:r>
    </w:p>
    <w:p w14:paraId="3FDDE8D5" w14:textId="77777777" w:rsidR="00171824" w:rsidRDefault="00171824">
      <w:pPr>
        <w:widowControl/>
        <w:kinsoku w:val="0"/>
        <w:overflowPunct w:val="0"/>
        <w:rPr>
          <w:sz w:val="22"/>
          <w:szCs w:val="22"/>
          <w:lang w:val="el-GR"/>
        </w:rPr>
      </w:pPr>
    </w:p>
    <w:p w14:paraId="3F3A19A9" w14:textId="77777777" w:rsidR="00171824" w:rsidRDefault="006D258C">
      <w:pPr>
        <w:keepNext/>
        <w:keepLines/>
        <w:widowControl/>
        <w:kinsoku w:val="0"/>
        <w:overflowPunct w:val="0"/>
        <w:rPr>
          <w:sz w:val="22"/>
          <w:szCs w:val="22"/>
          <w:lang w:val="el-GR"/>
        </w:rPr>
      </w:pPr>
      <w:r>
        <w:rPr>
          <w:i/>
          <w:iCs/>
          <w:sz w:val="22"/>
          <w:szCs w:val="22"/>
          <w:lang w:val="el-GR"/>
        </w:rPr>
        <w:lastRenderedPageBreak/>
        <w:t>Αγκυλοποιητική σπονδυλίτιδα, αξονική σπονδυλαρθρίτιδα χωρίς ακτινολογικά ευρήματα αγκυλοποιητικής σπονδυλίτιδας (ΑΣ) και ψωριασική αρθρίτιδα</w:t>
      </w:r>
    </w:p>
    <w:p w14:paraId="32F7308D" w14:textId="77777777" w:rsidR="00171824" w:rsidRDefault="00171824">
      <w:pPr>
        <w:keepNext/>
        <w:keepLines/>
        <w:widowControl/>
        <w:kinsoku w:val="0"/>
        <w:overflowPunct w:val="0"/>
        <w:rPr>
          <w:sz w:val="22"/>
          <w:szCs w:val="22"/>
          <w:lang w:val="el-GR"/>
        </w:rPr>
      </w:pPr>
    </w:p>
    <w:p w14:paraId="500E67FD" w14:textId="77777777" w:rsidR="00171824" w:rsidRDefault="006D258C">
      <w:pPr>
        <w:pStyle w:val="BodyText"/>
        <w:widowControl/>
        <w:kinsoku w:val="0"/>
        <w:overflowPunct w:val="0"/>
        <w:ind w:left="0"/>
        <w:rPr>
          <w:lang w:val="el-GR"/>
        </w:rPr>
      </w:pPr>
      <w:r>
        <w:rPr>
          <w:lang w:val="el-GR"/>
        </w:rPr>
        <w:t>Η συνιστώμενη δόση AMGEVITA για ασθενείς με αγκυλοποιητική σπονδυλίτιδα, αξονική σπονδυλαρθρίτιδα χωρίς ακτινολογικά ευρήματα ΑΣ και για ασθενείς με ψωριασική αρθρίτιδα είναι 40 mg adalimumab ως μία δόση, χορηγούμενη υποδόρια κάθε δεύτερη εβδομάδα.</w:t>
      </w:r>
    </w:p>
    <w:p w14:paraId="53B83BC9" w14:textId="77777777" w:rsidR="00171824" w:rsidRDefault="00171824">
      <w:pPr>
        <w:widowControl/>
        <w:kinsoku w:val="0"/>
        <w:overflowPunct w:val="0"/>
        <w:rPr>
          <w:sz w:val="22"/>
          <w:szCs w:val="22"/>
          <w:lang w:val="el-GR"/>
        </w:rPr>
      </w:pPr>
    </w:p>
    <w:p w14:paraId="5DDA76EB" w14:textId="77777777" w:rsidR="00171824" w:rsidRDefault="006D258C">
      <w:pPr>
        <w:pStyle w:val="BodyText"/>
        <w:widowControl/>
        <w:kinsoku w:val="0"/>
        <w:overflowPunct w:val="0"/>
        <w:ind w:left="0"/>
        <w:rPr>
          <w:lang w:val="el-GR"/>
        </w:rPr>
      </w:pPr>
      <w:r>
        <w:rPr>
          <w:lang w:val="el-GR"/>
        </w:rPr>
        <w:t>Διαθέσιμα δεδομένα υποδεικνύουν ότι η κλινική ανταπόκριση επιτυγχάνεται συνήθως μέσα σε 12 εβδομάδες θεραπείας. Η συνέχιση της θεραπείας πρέπει να επαναξιολογείται σε όποιον ασθενή δεν ανταποκρίνεται μέσα σε αυτή τη χρονική περίοδο.</w:t>
      </w:r>
    </w:p>
    <w:p w14:paraId="2110FA9A" w14:textId="77777777" w:rsidR="00171824" w:rsidRDefault="00171824">
      <w:pPr>
        <w:widowControl/>
        <w:kinsoku w:val="0"/>
        <w:overflowPunct w:val="0"/>
        <w:rPr>
          <w:sz w:val="22"/>
          <w:szCs w:val="22"/>
          <w:lang w:val="el-GR"/>
        </w:rPr>
      </w:pPr>
    </w:p>
    <w:p w14:paraId="236AA8A2" w14:textId="77777777" w:rsidR="00171824" w:rsidRDefault="006D258C">
      <w:pPr>
        <w:widowControl/>
        <w:kinsoku w:val="0"/>
        <w:overflowPunct w:val="0"/>
        <w:rPr>
          <w:sz w:val="22"/>
          <w:szCs w:val="22"/>
          <w:lang w:val="el-GR"/>
        </w:rPr>
      </w:pPr>
      <w:r>
        <w:rPr>
          <w:i/>
          <w:iCs/>
          <w:sz w:val="22"/>
          <w:szCs w:val="22"/>
          <w:lang w:val="el-GR"/>
        </w:rPr>
        <w:t>Ψωρίαση</w:t>
      </w:r>
    </w:p>
    <w:p w14:paraId="4DD41BA7" w14:textId="77777777" w:rsidR="00171824" w:rsidRDefault="00171824">
      <w:pPr>
        <w:widowControl/>
        <w:kinsoku w:val="0"/>
        <w:overflowPunct w:val="0"/>
        <w:rPr>
          <w:sz w:val="22"/>
          <w:szCs w:val="22"/>
          <w:lang w:val="el-GR"/>
        </w:rPr>
      </w:pPr>
    </w:p>
    <w:p w14:paraId="5D35B679" w14:textId="77777777" w:rsidR="00171824" w:rsidRDefault="006D258C">
      <w:pPr>
        <w:pStyle w:val="BodyText"/>
        <w:widowControl/>
        <w:kinsoku w:val="0"/>
        <w:overflowPunct w:val="0"/>
        <w:ind w:left="0"/>
        <w:rPr>
          <w:lang w:val="el-GR"/>
        </w:rPr>
      </w:pPr>
      <w:r>
        <w:rPr>
          <w:lang w:val="el-GR"/>
        </w:rPr>
        <w:t>Η συνιστώμενη δόση του AMGEVITA για ενήλικες ασθενείς είναι μία αρχική δόση των 80 mg υποδορίως, ακολουθούμενη από 40 mg υποδορίως κάθε δεύτερη εβδομάδα, αρχίζοντας μία εβδομάδα μετά την αρχική δόση.</w:t>
      </w:r>
    </w:p>
    <w:p w14:paraId="70A633DE" w14:textId="77777777" w:rsidR="00171824" w:rsidRDefault="00171824">
      <w:pPr>
        <w:widowControl/>
        <w:kinsoku w:val="0"/>
        <w:overflowPunct w:val="0"/>
        <w:rPr>
          <w:sz w:val="22"/>
          <w:szCs w:val="22"/>
          <w:lang w:val="el-GR"/>
        </w:rPr>
      </w:pPr>
    </w:p>
    <w:p w14:paraId="3320CBC7" w14:textId="77777777" w:rsidR="00171824" w:rsidRDefault="006D258C">
      <w:pPr>
        <w:pStyle w:val="BodyText"/>
        <w:widowControl/>
        <w:kinsoku w:val="0"/>
        <w:overflowPunct w:val="0"/>
        <w:ind w:left="0"/>
        <w:rPr>
          <w:lang w:val="el-GR"/>
        </w:rPr>
      </w:pPr>
      <w:r>
        <w:rPr>
          <w:lang w:val="el-GR"/>
        </w:rPr>
        <w:t>Η συνέχιση της θεραπείας μετά την 16</w:t>
      </w:r>
      <w:r>
        <w:rPr>
          <w:vertAlign w:val="superscript"/>
          <w:lang w:val="el-GR"/>
        </w:rPr>
        <w:t>η</w:t>
      </w:r>
      <w:r>
        <w:rPr>
          <w:lang w:val="el-GR"/>
        </w:rPr>
        <w:t xml:space="preserve"> εβδομάδα πρέπει να επαναξιολογείται προσεκτικά σε όποιον ασθενή δεν ανταποκρίνεται μέσα σε αυτή τη χρονική περίοδο.</w:t>
      </w:r>
    </w:p>
    <w:p w14:paraId="0C365C26" w14:textId="77777777" w:rsidR="00171824" w:rsidRDefault="00171824">
      <w:pPr>
        <w:widowControl/>
        <w:kinsoku w:val="0"/>
        <w:overflowPunct w:val="0"/>
        <w:rPr>
          <w:sz w:val="22"/>
          <w:szCs w:val="22"/>
          <w:lang w:val="el-GR"/>
        </w:rPr>
      </w:pPr>
    </w:p>
    <w:p w14:paraId="1C79E2E4" w14:textId="77777777" w:rsidR="00171824" w:rsidRDefault="006D258C">
      <w:pPr>
        <w:pStyle w:val="BodyText"/>
        <w:widowControl/>
        <w:kinsoku w:val="0"/>
        <w:overflowPunct w:val="0"/>
        <w:ind w:left="0"/>
        <w:rPr>
          <w:lang w:val="el-GR"/>
        </w:rPr>
      </w:pPr>
      <w:r>
        <w:rPr>
          <w:lang w:val="el-GR"/>
        </w:rPr>
        <w:t>Μετά τις 16 εβδομάδες, οι ασθενείς με ανεπαρκή ανταπόκριση στο AMGEVITA 40 mg κάθε δεύτερη εβδομάδα μπορεί να ωφεληθούν από μια αύξηση της δόσης σε 40 mg κάθε εβδομάδα ή 80 mg κάθε δεύτερη εβδομάδα. Τα οφέλη και οι κίνδυνοι της συνεχιζόμενης 40 mg εβδομαδιαίας θεραπείας ή 80 mg κάθε δεύτερη εβδομάδα πρέπει να επανεξετάζονται προσεκτικά σε έναν ασθενή με ανεπαρκή ανταπόκριση, μετά την αύξηση της δόσης (βλέπε παράγραφο 5.1). Σε περίπτωση που επιτευχθεί επαρκής ανταπόκριση με 40 mg κάθε δεύτερη εβδομάδα ή 80 mg κάθε δεύτερη εβδομάδα, η δόση μπορεί στη συνέχεια να μειωθεί σε 40 mg κάθε δεύτερη εβδομάδα.</w:t>
      </w:r>
    </w:p>
    <w:p w14:paraId="0B020A71" w14:textId="77777777" w:rsidR="00171824" w:rsidRDefault="00171824">
      <w:pPr>
        <w:widowControl/>
        <w:kinsoku w:val="0"/>
        <w:overflowPunct w:val="0"/>
        <w:rPr>
          <w:sz w:val="22"/>
          <w:szCs w:val="22"/>
          <w:lang w:val="el-GR"/>
        </w:rPr>
      </w:pPr>
    </w:p>
    <w:p w14:paraId="68573AB5" w14:textId="77777777" w:rsidR="00171824" w:rsidRDefault="006D258C">
      <w:pPr>
        <w:rPr>
          <w:sz w:val="22"/>
          <w:szCs w:val="22"/>
          <w:lang w:val="el-GR" w:eastAsia="en-GB"/>
        </w:rPr>
      </w:pPr>
      <w:r>
        <w:rPr>
          <w:sz w:val="22"/>
          <w:szCs w:val="22"/>
          <w:lang w:val="el-GR" w:eastAsia="en-GB"/>
        </w:rPr>
        <w:t>To AMGEVITA μπορεί να διατίθεται σε διαφορετικές περιεκτικότητες ή/και τύπους ανάλογα με τις μεμονωμένες ανάγκες θεραπείας.</w:t>
      </w:r>
    </w:p>
    <w:p w14:paraId="757431A7" w14:textId="77777777" w:rsidR="00171824" w:rsidRDefault="00171824">
      <w:pPr>
        <w:widowControl/>
        <w:kinsoku w:val="0"/>
        <w:overflowPunct w:val="0"/>
        <w:rPr>
          <w:i/>
          <w:iCs/>
          <w:sz w:val="22"/>
          <w:szCs w:val="22"/>
          <w:u w:val="single"/>
          <w:lang w:val="el-GR"/>
        </w:rPr>
      </w:pPr>
    </w:p>
    <w:p w14:paraId="05A1D632" w14:textId="77777777" w:rsidR="00171824" w:rsidRDefault="006D258C">
      <w:pPr>
        <w:widowControl/>
        <w:kinsoku w:val="0"/>
        <w:overflowPunct w:val="0"/>
        <w:rPr>
          <w:sz w:val="22"/>
          <w:szCs w:val="22"/>
          <w:lang w:val="el-GR"/>
        </w:rPr>
      </w:pPr>
      <w:r>
        <w:rPr>
          <w:i/>
          <w:iCs/>
          <w:sz w:val="22"/>
          <w:szCs w:val="22"/>
          <w:lang w:val="el-GR"/>
        </w:rPr>
        <w:t>Διαπυητική ιδρωταδενίτιδα</w:t>
      </w:r>
    </w:p>
    <w:p w14:paraId="2CA2FFD3" w14:textId="77777777" w:rsidR="00171824" w:rsidRDefault="00171824">
      <w:pPr>
        <w:widowControl/>
        <w:kinsoku w:val="0"/>
        <w:overflowPunct w:val="0"/>
        <w:rPr>
          <w:sz w:val="22"/>
          <w:szCs w:val="22"/>
          <w:lang w:val="el-GR"/>
        </w:rPr>
      </w:pPr>
    </w:p>
    <w:p w14:paraId="043D1C52" w14:textId="77777777" w:rsidR="00171824" w:rsidRDefault="006D258C">
      <w:pPr>
        <w:pStyle w:val="BodyText"/>
        <w:widowControl/>
        <w:kinsoku w:val="0"/>
        <w:overflowPunct w:val="0"/>
        <w:ind w:left="0"/>
        <w:rPr>
          <w:lang w:val="el-GR"/>
        </w:rPr>
      </w:pPr>
      <w:r>
        <w:rPr>
          <w:lang w:val="el-GR"/>
        </w:rPr>
        <w:t>Η συνιστώμενη δόση του AMGEVITA σε ενήλικες ασθενείς με διαπυητική ιδρωταδενίτιδα (HS) είναι αρχικά 160 mg την ημέρα 1 (χορηγούμενα ως δύο ενέσεις των 80 mg σε μία μέρα ή ως μία ένεση των 80 mg ανά ημέρα για δύο συνεχείς ημέρες), ακολουθούμενα από 80 mg δύο εβδομάδες αργότερα την ημέρα 15. Δύο εβδομάδες αργότερα (ημέρα 29) συνεχίστε με μια δόση των 40 mg κάθε εβδομάδα ή 80 mg κάθε δεύτερη εβδομάδα. Εάν κρίνεται απαραίτητο, κατά τη διάρκεια της θεραπείας με AMGEVITA μπορεί να συνεχισθεί η χρήση αντιβιοτικών. Κατά τη διάρκεια της θεραπείας με AMGEVITA ο ασθενής συνιστάται να χρησιμοποιεί σε καθημερινή βάση ένα τοπικό αντισηπτικό σαπούνι στις βλάβες της διαπυητικής ιδρωταδενίτιδας.</w:t>
      </w:r>
    </w:p>
    <w:p w14:paraId="37742106" w14:textId="77777777" w:rsidR="00171824" w:rsidRDefault="00171824">
      <w:pPr>
        <w:widowControl/>
        <w:kinsoku w:val="0"/>
        <w:overflowPunct w:val="0"/>
        <w:rPr>
          <w:sz w:val="22"/>
          <w:szCs w:val="22"/>
          <w:lang w:val="el-GR"/>
        </w:rPr>
      </w:pPr>
    </w:p>
    <w:p w14:paraId="7D23B599" w14:textId="77777777" w:rsidR="00171824" w:rsidRDefault="006D258C">
      <w:pPr>
        <w:pStyle w:val="BodyText"/>
        <w:widowControl/>
        <w:kinsoku w:val="0"/>
        <w:overflowPunct w:val="0"/>
        <w:ind w:left="0"/>
        <w:rPr>
          <w:lang w:val="el-GR"/>
        </w:rPr>
      </w:pPr>
      <w:r>
        <w:rPr>
          <w:lang w:val="el-GR"/>
        </w:rPr>
        <w:t>Η συνέχιση της θεραπείας μετά τη 12</w:t>
      </w:r>
      <w:r>
        <w:rPr>
          <w:vertAlign w:val="superscript"/>
          <w:lang w:val="el-GR"/>
        </w:rPr>
        <w:t>η</w:t>
      </w:r>
      <w:r>
        <w:rPr>
          <w:lang w:val="el-GR"/>
        </w:rPr>
        <w:t xml:space="preserve"> εβδομάδα πρέπει να επαναξιολογείται προσεκτικά σε όποιον ασθενή δεν έχει παρουσιάσει βελτίωση μέσα σε αυτή τη χρονική περίοδο.</w:t>
      </w:r>
    </w:p>
    <w:p w14:paraId="5DFAA74A" w14:textId="77777777" w:rsidR="00171824" w:rsidRDefault="00171824">
      <w:pPr>
        <w:widowControl/>
        <w:kinsoku w:val="0"/>
        <w:overflowPunct w:val="0"/>
        <w:rPr>
          <w:sz w:val="22"/>
          <w:szCs w:val="22"/>
          <w:lang w:val="el-GR"/>
        </w:rPr>
      </w:pPr>
    </w:p>
    <w:p w14:paraId="73F0B3B2" w14:textId="77777777" w:rsidR="00171824" w:rsidRDefault="006D258C">
      <w:pPr>
        <w:pStyle w:val="BodyText"/>
        <w:widowControl/>
        <w:kinsoku w:val="0"/>
        <w:overflowPunct w:val="0"/>
        <w:ind w:left="0"/>
        <w:rPr>
          <w:lang w:val="el-GR"/>
        </w:rPr>
      </w:pPr>
      <w:r>
        <w:rPr>
          <w:lang w:val="el-GR"/>
        </w:rPr>
        <w:t>Σε περίπτωση διακοπής της θεραπείας, μπορεί να γίνει επανέναρξη με AMGEVITA 40 mg κάθε εβδομάδα ή 80 mg κάθε δεύτερη εβδομάδα (βλέπε παράγραφο 5.1).</w:t>
      </w:r>
    </w:p>
    <w:p w14:paraId="742AB07E" w14:textId="77777777" w:rsidR="00171824" w:rsidRDefault="00171824">
      <w:pPr>
        <w:widowControl/>
        <w:kinsoku w:val="0"/>
        <w:overflowPunct w:val="0"/>
        <w:rPr>
          <w:sz w:val="22"/>
          <w:szCs w:val="22"/>
          <w:lang w:val="el-GR"/>
        </w:rPr>
      </w:pPr>
    </w:p>
    <w:p w14:paraId="24C1C34B" w14:textId="77777777" w:rsidR="00171824" w:rsidRDefault="006D258C">
      <w:pPr>
        <w:pStyle w:val="BodyText"/>
        <w:widowControl/>
        <w:kinsoku w:val="0"/>
        <w:overflowPunct w:val="0"/>
        <w:ind w:left="0"/>
        <w:rPr>
          <w:lang w:val="el-GR"/>
        </w:rPr>
      </w:pPr>
      <w:r>
        <w:rPr>
          <w:lang w:val="el-GR"/>
        </w:rPr>
        <w:t>Το όφελος και ο κίνδυνος της συνεχιζόμενης μακροχρόνιας θεραπείας πρέπει να επανεξετάζεται περιοδικά (βλέπε παράγραφο 5.1).</w:t>
      </w:r>
    </w:p>
    <w:p w14:paraId="386DCEEA" w14:textId="77777777" w:rsidR="00171824" w:rsidRDefault="00171824">
      <w:pPr>
        <w:pStyle w:val="BodyText"/>
        <w:widowControl/>
        <w:kinsoku w:val="0"/>
        <w:overflowPunct w:val="0"/>
        <w:ind w:left="0"/>
        <w:rPr>
          <w:lang w:val="el-GR"/>
        </w:rPr>
      </w:pPr>
    </w:p>
    <w:p w14:paraId="67A7C976" w14:textId="77777777" w:rsidR="00171824" w:rsidRDefault="006D258C">
      <w:pPr>
        <w:pStyle w:val="BodyText"/>
        <w:widowControl/>
        <w:kinsoku w:val="0"/>
        <w:overflowPunct w:val="0"/>
        <w:ind w:left="0"/>
        <w:rPr>
          <w:lang w:val="el-GR" w:eastAsia="en-GB"/>
        </w:rPr>
      </w:pPr>
      <w:r>
        <w:rPr>
          <w:lang w:val="el-GR" w:eastAsia="en-GB"/>
        </w:rPr>
        <w:t>To AMGEVITA μπορεί να διατίθεται σε διαφορετικές περιεκτικότητες ή/και τύπους ανάλογα με τις μεμονωμένες ανάγκες θεραπείας.</w:t>
      </w:r>
    </w:p>
    <w:p w14:paraId="2AE8A7A2" w14:textId="77777777" w:rsidR="00171824" w:rsidRDefault="00171824">
      <w:pPr>
        <w:pStyle w:val="BodyText"/>
        <w:keepNext/>
        <w:widowControl/>
        <w:kinsoku w:val="0"/>
        <w:overflowPunct w:val="0"/>
        <w:ind w:left="0"/>
        <w:rPr>
          <w:u w:val="single"/>
          <w:lang w:val="el-GR" w:eastAsia="en-GB"/>
        </w:rPr>
      </w:pPr>
    </w:p>
    <w:p w14:paraId="3A73BDAE" w14:textId="77777777" w:rsidR="00171824" w:rsidRDefault="006D258C">
      <w:pPr>
        <w:pStyle w:val="BodyText"/>
        <w:keepNext/>
        <w:keepLines/>
        <w:widowControl/>
        <w:kinsoku w:val="0"/>
        <w:overflowPunct w:val="0"/>
        <w:ind w:left="0"/>
        <w:rPr>
          <w:lang w:val="el-GR"/>
        </w:rPr>
      </w:pPr>
      <w:r>
        <w:rPr>
          <w:i/>
          <w:iCs/>
          <w:lang w:val="el-GR"/>
        </w:rPr>
        <w:t>Nόσος του Crohn</w:t>
      </w:r>
    </w:p>
    <w:p w14:paraId="05408F29" w14:textId="77777777" w:rsidR="00171824" w:rsidRDefault="00171824">
      <w:pPr>
        <w:keepNext/>
        <w:keepLines/>
        <w:widowControl/>
        <w:kinsoku w:val="0"/>
        <w:overflowPunct w:val="0"/>
        <w:rPr>
          <w:sz w:val="22"/>
          <w:szCs w:val="22"/>
          <w:lang w:val="el-GR"/>
        </w:rPr>
      </w:pPr>
    </w:p>
    <w:p w14:paraId="18C0CE4C" w14:textId="77777777" w:rsidR="00171824" w:rsidRDefault="006D258C">
      <w:pPr>
        <w:pStyle w:val="BodyText"/>
        <w:widowControl/>
        <w:kinsoku w:val="0"/>
        <w:overflowPunct w:val="0"/>
        <w:ind w:left="0"/>
        <w:rPr>
          <w:lang w:val="el-GR"/>
        </w:rPr>
      </w:pPr>
      <w:r>
        <w:rPr>
          <w:lang w:val="el-GR"/>
        </w:rPr>
        <w:t>Η συνιστώμενη δόση του AMGEVITA σε ενήλικες ασθενείς με μέτρια έως σοβαρή ενεργή νόσο του Crohn είναι 80 mg την εβδομάδα 0, ακολουθούμενο από 40 mg την εβδομάδα 2. Στην περίπτωση που υπάρχει η αναγκαιότητα για μια πιο γρήγορη ανταπόκριση στη θεραπεία, μπορεί να χορηγηθεί δόση 160 mg την εβδομάδα 0 (χορηγούμενη ως δύο ενέσεις των 80 mg σε μία μέρα ή ως μία ένεση των 80 mg ανά ημέρα για δύο συνεχείς ημέρες), ακολουθούμενη από 80 mg την εβδομάδα 2, γνωρίζοντας ότι ο κίνδυνος εκδήλωσης ανεπιθύμητων ενεργειών είναι μεγαλύτερος κατά τη διάρκεια της θεραπείας εφόδου.</w:t>
      </w:r>
    </w:p>
    <w:p w14:paraId="37B6E824" w14:textId="77777777" w:rsidR="00171824" w:rsidRDefault="00171824">
      <w:pPr>
        <w:widowControl/>
        <w:kinsoku w:val="0"/>
        <w:overflowPunct w:val="0"/>
        <w:rPr>
          <w:sz w:val="22"/>
          <w:szCs w:val="22"/>
          <w:lang w:val="el-GR"/>
        </w:rPr>
      </w:pPr>
    </w:p>
    <w:p w14:paraId="7EF47F32" w14:textId="77777777" w:rsidR="00171824" w:rsidRDefault="006D258C">
      <w:pPr>
        <w:pStyle w:val="BodyText"/>
        <w:widowControl/>
        <w:kinsoku w:val="0"/>
        <w:overflowPunct w:val="0"/>
        <w:ind w:left="0"/>
        <w:rPr>
          <w:lang w:val="el-GR"/>
        </w:rPr>
      </w:pPr>
      <w:r>
        <w:rPr>
          <w:lang w:val="el-GR"/>
        </w:rPr>
        <w:t>Μετά την αρχική θεραπεία, η συνιστώμενη δόση είναι 40 mg κάθε δεύτερη εβδομάδα με υποδόρια χορήγηση. Εναλλακτικά, εάν ένας ασθενής έχει διακόψει το AMGEVITA και τα σημεία και συμπτώματα της νόσου επανεμφανιστούν, το AMGEVITA μπορεί να επαναχορηγηθεί. Υπάρχει μικρή εμπειρία για την επαναχορήγηση μετά από 8 εβδομάδες από την προηγούμενη δόση.</w:t>
      </w:r>
    </w:p>
    <w:p w14:paraId="04C0A45E" w14:textId="77777777" w:rsidR="00171824" w:rsidRDefault="00171824">
      <w:pPr>
        <w:widowControl/>
        <w:kinsoku w:val="0"/>
        <w:overflowPunct w:val="0"/>
        <w:rPr>
          <w:sz w:val="22"/>
          <w:szCs w:val="22"/>
          <w:lang w:val="el-GR"/>
        </w:rPr>
      </w:pPr>
    </w:p>
    <w:p w14:paraId="6D6E5FB8" w14:textId="77777777" w:rsidR="00171824" w:rsidRDefault="006D258C">
      <w:pPr>
        <w:pStyle w:val="BodyText"/>
        <w:widowControl/>
        <w:kinsoku w:val="0"/>
        <w:overflowPunct w:val="0"/>
        <w:ind w:left="0"/>
        <w:rPr>
          <w:lang w:val="el-GR"/>
        </w:rPr>
      </w:pPr>
      <w:r>
        <w:rPr>
          <w:lang w:val="el-GR"/>
        </w:rPr>
        <w:t>Κατά τη διάρκεια της θεραπείας συντήρησης, τα κορτικοστεροειδή μπορούν να διακοπούν σταδιακά με βάση τις οδηγίες της κλινικής πρακτικής.</w:t>
      </w:r>
    </w:p>
    <w:p w14:paraId="3E5B112D" w14:textId="77777777" w:rsidR="00171824" w:rsidRDefault="00171824">
      <w:pPr>
        <w:widowControl/>
        <w:kinsoku w:val="0"/>
        <w:overflowPunct w:val="0"/>
        <w:rPr>
          <w:sz w:val="22"/>
          <w:szCs w:val="22"/>
          <w:lang w:val="el-GR"/>
        </w:rPr>
      </w:pPr>
    </w:p>
    <w:p w14:paraId="46AEC496" w14:textId="77777777" w:rsidR="00171824" w:rsidRDefault="006D258C">
      <w:pPr>
        <w:pStyle w:val="BodyText"/>
        <w:widowControl/>
        <w:kinsoku w:val="0"/>
        <w:overflowPunct w:val="0"/>
        <w:ind w:left="0"/>
        <w:rPr>
          <w:lang w:val="el-GR"/>
        </w:rPr>
      </w:pPr>
      <w:r>
        <w:rPr>
          <w:lang w:val="el-GR"/>
        </w:rPr>
        <w:t>Μερικοί ασθενείς που εμφανίζουν μειωμένη κλινική ανταπόκριση στο AMGEVITA 40 mg κάθε δεύτερη εβδομάδα είναι πιθανό να ωφεληθούν από την αύξηση της δόσης στα 40 mg AMGEVITA κάθε εβδομάδα ή 80 mg κάθε δεύτερη εβδομάδα.</w:t>
      </w:r>
    </w:p>
    <w:p w14:paraId="39B89525" w14:textId="77777777" w:rsidR="00171824" w:rsidRDefault="00171824">
      <w:pPr>
        <w:widowControl/>
        <w:kinsoku w:val="0"/>
        <w:overflowPunct w:val="0"/>
        <w:rPr>
          <w:sz w:val="22"/>
          <w:szCs w:val="22"/>
          <w:lang w:val="el-GR"/>
        </w:rPr>
      </w:pPr>
    </w:p>
    <w:p w14:paraId="793E806F" w14:textId="77777777" w:rsidR="00171824" w:rsidRDefault="006D258C">
      <w:pPr>
        <w:pStyle w:val="BodyText"/>
        <w:widowControl/>
        <w:kinsoku w:val="0"/>
        <w:overflowPunct w:val="0"/>
        <w:ind w:left="0"/>
        <w:rPr>
          <w:lang w:val="el-GR"/>
        </w:rPr>
      </w:pPr>
      <w:r>
        <w:rPr>
          <w:lang w:val="el-GR"/>
        </w:rPr>
        <w:t>Μερικοί ασθενείς που δεν έχουν ανταποκριθεί μέχρι την εβδομάδα 4 είναι πιθανό να επωφεληθούν από τη συνεχιζόμενη θεραπεία συντήρησης μέχρι την βδομάδα 12. Η συνέχιση της θεραπείας πρέπει να επαναξιολογείται προσεκτικά σε όποιον ασθενή δεν ανταποκρίνεται μέσα σε αυτή τη χρονική περίοδο.</w:t>
      </w:r>
    </w:p>
    <w:p w14:paraId="6DD213EA" w14:textId="77777777" w:rsidR="00171824" w:rsidRDefault="00171824">
      <w:pPr>
        <w:widowControl/>
        <w:kinsoku w:val="0"/>
        <w:overflowPunct w:val="0"/>
        <w:rPr>
          <w:sz w:val="22"/>
          <w:szCs w:val="22"/>
          <w:u w:val="single"/>
          <w:lang w:val="el-GR" w:eastAsia="en-GB"/>
        </w:rPr>
      </w:pPr>
    </w:p>
    <w:p w14:paraId="2F52DFEF" w14:textId="77777777" w:rsidR="00171824" w:rsidRDefault="006D258C">
      <w:pPr>
        <w:widowControl/>
        <w:kinsoku w:val="0"/>
        <w:overflowPunct w:val="0"/>
        <w:rPr>
          <w:sz w:val="22"/>
          <w:szCs w:val="22"/>
          <w:lang w:val="el-GR" w:eastAsia="en-GB"/>
        </w:rPr>
      </w:pPr>
      <w:r>
        <w:rPr>
          <w:sz w:val="22"/>
          <w:szCs w:val="22"/>
          <w:lang w:val="el-GR" w:eastAsia="en-GB"/>
        </w:rPr>
        <w:t>To AMGEVITA μπορεί να διατίθεται σε διαφορετικές περιεκτικότητες ή/και τύπους ανάλογα με τις μεμονωμένες ανάγκες θεραπείας.</w:t>
      </w:r>
    </w:p>
    <w:p w14:paraId="1965AB45" w14:textId="77777777" w:rsidR="00171824" w:rsidRDefault="00171824">
      <w:pPr>
        <w:widowControl/>
        <w:kinsoku w:val="0"/>
        <w:overflowPunct w:val="0"/>
        <w:rPr>
          <w:sz w:val="22"/>
          <w:szCs w:val="22"/>
          <w:lang w:val="el-GR"/>
        </w:rPr>
      </w:pPr>
    </w:p>
    <w:p w14:paraId="6C682891" w14:textId="77777777" w:rsidR="00171824" w:rsidRDefault="006D258C">
      <w:pPr>
        <w:keepNext/>
        <w:widowControl/>
        <w:kinsoku w:val="0"/>
        <w:overflowPunct w:val="0"/>
        <w:rPr>
          <w:sz w:val="22"/>
          <w:szCs w:val="22"/>
          <w:lang w:val="el-GR"/>
        </w:rPr>
      </w:pPr>
      <w:r>
        <w:rPr>
          <w:i/>
          <w:iCs/>
          <w:sz w:val="22"/>
          <w:szCs w:val="22"/>
          <w:lang w:val="el-GR"/>
        </w:rPr>
        <w:t>Ελκώδης κολίτιδα</w:t>
      </w:r>
    </w:p>
    <w:p w14:paraId="72E92CD9" w14:textId="77777777" w:rsidR="00171824" w:rsidRDefault="00171824">
      <w:pPr>
        <w:keepNext/>
        <w:widowControl/>
        <w:kinsoku w:val="0"/>
        <w:overflowPunct w:val="0"/>
        <w:rPr>
          <w:sz w:val="22"/>
          <w:szCs w:val="22"/>
          <w:lang w:val="el-GR"/>
        </w:rPr>
      </w:pPr>
    </w:p>
    <w:p w14:paraId="766A6981" w14:textId="77777777" w:rsidR="00171824" w:rsidRDefault="006D258C">
      <w:pPr>
        <w:pStyle w:val="BodyText"/>
        <w:widowControl/>
        <w:kinsoku w:val="0"/>
        <w:overflowPunct w:val="0"/>
        <w:ind w:left="0"/>
        <w:rPr>
          <w:lang w:val="el-GR"/>
        </w:rPr>
      </w:pPr>
      <w:r>
        <w:rPr>
          <w:lang w:val="el-GR"/>
        </w:rPr>
        <w:t>Η συνιστώμενη δόση του AMGEVITA σε ενήλικες ασθενείς με μέτρια έως σοβαρή ελκώδη κολίτιδα είναι 160 mg την εβδομάδα 0 (χορηγούμενα ως δύο ενέσεις των 80 mg σε μία μέρα ή ως μία ένεση των 80 mg ανά ημέρα για δύο συνεχόμενες ημέρες) και 80 mg την εβδομάδα 2. Μετά τη θεραπεία εφόδου, η συνιστώμενη δόση είναι 40 mg κάθε δεύτερη εβδομάδα με υποδόρια ένεση.</w:t>
      </w:r>
    </w:p>
    <w:p w14:paraId="6B5E709F" w14:textId="77777777" w:rsidR="00171824" w:rsidRDefault="00171824">
      <w:pPr>
        <w:widowControl/>
        <w:kinsoku w:val="0"/>
        <w:overflowPunct w:val="0"/>
        <w:rPr>
          <w:sz w:val="22"/>
          <w:szCs w:val="22"/>
          <w:lang w:val="el-GR"/>
        </w:rPr>
      </w:pPr>
    </w:p>
    <w:p w14:paraId="21138038" w14:textId="77777777" w:rsidR="00171824" w:rsidRDefault="006D258C">
      <w:pPr>
        <w:pStyle w:val="BodyText"/>
        <w:widowControl/>
        <w:kinsoku w:val="0"/>
        <w:overflowPunct w:val="0"/>
        <w:ind w:left="0"/>
        <w:rPr>
          <w:lang w:val="el-GR"/>
        </w:rPr>
      </w:pPr>
      <w:r>
        <w:rPr>
          <w:lang w:val="el-GR"/>
        </w:rPr>
        <w:t>Κατά τη διάρκεια της θεραπείας συντήρησης, η δόση των κορτικοστεροειδών μπορεί να διακοπεί σταδιακά, σύμφωνα με τις κατευθυντήριες οδηγίες της κλινικής πρακτικής.</w:t>
      </w:r>
    </w:p>
    <w:p w14:paraId="042AB2F3" w14:textId="77777777" w:rsidR="00171824" w:rsidRDefault="00171824">
      <w:pPr>
        <w:widowControl/>
        <w:kinsoku w:val="0"/>
        <w:overflowPunct w:val="0"/>
        <w:rPr>
          <w:sz w:val="22"/>
          <w:szCs w:val="22"/>
          <w:lang w:val="el-GR"/>
        </w:rPr>
      </w:pPr>
    </w:p>
    <w:p w14:paraId="751FB624" w14:textId="77777777" w:rsidR="00171824" w:rsidRDefault="006D258C">
      <w:pPr>
        <w:pStyle w:val="BodyText"/>
        <w:widowControl/>
        <w:kinsoku w:val="0"/>
        <w:overflowPunct w:val="0"/>
        <w:ind w:left="0"/>
        <w:rPr>
          <w:lang w:val="el-GR"/>
        </w:rPr>
      </w:pPr>
      <w:r>
        <w:rPr>
          <w:lang w:val="el-GR"/>
        </w:rPr>
        <w:t>Μερικοί ασθενείς που εμφανίζουν μείωση της κλινικής ανταπόκρισης στο AMGEVITA 40 mg κάθε δεύτερη εβδομάδα είναι πιθανό να ωφεληθούν από την αύξηση της δόσης στα 40 mg AMGEVITA κάθε εβδομάδα ή 80 mg κάθε δεύτερη εβδομάδα.</w:t>
      </w:r>
    </w:p>
    <w:p w14:paraId="5C9B872D" w14:textId="77777777" w:rsidR="00171824" w:rsidRDefault="00171824">
      <w:pPr>
        <w:widowControl/>
        <w:kinsoku w:val="0"/>
        <w:overflowPunct w:val="0"/>
        <w:rPr>
          <w:sz w:val="22"/>
          <w:szCs w:val="22"/>
          <w:lang w:val="el-GR"/>
        </w:rPr>
      </w:pPr>
    </w:p>
    <w:p w14:paraId="559DAC2D" w14:textId="77777777" w:rsidR="00171824" w:rsidRDefault="006D258C">
      <w:pPr>
        <w:pStyle w:val="BodyText"/>
        <w:widowControl/>
        <w:kinsoku w:val="0"/>
        <w:overflowPunct w:val="0"/>
        <w:ind w:left="0"/>
        <w:jc w:val="both"/>
        <w:rPr>
          <w:lang w:val="el-GR"/>
        </w:rPr>
      </w:pPr>
      <w:r>
        <w:rPr>
          <w:lang w:val="el-GR"/>
        </w:rPr>
        <w:t>Διαθέσιμα δεδομένα υποδεικνύουν ότι η κλινική ανταπόκριση επιτυγχάνεται συνήθως μέσα σε 2</w:t>
      </w:r>
      <w:r>
        <w:rPr>
          <w:lang w:val="el-GR"/>
        </w:rPr>
        <w:noBreakHyphen/>
        <w:t>8 εβδομάδες θεραπείας. Η θεραπεία με AMGEVITA δεν θα πρέπει να συνεχιστεί σε ασθενείς που απέτυχαν να ανταποκριθούν σε αυτό το χρονικό διάστημα.</w:t>
      </w:r>
    </w:p>
    <w:p w14:paraId="1CE32A98" w14:textId="77777777" w:rsidR="00171824" w:rsidRDefault="00171824">
      <w:pPr>
        <w:pStyle w:val="BodyText"/>
        <w:widowControl/>
        <w:kinsoku w:val="0"/>
        <w:overflowPunct w:val="0"/>
        <w:ind w:left="0"/>
        <w:jc w:val="both"/>
        <w:rPr>
          <w:lang w:val="el-GR"/>
        </w:rPr>
      </w:pPr>
    </w:p>
    <w:p w14:paraId="51E5C071" w14:textId="77777777" w:rsidR="00171824" w:rsidRDefault="006D258C">
      <w:pPr>
        <w:widowControl/>
        <w:kinsoku w:val="0"/>
        <w:overflowPunct w:val="0"/>
        <w:rPr>
          <w:sz w:val="22"/>
          <w:szCs w:val="22"/>
          <w:lang w:val="el-GR" w:eastAsia="en-GB"/>
        </w:rPr>
      </w:pPr>
      <w:r>
        <w:rPr>
          <w:sz w:val="22"/>
          <w:szCs w:val="22"/>
          <w:lang w:val="el-GR" w:eastAsia="en-GB"/>
        </w:rPr>
        <w:t>To AMGEVITA μπορεί να διατίθεται σε διαφορετικές περιεκτικότητες ή/και τύπους ανάλογα με τις μεμονωμένες ανάγκες θεραπείας.</w:t>
      </w:r>
    </w:p>
    <w:p w14:paraId="761483DE" w14:textId="77777777" w:rsidR="00171824" w:rsidRDefault="00171824">
      <w:pPr>
        <w:widowControl/>
        <w:kinsoku w:val="0"/>
        <w:overflowPunct w:val="0"/>
        <w:rPr>
          <w:sz w:val="22"/>
          <w:szCs w:val="22"/>
          <w:lang w:val="el-GR"/>
        </w:rPr>
      </w:pPr>
    </w:p>
    <w:p w14:paraId="0C13CD2B" w14:textId="77777777" w:rsidR="00171824" w:rsidRDefault="006D258C">
      <w:pPr>
        <w:keepNext/>
        <w:widowControl/>
        <w:kinsoku w:val="0"/>
        <w:overflowPunct w:val="0"/>
        <w:rPr>
          <w:sz w:val="22"/>
          <w:szCs w:val="22"/>
          <w:lang w:val="el-GR"/>
        </w:rPr>
      </w:pPr>
      <w:r>
        <w:rPr>
          <w:i/>
          <w:iCs/>
          <w:sz w:val="22"/>
          <w:szCs w:val="22"/>
          <w:lang w:val="el-GR"/>
        </w:rPr>
        <w:t>Ραγοειδίτιδα</w:t>
      </w:r>
    </w:p>
    <w:p w14:paraId="6EB2A54A" w14:textId="77777777" w:rsidR="00171824" w:rsidRDefault="00171824">
      <w:pPr>
        <w:keepNext/>
        <w:widowControl/>
        <w:kinsoku w:val="0"/>
        <w:overflowPunct w:val="0"/>
        <w:rPr>
          <w:sz w:val="20"/>
          <w:szCs w:val="22"/>
          <w:lang w:val="el-GR"/>
        </w:rPr>
      </w:pPr>
    </w:p>
    <w:p w14:paraId="567BEA56" w14:textId="77777777" w:rsidR="00171824" w:rsidRDefault="006D258C">
      <w:pPr>
        <w:pStyle w:val="BodyText"/>
        <w:widowControl/>
        <w:kinsoku w:val="0"/>
        <w:overflowPunct w:val="0"/>
        <w:ind w:left="0"/>
        <w:rPr>
          <w:lang w:val="el-GR"/>
        </w:rPr>
      </w:pPr>
      <w:r>
        <w:rPr>
          <w:lang w:val="el-GR"/>
        </w:rPr>
        <w:t xml:space="preserve">Η συνιστώμενη δόση του AMGEVITA για ενήλικες ασθενείς με ραγοειδίτιδα είναι μία αρχική δόση 80 mg, ακολουθούμενη από 40 mg κάθε δεύτερη εβδομάδα, αρχίζοντας μία εβδομάδα μετά την αρχική δόση. Υπάρχει περιορισμένη εμπειρία στην έναρξη θεραπείας με adalimumab σε </w:t>
      </w:r>
      <w:r>
        <w:rPr>
          <w:lang w:val="el-GR"/>
        </w:rPr>
        <w:lastRenderedPageBreak/>
        <w:t>μονοθεραπεία. Η θεραπεία με AMGEVITA μπορεί να ξεκινήσει σε συνδυασμό με κορτικοστεροειδή και/ή με άλλους μη-βιολογικούς ανοσοτροποποιητικούς παράγοντες. Η ταυτόχρονη χορήγηση των κορτικοστεροειδών μπορεί να διακοπεί σταδιακά, σύμφωνα με την κλινική πρακτική ξεκινώντας δύο εβδομάδες μετά την έναρξη της θεραπείας με AMGEVITA.</w:t>
      </w:r>
    </w:p>
    <w:p w14:paraId="6AD9D927" w14:textId="77777777" w:rsidR="00171824" w:rsidRDefault="00171824">
      <w:pPr>
        <w:widowControl/>
        <w:kinsoku w:val="0"/>
        <w:overflowPunct w:val="0"/>
        <w:rPr>
          <w:sz w:val="22"/>
          <w:szCs w:val="22"/>
          <w:lang w:val="el-GR"/>
        </w:rPr>
      </w:pPr>
    </w:p>
    <w:p w14:paraId="426CAD4C" w14:textId="77777777" w:rsidR="00171824" w:rsidRDefault="006D258C">
      <w:pPr>
        <w:pStyle w:val="BodyText"/>
        <w:widowControl/>
        <w:kinsoku w:val="0"/>
        <w:overflowPunct w:val="0"/>
        <w:ind w:left="0"/>
        <w:rPr>
          <w:lang w:val="el-GR"/>
        </w:rPr>
      </w:pPr>
      <w:r>
        <w:rPr>
          <w:lang w:val="el-GR"/>
        </w:rPr>
        <w:t>Συνιστάται η αξιολόγηση του οφέλους και του κινδύνου της συνεχιζόμενης μακροχρόνιας θεραπείας, σε ετήσια βάση (βλέπε παράγραφο 5.1).</w:t>
      </w:r>
    </w:p>
    <w:p w14:paraId="5E410776" w14:textId="77777777" w:rsidR="00171824" w:rsidRDefault="00171824">
      <w:pPr>
        <w:pStyle w:val="BodyText"/>
        <w:widowControl/>
        <w:kinsoku w:val="0"/>
        <w:overflowPunct w:val="0"/>
        <w:ind w:left="0"/>
        <w:rPr>
          <w:u w:val="single"/>
          <w:lang w:val="el-GR" w:eastAsia="en-GB"/>
        </w:rPr>
      </w:pPr>
    </w:p>
    <w:p w14:paraId="7FC82550" w14:textId="77777777" w:rsidR="00171824" w:rsidRDefault="006D258C">
      <w:pPr>
        <w:pStyle w:val="BodyText"/>
        <w:widowControl/>
        <w:kinsoku w:val="0"/>
        <w:overflowPunct w:val="0"/>
        <w:ind w:left="0"/>
        <w:rPr>
          <w:lang w:val="el-GR" w:eastAsia="en-GB"/>
        </w:rPr>
      </w:pPr>
      <w:r>
        <w:rPr>
          <w:lang w:val="el-GR" w:eastAsia="en-GB"/>
        </w:rPr>
        <w:t>To AMGEVITA μπορεί να διατίθεται σε διαφορετικές περιεκτικότητες ή/και τύπους ανάλογα με τις μεμονωμένες ανάγκες θεραπείας.</w:t>
      </w:r>
    </w:p>
    <w:p w14:paraId="3C4C5A09" w14:textId="77777777" w:rsidR="00171824" w:rsidRDefault="00171824">
      <w:pPr>
        <w:pStyle w:val="BodyText"/>
        <w:widowControl/>
        <w:kinsoku w:val="0"/>
        <w:overflowPunct w:val="0"/>
        <w:ind w:left="0"/>
        <w:rPr>
          <w:lang w:val="el-GR"/>
        </w:rPr>
      </w:pPr>
    </w:p>
    <w:p w14:paraId="5826DB5E" w14:textId="77777777" w:rsidR="00171824" w:rsidRDefault="006D258C">
      <w:pPr>
        <w:pStyle w:val="BodyText"/>
        <w:widowControl/>
        <w:kinsoku w:val="0"/>
        <w:overflowPunct w:val="0"/>
        <w:ind w:left="0"/>
        <w:rPr>
          <w:u w:val="single"/>
          <w:lang w:val="el-GR"/>
        </w:rPr>
      </w:pPr>
      <w:r>
        <w:rPr>
          <w:u w:val="single"/>
          <w:lang w:val="el-GR"/>
        </w:rPr>
        <w:t>Ειδικοί Πληθυσμοί</w:t>
      </w:r>
    </w:p>
    <w:p w14:paraId="65BA85A7" w14:textId="77777777" w:rsidR="00171824" w:rsidRDefault="00171824">
      <w:pPr>
        <w:pStyle w:val="BodyText"/>
        <w:widowControl/>
        <w:kinsoku w:val="0"/>
        <w:overflowPunct w:val="0"/>
        <w:ind w:left="0"/>
        <w:rPr>
          <w:lang w:val="el-GR"/>
        </w:rPr>
      </w:pPr>
    </w:p>
    <w:p w14:paraId="3FA65613" w14:textId="77777777" w:rsidR="00171824" w:rsidRDefault="006D258C">
      <w:pPr>
        <w:pStyle w:val="BodyText"/>
        <w:widowControl/>
        <w:kinsoku w:val="0"/>
        <w:overflowPunct w:val="0"/>
        <w:ind w:left="0"/>
        <w:rPr>
          <w:i/>
          <w:lang w:val="el-GR"/>
        </w:rPr>
      </w:pPr>
      <w:r>
        <w:rPr>
          <w:i/>
          <w:lang w:val="el-GR"/>
        </w:rPr>
        <w:t xml:space="preserve">Ηλικιωμένοι </w:t>
      </w:r>
    </w:p>
    <w:p w14:paraId="6B40DAC9" w14:textId="77777777" w:rsidR="00171824" w:rsidRDefault="00171824">
      <w:pPr>
        <w:widowControl/>
        <w:kinsoku w:val="0"/>
        <w:overflowPunct w:val="0"/>
        <w:rPr>
          <w:sz w:val="22"/>
          <w:szCs w:val="22"/>
          <w:lang w:val="el-GR"/>
        </w:rPr>
      </w:pPr>
    </w:p>
    <w:p w14:paraId="32164097" w14:textId="77777777" w:rsidR="00171824" w:rsidRDefault="006D258C">
      <w:pPr>
        <w:pStyle w:val="BodyText"/>
        <w:widowControl/>
        <w:kinsoku w:val="0"/>
        <w:overflowPunct w:val="0"/>
        <w:ind w:left="0"/>
        <w:rPr>
          <w:lang w:val="el-GR"/>
        </w:rPr>
      </w:pPr>
      <w:r>
        <w:rPr>
          <w:lang w:val="el-GR"/>
        </w:rPr>
        <w:t>Δε χρειάζεται προσαρμογή της δόσης.</w:t>
      </w:r>
    </w:p>
    <w:p w14:paraId="1AB8A62B" w14:textId="77777777" w:rsidR="00171824" w:rsidRDefault="00171824">
      <w:pPr>
        <w:pStyle w:val="BodyText"/>
        <w:widowControl/>
        <w:kinsoku w:val="0"/>
        <w:overflowPunct w:val="0"/>
        <w:ind w:left="0"/>
        <w:rPr>
          <w:lang w:val="el-GR"/>
        </w:rPr>
      </w:pPr>
    </w:p>
    <w:p w14:paraId="38CB73C6" w14:textId="77777777" w:rsidR="00171824" w:rsidRDefault="006D258C">
      <w:pPr>
        <w:pStyle w:val="BodyText"/>
        <w:widowControl/>
        <w:kinsoku w:val="0"/>
        <w:overflowPunct w:val="0"/>
        <w:ind w:left="0"/>
        <w:rPr>
          <w:i/>
          <w:lang w:val="el-GR"/>
        </w:rPr>
      </w:pPr>
      <w:r>
        <w:rPr>
          <w:i/>
          <w:lang w:val="el-GR"/>
        </w:rPr>
        <w:t>Νεφρική και/ή ηπατική ανεπάρκεια</w:t>
      </w:r>
    </w:p>
    <w:p w14:paraId="70253696" w14:textId="77777777" w:rsidR="00171824" w:rsidRDefault="00171824">
      <w:pPr>
        <w:pStyle w:val="BodyText"/>
        <w:widowControl/>
        <w:kinsoku w:val="0"/>
        <w:overflowPunct w:val="0"/>
        <w:ind w:left="0"/>
        <w:rPr>
          <w:lang w:val="el-GR"/>
        </w:rPr>
      </w:pPr>
    </w:p>
    <w:p w14:paraId="5EAC1984" w14:textId="77777777" w:rsidR="00171824" w:rsidRDefault="006D258C">
      <w:pPr>
        <w:pStyle w:val="BodyText"/>
        <w:widowControl/>
        <w:kinsoku w:val="0"/>
        <w:overflowPunct w:val="0"/>
        <w:ind w:left="0"/>
        <w:rPr>
          <w:lang w:val="el-GR"/>
        </w:rPr>
      </w:pPr>
      <w:r>
        <w:rPr>
          <w:lang w:val="el-GR"/>
        </w:rPr>
        <w:t>Το adalimumab δεν έχει μελετηθεί σε αυτόν τον πληθυσμό ασθενών. Δεν μπορούν να γίνουν υποδείξεις για τη δοσολογία.</w:t>
      </w:r>
    </w:p>
    <w:p w14:paraId="0B5BD511" w14:textId="77777777" w:rsidR="00171824" w:rsidRDefault="00171824">
      <w:pPr>
        <w:widowControl/>
        <w:kinsoku w:val="0"/>
        <w:overflowPunct w:val="0"/>
        <w:rPr>
          <w:sz w:val="22"/>
          <w:szCs w:val="22"/>
          <w:lang w:val="el-GR"/>
        </w:rPr>
      </w:pPr>
    </w:p>
    <w:p w14:paraId="5D09A72B" w14:textId="77777777" w:rsidR="00171824" w:rsidRDefault="006D258C">
      <w:pPr>
        <w:pStyle w:val="BodyText"/>
        <w:widowControl/>
        <w:kinsoku w:val="0"/>
        <w:overflowPunct w:val="0"/>
        <w:ind w:left="0"/>
        <w:rPr>
          <w:i/>
          <w:lang w:val="el-GR"/>
        </w:rPr>
      </w:pPr>
      <w:r>
        <w:rPr>
          <w:i/>
          <w:lang w:val="el-GR"/>
        </w:rPr>
        <w:t>Παιδιατρικός πληθυσμός</w:t>
      </w:r>
    </w:p>
    <w:p w14:paraId="565F0D16" w14:textId="77777777" w:rsidR="00171824" w:rsidRDefault="00171824">
      <w:pPr>
        <w:widowControl/>
        <w:kinsoku w:val="0"/>
        <w:overflowPunct w:val="0"/>
        <w:rPr>
          <w:sz w:val="22"/>
          <w:szCs w:val="22"/>
          <w:lang w:val="el-GR"/>
        </w:rPr>
      </w:pPr>
    </w:p>
    <w:p w14:paraId="1785F77C" w14:textId="77777777" w:rsidR="00171824" w:rsidRDefault="006D258C">
      <w:pPr>
        <w:widowControl/>
        <w:kinsoku w:val="0"/>
        <w:overflowPunct w:val="0"/>
        <w:rPr>
          <w:i/>
          <w:iCs/>
          <w:sz w:val="22"/>
          <w:szCs w:val="22"/>
          <w:u w:val="single"/>
          <w:lang w:val="el-GR"/>
        </w:rPr>
      </w:pPr>
      <w:r>
        <w:rPr>
          <w:i/>
          <w:iCs/>
          <w:sz w:val="22"/>
          <w:szCs w:val="22"/>
          <w:u w:val="single"/>
          <w:lang w:val="el-GR"/>
        </w:rPr>
        <w:t>Νεανική ιδιοπαθής αρθρίτιδα</w:t>
      </w:r>
    </w:p>
    <w:p w14:paraId="09741882" w14:textId="77777777" w:rsidR="00171824" w:rsidRDefault="00171824">
      <w:pPr>
        <w:widowControl/>
        <w:kinsoku w:val="0"/>
        <w:overflowPunct w:val="0"/>
        <w:rPr>
          <w:sz w:val="22"/>
          <w:szCs w:val="22"/>
          <w:lang w:val="el-GR"/>
        </w:rPr>
      </w:pPr>
    </w:p>
    <w:p w14:paraId="45DCD924" w14:textId="77777777" w:rsidR="00171824" w:rsidRDefault="006D258C">
      <w:pPr>
        <w:widowControl/>
        <w:kinsoku w:val="0"/>
        <w:overflowPunct w:val="0"/>
        <w:rPr>
          <w:sz w:val="22"/>
          <w:szCs w:val="22"/>
          <w:lang w:val="el-GR"/>
        </w:rPr>
      </w:pPr>
      <w:r>
        <w:rPr>
          <w:sz w:val="22"/>
          <w:szCs w:val="22"/>
          <w:lang w:val="el-GR"/>
        </w:rPr>
        <w:t>Πολυαρθρική νεανική ιδιοπαθής αρθρίτιδα από 2 ετών</w:t>
      </w:r>
    </w:p>
    <w:p w14:paraId="44831078" w14:textId="77777777" w:rsidR="00171824" w:rsidRDefault="00171824">
      <w:pPr>
        <w:widowControl/>
        <w:kinsoku w:val="0"/>
        <w:overflowPunct w:val="0"/>
        <w:rPr>
          <w:sz w:val="22"/>
          <w:szCs w:val="22"/>
          <w:lang w:val="el-GR"/>
        </w:rPr>
      </w:pPr>
    </w:p>
    <w:p w14:paraId="731BB5FD" w14:textId="77777777" w:rsidR="00171824" w:rsidRDefault="006D258C">
      <w:pPr>
        <w:pStyle w:val="BodyText"/>
        <w:widowControl/>
        <w:kinsoku w:val="0"/>
        <w:overflowPunct w:val="0"/>
        <w:ind w:left="0"/>
        <w:rPr>
          <w:lang w:val="el-GR"/>
        </w:rPr>
      </w:pPr>
      <w:r>
        <w:rPr>
          <w:lang w:val="el-GR"/>
        </w:rPr>
        <w:t xml:space="preserve">Η συνιστώμενη δόση του AMGEVITA για ασθενείς με πολυαρθρική νεανική ιδιοπαθή αρθρίτιδα, από 2 ετών, βασίζεται στο σωματικό βάρος (πίνακας 1). Το AMGEVITA χορηγείται μέσω υποδόριας ένεσης κάθε δεύτερη εβδομάδα. </w:t>
      </w:r>
    </w:p>
    <w:p w14:paraId="0921A86B" w14:textId="77777777" w:rsidR="00171824" w:rsidRDefault="00171824">
      <w:pPr>
        <w:widowControl/>
        <w:kinsoku w:val="0"/>
        <w:overflowPunct w:val="0"/>
        <w:rPr>
          <w:sz w:val="22"/>
          <w:szCs w:val="22"/>
          <w:lang w:val="el-GR"/>
        </w:rPr>
      </w:pPr>
    </w:p>
    <w:p w14:paraId="6B46CDEF" w14:textId="77777777" w:rsidR="00171824" w:rsidRDefault="006D258C">
      <w:pPr>
        <w:keepNext/>
        <w:widowControl/>
        <w:kinsoku w:val="0"/>
        <w:overflowPunct w:val="0"/>
        <w:rPr>
          <w:rFonts w:eastAsia="Arial Unicode MS" w:cs="Arial Unicode MS"/>
          <w:b/>
          <w:sz w:val="22"/>
          <w:szCs w:val="22"/>
          <w:lang w:val="el-GR" w:bidi="en-US"/>
        </w:rPr>
      </w:pPr>
      <w:r>
        <w:rPr>
          <w:b/>
          <w:sz w:val="22"/>
          <w:szCs w:val="22"/>
          <w:lang w:val="el-GR"/>
        </w:rPr>
        <w:t>Πίνακας 1. Δόση AMGEVITA</w:t>
      </w:r>
      <w:r>
        <w:rPr>
          <w:rFonts w:eastAsia="Arial Unicode MS" w:cs="Arial Unicode MS"/>
          <w:b/>
          <w:sz w:val="22"/>
          <w:szCs w:val="22"/>
          <w:lang w:val="el-GR" w:bidi="en-US"/>
        </w:rPr>
        <w:t xml:space="preserve"> για ασθενείς με πολυαρθρική νεανική ιδιοπαθή αρθρίτιδα</w:t>
      </w:r>
    </w:p>
    <w:p w14:paraId="16574B74" w14:textId="77777777" w:rsidR="00171824" w:rsidRDefault="00171824">
      <w:pPr>
        <w:keepNext/>
        <w:widowControl/>
        <w:kinsoku w:val="0"/>
        <w:overflowPunct w:val="0"/>
        <w:rPr>
          <w:rFonts w:eastAsia="Arial Unicode MS" w:cs="Arial Unicode MS"/>
          <w:b/>
          <w:sz w:val="22"/>
          <w:szCs w:val="22"/>
          <w:lang w:val="el-GR" w:bidi="en-US"/>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5103"/>
      </w:tblGrid>
      <w:tr w:rsidR="00171824" w14:paraId="6AB2ED5E" w14:textId="77777777">
        <w:trPr>
          <w:tblHeader/>
        </w:trPr>
        <w:tc>
          <w:tcPr>
            <w:tcW w:w="4253" w:type="dxa"/>
          </w:tcPr>
          <w:p w14:paraId="2DF65DE9" w14:textId="77777777" w:rsidR="00171824" w:rsidRDefault="006D258C">
            <w:pPr>
              <w:keepNext/>
              <w:rPr>
                <w:rFonts w:eastAsia="Calibri"/>
                <w:b/>
                <w:sz w:val="22"/>
                <w:szCs w:val="22"/>
                <w:lang w:val="el-GR" w:eastAsia="ja-JP"/>
              </w:rPr>
            </w:pPr>
            <w:r>
              <w:rPr>
                <w:rFonts w:eastAsia="Arial Unicode MS" w:cs="Arial Unicode MS"/>
                <w:b/>
                <w:sz w:val="22"/>
                <w:szCs w:val="22"/>
                <w:lang w:val="el-GR" w:bidi="en-US"/>
              </w:rPr>
              <w:t>Βάρος ασθενούς</w:t>
            </w:r>
          </w:p>
        </w:tc>
        <w:tc>
          <w:tcPr>
            <w:tcW w:w="5103" w:type="dxa"/>
          </w:tcPr>
          <w:p w14:paraId="5F7D7308" w14:textId="77777777" w:rsidR="00171824" w:rsidRDefault="006D258C">
            <w:pPr>
              <w:keepNext/>
              <w:rPr>
                <w:rFonts w:eastAsia="Calibri"/>
                <w:b/>
                <w:sz w:val="22"/>
                <w:szCs w:val="22"/>
                <w:lang w:val="el-GR" w:eastAsia="ja-JP"/>
              </w:rPr>
            </w:pPr>
            <w:r>
              <w:rPr>
                <w:rFonts w:eastAsia="Arial Unicode MS" w:cs="Arial Unicode MS"/>
                <w:b/>
                <w:sz w:val="22"/>
                <w:szCs w:val="22"/>
                <w:lang w:val="el-GR" w:bidi="en-US"/>
              </w:rPr>
              <w:t>Δοσολογικό σχήμα</w:t>
            </w:r>
          </w:p>
        </w:tc>
      </w:tr>
      <w:tr w:rsidR="00171824" w14:paraId="0378BBC1" w14:textId="77777777">
        <w:trPr>
          <w:tblHeader/>
        </w:trPr>
        <w:tc>
          <w:tcPr>
            <w:tcW w:w="4253" w:type="dxa"/>
          </w:tcPr>
          <w:p w14:paraId="6D492BD4" w14:textId="77777777" w:rsidR="00171824" w:rsidRDefault="006D258C">
            <w:pPr>
              <w:keepNext/>
              <w:rPr>
                <w:rFonts w:eastAsia="Calibri"/>
                <w:b/>
                <w:sz w:val="22"/>
                <w:szCs w:val="22"/>
                <w:lang w:val="el-GR" w:eastAsia="ja-JP"/>
              </w:rPr>
            </w:pPr>
            <w:r>
              <w:rPr>
                <w:rFonts w:eastAsia="Calibri"/>
                <w:sz w:val="22"/>
                <w:szCs w:val="22"/>
                <w:lang w:val="el-GR" w:eastAsia="ja-JP"/>
              </w:rPr>
              <w:t>10 kg μέχρι &lt; 30 kg</w:t>
            </w:r>
          </w:p>
        </w:tc>
        <w:tc>
          <w:tcPr>
            <w:tcW w:w="5103" w:type="dxa"/>
          </w:tcPr>
          <w:p w14:paraId="2B234772" w14:textId="77777777" w:rsidR="00171824" w:rsidRDefault="006D258C">
            <w:pPr>
              <w:keepNext/>
              <w:rPr>
                <w:rFonts w:eastAsia="Calibri"/>
                <w:b/>
                <w:sz w:val="22"/>
                <w:szCs w:val="22"/>
                <w:lang w:val="el-GR" w:eastAsia="ja-JP"/>
              </w:rPr>
            </w:pPr>
            <w:r>
              <w:rPr>
                <w:rFonts w:eastAsia="Calibri"/>
                <w:sz w:val="22"/>
                <w:szCs w:val="22"/>
                <w:lang w:val="el-GR" w:eastAsia="ja-JP"/>
              </w:rPr>
              <w:t xml:space="preserve">20 mg </w:t>
            </w:r>
            <w:r>
              <w:rPr>
                <w:rFonts w:eastAsia="Arial Unicode MS" w:cs="Arial Unicode MS"/>
                <w:sz w:val="22"/>
                <w:szCs w:val="22"/>
                <w:lang w:val="el-GR" w:bidi="en-US"/>
              </w:rPr>
              <w:t>κάθε δεύτερη εβδομάδα</w:t>
            </w:r>
          </w:p>
        </w:tc>
      </w:tr>
      <w:tr w:rsidR="00171824" w14:paraId="0A94EAEE" w14:textId="77777777">
        <w:trPr>
          <w:tblHeader/>
        </w:trPr>
        <w:tc>
          <w:tcPr>
            <w:tcW w:w="4253" w:type="dxa"/>
          </w:tcPr>
          <w:p w14:paraId="49C79EB3" w14:textId="77777777" w:rsidR="00171824" w:rsidRDefault="006D258C">
            <w:pPr>
              <w:keepNext/>
              <w:rPr>
                <w:rFonts w:eastAsia="Calibri"/>
                <w:b/>
                <w:sz w:val="22"/>
                <w:szCs w:val="22"/>
                <w:lang w:val="el-GR" w:eastAsia="ja-JP"/>
              </w:rPr>
            </w:pPr>
            <w:r>
              <w:rPr>
                <w:rFonts w:eastAsia="Calibri"/>
                <w:sz w:val="22"/>
                <w:szCs w:val="22"/>
                <w:lang w:val="el-GR" w:eastAsia="ja-JP"/>
              </w:rPr>
              <w:t>≥ 30 kg</w:t>
            </w:r>
          </w:p>
        </w:tc>
        <w:tc>
          <w:tcPr>
            <w:tcW w:w="5103" w:type="dxa"/>
          </w:tcPr>
          <w:p w14:paraId="0A200CBA" w14:textId="77777777" w:rsidR="00171824" w:rsidRDefault="006D258C">
            <w:pPr>
              <w:keepNext/>
              <w:rPr>
                <w:rFonts w:eastAsia="Calibri"/>
                <w:b/>
                <w:sz w:val="22"/>
                <w:szCs w:val="22"/>
                <w:lang w:val="el-GR" w:eastAsia="ja-JP"/>
              </w:rPr>
            </w:pPr>
            <w:r>
              <w:rPr>
                <w:rFonts w:eastAsia="Calibri"/>
                <w:sz w:val="22"/>
                <w:szCs w:val="22"/>
                <w:lang w:val="el-GR" w:eastAsia="ja-JP"/>
              </w:rPr>
              <w:t xml:space="preserve">40 mg </w:t>
            </w:r>
            <w:r>
              <w:rPr>
                <w:rFonts w:eastAsia="Arial Unicode MS" w:cs="Arial Unicode MS"/>
                <w:sz w:val="22"/>
                <w:szCs w:val="22"/>
                <w:lang w:val="el-GR" w:bidi="en-US"/>
              </w:rPr>
              <w:t>κάθε δεύτερη εβδομάδα</w:t>
            </w:r>
          </w:p>
        </w:tc>
      </w:tr>
    </w:tbl>
    <w:p w14:paraId="0E055826" w14:textId="77777777" w:rsidR="00171824" w:rsidRDefault="00171824">
      <w:pPr>
        <w:widowControl/>
        <w:kinsoku w:val="0"/>
        <w:overflowPunct w:val="0"/>
        <w:rPr>
          <w:sz w:val="22"/>
          <w:szCs w:val="22"/>
          <w:lang w:val="el-GR"/>
        </w:rPr>
      </w:pPr>
    </w:p>
    <w:p w14:paraId="7E13594E" w14:textId="77777777" w:rsidR="00171824" w:rsidRDefault="006D258C">
      <w:pPr>
        <w:pStyle w:val="BodyText"/>
        <w:widowControl/>
        <w:kinsoku w:val="0"/>
        <w:overflowPunct w:val="0"/>
        <w:ind w:left="0"/>
        <w:rPr>
          <w:lang w:val="el-GR"/>
        </w:rPr>
      </w:pPr>
      <w:r>
        <w:rPr>
          <w:lang w:val="el-GR"/>
        </w:rPr>
        <w:t>Διαθέσιμα δεδομένα υποδεικνύουν ότι η κλινική ανταπόκριση επιτυγχάνεται συνήθως μέσα σε 12 εβδομάδες θεραπείας. Η συνέχιση της θεραπείας πρέπει να επαναξιολογείται προσεκτικά σε όποιον ασθενή δεν ανταποκρίνεται μέσα σε αυτή τη χρονική περίοδο.</w:t>
      </w:r>
    </w:p>
    <w:p w14:paraId="47560BAF" w14:textId="77777777" w:rsidR="00171824" w:rsidRDefault="00171824">
      <w:pPr>
        <w:widowControl/>
        <w:kinsoku w:val="0"/>
        <w:overflowPunct w:val="0"/>
        <w:rPr>
          <w:sz w:val="22"/>
          <w:szCs w:val="22"/>
          <w:lang w:val="el-GR"/>
        </w:rPr>
      </w:pPr>
    </w:p>
    <w:p w14:paraId="4B0B0646" w14:textId="77777777" w:rsidR="00171824" w:rsidRDefault="006D258C">
      <w:pPr>
        <w:pStyle w:val="BodyText"/>
        <w:widowControl/>
        <w:kinsoku w:val="0"/>
        <w:overflowPunct w:val="0"/>
        <w:ind w:left="0"/>
        <w:rPr>
          <w:lang w:val="el-GR"/>
        </w:rPr>
      </w:pPr>
      <w:r>
        <w:rPr>
          <w:lang w:val="el-GR"/>
        </w:rPr>
        <w:t>Δεν υπάρχει σχετική χρήση του adalimumab σε ασθενείς ηλικίας κάτω των 2 ετών για αυτή την ένδειξη.</w:t>
      </w:r>
    </w:p>
    <w:p w14:paraId="00FC9322" w14:textId="77777777" w:rsidR="00171824" w:rsidRDefault="00171824">
      <w:pPr>
        <w:pStyle w:val="BodyText"/>
        <w:widowControl/>
        <w:kinsoku w:val="0"/>
        <w:overflowPunct w:val="0"/>
        <w:ind w:left="0"/>
        <w:rPr>
          <w:lang w:val="el-GR"/>
        </w:rPr>
      </w:pPr>
    </w:p>
    <w:p w14:paraId="74A541CF" w14:textId="77777777" w:rsidR="00171824" w:rsidRDefault="006D258C">
      <w:pPr>
        <w:widowControl/>
        <w:kinsoku w:val="0"/>
        <w:overflowPunct w:val="0"/>
        <w:rPr>
          <w:sz w:val="22"/>
          <w:szCs w:val="22"/>
          <w:lang w:val="el-GR" w:eastAsia="en-GB"/>
        </w:rPr>
      </w:pPr>
      <w:r>
        <w:rPr>
          <w:sz w:val="22"/>
          <w:szCs w:val="22"/>
          <w:lang w:val="el-GR" w:eastAsia="en-GB"/>
        </w:rPr>
        <w:t>To AMGEVITA μπορεί να διατίθεται σε διαφορετικές περιεκτικότητες ή/και τύπους ανάλογα με τις μεμονωμένες ανάγκες θεραπείας.</w:t>
      </w:r>
    </w:p>
    <w:p w14:paraId="02DAA6D4" w14:textId="77777777" w:rsidR="00171824" w:rsidRDefault="00171824">
      <w:pPr>
        <w:widowControl/>
        <w:kinsoku w:val="0"/>
        <w:overflowPunct w:val="0"/>
        <w:rPr>
          <w:sz w:val="22"/>
          <w:szCs w:val="22"/>
          <w:lang w:val="el-GR"/>
        </w:rPr>
      </w:pPr>
    </w:p>
    <w:p w14:paraId="193EBF00" w14:textId="77777777" w:rsidR="00171824" w:rsidRDefault="006D258C">
      <w:pPr>
        <w:widowControl/>
        <w:kinsoku w:val="0"/>
        <w:overflowPunct w:val="0"/>
        <w:rPr>
          <w:sz w:val="22"/>
          <w:szCs w:val="22"/>
          <w:u w:val="single"/>
          <w:lang w:val="el-GR"/>
        </w:rPr>
      </w:pPr>
      <w:r>
        <w:rPr>
          <w:i/>
          <w:iCs/>
          <w:sz w:val="22"/>
          <w:szCs w:val="22"/>
          <w:u w:val="single"/>
          <w:lang w:val="el-GR"/>
        </w:rPr>
        <w:t>Αρθρίτιδα σχετιζόμενη με ενθεσίτιδα</w:t>
      </w:r>
    </w:p>
    <w:p w14:paraId="17322E62" w14:textId="77777777" w:rsidR="00171824" w:rsidRDefault="00171824">
      <w:pPr>
        <w:widowControl/>
        <w:kinsoku w:val="0"/>
        <w:overflowPunct w:val="0"/>
        <w:rPr>
          <w:sz w:val="22"/>
          <w:szCs w:val="22"/>
          <w:lang w:val="el-GR"/>
        </w:rPr>
      </w:pPr>
    </w:p>
    <w:p w14:paraId="7B2A25BD" w14:textId="77777777" w:rsidR="00171824" w:rsidRDefault="006D258C">
      <w:pPr>
        <w:pStyle w:val="BodyText"/>
        <w:widowControl/>
        <w:kinsoku w:val="0"/>
        <w:overflowPunct w:val="0"/>
        <w:ind w:left="0"/>
        <w:rPr>
          <w:lang w:val="el-GR"/>
        </w:rPr>
      </w:pPr>
      <w:r>
        <w:rPr>
          <w:lang w:val="el-GR"/>
        </w:rPr>
        <w:t xml:space="preserve">Η συνιστώμενη δόση του AMGEVITA για ασθενείς με αρθρίτιδα σχετιζόμενη με ενθεσίτιδα ηλικίας από 6 ετών είναι βασισμένη στο σώματικό βάρος (πίνακας 2). Το AMGEVITA χορηγείται μέσω υποδόριας ένεσης κάθε δεύτερη εβδομάδα. </w:t>
      </w:r>
    </w:p>
    <w:p w14:paraId="1AF6B016" w14:textId="77777777" w:rsidR="00171824" w:rsidRDefault="00171824">
      <w:pPr>
        <w:pStyle w:val="BodyText"/>
        <w:widowControl/>
        <w:kinsoku w:val="0"/>
        <w:overflowPunct w:val="0"/>
        <w:ind w:left="0"/>
        <w:rPr>
          <w:lang w:val="el-GR"/>
        </w:rPr>
      </w:pPr>
    </w:p>
    <w:p w14:paraId="04CDE92E" w14:textId="77777777" w:rsidR="00171824" w:rsidRDefault="006D258C">
      <w:pPr>
        <w:keepNext/>
        <w:suppressAutoHyphens/>
        <w:rPr>
          <w:b/>
          <w:sz w:val="22"/>
          <w:szCs w:val="22"/>
          <w:lang w:val="el-GR"/>
        </w:rPr>
      </w:pPr>
      <w:r>
        <w:rPr>
          <w:b/>
          <w:sz w:val="22"/>
          <w:szCs w:val="22"/>
          <w:lang w:val="el-GR"/>
        </w:rPr>
        <w:lastRenderedPageBreak/>
        <w:t>Πίνακας 2. Δόση AMGEVITA</w:t>
      </w:r>
      <w:r>
        <w:rPr>
          <w:rStyle w:val="CommentReference"/>
          <w:lang w:val="el-GR"/>
        </w:rPr>
        <w:t xml:space="preserve"> </w:t>
      </w:r>
      <w:r>
        <w:rPr>
          <w:b/>
          <w:sz w:val="22"/>
          <w:szCs w:val="22"/>
          <w:lang w:val="el-GR"/>
        </w:rPr>
        <w:t>σε ασθενείς με αρθρίτιδα σχετιζόμενη με ενθεσίτιδα</w:t>
      </w:r>
    </w:p>
    <w:p w14:paraId="6A772B20" w14:textId="77777777" w:rsidR="00171824" w:rsidRDefault="00171824">
      <w:pPr>
        <w:keepNext/>
        <w:suppressAutoHyphens/>
        <w:rPr>
          <w:sz w:val="22"/>
          <w:szCs w:val="22"/>
          <w:lang w:val="el-GR"/>
        </w:rPr>
      </w:pP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5102"/>
      </w:tblGrid>
      <w:tr w:rsidR="00171824" w14:paraId="26076CAC" w14:textId="77777777">
        <w:trPr>
          <w:tblHeader/>
        </w:trPr>
        <w:tc>
          <w:tcPr>
            <w:tcW w:w="4252" w:type="dxa"/>
            <w:tcBorders>
              <w:top w:val="single" w:sz="4" w:space="0" w:color="auto"/>
              <w:left w:val="single" w:sz="4" w:space="0" w:color="auto"/>
              <w:bottom w:val="single" w:sz="4" w:space="0" w:color="auto"/>
              <w:right w:val="single" w:sz="4" w:space="0" w:color="auto"/>
            </w:tcBorders>
          </w:tcPr>
          <w:p w14:paraId="78BE6B46" w14:textId="77777777" w:rsidR="00171824" w:rsidRDefault="006D258C">
            <w:pPr>
              <w:keepNext/>
              <w:tabs>
                <w:tab w:val="left" w:pos="720"/>
              </w:tabs>
              <w:rPr>
                <w:rFonts w:eastAsia="Calibri"/>
                <w:b/>
                <w:sz w:val="22"/>
                <w:szCs w:val="22"/>
                <w:lang w:val="el-GR" w:eastAsia="ja-JP"/>
              </w:rPr>
            </w:pPr>
            <w:r>
              <w:rPr>
                <w:rFonts w:eastAsia="Calibri"/>
                <w:b/>
                <w:sz w:val="22"/>
                <w:szCs w:val="22"/>
                <w:lang w:val="el-GR" w:eastAsia="ja-JP"/>
              </w:rPr>
              <w:t>Βάρος ασθενούς</w:t>
            </w:r>
          </w:p>
        </w:tc>
        <w:tc>
          <w:tcPr>
            <w:tcW w:w="5102" w:type="dxa"/>
            <w:tcBorders>
              <w:top w:val="single" w:sz="4" w:space="0" w:color="auto"/>
              <w:left w:val="single" w:sz="4" w:space="0" w:color="auto"/>
              <w:bottom w:val="single" w:sz="4" w:space="0" w:color="auto"/>
              <w:right w:val="single" w:sz="4" w:space="0" w:color="auto"/>
            </w:tcBorders>
          </w:tcPr>
          <w:p w14:paraId="3C2657E9" w14:textId="77777777" w:rsidR="00171824" w:rsidRDefault="006D258C">
            <w:pPr>
              <w:keepNext/>
              <w:tabs>
                <w:tab w:val="left" w:pos="720"/>
              </w:tabs>
              <w:rPr>
                <w:rFonts w:eastAsia="Calibri"/>
                <w:b/>
                <w:sz w:val="22"/>
                <w:szCs w:val="22"/>
                <w:lang w:val="el-GR" w:eastAsia="ja-JP"/>
              </w:rPr>
            </w:pPr>
            <w:r>
              <w:rPr>
                <w:rFonts w:eastAsia="Calibri"/>
                <w:b/>
                <w:sz w:val="22"/>
                <w:szCs w:val="22"/>
                <w:lang w:val="el-GR" w:eastAsia="ja-JP"/>
              </w:rPr>
              <w:t>Δοσολογικό σχήμα</w:t>
            </w:r>
          </w:p>
        </w:tc>
      </w:tr>
      <w:tr w:rsidR="00171824" w14:paraId="1E961CB6" w14:textId="77777777">
        <w:trPr>
          <w:tblHeader/>
        </w:trPr>
        <w:tc>
          <w:tcPr>
            <w:tcW w:w="4252" w:type="dxa"/>
            <w:tcBorders>
              <w:top w:val="single" w:sz="4" w:space="0" w:color="auto"/>
              <w:left w:val="single" w:sz="4" w:space="0" w:color="auto"/>
              <w:bottom w:val="single" w:sz="4" w:space="0" w:color="auto"/>
              <w:right w:val="single" w:sz="4" w:space="0" w:color="auto"/>
            </w:tcBorders>
          </w:tcPr>
          <w:p w14:paraId="05E0D2F6"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15 kg to &lt; 30 kg</w:t>
            </w:r>
          </w:p>
        </w:tc>
        <w:tc>
          <w:tcPr>
            <w:tcW w:w="5102" w:type="dxa"/>
            <w:tcBorders>
              <w:top w:val="single" w:sz="4" w:space="0" w:color="auto"/>
              <w:left w:val="single" w:sz="4" w:space="0" w:color="auto"/>
              <w:bottom w:val="single" w:sz="4" w:space="0" w:color="auto"/>
              <w:right w:val="single" w:sz="4" w:space="0" w:color="auto"/>
            </w:tcBorders>
          </w:tcPr>
          <w:p w14:paraId="1D09DDFE"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xml:space="preserve">20 mg </w:t>
            </w:r>
            <w:r>
              <w:rPr>
                <w:sz w:val="22"/>
                <w:szCs w:val="22"/>
                <w:lang w:val="el-GR"/>
              </w:rPr>
              <w:t>κάθε δεύτερη εβδομάδα</w:t>
            </w:r>
          </w:p>
        </w:tc>
      </w:tr>
      <w:tr w:rsidR="00171824" w14:paraId="69D036B0" w14:textId="77777777">
        <w:trPr>
          <w:tblHeader/>
        </w:trPr>
        <w:tc>
          <w:tcPr>
            <w:tcW w:w="4252" w:type="dxa"/>
            <w:tcBorders>
              <w:top w:val="single" w:sz="4" w:space="0" w:color="auto"/>
              <w:left w:val="single" w:sz="4" w:space="0" w:color="auto"/>
              <w:bottom w:val="single" w:sz="4" w:space="0" w:color="auto"/>
              <w:right w:val="single" w:sz="4" w:space="0" w:color="auto"/>
            </w:tcBorders>
          </w:tcPr>
          <w:p w14:paraId="7FD837DF"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30 kg</w:t>
            </w:r>
          </w:p>
        </w:tc>
        <w:tc>
          <w:tcPr>
            <w:tcW w:w="5102" w:type="dxa"/>
            <w:tcBorders>
              <w:top w:val="single" w:sz="4" w:space="0" w:color="auto"/>
              <w:left w:val="single" w:sz="4" w:space="0" w:color="auto"/>
              <w:bottom w:val="single" w:sz="4" w:space="0" w:color="auto"/>
              <w:right w:val="single" w:sz="4" w:space="0" w:color="auto"/>
            </w:tcBorders>
          </w:tcPr>
          <w:p w14:paraId="24E46A56"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xml:space="preserve">40 mg </w:t>
            </w:r>
            <w:r>
              <w:rPr>
                <w:sz w:val="22"/>
                <w:szCs w:val="22"/>
                <w:lang w:val="el-GR"/>
              </w:rPr>
              <w:t>κάθε δεύτερη εβδομάδα</w:t>
            </w:r>
          </w:p>
        </w:tc>
      </w:tr>
    </w:tbl>
    <w:p w14:paraId="73CEE8C8" w14:textId="77777777" w:rsidR="00171824" w:rsidRDefault="00171824">
      <w:pPr>
        <w:pStyle w:val="BodyText"/>
        <w:widowControl/>
        <w:kinsoku w:val="0"/>
        <w:overflowPunct w:val="0"/>
        <w:ind w:left="0"/>
        <w:rPr>
          <w:lang w:val="el-GR"/>
        </w:rPr>
      </w:pPr>
    </w:p>
    <w:p w14:paraId="63C5419B" w14:textId="77777777" w:rsidR="00171824" w:rsidRDefault="006D258C">
      <w:pPr>
        <w:pStyle w:val="BodyText"/>
        <w:widowControl/>
        <w:kinsoku w:val="0"/>
        <w:overflowPunct w:val="0"/>
        <w:ind w:left="0"/>
        <w:rPr>
          <w:lang w:val="el-GR"/>
        </w:rPr>
      </w:pPr>
      <w:r>
        <w:rPr>
          <w:lang w:val="el-GR"/>
        </w:rPr>
        <w:t>Το adalimumab δεν έχει μελετηθεί σε ασθενείς μικρότερους των 6 ετών με αρθρίτιδα σχετιζόμενη με ενθεσίτιδα.</w:t>
      </w:r>
    </w:p>
    <w:p w14:paraId="2172C861" w14:textId="77777777" w:rsidR="00171824" w:rsidRDefault="00171824">
      <w:pPr>
        <w:pStyle w:val="BodyText"/>
        <w:widowControl/>
        <w:kinsoku w:val="0"/>
        <w:overflowPunct w:val="0"/>
        <w:ind w:left="0"/>
        <w:rPr>
          <w:lang w:val="el-GR"/>
        </w:rPr>
      </w:pPr>
    </w:p>
    <w:p w14:paraId="4B7DE863" w14:textId="77777777" w:rsidR="00171824" w:rsidRDefault="006D258C">
      <w:pPr>
        <w:pStyle w:val="BodyText"/>
        <w:widowControl/>
        <w:kinsoku w:val="0"/>
        <w:overflowPunct w:val="0"/>
        <w:ind w:left="0"/>
        <w:rPr>
          <w:lang w:val="el-GR" w:eastAsia="en-GB"/>
        </w:rPr>
      </w:pPr>
      <w:r>
        <w:rPr>
          <w:lang w:val="el-GR" w:eastAsia="en-GB"/>
        </w:rPr>
        <w:t>To AMGEVITA μπορεί να διατίθεται σε διαφορετικές περιεκτικότητες ή/και τύπους ανάλογα με τις μεμονωμένες ανάγκες θεραπείας.</w:t>
      </w:r>
    </w:p>
    <w:p w14:paraId="3848EBD1" w14:textId="77777777" w:rsidR="00171824" w:rsidRDefault="00171824">
      <w:pPr>
        <w:pStyle w:val="BodyText"/>
        <w:widowControl/>
        <w:kinsoku w:val="0"/>
        <w:overflowPunct w:val="0"/>
        <w:ind w:left="0"/>
        <w:rPr>
          <w:lang w:val="el-GR"/>
        </w:rPr>
      </w:pPr>
    </w:p>
    <w:p w14:paraId="608B8033" w14:textId="77777777" w:rsidR="00171824" w:rsidRDefault="006D258C">
      <w:pPr>
        <w:widowControl/>
        <w:rPr>
          <w:i/>
          <w:iCs/>
          <w:color w:val="000000"/>
          <w:sz w:val="22"/>
          <w:szCs w:val="22"/>
          <w:lang w:val="el-GR" w:eastAsia="ja-JP"/>
        </w:rPr>
      </w:pPr>
      <w:r>
        <w:rPr>
          <w:i/>
          <w:iCs/>
          <w:color w:val="000000"/>
          <w:sz w:val="22"/>
          <w:szCs w:val="22"/>
          <w:lang w:val="el-GR" w:eastAsia="ja-JP"/>
        </w:rPr>
        <w:t xml:space="preserve">Ψωριασική αρθρίτιδα και αξονική σπονδυλαρθρίτιδα συμπεριλαμβανομένης αγκυλοποιητικής σπονδυλίτιδας </w:t>
      </w:r>
    </w:p>
    <w:p w14:paraId="62C2051C" w14:textId="77777777" w:rsidR="00171824" w:rsidRDefault="00171824">
      <w:pPr>
        <w:widowControl/>
        <w:rPr>
          <w:color w:val="000000"/>
          <w:sz w:val="22"/>
          <w:szCs w:val="22"/>
          <w:lang w:val="el-GR" w:eastAsia="ja-JP"/>
        </w:rPr>
      </w:pPr>
    </w:p>
    <w:p w14:paraId="484AE22E" w14:textId="77777777" w:rsidR="00171824" w:rsidRDefault="006D258C">
      <w:pPr>
        <w:pStyle w:val="BodyText"/>
        <w:widowControl/>
        <w:kinsoku w:val="0"/>
        <w:overflowPunct w:val="0"/>
        <w:ind w:left="0"/>
        <w:rPr>
          <w:lang w:val="el-GR"/>
        </w:rPr>
      </w:pPr>
      <w:r>
        <w:rPr>
          <w:color w:val="000000"/>
          <w:lang w:val="el-GR" w:eastAsia="ja-JP"/>
        </w:rPr>
        <w:t>Δεν υπάρχει σχετική χρήση του adalimumab σε παιδιατρικό πληθυσμό για τις ενδείξεις της αγκυλοποιητικής σπονδυλίτιδας και της ψωριασικής αρθρίτιδας.</w:t>
      </w:r>
    </w:p>
    <w:p w14:paraId="7BD3E4D6" w14:textId="77777777" w:rsidR="00171824" w:rsidRDefault="00171824">
      <w:pPr>
        <w:widowControl/>
        <w:kinsoku w:val="0"/>
        <w:overflowPunct w:val="0"/>
        <w:rPr>
          <w:sz w:val="22"/>
          <w:szCs w:val="22"/>
          <w:lang w:val="el-GR"/>
        </w:rPr>
      </w:pPr>
    </w:p>
    <w:p w14:paraId="0AFED5B0" w14:textId="77777777" w:rsidR="00171824" w:rsidRDefault="006D258C">
      <w:pPr>
        <w:widowControl/>
        <w:kinsoku w:val="0"/>
        <w:overflowPunct w:val="0"/>
        <w:rPr>
          <w:sz w:val="22"/>
          <w:szCs w:val="22"/>
          <w:lang w:val="el-GR"/>
        </w:rPr>
      </w:pPr>
      <w:r>
        <w:rPr>
          <w:i/>
          <w:iCs/>
          <w:sz w:val="22"/>
          <w:szCs w:val="22"/>
          <w:lang w:val="el-GR"/>
        </w:rPr>
        <w:t>Παιδιατρική ψωρίαση κατά πλάκας</w:t>
      </w:r>
    </w:p>
    <w:p w14:paraId="6D5882CC" w14:textId="77777777" w:rsidR="00171824" w:rsidRDefault="00171824">
      <w:pPr>
        <w:widowControl/>
        <w:kinsoku w:val="0"/>
        <w:overflowPunct w:val="0"/>
        <w:rPr>
          <w:sz w:val="22"/>
          <w:szCs w:val="22"/>
          <w:lang w:val="el-GR"/>
        </w:rPr>
      </w:pPr>
    </w:p>
    <w:p w14:paraId="779EBF59" w14:textId="77777777" w:rsidR="00171824" w:rsidRDefault="006D258C">
      <w:pPr>
        <w:pStyle w:val="BodyText"/>
        <w:widowControl/>
        <w:kinsoku w:val="0"/>
        <w:overflowPunct w:val="0"/>
        <w:ind w:left="0"/>
        <w:rPr>
          <w:lang w:val="el-GR"/>
        </w:rPr>
      </w:pPr>
      <w:r>
        <w:rPr>
          <w:lang w:val="el-GR"/>
        </w:rPr>
        <w:t xml:space="preserve">Η συνιστώμενη δόση AMGEVITA είναι για ασθενείς με ψωρίαση κατά πλάκας ηλικίας από 4 μέχρι 17 ετών βασίζεται στο σωματικό βάρος (πίνακας 3). Το AMGEVITA χορηγείται μέσω υποδόριας ένεσης. </w:t>
      </w:r>
    </w:p>
    <w:p w14:paraId="201FA143" w14:textId="77777777" w:rsidR="00171824" w:rsidRDefault="00171824">
      <w:pPr>
        <w:pStyle w:val="BodyText"/>
        <w:widowControl/>
        <w:kinsoku w:val="0"/>
        <w:overflowPunct w:val="0"/>
        <w:ind w:left="0"/>
        <w:rPr>
          <w:lang w:val="el-GR"/>
        </w:rPr>
      </w:pPr>
    </w:p>
    <w:p w14:paraId="787A386A" w14:textId="77777777" w:rsidR="00171824" w:rsidRDefault="006D258C">
      <w:pPr>
        <w:widowControl/>
        <w:kinsoku w:val="0"/>
        <w:overflowPunct w:val="0"/>
        <w:rPr>
          <w:sz w:val="22"/>
          <w:szCs w:val="22"/>
          <w:lang w:val="el-GR"/>
        </w:rPr>
      </w:pPr>
      <w:r>
        <w:rPr>
          <w:b/>
          <w:sz w:val="22"/>
          <w:szCs w:val="22"/>
          <w:lang w:val="el-GR"/>
        </w:rPr>
        <w:t xml:space="preserve">Πίνακας 3. Δόση AMGEVITA σε παιδιατρικούς ασθενείς με </w:t>
      </w:r>
      <w:r>
        <w:rPr>
          <w:b/>
          <w:iCs/>
          <w:sz w:val="22"/>
          <w:szCs w:val="22"/>
          <w:lang w:val="el-GR"/>
        </w:rPr>
        <w:t>ψωρίαση κατά πλάκας</w:t>
      </w:r>
    </w:p>
    <w:p w14:paraId="03D339BD" w14:textId="77777777" w:rsidR="00171824" w:rsidRDefault="00171824">
      <w:pPr>
        <w:suppressAutoHyphens/>
        <w:rPr>
          <w:sz w:val="22"/>
          <w:szCs w:val="22"/>
          <w:lang w:val="el-GR"/>
        </w:rPr>
      </w:pPr>
    </w:p>
    <w:tbl>
      <w:tblPr>
        <w:tblW w:w="93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5102"/>
      </w:tblGrid>
      <w:tr w:rsidR="00171824" w14:paraId="0CDA524E" w14:textId="77777777">
        <w:trPr>
          <w:tblHeader/>
        </w:trPr>
        <w:tc>
          <w:tcPr>
            <w:tcW w:w="4252" w:type="dxa"/>
            <w:tcBorders>
              <w:top w:val="single" w:sz="4" w:space="0" w:color="auto"/>
              <w:left w:val="single" w:sz="4" w:space="0" w:color="auto"/>
              <w:bottom w:val="single" w:sz="4" w:space="0" w:color="auto"/>
              <w:right w:val="single" w:sz="4" w:space="0" w:color="auto"/>
            </w:tcBorders>
          </w:tcPr>
          <w:p w14:paraId="595ACB9E" w14:textId="77777777" w:rsidR="00171824" w:rsidRDefault="006D258C">
            <w:pPr>
              <w:keepNext/>
              <w:tabs>
                <w:tab w:val="left" w:pos="720"/>
              </w:tabs>
              <w:rPr>
                <w:rFonts w:eastAsia="Calibri"/>
                <w:b/>
                <w:sz w:val="22"/>
                <w:szCs w:val="22"/>
                <w:lang w:val="el-GR" w:eastAsia="ja-JP"/>
              </w:rPr>
            </w:pPr>
            <w:r>
              <w:rPr>
                <w:rFonts w:eastAsia="Calibri"/>
                <w:b/>
                <w:sz w:val="22"/>
                <w:szCs w:val="22"/>
                <w:lang w:val="el-GR" w:eastAsia="ja-JP"/>
              </w:rPr>
              <w:t>Βάρος ασθενούς</w:t>
            </w:r>
          </w:p>
        </w:tc>
        <w:tc>
          <w:tcPr>
            <w:tcW w:w="5102" w:type="dxa"/>
            <w:tcBorders>
              <w:top w:val="single" w:sz="4" w:space="0" w:color="auto"/>
              <w:left w:val="single" w:sz="4" w:space="0" w:color="auto"/>
              <w:bottom w:val="single" w:sz="4" w:space="0" w:color="auto"/>
              <w:right w:val="single" w:sz="4" w:space="0" w:color="auto"/>
            </w:tcBorders>
          </w:tcPr>
          <w:p w14:paraId="0B4262F0" w14:textId="77777777" w:rsidR="00171824" w:rsidRDefault="006D258C">
            <w:pPr>
              <w:keepNext/>
              <w:tabs>
                <w:tab w:val="left" w:pos="720"/>
              </w:tabs>
              <w:rPr>
                <w:rFonts w:eastAsia="Calibri"/>
                <w:b/>
                <w:sz w:val="22"/>
                <w:szCs w:val="22"/>
                <w:lang w:val="el-GR" w:eastAsia="ja-JP"/>
              </w:rPr>
            </w:pPr>
            <w:r>
              <w:rPr>
                <w:rFonts w:eastAsia="Calibri"/>
                <w:b/>
                <w:sz w:val="22"/>
                <w:szCs w:val="22"/>
                <w:lang w:val="el-GR" w:eastAsia="ja-JP"/>
              </w:rPr>
              <w:t>Δοσολογικό σχήμα</w:t>
            </w:r>
          </w:p>
        </w:tc>
      </w:tr>
      <w:tr w:rsidR="00171824" w:rsidRPr="00422380" w14:paraId="047467D4" w14:textId="77777777">
        <w:trPr>
          <w:tblHeader/>
        </w:trPr>
        <w:tc>
          <w:tcPr>
            <w:tcW w:w="4252" w:type="dxa"/>
            <w:tcBorders>
              <w:top w:val="single" w:sz="4" w:space="0" w:color="auto"/>
              <w:left w:val="single" w:sz="4" w:space="0" w:color="auto"/>
              <w:bottom w:val="single" w:sz="4" w:space="0" w:color="auto"/>
              <w:right w:val="single" w:sz="4" w:space="0" w:color="auto"/>
            </w:tcBorders>
          </w:tcPr>
          <w:p w14:paraId="2E9427E5"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15 kg to &lt; 30 kg</w:t>
            </w:r>
          </w:p>
        </w:tc>
        <w:tc>
          <w:tcPr>
            <w:tcW w:w="5102" w:type="dxa"/>
            <w:tcBorders>
              <w:top w:val="single" w:sz="4" w:space="0" w:color="auto"/>
              <w:left w:val="single" w:sz="4" w:space="0" w:color="auto"/>
              <w:bottom w:val="single" w:sz="4" w:space="0" w:color="auto"/>
              <w:right w:val="single" w:sz="4" w:space="0" w:color="auto"/>
            </w:tcBorders>
          </w:tcPr>
          <w:p w14:paraId="04CB4074"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xml:space="preserve">Αρχική δόση των 20 mg, ακολουθούμενη από την χορηγούμενη δόση των 20 mg κάθε δεύτερη εβδομάδα ξεκινώντας μία εβδομάδα μετά την αρχική δόση </w:t>
            </w:r>
          </w:p>
        </w:tc>
      </w:tr>
      <w:tr w:rsidR="00171824" w:rsidRPr="00422380" w14:paraId="6A0078F5" w14:textId="77777777">
        <w:trPr>
          <w:tblHeader/>
        </w:trPr>
        <w:tc>
          <w:tcPr>
            <w:tcW w:w="4252" w:type="dxa"/>
            <w:tcBorders>
              <w:top w:val="single" w:sz="4" w:space="0" w:color="auto"/>
              <w:left w:val="single" w:sz="4" w:space="0" w:color="auto"/>
              <w:bottom w:val="single" w:sz="4" w:space="0" w:color="auto"/>
              <w:right w:val="single" w:sz="4" w:space="0" w:color="auto"/>
            </w:tcBorders>
          </w:tcPr>
          <w:p w14:paraId="00BFE0A6" w14:textId="77777777" w:rsidR="00171824" w:rsidRDefault="006D258C">
            <w:pPr>
              <w:keepNext/>
              <w:tabs>
                <w:tab w:val="left" w:pos="720"/>
              </w:tabs>
              <w:rPr>
                <w:rFonts w:eastAsia="Calibri"/>
                <w:b/>
                <w:sz w:val="22"/>
                <w:szCs w:val="22"/>
                <w:lang w:val="el-GR" w:eastAsia="ja-JP"/>
              </w:rPr>
            </w:pPr>
            <w:r>
              <w:rPr>
                <w:rFonts w:eastAsia="Calibri"/>
                <w:sz w:val="22"/>
                <w:szCs w:val="22"/>
                <w:lang w:val="el-GR" w:eastAsia="ja-JP"/>
              </w:rPr>
              <w:t>≥ 30 kg</w:t>
            </w:r>
          </w:p>
        </w:tc>
        <w:tc>
          <w:tcPr>
            <w:tcW w:w="5102" w:type="dxa"/>
            <w:tcBorders>
              <w:top w:val="single" w:sz="4" w:space="0" w:color="auto"/>
              <w:left w:val="single" w:sz="4" w:space="0" w:color="auto"/>
              <w:bottom w:val="single" w:sz="4" w:space="0" w:color="auto"/>
              <w:right w:val="single" w:sz="4" w:space="0" w:color="auto"/>
            </w:tcBorders>
          </w:tcPr>
          <w:p w14:paraId="5C19EF5C" w14:textId="77777777" w:rsidR="00171824" w:rsidRDefault="006D258C">
            <w:pPr>
              <w:suppressAutoHyphens/>
              <w:rPr>
                <w:b/>
                <w:sz w:val="22"/>
                <w:szCs w:val="22"/>
                <w:lang w:val="el-GR"/>
              </w:rPr>
            </w:pPr>
            <w:r>
              <w:rPr>
                <w:rFonts w:eastAsia="Calibri"/>
                <w:sz w:val="22"/>
                <w:szCs w:val="22"/>
                <w:lang w:val="el-GR" w:eastAsia="ja-JP"/>
              </w:rPr>
              <w:t>Αρχική δόση των 40 mg, ακολουθούμενη από την χορηγούμενη δόση των 40 mg κάθε δεύτερη εβδομάδα ξεκινώντας μία εβδομάδα μετά την αρχική δόση</w:t>
            </w:r>
          </w:p>
        </w:tc>
      </w:tr>
    </w:tbl>
    <w:p w14:paraId="2F2D40D2" w14:textId="77777777" w:rsidR="00171824" w:rsidRDefault="00171824">
      <w:pPr>
        <w:pStyle w:val="BodyText"/>
        <w:widowControl/>
        <w:kinsoku w:val="0"/>
        <w:overflowPunct w:val="0"/>
        <w:ind w:left="0"/>
        <w:rPr>
          <w:lang w:val="el-GR"/>
        </w:rPr>
      </w:pPr>
    </w:p>
    <w:p w14:paraId="761C8EC1" w14:textId="77777777" w:rsidR="00171824" w:rsidRDefault="006D258C">
      <w:pPr>
        <w:pStyle w:val="BodyText"/>
        <w:widowControl/>
        <w:kinsoku w:val="0"/>
        <w:overflowPunct w:val="0"/>
        <w:ind w:left="0"/>
        <w:rPr>
          <w:lang w:val="el-GR"/>
        </w:rPr>
      </w:pPr>
      <w:r>
        <w:rPr>
          <w:lang w:val="el-GR"/>
        </w:rPr>
        <w:t>Η συνέχιση της θεραπείας μετά την 16</w:t>
      </w:r>
      <w:r>
        <w:rPr>
          <w:vertAlign w:val="superscript"/>
          <w:lang w:val="el-GR"/>
        </w:rPr>
        <w:t>η</w:t>
      </w:r>
      <w:r>
        <w:rPr>
          <w:lang w:val="el-GR"/>
        </w:rPr>
        <w:t xml:space="preserve"> εβδομάδα πρέπει να επαναξιολογείται προσεκτικά σε όποιον ασθενή δεν ανταποκρίνεται μέσα σε αυτή τη χρονική περίοδο.</w:t>
      </w:r>
    </w:p>
    <w:p w14:paraId="409D737B" w14:textId="77777777" w:rsidR="00171824" w:rsidRDefault="00171824">
      <w:pPr>
        <w:widowControl/>
        <w:kinsoku w:val="0"/>
        <w:overflowPunct w:val="0"/>
        <w:rPr>
          <w:sz w:val="22"/>
          <w:szCs w:val="22"/>
          <w:lang w:val="el-GR"/>
        </w:rPr>
      </w:pPr>
    </w:p>
    <w:p w14:paraId="736408C7" w14:textId="77777777" w:rsidR="00171824" w:rsidRDefault="006D258C">
      <w:pPr>
        <w:pStyle w:val="BodyText"/>
        <w:widowControl/>
        <w:kinsoku w:val="0"/>
        <w:overflowPunct w:val="0"/>
        <w:ind w:left="0"/>
        <w:rPr>
          <w:lang w:val="el-GR"/>
        </w:rPr>
      </w:pPr>
      <w:r>
        <w:rPr>
          <w:lang w:val="el-GR"/>
        </w:rPr>
        <w:t>Σε περίπτωση που ενδείκνυται επανάληψη της θεραπείας με AMGEVITA, πρέπει να ακολουθούνται οι ανωτέρω συστάσεις σχετικά με τη δοσολογία και τη διάρκεια της θεραπείας.</w:t>
      </w:r>
    </w:p>
    <w:p w14:paraId="5FB1A4FD" w14:textId="77777777" w:rsidR="00171824" w:rsidRDefault="00171824">
      <w:pPr>
        <w:pStyle w:val="BodyText"/>
        <w:widowControl/>
        <w:kinsoku w:val="0"/>
        <w:overflowPunct w:val="0"/>
        <w:ind w:left="0"/>
        <w:rPr>
          <w:lang w:val="el-GR"/>
        </w:rPr>
      </w:pPr>
    </w:p>
    <w:p w14:paraId="3D1370ED" w14:textId="77777777" w:rsidR="00171824" w:rsidRDefault="006D258C">
      <w:pPr>
        <w:pStyle w:val="BodyText"/>
        <w:widowControl/>
        <w:kinsoku w:val="0"/>
        <w:overflowPunct w:val="0"/>
        <w:ind w:left="0"/>
        <w:rPr>
          <w:lang w:val="el-GR"/>
        </w:rPr>
      </w:pPr>
      <w:r>
        <w:rPr>
          <w:lang w:val="el-GR"/>
        </w:rPr>
        <w:t>Η ασφάλεια του adalimumab σε παιδιατρικούς ασθενείς με ψωρίαση κατά πλάκας έχει αξιολογηθεί για ένα μέσο διάστημα 13 μηνών.</w:t>
      </w:r>
    </w:p>
    <w:p w14:paraId="2DE006F8" w14:textId="77777777" w:rsidR="00171824" w:rsidRDefault="00171824">
      <w:pPr>
        <w:pStyle w:val="BodyText"/>
        <w:widowControl/>
        <w:kinsoku w:val="0"/>
        <w:overflowPunct w:val="0"/>
        <w:ind w:left="0"/>
        <w:rPr>
          <w:lang w:val="el-GR"/>
        </w:rPr>
      </w:pPr>
    </w:p>
    <w:p w14:paraId="06782DE4" w14:textId="77777777" w:rsidR="00171824" w:rsidRDefault="006D258C">
      <w:pPr>
        <w:pStyle w:val="BodyText"/>
        <w:widowControl/>
        <w:kinsoku w:val="0"/>
        <w:overflowPunct w:val="0"/>
        <w:ind w:left="0"/>
        <w:rPr>
          <w:lang w:val="el-GR"/>
        </w:rPr>
      </w:pPr>
      <w:r>
        <w:rPr>
          <w:lang w:val="el-GR"/>
        </w:rPr>
        <w:t>Δεν υπάρχει σχετική χρήση του adalimumab σε παιδιά ηλικίας κάτω των 4 ετών, για αυτήν την ένδειξη.</w:t>
      </w:r>
    </w:p>
    <w:p w14:paraId="4B85367B" w14:textId="77777777" w:rsidR="00171824" w:rsidRDefault="00171824">
      <w:pPr>
        <w:pStyle w:val="BodyText"/>
        <w:widowControl/>
        <w:kinsoku w:val="0"/>
        <w:overflowPunct w:val="0"/>
        <w:ind w:left="0"/>
        <w:rPr>
          <w:u w:val="single"/>
          <w:lang w:val="el-GR" w:eastAsia="en-GB"/>
        </w:rPr>
      </w:pPr>
    </w:p>
    <w:p w14:paraId="5087DE6E" w14:textId="77777777" w:rsidR="00171824" w:rsidRDefault="006D258C">
      <w:pPr>
        <w:pStyle w:val="BodyText"/>
        <w:widowControl/>
        <w:kinsoku w:val="0"/>
        <w:overflowPunct w:val="0"/>
        <w:ind w:left="0"/>
        <w:rPr>
          <w:lang w:val="el-GR" w:eastAsia="en-GB"/>
        </w:rPr>
      </w:pPr>
      <w:r>
        <w:rPr>
          <w:lang w:val="el-GR" w:eastAsia="en-GB"/>
        </w:rPr>
        <w:t>To AMGEVITA μπορεί να διατίθεται σε διαφορετικές περιεκτικότητες ή/και τύπους ανάλογα με τις μεμονωμένες ανάγκες θεραπείας.</w:t>
      </w:r>
    </w:p>
    <w:p w14:paraId="076D0253" w14:textId="77777777" w:rsidR="00171824" w:rsidRDefault="00171824">
      <w:pPr>
        <w:pStyle w:val="BodyText"/>
        <w:widowControl/>
        <w:kinsoku w:val="0"/>
        <w:overflowPunct w:val="0"/>
        <w:ind w:left="0"/>
        <w:rPr>
          <w:lang w:val="el-GR"/>
        </w:rPr>
      </w:pPr>
    </w:p>
    <w:p w14:paraId="7BFECDE4" w14:textId="77777777" w:rsidR="00171824" w:rsidRDefault="006D258C">
      <w:pPr>
        <w:rPr>
          <w:i/>
          <w:sz w:val="22"/>
          <w:lang w:val="el-GR"/>
        </w:rPr>
      </w:pPr>
      <w:r>
        <w:rPr>
          <w:i/>
          <w:sz w:val="22"/>
          <w:szCs w:val="22"/>
          <w:lang w:val="el-GR"/>
        </w:rPr>
        <w:t>΄Εφηβοι με διαπυητική ιδρωταδενίτιδα (από την ηλικία των 12 ετών, βάρους τουλάχιστος 30 kg)</w:t>
      </w:r>
    </w:p>
    <w:p w14:paraId="792D9651" w14:textId="77777777" w:rsidR="00171824" w:rsidRDefault="00171824">
      <w:pPr>
        <w:pStyle w:val="BodyText"/>
        <w:widowControl/>
        <w:kinsoku w:val="0"/>
        <w:overflowPunct w:val="0"/>
        <w:ind w:left="0"/>
        <w:rPr>
          <w:lang w:val="el-GR"/>
        </w:rPr>
      </w:pPr>
    </w:p>
    <w:p w14:paraId="64EC903E" w14:textId="77777777" w:rsidR="00171824" w:rsidRDefault="006D258C">
      <w:pPr>
        <w:pStyle w:val="BodyText"/>
        <w:widowControl/>
        <w:kinsoku w:val="0"/>
        <w:overflowPunct w:val="0"/>
        <w:ind w:left="0"/>
        <w:rPr>
          <w:lang w:val="el-GR"/>
        </w:rPr>
      </w:pPr>
      <w:r>
        <w:rPr>
          <w:lang w:val="el-GR"/>
        </w:rPr>
        <w:t>Δεν υπάρχουν κλινικές μελέτες με adalimumab σε εφήβους ασθενείς με διαπυητική ιδρωταδενίτιδα. Η δοσολογία του AMGEVITA σε αυτούς τους ασθενείς έχει προσδιοριστεί από τη φαρμακοκινητική μοντελοποίηση και προσομοίωση (βλέπε παράγραφο 5.2).</w:t>
      </w:r>
    </w:p>
    <w:p w14:paraId="62668D3D" w14:textId="77777777" w:rsidR="00171824" w:rsidRDefault="00171824">
      <w:pPr>
        <w:pStyle w:val="BodyText"/>
        <w:widowControl/>
        <w:kinsoku w:val="0"/>
        <w:overflowPunct w:val="0"/>
        <w:ind w:left="0"/>
        <w:rPr>
          <w:lang w:val="el-GR"/>
        </w:rPr>
      </w:pPr>
    </w:p>
    <w:p w14:paraId="13453A86" w14:textId="77777777" w:rsidR="00171824" w:rsidRDefault="006D258C">
      <w:pPr>
        <w:pStyle w:val="BodyText"/>
        <w:widowControl/>
        <w:kinsoku w:val="0"/>
        <w:overflowPunct w:val="0"/>
        <w:ind w:left="0"/>
        <w:rPr>
          <w:lang w:val="el-GR"/>
        </w:rPr>
      </w:pPr>
      <w:r>
        <w:rPr>
          <w:lang w:val="el-GR"/>
        </w:rPr>
        <w:t>Η συνιστώμενη δόση του AMGEVITA είναι 80 mg την εβδομάδα 0 ακολουθούμενη από 40 mg κάθε δεύτερη εβδομάδα ξεκινώντας από την 1η εβδομάδα μέσω υποδόριας ένεσης.</w:t>
      </w:r>
    </w:p>
    <w:p w14:paraId="61E2E697" w14:textId="77777777" w:rsidR="00171824" w:rsidRDefault="00171824">
      <w:pPr>
        <w:pStyle w:val="BodyText"/>
        <w:widowControl/>
        <w:kinsoku w:val="0"/>
        <w:overflowPunct w:val="0"/>
        <w:ind w:left="0"/>
        <w:rPr>
          <w:lang w:val="el-GR"/>
        </w:rPr>
      </w:pPr>
    </w:p>
    <w:p w14:paraId="58B52CBC" w14:textId="77777777" w:rsidR="00171824" w:rsidRDefault="006D258C">
      <w:pPr>
        <w:pStyle w:val="BodyText"/>
        <w:widowControl/>
        <w:kinsoku w:val="0"/>
        <w:overflowPunct w:val="0"/>
        <w:ind w:left="0"/>
        <w:rPr>
          <w:lang w:val="el-GR"/>
        </w:rPr>
      </w:pPr>
      <w:r>
        <w:rPr>
          <w:lang w:val="el-GR"/>
        </w:rPr>
        <w:t>Σε εφήβους ασθενείς με ανεπαρκή ανταπόκριση στο AMGEVITA 40 mg κάθε δεύτερη εβδομάδα, αύξηση της δόσης έως 40 mg κάθε εβδομάδα ή 80 mg κάθε δεύτερη εβδομάδα.</w:t>
      </w:r>
    </w:p>
    <w:p w14:paraId="39820822" w14:textId="77777777" w:rsidR="00171824" w:rsidRDefault="00171824">
      <w:pPr>
        <w:pStyle w:val="BodyText"/>
        <w:widowControl/>
        <w:kinsoku w:val="0"/>
        <w:overflowPunct w:val="0"/>
        <w:ind w:left="0"/>
        <w:rPr>
          <w:lang w:val="el-GR"/>
        </w:rPr>
      </w:pPr>
    </w:p>
    <w:p w14:paraId="4C7EC00A" w14:textId="77777777" w:rsidR="00171824" w:rsidRDefault="006D258C">
      <w:pPr>
        <w:pStyle w:val="BodyText"/>
        <w:widowControl/>
        <w:kinsoku w:val="0"/>
        <w:overflowPunct w:val="0"/>
        <w:ind w:left="0"/>
        <w:rPr>
          <w:lang w:val="el-GR"/>
        </w:rPr>
      </w:pPr>
      <w:r>
        <w:rPr>
          <w:lang w:val="el-GR"/>
        </w:rPr>
        <w:t>Τα αντιβιοτικά μπορεί να συνεχιστούν κατά τη διάρκεια της θεραπείας με AMGEVITA εάν είναι απαραίτητο. Συνιστάται ο ασθενής ότι θα πρέπει να χρησιμοποιεί για καθάρισμα ένα τοπικό αντισηπτικό στα μέρη με αλλοιώσεις διαπυητικής ιδρωταδενίτιδας σε καθημερινή βάση κατά τη διάρκεια της θεραπείας με AMGEVITA.</w:t>
      </w:r>
    </w:p>
    <w:p w14:paraId="359A289C" w14:textId="77777777" w:rsidR="00171824" w:rsidRDefault="00171824">
      <w:pPr>
        <w:pStyle w:val="BodyText"/>
        <w:widowControl/>
        <w:kinsoku w:val="0"/>
        <w:overflowPunct w:val="0"/>
        <w:ind w:left="0"/>
        <w:rPr>
          <w:lang w:val="el-GR"/>
        </w:rPr>
      </w:pPr>
    </w:p>
    <w:p w14:paraId="7614AE81" w14:textId="77777777" w:rsidR="00171824" w:rsidRDefault="006D258C">
      <w:pPr>
        <w:pStyle w:val="BodyText"/>
        <w:widowControl/>
        <w:kinsoku w:val="0"/>
        <w:overflowPunct w:val="0"/>
        <w:ind w:left="0"/>
        <w:rPr>
          <w:lang w:val="el-GR"/>
        </w:rPr>
      </w:pPr>
      <w:r>
        <w:rPr>
          <w:lang w:val="el-GR"/>
        </w:rPr>
        <w:t>Η συνέχιση της θεραπείας πέραν των 12 εβδομάδων θα πρέπει να επανεξεταστεί προσεκτικά σε έναν ασθενή που δεν έχει παρουσιάσει βελτίωση σε αυτό το χρονικό διάστημα.</w:t>
      </w:r>
    </w:p>
    <w:p w14:paraId="12776FCB" w14:textId="77777777" w:rsidR="00171824" w:rsidRDefault="00171824">
      <w:pPr>
        <w:pStyle w:val="BodyText"/>
        <w:widowControl/>
        <w:kinsoku w:val="0"/>
        <w:overflowPunct w:val="0"/>
        <w:ind w:left="0"/>
        <w:rPr>
          <w:lang w:val="el-GR"/>
        </w:rPr>
      </w:pPr>
    </w:p>
    <w:p w14:paraId="0B088C00" w14:textId="77777777" w:rsidR="00171824" w:rsidRDefault="006D258C">
      <w:pPr>
        <w:pStyle w:val="BodyText"/>
        <w:widowControl/>
        <w:kinsoku w:val="0"/>
        <w:overflowPunct w:val="0"/>
        <w:ind w:left="0"/>
        <w:rPr>
          <w:lang w:val="el-GR"/>
        </w:rPr>
      </w:pPr>
      <w:r>
        <w:rPr>
          <w:lang w:val="el-GR"/>
        </w:rPr>
        <w:t>Σε περίπτωση διακοπής της θεραπείας, το AMGEVITA μπορεί να εισαχθεί εκ νέου ανάλογα με την περίπτωση.</w:t>
      </w:r>
    </w:p>
    <w:p w14:paraId="61EF99E4" w14:textId="77777777" w:rsidR="00171824" w:rsidRDefault="00171824">
      <w:pPr>
        <w:widowControl/>
        <w:kinsoku w:val="0"/>
        <w:overflowPunct w:val="0"/>
        <w:rPr>
          <w:i/>
          <w:iCs/>
          <w:sz w:val="22"/>
          <w:szCs w:val="22"/>
          <w:lang w:val="el-GR"/>
        </w:rPr>
      </w:pPr>
    </w:p>
    <w:p w14:paraId="3FEF9B04" w14:textId="77777777" w:rsidR="00171824" w:rsidRDefault="006D258C">
      <w:pPr>
        <w:pStyle w:val="BodyText"/>
        <w:widowControl/>
        <w:kinsoku w:val="0"/>
        <w:overflowPunct w:val="0"/>
        <w:ind w:left="0"/>
        <w:rPr>
          <w:lang w:val="el-GR"/>
        </w:rPr>
      </w:pPr>
      <w:r>
        <w:rPr>
          <w:lang w:val="el-GR"/>
        </w:rPr>
        <w:t>Το όφελος και ο κίνδυνος συνεχούς μακροχρόνιας θεραπείας θα πρέπει να αξιολογείται περιοδικά (βλέπε στοιχεία για ενήλικες στην παράγραφο 5.1).</w:t>
      </w:r>
    </w:p>
    <w:p w14:paraId="661AC477" w14:textId="77777777" w:rsidR="00171824" w:rsidRDefault="00171824">
      <w:pPr>
        <w:pStyle w:val="BodyText"/>
        <w:widowControl/>
        <w:kinsoku w:val="0"/>
        <w:overflowPunct w:val="0"/>
        <w:ind w:left="0"/>
        <w:rPr>
          <w:lang w:val="el-GR"/>
        </w:rPr>
      </w:pPr>
    </w:p>
    <w:p w14:paraId="2BEFE52B" w14:textId="77777777" w:rsidR="00171824" w:rsidRDefault="006D258C">
      <w:pPr>
        <w:pStyle w:val="BodyText"/>
        <w:widowControl/>
        <w:kinsoku w:val="0"/>
        <w:overflowPunct w:val="0"/>
        <w:ind w:left="0"/>
        <w:rPr>
          <w:lang w:val="el-GR"/>
        </w:rPr>
      </w:pPr>
      <w:r>
        <w:rPr>
          <w:lang w:val="el-GR"/>
        </w:rPr>
        <w:t>Δεν υπάρχει σχετική χρήση του AMGEVITA σε παιδιά ηλικίας κάτω των 12 ετών σε αυτή την ένδειξη.</w:t>
      </w:r>
    </w:p>
    <w:p w14:paraId="2D377797" w14:textId="77777777" w:rsidR="00171824" w:rsidRDefault="00171824">
      <w:pPr>
        <w:pStyle w:val="BodyText"/>
        <w:widowControl/>
        <w:kinsoku w:val="0"/>
        <w:overflowPunct w:val="0"/>
        <w:ind w:left="0"/>
        <w:rPr>
          <w:u w:val="single"/>
          <w:lang w:val="el-GR" w:eastAsia="en-GB"/>
        </w:rPr>
      </w:pPr>
    </w:p>
    <w:p w14:paraId="43F3B4F2" w14:textId="77777777" w:rsidR="00171824" w:rsidRDefault="006D258C">
      <w:pPr>
        <w:pStyle w:val="BodyText"/>
        <w:widowControl/>
        <w:kinsoku w:val="0"/>
        <w:overflowPunct w:val="0"/>
        <w:ind w:left="0"/>
        <w:rPr>
          <w:lang w:val="el-GR"/>
        </w:rPr>
      </w:pPr>
      <w:r>
        <w:rPr>
          <w:lang w:val="el-GR" w:eastAsia="en-GB"/>
        </w:rPr>
        <w:t>To AMGEVITA μπορεί να διατίθεται σε διαφορετικές περιεκτικότητες ή/και τύπους ανάλογα με τις μεμονωμένες ανάγκες θεραπείας.</w:t>
      </w:r>
    </w:p>
    <w:p w14:paraId="777180A0" w14:textId="77777777" w:rsidR="00171824" w:rsidRDefault="00171824">
      <w:pPr>
        <w:widowControl/>
        <w:kinsoku w:val="0"/>
        <w:overflowPunct w:val="0"/>
        <w:rPr>
          <w:i/>
          <w:iCs/>
          <w:sz w:val="22"/>
          <w:szCs w:val="22"/>
          <w:lang w:val="el-GR"/>
        </w:rPr>
      </w:pPr>
    </w:p>
    <w:p w14:paraId="58607CB9" w14:textId="77777777" w:rsidR="00171824" w:rsidRDefault="006D258C">
      <w:pPr>
        <w:widowControl/>
        <w:kinsoku w:val="0"/>
        <w:overflowPunct w:val="0"/>
        <w:rPr>
          <w:sz w:val="22"/>
          <w:szCs w:val="22"/>
          <w:lang w:val="el-GR"/>
        </w:rPr>
      </w:pPr>
      <w:r>
        <w:rPr>
          <w:i/>
          <w:iCs/>
          <w:sz w:val="22"/>
          <w:szCs w:val="22"/>
          <w:lang w:val="el-GR"/>
        </w:rPr>
        <w:t xml:space="preserve">Παδιατρική νόσος του Crohn </w:t>
      </w:r>
    </w:p>
    <w:p w14:paraId="089DB621" w14:textId="77777777" w:rsidR="00171824" w:rsidRDefault="00171824">
      <w:pPr>
        <w:widowControl/>
        <w:kinsoku w:val="0"/>
        <w:overflowPunct w:val="0"/>
        <w:rPr>
          <w:sz w:val="22"/>
          <w:szCs w:val="22"/>
          <w:lang w:val="el-GR"/>
        </w:rPr>
      </w:pPr>
    </w:p>
    <w:p w14:paraId="2560B933" w14:textId="77777777" w:rsidR="00171824" w:rsidRDefault="006D258C">
      <w:pPr>
        <w:pStyle w:val="BodyText"/>
        <w:widowControl/>
        <w:kinsoku w:val="0"/>
        <w:overflowPunct w:val="0"/>
        <w:ind w:left="0"/>
        <w:rPr>
          <w:lang w:val="el-GR"/>
        </w:rPr>
      </w:pPr>
      <w:r>
        <w:rPr>
          <w:lang w:val="el-GR"/>
        </w:rPr>
        <w:t xml:space="preserve">Η συνιστώμενη δόση για το AMGEVITA σε ασθενείς με νόσο του Crohn ηλικίας από 6 έως 17 ετών βασίζεται στο σωματικό βάρος (πίνακας 4). Το AMGEVITA χορηγείται μέσω υποδόριας ένεσης. </w:t>
      </w:r>
    </w:p>
    <w:p w14:paraId="0AADAFA0" w14:textId="77777777" w:rsidR="00171824" w:rsidRDefault="00171824">
      <w:pPr>
        <w:pStyle w:val="BodyText"/>
        <w:widowControl/>
        <w:kinsoku w:val="0"/>
        <w:overflowPunct w:val="0"/>
        <w:ind w:left="0"/>
        <w:rPr>
          <w:lang w:val="el-GR"/>
        </w:rPr>
      </w:pPr>
    </w:p>
    <w:p w14:paraId="44373549" w14:textId="77777777" w:rsidR="00171824" w:rsidRDefault="006D258C">
      <w:pPr>
        <w:keepNext/>
        <w:suppressAutoHyphens/>
        <w:rPr>
          <w:b/>
          <w:sz w:val="22"/>
          <w:szCs w:val="22"/>
          <w:lang w:val="el-GR"/>
        </w:rPr>
      </w:pPr>
      <w:r>
        <w:rPr>
          <w:b/>
          <w:sz w:val="22"/>
          <w:szCs w:val="22"/>
          <w:lang w:val="el-GR"/>
        </w:rPr>
        <w:t>Πίνακας 4. Δόση AMGEVITA για</w:t>
      </w:r>
      <w:r>
        <w:rPr>
          <w:b/>
          <w:iCs/>
          <w:sz w:val="22"/>
          <w:szCs w:val="22"/>
          <w:lang w:val="el-GR"/>
        </w:rPr>
        <w:t xml:space="preserve"> παιδιατρικούς ασθενείς</w:t>
      </w:r>
      <w:r>
        <w:rPr>
          <w:b/>
          <w:sz w:val="22"/>
          <w:szCs w:val="22"/>
          <w:lang w:val="el-GR"/>
        </w:rPr>
        <w:t xml:space="preserve"> με </w:t>
      </w:r>
      <w:r>
        <w:rPr>
          <w:b/>
          <w:iCs/>
          <w:sz w:val="22"/>
          <w:szCs w:val="22"/>
          <w:lang w:val="el-GR"/>
        </w:rPr>
        <w:t>Νόσο του Crohn</w:t>
      </w:r>
      <w:r>
        <w:rPr>
          <w:b/>
          <w:sz w:val="22"/>
          <w:szCs w:val="22"/>
          <w:lang w:val="el-GR"/>
        </w:rPr>
        <w:t xml:space="preserve"> </w:t>
      </w:r>
    </w:p>
    <w:p w14:paraId="15041926" w14:textId="77777777" w:rsidR="00171824" w:rsidRDefault="00171824">
      <w:pPr>
        <w:pStyle w:val="BodyText"/>
        <w:widowControl/>
        <w:kinsoku w:val="0"/>
        <w:overflowPunct w:val="0"/>
        <w:ind w:left="0"/>
        <w:rPr>
          <w:lang w:val="el-GR"/>
        </w:rPr>
      </w:pP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039"/>
        <w:gridCol w:w="6414"/>
        <w:gridCol w:w="1602"/>
      </w:tblGrid>
      <w:tr w:rsidR="00171824" w:rsidRPr="00422380" w14:paraId="664E64B3"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945824C" w14:textId="77777777" w:rsidR="00171824" w:rsidRDefault="006D258C">
            <w:pPr>
              <w:suppressAutoHyphens/>
              <w:rPr>
                <w:sz w:val="22"/>
                <w:szCs w:val="22"/>
                <w:lang w:val="el-GR"/>
              </w:rPr>
            </w:pPr>
            <w:r>
              <w:rPr>
                <w:b/>
                <w:sz w:val="22"/>
                <w:szCs w:val="22"/>
                <w:lang w:val="el-GR"/>
              </w:rPr>
              <w:t>Βάρος ασθενούς</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AA47FFD" w14:textId="77777777" w:rsidR="00171824" w:rsidRDefault="006D258C">
            <w:pPr>
              <w:suppressAutoHyphens/>
              <w:rPr>
                <w:sz w:val="22"/>
                <w:szCs w:val="22"/>
                <w:lang w:val="el-GR"/>
              </w:rPr>
            </w:pPr>
            <w:r>
              <w:rPr>
                <w:b/>
                <w:sz w:val="22"/>
                <w:szCs w:val="22"/>
                <w:lang w:val="el-GR"/>
              </w:rPr>
              <w:t>Δόση επαγωγής</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73CEF9B4" w14:textId="77777777" w:rsidR="00171824" w:rsidRDefault="006D258C">
            <w:pPr>
              <w:suppressAutoHyphens/>
              <w:rPr>
                <w:sz w:val="22"/>
                <w:szCs w:val="22"/>
                <w:lang w:val="el-GR"/>
              </w:rPr>
            </w:pPr>
            <w:r>
              <w:rPr>
                <w:b/>
                <w:sz w:val="22"/>
                <w:szCs w:val="22"/>
                <w:lang w:val="el-GR"/>
              </w:rPr>
              <w:t>Δόση συντήρησης</w:t>
            </w:r>
            <w:r>
              <w:rPr>
                <w:b/>
                <w:sz w:val="22"/>
                <w:szCs w:val="22"/>
                <w:lang w:val="el-GR"/>
              </w:rPr>
              <w:br/>
              <w:t>ξεκινώντας από την 4η εβδομάδα</w:t>
            </w:r>
          </w:p>
        </w:tc>
      </w:tr>
      <w:tr w:rsidR="00171824" w14:paraId="5D7FBE2E" w14:textId="77777777">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687A2009" w14:textId="77777777" w:rsidR="00171824" w:rsidRDefault="006D258C">
            <w:pPr>
              <w:suppressAutoHyphens/>
              <w:jc w:val="center"/>
              <w:rPr>
                <w:sz w:val="22"/>
                <w:szCs w:val="22"/>
                <w:lang w:val="el-GR"/>
              </w:rPr>
            </w:pPr>
            <w:r>
              <w:rPr>
                <w:sz w:val="22"/>
                <w:szCs w:val="22"/>
                <w:lang w:val="el-GR"/>
              </w:rPr>
              <w:t>&lt; 40 kg</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302BE086" w14:textId="77777777" w:rsidR="00171824" w:rsidRDefault="006D258C">
            <w:pPr>
              <w:widowControl/>
              <w:numPr>
                <w:ilvl w:val="0"/>
                <w:numId w:val="5"/>
              </w:numPr>
              <w:tabs>
                <w:tab w:val="left" w:pos="720"/>
              </w:tabs>
              <w:suppressAutoHyphens/>
              <w:autoSpaceDE/>
              <w:autoSpaceDN/>
              <w:adjustRightInd/>
              <w:ind w:left="306" w:hanging="181"/>
              <w:rPr>
                <w:sz w:val="22"/>
                <w:szCs w:val="22"/>
                <w:lang w:val="el-GR"/>
              </w:rPr>
            </w:pPr>
            <w:r>
              <w:rPr>
                <w:sz w:val="22"/>
                <w:szCs w:val="22"/>
                <w:lang w:val="el-GR"/>
              </w:rPr>
              <w:t>40 mg την εβδομάδα 0 και 20 mg την εβδομάδα 2</w:t>
            </w:r>
          </w:p>
          <w:p w14:paraId="1E5133B2" w14:textId="77777777" w:rsidR="00171824" w:rsidRDefault="00171824">
            <w:pPr>
              <w:tabs>
                <w:tab w:val="left" w:pos="720"/>
              </w:tabs>
              <w:rPr>
                <w:sz w:val="22"/>
                <w:szCs w:val="22"/>
                <w:lang w:val="el-GR"/>
              </w:rPr>
            </w:pPr>
          </w:p>
          <w:p w14:paraId="2C39044A" w14:textId="77777777" w:rsidR="00171824" w:rsidRDefault="006D258C">
            <w:pPr>
              <w:widowControl/>
              <w:tabs>
                <w:tab w:val="left" w:pos="720"/>
              </w:tabs>
              <w:suppressAutoHyphens/>
              <w:autoSpaceDE/>
              <w:autoSpaceDN/>
              <w:adjustRightInd/>
              <w:ind w:left="147"/>
              <w:rPr>
                <w:iCs/>
                <w:sz w:val="22"/>
                <w:szCs w:val="22"/>
                <w:lang w:val="el-GR"/>
              </w:rPr>
            </w:pPr>
            <w:r>
              <w:rPr>
                <w:sz w:val="22"/>
                <w:szCs w:val="22"/>
                <w:lang w:val="el-GR"/>
              </w:rPr>
              <w:t>Στην περίπτωση που υπάρχει ανάγκη για μια ταχύτερη ανταπόκριση στη θεραπεία, γνωρίζοντας ότι ο κίνδυνος εκδήλωσης ανεπιθύμητων ενεργειών μπορεί να είναι μεγαλύτερος με τη χρήση μεγαλύτερης αρχικής δόσης, μπορεί να χρησιμοποιηθεί η παρακάτω δόση:</w:t>
            </w:r>
          </w:p>
          <w:p w14:paraId="22664F72" w14:textId="77777777" w:rsidR="00171824" w:rsidRDefault="006D258C">
            <w:pPr>
              <w:widowControl/>
              <w:numPr>
                <w:ilvl w:val="0"/>
                <w:numId w:val="6"/>
              </w:numPr>
              <w:tabs>
                <w:tab w:val="left" w:pos="720"/>
              </w:tabs>
              <w:suppressAutoHyphens/>
              <w:autoSpaceDE/>
              <w:autoSpaceDN/>
              <w:adjustRightInd/>
              <w:ind w:left="306" w:hanging="181"/>
              <w:rPr>
                <w:iCs/>
                <w:sz w:val="22"/>
                <w:szCs w:val="22"/>
                <w:lang w:val="el-GR"/>
              </w:rPr>
            </w:pPr>
            <w:r>
              <w:rPr>
                <w:sz w:val="22"/>
                <w:szCs w:val="22"/>
                <w:lang w:val="el-GR"/>
              </w:rPr>
              <w:t>80 mg την εβδομάδα 0 and</w:t>
            </w:r>
            <w:r>
              <w:rPr>
                <w:rStyle w:val="CommentReference"/>
                <w:sz w:val="22"/>
                <w:szCs w:val="22"/>
                <w:lang w:val="el-GR"/>
              </w:rPr>
              <w:t xml:space="preserve"> </w:t>
            </w:r>
            <w:r>
              <w:rPr>
                <w:sz w:val="22"/>
                <w:szCs w:val="22"/>
                <w:lang w:val="el-GR"/>
              </w:rPr>
              <w:t>40 mg την εβδομάδα 2</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4A02839B" w14:textId="77777777" w:rsidR="00171824" w:rsidRDefault="006D258C">
            <w:pPr>
              <w:tabs>
                <w:tab w:val="left" w:pos="720"/>
              </w:tabs>
              <w:jc w:val="center"/>
              <w:rPr>
                <w:sz w:val="22"/>
                <w:szCs w:val="22"/>
                <w:lang w:val="el-GR"/>
              </w:rPr>
            </w:pPr>
            <w:r>
              <w:rPr>
                <w:sz w:val="22"/>
                <w:szCs w:val="22"/>
                <w:lang w:val="el-GR"/>
              </w:rPr>
              <w:t>20 mg</w:t>
            </w:r>
            <w:r>
              <w:rPr>
                <w:rFonts w:eastAsia="Calibri"/>
                <w:sz w:val="22"/>
                <w:szCs w:val="22"/>
                <w:lang w:val="el-GR" w:eastAsia="ja-JP"/>
              </w:rPr>
              <w:t xml:space="preserve"> κάθε δεύτερη εβδομάδα</w:t>
            </w:r>
          </w:p>
        </w:tc>
      </w:tr>
      <w:tr w:rsidR="00171824" w14:paraId="0DC78412" w14:textId="77777777">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08AFC1A2" w14:textId="77777777" w:rsidR="00171824" w:rsidRDefault="006D258C">
            <w:pPr>
              <w:keepNext/>
              <w:widowControl/>
              <w:suppressAutoHyphens/>
              <w:jc w:val="center"/>
              <w:rPr>
                <w:sz w:val="22"/>
                <w:szCs w:val="22"/>
                <w:lang w:val="el-GR"/>
              </w:rPr>
            </w:pPr>
            <w:r>
              <w:rPr>
                <w:sz w:val="22"/>
                <w:szCs w:val="22"/>
                <w:lang w:val="el-GR"/>
              </w:rPr>
              <w:t>≥ 40 kg</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9A40BF0" w14:textId="77777777" w:rsidR="00171824" w:rsidRDefault="006D258C">
            <w:pPr>
              <w:keepNext/>
              <w:widowControl/>
              <w:numPr>
                <w:ilvl w:val="0"/>
                <w:numId w:val="7"/>
              </w:numPr>
              <w:tabs>
                <w:tab w:val="left" w:pos="720"/>
              </w:tabs>
              <w:suppressAutoHyphens/>
              <w:autoSpaceDE/>
              <w:autoSpaceDN/>
              <w:adjustRightInd/>
              <w:ind w:left="306" w:hanging="181"/>
              <w:rPr>
                <w:sz w:val="22"/>
                <w:szCs w:val="22"/>
                <w:lang w:val="el-GR"/>
              </w:rPr>
            </w:pPr>
            <w:r>
              <w:rPr>
                <w:sz w:val="22"/>
                <w:szCs w:val="22"/>
                <w:lang w:val="el-GR"/>
              </w:rPr>
              <w:t>80 mg την εβδομάδα 0 and 40 mg την εβδομάδα 2</w:t>
            </w:r>
          </w:p>
          <w:p w14:paraId="056AD6D9" w14:textId="77777777" w:rsidR="00171824" w:rsidRDefault="00171824">
            <w:pPr>
              <w:keepNext/>
              <w:widowControl/>
              <w:tabs>
                <w:tab w:val="left" w:pos="720"/>
              </w:tabs>
              <w:rPr>
                <w:sz w:val="22"/>
                <w:szCs w:val="22"/>
                <w:lang w:val="el-GR"/>
              </w:rPr>
            </w:pPr>
          </w:p>
          <w:p w14:paraId="6EC10272" w14:textId="77777777" w:rsidR="00171824" w:rsidRDefault="006D258C">
            <w:pPr>
              <w:keepNext/>
              <w:widowControl/>
              <w:tabs>
                <w:tab w:val="left" w:pos="720"/>
              </w:tabs>
              <w:suppressAutoHyphens/>
              <w:autoSpaceDE/>
              <w:autoSpaceDN/>
              <w:adjustRightInd/>
              <w:ind w:left="147"/>
              <w:rPr>
                <w:iCs/>
                <w:sz w:val="22"/>
                <w:szCs w:val="22"/>
                <w:lang w:val="el-GR"/>
              </w:rPr>
            </w:pPr>
            <w:r>
              <w:rPr>
                <w:sz w:val="22"/>
                <w:szCs w:val="22"/>
                <w:lang w:val="el-GR"/>
              </w:rPr>
              <w:t>Στην περίπτωση που υπάρχει ανάγκη για ταχύτερη ανταπόκριση στη θεραπεία, γνωρίζοντας ότι ο κίνδυνος εκδήλωσης ανεπιθύμητων ενεργειών μπορεί να είναι μεγαλύτερος με τη χρήση της μεγαλύτερης αρχικής δόσης, μπορεί να χρησιμοποιηθεί η παρακάτω δόση</w:t>
            </w:r>
            <w:r>
              <w:rPr>
                <w:iCs/>
                <w:sz w:val="22"/>
                <w:szCs w:val="22"/>
                <w:lang w:val="el-GR"/>
              </w:rPr>
              <w:t>:</w:t>
            </w:r>
          </w:p>
          <w:p w14:paraId="7D87B16B" w14:textId="77777777" w:rsidR="00171824" w:rsidRDefault="006D258C">
            <w:pPr>
              <w:keepNext/>
              <w:widowControl/>
              <w:numPr>
                <w:ilvl w:val="0"/>
                <w:numId w:val="8"/>
              </w:numPr>
              <w:tabs>
                <w:tab w:val="left" w:pos="720"/>
              </w:tabs>
              <w:suppressAutoHyphens/>
              <w:autoSpaceDE/>
              <w:autoSpaceDN/>
              <w:adjustRightInd/>
              <w:ind w:left="306" w:hanging="181"/>
              <w:rPr>
                <w:sz w:val="22"/>
                <w:szCs w:val="22"/>
                <w:lang w:val="el-GR"/>
              </w:rPr>
            </w:pPr>
            <w:r>
              <w:rPr>
                <w:sz w:val="22"/>
                <w:szCs w:val="22"/>
                <w:lang w:val="el-GR"/>
              </w:rPr>
              <w:t>160 mg την εβδομάδα 0 και 80 mg την εβδομάδα 2</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9AE4630" w14:textId="77777777" w:rsidR="00171824" w:rsidRDefault="006D258C">
            <w:pPr>
              <w:keepNext/>
              <w:widowControl/>
              <w:tabs>
                <w:tab w:val="left" w:pos="720"/>
              </w:tabs>
              <w:jc w:val="center"/>
              <w:rPr>
                <w:sz w:val="22"/>
                <w:szCs w:val="22"/>
                <w:lang w:val="el-GR"/>
              </w:rPr>
            </w:pPr>
            <w:r>
              <w:rPr>
                <w:sz w:val="22"/>
                <w:szCs w:val="22"/>
                <w:lang w:val="el-GR"/>
              </w:rPr>
              <w:t xml:space="preserve">40 mg </w:t>
            </w:r>
            <w:r>
              <w:rPr>
                <w:rFonts w:eastAsia="Calibri"/>
                <w:sz w:val="22"/>
                <w:szCs w:val="22"/>
                <w:lang w:val="el-GR" w:eastAsia="ja-JP"/>
              </w:rPr>
              <w:t>κάθε δεύτερη εβδομάδα</w:t>
            </w:r>
          </w:p>
        </w:tc>
      </w:tr>
    </w:tbl>
    <w:p w14:paraId="3A2257D8" w14:textId="77777777" w:rsidR="00171824" w:rsidRDefault="00171824">
      <w:pPr>
        <w:pStyle w:val="BodyText"/>
        <w:widowControl/>
        <w:kinsoku w:val="0"/>
        <w:overflowPunct w:val="0"/>
        <w:ind w:left="0"/>
        <w:rPr>
          <w:lang w:val="el-GR"/>
        </w:rPr>
      </w:pPr>
    </w:p>
    <w:p w14:paraId="5290C0E0" w14:textId="77777777" w:rsidR="00171824" w:rsidRDefault="006D258C">
      <w:pPr>
        <w:pStyle w:val="BodyText"/>
        <w:widowControl/>
        <w:kinsoku w:val="0"/>
        <w:overflowPunct w:val="0"/>
        <w:ind w:left="0"/>
        <w:rPr>
          <w:lang w:val="el-GR"/>
        </w:rPr>
      </w:pPr>
      <w:r>
        <w:rPr>
          <w:lang w:val="el-GR"/>
        </w:rPr>
        <w:t>Ασθενείς που εμφανίζουν μειωμένη κλινική ανταπόκριση είναι πιθανό να ωφεληθούν από την αύξηση της δόσης:</w:t>
      </w:r>
    </w:p>
    <w:p w14:paraId="16442F30" w14:textId="77777777" w:rsidR="00171824" w:rsidRDefault="006D258C">
      <w:pPr>
        <w:pStyle w:val="BodyText"/>
        <w:widowControl/>
        <w:numPr>
          <w:ilvl w:val="0"/>
          <w:numId w:val="9"/>
        </w:numPr>
        <w:kinsoku w:val="0"/>
        <w:overflowPunct w:val="0"/>
        <w:ind w:left="567" w:hanging="567"/>
        <w:rPr>
          <w:lang w:val="el-GR"/>
        </w:rPr>
      </w:pPr>
      <w:r>
        <w:rPr>
          <w:szCs w:val="24"/>
          <w:lang w:val="el-GR"/>
        </w:rPr>
        <w:t>&lt; 40 kg: 20 mg</w:t>
      </w:r>
      <w:r>
        <w:rPr>
          <w:lang w:val="el-GR"/>
        </w:rPr>
        <w:t xml:space="preserve"> κάθε εβδομάδα</w:t>
      </w:r>
    </w:p>
    <w:p w14:paraId="50D307CC" w14:textId="77777777" w:rsidR="00171824" w:rsidRDefault="006D258C">
      <w:pPr>
        <w:pStyle w:val="BodyText"/>
        <w:widowControl/>
        <w:numPr>
          <w:ilvl w:val="0"/>
          <w:numId w:val="9"/>
        </w:numPr>
        <w:kinsoku w:val="0"/>
        <w:overflowPunct w:val="0"/>
        <w:ind w:left="567" w:hanging="567"/>
        <w:rPr>
          <w:lang w:val="el-GR"/>
        </w:rPr>
      </w:pPr>
      <w:r>
        <w:rPr>
          <w:szCs w:val="24"/>
          <w:lang w:val="el-GR"/>
        </w:rPr>
        <w:t>≥ 40 kg: 40 mg</w:t>
      </w:r>
      <w:r>
        <w:rPr>
          <w:lang w:val="el-GR"/>
        </w:rPr>
        <w:t xml:space="preserve"> κάθε εβδομάδα ή 80 mg κάθε δεύτερη εβδομάδα.</w:t>
      </w:r>
    </w:p>
    <w:p w14:paraId="4ADF0243" w14:textId="77777777" w:rsidR="00171824" w:rsidRDefault="00171824">
      <w:pPr>
        <w:widowControl/>
        <w:kinsoku w:val="0"/>
        <w:overflowPunct w:val="0"/>
        <w:rPr>
          <w:sz w:val="22"/>
          <w:szCs w:val="22"/>
          <w:lang w:val="el-GR"/>
        </w:rPr>
      </w:pPr>
    </w:p>
    <w:p w14:paraId="6866A66B" w14:textId="77777777" w:rsidR="00171824" w:rsidRDefault="006D258C">
      <w:pPr>
        <w:pStyle w:val="BodyText"/>
        <w:widowControl/>
        <w:kinsoku w:val="0"/>
        <w:overflowPunct w:val="0"/>
        <w:ind w:left="0"/>
        <w:rPr>
          <w:lang w:val="el-GR"/>
        </w:rPr>
      </w:pPr>
      <w:r>
        <w:rPr>
          <w:lang w:val="el-GR"/>
        </w:rPr>
        <w:lastRenderedPageBreak/>
        <w:t>Η συνέχιση της θεραπείας σε έναν ασθενή που δεν έχει ανταποκριθεί μέχρι την εβδομάδα 12 πρέπει να επαναξιολογείται προσεκτικά.</w:t>
      </w:r>
    </w:p>
    <w:p w14:paraId="450B4E28" w14:textId="77777777" w:rsidR="00171824" w:rsidRDefault="00171824">
      <w:pPr>
        <w:widowControl/>
        <w:kinsoku w:val="0"/>
        <w:overflowPunct w:val="0"/>
        <w:rPr>
          <w:sz w:val="22"/>
          <w:szCs w:val="22"/>
          <w:lang w:val="el-GR"/>
        </w:rPr>
      </w:pPr>
    </w:p>
    <w:p w14:paraId="5DC234F6" w14:textId="77777777" w:rsidR="00171824" w:rsidRDefault="006D258C">
      <w:pPr>
        <w:pStyle w:val="BodyText"/>
        <w:widowControl/>
        <w:kinsoku w:val="0"/>
        <w:overflowPunct w:val="0"/>
        <w:ind w:left="0"/>
        <w:rPr>
          <w:lang w:val="el-GR"/>
        </w:rPr>
      </w:pPr>
      <w:r>
        <w:rPr>
          <w:lang w:val="el-GR"/>
        </w:rPr>
        <w:t>Δεν υπάρχει σχετική χρήση του adalimumab σε παιδιά ηλικίας κάτω των 6 ετών για αυτή την ένδειξη.</w:t>
      </w:r>
    </w:p>
    <w:p w14:paraId="7E76B8CD" w14:textId="77777777" w:rsidR="00171824" w:rsidRDefault="00171824">
      <w:pPr>
        <w:pStyle w:val="BodyText"/>
        <w:widowControl/>
        <w:kinsoku w:val="0"/>
        <w:overflowPunct w:val="0"/>
        <w:ind w:left="0"/>
        <w:rPr>
          <w:u w:val="single"/>
          <w:lang w:val="el-GR" w:eastAsia="en-GB"/>
        </w:rPr>
      </w:pPr>
    </w:p>
    <w:p w14:paraId="2B9C7ED8" w14:textId="77777777" w:rsidR="00171824" w:rsidRDefault="006D258C">
      <w:pPr>
        <w:pStyle w:val="BodyText"/>
        <w:keepNext/>
        <w:widowControl/>
        <w:kinsoku w:val="0"/>
        <w:overflowPunct w:val="0"/>
        <w:ind w:left="0"/>
        <w:rPr>
          <w:lang w:val="el-GR" w:eastAsia="en-GB"/>
        </w:rPr>
      </w:pPr>
      <w:r>
        <w:rPr>
          <w:lang w:val="el-GR" w:eastAsia="en-GB"/>
        </w:rPr>
        <w:t>To AMGEVITA μπορεί να διατίθεται σε διαφορετικές περιεκτικότητες ή/και τύπους ανάλογα με τις μεμονωμένες ανάγκες θεραπείας.</w:t>
      </w:r>
    </w:p>
    <w:p w14:paraId="2DBAED60" w14:textId="77777777" w:rsidR="00171824" w:rsidRDefault="00171824">
      <w:pPr>
        <w:pStyle w:val="BodyText"/>
        <w:keepNext/>
        <w:widowControl/>
        <w:kinsoku w:val="0"/>
        <w:overflowPunct w:val="0"/>
        <w:ind w:left="0"/>
        <w:rPr>
          <w:lang w:val="el-GR"/>
        </w:rPr>
      </w:pPr>
    </w:p>
    <w:p w14:paraId="77314B98" w14:textId="77777777" w:rsidR="00171824" w:rsidRDefault="006D258C">
      <w:pPr>
        <w:keepNext/>
        <w:widowControl/>
        <w:rPr>
          <w:i/>
          <w:iCs/>
          <w:color w:val="000000"/>
          <w:sz w:val="22"/>
          <w:szCs w:val="22"/>
          <w:lang w:val="el-GR" w:eastAsia="ja-JP"/>
        </w:rPr>
      </w:pPr>
      <w:r>
        <w:rPr>
          <w:i/>
          <w:iCs/>
          <w:color w:val="000000"/>
          <w:sz w:val="22"/>
          <w:szCs w:val="22"/>
          <w:lang w:val="el-GR" w:eastAsia="ja-JP"/>
        </w:rPr>
        <w:t xml:space="preserve">Παιδιατρική ελκώδης κολίτιδα </w:t>
      </w:r>
    </w:p>
    <w:p w14:paraId="392E109D" w14:textId="77777777" w:rsidR="00171824" w:rsidRDefault="00171824">
      <w:pPr>
        <w:keepNext/>
        <w:widowControl/>
        <w:rPr>
          <w:color w:val="000000"/>
          <w:sz w:val="22"/>
          <w:szCs w:val="22"/>
          <w:lang w:val="el-GR" w:eastAsia="ja-JP"/>
        </w:rPr>
      </w:pPr>
    </w:p>
    <w:p w14:paraId="37401D65" w14:textId="77777777" w:rsidR="00171824" w:rsidRDefault="006D258C">
      <w:pPr>
        <w:pStyle w:val="BodyText"/>
        <w:widowControl/>
        <w:kinsoku w:val="0"/>
        <w:overflowPunct w:val="0"/>
        <w:ind w:left="0"/>
        <w:rPr>
          <w:color w:val="000000"/>
          <w:lang w:val="el-GR" w:eastAsia="ja-JP"/>
        </w:rPr>
      </w:pPr>
      <w:r>
        <w:rPr>
          <w:color w:val="000000"/>
          <w:lang w:val="el-GR" w:eastAsia="ja-JP"/>
        </w:rPr>
        <w:t xml:space="preserve">Η συνιστώμενη δόση του </w:t>
      </w:r>
      <w:r>
        <w:rPr>
          <w:lang w:val="el-GR"/>
        </w:rPr>
        <w:t>AMGEVITA</w:t>
      </w:r>
      <w:r>
        <w:rPr>
          <w:color w:val="000000"/>
          <w:lang w:val="el-GR" w:eastAsia="ja-JP"/>
        </w:rPr>
        <w:t xml:space="preserve"> για ασθενείς από 6 έως 17 ετών με ελκώδη κολίτιδα επιλέγεται βάσει του βάρους σώματος του ασθενούς (Πίνακας 5). Το </w:t>
      </w:r>
      <w:r>
        <w:rPr>
          <w:lang w:val="el-GR"/>
        </w:rPr>
        <w:t>AMGEVITA</w:t>
      </w:r>
      <w:r>
        <w:rPr>
          <w:color w:val="000000"/>
          <w:lang w:val="el-GR" w:eastAsia="ja-JP"/>
        </w:rPr>
        <w:t xml:space="preserve"> χορηγείται μέσω υποδόριας ένεσης.</w:t>
      </w:r>
    </w:p>
    <w:p w14:paraId="31B474AC" w14:textId="77777777" w:rsidR="00171824" w:rsidRDefault="00171824">
      <w:pPr>
        <w:pStyle w:val="BodyText"/>
        <w:widowControl/>
        <w:kinsoku w:val="0"/>
        <w:overflowPunct w:val="0"/>
        <w:ind w:left="0"/>
        <w:rPr>
          <w:lang w:val="el-GR"/>
        </w:rPr>
      </w:pPr>
    </w:p>
    <w:p w14:paraId="72ECC12C" w14:textId="77777777" w:rsidR="00171824" w:rsidRDefault="006D258C">
      <w:pPr>
        <w:pStyle w:val="BodyText"/>
        <w:keepNext/>
        <w:widowControl/>
        <w:kinsoku w:val="0"/>
        <w:overflowPunct w:val="0"/>
        <w:ind w:left="0"/>
        <w:rPr>
          <w:b/>
          <w:bCs/>
          <w:lang w:val="el-GR"/>
        </w:rPr>
      </w:pPr>
      <w:r>
        <w:rPr>
          <w:b/>
          <w:bCs/>
          <w:lang w:val="el-GR"/>
        </w:rPr>
        <w:t>Πίνακας 5. Δόση AMGEVITA για παιδιατρικούς ασθενείς με ελκώδη κολίτιδα</w:t>
      </w:r>
    </w:p>
    <w:p w14:paraId="7FBBBB41" w14:textId="77777777" w:rsidR="00171824" w:rsidRDefault="00171824">
      <w:pPr>
        <w:pStyle w:val="BodyText"/>
        <w:keepNext/>
        <w:widowControl/>
        <w:kinsoku w:val="0"/>
        <w:overflowPunct w:val="0"/>
        <w:ind w:left="0"/>
        <w:rPr>
          <w:b/>
          <w:bCs/>
          <w:lang w:val="el-GR"/>
        </w:rPr>
      </w:pPr>
    </w:p>
    <w:tbl>
      <w:tblPr>
        <w:tblW w:w="4945" w:type="pct"/>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162"/>
        <w:gridCol w:w="5810"/>
        <w:gridCol w:w="1983"/>
      </w:tblGrid>
      <w:tr w:rsidR="00171824" w:rsidRPr="00422380" w14:paraId="33A419AA" w14:textId="77777777">
        <w:trPr>
          <w:cantSplit/>
          <w:trHeight w:val="121"/>
        </w:trPr>
        <w:tc>
          <w:tcPr>
            <w:tcW w:w="649" w:type="pct"/>
            <w:tcBorders>
              <w:top w:val="single" w:sz="6" w:space="0" w:color="000000"/>
              <w:left w:val="single" w:sz="6" w:space="0" w:color="000000"/>
              <w:bottom w:val="single" w:sz="6" w:space="0" w:color="000000"/>
              <w:right w:val="single" w:sz="6" w:space="0" w:color="000000"/>
            </w:tcBorders>
          </w:tcPr>
          <w:p w14:paraId="600B99A2" w14:textId="77777777" w:rsidR="00171824" w:rsidRDefault="006D258C">
            <w:pPr>
              <w:keepNext/>
              <w:rPr>
                <w:b/>
                <w:sz w:val="22"/>
                <w:lang w:val="el-GR"/>
              </w:rPr>
            </w:pPr>
            <w:r>
              <w:rPr>
                <w:b/>
                <w:sz w:val="22"/>
                <w:lang w:val="el-GR"/>
              </w:rPr>
              <w:t>Βάρος  ασθενούς</w:t>
            </w:r>
          </w:p>
        </w:tc>
        <w:tc>
          <w:tcPr>
            <w:tcW w:w="3244" w:type="pct"/>
            <w:tcBorders>
              <w:top w:val="single" w:sz="6" w:space="0" w:color="000000"/>
              <w:left w:val="single" w:sz="6" w:space="0" w:color="000000"/>
              <w:bottom w:val="single" w:sz="6" w:space="0" w:color="000000"/>
              <w:right w:val="single" w:sz="6" w:space="0" w:color="000000"/>
            </w:tcBorders>
          </w:tcPr>
          <w:p w14:paraId="3811C0C8" w14:textId="77777777" w:rsidR="00171824" w:rsidRDefault="006D258C">
            <w:pPr>
              <w:keepNext/>
              <w:rPr>
                <w:b/>
                <w:sz w:val="22"/>
                <w:lang w:val="el-GR"/>
              </w:rPr>
            </w:pPr>
            <w:r>
              <w:rPr>
                <w:b/>
                <w:sz w:val="22"/>
                <w:lang w:val="el-GR"/>
              </w:rPr>
              <w:t>Δόση επαγωγής</w:t>
            </w:r>
          </w:p>
        </w:tc>
        <w:tc>
          <w:tcPr>
            <w:tcW w:w="1107" w:type="pct"/>
            <w:tcBorders>
              <w:top w:val="single" w:sz="6" w:space="0" w:color="000000"/>
              <w:left w:val="single" w:sz="6" w:space="0" w:color="000000"/>
              <w:bottom w:val="single" w:sz="6" w:space="0" w:color="000000"/>
              <w:right w:val="single" w:sz="6" w:space="0" w:color="000000"/>
            </w:tcBorders>
          </w:tcPr>
          <w:p w14:paraId="1C1D85D6" w14:textId="77777777" w:rsidR="00171824" w:rsidRDefault="006D258C">
            <w:pPr>
              <w:keepNext/>
              <w:rPr>
                <w:b/>
                <w:sz w:val="22"/>
                <w:lang w:val="el-GR"/>
              </w:rPr>
            </w:pPr>
            <w:r>
              <w:rPr>
                <w:b/>
                <w:sz w:val="22"/>
                <w:lang w:val="el-GR"/>
              </w:rPr>
              <w:t>Δόση συντήρησης</w:t>
            </w:r>
            <w:r>
              <w:rPr>
                <w:b/>
                <w:sz w:val="22"/>
                <w:lang w:val="el-GR"/>
              </w:rPr>
              <w:br/>
              <w:t>ξεκινώντας την εβδομάδα 4*</w:t>
            </w:r>
          </w:p>
        </w:tc>
      </w:tr>
      <w:tr w:rsidR="00171824" w14:paraId="0105C38D" w14:textId="77777777">
        <w:trPr>
          <w:cantSplit/>
          <w:trHeight w:val="369"/>
        </w:trPr>
        <w:tc>
          <w:tcPr>
            <w:tcW w:w="649" w:type="pct"/>
            <w:tcBorders>
              <w:top w:val="single" w:sz="6" w:space="0" w:color="000000"/>
              <w:left w:val="single" w:sz="6" w:space="0" w:color="000000"/>
              <w:bottom w:val="single" w:sz="6" w:space="0" w:color="000000"/>
              <w:right w:val="single" w:sz="6" w:space="0" w:color="000000"/>
            </w:tcBorders>
          </w:tcPr>
          <w:p w14:paraId="39796E11" w14:textId="77777777" w:rsidR="00171824" w:rsidRDefault="006D258C">
            <w:pPr>
              <w:keepNext/>
              <w:jc w:val="center"/>
              <w:rPr>
                <w:sz w:val="22"/>
                <w:lang w:val="el-GR"/>
              </w:rPr>
            </w:pPr>
            <w:r>
              <w:rPr>
                <w:sz w:val="22"/>
                <w:lang w:val="el-GR"/>
              </w:rPr>
              <w:t>&lt; 40 kg</w:t>
            </w:r>
          </w:p>
        </w:tc>
        <w:tc>
          <w:tcPr>
            <w:tcW w:w="3244" w:type="pct"/>
            <w:tcBorders>
              <w:top w:val="single" w:sz="6" w:space="0" w:color="000000"/>
              <w:left w:val="single" w:sz="6" w:space="0" w:color="000000"/>
              <w:bottom w:val="single" w:sz="6" w:space="0" w:color="000000"/>
              <w:right w:val="single" w:sz="6" w:space="0" w:color="000000"/>
            </w:tcBorders>
          </w:tcPr>
          <w:p w14:paraId="02805DD1" w14:textId="77777777" w:rsidR="00171824" w:rsidRDefault="006D258C">
            <w:pPr>
              <w:keepNext/>
              <w:widowControl/>
              <w:numPr>
                <w:ilvl w:val="0"/>
                <w:numId w:val="10"/>
              </w:numPr>
              <w:autoSpaceDE/>
              <w:autoSpaceDN/>
              <w:adjustRightInd/>
              <w:ind w:left="284" w:hanging="284"/>
              <w:rPr>
                <w:sz w:val="22"/>
                <w:lang w:val="el-GR"/>
              </w:rPr>
            </w:pPr>
            <w:r>
              <w:rPr>
                <w:sz w:val="22"/>
                <w:lang w:val="el-GR"/>
              </w:rPr>
              <w:t>80 mg την εβδομάδα 0 (χορηγούμενα ως μία ένεση των 80 mg σε μία ημέρα) και</w:t>
            </w:r>
          </w:p>
          <w:p w14:paraId="119BD406" w14:textId="77777777" w:rsidR="00171824" w:rsidRDefault="006D258C">
            <w:pPr>
              <w:keepNext/>
              <w:widowControl/>
              <w:numPr>
                <w:ilvl w:val="0"/>
                <w:numId w:val="10"/>
              </w:numPr>
              <w:autoSpaceDE/>
              <w:autoSpaceDN/>
              <w:adjustRightInd/>
              <w:ind w:left="284" w:hanging="284"/>
              <w:rPr>
                <w:sz w:val="22"/>
                <w:lang w:val="el-GR"/>
              </w:rPr>
            </w:pPr>
            <w:r>
              <w:rPr>
                <w:sz w:val="22"/>
                <w:lang w:val="el-GR"/>
              </w:rPr>
              <w:t>40 mg την εβδομάδα 2 (χορηγούμενα ως μία ένεση των 40 mg)</w:t>
            </w:r>
          </w:p>
        </w:tc>
        <w:tc>
          <w:tcPr>
            <w:tcW w:w="1107" w:type="pct"/>
            <w:tcBorders>
              <w:top w:val="single" w:sz="6" w:space="0" w:color="000000"/>
              <w:left w:val="single" w:sz="6" w:space="0" w:color="000000"/>
              <w:bottom w:val="single" w:sz="6" w:space="0" w:color="000000"/>
              <w:right w:val="single" w:sz="6" w:space="0" w:color="000000"/>
            </w:tcBorders>
          </w:tcPr>
          <w:p w14:paraId="2221AD65" w14:textId="77777777" w:rsidR="00171824" w:rsidRDefault="006D258C">
            <w:pPr>
              <w:keepNext/>
              <w:widowControl/>
              <w:autoSpaceDE/>
              <w:autoSpaceDN/>
              <w:adjustRightInd/>
              <w:jc w:val="center"/>
              <w:rPr>
                <w:sz w:val="22"/>
                <w:lang w:val="el-GR"/>
              </w:rPr>
            </w:pPr>
            <w:r>
              <w:rPr>
                <w:sz w:val="22"/>
                <w:lang w:val="el-GR"/>
              </w:rPr>
              <w:t>40 mg κάθε δεύτερη εβδομάδα</w:t>
            </w:r>
          </w:p>
        </w:tc>
      </w:tr>
      <w:tr w:rsidR="00171824" w14:paraId="4B3913A3" w14:textId="77777777">
        <w:trPr>
          <w:cantSplit/>
          <w:trHeight w:val="559"/>
        </w:trPr>
        <w:tc>
          <w:tcPr>
            <w:tcW w:w="649" w:type="pct"/>
            <w:tcBorders>
              <w:top w:val="single" w:sz="6" w:space="0" w:color="000000"/>
              <w:left w:val="single" w:sz="6" w:space="0" w:color="000000"/>
              <w:bottom w:val="single" w:sz="4" w:space="0" w:color="auto"/>
              <w:right w:val="single" w:sz="6" w:space="0" w:color="000000"/>
            </w:tcBorders>
          </w:tcPr>
          <w:p w14:paraId="552BB31E" w14:textId="77777777" w:rsidR="00171824" w:rsidRDefault="006D258C">
            <w:pPr>
              <w:keepNext/>
              <w:jc w:val="center"/>
              <w:rPr>
                <w:sz w:val="22"/>
                <w:lang w:val="el-GR"/>
              </w:rPr>
            </w:pPr>
            <w:r>
              <w:rPr>
                <w:sz w:val="22"/>
                <w:lang w:val="el-GR"/>
              </w:rPr>
              <w:t>≥ 40 kg</w:t>
            </w:r>
          </w:p>
        </w:tc>
        <w:tc>
          <w:tcPr>
            <w:tcW w:w="3244" w:type="pct"/>
            <w:tcBorders>
              <w:top w:val="single" w:sz="6" w:space="0" w:color="000000"/>
              <w:left w:val="single" w:sz="6" w:space="0" w:color="000000"/>
              <w:bottom w:val="single" w:sz="4" w:space="0" w:color="auto"/>
              <w:right w:val="single" w:sz="6" w:space="0" w:color="000000"/>
            </w:tcBorders>
          </w:tcPr>
          <w:p w14:paraId="088356E7" w14:textId="77777777" w:rsidR="00171824" w:rsidRDefault="006D258C">
            <w:pPr>
              <w:keepNext/>
              <w:widowControl/>
              <w:numPr>
                <w:ilvl w:val="0"/>
                <w:numId w:val="11"/>
              </w:numPr>
              <w:autoSpaceDE/>
              <w:autoSpaceDN/>
              <w:adjustRightInd/>
              <w:ind w:left="284" w:hanging="284"/>
              <w:rPr>
                <w:sz w:val="22"/>
                <w:lang w:val="el-GR"/>
              </w:rPr>
            </w:pPr>
            <w:r>
              <w:rPr>
                <w:sz w:val="22"/>
                <w:lang w:val="el-GR"/>
              </w:rPr>
              <w:t>160 mg την εβδομάδα 0 (χορηγούμενα ως δύο ενέσεις των 80 mg σε μία ημέρα ή μία ένεση των 80 mg ανά ημέρα για δύο διαδοχικές ημέρες) και</w:t>
            </w:r>
          </w:p>
          <w:p w14:paraId="31A9820F" w14:textId="77777777" w:rsidR="00171824" w:rsidRDefault="006D258C">
            <w:pPr>
              <w:keepNext/>
              <w:widowControl/>
              <w:numPr>
                <w:ilvl w:val="0"/>
                <w:numId w:val="11"/>
              </w:numPr>
              <w:autoSpaceDE/>
              <w:autoSpaceDN/>
              <w:adjustRightInd/>
              <w:ind w:left="284" w:hanging="284"/>
              <w:rPr>
                <w:sz w:val="22"/>
                <w:lang w:val="el-GR"/>
              </w:rPr>
            </w:pPr>
            <w:r>
              <w:rPr>
                <w:sz w:val="22"/>
                <w:lang w:val="el-GR"/>
              </w:rPr>
              <w:t>80 mg την εβδομάδα 2 (χορηγούμενα ως μία ένεση των 80 mg σε μία ημέρα)</w:t>
            </w:r>
          </w:p>
        </w:tc>
        <w:tc>
          <w:tcPr>
            <w:tcW w:w="1107" w:type="pct"/>
            <w:tcBorders>
              <w:top w:val="single" w:sz="6" w:space="0" w:color="000000"/>
              <w:left w:val="single" w:sz="6" w:space="0" w:color="000000"/>
              <w:bottom w:val="single" w:sz="4" w:space="0" w:color="auto"/>
              <w:right w:val="single" w:sz="6" w:space="0" w:color="000000"/>
            </w:tcBorders>
          </w:tcPr>
          <w:p w14:paraId="4EEF3E62" w14:textId="77777777" w:rsidR="00171824" w:rsidRDefault="006D258C">
            <w:pPr>
              <w:keepNext/>
              <w:widowControl/>
              <w:autoSpaceDE/>
              <w:autoSpaceDN/>
              <w:adjustRightInd/>
              <w:jc w:val="center"/>
              <w:rPr>
                <w:sz w:val="22"/>
                <w:lang w:val="el-GR"/>
              </w:rPr>
            </w:pPr>
            <w:r>
              <w:rPr>
                <w:sz w:val="22"/>
                <w:lang w:val="el-GR"/>
              </w:rPr>
              <w:t>80 mg κάθε δεύτερη εβδομάδα</w:t>
            </w:r>
          </w:p>
        </w:tc>
      </w:tr>
    </w:tbl>
    <w:p w14:paraId="67B32C7A" w14:textId="77777777" w:rsidR="00171824" w:rsidRDefault="006D258C">
      <w:pPr>
        <w:widowControl/>
        <w:rPr>
          <w:color w:val="000000"/>
          <w:sz w:val="20"/>
          <w:szCs w:val="20"/>
          <w:lang w:val="el-GR" w:eastAsia="ja-JP"/>
        </w:rPr>
      </w:pPr>
      <w:r>
        <w:rPr>
          <w:color w:val="000000"/>
          <w:sz w:val="20"/>
          <w:szCs w:val="20"/>
          <w:lang w:val="el-GR" w:eastAsia="ja-JP"/>
        </w:rPr>
        <w:t xml:space="preserve">* Οι παιδιατρικοί ασθενείς που γίνονται 18 ετών ενώ λαμβάνουν το </w:t>
      </w:r>
      <w:r>
        <w:rPr>
          <w:sz w:val="20"/>
          <w:szCs w:val="20"/>
          <w:lang w:val="el-GR"/>
        </w:rPr>
        <w:t>AMGEVITA</w:t>
      </w:r>
      <w:r>
        <w:rPr>
          <w:color w:val="000000"/>
          <w:sz w:val="20"/>
          <w:szCs w:val="20"/>
          <w:lang w:val="el-GR" w:eastAsia="ja-JP"/>
        </w:rPr>
        <w:t xml:space="preserve"> θα πρέπει να συνεχίζουν τη συνιστώμενη δόση συντήρησης που τους έχει συνταγογραφηθεί. </w:t>
      </w:r>
    </w:p>
    <w:p w14:paraId="5FBE4379" w14:textId="77777777" w:rsidR="00171824" w:rsidRDefault="00171824">
      <w:pPr>
        <w:pStyle w:val="BodyText"/>
        <w:widowControl/>
        <w:kinsoku w:val="0"/>
        <w:overflowPunct w:val="0"/>
        <w:ind w:left="0"/>
        <w:rPr>
          <w:lang w:val="el-GR"/>
        </w:rPr>
      </w:pPr>
    </w:p>
    <w:p w14:paraId="212F5C2A" w14:textId="77777777" w:rsidR="00171824" w:rsidRDefault="006D258C">
      <w:pPr>
        <w:pStyle w:val="BodyText"/>
        <w:widowControl/>
        <w:kinsoku w:val="0"/>
        <w:overflowPunct w:val="0"/>
        <w:ind w:left="0"/>
        <w:rPr>
          <w:lang w:val="el-GR"/>
        </w:rPr>
      </w:pPr>
      <w:r>
        <w:rPr>
          <w:lang w:val="el-GR"/>
        </w:rPr>
        <w:t>Η συνέχιση της θεραπείας πέραν των 8 εβδομάδων θα πρέπει να αξιολογείται προσεκτικά σε ασθενείς που δεν επιδεικνύουν σημεία ανταπόκρισης κατά τη διάρκεια αυτής της χρονικής περιόδου.</w:t>
      </w:r>
    </w:p>
    <w:p w14:paraId="30EF7D9E" w14:textId="77777777" w:rsidR="00171824" w:rsidRDefault="00171824">
      <w:pPr>
        <w:pStyle w:val="BodyText"/>
        <w:widowControl/>
        <w:kinsoku w:val="0"/>
        <w:overflowPunct w:val="0"/>
        <w:ind w:left="0"/>
        <w:rPr>
          <w:lang w:val="el-GR"/>
        </w:rPr>
      </w:pPr>
    </w:p>
    <w:p w14:paraId="6EB2DF60" w14:textId="77777777" w:rsidR="00171824" w:rsidRDefault="006D258C">
      <w:pPr>
        <w:pStyle w:val="BodyText"/>
        <w:widowControl/>
        <w:kinsoku w:val="0"/>
        <w:overflowPunct w:val="0"/>
        <w:ind w:left="0"/>
        <w:rPr>
          <w:lang w:val="el-GR"/>
        </w:rPr>
      </w:pPr>
      <w:r>
        <w:rPr>
          <w:lang w:val="el-GR"/>
        </w:rPr>
        <w:t>Δεν υπάρχει σχετική χρήση του AMGEVITA σε παιδιά ηλικίας κάτω των 6 ετών για αυτήν την ένδειξη.</w:t>
      </w:r>
    </w:p>
    <w:p w14:paraId="5F3062EE" w14:textId="77777777" w:rsidR="00171824" w:rsidRDefault="00171824">
      <w:pPr>
        <w:widowControl/>
        <w:kinsoku w:val="0"/>
        <w:overflowPunct w:val="0"/>
        <w:rPr>
          <w:sz w:val="22"/>
          <w:szCs w:val="22"/>
          <w:lang w:val="el-GR"/>
        </w:rPr>
      </w:pPr>
    </w:p>
    <w:p w14:paraId="5E502471" w14:textId="77777777" w:rsidR="00171824" w:rsidRDefault="006D258C">
      <w:pPr>
        <w:widowControl/>
        <w:kinsoku w:val="0"/>
        <w:overflowPunct w:val="0"/>
        <w:rPr>
          <w:sz w:val="22"/>
          <w:szCs w:val="22"/>
          <w:lang w:val="el-GR" w:eastAsia="en-GB"/>
        </w:rPr>
      </w:pPr>
      <w:r>
        <w:rPr>
          <w:sz w:val="22"/>
          <w:szCs w:val="22"/>
          <w:lang w:val="el-GR" w:eastAsia="en-GB"/>
        </w:rPr>
        <w:t>To AMGEVITA μπορεί να διατίθεται σε διαφορετικές περιεκτικότητες ή/και τύπους ανάλογα με τις μεμονωμένες ανάγκες θεραπείας.</w:t>
      </w:r>
    </w:p>
    <w:p w14:paraId="4392F70A" w14:textId="77777777" w:rsidR="00171824" w:rsidRDefault="00171824">
      <w:pPr>
        <w:widowControl/>
        <w:kinsoku w:val="0"/>
        <w:overflowPunct w:val="0"/>
        <w:rPr>
          <w:sz w:val="22"/>
          <w:szCs w:val="22"/>
          <w:lang w:val="el-GR"/>
        </w:rPr>
      </w:pPr>
    </w:p>
    <w:p w14:paraId="781C1B5D" w14:textId="77777777" w:rsidR="00171824" w:rsidRDefault="006D258C">
      <w:pPr>
        <w:keepNext/>
        <w:widowControl/>
        <w:kinsoku w:val="0"/>
        <w:overflowPunct w:val="0"/>
        <w:rPr>
          <w:i/>
          <w:sz w:val="22"/>
          <w:szCs w:val="22"/>
          <w:lang w:val="el-GR"/>
        </w:rPr>
      </w:pPr>
      <w:r>
        <w:rPr>
          <w:i/>
          <w:sz w:val="22"/>
          <w:szCs w:val="22"/>
          <w:lang w:val="el-GR"/>
        </w:rPr>
        <w:t>Παιδιατρική</w:t>
      </w:r>
      <w:r>
        <w:rPr>
          <w:sz w:val="22"/>
          <w:szCs w:val="22"/>
          <w:lang w:val="el-GR"/>
        </w:rPr>
        <w:t xml:space="preserve"> </w:t>
      </w:r>
      <w:r>
        <w:rPr>
          <w:i/>
          <w:sz w:val="22"/>
          <w:szCs w:val="22"/>
          <w:lang w:val="el-GR"/>
        </w:rPr>
        <w:t>ραγοειδίτιδα</w:t>
      </w:r>
    </w:p>
    <w:p w14:paraId="6952ABBB" w14:textId="77777777" w:rsidR="00171824" w:rsidRDefault="00171824">
      <w:pPr>
        <w:keepNext/>
        <w:widowControl/>
        <w:kinsoku w:val="0"/>
        <w:overflowPunct w:val="0"/>
        <w:rPr>
          <w:sz w:val="22"/>
          <w:szCs w:val="22"/>
          <w:lang w:val="el-GR"/>
        </w:rPr>
      </w:pPr>
    </w:p>
    <w:p w14:paraId="239302F8" w14:textId="77777777" w:rsidR="00171824" w:rsidRDefault="006D258C">
      <w:pPr>
        <w:widowControl/>
        <w:kinsoku w:val="0"/>
        <w:overflowPunct w:val="0"/>
        <w:rPr>
          <w:sz w:val="22"/>
          <w:szCs w:val="22"/>
          <w:lang w:val="el-GR"/>
        </w:rPr>
      </w:pPr>
      <w:r>
        <w:rPr>
          <w:sz w:val="22"/>
          <w:szCs w:val="22"/>
          <w:lang w:val="el-GR"/>
        </w:rPr>
        <w:t>Η συνιστώμενη δόση του AMGEVITA για παιδιατρικούς ασθενείς με ραγοειδίτιδα, ηλικίας 2 ετών και άνω, επιλέγεται βάσει του βάρους σώματος του ασθενούς (Πίνακας 6). Το AMGEVITA χορηγείται μέσω υποδόριας ένεσης.</w:t>
      </w:r>
    </w:p>
    <w:p w14:paraId="59E5BC5C" w14:textId="77777777" w:rsidR="00171824" w:rsidRDefault="00171824">
      <w:pPr>
        <w:widowControl/>
        <w:kinsoku w:val="0"/>
        <w:overflowPunct w:val="0"/>
        <w:rPr>
          <w:sz w:val="22"/>
          <w:szCs w:val="22"/>
          <w:lang w:val="el-GR"/>
        </w:rPr>
      </w:pPr>
    </w:p>
    <w:p w14:paraId="5D77EE36" w14:textId="77777777" w:rsidR="00171824" w:rsidRDefault="006D258C">
      <w:pPr>
        <w:pStyle w:val="EMEANormal"/>
        <w:rPr>
          <w:lang w:val="el-GR"/>
        </w:rPr>
      </w:pPr>
      <w:r>
        <w:rPr>
          <w:lang w:val="el-GR"/>
        </w:rPr>
        <w:t>Στην παιδιατρική ραγοειδίτιδα, δεν υπάρχει προηγούμενη εμπειρία στη θεραπεία με AMGEVITA χωρίς θεραπεία σε συνδυασμό με μεθοτρεξάτη.</w:t>
      </w:r>
    </w:p>
    <w:p w14:paraId="5CFA70D2" w14:textId="77777777" w:rsidR="00171824" w:rsidRDefault="00171824">
      <w:pPr>
        <w:pStyle w:val="EMEANormal"/>
        <w:rPr>
          <w:lang w:val="el-GR"/>
        </w:rPr>
      </w:pPr>
    </w:p>
    <w:p w14:paraId="0EC71503" w14:textId="77777777" w:rsidR="00171824" w:rsidRDefault="006D258C">
      <w:pPr>
        <w:keepNext/>
        <w:suppressAutoHyphens/>
        <w:rPr>
          <w:b/>
          <w:sz w:val="22"/>
          <w:szCs w:val="22"/>
          <w:lang w:val="el-GR"/>
        </w:rPr>
      </w:pPr>
      <w:r>
        <w:rPr>
          <w:b/>
          <w:sz w:val="22"/>
          <w:szCs w:val="22"/>
          <w:lang w:val="el-GR"/>
        </w:rPr>
        <w:t>Πίνακας 6. Δόση AMGEVITA για παιδιατρικούς ασθενείς με ραγοειδίτιδα</w:t>
      </w:r>
    </w:p>
    <w:p w14:paraId="067DDD13" w14:textId="77777777" w:rsidR="00171824" w:rsidRDefault="00171824">
      <w:pPr>
        <w:pStyle w:val="BodyText"/>
        <w:widowControl/>
        <w:kinsoku w:val="0"/>
        <w:overflowPunct w:val="0"/>
        <w:ind w:left="0"/>
        <w:rPr>
          <w:lang w:val="el-GR"/>
        </w:rPr>
      </w:pPr>
    </w:p>
    <w:tbl>
      <w:tblPr>
        <w:tblW w:w="5166" w:type="pct"/>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4253"/>
        <w:gridCol w:w="5103"/>
      </w:tblGrid>
      <w:tr w:rsidR="00171824" w14:paraId="359C53A1" w14:textId="77777777">
        <w:trPr>
          <w:tblHeader/>
        </w:trPr>
        <w:tc>
          <w:tcPr>
            <w:tcW w:w="227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2596D23C" w14:textId="77777777" w:rsidR="00171824" w:rsidRDefault="006D258C">
            <w:pPr>
              <w:suppressAutoHyphens/>
              <w:rPr>
                <w:sz w:val="22"/>
                <w:szCs w:val="22"/>
                <w:lang w:val="el-GR"/>
              </w:rPr>
            </w:pPr>
            <w:r>
              <w:rPr>
                <w:b/>
                <w:sz w:val="22"/>
                <w:szCs w:val="22"/>
                <w:lang w:val="el-GR"/>
              </w:rPr>
              <w:t>Βάρος ασθενούς</w:t>
            </w:r>
          </w:p>
        </w:tc>
        <w:tc>
          <w:tcPr>
            <w:tcW w:w="272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260C0158" w14:textId="77777777" w:rsidR="00171824" w:rsidRDefault="006D258C">
            <w:pPr>
              <w:suppressAutoHyphens/>
              <w:rPr>
                <w:sz w:val="22"/>
                <w:szCs w:val="22"/>
                <w:lang w:val="el-GR"/>
              </w:rPr>
            </w:pPr>
            <w:r>
              <w:rPr>
                <w:b/>
                <w:sz w:val="22"/>
                <w:szCs w:val="22"/>
                <w:lang w:val="el-GR"/>
              </w:rPr>
              <w:t>Δοσολογικό σχήμα</w:t>
            </w:r>
          </w:p>
        </w:tc>
      </w:tr>
      <w:tr w:rsidR="00171824" w:rsidRPr="00422380" w14:paraId="36D9C1BC" w14:textId="77777777">
        <w:tc>
          <w:tcPr>
            <w:tcW w:w="227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494105FA" w14:textId="77777777" w:rsidR="00171824" w:rsidRDefault="006D258C">
            <w:pPr>
              <w:suppressAutoHyphens/>
              <w:rPr>
                <w:sz w:val="22"/>
                <w:szCs w:val="22"/>
                <w:lang w:val="el-GR"/>
              </w:rPr>
            </w:pPr>
            <w:r>
              <w:rPr>
                <w:sz w:val="22"/>
                <w:szCs w:val="22"/>
                <w:lang w:val="el-GR"/>
              </w:rPr>
              <w:t>&lt; 30 kg</w:t>
            </w:r>
          </w:p>
        </w:tc>
        <w:tc>
          <w:tcPr>
            <w:tcW w:w="272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E8F3464" w14:textId="77777777" w:rsidR="00171824" w:rsidRDefault="006D258C">
            <w:pPr>
              <w:widowControl/>
              <w:tabs>
                <w:tab w:val="left" w:pos="720"/>
              </w:tabs>
              <w:suppressAutoHyphens/>
              <w:autoSpaceDE/>
              <w:autoSpaceDN/>
              <w:adjustRightInd/>
              <w:rPr>
                <w:sz w:val="22"/>
                <w:szCs w:val="20"/>
                <w:lang w:val="el-GR"/>
              </w:rPr>
            </w:pPr>
            <w:r>
              <w:rPr>
                <w:sz w:val="22"/>
                <w:szCs w:val="20"/>
                <w:lang w:val="el-GR"/>
              </w:rPr>
              <w:t>20 mg κάθε δεύτερη εβδομάδα σε συνδυασμό με μεθοτρεξάτη</w:t>
            </w:r>
          </w:p>
        </w:tc>
      </w:tr>
      <w:tr w:rsidR="00171824" w:rsidRPr="00422380" w14:paraId="446C1AEB" w14:textId="77777777">
        <w:tc>
          <w:tcPr>
            <w:tcW w:w="227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AEA283B" w14:textId="77777777" w:rsidR="00171824" w:rsidRDefault="006D258C">
            <w:pPr>
              <w:suppressAutoHyphens/>
              <w:rPr>
                <w:sz w:val="22"/>
                <w:szCs w:val="22"/>
                <w:lang w:val="el-GR"/>
              </w:rPr>
            </w:pPr>
            <w:r>
              <w:rPr>
                <w:sz w:val="22"/>
                <w:szCs w:val="22"/>
                <w:lang w:val="el-GR"/>
              </w:rPr>
              <w:t>≥ 30 kg</w:t>
            </w:r>
          </w:p>
        </w:tc>
        <w:tc>
          <w:tcPr>
            <w:tcW w:w="2727"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64163E97" w14:textId="77777777" w:rsidR="00171824" w:rsidRDefault="006D258C">
            <w:pPr>
              <w:widowControl/>
              <w:tabs>
                <w:tab w:val="left" w:pos="720"/>
              </w:tabs>
              <w:suppressAutoHyphens/>
              <w:autoSpaceDE/>
              <w:autoSpaceDN/>
              <w:adjustRightInd/>
              <w:rPr>
                <w:sz w:val="22"/>
                <w:szCs w:val="22"/>
                <w:lang w:val="el-GR"/>
              </w:rPr>
            </w:pPr>
            <w:r>
              <w:rPr>
                <w:sz w:val="22"/>
                <w:szCs w:val="20"/>
                <w:lang w:val="el-GR"/>
              </w:rPr>
              <w:t>40 mg κάθε δεύτερη εβδομάδα σε συνδυασμό με μεθοτρεξάτη</w:t>
            </w:r>
          </w:p>
        </w:tc>
      </w:tr>
    </w:tbl>
    <w:p w14:paraId="02519113" w14:textId="77777777" w:rsidR="00171824" w:rsidRDefault="00171824">
      <w:pPr>
        <w:pStyle w:val="EMEANormal"/>
        <w:rPr>
          <w:lang w:val="el-GR"/>
        </w:rPr>
      </w:pPr>
    </w:p>
    <w:p w14:paraId="0E37485E" w14:textId="77777777" w:rsidR="00171824" w:rsidRDefault="006D258C">
      <w:pPr>
        <w:rPr>
          <w:sz w:val="22"/>
          <w:szCs w:val="20"/>
          <w:lang w:val="el-GR"/>
        </w:rPr>
      </w:pPr>
      <w:r>
        <w:rPr>
          <w:sz w:val="22"/>
          <w:szCs w:val="20"/>
          <w:lang w:val="el-GR"/>
        </w:rPr>
        <w:t>Κατά την έναρξη της θεραπείας με AMGEVITA, μπορεί να χορηγηθεί μια δόση εφόδου 40 mg σε ασθενείς &lt; 30 kg ή 80 mg σε ασθενείς ≥ 30 kg μία εβδομάδα πριν από την έναρξη της θεραπείας συντήρησης. Δεν υπάρχουν διαθέσιμα κλινικά δεδομένα σχετικά με τη χρήση της δόσης εφόδου του AMGEVITA σε παιδιά ηλικίας &lt; 6 ετών (βλέπε παράγραφο 5.2).</w:t>
      </w:r>
    </w:p>
    <w:p w14:paraId="79DFF60B" w14:textId="77777777" w:rsidR="00171824" w:rsidRDefault="00171824">
      <w:pPr>
        <w:rPr>
          <w:sz w:val="22"/>
          <w:szCs w:val="20"/>
          <w:lang w:val="el-GR"/>
        </w:rPr>
      </w:pPr>
    </w:p>
    <w:p w14:paraId="1FEF082C" w14:textId="77777777" w:rsidR="00171824" w:rsidRDefault="006D258C">
      <w:pPr>
        <w:rPr>
          <w:sz w:val="22"/>
          <w:szCs w:val="20"/>
          <w:lang w:val="el-GR"/>
        </w:rPr>
      </w:pPr>
      <w:r>
        <w:rPr>
          <w:sz w:val="22"/>
          <w:szCs w:val="20"/>
          <w:lang w:val="el-GR"/>
        </w:rPr>
        <w:t>Δεν υπάρχει σχετική χρήση του AMGEVITA σε παιδιά ηλικίας κάτω των 2 ετών για αυτή την ένδειξη.</w:t>
      </w:r>
    </w:p>
    <w:p w14:paraId="30194359" w14:textId="77777777" w:rsidR="00171824" w:rsidRDefault="00171824">
      <w:pPr>
        <w:rPr>
          <w:sz w:val="22"/>
          <w:szCs w:val="20"/>
          <w:lang w:val="el-GR"/>
        </w:rPr>
      </w:pPr>
    </w:p>
    <w:p w14:paraId="54396C1F" w14:textId="77777777" w:rsidR="00171824" w:rsidRDefault="006D258C">
      <w:pPr>
        <w:rPr>
          <w:sz w:val="22"/>
          <w:szCs w:val="20"/>
          <w:lang w:val="el-GR"/>
        </w:rPr>
      </w:pPr>
      <w:r>
        <w:rPr>
          <w:sz w:val="22"/>
          <w:szCs w:val="20"/>
          <w:lang w:val="el-GR"/>
        </w:rPr>
        <w:t>Συνιστάται ότι το όφελος και ο κίνδυνος της συνεχιζόμενης μακροχρόνιας θεραπείας θα πρέπει να εξετάζονται σε ετήσια βάση (βλέπε παράγραφο 5.1).</w:t>
      </w:r>
    </w:p>
    <w:p w14:paraId="39F5C358" w14:textId="77777777" w:rsidR="00171824" w:rsidRDefault="00171824">
      <w:pPr>
        <w:widowControl/>
        <w:kinsoku w:val="0"/>
        <w:overflowPunct w:val="0"/>
        <w:rPr>
          <w:sz w:val="22"/>
          <w:szCs w:val="22"/>
          <w:u w:val="single"/>
          <w:lang w:val="el-GR" w:eastAsia="en-GB"/>
        </w:rPr>
      </w:pPr>
    </w:p>
    <w:p w14:paraId="2453D7E5" w14:textId="77777777" w:rsidR="00171824" w:rsidRDefault="006D258C">
      <w:pPr>
        <w:widowControl/>
        <w:kinsoku w:val="0"/>
        <w:overflowPunct w:val="0"/>
        <w:rPr>
          <w:sz w:val="22"/>
          <w:szCs w:val="22"/>
          <w:lang w:val="el-GR" w:eastAsia="en-GB"/>
        </w:rPr>
      </w:pPr>
      <w:r>
        <w:rPr>
          <w:sz w:val="22"/>
          <w:szCs w:val="22"/>
          <w:lang w:val="el-GR" w:eastAsia="en-GB"/>
        </w:rPr>
        <w:t>To AMGEVITA μπορεί να διατίθεται σε διαφορετικές περιεκτικότητες ή/και τύπους ανάλογα με τις μεμονωμένες ανάγκες θεραπείας.</w:t>
      </w:r>
    </w:p>
    <w:p w14:paraId="3F8E2643" w14:textId="77777777" w:rsidR="00171824" w:rsidRDefault="00171824">
      <w:pPr>
        <w:widowControl/>
        <w:kinsoku w:val="0"/>
        <w:overflowPunct w:val="0"/>
        <w:rPr>
          <w:sz w:val="22"/>
          <w:szCs w:val="22"/>
          <w:lang w:val="el-GR"/>
        </w:rPr>
      </w:pPr>
    </w:p>
    <w:p w14:paraId="4B5EA969" w14:textId="77777777" w:rsidR="00171824" w:rsidRDefault="006D258C">
      <w:pPr>
        <w:pStyle w:val="BodyText"/>
        <w:widowControl/>
        <w:kinsoku w:val="0"/>
        <w:overflowPunct w:val="0"/>
        <w:ind w:left="0"/>
        <w:rPr>
          <w:lang w:val="el-GR"/>
        </w:rPr>
      </w:pPr>
      <w:r>
        <w:rPr>
          <w:u w:val="single"/>
          <w:lang w:val="el-GR"/>
        </w:rPr>
        <w:t>Τρόπος χορήγησης</w:t>
      </w:r>
    </w:p>
    <w:p w14:paraId="09960F84" w14:textId="77777777" w:rsidR="00171824" w:rsidRDefault="00171824">
      <w:pPr>
        <w:widowControl/>
        <w:kinsoku w:val="0"/>
        <w:overflowPunct w:val="0"/>
        <w:rPr>
          <w:sz w:val="22"/>
          <w:szCs w:val="22"/>
          <w:lang w:val="el-GR"/>
        </w:rPr>
      </w:pPr>
    </w:p>
    <w:p w14:paraId="5CDE03C8" w14:textId="77777777" w:rsidR="00171824" w:rsidRDefault="006D258C">
      <w:pPr>
        <w:pStyle w:val="BodyText"/>
        <w:widowControl/>
        <w:kinsoku w:val="0"/>
        <w:overflowPunct w:val="0"/>
        <w:ind w:left="0"/>
        <w:rPr>
          <w:lang w:val="el-GR"/>
        </w:rPr>
      </w:pPr>
      <w:r>
        <w:rPr>
          <w:lang w:val="el-GR"/>
        </w:rPr>
        <w:t>Το AMGEVITA χορηγείται με υποδόρια ένεση. Πλήρεις οδηγίες χρήσης παρέχονται στο φύλλο οδηγιών χρήσης.</w:t>
      </w:r>
    </w:p>
    <w:p w14:paraId="4C43FEC6" w14:textId="77777777" w:rsidR="00171824" w:rsidRDefault="00171824">
      <w:pPr>
        <w:pStyle w:val="BodyText"/>
        <w:ind w:left="0"/>
        <w:rPr>
          <w:lang w:val="el-GR"/>
        </w:rPr>
      </w:pPr>
    </w:p>
    <w:p w14:paraId="6791DA14" w14:textId="77777777" w:rsidR="00171824" w:rsidRDefault="006D258C">
      <w:pPr>
        <w:pStyle w:val="Heading1"/>
        <w:keepNext/>
        <w:widowControl/>
        <w:kinsoku w:val="0"/>
        <w:overflowPunct w:val="0"/>
        <w:ind w:left="567" w:hanging="567"/>
        <w:rPr>
          <w:b w:val="0"/>
          <w:bCs w:val="0"/>
          <w:lang w:val="el-GR"/>
        </w:rPr>
      </w:pPr>
      <w:r>
        <w:rPr>
          <w:lang w:val="el-GR"/>
        </w:rPr>
        <w:t>4.3</w:t>
      </w:r>
      <w:r>
        <w:rPr>
          <w:lang w:val="el-GR"/>
        </w:rPr>
        <w:tab/>
        <w:t>Αντενδείξεις</w:t>
      </w:r>
    </w:p>
    <w:p w14:paraId="61681D89" w14:textId="77777777" w:rsidR="00171824" w:rsidRDefault="00171824">
      <w:pPr>
        <w:keepNext/>
        <w:widowControl/>
        <w:kinsoku w:val="0"/>
        <w:overflowPunct w:val="0"/>
        <w:rPr>
          <w:sz w:val="22"/>
          <w:szCs w:val="22"/>
          <w:lang w:val="el-GR"/>
        </w:rPr>
      </w:pPr>
    </w:p>
    <w:p w14:paraId="7241FCAA" w14:textId="77777777" w:rsidR="00171824" w:rsidRDefault="006D258C">
      <w:pPr>
        <w:pStyle w:val="BodyText"/>
        <w:widowControl/>
        <w:kinsoku w:val="0"/>
        <w:overflowPunct w:val="0"/>
        <w:ind w:left="0"/>
        <w:rPr>
          <w:lang w:val="el-GR"/>
        </w:rPr>
      </w:pPr>
      <w:r>
        <w:rPr>
          <w:lang w:val="el-GR"/>
        </w:rPr>
        <w:t>Υπερευαισθησία στη δραστική ουσία ή σε κάποιο από τα έκδοχα που αναφέρονται στην παράγραφο 6.1.</w:t>
      </w:r>
    </w:p>
    <w:p w14:paraId="6886F52D" w14:textId="77777777" w:rsidR="00171824" w:rsidRDefault="00171824">
      <w:pPr>
        <w:widowControl/>
        <w:kinsoku w:val="0"/>
        <w:overflowPunct w:val="0"/>
        <w:rPr>
          <w:sz w:val="22"/>
          <w:szCs w:val="22"/>
          <w:lang w:val="el-GR"/>
        </w:rPr>
      </w:pPr>
    </w:p>
    <w:p w14:paraId="1C789D16" w14:textId="77777777" w:rsidR="00171824" w:rsidRDefault="006D258C">
      <w:pPr>
        <w:pStyle w:val="BodyText"/>
        <w:widowControl/>
        <w:kinsoku w:val="0"/>
        <w:overflowPunct w:val="0"/>
        <w:ind w:left="0"/>
        <w:rPr>
          <w:lang w:val="el-GR"/>
        </w:rPr>
      </w:pPr>
      <w:r>
        <w:rPr>
          <w:lang w:val="el-GR"/>
        </w:rPr>
        <w:t>Ενεργός φυματίωση ή άλλες σοβαρές λοιμώξεις, όπως σήψη και ευκαιριακές λοιμώξεις (βλέπε παράγραφο 4.4).</w:t>
      </w:r>
    </w:p>
    <w:p w14:paraId="5A2F1162" w14:textId="77777777" w:rsidR="00171824" w:rsidRDefault="00171824">
      <w:pPr>
        <w:widowControl/>
        <w:kinsoku w:val="0"/>
        <w:overflowPunct w:val="0"/>
        <w:rPr>
          <w:sz w:val="22"/>
          <w:szCs w:val="22"/>
          <w:lang w:val="el-GR"/>
        </w:rPr>
      </w:pPr>
    </w:p>
    <w:p w14:paraId="5ABAC5E0" w14:textId="77777777" w:rsidR="00171824" w:rsidRDefault="006D258C">
      <w:pPr>
        <w:pStyle w:val="BodyText"/>
        <w:widowControl/>
        <w:kinsoku w:val="0"/>
        <w:overflowPunct w:val="0"/>
        <w:ind w:left="0"/>
        <w:rPr>
          <w:lang w:val="el-GR"/>
        </w:rPr>
      </w:pPr>
      <w:r>
        <w:rPr>
          <w:lang w:val="el-GR"/>
        </w:rPr>
        <w:t>Μέτρια έως σοβαρή καρδιακή ανεπάρκεια (ΝΥΗΑ class III/IV) (βλέπε παράγραφο 4.4).</w:t>
      </w:r>
    </w:p>
    <w:p w14:paraId="4A460415" w14:textId="77777777" w:rsidR="00171824" w:rsidRDefault="00171824">
      <w:pPr>
        <w:widowControl/>
        <w:kinsoku w:val="0"/>
        <w:overflowPunct w:val="0"/>
        <w:rPr>
          <w:sz w:val="22"/>
          <w:szCs w:val="22"/>
          <w:lang w:val="el-GR"/>
        </w:rPr>
      </w:pPr>
    </w:p>
    <w:p w14:paraId="7B176E12" w14:textId="77777777" w:rsidR="00171824" w:rsidRDefault="006D258C">
      <w:pPr>
        <w:pStyle w:val="Heading1"/>
        <w:keepNext/>
        <w:widowControl/>
        <w:tabs>
          <w:tab w:val="left" w:pos="567"/>
        </w:tabs>
        <w:kinsoku w:val="0"/>
        <w:overflowPunct w:val="0"/>
        <w:ind w:left="567" w:hanging="567"/>
        <w:rPr>
          <w:b w:val="0"/>
          <w:bCs w:val="0"/>
          <w:lang w:val="el-GR"/>
        </w:rPr>
      </w:pPr>
      <w:r>
        <w:rPr>
          <w:lang w:val="el-GR"/>
        </w:rPr>
        <w:t>4.4</w:t>
      </w:r>
      <w:r>
        <w:rPr>
          <w:lang w:val="el-GR"/>
        </w:rPr>
        <w:tab/>
        <w:t>Ειδικές προειδοποιήσεις και προφυλάξεις κατά τη χρήση</w:t>
      </w:r>
    </w:p>
    <w:p w14:paraId="4CE69D94" w14:textId="77777777" w:rsidR="00171824" w:rsidRDefault="00171824">
      <w:pPr>
        <w:keepNext/>
        <w:widowControl/>
        <w:kinsoku w:val="0"/>
        <w:overflowPunct w:val="0"/>
        <w:rPr>
          <w:sz w:val="22"/>
          <w:szCs w:val="22"/>
          <w:lang w:val="el-GR"/>
        </w:rPr>
      </w:pPr>
    </w:p>
    <w:p w14:paraId="4638061D" w14:textId="77777777" w:rsidR="00171824" w:rsidRDefault="006D258C">
      <w:pPr>
        <w:pStyle w:val="BodyText"/>
        <w:keepNext/>
        <w:widowControl/>
        <w:kinsoku w:val="0"/>
        <w:overflowPunct w:val="0"/>
        <w:ind w:left="0"/>
        <w:rPr>
          <w:u w:val="single"/>
          <w:lang w:val="el-GR"/>
        </w:rPr>
      </w:pPr>
      <w:r>
        <w:rPr>
          <w:u w:val="single"/>
          <w:lang w:val="el-GR"/>
        </w:rPr>
        <w:t>Ιχνηλασιμότητα</w:t>
      </w:r>
    </w:p>
    <w:p w14:paraId="6E4F6E15" w14:textId="77777777" w:rsidR="00171824" w:rsidRDefault="00171824">
      <w:pPr>
        <w:pStyle w:val="BodyText"/>
        <w:widowControl/>
        <w:kinsoku w:val="0"/>
        <w:overflowPunct w:val="0"/>
        <w:ind w:left="0"/>
        <w:rPr>
          <w:lang w:val="el-GR"/>
        </w:rPr>
      </w:pPr>
    </w:p>
    <w:p w14:paraId="783F1CE1" w14:textId="77777777" w:rsidR="00171824" w:rsidRDefault="006D258C">
      <w:pPr>
        <w:pStyle w:val="BodyText"/>
        <w:widowControl/>
        <w:kinsoku w:val="0"/>
        <w:overflowPunct w:val="0"/>
        <w:ind w:left="0"/>
        <w:rPr>
          <w:lang w:val="el-GR"/>
        </w:rPr>
      </w:pPr>
      <w:r>
        <w:rPr>
          <w:lang w:val="el-GR"/>
        </w:rPr>
        <w:t>Προκειμένου να βελτιωθεί η ιχνηλασιμότητα των βιολογικών φαρμακευτικών προϊόντων, το όνομα και ο αριθμός παρτίδας του χορηγούμενου φαρμάκου πρέπει να καταγράφεται με σαφήνεια</w:t>
      </w:r>
    </w:p>
    <w:p w14:paraId="2843CA51" w14:textId="77777777" w:rsidR="00171824" w:rsidRDefault="00171824">
      <w:pPr>
        <w:widowControl/>
        <w:kinsoku w:val="0"/>
        <w:overflowPunct w:val="0"/>
        <w:rPr>
          <w:sz w:val="22"/>
          <w:szCs w:val="22"/>
          <w:lang w:val="el-GR"/>
        </w:rPr>
      </w:pPr>
    </w:p>
    <w:p w14:paraId="4BB55287" w14:textId="77777777" w:rsidR="00171824" w:rsidRDefault="006D258C">
      <w:pPr>
        <w:pStyle w:val="BodyText"/>
        <w:widowControl/>
        <w:kinsoku w:val="0"/>
        <w:overflowPunct w:val="0"/>
        <w:ind w:left="0"/>
        <w:rPr>
          <w:lang w:val="el-GR"/>
        </w:rPr>
      </w:pPr>
      <w:r>
        <w:rPr>
          <w:u w:val="single"/>
          <w:lang w:val="el-GR"/>
        </w:rPr>
        <w:t>Λοιμώξεις</w:t>
      </w:r>
    </w:p>
    <w:p w14:paraId="062BDB5D" w14:textId="77777777" w:rsidR="00171824" w:rsidRDefault="00171824">
      <w:pPr>
        <w:widowControl/>
        <w:kinsoku w:val="0"/>
        <w:overflowPunct w:val="0"/>
        <w:rPr>
          <w:sz w:val="22"/>
          <w:szCs w:val="22"/>
          <w:lang w:val="el-GR"/>
        </w:rPr>
      </w:pPr>
    </w:p>
    <w:p w14:paraId="5B8B3BDA" w14:textId="77777777" w:rsidR="00171824" w:rsidRDefault="006D258C">
      <w:pPr>
        <w:pStyle w:val="BodyText"/>
        <w:widowControl/>
        <w:kinsoku w:val="0"/>
        <w:overflowPunct w:val="0"/>
        <w:ind w:left="0"/>
        <w:rPr>
          <w:lang w:val="el-GR"/>
        </w:rPr>
      </w:pPr>
      <w:r>
        <w:rPr>
          <w:lang w:val="el-GR"/>
        </w:rPr>
        <w:t>Ασθενείς που λαμβάνουν TNF-ανταγωνιστές είναι περισσότερο ευαίσθητοι σε σοβαρές λοιμώξεις. Η επηρεασμένη πνευμονική λειτουργία ενδέχεται να αυξήσει τον κίνδυνο εμφάνισης λοιμώξεων. Οι ασθενείς θα πρέπει ως εκ τούτου, να παρακολουθούνται προσεκτικά για λοιμώξεις, συμπεριλαμβανομένης της φυματίωσης, πριν, κατά τη διάρκεια και μετά τη θεραπεία με AMGEVITA. Επειδή η απέκκριση του adalimumab μπορεί να διαρκέσει μέχρι και τέσσερις μήνες, η παρακολούθηση θα πρέπει να συνεχιστεί στη διάρκεια αυτής της περιόδου.</w:t>
      </w:r>
    </w:p>
    <w:p w14:paraId="0783F576" w14:textId="77777777" w:rsidR="00171824" w:rsidRDefault="00171824">
      <w:pPr>
        <w:widowControl/>
        <w:kinsoku w:val="0"/>
        <w:overflowPunct w:val="0"/>
        <w:rPr>
          <w:sz w:val="22"/>
          <w:szCs w:val="22"/>
          <w:lang w:val="el-GR"/>
        </w:rPr>
      </w:pPr>
    </w:p>
    <w:p w14:paraId="6C6C6C7B" w14:textId="77777777" w:rsidR="00171824" w:rsidRDefault="006D258C">
      <w:pPr>
        <w:pStyle w:val="BodyText"/>
        <w:widowControl/>
        <w:kinsoku w:val="0"/>
        <w:overflowPunct w:val="0"/>
        <w:ind w:left="0"/>
        <w:rPr>
          <w:lang w:val="el-GR"/>
        </w:rPr>
      </w:pPr>
      <w:r>
        <w:rPr>
          <w:lang w:val="el-GR"/>
        </w:rPr>
        <w:t xml:space="preserve">Η θεραπεία με το AMGEVITA δε θα πρέπει να ξεκινήσει σε ασθενείς με ενεργές λοιμώξεις συμπεριλαμβανομένων των χρόνιων ή τοπικών λοιμώξεων, μέχρις ότου οι λοιμώξεις τεθούν υπό έλεγχο. Σε ασθενείς που έχουν εκτεθεί σε φυματίωση και ασθενείς που ταξίδεψαν σε περιοχές υψηλού κινδύνου για φυματίωση ή ενδημικές μυκητιάσεις όπως ιστοπλάσμωση, κοκκιδιοειδομυκητίαση ή βλαστομυκητίαση θα πρέπει να λαμβάνεται υπόψη ο κίνδυνος και τα οφέλη της θεραπείας με AMGEVITA πριν από την έναρξη της αγωγής (βλέπε </w:t>
      </w:r>
      <w:r>
        <w:rPr>
          <w:i/>
          <w:iCs/>
          <w:lang w:val="el-GR"/>
        </w:rPr>
        <w:t>Ευκαιριακές λοιμώξεις</w:t>
      </w:r>
      <w:r>
        <w:rPr>
          <w:lang w:val="el-GR"/>
        </w:rPr>
        <w:t>).</w:t>
      </w:r>
    </w:p>
    <w:p w14:paraId="168AA8DE" w14:textId="77777777" w:rsidR="00171824" w:rsidRDefault="00171824">
      <w:pPr>
        <w:widowControl/>
        <w:kinsoku w:val="0"/>
        <w:overflowPunct w:val="0"/>
        <w:rPr>
          <w:sz w:val="22"/>
          <w:szCs w:val="22"/>
          <w:lang w:val="el-GR"/>
        </w:rPr>
      </w:pPr>
    </w:p>
    <w:p w14:paraId="607CFBA0" w14:textId="77777777" w:rsidR="00171824" w:rsidRDefault="006D258C">
      <w:pPr>
        <w:pStyle w:val="BodyText"/>
        <w:widowControl/>
        <w:kinsoku w:val="0"/>
        <w:overflowPunct w:val="0"/>
        <w:ind w:left="0"/>
        <w:rPr>
          <w:lang w:val="el-GR"/>
        </w:rPr>
      </w:pPr>
      <w:r>
        <w:rPr>
          <w:lang w:val="el-GR"/>
        </w:rPr>
        <w:t xml:space="preserve">Οι ασθενείς που αναπτύσσουν μια νέα λοίμωξη ενώ υποβάλλονται σε θεραπεία με AMGEVITA θα πρέπει να παρακολουθούνται προσεκτικά και να υποβάλλονται σε πλήρη διαγνωστική αξιολόγηση. Η χορήγηση του AMGEVITA θα πρέπει να διακοπεί εάν ο ασθενής εμφανίσει μια νέα σοβαρή λοίμωξη ή σήψη και θα πρέπει να γίνεται έναρξη της κατάλληλης αντιμικροβιακής ή αντιμυκητιασικής αγωγής </w:t>
      </w:r>
      <w:r>
        <w:rPr>
          <w:lang w:val="el-GR"/>
        </w:rPr>
        <w:lastRenderedPageBreak/>
        <w:t>μέχρις ότου η λοίμωξη τεθεί υπό έλεγχο. Οι ιατροί θα πρέπει να είναι προσεκτικοί όταν πρόκειται να χορηγήσουν το AMGEVITA σε ασθενείς με ένα ιστορικό υποτροπιάζουσας λοίμωξης ή με προϋπάρχουσες καταστάσεις που ενδέχεται να προδιαθέτουν τους ασθενείς για λοιμώξεις, συμπεριλαμβανομένης της χρήσης συγχορηγούμενων ανοσοκατασταλτικών φαρμάκων.</w:t>
      </w:r>
    </w:p>
    <w:p w14:paraId="35CE250F" w14:textId="77777777" w:rsidR="00171824" w:rsidRDefault="00171824">
      <w:pPr>
        <w:widowControl/>
        <w:kinsoku w:val="0"/>
        <w:overflowPunct w:val="0"/>
        <w:rPr>
          <w:sz w:val="22"/>
          <w:szCs w:val="22"/>
          <w:lang w:val="el-GR"/>
        </w:rPr>
      </w:pPr>
    </w:p>
    <w:p w14:paraId="4070748F" w14:textId="77777777" w:rsidR="00171824" w:rsidRDefault="006D258C">
      <w:pPr>
        <w:widowControl/>
        <w:kinsoku w:val="0"/>
        <w:overflowPunct w:val="0"/>
        <w:rPr>
          <w:sz w:val="22"/>
          <w:szCs w:val="22"/>
          <w:lang w:val="el-GR"/>
        </w:rPr>
      </w:pPr>
      <w:r>
        <w:rPr>
          <w:i/>
          <w:iCs/>
          <w:sz w:val="22"/>
          <w:szCs w:val="22"/>
          <w:lang w:val="el-GR"/>
        </w:rPr>
        <w:t>Σοβαρές λοιμώξεις</w:t>
      </w:r>
    </w:p>
    <w:p w14:paraId="3534700F" w14:textId="77777777" w:rsidR="00171824" w:rsidRDefault="00171824">
      <w:pPr>
        <w:widowControl/>
        <w:kinsoku w:val="0"/>
        <w:overflowPunct w:val="0"/>
        <w:rPr>
          <w:sz w:val="22"/>
          <w:szCs w:val="22"/>
          <w:lang w:val="el-GR"/>
        </w:rPr>
      </w:pPr>
    </w:p>
    <w:p w14:paraId="37BBCEAF" w14:textId="77777777" w:rsidR="00171824" w:rsidRDefault="006D258C">
      <w:pPr>
        <w:pStyle w:val="BodyText"/>
        <w:widowControl/>
        <w:kinsoku w:val="0"/>
        <w:overflowPunct w:val="0"/>
        <w:ind w:left="0"/>
        <w:rPr>
          <w:lang w:val="el-GR"/>
        </w:rPr>
      </w:pPr>
      <w:r>
        <w:rPr>
          <w:lang w:val="el-GR"/>
        </w:rPr>
        <w:t>Σοβαρές λοιμώξεις, συμπεριλαμβανομένης της σήψης λόγω βακτηριακών, μυκοβακτηριακών, διηθητικών μυκητιασικών, παρασιτικών, ιογενών ή άλλων ευκαιριακών λοιμώξεων, όπως η λιστερίωση, η λεγιονέλλωση και η πνευμονοκύστη έχουν αναφερθεί σε ασθενείς που λαμβάνουν adalimumab.</w:t>
      </w:r>
    </w:p>
    <w:p w14:paraId="3AF4E43E" w14:textId="77777777" w:rsidR="00171824" w:rsidRDefault="00171824">
      <w:pPr>
        <w:widowControl/>
        <w:kinsoku w:val="0"/>
        <w:overflowPunct w:val="0"/>
        <w:rPr>
          <w:sz w:val="22"/>
          <w:szCs w:val="22"/>
          <w:lang w:val="el-GR"/>
        </w:rPr>
      </w:pPr>
    </w:p>
    <w:p w14:paraId="5FE5021A" w14:textId="77777777" w:rsidR="00171824" w:rsidRDefault="006D258C">
      <w:pPr>
        <w:pStyle w:val="BodyText"/>
        <w:widowControl/>
        <w:kinsoku w:val="0"/>
        <w:overflowPunct w:val="0"/>
        <w:ind w:left="0"/>
        <w:rPr>
          <w:lang w:val="el-GR"/>
        </w:rPr>
      </w:pPr>
      <w:r>
        <w:rPr>
          <w:lang w:val="el-GR"/>
        </w:rPr>
        <w:t>Άλλες σοβαρές λοιμώξεις που παρατηρήθηκαν σε κλινικές μελέτες συμπεριλαμβάνουν πνευμονία, πυελονεφρίτιδα, σηπτική αρθρίτιδα και σηψαιμία. Έχουν αναφερθεί σχετιζόμενες με λοιμώξεις περιπτώσεις νοσηλείας ή με θανατηφόρα έκβαση.</w:t>
      </w:r>
    </w:p>
    <w:p w14:paraId="6F8E88A4" w14:textId="77777777" w:rsidR="00171824" w:rsidRDefault="00171824">
      <w:pPr>
        <w:widowControl/>
        <w:kinsoku w:val="0"/>
        <w:overflowPunct w:val="0"/>
        <w:rPr>
          <w:sz w:val="22"/>
          <w:szCs w:val="22"/>
          <w:lang w:val="el-GR"/>
        </w:rPr>
      </w:pPr>
    </w:p>
    <w:p w14:paraId="4A1CFCAE" w14:textId="77777777" w:rsidR="00171824" w:rsidRDefault="006D258C">
      <w:pPr>
        <w:keepNext/>
        <w:widowControl/>
        <w:kinsoku w:val="0"/>
        <w:overflowPunct w:val="0"/>
        <w:rPr>
          <w:sz w:val="22"/>
          <w:szCs w:val="22"/>
          <w:lang w:val="el-GR"/>
        </w:rPr>
      </w:pPr>
      <w:r>
        <w:rPr>
          <w:i/>
          <w:iCs/>
          <w:sz w:val="22"/>
          <w:szCs w:val="22"/>
          <w:lang w:val="el-GR"/>
        </w:rPr>
        <w:t>Φυματίωση</w:t>
      </w:r>
    </w:p>
    <w:p w14:paraId="551677DA" w14:textId="77777777" w:rsidR="00171824" w:rsidRDefault="00171824">
      <w:pPr>
        <w:keepNext/>
        <w:widowControl/>
        <w:kinsoku w:val="0"/>
        <w:overflowPunct w:val="0"/>
        <w:rPr>
          <w:sz w:val="22"/>
          <w:szCs w:val="22"/>
          <w:lang w:val="el-GR"/>
        </w:rPr>
      </w:pPr>
    </w:p>
    <w:p w14:paraId="5A00BB76" w14:textId="77777777" w:rsidR="00171824" w:rsidRDefault="006D258C">
      <w:pPr>
        <w:pStyle w:val="BodyText"/>
        <w:widowControl/>
        <w:kinsoku w:val="0"/>
        <w:overflowPunct w:val="0"/>
        <w:ind w:left="0"/>
        <w:rPr>
          <w:lang w:val="el-GR"/>
        </w:rPr>
      </w:pPr>
      <w:r>
        <w:rPr>
          <w:lang w:val="el-GR"/>
        </w:rPr>
        <w:t>Φυματίωση, συμπεριλαμβανομένης επανενεργοποίησης και πρωτοεμφανιζόμενης φυματίωσης, έχει αναφερθεί σε ασθενείς που λαμβάνουν adalimumab. Οι αναφορές συμπεριλαμβάνουν περιστατικά πνευμονικής και εξωπνευμονικής (π.χ. κεχροειδούς) φυματίωσης.</w:t>
      </w:r>
    </w:p>
    <w:p w14:paraId="692492D4" w14:textId="77777777" w:rsidR="00171824" w:rsidRDefault="00171824">
      <w:pPr>
        <w:widowControl/>
        <w:kinsoku w:val="0"/>
        <w:overflowPunct w:val="0"/>
        <w:rPr>
          <w:sz w:val="22"/>
          <w:szCs w:val="22"/>
          <w:lang w:val="el-GR"/>
        </w:rPr>
      </w:pPr>
    </w:p>
    <w:p w14:paraId="3B21BD9C" w14:textId="77777777" w:rsidR="00171824" w:rsidRDefault="006D258C">
      <w:pPr>
        <w:pStyle w:val="BodyText"/>
        <w:widowControl/>
        <w:kinsoku w:val="0"/>
        <w:overflowPunct w:val="0"/>
        <w:ind w:left="0"/>
        <w:rPr>
          <w:lang w:val="el-GR"/>
        </w:rPr>
      </w:pPr>
      <w:r>
        <w:rPr>
          <w:lang w:val="el-GR"/>
        </w:rPr>
        <w:t>Πριν από την έναρξη της θεραπείας με AMGEVITA, όλοι οι ασθενείς θα πρέπει να αξιολογηθούν τόσο για ενεργό όσο και ανενεργό («λανθάνουσα») φυματίωση. Η αξιολόγηση αυτή θα πρέπει να περιλαμβάνει λεπτομερή ιατρική εκτίμηση του ιστορικού φυματίωσης των ασθενών ή πιθανή προηγούμενη επαφή με άτομα με ενεργό φυματίωση και προηγούμενη και/ή τρέχουσα ανοσοκατασταλτική θεραπεία. Οι κατάλληλοι έλεγχοι (π.χ. δερματική δοκιμασία φυματίνης και ακτινογραφία θώρακος) θα πρέπει να διενεργηθούν σε όλους τους ασθενείς (οι τοπικές οδηγίες μπορεί να εφαρμοσθούν). Συνιστάται να καταγράφεται η διεξαγωγή και τα αποτελέσματα αυτών των εξετάσεων στην Κάρτα Υπενθύμισης του Ασθενούς. Όσοι συνταγογραφούν θα πρέπει να λαμβάνουν υπόψιν τους τον κίνδυνο ψευδώς αρνητικού αποτελέσματος της δερματικής δοκιμασίας φυματίνης, ειδικά στους σοβαρά νοσούντες ή στους ανοσοκατασταλμένους ασθενείς.</w:t>
      </w:r>
    </w:p>
    <w:p w14:paraId="1873E769" w14:textId="77777777" w:rsidR="00171824" w:rsidRDefault="00171824">
      <w:pPr>
        <w:widowControl/>
        <w:kinsoku w:val="0"/>
        <w:overflowPunct w:val="0"/>
        <w:rPr>
          <w:sz w:val="22"/>
          <w:szCs w:val="22"/>
          <w:lang w:val="el-GR"/>
        </w:rPr>
      </w:pPr>
    </w:p>
    <w:p w14:paraId="3181638A" w14:textId="77777777" w:rsidR="00171824" w:rsidRDefault="006D258C">
      <w:pPr>
        <w:pStyle w:val="BodyText"/>
        <w:widowControl/>
        <w:kinsoku w:val="0"/>
        <w:overflowPunct w:val="0"/>
        <w:ind w:left="0"/>
        <w:rPr>
          <w:lang w:val="el-GR"/>
        </w:rPr>
      </w:pPr>
      <w:r>
        <w:rPr>
          <w:lang w:val="el-GR"/>
        </w:rPr>
        <w:t>Σε περίπτωση διάγνωσης ενεργού φυματίωσης δε θα πρέπει να αρχίσει η θεραπεία με AMGEVITA (βλέπε παράγραφο 4.3).</w:t>
      </w:r>
    </w:p>
    <w:p w14:paraId="4BD4680B" w14:textId="77777777" w:rsidR="00171824" w:rsidRDefault="00171824">
      <w:pPr>
        <w:widowControl/>
        <w:kinsoku w:val="0"/>
        <w:overflowPunct w:val="0"/>
        <w:rPr>
          <w:sz w:val="22"/>
          <w:szCs w:val="22"/>
          <w:lang w:val="el-GR"/>
        </w:rPr>
      </w:pPr>
    </w:p>
    <w:p w14:paraId="2EA84FB4" w14:textId="77777777" w:rsidR="00171824" w:rsidRDefault="006D258C">
      <w:pPr>
        <w:pStyle w:val="BodyText"/>
        <w:widowControl/>
        <w:kinsoku w:val="0"/>
        <w:overflowPunct w:val="0"/>
        <w:ind w:left="0"/>
        <w:rPr>
          <w:lang w:val="el-GR"/>
        </w:rPr>
      </w:pPr>
      <w:r>
        <w:rPr>
          <w:lang w:val="el-GR"/>
        </w:rPr>
        <w:t>Σε όλες τις άλλες περιπτώσεις οι οποίες περιγράφονται παρακάτω, θα πρέπει να εξετάζεται προσεκτικά ο λόγος οφέλους/ασφάλειας της θεραπείας.</w:t>
      </w:r>
    </w:p>
    <w:p w14:paraId="0A0680D7" w14:textId="77777777" w:rsidR="00171824" w:rsidRDefault="00171824">
      <w:pPr>
        <w:widowControl/>
        <w:kinsoku w:val="0"/>
        <w:overflowPunct w:val="0"/>
        <w:rPr>
          <w:sz w:val="22"/>
          <w:szCs w:val="22"/>
          <w:lang w:val="el-GR"/>
        </w:rPr>
      </w:pPr>
    </w:p>
    <w:p w14:paraId="3689606B" w14:textId="77777777" w:rsidR="00171824" w:rsidRDefault="006D258C">
      <w:pPr>
        <w:pStyle w:val="BodyText"/>
        <w:keepNext/>
        <w:keepLines/>
        <w:widowControl/>
        <w:kinsoku w:val="0"/>
        <w:overflowPunct w:val="0"/>
        <w:ind w:left="0"/>
        <w:rPr>
          <w:lang w:val="el-GR"/>
        </w:rPr>
      </w:pPr>
      <w:r>
        <w:rPr>
          <w:lang w:val="el-GR"/>
        </w:rPr>
        <w:t>Εάν υπάρχει υποψία για λανθάνουσα φυματίωση, θα πρέπει να ζητηθεί συμβουλή από γιατρό με εμπειρία στη φυματίωση.</w:t>
      </w:r>
    </w:p>
    <w:p w14:paraId="4F44B812" w14:textId="77777777" w:rsidR="00171824" w:rsidRDefault="00171824">
      <w:pPr>
        <w:keepNext/>
        <w:keepLines/>
        <w:widowControl/>
        <w:kinsoku w:val="0"/>
        <w:overflowPunct w:val="0"/>
        <w:rPr>
          <w:sz w:val="22"/>
          <w:szCs w:val="22"/>
          <w:lang w:val="el-GR"/>
        </w:rPr>
      </w:pPr>
    </w:p>
    <w:p w14:paraId="1A566428" w14:textId="77777777" w:rsidR="00171824" w:rsidRDefault="006D258C">
      <w:pPr>
        <w:pStyle w:val="BodyText"/>
        <w:widowControl/>
        <w:kinsoku w:val="0"/>
        <w:overflowPunct w:val="0"/>
        <w:ind w:left="0"/>
        <w:rPr>
          <w:lang w:val="el-GR"/>
        </w:rPr>
      </w:pPr>
      <w:r>
        <w:rPr>
          <w:lang w:val="el-GR"/>
        </w:rPr>
        <w:t>Εάν διαγνωσθεί λανθάνουσα φυματίωση, πρέπει να ξεκινήσει κατάλληλη θεραπεία με αντιφυματική προφυλακτική αγωγή πριν από την έναρξη του AMGEVITA και σύμφωνα με τις τοπικές οδηγίες.</w:t>
      </w:r>
    </w:p>
    <w:p w14:paraId="7F4D0F4B" w14:textId="77777777" w:rsidR="00171824" w:rsidRDefault="00171824">
      <w:pPr>
        <w:widowControl/>
        <w:kinsoku w:val="0"/>
        <w:overflowPunct w:val="0"/>
        <w:rPr>
          <w:sz w:val="22"/>
          <w:szCs w:val="22"/>
          <w:lang w:val="el-GR"/>
        </w:rPr>
      </w:pPr>
    </w:p>
    <w:p w14:paraId="4A50BC5D" w14:textId="77777777" w:rsidR="00171824" w:rsidRDefault="006D258C">
      <w:pPr>
        <w:pStyle w:val="BodyText"/>
        <w:widowControl/>
        <w:kinsoku w:val="0"/>
        <w:overflowPunct w:val="0"/>
        <w:ind w:left="0"/>
        <w:rPr>
          <w:lang w:val="el-GR"/>
        </w:rPr>
      </w:pPr>
      <w:r>
        <w:rPr>
          <w:lang w:val="el-GR"/>
        </w:rPr>
        <w:t>Η χρήση της αντιφυματικής προφυλακτικής θεραπείας θα πρέπει, επίσης, να εξεταστεί πριν την έναρξη του AMGEVITA σε ασθενείς με πολλαπλούς ή σημαντικούς παράγοντες κινδύνου για φυματίωση, ακόμη και εάν έχουν αρνητική δοκιμασία για φυματίωση και σε ασθενείς με παλιό ιστορικό λανθάνουσας ή ενεργού φυματίωσης, στους οποίους δεν μπορεί να επιβεβαιωθεί η επαρκής θεραπεία.</w:t>
      </w:r>
    </w:p>
    <w:p w14:paraId="1657090A" w14:textId="77777777" w:rsidR="00171824" w:rsidRDefault="00171824">
      <w:pPr>
        <w:widowControl/>
        <w:kinsoku w:val="0"/>
        <w:overflowPunct w:val="0"/>
        <w:rPr>
          <w:sz w:val="22"/>
          <w:szCs w:val="22"/>
          <w:lang w:val="el-GR"/>
        </w:rPr>
      </w:pPr>
    </w:p>
    <w:p w14:paraId="24028287" w14:textId="77777777" w:rsidR="00171824" w:rsidRDefault="006D258C">
      <w:pPr>
        <w:pStyle w:val="BodyText"/>
        <w:widowControl/>
        <w:kinsoku w:val="0"/>
        <w:overflowPunct w:val="0"/>
        <w:ind w:left="0"/>
        <w:rPr>
          <w:lang w:val="el-GR"/>
        </w:rPr>
      </w:pPr>
      <w:r>
        <w:rPr>
          <w:lang w:val="el-GR"/>
        </w:rPr>
        <w:t>Παρά την προφυλακτική θεραπεία για φυματίωση, περιπτώσεις επανενεργοποίησης φυματίωσης έχουν αναφερθεί σε ασθενείς που λάμβαναν θεραπεία με adalimumab. Μερικοί ασθενείς οι οποίοι έχουν θεραπευτεί με επιτυχία για ενεργό φυματίωση έχουν αναπτύξει ξανά φυματίωση κατά τη διάρκεια της θεραπείας τους με adalimumab.</w:t>
      </w:r>
    </w:p>
    <w:p w14:paraId="0F5629DF" w14:textId="77777777" w:rsidR="00171824" w:rsidRDefault="00171824">
      <w:pPr>
        <w:pStyle w:val="BodyText"/>
        <w:widowControl/>
        <w:kinsoku w:val="0"/>
        <w:overflowPunct w:val="0"/>
        <w:ind w:left="0"/>
        <w:rPr>
          <w:lang w:val="el-GR"/>
        </w:rPr>
      </w:pPr>
    </w:p>
    <w:p w14:paraId="779105A8" w14:textId="77777777" w:rsidR="00171824" w:rsidRDefault="006D258C">
      <w:pPr>
        <w:pStyle w:val="BodyText"/>
        <w:widowControl/>
        <w:kinsoku w:val="0"/>
        <w:overflowPunct w:val="0"/>
        <w:ind w:left="0"/>
        <w:rPr>
          <w:lang w:val="el-GR"/>
        </w:rPr>
      </w:pPr>
      <w:r>
        <w:rPr>
          <w:lang w:val="el-GR"/>
        </w:rPr>
        <w:lastRenderedPageBreak/>
        <w:t>Οι ασθενείς θα πρέπει να λάβουν οδηγίες να καταφύγουν σε ιατρική συμβουλή εάν προκύψουν σημεία/συμπτώματα που μπορεί να υποδηλώνουν λοίμωξη από φυματίωση (π.χ. επίμονος βήχας, φυσική αδυναμία/απώλεια βάρους, χαμηλός πυρετός, νωθρότητα) κατά τη διάρκεια ή μετά τη θεραπεία με AMGEVITA.</w:t>
      </w:r>
    </w:p>
    <w:p w14:paraId="11930056" w14:textId="77777777" w:rsidR="00171824" w:rsidRDefault="00171824">
      <w:pPr>
        <w:widowControl/>
        <w:kinsoku w:val="0"/>
        <w:overflowPunct w:val="0"/>
        <w:rPr>
          <w:sz w:val="22"/>
          <w:szCs w:val="22"/>
          <w:lang w:val="el-GR"/>
        </w:rPr>
      </w:pPr>
    </w:p>
    <w:p w14:paraId="4F8091EC" w14:textId="77777777" w:rsidR="00171824" w:rsidRDefault="006D258C">
      <w:pPr>
        <w:keepNext/>
        <w:widowControl/>
        <w:kinsoku w:val="0"/>
        <w:overflowPunct w:val="0"/>
        <w:rPr>
          <w:sz w:val="22"/>
          <w:szCs w:val="22"/>
          <w:lang w:val="el-GR"/>
        </w:rPr>
      </w:pPr>
      <w:r>
        <w:rPr>
          <w:i/>
          <w:iCs/>
          <w:sz w:val="22"/>
          <w:szCs w:val="22"/>
          <w:lang w:val="el-GR"/>
        </w:rPr>
        <w:t>Άλλες ευκαιριακές λοιμώξεις</w:t>
      </w:r>
    </w:p>
    <w:p w14:paraId="126AEACC" w14:textId="77777777" w:rsidR="00171824" w:rsidRDefault="00171824">
      <w:pPr>
        <w:keepNext/>
        <w:widowControl/>
        <w:kinsoku w:val="0"/>
        <w:overflowPunct w:val="0"/>
        <w:rPr>
          <w:sz w:val="22"/>
          <w:szCs w:val="22"/>
          <w:lang w:val="el-GR"/>
        </w:rPr>
      </w:pPr>
    </w:p>
    <w:p w14:paraId="2ABE4257" w14:textId="77777777" w:rsidR="00171824" w:rsidRDefault="006D258C">
      <w:pPr>
        <w:pStyle w:val="BodyText"/>
        <w:widowControl/>
        <w:kinsoku w:val="0"/>
        <w:overflowPunct w:val="0"/>
        <w:ind w:left="0"/>
        <w:rPr>
          <w:lang w:val="el-GR"/>
        </w:rPr>
      </w:pPr>
      <w:r>
        <w:rPr>
          <w:lang w:val="el-GR"/>
        </w:rPr>
        <w:t>Ευκαιριακές λοιμώξεις, συμπεριλαμβανομένων διηθητικών μυκητιασικών λοιμώξεων έχουν παρατηρηθεί σε ασθενείς που λαμβάνουν adalimumab. Αυτές οι λοιμώξεις δεν αναγνωρίζονται συστηματικά σε ασθενείς που λαμβάνουν TNF</w:t>
      </w:r>
      <w:r>
        <w:rPr>
          <w:lang w:val="el-GR"/>
        </w:rPr>
        <w:noBreakHyphen/>
        <w:t>ανταγωνιστές με αποτέλεσμα καθυστερήσεις στη κατάλληλη θεραπεία, με αποτέλεσμα κάποιες φορές να έχουν θανατηφόρα έκβαση.</w:t>
      </w:r>
    </w:p>
    <w:p w14:paraId="6003E037" w14:textId="77777777" w:rsidR="00171824" w:rsidRDefault="00171824">
      <w:pPr>
        <w:widowControl/>
        <w:kinsoku w:val="0"/>
        <w:overflowPunct w:val="0"/>
        <w:ind w:right="-1418"/>
        <w:rPr>
          <w:sz w:val="22"/>
          <w:szCs w:val="22"/>
          <w:lang w:val="el-GR"/>
        </w:rPr>
      </w:pPr>
    </w:p>
    <w:p w14:paraId="0FBD8B4E" w14:textId="77777777" w:rsidR="00171824" w:rsidRDefault="006D258C">
      <w:pPr>
        <w:pStyle w:val="BodyText"/>
        <w:widowControl/>
        <w:kinsoku w:val="0"/>
        <w:overflowPunct w:val="0"/>
        <w:ind w:left="0"/>
        <w:rPr>
          <w:lang w:val="el-GR"/>
        </w:rPr>
      </w:pPr>
      <w:r>
        <w:rPr>
          <w:lang w:val="el-GR"/>
        </w:rPr>
        <w:t>Για ασθενείς που αναπτύσσουν σημεία και συμπτώματα όπως πυρετό, κακουχία, απώλεια βάρους, εφιδρώσεις, βήχα, δύσπνοια και/ή πνευμονικά διηθήματα ή άλλες σοβαρές συστηματικές ασθένειες με ή χωρίς ταυτόχρονη καταπληξία, θα πρέπει να υπάρχει υποψία για διηθητική μυκητιασική λοίμωξη και η χορήγηση του AMGEVITA θα πρέπει να διακόπτεται άμεσα. Η διάγνωση και η χορήγηση εμπειρικής αντιμυκητιασικής θεραπείας στους ασθενείς αυτούς θα πρέπει να γίνεται σε συνεννόηση με ιατρό ειδικό στην περίθαλψη ασθενών με διηθητικές μυκητιασικές λοιμώξεις.</w:t>
      </w:r>
    </w:p>
    <w:p w14:paraId="7595E355" w14:textId="77777777" w:rsidR="00171824" w:rsidRDefault="00171824">
      <w:pPr>
        <w:widowControl/>
        <w:kinsoku w:val="0"/>
        <w:overflowPunct w:val="0"/>
        <w:rPr>
          <w:sz w:val="22"/>
          <w:szCs w:val="22"/>
          <w:lang w:val="el-GR"/>
        </w:rPr>
      </w:pPr>
    </w:p>
    <w:p w14:paraId="123F3655" w14:textId="77777777" w:rsidR="00171824" w:rsidRDefault="006D258C">
      <w:pPr>
        <w:pStyle w:val="BodyText"/>
        <w:widowControl/>
        <w:kinsoku w:val="0"/>
        <w:overflowPunct w:val="0"/>
        <w:ind w:left="0"/>
        <w:rPr>
          <w:lang w:val="el-GR"/>
        </w:rPr>
      </w:pPr>
      <w:r>
        <w:rPr>
          <w:u w:val="single"/>
          <w:lang w:val="el-GR"/>
        </w:rPr>
        <w:t>Επανενεργοποίηση Ηπατίτιδας Β</w:t>
      </w:r>
    </w:p>
    <w:p w14:paraId="1E141780" w14:textId="77777777" w:rsidR="00171824" w:rsidRDefault="00171824">
      <w:pPr>
        <w:widowControl/>
        <w:kinsoku w:val="0"/>
        <w:overflowPunct w:val="0"/>
        <w:rPr>
          <w:sz w:val="22"/>
          <w:szCs w:val="22"/>
          <w:lang w:val="el-GR"/>
        </w:rPr>
      </w:pPr>
    </w:p>
    <w:p w14:paraId="03D63AF5" w14:textId="77777777" w:rsidR="00171824" w:rsidRDefault="006D258C">
      <w:pPr>
        <w:pStyle w:val="BodyText"/>
        <w:widowControl/>
        <w:kinsoku w:val="0"/>
        <w:overflowPunct w:val="0"/>
        <w:ind w:left="0"/>
        <w:rPr>
          <w:lang w:val="el-GR"/>
        </w:rPr>
      </w:pPr>
      <w:r>
        <w:rPr>
          <w:lang w:val="el-GR"/>
        </w:rPr>
        <w:t>Επανενεργοποίηση της ηπατίτιδας Β έχει προκύψει σε ασθενείς που λαμβάνουν TNF-ανταγωνιστή συμπεριλαμβανομένου του adalimumab, οι οποίοι είναι χρόνιοι φορείς του ιού (π.χ., αντιγόνο επιφανείας θετικό). Μερικές περιπτώσεις είχαν θανατηφόρα έκβαση. Οι ασθενείς θα πρέπει να ελέγχονται για λοίμωξη από ιό ηπατίτιδας Β πριν την έναρξη της θεραπείας με AMGEVITA. Για τους ασθενείς που είναι θετικοί στον έλεγχο για λοίμωξη από ηπατίτιδα Β, συνιστάται να συμβουλεύονται ένα γιατρό με εμπειρία στη θεραπεία της ηπατίτιδας Β.</w:t>
      </w:r>
    </w:p>
    <w:p w14:paraId="4CA077FC" w14:textId="77777777" w:rsidR="00171824" w:rsidRDefault="00171824">
      <w:pPr>
        <w:widowControl/>
        <w:kinsoku w:val="0"/>
        <w:overflowPunct w:val="0"/>
        <w:rPr>
          <w:sz w:val="22"/>
          <w:szCs w:val="22"/>
          <w:lang w:val="el-GR"/>
        </w:rPr>
      </w:pPr>
    </w:p>
    <w:p w14:paraId="4327D41D" w14:textId="77777777" w:rsidR="00171824" w:rsidRDefault="006D258C">
      <w:pPr>
        <w:pStyle w:val="BodyText"/>
        <w:widowControl/>
        <w:kinsoku w:val="0"/>
        <w:overflowPunct w:val="0"/>
        <w:ind w:left="0"/>
        <w:rPr>
          <w:lang w:val="el-GR"/>
        </w:rPr>
      </w:pPr>
      <w:r>
        <w:rPr>
          <w:lang w:val="el-GR"/>
        </w:rPr>
        <w:t>Οι φορείς του ιού της ηπατίτιδας Β οι οποίοι απαιτούν θεραπεία με AMGEVITA θα πρέπει να παρακολουθούνται στενά για σημεία και συμπτώματα ενεργού λοίμωξης από ιό ηπατίτιδας Β κατά τη διάρκεια της θεραπείας και για αρκετούς μήνες μετά τη διακοπή της θεραπείας. Δεν υπάρχουν διαθέσιμα επαρκή δεδομένα από τη θεραπεία ασθενών οι οποίοι είναι φορείς του ιού της ηπατίτιδας Β και λαμβάνουν αντιιική θεραπεία σε συνδυασμό με TNF-ανταγωνιστή, ώστε να εμποδίσουν την επανενεργοποίηση του ιού της ηπατίτιδας Β. Σε ασθενείς που εμφανίζουν επανενεργοποίηση του ιού της ηπατίτιδας Β, θα πρέπει να διακοπεί το AMGEVITA και να γίνει έναρξη με αποτελεσματική αντιιική θεραπεία με κατάλληλη υποστηρικτική θεραπεία.</w:t>
      </w:r>
    </w:p>
    <w:p w14:paraId="6A014702" w14:textId="77777777" w:rsidR="00171824" w:rsidRDefault="00171824">
      <w:pPr>
        <w:widowControl/>
        <w:kinsoku w:val="0"/>
        <w:overflowPunct w:val="0"/>
        <w:rPr>
          <w:sz w:val="22"/>
          <w:szCs w:val="22"/>
          <w:lang w:val="el-GR"/>
        </w:rPr>
      </w:pPr>
    </w:p>
    <w:p w14:paraId="4E0DF5D6" w14:textId="77777777" w:rsidR="00171824" w:rsidRDefault="006D258C">
      <w:pPr>
        <w:pStyle w:val="BodyText"/>
        <w:keepNext/>
        <w:keepLines/>
        <w:widowControl/>
        <w:kinsoku w:val="0"/>
        <w:overflowPunct w:val="0"/>
        <w:ind w:left="0"/>
        <w:rPr>
          <w:lang w:val="el-GR"/>
        </w:rPr>
      </w:pPr>
      <w:r>
        <w:rPr>
          <w:u w:val="single"/>
          <w:lang w:val="el-GR"/>
        </w:rPr>
        <w:t>Νευρολογικά περιστατικά</w:t>
      </w:r>
    </w:p>
    <w:p w14:paraId="089CF1FB" w14:textId="77777777" w:rsidR="00171824" w:rsidRDefault="00171824">
      <w:pPr>
        <w:keepNext/>
        <w:keepLines/>
        <w:widowControl/>
        <w:kinsoku w:val="0"/>
        <w:overflowPunct w:val="0"/>
        <w:rPr>
          <w:sz w:val="22"/>
          <w:szCs w:val="22"/>
          <w:lang w:val="el-GR"/>
        </w:rPr>
      </w:pPr>
    </w:p>
    <w:p w14:paraId="07FBD87E" w14:textId="77777777" w:rsidR="00171824" w:rsidRDefault="006D258C">
      <w:pPr>
        <w:pStyle w:val="BodyText"/>
        <w:keepNext/>
        <w:keepLines/>
        <w:widowControl/>
        <w:kinsoku w:val="0"/>
        <w:overflowPunct w:val="0"/>
        <w:ind w:left="0"/>
        <w:rPr>
          <w:lang w:val="el-GR"/>
        </w:rPr>
      </w:pPr>
      <w:r>
        <w:rPr>
          <w:lang w:val="el-GR"/>
        </w:rPr>
        <w:t>Οι TNF-ανταγωνιστές, συμπεριλαμβανομένου του adalimumab, έχουν συσχετισθεί σε σπάνιες περιπτώσεις με την εμφάνιση ή την επιδείνωση κλινικών συμπτωμάτων και/ή ακτινολογικών ευρημάτων απομυελινωτικής νόσου του κεντρικού νευρικού συστήματος συμπεριλαμβανομένης της σκλήρυνσης κατά πλάκας και της οπτικής νευρίτιδας, και περιφερικής απομυελινωτικής νόσου συμπεριλαμβανομένου του συνδρόμου Guillain-Barré. Απαιτείται προσοχή από όσους συνταγογραφούν όταν πρόκειται να χορηγήσουν το AMGEVITA σε ασθενείς με προϋπάρχουσα ή με πρόσφατη εκδήλωση απομυελινωτικών διαταραχών του κεντρικού ή περιφερικού νευρικού συστήματος :σε περίπτωση που αναπτυχθεί οποιαδήποτε από αυτές τις διαταραχές πρέπει να εξετάζεται το ενδεχόμενο διακοπής του AMGEVITA. Υπάρχει μια γνωστή συσχέτιση μεταξύ της ενδιάμεσης ραγοειδίτιδας και των απομυελινωτικών διαταραχών του κεντρικού νευρικού συστήματος. Σε ασθενείς με μη-λοιμώδη ενδιάμεση ραγοειδίτιδα πρέπει να γίνεται νευρολογική εκτίμηση πριν από την έναρξη της θεραπείας με AMGEVITA και τακτικά κατά τη διάρκεια της θεραπείας για την αξιολόγηση προ-υπαρχουσών ή υπό ανάπτυξη απομυελινωτικών διαταραχών του κεντρικού νευρικού συστήματος.</w:t>
      </w:r>
    </w:p>
    <w:p w14:paraId="63AD16FD" w14:textId="77777777" w:rsidR="00171824" w:rsidRDefault="00171824">
      <w:pPr>
        <w:pStyle w:val="BodyText"/>
        <w:widowControl/>
        <w:kinsoku w:val="0"/>
        <w:overflowPunct w:val="0"/>
        <w:ind w:left="0"/>
        <w:rPr>
          <w:lang w:val="el-GR"/>
        </w:rPr>
      </w:pPr>
    </w:p>
    <w:p w14:paraId="0257D11D" w14:textId="77777777" w:rsidR="00171824" w:rsidRDefault="006D258C">
      <w:pPr>
        <w:pStyle w:val="BodyText"/>
        <w:keepNext/>
        <w:keepLines/>
        <w:widowControl/>
        <w:kinsoku w:val="0"/>
        <w:overflowPunct w:val="0"/>
        <w:ind w:left="0"/>
        <w:rPr>
          <w:lang w:val="el-GR"/>
        </w:rPr>
      </w:pPr>
      <w:r>
        <w:rPr>
          <w:u w:val="single"/>
          <w:lang w:val="el-GR"/>
        </w:rPr>
        <w:lastRenderedPageBreak/>
        <w:t>Αλλεργικές αντιδράσεις</w:t>
      </w:r>
    </w:p>
    <w:p w14:paraId="7DFDF9E8" w14:textId="77777777" w:rsidR="00171824" w:rsidRDefault="00171824">
      <w:pPr>
        <w:keepNext/>
        <w:keepLines/>
        <w:widowControl/>
        <w:kinsoku w:val="0"/>
        <w:overflowPunct w:val="0"/>
        <w:rPr>
          <w:sz w:val="22"/>
          <w:szCs w:val="22"/>
          <w:lang w:val="el-GR"/>
        </w:rPr>
      </w:pPr>
    </w:p>
    <w:p w14:paraId="13693837" w14:textId="77777777" w:rsidR="00171824" w:rsidRDefault="006D258C">
      <w:pPr>
        <w:pStyle w:val="BodyText"/>
        <w:widowControl/>
        <w:kinsoku w:val="0"/>
        <w:overflowPunct w:val="0"/>
        <w:ind w:left="0"/>
        <w:rPr>
          <w:lang w:val="el-GR"/>
        </w:rPr>
      </w:pPr>
      <w:r>
        <w:rPr>
          <w:lang w:val="el-GR"/>
        </w:rPr>
        <w:t>Κατά τη διάρκεια των κλινικών μελετών οι σοβαρές αλλεργικές αντιδράσεις που σχετίζονται με το adalimumab ήταν σπάνιες. Μη σοβαρές αλλεργικές αντιδράσεις σχετιζόμενες με το adalimumab ήταν όχι συχνές κατά τη διάρκεια των κλινικών μελετών. Αναφορές σοβαρών αλλεργικών αντιδράσεων συμπεριλαμβανομένης και της αναφυλαξίας έχουν προκύψει μετά τη χορήγηση adalimumab. Εάν προκύψει αναφυλακτική αντίδραση ή άλλη σοβαρή αλλεργική αντίδραση, η χορήγηση του AMGEVITA πρέπει να διακοπεί αμέσως και να ξεκινήσει η κατάλληλη θεραπεία.</w:t>
      </w:r>
    </w:p>
    <w:p w14:paraId="469E54FF" w14:textId="77777777" w:rsidR="00171824" w:rsidRDefault="00171824">
      <w:pPr>
        <w:widowControl/>
        <w:kinsoku w:val="0"/>
        <w:overflowPunct w:val="0"/>
        <w:rPr>
          <w:sz w:val="22"/>
          <w:szCs w:val="22"/>
          <w:lang w:val="el-GR"/>
        </w:rPr>
      </w:pPr>
    </w:p>
    <w:p w14:paraId="432F8B42" w14:textId="77777777" w:rsidR="00171824" w:rsidRDefault="006D258C">
      <w:pPr>
        <w:pStyle w:val="BodyText"/>
        <w:keepNext/>
        <w:widowControl/>
        <w:kinsoku w:val="0"/>
        <w:overflowPunct w:val="0"/>
        <w:ind w:left="0"/>
        <w:rPr>
          <w:lang w:val="el-GR"/>
        </w:rPr>
      </w:pPr>
      <w:r>
        <w:rPr>
          <w:u w:val="single"/>
          <w:lang w:val="el-GR"/>
        </w:rPr>
        <w:t>Ανοσοκαταστολή</w:t>
      </w:r>
    </w:p>
    <w:p w14:paraId="11FE4DE7" w14:textId="77777777" w:rsidR="00171824" w:rsidRDefault="00171824">
      <w:pPr>
        <w:keepNext/>
        <w:widowControl/>
        <w:kinsoku w:val="0"/>
        <w:overflowPunct w:val="0"/>
        <w:rPr>
          <w:sz w:val="22"/>
          <w:szCs w:val="22"/>
          <w:lang w:val="el-GR"/>
        </w:rPr>
      </w:pPr>
    </w:p>
    <w:p w14:paraId="63FF521C" w14:textId="77777777" w:rsidR="00171824" w:rsidRDefault="006D258C">
      <w:pPr>
        <w:pStyle w:val="BodyText"/>
        <w:widowControl/>
        <w:kinsoku w:val="0"/>
        <w:overflowPunct w:val="0"/>
        <w:ind w:left="0"/>
        <w:rPr>
          <w:lang w:val="el-GR"/>
        </w:rPr>
      </w:pPr>
      <w:r>
        <w:rPr>
          <w:lang w:val="el-GR"/>
        </w:rPr>
        <w:t>Σε μια μελέτη 64 ασθενών με ρευματοειδή αρθρίτιδα στους οποίους χορηγήθηκε το adalimumab, δεν παρατηρήθηκε καταστολή της υπερευαισθησίας επιβραδυνόμενου τύπου, μείωση των επιπέδων ανοσοσφαιρίνης ή αλλαγή στον αριθμό των ενεργοποιητικών Τ-, Β-, ΝΚ κυττάρων, των μονοκυττάρων/μακροφάγων και των ουδετερόφιλων.</w:t>
      </w:r>
    </w:p>
    <w:p w14:paraId="54FDE90B" w14:textId="77777777" w:rsidR="00171824" w:rsidRDefault="00171824">
      <w:pPr>
        <w:widowControl/>
        <w:kinsoku w:val="0"/>
        <w:overflowPunct w:val="0"/>
        <w:rPr>
          <w:sz w:val="22"/>
          <w:szCs w:val="22"/>
          <w:lang w:val="el-GR"/>
        </w:rPr>
      </w:pPr>
    </w:p>
    <w:p w14:paraId="2BE221EA" w14:textId="77777777" w:rsidR="00171824" w:rsidRDefault="006D258C">
      <w:pPr>
        <w:pStyle w:val="BodyText"/>
        <w:keepNext/>
        <w:widowControl/>
        <w:kinsoku w:val="0"/>
        <w:overflowPunct w:val="0"/>
        <w:ind w:left="0"/>
        <w:rPr>
          <w:lang w:val="el-GR"/>
        </w:rPr>
      </w:pPr>
      <w:r>
        <w:rPr>
          <w:u w:val="single"/>
          <w:lang w:val="el-GR"/>
        </w:rPr>
        <w:t>Kακοήθειες και λεμφοϋπερπλαστικές διαταραχές</w:t>
      </w:r>
    </w:p>
    <w:p w14:paraId="1D3BDC76" w14:textId="77777777" w:rsidR="00171824" w:rsidRDefault="00171824">
      <w:pPr>
        <w:keepNext/>
        <w:widowControl/>
        <w:kinsoku w:val="0"/>
        <w:overflowPunct w:val="0"/>
        <w:rPr>
          <w:sz w:val="22"/>
          <w:szCs w:val="22"/>
          <w:lang w:val="el-GR"/>
        </w:rPr>
      </w:pPr>
    </w:p>
    <w:p w14:paraId="1C85552A" w14:textId="77777777" w:rsidR="00171824" w:rsidRDefault="006D258C">
      <w:pPr>
        <w:pStyle w:val="BodyText"/>
        <w:widowControl/>
        <w:kinsoku w:val="0"/>
        <w:overflowPunct w:val="0"/>
        <w:ind w:left="0"/>
        <w:rPr>
          <w:lang w:val="el-GR"/>
        </w:rPr>
      </w:pPr>
      <w:r>
        <w:rPr>
          <w:lang w:val="el-GR"/>
        </w:rPr>
        <w:t>Στις ελεγχόμενες ομάδες κλινικών μελετών του adalimumab με ΤΝF-ανταγωνιστές, περισσότερες περιπτώσεις κακοήθειας συμπεριλαμβανομένου και του λεμφώματος έχουν παρατηρηθεί μεταξύ ασθενών που λαμβάνουν ΤΝF-ανταγωνιστές συγκριτικά με τους μάρτυρες. Παρόλα αυτά, η συχνότητα εμφάνισης ήταν σπάνια. Μετά την κυκλοφορία, έχουν αναφερθεί περιπτώσεις λευχαιμίας σε ασθενείς που έλαβαν θεραπεία με TNF-ανταγωνιστή. Υπάρχει αυξημένος κίνδυνος ανάπτυξης λεμφώματος και λευχαιμίας σε ασθενείς με ρευματοειδή αρθρίτιδα πάσχοντες από χρόνια, υψηλής ενεργότητας, φλεγμονώδη νόσο, το οποίο περιπλέκει την αξιολόγηση του κινδύνου. Με την παρούσα γνώση, δεν μπορεί να αποκλειστεί πιθανός κίνδυνος ανάπτυξης λεμφώματος, λευχαιμίας και άλλων κακοηθειών σε ασθενείς που τους χορηγείται θεραπεία με TNF-ανταγωνιστή.</w:t>
      </w:r>
    </w:p>
    <w:p w14:paraId="4220EBDF" w14:textId="77777777" w:rsidR="00171824" w:rsidRDefault="00171824">
      <w:pPr>
        <w:widowControl/>
        <w:kinsoku w:val="0"/>
        <w:overflowPunct w:val="0"/>
        <w:rPr>
          <w:sz w:val="22"/>
          <w:szCs w:val="22"/>
          <w:lang w:val="el-GR"/>
        </w:rPr>
      </w:pPr>
    </w:p>
    <w:p w14:paraId="0405AC06" w14:textId="77777777" w:rsidR="00171824" w:rsidRDefault="006D258C">
      <w:pPr>
        <w:pStyle w:val="BodyText"/>
        <w:widowControl/>
        <w:kinsoku w:val="0"/>
        <w:overflowPunct w:val="0"/>
        <w:ind w:left="0"/>
        <w:rPr>
          <w:lang w:val="el-GR"/>
        </w:rPr>
      </w:pPr>
      <w:r>
        <w:rPr>
          <w:lang w:val="el-GR"/>
        </w:rPr>
        <w:t>Μετά την κυκλοφορία, κακοήθειες, μερικές θανατηφόρες, έχουν αναφερθεί σε παιδιά, εφήβους και νεαρούς ενήλικες (έως 22 ετών) που έλαβαν θεραπεία με TNF-ανταγωνιστές (έναρξη θεραπείας σε ηλικία ≤ 18 ετών), συμπεριλαμβανομένου του adalimumab. Το ήμισυ περίπου των περιπτώσεων ήταν λεμφώματα. Οι άλλες περιπτώσεις αντιπροσώπευαν μια ποικιλία διαφορετικών κακοηθειών και συμπεριελάμβαναν σπάνιες κακοήθειες συνήθως συνδεόμενες με ανοσοκαταστολή. Δεν μπορεί να αποκλειστεί ο κίνδυνος για ανάπτυξη κακοηθειών σε παιδιά και εφήβους που έλαβαν θεραπεία με TNF</w:t>
      </w:r>
      <w:r>
        <w:rPr>
          <w:lang w:val="el-GR"/>
        </w:rPr>
        <w:noBreakHyphen/>
        <w:t>ανταγωνιστές.</w:t>
      </w:r>
    </w:p>
    <w:p w14:paraId="68A505C5" w14:textId="77777777" w:rsidR="00171824" w:rsidRDefault="00171824">
      <w:pPr>
        <w:widowControl/>
        <w:kinsoku w:val="0"/>
        <w:overflowPunct w:val="0"/>
        <w:rPr>
          <w:sz w:val="22"/>
          <w:szCs w:val="22"/>
          <w:lang w:val="el-GR"/>
        </w:rPr>
      </w:pPr>
    </w:p>
    <w:p w14:paraId="1DDB3B1F" w14:textId="77777777" w:rsidR="00171824" w:rsidRDefault="006D258C">
      <w:pPr>
        <w:pStyle w:val="BodyText"/>
        <w:widowControl/>
        <w:kinsoku w:val="0"/>
        <w:overflowPunct w:val="0"/>
        <w:ind w:left="0"/>
        <w:rPr>
          <w:lang w:val="el-GR"/>
        </w:rPr>
      </w:pPr>
      <w:r>
        <w:rPr>
          <w:lang w:val="el-GR"/>
        </w:rPr>
        <w:t>Μετά την κυκλοφορία έχουν ταυτοποιηθεί σπάνιες περιπτώσεις ηπατοσπληνικού Τ-cell λεμφώματος σε ασθενείς στους οποίους χορηγήθηκε adalimumab. Αυτός ο σπάνιος τύπος T-cell λεμφώματος έχει πολύ επιθετική πορεία και είναι συνήθως θανατηφόρος. Κάποιες από αυτές τις περιπτώσεις ηπατοσπληνικού Τ-cell λεμφώματος έχουν προκύψει σε νεαρούς ενήλικες ασθενείς στους οποίους χορηγείται adalimumab ταυτόχρονα με azathiοprine ή 6-mercaptopurine για φλεγμονώδη νοσήματα του εντέρου. Ο δυνητικός κίνδυνος με τον συνδυασμό αζαθειοπρίνης ή 6-mercaptopurine και AMGEVITA θα πρέπει να εξεταστεί προσεκτικά. Δεν μπορεί να αποκλειστεί ο κίνδυνος ανάπτυξης ηπατοσπληνικού Τ-cell λεμφώματος σε ασθενείς στους οποίους χορηγήθηκε AMGEVITA (βλέπε παράγραφο 4.8).</w:t>
      </w:r>
    </w:p>
    <w:p w14:paraId="7E77E4F5" w14:textId="77777777" w:rsidR="00171824" w:rsidRDefault="00171824">
      <w:pPr>
        <w:widowControl/>
        <w:kinsoku w:val="0"/>
        <w:overflowPunct w:val="0"/>
        <w:rPr>
          <w:sz w:val="22"/>
          <w:szCs w:val="22"/>
          <w:lang w:val="el-GR"/>
        </w:rPr>
      </w:pPr>
    </w:p>
    <w:p w14:paraId="58977CE5" w14:textId="77777777" w:rsidR="00171824" w:rsidRDefault="006D258C">
      <w:pPr>
        <w:pStyle w:val="BodyText"/>
        <w:widowControl/>
        <w:kinsoku w:val="0"/>
        <w:overflowPunct w:val="0"/>
        <w:ind w:left="0"/>
        <w:rPr>
          <w:lang w:val="el-GR"/>
        </w:rPr>
      </w:pPr>
      <w:r>
        <w:rPr>
          <w:lang w:val="el-GR"/>
        </w:rPr>
        <w:t>Δεν έχουν πραγματοποιηθεί μελέτες που περιέλαβαν ασθενείς με ιστορικό κακοήθειας ή με ασθενείς στους οποίους η θεραπεία με adalimumab συνεχίζεται παρά την ανάπτυξη κακοήθειας. Για αυτό απαιτείται ιδιαίτερη προσοχή κατά τη χορήγηση AMGEVITA σε αυτούς τους ασθενείς (βλέπε παράγραφο 4.8).</w:t>
      </w:r>
    </w:p>
    <w:p w14:paraId="469F3AA0" w14:textId="77777777" w:rsidR="00171824" w:rsidRDefault="00171824">
      <w:pPr>
        <w:widowControl/>
        <w:kinsoku w:val="0"/>
        <w:overflowPunct w:val="0"/>
        <w:rPr>
          <w:sz w:val="22"/>
          <w:szCs w:val="22"/>
          <w:lang w:val="el-GR"/>
        </w:rPr>
      </w:pPr>
    </w:p>
    <w:p w14:paraId="6598F95E" w14:textId="77777777" w:rsidR="00171824" w:rsidRDefault="006D258C">
      <w:pPr>
        <w:pStyle w:val="BodyText"/>
        <w:widowControl/>
        <w:kinsoku w:val="0"/>
        <w:overflowPunct w:val="0"/>
        <w:ind w:left="0"/>
        <w:rPr>
          <w:lang w:val="el-GR"/>
        </w:rPr>
      </w:pPr>
      <w:r>
        <w:rPr>
          <w:lang w:val="el-GR"/>
        </w:rPr>
        <w:t>Όλοι οι ασθενείς και ιδιαίτερα οι ασθενείς με ιατρικό ιστορικό εκτεταμένης ανοσοκατασταλτικής θεραπείας ή οι ασθενείς με ψωρίαση και με ιστορικό θεραπείας με PUVA θα πρέπει να εξετάζονται για την ύπαρξη μη μελανωματικού καρκίνου του δέρματος πριν και κατά τη διάρκεια της θεραπείας με AMGEVITA. Μελάνωμα και καρκίνωμα εκ κυττάρων Merkel (Merkel cell carcinoma) έχουν επίσης αναφερθεί σε ασθενείς που έλαβαν θεραπεία με TNF-ανταγωνιστές συμπεριλαμβανομένου του adalimumab (βλέπε παράγραφο 4.8).</w:t>
      </w:r>
    </w:p>
    <w:p w14:paraId="38A384E8" w14:textId="77777777" w:rsidR="00171824" w:rsidRDefault="00171824">
      <w:pPr>
        <w:pStyle w:val="BodyText"/>
        <w:widowControl/>
        <w:kinsoku w:val="0"/>
        <w:overflowPunct w:val="0"/>
        <w:ind w:left="0"/>
        <w:rPr>
          <w:lang w:val="el-GR"/>
        </w:rPr>
      </w:pPr>
    </w:p>
    <w:p w14:paraId="742E987C" w14:textId="77777777" w:rsidR="00171824" w:rsidRDefault="006D258C">
      <w:pPr>
        <w:pStyle w:val="BodyText"/>
        <w:widowControl/>
        <w:kinsoku w:val="0"/>
        <w:overflowPunct w:val="0"/>
        <w:ind w:left="0"/>
        <w:rPr>
          <w:lang w:val="el-GR"/>
        </w:rPr>
      </w:pPr>
      <w:r>
        <w:rPr>
          <w:lang w:val="el-GR"/>
        </w:rPr>
        <w:t>Σε μία ερευνητική κλινική μελέτη, η οποία αξιολογεί τη χρήση ενός άλλου TNF-ανταγωνιστή, του infliximab, σε ασθενείς με μέτρια έως σοβαρή χρόνια αποφρακτική πνευμονική νόσο (ΧΑΠ), έχουν αναφερθεί περισσότερες κακοήθειες, κυρίως στον πνεύμονα ή στην κεφαλή και στον τράχηλο, στους ασθενείς που λάμβαναν infliximab συγκριτικά με τους μάρτυρες. Όλοι οι ασθενείς είχαν ιστορικό συχνού καπνίσματος. Επομένως, θα πρέπει να δοθεί ιδιαίτερη προσοχή, όταν χρησιμοποιείται οποιοσδήποτε TNF-ανταγωνιστής σε ΧΑΠ ασθενείς, όπως επίσης και σε ασθενείς με αυξημένο κίνδυνο για κακοήθεια εξαιτίας του συχνού καπνίσματος.</w:t>
      </w:r>
    </w:p>
    <w:p w14:paraId="3A9CD5F1" w14:textId="77777777" w:rsidR="00171824" w:rsidRDefault="00171824">
      <w:pPr>
        <w:widowControl/>
        <w:kinsoku w:val="0"/>
        <w:overflowPunct w:val="0"/>
        <w:rPr>
          <w:sz w:val="22"/>
          <w:szCs w:val="22"/>
          <w:lang w:val="el-GR"/>
        </w:rPr>
      </w:pPr>
    </w:p>
    <w:p w14:paraId="2DC852FF" w14:textId="77777777" w:rsidR="00171824" w:rsidRDefault="006D258C">
      <w:pPr>
        <w:pStyle w:val="BodyText"/>
        <w:widowControl/>
        <w:kinsoku w:val="0"/>
        <w:overflowPunct w:val="0"/>
        <w:ind w:left="0"/>
        <w:rPr>
          <w:lang w:val="el-GR"/>
        </w:rPr>
      </w:pPr>
      <w:r>
        <w:rPr>
          <w:lang w:val="el-GR"/>
        </w:rPr>
        <w:t>Με βάση τα τρέχοντα δεδομένα δεν είναι γνωστό εάν η θεραπεία με adalimumab επηρεάζει τον κίνδυνο για ανάπτυξη δυσπλασίας ή καρκίνου του παχέος εντέρου. Όλοι οι ασθενείς με ελκώδη κολίτιδα που διατρέχουν αυξημένο κίνδυνο για δυσπλασία ή καρκίνο του παχέος εντέρου (για παράδειγμα, ασθενείς με μακροχρόνια ελκώδη κολίτιδα ή πρωτοπαθή σκληρυντική χολαγγειίτιδα) ή οι οποίοι είχαν προηγούμενο ιστορικό δυσπλασίας ή καρκίνωμα του παχέος εντέρου θα πρέπει να εξετάζονται για δυσπλασία ανά τακτά χρονικά διαστήματα πριν τη θεραπεία και καθ' όλη την πορεία της νόσου τους. Η αξιολόγηση αυτή θα πρέπει να περιλαμβάνει κολονοσκόπηση και βιοψίες σύμφωνα με τις τοπικές οδηγίες.</w:t>
      </w:r>
    </w:p>
    <w:p w14:paraId="7924CF4F" w14:textId="77777777" w:rsidR="00171824" w:rsidRDefault="00171824">
      <w:pPr>
        <w:widowControl/>
        <w:kinsoku w:val="0"/>
        <w:overflowPunct w:val="0"/>
        <w:rPr>
          <w:sz w:val="22"/>
          <w:szCs w:val="22"/>
          <w:lang w:val="el-GR"/>
        </w:rPr>
      </w:pPr>
    </w:p>
    <w:p w14:paraId="1431FF44" w14:textId="77777777" w:rsidR="00171824" w:rsidRDefault="006D258C">
      <w:pPr>
        <w:pStyle w:val="BodyText"/>
        <w:widowControl/>
        <w:kinsoku w:val="0"/>
        <w:overflowPunct w:val="0"/>
        <w:ind w:left="0"/>
        <w:rPr>
          <w:lang w:val="el-GR"/>
        </w:rPr>
      </w:pPr>
      <w:r>
        <w:rPr>
          <w:u w:val="single"/>
          <w:lang w:val="el-GR"/>
        </w:rPr>
        <w:t>Αιματολογικές αντιδράσεις</w:t>
      </w:r>
    </w:p>
    <w:p w14:paraId="5D1A8707" w14:textId="77777777" w:rsidR="00171824" w:rsidRDefault="00171824">
      <w:pPr>
        <w:widowControl/>
        <w:kinsoku w:val="0"/>
        <w:overflowPunct w:val="0"/>
        <w:rPr>
          <w:sz w:val="22"/>
          <w:szCs w:val="22"/>
          <w:lang w:val="el-GR"/>
        </w:rPr>
      </w:pPr>
    </w:p>
    <w:p w14:paraId="5DBB01A4" w14:textId="77777777" w:rsidR="00171824" w:rsidRDefault="006D258C">
      <w:pPr>
        <w:pStyle w:val="BodyText"/>
        <w:widowControl/>
        <w:kinsoku w:val="0"/>
        <w:overflowPunct w:val="0"/>
        <w:ind w:left="0"/>
        <w:rPr>
          <w:lang w:val="el-GR"/>
        </w:rPr>
      </w:pPr>
      <w:r>
        <w:rPr>
          <w:lang w:val="el-GR"/>
        </w:rPr>
        <w:t>Έχουν αναφερθεί σπάνιες περιπτώσεις πανκυτταροπενίας συμπεριλαμβανομένης και της απλαστικής αναιμίας κατά τη χορήγηση ανταγωνιστών του ΤΝF. Ανεπιθύμητες ενέργειες του αιμοποιητικού συστήματος, συμπεριλαμβανομένης και κλινικά σημαντικής κυτταροπενίας (π.χ. θρομβοπενία, λευκοπενία) έχουν αναφερθεί με το adalimumab. Όλοι οι ασθενείς θα πρέπει να ενημερώνονται ώστε να αναζητήσουν άμεση ιατρική υποστήριξη εάν εμφανίσουν σημεία και συμπτώματα ύποπτα για δυσκρασία του αίματος (π.χ. επιμένων πυρετός, μώλωπες, αιμορραγία, ωχρότητα) ενώ τους έχει χορηγηθεί AMGEVITA. Διακοπή της θεραπείας με AMGEVITA θα πρέπει να εξετάζεται σε ασθενείς με επιβεβαιωμένα σημαντικές αιματολογικές ανωμαλίες.</w:t>
      </w:r>
    </w:p>
    <w:p w14:paraId="6A3AD235" w14:textId="77777777" w:rsidR="00171824" w:rsidRDefault="00171824">
      <w:pPr>
        <w:widowControl/>
        <w:kinsoku w:val="0"/>
        <w:overflowPunct w:val="0"/>
        <w:rPr>
          <w:sz w:val="22"/>
          <w:szCs w:val="22"/>
          <w:lang w:val="el-GR"/>
        </w:rPr>
      </w:pPr>
    </w:p>
    <w:p w14:paraId="6D9F2F17" w14:textId="77777777" w:rsidR="00171824" w:rsidRDefault="006D258C">
      <w:pPr>
        <w:pStyle w:val="BodyText"/>
        <w:keepNext/>
        <w:widowControl/>
        <w:kinsoku w:val="0"/>
        <w:overflowPunct w:val="0"/>
        <w:ind w:left="0"/>
        <w:rPr>
          <w:lang w:val="el-GR"/>
        </w:rPr>
      </w:pPr>
      <w:r>
        <w:rPr>
          <w:u w:val="single"/>
          <w:lang w:val="el-GR"/>
        </w:rPr>
        <w:t>Εμβόλια</w:t>
      </w:r>
    </w:p>
    <w:p w14:paraId="0EDE7E85" w14:textId="77777777" w:rsidR="00171824" w:rsidRDefault="00171824">
      <w:pPr>
        <w:keepNext/>
        <w:widowControl/>
        <w:kinsoku w:val="0"/>
        <w:overflowPunct w:val="0"/>
        <w:rPr>
          <w:sz w:val="22"/>
          <w:szCs w:val="22"/>
          <w:lang w:val="el-GR"/>
        </w:rPr>
      </w:pPr>
    </w:p>
    <w:p w14:paraId="08A85CDB" w14:textId="77777777" w:rsidR="00171824" w:rsidRDefault="006D258C">
      <w:pPr>
        <w:pStyle w:val="BodyText"/>
        <w:keepNext/>
        <w:widowControl/>
        <w:kinsoku w:val="0"/>
        <w:overflowPunct w:val="0"/>
        <w:ind w:left="0"/>
        <w:rPr>
          <w:lang w:val="el-GR"/>
        </w:rPr>
      </w:pPr>
      <w:r>
        <w:rPr>
          <w:lang w:val="el-GR"/>
        </w:rPr>
        <w:t>Παρόμοιες ανταποκρίσεις αντισωμάτων ως προς το τυπικό 23-σθενές πνευμονιοκοκκικό εμβόλιο και του τριδύναμου εμβολιασμού κατά του ιού της γρίπης, παρατηρήθηκαν σε μία μελέτη σε 226 ενήλικες ασθενείς με ρευματοειδή αρθρίτιδα στους οποίους χορηγήθηκε adalimumab ή εικονικό φάρμακο. Δεν υπάρχουν διαθέσιμα στοιχεία για τη δευτερογενή μετάδοση της λοίμωξης από εμβόλια από ζώντες μικροοργανισμούς σε ασθενείς που λαμβάνουν adalimumab.</w:t>
      </w:r>
    </w:p>
    <w:p w14:paraId="3DFEFB4D" w14:textId="77777777" w:rsidR="00171824" w:rsidRDefault="00171824">
      <w:pPr>
        <w:widowControl/>
        <w:kinsoku w:val="0"/>
        <w:overflowPunct w:val="0"/>
        <w:rPr>
          <w:sz w:val="22"/>
          <w:szCs w:val="22"/>
          <w:lang w:val="el-GR"/>
        </w:rPr>
      </w:pPr>
    </w:p>
    <w:p w14:paraId="79FB8638" w14:textId="77777777" w:rsidR="00171824" w:rsidRDefault="006D258C">
      <w:pPr>
        <w:pStyle w:val="BodyText"/>
        <w:widowControl/>
        <w:kinsoku w:val="0"/>
        <w:overflowPunct w:val="0"/>
        <w:ind w:left="0"/>
        <w:rPr>
          <w:lang w:val="el-GR"/>
        </w:rPr>
      </w:pPr>
      <w:r>
        <w:rPr>
          <w:lang w:val="el-GR"/>
        </w:rPr>
        <w:t>Συνιστάται, εφ’ όσον είναι εφικτό, οι παιδιατρικοί ασθενείς να έχουν πραγματοποιήσει τους απαραίτητους εμβολιασμούς σύμφωνα με τις ισχύουσες κατευθυντήριες οδηγίες για την ανοσοποίηση πριν από την έναρξη της θεραπείας με AMGEVITA.</w:t>
      </w:r>
    </w:p>
    <w:p w14:paraId="41591CF6" w14:textId="77777777" w:rsidR="00171824" w:rsidRDefault="00171824">
      <w:pPr>
        <w:widowControl/>
        <w:kinsoku w:val="0"/>
        <w:overflowPunct w:val="0"/>
        <w:rPr>
          <w:sz w:val="22"/>
          <w:szCs w:val="22"/>
          <w:lang w:val="el-GR"/>
        </w:rPr>
      </w:pPr>
    </w:p>
    <w:p w14:paraId="12B8E4B5" w14:textId="77777777" w:rsidR="00171824" w:rsidRDefault="006D258C">
      <w:pPr>
        <w:pStyle w:val="BodyText"/>
        <w:keepNext/>
        <w:keepLines/>
        <w:widowControl/>
        <w:kinsoku w:val="0"/>
        <w:overflowPunct w:val="0"/>
        <w:ind w:left="0"/>
        <w:rPr>
          <w:lang w:val="el-GR"/>
        </w:rPr>
      </w:pPr>
      <w:r>
        <w:rPr>
          <w:lang w:val="el-GR"/>
        </w:rPr>
        <w:t>Oι ασθενείς που λαμβάνουν AMGEVITA είναι δυνατό να κάνουν ταυτόχρονα εμβολιασμούς, εκτός των εμβολίων από ζώντες μικροοργανισμούς. Η χορήγηση εμβολίων από ζώντες μικροοργανισμούς (π.χ. εμβόλιο BCG) για τα βρέφη που εκτίθενται σε AMGEVITA στη μήτρα δεν συνιστάται για 5 μήνες μετά την τελευταία ένεση AMGEVITA στη μητέρα κατά τη διάρκεια της εγκυμοσύνης.</w:t>
      </w:r>
    </w:p>
    <w:p w14:paraId="5A2AB757" w14:textId="77777777" w:rsidR="00171824" w:rsidRDefault="00171824">
      <w:pPr>
        <w:pStyle w:val="BodyText"/>
        <w:widowControl/>
        <w:kinsoku w:val="0"/>
        <w:overflowPunct w:val="0"/>
        <w:ind w:left="0"/>
        <w:rPr>
          <w:lang w:val="el-GR"/>
        </w:rPr>
      </w:pPr>
    </w:p>
    <w:p w14:paraId="33C8584D" w14:textId="77777777" w:rsidR="00171824" w:rsidRDefault="006D258C">
      <w:pPr>
        <w:pStyle w:val="BodyText"/>
        <w:keepNext/>
        <w:widowControl/>
        <w:kinsoku w:val="0"/>
        <w:overflowPunct w:val="0"/>
        <w:ind w:left="0"/>
        <w:rPr>
          <w:u w:val="single"/>
          <w:lang w:val="el-GR"/>
        </w:rPr>
      </w:pPr>
      <w:r>
        <w:rPr>
          <w:u w:val="single"/>
          <w:lang w:val="el-GR"/>
        </w:rPr>
        <w:t>Συμφορητική καρδιακή ανεπάρκεια</w:t>
      </w:r>
    </w:p>
    <w:p w14:paraId="27F057B1" w14:textId="77777777" w:rsidR="00171824" w:rsidRDefault="00171824">
      <w:pPr>
        <w:pStyle w:val="BodyText"/>
        <w:keepNext/>
        <w:widowControl/>
        <w:kinsoku w:val="0"/>
        <w:overflowPunct w:val="0"/>
        <w:ind w:left="0"/>
        <w:rPr>
          <w:lang w:val="el-GR"/>
        </w:rPr>
      </w:pPr>
    </w:p>
    <w:p w14:paraId="4A60F359" w14:textId="77777777" w:rsidR="00171824" w:rsidRDefault="006D258C">
      <w:pPr>
        <w:pStyle w:val="BodyText"/>
        <w:widowControl/>
        <w:kinsoku w:val="0"/>
        <w:overflowPunct w:val="0"/>
        <w:ind w:left="0"/>
        <w:rPr>
          <w:lang w:val="el-GR"/>
        </w:rPr>
      </w:pPr>
      <w:r>
        <w:rPr>
          <w:lang w:val="el-GR"/>
        </w:rPr>
        <w:t>Σε μία κλινική μελέτη με έναν άλλο ανταγωνιστή του TNF, παρατηρήθηκε επιδείνωση της συμφορητικής καρδιακής ανεπάρκειας και αύξηση της θνησιμότητας λόγω συμφορητικής καρδιακής ανεπάρκειας. Έχουν παρατηρηθεί περιπτώσεις επιδείνωσης συμφορητικής καρδιακής ανεπάρκειας σε ασθενείς που έλαβαν adalimumab. Το AMGEVITA θα πρέπει να χρησιμοποιείται με προσοχή σε ασθενείς με ήπια καρδιακή ανεπάρκεια (ΝΥΗΑ class I/II). To AMGEVITA αντενδείκνυται στη μέτρια έως σοβαρή καρδιακή ανεπάρκεια (βλέπε παράγραφο 4.3). Η θεραπεία με το AMGEVITA θα πρέπει να διακόπτεται σε ασθενείς που αναπτύσσουν νέα συμπτώματα ή εμφανίζουν επιδείνωση συμπτωμάτων συμφορητικής καρδιακής ανεπάρκειας.</w:t>
      </w:r>
    </w:p>
    <w:p w14:paraId="04647334" w14:textId="77777777" w:rsidR="00171824" w:rsidRDefault="00171824">
      <w:pPr>
        <w:pStyle w:val="BodyText"/>
        <w:keepNext/>
        <w:widowControl/>
        <w:kinsoku w:val="0"/>
        <w:overflowPunct w:val="0"/>
        <w:ind w:left="0"/>
        <w:rPr>
          <w:u w:val="single"/>
          <w:lang w:val="el-GR"/>
        </w:rPr>
      </w:pPr>
    </w:p>
    <w:p w14:paraId="1CA44B83" w14:textId="77777777" w:rsidR="00171824" w:rsidRDefault="006D258C">
      <w:pPr>
        <w:pStyle w:val="BodyText"/>
        <w:widowControl/>
        <w:kinsoku w:val="0"/>
        <w:overflowPunct w:val="0"/>
        <w:ind w:left="0"/>
        <w:rPr>
          <w:lang w:val="el-GR"/>
        </w:rPr>
      </w:pPr>
      <w:r>
        <w:rPr>
          <w:u w:val="single"/>
          <w:lang w:val="el-GR"/>
        </w:rPr>
        <w:t>Αυτοάνοσες διεργασίες</w:t>
      </w:r>
    </w:p>
    <w:p w14:paraId="65F1AE37" w14:textId="77777777" w:rsidR="00171824" w:rsidRDefault="00171824">
      <w:pPr>
        <w:widowControl/>
        <w:kinsoku w:val="0"/>
        <w:overflowPunct w:val="0"/>
        <w:rPr>
          <w:sz w:val="22"/>
          <w:szCs w:val="22"/>
          <w:lang w:val="el-GR"/>
        </w:rPr>
      </w:pPr>
    </w:p>
    <w:p w14:paraId="03B554B8" w14:textId="77777777" w:rsidR="00171824" w:rsidRDefault="006D258C">
      <w:pPr>
        <w:pStyle w:val="BodyText"/>
        <w:widowControl/>
        <w:kinsoku w:val="0"/>
        <w:overflowPunct w:val="0"/>
        <w:ind w:left="0"/>
        <w:rPr>
          <w:lang w:val="el-GR"/>
        </w:rPr>
      </w:pPr>
      <w:r>
        <w:rPr>
          <w:lang w:val="el-GR"/>
        </w:rPr>
        <w:t xml:space="preserve">Η θεραπεία με AMGEVITA ενδέχεται να έχει ως αποτέλεσμα το σχηματισμό αυτοάνοσων αντισωμάτων. Η επίδραση της μακροχρόνιας θεραπείας με AMGEVITA στην ανάπτυξη αυτοάνοσων νοσημάτων είναι άγνωστη. Εάν ένας ασθενής αναπτύσσει συμπτώματα ύποπτα για σύνδρομο προσομοιάζον με λύκο μετά τη χορήγηση με το AMGEVITA και έχει θετικά αντισώματα κατά διπλής έλικος DNA, δε θα πρέπει να χορηγείται περαιτέρω θεραπεία με AMGEVITA (βλέπε παράγραφο 4.8). </w:t>
      </w:r>
    </w:p>
    <w:p w14:paraId="5E7FB710" w14:textId="77777777" w:rsidR="00171824" w:rsidRDefault="00171824">
      <w:pPr>
        <w:pStyle w:val="BodyText"/>
        <w:widowControl/>
        <w:kinsoku w:val="0"/>
        <w:overflowPunct w:val="0"/>
        <w:ind w:left="0"/>
        <w:rPr>
          <w:lang w:val="el-GR"/>
        </w:rPr>
      </w:pPr>
    </w:p>
    <w:p w14:paraId="649EBEB2" w14:textId="77777777" w:rsidR="00171824" w:rsidRDefault="006D258C">
      <w:pPr>
        <w:pStyle w:val="BodyText"/>
        <w:keepNext/>
        <w:widowControl/>
        <w:kinsoku w:val="0"/>
        <w:overflowPunct w:val="0"/>
        <w:ind w:left="0"/>
        <w:rPr>
          <w:u w:val="single"/>
          <w:lang w:val="el-GR"/>
        </w:rPr>
      </w:pPr>
      <w:r>
        <w:rPr>
          <w:u w:val="single"/>
          <w:lang w:val="el-GR"/>
        </w:rPr>
        <w:t>Ταυτόχρονη χορήγηση βιολογικών DMARDs ή TNF-ανταγωνιστών</w:t>
      </w:r>
    </w:p>
    <w:p w14:paraId="3906A35B" w14:textId="77777777" w:rsidR="00171824" w:rsidRDefault="00171824">
      <w:pPr>
        <w:pStyle w:val="BodyText"/>
        <w:widowControl/>
        <w:kinsoku w:val="0"/>
        <w:overflowPunct w:val="0"/>
        <w:ind w:left="0"/>
        <w:rPr>
          <w:lang w:val="el-GR"/>
        </w:rPr>
      </w:pPr>
    </w:p>
    <w:p w14:paraId="4EB5BB17" w14:textId="77777777" w:rsidR="00171824" w:rsidRDefault="006D258C">
      <w:pPr>
        <w:pStyle w:val="BodyText"/>
        <w:widowControl/>
        <w:kinsoku w:val="0"/>
        <w:overflowPunct w:val="0"/>
        <w:ind w:left="0"/>
        <w:rPr>
          <w:lang w:val="el-GR"/>
        </w:rPr>
      </w:pPr>
      <w:r>
        <w:rPr>
          <w:lang w:val="el-GR"/>
        </w:rPr>
        <w:t>Σοβαρές λοιμώξεις παρατηρήθηκαν σε κλινικές μελέτες με ταυτόχρονη χορήγηση anakinra και άλλου ΤΝF-ανταγωνιστή, του etanercept, χωρίς κανένα επιπρόσθετο κλινικό όφελος σε σύγκριση με τη χορήγηση του etanercept ως μονοθεραπεία. Εξαιτίας της φύσης των ανεπιθύμητων ενεργειών που παρατηρήθηκαν με το συνδυασμό etanercept και anakinra, είναι πιθανό να προκύψουν όμοιες τοξικές επιδράσεις με το συνδυασμό anakinra και άλλου TNF-ανταγωνιστή. Ως εκ τούτου, ο συνδυασμός του AMGEVITA με anakinra δε συνιστάται (βλέπε παράγραφο 4.5).</w:t>
      </w:r>
    </w:p>
    <w:p w14:paraId="2CD743D0" w14:textId="77777777" w:rsidR="00171824" w:rsidRDefault="00171824">
      <w:pPr>
        <w:widowControl/>
        <w:kinsoku w:val="0"/>
        <w:overflowPunct w:val="0"/>
        <w:rPr>
          <w:sz w:val="22"/>
          <w:szCs w:val="22"/>
          <w:lang w:val="el-GR"/>
        </w:rPr>
      </w:pPr>
    </w:p>
    <w:p w14:paraId="59514FF6" w14:textId="77777777" w:rsidR="00171824" w:rsidRDefault="006D258C">
      <w:pPr>
        <w:pStyle w:val="BodyText"/>
        <w:widowControl/>
        <w:kinsoku w:val="0"/>
        <w:overflowPunct w:val="0"/>
        <w:ind w:left="0"/>
        <w:rPr>
          <w:lang w:val="el-GR"/>
        </w:rPr>
      </w:pPr>
      <w:r>
        <w:rPr>
          <w:lang w:val="el-GR"/>
        </w:rPr>
        <w:t>Ταυτόχρονη χορήγηση του AMGEVITA με άλλα βιολογικά τροποποιητικά της νόσου αντιρευματικά φάρμακα (DMARDs) (π.χ. anakinra και abatacept) ή άλλους ΤΝF-ανταγωνιστές δεν συνιστάται, λόγω πιθανού αυξημένου κινδύνου για λοιμώξεις, συμπεριλαμβανομένων σοβαρών λοιμώξεων και για άλλες πιθανές φαρμακολογικές αλληλεπιδράσεις (βλέπε παράγραφο 4.5).</w:t>
      </w:r>
    </w:p>
    <w:p w14:paraId="1F75828F" w14:textId="77777777" w:rsidR="00171824" w:rsidRDefault="00171824">
      <w:pPr>
        <w:widowControl/>
        <w:kinsoku w:val="0"/>
        <w:overflowPunct w:val="0"/>
        <w:rPr>
          <w:sz w:val="22"/>
          <w:lang w:val="el-GR"/>
        </w:rPr>
      </w:pPr>
    </w:p>
    <w:p w14:paraId="7A1E7AE4" w14:textId="77777777" w:rsidR="00171824" w:rsidRDefault="006D258C">
      <w:pPr>
        <w:pStyle w:val="BodyText"/>
        <w:keepNext/>
        <w:widowControl/>
        <w:kinsoku w:val="0"/>
        <w:overflowPunct w:val="0"/>
        <w:ind w:left="0"/>
        <w:rPr>
          <w:lang w:val="el-GR"/>
        </w:rPr>
      </w:pPr>
      <w:r>
        <w:rPr>
          <w:u w:val="single"/>
          <w:lang w:val="el-GR"/>
        </w:rPr>
        <w:t>Χειρουργικές επεμβάσεις</w:t>
      </w:r>
    </w:p>
    <w:p w14:paraId="7E5D7FF3" w14:textId="77777777" w:rsidR="00171824" w:rsidRDefault="00171824">
      <w:pPr>
        <w:keepNext/>
        <w:widowControl/>
        <w:kinsoku w:val="0"/>
        <w:overflowPunct w:val="0"/>
        <w:rPr>
          <w:sz w:val="22"/>
          <w:szCs w:val="22"/>
          <w:lang w:val="el-GR"/>
        </w:rPr>
      </w:pPr>
    </w:p>
    <w:p w14:paraId="640288AF" w14:textId="77777777" w:rsidR="00171824" w:rsidRDefault="006D258C">
      <w:pPr>
        <w:pStyle w:val="BodyText"/>
        <w:widowControl/>
        <w:kinsoku w:val="0"/>
        <w:overflowPunct w:val="0"/>
        <w:ind w:left="0"/>
        <w:rPr>
          <w:lang w:val="el-GR"/>
        </w:rPr>
      </w:pPr>
      <w:r>
        <w:rPr>
          <w:lang w:val="el-GR"/>
        </w:rPr>
        <w:t>Υπάρχει περιορισμένη εμπειρία για την ασφάλεια στις χειρουργικές επεμβάσεις ασθενών που λαμβάνουν adalimumab. Ο μεγάλος χρόνος ημίσειας ζωής του adalimumab θα πρέπει να λαμβάνεται υπόψη όταν προγραμματίζεται μια χειρουργική επέμβαση. Ο ασθενής o oποίος πρέπει να υποβληθεί σε επέμβαση ενώ είναι υπό θεραπεία με AMGEVITA θα πρέπει να παρακολουθείται στενά για λοιμώξεις και να λαμβάνονται τα ανάλογα μέτρα. Υπάρχει περιορισμένη εμπειρία για την ασφάλεια σε ασθενείς που υποβάλλονται σε αρθροπλαστική επέμβαση ενώ λαμβάνουν adalimumab.</w:t>
      </w:r>
    </w:p>
    <w:p w14:paraId="504281B5" w14:textId="77777777" w:rsidR="00171824" w:rsidRDefault="00171824">
      <w:pPr>
        <w:widowControl/>
        <w:kinsoku w:val="0"/>
        <w:overflowPunct w:val="0"/>
        <w:rPr>
          <w:sz w:val="22"/>
          <w:szCs w:val="22"/>
          <w:lang w:val="el-GR"/>
        </w:rPr>
      </w:pPr>
    </w:p>
    <w:p w14:paraId="2276D852" w14:textId="77777777" w:rsidR="00171824" w:rsidRDefault="006D258C">
      <w:pPr>
        <w:pStyle w:val="BodyText"/>
        <w:keepNext/>
        <w:widowControl/>
        <w:kinsoku w:val="0"/>
        <w:overflowPunct w:val="0"/>
        <w:ind w:left="0"/>
        <w:rPr>
          <w:lang w:val="el-GR"/>
        </w:rPr>
      </w:pPr>
      <w:r>
        <w:rPr>
          <w:u w:val="single"/>
          <w:lang w:val="el-GR"/>
        </w:rPr>
        <w:t>Απόφραξη του λεπτού εντέρου</w:t>
      </w:r>
    </w:p>
    <w:p w14:paraId="445573EB" w14:textId="77777777" w:rsidR="00171824" w:rsidRDefault="00171824">
      <w:pPr>
        <w:keepNext/>
        <w:widowControl/>
        <w:kinsoku w:val="0"/>
        <w:overflowPunct w:val="0"/>
        <w:rPr>
          <w:sz w:val="22"/>
          <w:szCs w:val="22"/>
          <w:lang w:val="el-GR"/>
        </w:rPr>
      </w:pPr>
    </w:p>
    <w:p w14:paraId="1D4CC5B5" w14:textId="77777777" w:rsidR="00171824" w:rsidRDefault="006D258C">
      <w:pPr>
        <w:pStyle w:val="BodyText"/>
        <w:keepNext/>
        <w:widowControl/>
        <w:kinsoku w:val="0"/>
        <w:overflowPunct w:val="0"/>
        <w:ind w:left="0"/>
        <w:rPr>
          <w:lang w:val="el-GR"/>
        </w:rPr>
      </w:pPr>
      <w:r>
        <w:rPr>
          <w:lang w:val="el-GR"/>
        </w:rPr>
        <w:t>Η μη ανταπόκριση στη θεραπεία για τη νόσο του Crohn είναι πιθανό να υποδηλώνει τη παρουσία ινωτικού στενώματος το οποίο είναι πιθανό να απαιτεί χειρουργική αντιμετώπιση. Τα διαθέσιμα δεδομένα υποδεικνύουν ότι το adalimumab δεν επιδεινώνει ούτε προκαλεί στενώματα.</w:t>
      </w:r>
    </w:p>
    <w:p w14:paraId="2549613C" w14:textId="77777777" w:rsidR="00171824" w:rsidRDefault="00171824">
      <w:pPr>
        <w:widowControl/>
        <w:kinsoku w:val="0"/>
        <w:overflowPunct w:val="0"/>
        <w:rPr>
          <w:sz w:val="22"/>
          <w:szCs w:val="22"/>
          <w:lang w:val="el-GR"/>
        </w:rPr>
      </w:pPr>
    </w:p>
    <w:p w14:paraId="0B240248" w14:textId="77777777" w:rsidR="00171824" w:rsidRDefault="006D258C">
      <w:pPr>
        <w:pStyle w:val="BodyText"/>
        <w:keepNext/>
        <w:keepLines/>
        <w:widowControl/>
        <w:kinsoku w:val="0"/>
        <w:overflowPunct w:val="0"/>
        <w:ind w:left="0"/>
        <w:rPr>
          <w:lang w:val="el-GR"/>
        </w:rPr>
      </w:pPr>
      <w:r>
        <w:rPr>
          <w:u w:val="single"/>
          <w:lang w:val="el-GR"/>
        </w:rPr>
        <w:t xml:space="preserve">Ηλικιωμένοι </w:t>
      </w:r>
    </w:p>
    <w:p w14:paraId="7F784291" w14:textId="77777777" w:rsidR="00171824" w:rsidRDefault="00171824">
      <w:pPr>
        <w:keepNext/>
        <w:keepLines/>
        <w:widowControl/>
        <w:kinsoku w:val="0"/>
        <w:overflowPunct w:val="0"/>
        <w:rPr>
          <w:sz w:val="22"/>
          <w:szCs w:val="22"/>
          <w:lang w:val="el-GR"/>
        </w:rPr>
      </w:pPr>
    </w:p>
    <w:p w14:paraId="439EC0A4" w14:textId="77777777" w:rsidR="00171824" w:rsidRDefault="006D258C">
      <w:pPr>
        <w:pStyle w:val="BodyText"/>
        <w:keepNext/>
        <w:keepLines/>
        <w:widowControl/>
        <w:kinsoku w:val="0"/>
        <w:overflowPunct w:val="0"/>
        <w:ind w:left="0"/>
        <w:rPr>
          <w:lang w:val="el-GR"/>
        </w:rPr>
      </w:pPr>
      <w:r>
        <w:rPr>
          <w:lang w:val="el-GR"/>
        </w:rPr>
        <w:t>Η συχνότητα σοβαρών λοιμώξεων μεταξύ ασθενών που λαμβάνουν adalimumab άνω των 65 ετών (3,7%) ήταν υψηλότερη από εκείνη για ασθενείς κάτω των 65 ετών (1,5%). Μερικοί εκ των οποίων είχαν θανατηφόρο έκβαση. Ιδιαίτερη προσοχή σχετικά με τον κίνδυνο λοιμώξεων εφιστάται κατά τη θεραπεία ηλικιωμένων.</w:t>
      </w:r>
    </w:p>
    <w:p w14:paraId="3C51391B" w14:textId="77777777" w:rsidR="00171824" w:rsidRDefault="00171824">
      <w:pPr>
        <w:keepNext/>
        <w:keepLines/>
        <w:widowControl/>
        <w:kinsoku w:val="0"/>
        <w:overflowPunct w:val="0"/>
        <w:rPr>
          <w:sz w:val="22"/>
          <w:szCs w:val="22"/>
          <w:lang w:val="el-GR"/>
        </w:rPr>
      </w:pPr>
    </w:p>
    <w:p w14:paraId="13089F5F" w14:textId="77777777" w:rsidR="00171824" w:rsidRDefault="006D258C">
      <w:pPr>
        <w:pStyle w:val="BodyText"/>
        <w:keepNext/>
        <w:widowControl/>
        <w:kinsoku w:val="0"/>
        <w:overflowPunct w:val="0"/>
        <w:ind w:left="0"/>
        <w:rPr>
          <w:lang w:val="el-GR"/>
        </w:rPr>
      </w:pPr>
      <w:r>
        <w:rPr>
          <w:u w:val="single"/>
          <w:lang w:val="el-GR"/>
        </w:rPr>
        <w:t>Παιδιατρικός πληθυσμός</w:t>
      </w:r>
    </w:p>
    <w:p w14:paraId="4CD6BBD4" w14:textId="77777777" w:rsidR="00171824" w:rsidRDefault="00171824">
      <w:pPr>
        <w:keepNext/>
        <w:widowControl/>
        <w:kinsoku w:val="0"/>
        <w:overflowPunct w:val="0"/>
        <w:rPr>
          <w:sz w:val="22"/>
          <w:szCs w:val="22"/>
          <w:lang w:val="el-GR"/>
        </w:rPr>
      </w:pPr>
    </w:p>
    <w:p w14:paraId="64F09652" w14:textId="77777777" w:rsidR="00171824" w:rsidRDefault="006D258C">
      <w:pPr>
        <w:pStyle w:val="BodyText"/>
        <w:widowControl/>
        <w:kinsoku w:val="0"/>
        <w:overflowPunct w:val="0"/>
        <w:ind w:left="0"/>
        <w:rPr>
          <w:lang w:val="el-GR"/>
        </w:rPr>
      </w:pPr>
      <w:r>
        <w:rPr>
          <w:lang w:val="el-GR"/>
        </w:rPr>
        <w:t>Βλέπε «Εμβόλια» παραπάνω.</w:t>
      </w:r>
    </w:p>
    <w:p w14:paraId="7CC3AD9D" w14:textId="77777777" w:rsidR="00171824" w:rsidRDefault="00171824">
      <w:pPr>
        <w:widowControl/>
        <w:kinsoku w:val="0"/>
        <w:overflowPunct w:val="0"/>
        <w:rPr>
          <w:sz w:val="22"/>
          <w:szCs w:val="22"/>
          <w:lang w:val="el-GR"/>
        </w:rPr>
      </w:pPr>
    </w:p>
    <w:p w14:paraId="79E85A77" w14:textId="77777777" w:rsidR="00171824" w:rsidRDefault="006D258C">
      <w:pPr>
        <w:widowControl/>
        <w:kinsoku w:val="0"/>
        <w:overflowPunct w:val="0"/>
        <w:rPr>
          <w:sz w:val="22"/>
          <w:szCs w:val="22"/>
          <w:lang w:val="el-GR"/>
        </w:rPr>
      </w:pPr>
      <w:r>
        <w:rPr>
          <w:sz w:val="22"/>
          <w:szCs w:val="22"/>
          <w:u w:val="single"/>
          <w:lang w:val="el-GR"/>
        </w:rPr>
        <w:t>Περιεχόμενο σε νάτριο</w:t>
      </w:r>
    </w:p>
    <w:p w14:paraId="61E37FF0" w14:textId="77777777" w:rsidR="00171824" w:rsidRDefault="00171824">
      <w:pPr>
        <w:widowControl/>
        <w:kinsoku w:val="0"/>
        <w:overflowPunct w:val="0"/>
        <w:rPr>
          <w:sz w:val="22"/>
          <w:szCs w:val="22"/>
          <w:lang w:val="el-GR"/>
        </w:rPr>
      </w:pPr>
    </w:p>
    <w:p w14:paraId="6FB00C00" w14:textId="77777777" w:rsidR="00171824" w:rsidRDefault="006D258C">
      <w:pPr>
        <w:widowControl/>
        <w:kinsoku w:val="0"/>
        <w:overflowPunct w:val="0"/>
        <w:rPr>
          <w:sz w:val="22"/>
          <w:szCs w:val="22"/>
          <w:lang w:val="el-GR"/>
        </w:rPr>
      </w:pPr>
      <w:r>
        <w:rPr>
          <w:sz w:val="22"/>
          <w:szCs w:val="22"/>
          <w:lang w:val="el-GR"/>
        </w:rPr>
        <w:t>Αυτό το φαρμακευτικό προϊόν περιέχει λιγότερο από 1</w:t>
      </w:r>
      <w:r>
        <w:rPr>
          <w:sz w:val="22"/>
          <w:lang w:val="el-GR"/>
        </w:rPr>
        <w:t> </w:t>
      </w:r>
      <w:r>
        <w:rPr>
          <w:sz w:val="22"/>
          <w:szCs w:val="22"/>
          <w:lang w:val="el-GR"/>
        </w:rPr>
        <w:t>mmol νατρίου (23 mg) ανά δόση των 0,8 ml, είναι αυτό που ονομάζουμε «ελεύθερο νατρίου».</w:t>
      </w:r>
    </w:p>
    <w:p w14:paraId="4FC958D4" w14:textId="77777777" w:rsidR="00171824" w:rsidRDefault="00171824">
      <w:pPr>
        <w:widowControl/>
        <w:kinsoku w:val="0"/>
        <w:overflowPunct w:val="0"/>
        <w:rPr>
          <w:sz w:val="22"/>
          <w:szCs w:val="22"/>
          <w:lang w:val="el-GR"/>
        </w:rPr>
      </w:pPr>
    </w:p>
    <w:p w14:paraId="7A61AE87" w14:textId="77777777" w:rsidR="00171824" w:rsidRDefault="006D258C">
      <w:pPr>
        <w:pStyle w:val="Heading1"/>
        <w:keepNext/>
        <w:keepLines/>
        <w:widowControl/>
        <w:tabs>
          <w:tab w:val="left" w:pos="567"/>
        </w:tabs>
        <w:kinsoku w:val="0"/>
        <w:overflowPunct w:val="0"/>
        <w:ind w:left="567" w:hanging="567"/>
        <w:rPr>
          <w:b w:val="0"/>
          <w:bCs w:val="0"/>
          <w:lang w:val="el-GR"/>
        </w:rPr>
      </w:pPr>
      <w:r>
        <w:rPr>
          <w:lang w:val="el-GR"/>
        </w:rPr>
        <w:lastRenderedPageBreak/>
        <w:t>4.5</w:t>
      </w:r>
      <w:r>
        <w:rPr>
          <w:lang w:val="el-GR"/>
        </w:rPr>
        <w:tab/>
        <w:t>Αλληλεπιδράσεις με άλλα φαρμακευτικά προϊόντα και άλλες μορφές αλληλεπίδρασης</w:t>
      </w:r>
    </w:p>
    <w:p w14:paraId="1071785E" w14:textId="77777777" w:rsidR="00171824" w:rsidRDefault="00171824">
      <w:pPr>
        <w:keepNext/>
        <w:keepLines/>
        <w:widowControl/>
        <w:kinsoku w:val="0"/>
        <w:overflowPunct w:val="0"/>
        <w:rPr>
          <w:sz w:val="22"/>
          <w:szCs w:val="22"/>
          <w:lang w:val="el-GR"/>
        </w:rPr>
      </w:pPr>
    </w:p>
    <w:p w14:paraId="6C23636C" w14:textId="77777777" w:rsidR="00171824" w:rsidRDefault="006D258C">
      <w:pPr>
        <w:pStyle w:val="BodyText"/>
        <w:widowControl/>
        <w:kinsoku w:val="0"/>
        <w:overflowPunct w:val="0"/>
        <w:ind w:left="0"/>
        <w:rPr>
          <w:lang w:val="el-GR"/>
        </w:rPr>
      </w:pPr>
      <w:r>
        <w:rPr>
          <w:lang w:val="el-GR"/>
        </w:rPr>
        <w:t>Το adalimumab έχει μελετηθεί σε ασθενείς με ρευματοειδή αρθρίτιδα, πολυαρθρική νεανική ιδιοπαθή αρθρίτιδα και ψωριασική αρθρίτιδα που λαμβάνουν adalimumab σαν μονοθεραπεία και σε ασθενείς που ταυτόχρονα λαμβάνουν και μεθοτρεξάτη. Ο σχηματισμός αντισωμάτων ήταν χαμηλότερος όταν το adalimumab δόθηκε σε συνδυασμό με μεθοτρεξάτη σε σύγκριση με τη χρήση του ως μονοθεραπεία. Η χορήγηση του adalimumab χωρίς μεθοτρεξάτη οδήγησε σε αυξημένο σχηματισμό αντισωμάτων, αύξηση ης κάθαρσης και μειωμένη αποτελεσματικότητα του adalimumab (βλέπε παράγραφο 5.1).</w:t>
      </w:r>
    </w:p>
    <w:p w14:paraId="24AA05B2" w14:textId="77777777" w:rsidR="00171824" w:rsidRDefault="00171824">
      <w:pPr>
        <w:widowControl/>
        <w:kinsoku w:val="0"/>
        <w:overflowPunct w:val="0"/>
        <w:rPr>
          <w:sz w:val="22"/>
          <w:szCs w:val="22"/>
          <w:lang w:val="el-GR"/>
        </w:rPr>
      </w:pPr>
    </w:p>
    <w:p w14:paraId="29A94107" w14:textId="77777777" w:rsidR="00171824" w:rsidRDefault="006D258C">
      <w:pPr>
        <w:pStyle w:val="BodyText"/>
        <w:widowControl/>
        <w:kinsoku w:val="0"/>
        <w:overflowPunct w:val="0"/>
        <w:ind w:left="0"/>
        <w:rPr>
          <w:lang w:val="el-GR"/>
        </w:rPr>
      </w:pPr>
      <w:r>
        <w:rPr>
          <w:lang w:val="el-GR"/>
        </w:rPr>
        <w:t>Ο συνδυασμός του AMGEVITA με anakinra δε συνιστάται (βλέπε παράγραφο 4.4 «Ταυτόχρονη χορήγηση βιολογικών DMARDs ή ΤΝF-ανταγωνιστών»).</w:t>
      </w:r>
    </w:p>
    <w:p w14:paraId="5D306855" w14:textId="77777777" w:rsidR="00171824" w:rsidRDefault="00171824">
      <w:pPr>
        <w:widowControl/>
        <w:kinsoku w:val="0"/>
        <w:overflowPunct w:val="0"/>
        <w:rPr>
          <w:sz w:val="22"/>
          <w:szCs w:val="22"/>
          <w:lang w:val="el-GR"/>
        </w:rPr>
      </w:pPr>
    </w:p>
    <w:p w14:paraId="251F66F6" w14:textId="77777777" w:rsidR="00171824" w:rsidRDefault="006D258C">
      <w:pPr>
        <w:pStyle w:val="BodyText"/>
        <w:widowControl/>
        <w:kinsoku w:val="0"/>
        <w:overflowPunct w:val="0"/>
        <w:ind w:left="0"/>
        <w:rPr>
          <w:lang w:val="el-GR"/>
        </w:rPr>
      </w:pPr>
      <w:r>
        <w:rPr>
          <w:lang w:val="el-GR"/>
        </w:rPr>
        <w:t>Ο συνδυασμός του AMGEVITA με abatacept δε συνιστάται (βλέπε παράγραφο 4.4 «Ταυτόχρονη χορήγηση βιολογικών DMARDs ή ΤΝF-ανταγωνιστών»).</w:t>
      </w:r>
    </w:p>
    <w:p w14:paraId="40BDBC4A" w14:textId="77777777" w:rsidR="00171824" w:rsidRDefault="00171824">
      <w:pPr>
        <w:widowControl/>
        <w:kinsoku w:val="0"/>
        <w:overflowPunct w:val="0"/>
        <w:rPr>
          <w:sz w:val="22"/>
          <w:szCs w:val="22"/>
          <w:lang w:val="el-GR"/>
        </w:rPr>
      </w:pPr>
    </w:p>
    <w:p w14:paraId="49ED4351" w14:textId="77777777" w:rsidR="00171824" w:rsidRDefault="006D258C">
      <w:pPr>
        <w:pStyle w:val="Heading1"/>
        <w:keepNext/>
        <w:widowControl/>
        <w:tabs>
          <w:tab w:val="left" w:pos="567"/>
        </w:tabs>
        <w:kinsoku w:val="0"/>
        <w:overflowPunct w:val="0"/>
        <w:ind w:left="567" w:hanging="567"/>
        <w:rPr>
          <w:b w:val="0"/>
          <w:bCs w:val="0"/>
          <w:lang w:val="el-GR"/>
        </w:rPr>
      </w:pPr>
      <w:r>
        <w:rPr>
          <w:lang w:val="el-GR"/>
        </w:rPr>
        <w:t>4.6</w:t>
      </w:r>
      <w:r>
        <w:rPr>
          <w:lang w:val="el-GR"/>
        </w:rPr>
        <w:tab/>
        <w:t>Γονιμότητα, κύηση και γαλουχία</w:t>
      </w:r>
    </w:p>
    <w:p w14:paraId="2E3C4B80" w14:textId="77777777" w:rsidR="00171824" w:rsidRDefault="00171824">
      <w:pPr>
        <w:keepNext/>
        <w:widowControl/>
        <w:kinsoku w:val="0"/>
        <w:overflowPunct w:val="0"/>
        <w:rPr>
          <w:sz w:val="22"/>
          <w:szCs w:val="22"/>
          <w:lang w:val="el-GR"/>
        </w:rPr>
      </w:pPr>
    </w:p>
    <w:p w14:paraId="5A293581" w14:textId="77777777" w:rsidR="00171824" w:rsidRDefault="006D258C">
      <w:pPr>
        <w:pStyle w:val="BodyText"/>
        <w:keepNext/>
        <w:widowControl/>
        <w:kinsoku w:val="0"/>
        <w:overflowPunct w:val="0"/>
        <w:ind w:left="0"/>
        <w:rPr>
          <w:lang w:val="el-GR"/>
        </w:rPr>
      </w:pPr>
      <w:r>
        <w:rPr>
          <w:u w:val="single"/>
          <w:lang w:val="el-GR"/>
        </w:rPr>
        <w:t>Γυναίκες σε αναπαραγωγική ηλικία</w:t>
      </w:r>
    </w:p>
    <w:p w14:paraId="79F6850E" w14:textId="77777777" w:rsidR="00171824" w:rsidRDefault="00171824">
      <w:pPr>
        <w:keepNext/>
        <w:widowControl/>
        <w:kinsoku w:val="0"/>
        <w:overflowPunct w:val="0"/>
        <w:rPr>
          <w:sz w:val="22"/>
          <w:szCs w:val="22"/>
          <w:lang w:val="el-GR"/>
        </w:rPr>
      </w:pPr>
    </w:p>
    <w:p w14:paraId="015B5935" w14:textId="77777777" w:rsidR="00171824" w:rsidRDefault="006D258C">
      <w:pPr>
        <w:pStyle w:val="BodyText"/>
        <w:widowControl/>
        <w:kinsoku w:val="0"/>
        <w:overflowPunct w:val="0"/>
        <w:ind w:left="0"/>
        <w:jc w:val="both"/>
        <w:rPr>
          <w:lang w:val="el-GR"/>
        </w:rPr>
      </w:pPr>
      <w:r>
        <w:rPr>
          <w:lang w:val="el-GR"/>
        </w:rPr>
        <w:t>Σε γυναίκες που βρίσκονται σε αναπαραγωγική ηλικία πρέπει να εξετάζεται η χρήση κατάλληλης αντισύλληψης για την αποφυγή εγκυμοσύνης την οποία και να συνεχίζουν για τουλάχιστον πέντε μήνες μετά την τελευταία θεραπεία με AMGEVITA.</w:t>
      </w:r>
    </w:p>
    <w:p w14:paraId="287A081E" w14:textId="77777777" w:rsidR="00171824" w:rsidRDefault="00171824">
      <w:pPr>
        <w:widowControl/>
        <w:kinsoku w:val="0"/>
        <w:overflowPunct w:val="0"/>
        <w:rPr>
          <w:sz w:val="22"/>
          <w:szCs w:val="22"/>
          <w:lang w:val="el-GR"/>
        </w:rPr>
      </w:pPr>
    </w:p>
    <w:p w14:paraId="6C9633C6" w14:textId="77777777" w:rsidR="00171824" w:rsidRDefault="006D258C">
      <w:pPr>
        <w:pStyle w:val="BodyText"/>
        <w:widowControl/>
        <w:kinsoku w:val="0"/>
        <w:overflowPunct w:val="0"/>
        <w:ind w:left="0"/>
        <w:jc w:val="both"/>
        <w:rPr>
          <w:lang w:val="el-GR"/>
        </w:rPr>
      </w:pPr>
      <w:r>
        <w:rPr>
          <w:u w:val="single"/>
          <w:lang w:val="el-GR"/>
        </w:rPr>
        <w:t>Κύηση</w:t>
      </w:r>
    </w:p>
    <w:p w14:paraId="594D2635" w14:textId="77777777" w:rsidR="00171824" w:rsidRDefault="00171824">
      <w:pPr>
        <w:widowControl/>
        <w:kinsoku w:val="0"/>
        <w:overflowPunct w:val="0"/>
        <w:rPr>
          <w:sz w:val="22"/>
          <w:szCs w:val="22"/>
          <w:lang w:val="el-GR"/>
        </w:rPr>
      </w:pPr>
    </w:p>
    <w:p w14:paraId="7FBF9771" w14:textId="77777777" w:rsidR="00171824" w:rsidRDefault="006D258C">
      <w:pPr>
        <w:rPr>
          <w:sz w:val="22"/>
          <w:szCs w:val="22"/>
          <w:lang w:val="el-GR"/>
        </w:rPr>
      </w:pPr>
      <w:r>
        <w:rPr>
          <w:sz w:val="22"/>
          <w:szCs w:val="22"/>
          <w:lang w:val="el-GR"/>
        </w:rPr>
        <w:t>Ένας μεγάλος αριθμός (περίπου 2 100) προοπτικά συλλεγμένων κυήσεων που εκτέθηκαν σε adalimumab έχοντας ως αποτέλεσμα την γέννηση ζώντων νεογνών με γνωστές εκβάσεις, περιλαμβάνοντας περισσότερες από 1 500 κυήσεις με έκθεση στο adalimumab στη διάρκεια του πρώτου τριμήνου, δεν υποδεικνύει μια αύξηση στη συχνότητα δυσπλασίας στο νεογνό.</w:t>
      </w:r>
    </w:p>
    <w:p w14:paraId="7421C23C" w14:textId="77777777" w:rsidR="00171824" w:rsidRDefault="00171824">
      <w:pPr>
        <w:widowControl/>
        <w:kinsoku w:val="0"/>
        <w:overflowPunct w:val="0"/>
        <w:rPr>
          <w:sz w:val="22"/>
          <w:szCs w:val="22"/>
          <w:lang w:val="el-GR"/>
        </w:rPr>
      </w:pPr>
    </w:p>
    <w:p w14:paraId="4E255F1F" w14:textId="77777777" w:rsidR="00171824" w:rsidRDefault="006D258C">
      <w:pPr>
        <w:widowControl/>
        <w:rPr>
          <w:sz w:val="22"/>
          <w:lang w:val="el-GR"/>
        </w:rPr>
      </w:pPr>
      <w:r>
        <w:rPr>
          <w:sz w:val="22"/>
          <w:szCs w:val="22"/>
          <w:lang w:val="el-GR"/>
        </w:rPr>
        <w:t>Σε μία προοπτική καταγραφή εγγράφηκαν 257 γυναίκες με ρευματοειδή αρθρίτιδα (ΡΑ) ή νόσο του Crohn (CD) οι οποίες έλαβαν θεραπεία με adalimumab τουλάχιστον κατά τη διάρκεια του πρώτου τριμήνου και 120 γυναίκες με ΡΑ ή CD οι οποίες δεν έλαβαν θεραπεία με adalimumab. Το πρωτεύον καταληκτικό σημείο ήταν ο επιπολασμός της γέννησης με σημαντικές συγγενείς διαμαρτίες. Το ποσοστό των κυήσεων οι οποίες έληξαν με μια τουλάχιστον γέννηση ζωντανού νεογέννητου βρέφους με μια μείζονα συγγενή διαμαρτία ήταν 6/69 (8,7%) στις γυναίκες με ΡΑ που έλαβαν θεραπεία με adalimumab και 5/74 (6,8%) στις γυναίκες με ΡΑ που δεν έλαβαν θεραπεία (μη προσαρμοσμένο OR 1,31, 95% CI 0,38-4,52) και 16/152 (10,5%) στις γυναίκες με CD που έλαβαν θεραπεία με adalimumab και 3/32 (9,4%) στις γυναίκες με CD που δεν έλαβαν θεραπεία (μη προσαρμοσμένο OR 1,14, 95% CI 0,31-4,16). Το προσαρμοσμένο OR (λαμβάνεται υπόψη για τις διαφορές από την αρχική τιμή) ήταν 1,10 (95% CI 0,45-2,73) κατά τον συνδυασμό ΡΑ και CD. Δεν υπήρχαν διακριτές διαφορές μεταξύ των γυναικών που έλαβαν θεραπεία με adalimumab και γυναικών που δεν έλαβαν θεραπεία ως προς τα δευτερεύοντα καταληκτικά σημεία αυτόματων αποβολών, ελάσσονων συγγενών διαμαρτιών, πρόωρου τοκετού, μεγέθους νεογνού και σοβαρών ή ευκαιριακών λοιμώξεων και δεν αναφέρθηκαν τοκετοί νεκρού εμβρύου ή κακοήθειες. Η ερμηνεία των δεδομένων ενδέχεται να επηρεάστηκε λόγω των μεθοδολογικών περιορισμών της μελέτης, περιλαμβανομένων του μικρού μεγέθους δείγματος και του μη τυχαιοποιημένου σχεδιασμού</w:t>
      </w:r>
      <w:r>
        <w:rPr>
          <w:sz w:val="22"/>
          <w:lang w:val="el-GR"/>
        </w:rPr>
        <w:t>.</w:t>
      </w:r>
    </w:p>
    <w:p w14:paraId="0ABF14B0" w14:textId="77777777" w:rsidR="00171824" w:rsidRDefault="00171824">
      <w:pPr>
        <w:widowControl/>
        <w:kinsoku w:val="0"/>
        <w:overflowPunct w:val="0"/>
        <w:rPr>
          <w:sz w:val="22"/>
          <w:szCs w:val="22"/>
          <w:lang w:val="el-GR"/>
        </w:rPr>
      </w:pPr>
    </w:p>
    <w:p w14:paraId="5F89510B" w14:textId="77777777" w:rsidR="00171824" w:rsidRDefault="006D258C">
      <w:pPr>
        <w:pStyle w:val="BodyText"/>
        <w:widowControl/>
        <w:kinsoku w:val="0"/>
        <w:overflowPunct w:val="0"/>
        <w:ind w:left="0"/>
        <w:rPr>
          <w:lang w:val="el-GR"/>
        </w:rPr>
      </w:pPr>
      <w:r>
        <w:rPr>
          <w:lang w:val="el-GR"/>
        </w:rPr>
        <w:t>Σε μια μελέτη τοξικότητας στην ανάπτυξη που διεξήχθη σε πιθήκους, δεν υπήρξαν ενδείξεις μητρικής τοξικότητας, εμβρυοτοξικότητας ή τερατογένεσης. Δεν είναι διαθέσιμα προκλινικά δεδομένα για τη νεογνική τοξικότητα του adalimumab (βλέπε παράγραφο 5.3).</w:t>
      </w:r>
    </w:p>
    <w:p w14:paraId="31F6FA2C" w14:textId="77777777" w:rsidR="00171824" w:rsidRDefault="00171824">
      <w:pPr>
        <w:widowControl/>
        <w:kinsoku w:val="0"/>
        <w:overflowPunct w:val="0"/>
        <w:rPr>
          <w:sz w:val="22"/>
          <w:szCs w:val="22"/>
          <w:lang w:val="el-GR"/>
        </w:rPr>
      </w:pPr>
    </w:p>
    <w:p w14:paraId="6AE84864" w14:textId="77777777" w:rsidR="00171824" w:rsidRDefault="006D258C">
      <w:pPr>
        <w:pStyle w:val="BodyText"/>
        <w:widowControl/>
        <w:kinsoku w:val="0"/>
        <w:overflowPunct w:val="0"/>
        <w:ind w:left="0"/>
        <w:jc w:val="both"/>
        <w:rPr>
          <w:lang w:val="el-GR"/>
        </w:rPr>
      </w:pPr>
      <w:r>
        <w:rPr>
          <w:lang w:val="el-GR"/>
        </w:rPr>
        <w:t>Λόγω της αναστολής του TNFα, το adalimumab χορηγούμενο κατά τη διάρκεια της κύησης ενδέχεται να επηρεάσει τις φυσιολογικές άνοσες ανταποκρίσεις του νεογέννητου. Το AMGEVITA πρέπει να χρησιμοποιείται κατά τη διάρκεια της κύησης μόνο εφόσον σαφώς χρειάζεται.</w:t>
      </w:r>
    </w:p>
    <w:p w14:paraId="6C2E1F6F" w14:textId="77777777" w:rsidR="00171824" w:rsidRDefault="00171824">
      <w:pPr>
        <w:keepNext/>
        <w:widowControl/>
        <w:kinsoku w:val="0"/>
        <w:overflowPunct w:val="0"/>
        <w:rPr>
          <w:sz w:val="22"/>
          <w:szCs w:val="22"/>
          <w:lang w:val="el-GR"/>
        </w:rPr>
      </w:pPr>
    </w:p>
    <w:p w14:paraId="4078CFF3" w14:textId="77777777" w:rsidR="00171824" w:rsidRDefault="006D258C">
      <w:pPr>
        <w:pStyle w:val="BodyText"/>
        <w:widowControl/>
        <w:kinsoku w:val="0"/>
        <w:overflowPunct w:val="0"/>
        <w:ind w:left="0"/>
        <w:rPr>
          <w:lang w:val="el-GR"/>
        </w:rPr>
      </w:pPr>
      <w:r>
        <w:rPr>
          <w:lang w:val="el-GR"/>
        </w:rPr>
        <w:t xml:space="preserve">Το adalimumab μπορεί να διαπεράσει τον πλακούντα και να εισέλθει στον ορό των νεογνών που γεννήθηκαν από γυναίκες που έλαβαν adalimumab κατά τη διάρκεια της εγκυμοσύνης. Κατά συνέπεια, αυτά τα βρέφη μπορεί να διατρέχουν αυξημένο κίνδυνο για λοίμωξη. Η χορήγηση εμβολίων από ζώντες μικροοργανισμούς (π.χ. εμβόλιο BCG) για τα βρέφη που εκτίθενται σε adalimumab </w:t>
      </w:r>
      <w:r>
        <w:rPr>
          <w:i/>
          <w:iCs/>
          <w:lang w:val="el-GR"/>
        </w:rPr>
        <w:t>in utero</w:t>
      </w:r>
      <w:r>
        <w:rPr>
          <w:lang w:val="el-GR"/>
        </w:rPr>
        <w:t xml:space="preserve"> δεν συνιστάται για 5 μήνες μετά την τελευταία ένεση adalimumab στη μητέρα κατά τη διάρκεια της εγκυμοσύνης.</w:t>
      </w:r>
    </w:p>
    <w:p w14:paraId="75CE6308" w14:textId="77777777" w:rsidR="00171824" w:rsidRDefault="00171824">
      <w:pPr>
        <w:widowControl/>
        <w:kinsoku w:val="0"/>
        <w:overflowPunct w:val="0"/>
        <w:rPr>
          <w:sz w:val="22"/>
          <w:szCs w:val="22"/>
          <w:lang w:val="el-GR"/>
        </w:rPr>
      </w:pPr>
    </w:p>
    <w:p w14:paraId="09BA2E3C" w14:textId="77777777" w:rsidR="00171824" w:rsidRDefault="006D258C">
      <w:pPr>
        <w:pStyle w:val="BodyText"/>
        <w:keepNext/>
        <w:widowControl/>
        <w:kinsoku w:val="0"/>
        <w:overflowPunct w:val="0"/>
        <w:ind w:left="0"/>
        <w:rPr>
          <w:lang w:val="el-GR"/>
        </w:rPr>
      </w:pPr>
      <w:r>
        <w:rPr>
          <w:u w:val="single"/>
          <w:lang w:val="el-GR"/>
        </w:rPr>
        <w:t>Θηλασμός</w:t>
      </w:r>
    </w:p>
    <w:p w14:paraId="468C5EE1" w14:textId="77777777" w:rsidR="00171824" w:rsidRDefault="00171824">
      <w:pPr>
        <w:keepNext/>
        <w:widowControl/>
        <w:kinsoku w:val="0"/>
        <w:overflowPunct w:val="0"/>
        <w:rPr>
          <w:sz w:val="22"/>
          <w:szCs w:val="22"/>
          <w:lang w:val="el-GR"/>
        </w:rPr>
      </w:pPr>
    </w:p>
    <w:p w14:paraId="1220C897" w14:textId="77777777" w:rsidR="00171824" w:rsidRDefault="006D258C">
      <w:pPr>
        <w:keepNext/>
        <w:widowControl/>
        <w:rPr>
          <w:sz w:val="22"/>
          <w:lang w:val="el-GR"/>
        </w:rPr>
      </w:pPr>
      <w:r>
        <w:rPr>
          <w:sz w:val="22"/>
          <w:szCs w:val="22"/>
          <w:lang w:val="el-GR"/>
        </w:rPr>
        <w:t>Περιορισμένες πληροφορίες από την δημοσιευμένη βιβλιογραφία υποδεικνύουν ότι το adalimumab απεκκρίνεται στο μητρικό γάλα σε πολύ χαμηλές συγκεντρώσεις με την παρουσία του adalimumab στο ανθρώπινο γάλα να είναι σε συγκεντρώσεις 0,1% έως 1% σε σχέση με τη συγκέντρωση στον ορό του αίματος της μητέρας. Όταν χορηγούνται από του στόματος, οι πρωτεΐνες των ανοσοσφαιρινών G υφίστανται εντερική πρωτεόλυση και έχουν πτωχή βιοδιαθεσιμότητα. Δεν αναμένονται επιδράσεις στα θηλάζοντα νεογνά/βρέφη. Συνεπώς, το AMGEVITA μπορεί να χρησιμοποιηθεί κατά τη διάρκεια του θηλασμού.</w:t>
      </w:r>
    </w:p>
    <w:p w14:paraId="0EBBFD15" w14:textId="77777777" w:rsidR="00171824" w:rsidRDefault="00171824">
      <w:pPr>
        <w:widowControl/>
        <w:kinsoku w:val="0"/>
        <w:overflowPunct w:val="0"/>
        <w:rPr>
          <w:sz w:val="22"/>
          <w:szCs w:val="22"/>
          <w:lang w:val="el-GR"/>
        </w:rPr>
      </w:pPr>
    </w:p>
    <w:p w14:paraId="5CE8D942" w14:textId="77777777" w:rsidR="00171824" w:rsidRDefault="006D258C">
      <w:pPr>
        <w:pStyle w:val="BodyText"/>
        <w:widowControl/>
        <w:kinsoku w:val="0"/>
        <w:overflowPunct w:val="0"/>
        <w:ind w:left="0"/>
        <w:rPr>
          <w:lang w:val="el-GR"/>
        </w:rPr>
      </w:pPr>
      <w:r>
        <w:rPr>
          <w:u w:val="single"/>
          <w:lang w:val="el-GR"/>
        </w:rPr>
        <w:t>Γονιμότητα</w:t>
      </w:r>
    </w:p>
    <w:p w14:paraId="6BE38F84" w14:textId="77777777" w:rsidR="00171824" w:rsidRDefault="00171824">
      <w:pPr>
        <w:widowControl/>
        <w:kinsoku w:val="0"/>
        <w:overflowPunct w:val="0"/>
        <w:rPr>
          <w:sz w:val="22"/>
          <w:szCs w:val="22"/>
          <w:lang w:val="el-GR"/>
        </w:rPr>
      </w:pPr>
    </w:p>
    <w:p w14:paraId="1405B34A" w14:textId="77777777" w:rsidR="00171824" w:rsidRDefault="006D258C">
      <w:pPr>
        <w:pStyle w:val="BodyText"/>
        <w:widowControl/>
        <w:kinsoku w:val="0"/>
        <w:overflowPunct w:val="0"/>
        <w:ind w:left="0"/>
        <w:rPr>
          <w:lang w:val="el-GR"/>
        </w:rPr>
      </w:pPr>
      <w:r>
        <w:rPr>
          <w:lang w:val="el-GR"/>
        </w:rPr>
        <w:t>Προκλινικά δεδομένα για τις επιδράσεις του adalimumab στη γονιμότητα δεν είναι διαθέσιμα.</w:t>
      </w:r>
    </w:p>
    <w:p w14:paraId="39BBECEF" w14:textId="77777777" w:rsidR="00171824" w:rsidRDefault="00171824">
      <w:pPr>
        <w:widowControl/>
        <w:kinsoku w:val="0"/>
        <w:overflowPunct w:val="0"/>
        <w:rPr>
          <w:sz w:val="22"/>
          <w:szCs w:val="22"/>
          <w:lang w:val="el-GR"/>
        </w:rPr>
      </w:pPr>
    </w:p>
    <w:p w14:paraId="797D5880" w14:textId="77777777" w:rsidR="00171824" w:rsidRDefault="006D258C">
      <w:pPr>
        <w:pStyle w:val="Heading1"/>
        <w:keepNext/>
        <w:widowControl/>
        <w:tabs>
          <w:tab w:val="left" w:pos="567"/>
        </w:tabs>
        <w:kinsoku w:val="0"/>
        <w:overflowPunct w:val="0"/>
        <w:ind w:left="567" w:hanging="567"/>
        <w:rPr>
          <w:b w:val="0"/>
          <w:bCs w:val="0"/>
          <w:lang w:val="el-GR"/>
        </w:rPr>
      </w:pPr>
      <w:r>
        <w:rPr>
          <w:lang w:val="el-GR"/>
        </w:rPr>
        <w:t>4.7</w:t>
      </w:r>
      <w:r>
        <w:rPr>
          <w:lang w:val="el-GR"/>
        </w:rPr>
        <w:tab/>
        <w:t>Επιδράσεις στην ικανότητα οδήγησης και χειρισμού μηχανημάτων</w:t>
      </w:r>
    </w:p>
    <w:p w14:paraId="58B911DF" w14:textId="77777777" w:rsidR="00171824" w:rsidRDefault="00171824">
      <w:pPr>
        <w:keepNext/>
        <w:widowControl/>
        <w:kinsoku w:val="0"/>
        <w:overflowPunct w:val="0"/>
        <w:rPr>
          <w:sz w:val="22"/>
          <w:szCs w:val="22"/>
          <w:lang w:val="el-GR"/>
        </w:rPr>
      </w:pPr>
    </w:p>
    <w:p w14:paraId="4EEF7D17" w14:textId="77777777" w:rsidR="00171824" w:rsidRDefault="006D258C">
      <w:pPr>
        <w:pStyle w:val="BodyText"/>
        <w:widowControl/>
        <w:kinsoku w:val="0"/>
        <w:overflowPunct w:val="0"/>
        <w:ind w:left="0"/>
        <w:rPr>
          <w:lang w:val="el-GR"/>
        </w:rPr>
      </w:pPr>
      <w:r>
        <w:rPr>
          <w:lang w:val="el-GR"/>
        </w:rPr>
        <w:t>Το AMGEVITA μπορεί να έχει μικρή επίδραση στην ικανότητα οδήγησης και χειρισμού μηχανημάτων. Ίλιγγος και διαταραχή της όρασης μπορεί να συμβούν μετά τη χορήγηση του AMGEVITA (βλέπε παράγραφο 4.8).</w:t>
      </w:r>
    </w:p>
    <w:p w14:paraId="549EB678" w14:textId="77777777" w:rsidR="00171824" w:rsidRDefault="00171824">
      <w:pPr>
        <w:pStyle w:val="BodyText"/>
        <w:widowControl/>
        <w:kinsoku w:val="0"/>
        <w:overflowPunct w:val="0"/>
        <w:ind w:left="0"/>
        <w:rPr>
          <w:lang w:val="el-GR"/>
        </w:rPr>
      </w:pPr>
    </w:p>
    <w:p w14:paraId="67CAEEA3" w14:textId="77777777" w:rsidR="00171824" w:rsidRDefault="006D258C">
      <w:pPr>
        <w:pStyle w:val="Heading1"/>
        <w:widowControl/>
        <w:kinsoku w:val="0"/>
        <w:overflowPunct w:val="0"/>
        <w:ind w:left="567" w:hanging="567"/>
        <w:rPr>
          <w:b w:val="0"/>
          <w:bCs w:val="0"/>
          <w:lang w:val="el-GR"/>
        </w:rPr>
      </w:pPr>
      <w:r>
        <w:rPr>
          <w:lang w:val="el-GR"/>
        </w:rPr>
        <w:t>4.8</w:t>
      </w:r>
      <w:r>
        <w:rPr>
          <w:lang w:val="el-GR"/>
        </w:rPr>
        <w:tab/>
        <w:t>Ανεπιθύμητες ενέργειες</w:t>
      </w:r>
    </w:p>
    <w:p w14:paraId="6F31C345" w14:textId="77777777" w:rsidR="00171824" w:rsidRDefault="00171824">
      <w:pPr>
        <w:widowControl/>
        <w:kinsoku w:val="0"/>
        <w:overflowPunct w:val="0"/>
        <w:rPr>
          <w:sz w:val="22"/>
          <w:szCs w:val="22"/>
          <w:lang w:val="el-GR"/>
        </w:rPr>
      </w:pPr>
    </w:p>
    <w:p w14:paraId="631D2906" w14:textId="77777777" w:rsidR="00171824" w:rsidRDefault="006D258C">
      <w:pPr>
        <w:pStyle w:val="BodyText"/>
        <w:widowControl/>
        <w:kinsoku w:val="0"/>
        <w:overflowPunct w:val="0"/>
        <w:ind w:left="0"/>
        <w:rPr>
          <w:lang w:val="el-GR"/>
        </w:rPr>
      </w:pPr>
      <w:r>
        <w:rPr>
          <w:u w:val="single"/>
          <w:lang w:val="el-GR"/>
        </w:rPr>
        <w:t>Περίληψη του προφίλ ασφάλειας</w:t>
      </w:r>
    </w:p>
    <w:p w14:paraId="70BBA7DD" w14:textId="77777777" w:rsidR="00171824" w:rsidRDefault="00171824">
      <w:pPr>
        <w:widowControl/>
        <w:kinsoku w:val="0"/>
        <w:overflowPunct w:val="0"/>
        <w:rPr>
          <w:sz w:val="22"/>
          <w:szCs w:val="22"/>
          <w:lang w:val="el-GR"/>
        </w:rPr>
      </w:pPr>
    </w:p>
    <w:p w14:paraId="6A23BD92" w14:textId="77777777" w:rsidR="00171824" w:rsidRDefault="006D258C">
      <w:pPr>
        <w:pStyle w:val="BodyText"/>
        <w:widowControl/>
        <w:kinsoku w:val="0"/>
        <w:overflowPunct w:val="0"/>
        <w:ind w:left="0"/>
        <w:rPr>
          <w:lang w:val="el-GR"/>
        </w:rPr>
      </w:pPr>
      <w:r>
        <w:rPr>
          <w:lang w:val="el-GR"/>
        </w:rPr>
        <w:t>Το adalimumab μελετήθηκε σε 9 506 ασθενείς κατά τη διάρκεια πιλοτικών ελεγχόμενων και ανοιχτών μελετών για περίοδο μέχρι 60 μήνες ή περισσότερο. Αυτές οι μελέτες περιελάμβαναν τόσο ασθενείς με πρώιμη ρευματοειδή αρθρίτιδα όσο και με μακροχρόνια νόσο, νεανική ιδιοπαθή αρθρίτιδα (πολυαρθρική νεανική ιδιοπαθή αρθρίτιδα και αρθρίτιδα σχετιζόμενη με ενθεσίτιδα), καθώς και ασθενείς με αξονική σπονδυλαρθρίτιδα (αγκυλοποιητική σπονδυλίτιδα και αξονική σπονδυλαρθρίτιδα χωρίς ακτινολογικά ευρήματα αγκυλοποιητικής σπονδυλίτιδας), ψωριασική αρθρίτιδα, νόσο του Crohn, ελκώδη κολίτιδα, ψωρίαση, διαπυητική ιδρωταδενίτιδα και ραγοειδίτιδα. Στις πιλοτικές ελεγχόμενες μελέτες συμμετείχαν 6 089 ασθενείς που έλαβαν adalimumab και 3 801 ασθενείς που έλαβαν εικονικό ή δραστικό φάρμακο κατά τη διάρκεια της περιόδου ελέγχου.</w:t>
      </w:r>
    </w:p>
    <w:p w14:paraId="782C86A4" w14:textId="77777777" w:rsidR="00171824" w:rsidRDefault="00171824">
      <w:pPr>
        <w:widowControl/>
        <w:kinsoku w:val="0"/>
        <w:overflowPunct w:val="0"/>
        <w:rPr>
          <w:sz w:val="22"/>
          <w:szCs w:val="22"/>
          <w:lang w:val="el-GR"/>
        </w:rPr>
      </w:pPr>
    </w:p>
    <w:p w14:paraId="5F364467" w14:textId="77777777" w:rsidR="00171824" w:rsidRDefault="006D258C">
      <w:pPr>
        <w:pStyle w:val="BodyText"/>
        <w:widowControl/>
        <w:kinsoku w:val="0"/>
        <w:overflowPunct w:val="0"/>
        <w:ind w:left="0"/>
        <w:rPr>
          <w:lang w:val="el-GR"/>
        </w:rPr>
      </w:pPr>
      <w:r>
        <w:rPr>
          <w:lang w:val="el-GR"/>
        </w:rPr>
        <w:t>Το ποσοστό των ασθενών που διέκοψαν τη θεραπεία λόγω σοβαρών ανεπιθύμητων ενεργειών κατά τη διάρκεια της διπλής-τυφλής, ελεγχόμενης φάσης των πιλοτικών μελετών ήταν 5,9% για τους ασθενείς που έλαβαν το adalimumab και 5,4% για τους μάρτυρες ασθενείς.</w:t>
      </w:r>
    </w:p>
    <w:p w14:paraId="3FEB02F4" w14:textId="77777777" w:rsidR="00171824" w:rsidRDefault="00171824">
      <w:pPr>
        <w:widowControl/>
        <w:kinsoku w:val="0"/>
        <w:overflowPunct w:val="0"/>
        <w:rPr>
          <w:sz w:val="22"/>
          <w:szCs w:val="22"/>
          <w:lang w:val="el-GR"/>
        </w:rPr>
      </w:pPr>
    </w:p>
    <w:p w14:paraId="35DD14D2" w14:textId="77777777" w:rsidR="00171824" w:rsidRDefault="006D258C">
      <w:pPr>
        <w:pStyle w:val="BodyText"/>
        <w:widowControl/>
        <w:kinsoku w:val="0"/>
        <w:overflowPunct w:val="0"/>
        <w:ind w:left="0"/>
        <w:rPr>
          <w:lang w:val="el-GR"/>
        </w:rPr>
      </w:pPr>
      <w:r>
        <w:rPr>
          <w:lang w:val="el-GR"/>
        </w:rPr>
        <w:t>Οι πιο συχνά αναφερόμενες ανεπιθύμητες ενέργειες είναι λοιμώξεις (όπως η ρινοφαρυγγίτιδα, λοιμώξεις του ανώτερου αναπνευστικού και παραρρινοκολπίτιδα), αντιδράσεις στη θέση της ένεσης (ερύθημα, κνησμός, αιμορραγία, πόνος ή οίδημα), κεφαλαλγία και μυοσκελετικός πόνος.</w:t>
      </w:r>
    </w:p>
    <w:p w14:paraId="7D748F62" w14:textId="77777777" w:rsidR="00171824" w:rsidRDefault="00171824">
      <w:pPr>
        <w:widowControl/>
        <w:kinsoku w:val="0"/>
        <w:overflowPunct w:val="0"/>
        <w:rPr>
          <w:sz w:val="22"/>
          <w:szCs w:val="22"/>
          <w:lang w:val="el-GR"/>
        </w:rPr>
      </w:pPr>
    </w:p>
    <w:p w14:paraId="7BAD8D4C" w14:textId="77777777" w:rsidR="00171824" w:rsidRDefault="006D258C">
      <w:pPr>
        <w:pStyle w:val="BodyText"/>
        <w:widowControl/>
        <w:kinsoku w:val="0"/>
        <w:overflowPunct w:val="0"/>
        <w:ind w:left="0"/>
        <w:rPr>
          <w:lang w:val="el-GR"/>
        </w:rPr>
      </w:pPr>
      <w:r>
        <w:rPr>
          <w:lang w:val="el-GR"/>
        </w:rPr>
        <w:t>Σοβαρές ανεπιθύμητες ενέργειες έχουν αναφερθεί για το adalimumab. Οι TNF-ανταγωνιστές, όπως το AMGEVITA, επηρεάζουν το ανοσοποιητικό σύστημα και η χρήση τους μπορεί να επηρεάσει την άμυνα του οργανισμού κατά των λοιμώξεων και του καρκίνου.</w:t>
      </w:r>
    </w:p>
    <w:p w14:paraId="4C128FA0" w14:textId="77777777" w:rsidR="00171824" w:rsidRDefault="00171824">
      <w:pPr>
        <w:keepNext/>
        <w:widowControl/>
        <w:kinsoku w:val="0"/>
        <w:overflowPunct w:val="0"/>
        <w:rPr>
          <w:sz w:val="22"/>
          <w:szCs w:val="22"/>
          <w:lang w:val="el-GR"/>
        </w:rPr>
      </w:pPr>
    </w:p>
    <w:p w14:paraId="7F1CC011" w14:textId="77777777" w:rsidR="00171824" w:rsidRDefault="006D258C">
      <w:pPr>
        <w:pStyle w:val="BodyText"/>
        <w:keepNext/>
        <w:keepLines/>
        <w:widowControl/>
        <w:kinsoku w:val="0"/>
        <w:overflowPunct w:val="0"/>
        <w:ind w:left="0"/>
        <w:rPr>
          <w:lang w:val="el-GR"/>
        </w:rPr>
      </w:pPr>
      <w:r>
        <w:rPr>
          <w:lang w:val="el-GR"/>
        </w:rPr>
        <w:t>Θανατηφόρες και απειλητικές για τη ζωή λοιμώξεις (συμπεριλαμβανομένης της σήψης, ευκαιριακών λοιμώξεων και φυματίωσης), επανενεργοποίηση του ιού ηπατίτιδας Β (HBV) και διάφορες κακοήθειες (συμπεριλαμβανομένης της λευχαιμίας, του λεμφώματος και του ηπατοσπληνικού λεμφώματος εκ Τ-κυττάρων (HSTCL)) έχουν επίσης αναφερθεί με τη χρήση του adalimumab.</w:t>
      </w:r>
    </w:p>
    <w:p w14:paraId="0D014F4E" w14:textId="77777777" w:rsidR="00171824" w:rsidRDefault="00171824">
      <w:pPr>
        <w:widowControl/>
        <w:kinsoku w:val="0"/>
        <w:overflowPunct w:val="0"/>
        <w:rPr>
          <w:sz w:val="22"/>
          <w:szCs w:val="22"/>
          <w:lang w:val="el-GR"/>
        </w:rPr>
      </w:pPr>
    </w:p>
    <w:p w14:paraId="064C1205" w14:textId="77777777" w:rsidR="00171824" w:rsidRDefault="006D258C">
      <w:pPr>
        <w:pStyle w:val="BodyText"/>
        <w:widowControl/>
        <w:kinsoku w:val="0"/>
        <w:overflowPunct w:val="0"/>
        <w:ind w:left="0"/>
        <w:rPr>
          <w:lang w:val="el-GR"/>
        </w:rPr>
      </w:pPr>
      <w:r>
        <w:rPr>
          <w:lang w:val="el-GR"/>
        </w:rPr>
        <w:t>Σοβαρές αιματολογικές, νευρολογικές και αυτοάνοσες αντιδράσεις έχουν επίσης αναφερθεί. Αυτά περιλαμβάνουν σπάνιες αναφορές πανκυτταροπενίας, απλαστικής αναιμίας, απομυελινωτικών συμβάντων κεντρικού και περιφερικού νευρικού συστήματος και αναφορές για συστηματικό ερυθηματώδη λύκο, καταστάσεων που προσομοιάζουν με λύκο και σύνδρομο Stevens-Johnson.</w:t>
      </w:r>
    </w:p>
    <w:p w14:paraId="2F5C0383" w14:textId="77777777" w:rsidR="00171824" w:rsidRDefault="00171824">
      <w:pPr>
        <w:widowControl/>
        <w:kinsoku w:val="0"/>
        <w:overflowPunct w:val="0"/>
        <w:rPr>
          <w:sz w:val="22"/>
          <w:szCs w:val="22"/>
          <w:lang w:val="el-GR"/>
        </w:rPr>
      </w:pPr>
    </w:p>
    <w:p w14:paraId="77FF8D2E" w14:textId="77777777" w:rsidR="00171824" w:rsidRDefault="006D258C">
      <w:pPr>
        <w:pStyle w:val="BodyText"/>
        <w:keepNext/>
        <w:widowControl/>
        <w:kinsoku w:val="0"/>
        <w:overflowPunct w:val="0"/>
        <w:ind w:left="0"/>
        <w:rPr>
          <w:lang w:val="el-GR"/>
        </w:rPr>
      </w:pPr>
      <w:r>
        <w:rPr>
          <w:u w:val="single"/>
          <w:lang w:val="el-GR"/>
        </w:rPr>
        <w:t>Παιδιατρικός πληθυσμός</w:t>
      </w:r>
    </w:p>
    <w:p w14:paraId="21D820B0" w14:textId="77777777" w:rsidR="00171824" w:rsidRDefault="00171824">
      <w:pPr>
        <w:keepNext/>
        <w:widowControl/>
        <w:kinsoku w:val="0"/>
        <w:overflowPunct w:val="0"/>
        <w:rPr>
          <w:sz w:val="22"/>
          <w:szCs w:val="22"/>
          <w:lang w:val="el-GR"/>
        </w:rPr>
      </w:pPr>
    </w:p>
    <w:p w14:paraId="7B6AC6E4" w14:textId="77777777" w:rsidR="00171824" w:rsidRDefault="006D258C">
      <w:pPr>
        <w:pStyle w:val="BodyText"/>
        <w:widowControl/>
        <w:kinsoku w:val="0"/>
        <w:overflowPunct w:val="0"/>
        <w:ind w:left="0"/>
        <w:rPr>
          <w:lang w:val="el-GR"/>
        </w:rPr>
      </w:pPr>
      <w:r>
        <w:rPr>
          <w:lang w:val="el-GR"/>
        </w:rPr>
        <w:t>Οι ανεπιθύμητες ενέργειες σε παιδιατρικούς ασθενείς ήταν παρόμοιες στη συχνότητα και στον τύπο με εκείνες που εμφανίστηκαν σε ενήλικες ασθενείς.</w:t>
      </w:r>
    </w:p>
    <w:p w14:paraId="4A5D198E" w14:textId="77777777" w:rsidR="00171824" w:rsidRDefault="00171824">
      <w:pPr>
        <w:widowControl/>
        <w:kinsoku w:val="0"/>
        <w:overflowPunct w:val="0"/>
        <w:rPr>
          <w:sz w:val="22"/>
          <w:szCs w:val="22"/>
          <w:lang w:val="el-GR"/>
        </w:rPr>
      </w:pPr>
    </w:p>
    <w:p w14:paraId="70AA38D2" w14:textId="77777777" w:rsidR="00171824" w:rsidRDefault="006D258C">
      <w:pPr>
        <w:pStyle w:val="BodyText"/>
        <w:keepNext/>
        <w:widowControl/>
        <w:kinsoku w:val="0"/>
        <w:overflowPunct w:val="0"/>
        <w:ind w:left="0"/>
        <w:rPr>
          <w:lang w:val="el-GR"/>
        </w:rPr>
      </w:pPr>
      <w:r>
        <w:rPr>
          <w:u w:val="single"/>
          <w:lang w:val="el-GR"/>
        </w:rPr>
        <w:t>Πίνακας με λίστα των ανεπιθύμητων ενεργειών</w:t>
      </w:r>
    </w:p>
    <w:p w14:paraId="4D52C121" w14:textId="77777777" w:rsidR="00171824" w:rsidRDefault="00171824">
      <w:pPr>
        <w:keepNext/>
        <w:widowControl/>
        <w:kinsoku w:val="0"/>
        <w:overflowPunct w:val="0"/>
        <w:rPr>
          <w:sz w:val="22"/>
          <w:szCs w:val="22"/>
          <w:lang w:val="el-GR"/>
        </w:rPr>
      </w:pPr>
    </w:p>
    <w:p w14:paraId="7AC7FE1B" w14:textId="7773B1F2" w:rsidR="00171824" w:rsidRDefault="006D258C">
      <w:pPr>
        <w:pStyle w:val="BodyText"/>
        <w:widowControl/>
        <w:kinsoku w:val="0"/>
        <w:overflowPunct w:val="0"/>
        <w:ind w:left="0"/>
        <w:rPr>
          <w:lang w:val="el-GR"/>
        </w:rPr>
      </w:pPr>
      <w:r>
        <w:rPr>
          <w:lang w:val="el-GR"/>
        </w:rPr>
        <w:t>Ο παρακάτω κατάλογος των ανεπιθύμητων ενεργειών βασίζεται στην εμπειρία από κλινικές μελέτες και στην εμπειρία μετά την κυκλοφορία και παρουσιάζεται ανά κατηγορία οργανικού συστήματος και συχνότητας στον πίνακα 7 που ακολουθεί: πολύ συχνές (≥ 1/10), συχνές (≥ 1/100 έως &lt; 1/10), όχι συχνές (≥ 1/1 000 έως &lt; 1/100), σπάνιες (≥ 1/10 000 έως &lt; 1/1 000) και μη γνωστ</w:t>
      </w:r>
      <w:ins w:id="57" w:author="Author">
        <w:r w:rsidR="00C40578">
          <w:rPr>
            <w:lang w:val="el-GR"/>
          </w:rPr>
          <w:t>ής συχνότητας</w:t>
        </w:r>
      </w:ins>
      <w:del w:id="58" w:author="Author">
        <w:r w:rsidDel="00C40578">
          <w:rPr>
            <w:lang w:val="el-GR"/>
          </w:rPr>
          <w:delText>ές</w:delText>
        </w:r>
      </w:del>
      <w:r>
        <w:rPr>
          <w:lang w:val="el-GR"/>
        </w:rPr>
        <w:t xml:space="preserve"> (δεν μπορούν να εκτιμηθούν με βάση τα διαθέσιμα δεδομένα). Εντός κάθε κατηγορίας συχνότητας εμφάνισης, οι ανεπιθύμητες ενέργειες παρατίθενται κατά φθίνουσα σειρά σοβαρότητας. Έχει συμπεριληφθεί η υψηλότερη συχνότητα που παρατηρήθηκε μεταξύ των διαφόρων ενδείξεων. Ένας αστερίσκος (*) εμφανίζεται στη στήλη ΚΟΣ (Κατηγορία Οργανικού Συστήματος) εάν περαιτέρω πληροφορίες βρίσκονται σε κάποια άλλα σημεία των παραγράφων 4.3, 4.4 και 4.8.</w:t>
      </w:r>
    </w:p>
    <w:p w14:paraId="656C39F5" w14:textId="77777777" w:rsidR="00171824" w:rsidRDefault="00171824">
      <w:pPr>
        <w:pStyle w:val="BodyText"/>
        <w:widowControl/>
        <w:kinsoku w:val="0"/>
        <w:overflowPunct w:val="0"/>
        <w:ind w:left="0"/>
        <w:rPr>
          <w:lang w:val="el-GR"/>
        </w:rPr>
      </w:pPr>
    </w:p>
    <w:p w14:paraId="03F8586E" w14:textId="77777777" w:rsidR="00171824" w:rsidRDefault="006D258C">
      <w:pPr>
        <w:pStyle w:val="BodyText"/>
        <w:keepNext/>
        <w:keepLines/>
        <w:widowControl/>
        <w:ind w:left="0"/>
        <w:rPr>
          <w:b/>
          <w:lang w:val="el-GR"/>
        </w:rPr>
      </w:pPr>
      <w:r>
        <w:rPr>
          <w:b/>
          <w:lang w:val="el-GR"/>
        </w:rPr>
        <w:lastRenderedPageBreak/>
        <w:t>Πίνακας 7. Ανεπιθύμητες Ενέργειες</w:t>
      </w:r>
    </w:p>
    <w:p w14:paraId="69652111" w14:textId="77777777" w:rsidR="00171824" w:rsidRDefault="00171824">
      <w:pPr>
        <w:pStyle w:val="BodyText"/>
        <w:keepNext/>
        <w:keepLines/>
        <w:widowControl/>
        <w:ind w:left="0"/>
        <w:rPr>
          <w:bCs/>
          <w:lang w:val="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588"/>
        <w:gridCol w:w="4791"/>
      </w:tblGrid>
      <w:tr w:rsidR="00171824" w14:paraId="51600EC5" w14:textId="77777777">
        <w:trPr>
          <w:cantSplit/>
          <w:trHeight w:val="451"/>
          <w:tblHeader/>
        </w:trPr>
        <w:tc>
          <w:tcPr>
            <w:tcW w:w="2552" w:type="dxa"/>
            <w:vAlign w:val="center"/>
          </w:tcPr>
          <w:p w14:paraId="67B2705A" w14:textId="77777777" w:rsidR="00171824" w:rsidRDefault="006D258C">
            <w:pPr>
              <w:pStyle w:val="TableParagraph"/>
              <w:keepNext/>
              <w:keepLines/>
              <w:widowControl/>
              <w:kinsoku w:val="0"/>
              <w:overflowPunct w:val="0"/>
              <w:rPr>
                <w:rFonts w:eastAsia="MS Mincho"/>
                <w:sz w:val="22"/>
                <w:szCs w:val="22"/>
                <w:lang w:val="el-GR"/>
              </w:rPr>
            </w:pPr>
            <w:r>
              <w:rPr>
                <w:rFonts w:eastAsia="MS Mincho"/>
                <w:b/>
                <w:bCs/>
                <w:sz w:val="22"/>
                <w:szCs w:val="22"/>
                <w:lang w:val="el-GR"/>
              </w:rPr>
              <w:t>Κατηγορία/Οργανικό συστημα</w:t>
            </w:r>
          </w:p>
        </w:tc>
        <w:tc>
          <w:tcPr>
            <w:tcW w:w="1588" w:type="dxa"/>
            <w:vAlign w:val="center"/>
          </w:tcPr>
          <w:p w14:paraId="438D0B1B" w14:textId="77777777" w:rsidR="00171824" w:rsidRDefault="006D258C">
            <w:pPr>
              <w:pStyle w:val="TableParagraph"/>
              <w:keepNext/>
              <w:keepLines/>
              <w:widowControl/>
              <w:kinsoku w:val="0"/>
              <w:overflowPunct w:val="0"/>
              <w:rPr>
                <w:rFonts w:eastAsia="MS Mincho"/>
                <w:sz w:val="22"/>
                <w:szCs w:val="22"/>
                <w:lang w:val="el-GR"/>
              </w:rPr>
            </w:pPr>
            <w:r>
              <w:rPr>
                <w:rFonts w:eastAsia="MS Mincho"/>
                <w:b/>
                <w:bCs/>
                <w:sz w:val="22"/>
                <w:szCs w:val="22"/>
                <w:lang w:val="el-GR"/>
              </w:rPr>
              <w:t>Συχνότητα</w:t>
            </w:r>
          </w:p>
        </w:tc>
        <w:tc>
          <w:tcPr>
            <w:tcW w:w="4791" w:type="dxa"/>
            <w:vAlign w:val="center"/>
          </w:tcPr>
          <w:p w14:paraId="14EFDF8E" w14:textId="77777777" w:rsidR="00171824" w:rsidRDefault="006D258C">
            <w:pPr>
              <w:pStyle w:val="TableParagraph"/>
              <w:keepNext/>
              <w:keepLines/>
              <w:widowControl/>
              <w:kinsoku w:val="0"/>
              <w:overflowPunct w:val="0"/>
              <w:rPr>
                <w:rFonts w:eastAsia="MS Mincho"/>
                <w:sz w:val="22"/>
                <w:szCs w:val="22"/>
                <w:lang w:val="el-GR"/>
              </w:rPr>
            </w:pPr>
            <w:r>
              <w:rPr>
                <w:rFonts w:eastAsia="MS Mincho"/>
                <w:b/>
                <w:bCs/>
                <w:sz w:val="22"/>
                <w:szCs w:val="22"/>
                <w:lang w:val="el-GR"/>
              </w:rPr>
              <w:t>Ανεπιθύμητες ενέργειες</w:t>
            </w:r>
          </w:p>
        </w:tc>
      </w:tr>
      <w:tr w:rsidR="00171824" w:rsidRPr="00422380" w14:paraId="3F06C50C" w14:textId="77777777">
        <w:trPr>
          <w:cantSplit/>
          <w:trHeight w:val="736"/>
        </w:trPr>
        <w:tc>
          <w:tcPr>
            <w:tcW w:w="2552" w:type="dxa"/>
            <w:vMerge w:val="restart"/>
          </w:tcPr>
          <w:p w14:paraId="6D2380A4"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και παρασιτώσεις*</w:t>
            </w:r>
          </w:p>
        </w:tc>
        <w:tc>
          <w:tcPr>
            <w:tcW w:w="1588" w:type="dxa"/>
          </w:tcPr>
          <w:p w14:paraId="060B150F"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72338F20"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αναπνευστικού συστήματος (συμπεριλαμβάνεται λοίμωξη κατώτερου και ανώτερου αναπνευστικού συστήματος, πνευμονία, παραρρινοκολπίτιδα, φαρυγγίτιδα, ρινοφαρυγγίτιδα και πνευμονία από ιό του έρπητα)</w:t>
            </w:r>
          </w:p>
        </w:tc>
      </w:tr>
      <w:tr w:rsidR="00171824" w:rsidRPr="00422380" w14:paraId="12450E02" w14:textId="77777777">
        <w:trPr>
          <w:cantSplit/>
          <w:trHeight w:val="2039"/>
        </w:trPr>
        <w:tc>
          <w:tcPr>
            <w:tcW w:w="2552" w:type="dxa"/>
            <w:vMerge/>
          </w:tcPr>
          <w:p w14:paraId="01C2321B" w14:textId="77777777" w:rsidR="00171824" w:rsidRDefault="00171824">
            <w:pPr>
              <w:keepNext/>
              <w:keepLines/>
              <w:widowControl/>
              <w:kinsoku w:val="0"/>
              <w:overflowPunct w:val="0"/>
              <w:rPr>
                <w:rFonts w:eastAsia="MS Mincho"/>
                <w:sz w:val="22"/>
                <w:szCs w:val="22"/>
                <w:lang w:val="el-GR"/>
              </w:rPr>
            </w:pPr>
          </w:p>
        </w:tc>
        <w:tc>
          <w:tcPr>
            <w:tcW w:w="1588" w:type="dxa"/>
          </w:tcPr>
          <w:p w14:paraId="1208F9FF"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7D6B6A5A"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Συστηματικές λοιμώξεις (συμπεριλαμβάνεται σήψη, καντιντίαση και γρίπη),</w:t>
            </w:r>
          </w:p>
          <w:p w14:paraId="1CDBF0D0"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Εντερικές λοιμώξεις (συμπεριλαμβάνεται ιογενής γαστρεντερίτιδα),</w:t>
            </w:r>
          </w:p>
          <w:p w14:paraId="3CB2279E"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του δέρματος και των μαλακών μορίων (συμπεριλαμβάνεται παρονυχία, κυτταρίτιδα, λεύκη, νεκρωτική περιτονίτιδα και έρπητας ζωστήρας),</w:t>
            </w:r>
          </w:p>
          <w:p w14:paraId="19A699E3"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των ώτων,</w:t>
            </w:r>
          </w:p>
          <w:p w14:paraId="276A69DD"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Στοματικές λοιμώξεις (συμπεριλαμβάνεται έρπητας απλός, στοματικός έρπητας και οδοντικές λοιμώξεις),</w:t>
            </w:r>
          </w:p>
          <w:p w14:paraId="386C194E"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αναπαραγωγικού συστήματος (συμπεριλαμβάνεται αιδοιοκολπική μυκητιασική λοίμωξη),</w:t>
            </w:r>
          </w:p>
          <w:p w14:paraId="26138CE5"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ουροποιητικού συστήματος (συμπεριλαμβάνεται πυελονεφρίτιδα),</w:t>
            </w:r>
          </w:p>
          <w:p w14:paraId="5710F293"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Μυκητιασικές λοιμώξεις,</w:t>
            </w:r>
          </w:p>
          <w:p w14:paraId="4036D2E2"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Λοιμώξεις των αρθρώσεων</w:t>
            </w:r>
          </w:p>
        </w:tc>
      </w:tr>
      <w:tr w:rsidR="00171824" w14:paraId="64166041" w14:textId="77777777">
        <w:trPr>
          <w:cantSplit/>
          <w:trHeight w:val="1745"/>
        </w:trPr>
        <w:tc>
          <w:tcPr>
            <w:tcW w:w="2552" w:type="dxa"/>
            <w:vMerge/>
          </w:tcPr>
          <w:p w14:paraId="7E371766" w14:textId="77777777" w:rsidR="00171824" w:rsidRDefault="00171824">
            <w:pPr>
              <w:widowControl/>
              <w:kinsoku w:val="0"/>
              <w:overflowPunct w:val="0"/>
              <w:rPr>
                <w:rFonts w:eastAsia="MS Mincho"/>
                <w:sz w:val="22"/>
                <w:szCs w:val="22"/>
                <w:lang w:val="el-GR"/>
              </w:rPr>
            </w:pPr>
          </w:p>
        </w:tc>
        <w:tc>
          <w:tcPr>
            <w:tcW w:w="1588" w:type="dxa"/>
          </w:tcPr>
          <w:p w14:paraId="2289987F" w14:textId="77777777" w:rsidR="00171824" w:rsidRDefault="006D258C">
            <w:pPr>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13ABFE1B" w14:textId="77777777" w:rsidR="00171824" w:rsidRDefault="006D258C">
            <w:pPr>
              <w:kinsoku w:val="0"/>
              <w:overflowPunct w:val="0"/>
              <w:rPr>
                <w:rFonts w:eastAsia="MS Mincho"/>
                <w:sz w:val="22"/>
                <w:szCs w:val="22"/>
                <w:lang w:val="el-GR"/>
              </w:rPr>
            </w:pPr>
            <w:r>
              <w:rPr>
                <w:rFonts w:eastAsia="MS Mincho"/>
                <w:sz w:val="22"/>
                <w:szCs w:val="22"/>
                <w:lang w:val="el-GR"/>
              </w:rPr>
              <w:t>Νευρολογικές λοιμώξεις (συμπεριλαμβάνεται ιογενής μηνιγγίτιδα),</w:t>
            </w:r>
          </w:p>
          <w:p w14:paraId="48400D9A" w14:textId="77777777" w:rsidR="00171824" w:rsidRDefault="006D258C">
            <w:pPr>
              <w:kinsoku w:val="0"/>
              <w:overflowPunct w:val="0"/>
              <w:rPr>
                <w:rFonts w:eastAsia="MS Mincho"/>
                <w:sz w:val="22"/>
                <w:szCs w:val="22"/>
                <w:lang w:val="el-GR"/>
              </w:rPr>
            </w:pPr>
            <w:r>
              <w:rPr>
                <w:rFonts w:eastAsia="MS Mincho"/>
                <w:sz w:val="22"/>
                <w:szCs w:val="22"/>
                <w:lang w:val="el-GR"/>
              </w:rPr>
              <w:t>Ευκαιριακές λοιμώξεις και φυματίωση (συμπεριλαμβάνεται κοκκιδιοειδομύκωση, Ιστοπλάσμωση και λοίμωξη από mycobacterium avium complex),</w:t>
            </w:r>
          </w:p>
          <w:p w14:paraId="5C56A4D6" w14:textId="77777777" w:rsidR="00171824" w:rsidRDefault="006D258C">
            <w:pPr>
              <w:kinsoku w:val="0"/>
              <w:overflowPunct w:val="0"/>
              <w:rPr>
                <w:rFonts w:eastAsia="MS Mincho"/>
                <w:sz w:val="22"/>
                <w:szCs w:val="22"/>
                <w:lang w:val="el-GR"/>
              </w:rPr>
            </w:pPr>
            <w:r>
              <w:rPr>
                <w:rFonts w:eastAsia="MS Mincho"/>
                <w:sz w:val="22"/>
                <w:szCs w:val="22"/>
                <w:lang w:val="el-GR"/>
              </w:rPr>
              <w:t>Βακτηριακές λοιμώξεις,</w:t>
            </w:r>
          </w:p>
          <w:p w14:paraId="02FE820F" w14:textId="77777777" w:rsidR="00171824" w:rsidRDefault="006D258C">
            <w:pPr>
              <w:kinsoku w:val="0"/>
              <w:overflowPunct w:val="0"/>
              <w:rPr>
                <w:rFonts w:eastAsia="MS Mincho"/>
                <w:sz w:val="22"/>
                <w:szCs w:val="22"/>
                <w:lang w:val="el-GR"/>
              </w:rPr>
            </w:pPr>
            <w:r>
              <w:rPr>
                <w:rFonts w:eastAsia="MS Mincho"/>
                <w:sz w:val="22"/>
                <w:szCs w:val="22"/>
                <w:lang w:val="el-GR"/>
              </w:rPr>
              <w:t>Εοιμώξεις των οφθαλμών,</w:t>
            </w:r>
          </w:p>
          <w:p w14:paraId="78D02488" w14:textId="77777777" w:rsidR="00171824" w:rsidRDefault="006D258C">
            <w:pPr>
              <w:kinsoku w:val="0"/>
              <w:overflowPunct w:val="0"/>
              <w:rPr>
                <w:rFonts w:eastAsia="MS Mincho"/>
                <w:sz w:val="22"/>
                <w:szCs w:val="22"/>
                <w:lang w:val="el-GR"/>
              </w:rPr>
            </w:pPr>
            <w:r>
              <w:rPr>
                <w:rFonts w:eastAsia="MS Mincho"/>
                <w:sz w:val="22"/>
                <w:szCs w:val="22"/>
                <w:lang w:val="el-GR"/>
              </w:rPr>
              <w:t>Εκκολπωματίτιδα</w:t>
            </w:r>
            <w:r>
              <w:rPr>
                <w:rFonts w:eastAsia="MS Mincho"/>
                <w:sz w:val="22"/>
                <w:szCs w:val="22"/>
                <w:vertAlign w:val="superscript"/>
                <w:lang w:val="el-GR"/>
              </w:rPr>
              <w:t>1)</w:t>
            </w:r>
          </w:p>
        </w:tc>
      </w:tr>
      <w:tr w:rsidR="00171824" w14:paraId="308DD7A5" w14:textId="77777777">
        <w:trPr>
          <w:cantSplit/>
          <w:trHeight w:val="587"/>
        </w:trPr>
        <w:tc>
          <w:tcPr>
            <w:tcW w:w="2552" w:type="dxa"/>
            <w:vMerge w:val="restart"/>
          </w:tcPr>
          <w:p w14:paraId="49778F47" w14:textId="3BFA6A9B" w:rsidR="00171824" w:rsidRDefault="006D258C">
            <w:pPr>
              <w:widowControl/>
              <w:kinsoku w:val="0"/>
              <w:overflowPunct w:val="0"/>
              <w:rPr>
                <w:rFonts w:eastAsia="MS Mincho"/>
                <w:sz w:val="22"/>
                <w:szCs w:val="22"/>
                <w:lang w:val="el-GR"/>
              </w:rPr>
            </w:pPr>
            <w:r>
              <w:rPr>
                <w:rFonts w:eastAsia="MS Mincho"/>
                <w:sz w:val="22"/>
                <w:szCs w:val="22"/>
                <w:lang w:val="el-GR"/>
              </w:rPr>
              <w:t>Νεοπλάσματα καλοήθη, κακοήθη και μη καθοριζόμενα (</w:t>
            </w:r>
            <w:ins w:id="59" w:author="Author">
              <w:r w:rsidR="00142221">
                <w:rPr>
                  <w:rFonts w:eastAsia="MS Mincho"/>
                  <w:sz w:val="22"/>
                  <w:szCs w:val="22"/>
                  <w:lang w:val="el-GR"/>
                </w:rPr>
                <w:t>συμπ.</w:t>
              </w:r>
            </w:ins>
            <w:del w:id="60" w:author="Author">
              <w:r w:rsidDel="00142221">
                <w:rPr>
                  <w:rFonts w:eastAsia="MS Mincho"/>
                  <w:sz w:val="22"/>
                  <w:szCs w:val="22"/>
                  <w:lang w:val="el-GR"/>
                </w:rPr>
                <w:delText>περιλαμβάνονται</w:delText>
              </w:r>
            </w:del>
            <w:r>
              <w:rPr>
                <w:rFonts w:eastAsia="MS Mincho"/>
                <w:sz w:val="22"/>
                <w:szCs w:val="22"/>
                <w:lang w:val="el-GR"/>
              </w:rPr>
              <w:t xml:space="preserve"> κύστε</w:t>
            </w:r>
            <w:ins w:id="61" w:author="Author">
              <w:r w:rsidR="00142221">
                <w:rPr>
                  <w:rFonts w:eastAsia="MS Mincho"/>
                  <w:sz w:val="22"/>
                  <w:szCs w:val="22"/>
                  <w:lang w:val="el-GR"/>
                </w:rPr>
                <w:t>ων</w:t>
              </w:r>
            </w:ins>
            <w:del w:id="62" w:author="Author">
              <w:r w:rsidDel="00142221">
                <w:rPr>
                  <w:rFonts w:eastAsia="MS Mincho"/>
                  <w:sz w:val="22"/>
                  <w:szCs w:val="22"/>
                  <w:lang w:val="el-GR"/>
                </w:rPr>
                <w:delText>ις</w:delText>
              </w:r>
            </w:del>
          </w:p>
          <w:p w14:paraId="0AC085B1" w14:textId="5AB0B2DD" w:rsidR="00171824" w:rsidRDefault="006D258C">
            <w:pPr>
              <w:widowControl/>
              <w:kinsoku w:val="0"/>
              <w:overflowPunct w:val="0"/>
              <w:rPr>
                <w:rFonts w:eastAsia="MS Mincho"/>
                <w:sz w:val="22"/>
                <w:szCs w:val="22"/>
                <w:lang w:val="el-GR"/>
              </w:rPr>
            </w:pPr>
            <w:r>
              <w:rPr>
                <w:rFonts w:eastAsia="MS Mincho"/>
                <w:sz w:val="22"/>
                <w:szCs w:val="22"/>
                <w:lang w:val="el-GR"/>
              </w:rPr>
              <w:t>και πολύποδ</w:t>
            </w:r>
            <w:ins w:id="63" w:author="Author">
              <w:r w:rsidR="00142221">
                <w:rPr>
                  <w:rFonts w:eastAsia="MS Mincho"/>
                  <w:sz w:val="22"/>
                  <w:szCs w:val="22"/>
                  <w:lang w:val="el-GR"/>
                </w:rPr>
                <w:t>ων</w:t>
              </w:r>
            </w:ins>
            <w:del w:id="64" w:author="Author">
              <w:r w:rsidDel="00142221">
                <w:rPr>
                  <w:rFonts w:eastAsia="MS Mincho"/>
                  <w:sz w:val="22"/>
                  <w:szCs w:val="22"/>
                  <w:lang w:val="el-GR"/>
                </w:rPr>
                <w:delText>ες</w:delText>
              </w:r>
            </w:del>
            <w:r>
              <w:rPr>
                <w:rFonts w:eastAsia="MS Mincho"/>
                <w:sz w:val="22"/>
                <w:szCs w:val="22"/>
                <w:lang w:val="el-GR"/>
              </w:rPr>
              <w:t>)*</w:t>
            </w:r>
          </w:p>
        </w:tc>
        <w:tc>
          <w:tcPr>
            <w:tcW w:w="1588" w:type="dxa"/>
          </w:tcPr>
          <w:p w14:paraId="16D58430" w14:textId="77777777" w:rsidR="00171824" w:rsidRDefault="006D258C">
            <w:pPr>
              <w:kinsoku w:val="0"/>
              <w:overflowPunct w:val="0"/>
              <w:rPr>
                <w:rFonts w:eastAsia="MS Mincho"/>
                <w:sz w:val="22"/>
                <w:szCs w:val="22"/>
                <w:lang w:val="el-GR"/>
              </w:rPr>
            </w:pPr>
            <w:r>
              <w:rPr>
                <w:rFonts w:eastAsia="MS Mincho"/>
                <w:sz w:val="22"/>
                <w:szCs w:val="22"/>
                <w:lang w:val="el-GR"/>
              </w:rPr>
              <w:t>Συχνές</w:t>
            </w:r>
          </w:p>
        </w:tc>
        <w:tc>
          <w:tcPr>
            <w:tcW w:w="4791" w:type="dxa"/>
          </w:tcPr>
          <w:p w14:paraId="183CD159" w14:textId="77777777" w:rsidR="00171824" w:rsidRDefault="006D258C">
            <w:pPr>
              <w:kinsoku w:val="0"/>
              <w:overflowPunct w:val="0"/>
              <w:rPr>
                <w:rFonts w:eastAsia="MS Mincho"/>
                <w:sz w:val="22"/>
                <w:szCs w:val="22"/>
                <w:lang w:val="el-GR"/>
              </w:rPr>
            </w:pPr>
            <w:r>
              <w:rPr>
                <w:rFonts w:eastAsia="MS Mincho"/>
                <w:sz w:val="22"/>
                <w:szCs w:val="22"/>
                <w:lang w:val="el-GR"/>
              </w:rPr>
              <w:t>Καρκίνος του δέρματος εκτός μελανώματος (συμπεριλαμβάνεται βασικοκυτταρικό καρκίνωμα και πλακώδες καρκίνωμα),</w:t>
            </w:r>
          </w:p>
          <w:p w14:paraId="703807BD" w14:textId="77777777" w:rsidR="00171824" w:rsidRDefault="006D258C">
            <w:pPr>
              <w:kinsoku w:val="0"/>
              <w:overflowPunct w:val="0"/>
              <w:rPr>
                <w:rFonts w:eastAsia="MS Mincho"/>
                <w:sz w:val="22"/>
                <w:szCs w:val="22"/>
                <w:lang w:val="el-GR"/>
              </w:rPr>
            </w:pPr>
            <w:r>
              <w:rPr>
                <w:rFonts w:eastAsia="MS Mincho"/>
                <w:sz w:val="22"/>
                <w:szCs w:val="22"/>
                <w:lang w:val="el-GR"/>
              </w:rPr>
              <w:t>καλοήθες νεόπλασμα</w:t>
            </w:r>
          </w:p>
        </w:tc>
      </w:tr>
      <w:tr w:rsidR="00171824" w:rsidRPr="00422380" w14:paraId="6FAEF55D" w14:textId="77777777">
        <w:trPr>
          <w:cantSplit/>
          <w:trHeight w:val="1126"/>
        </w:trPr>
        <w:tc>
          <w:tcPr>
            <w:tcW w:w="2552" w:type="dxa"/>
            <w:vMerge/>
          </w:tcPr>
          <w:p w14:paraId="4C96A3B1" w14:textId="77777777" w:rsidR="00171824" w:rsidRDefault="00171824">
            <w:pPr>
              <w:widowControl/>
              <w:kinsoku w:val="0"/>
              <w:overflowPunct w:val="0"/>
              <w:rPr>
                <w:rFonts w:eastAsia="MS Mincho"/>
                <w:sz w:val="22"/>
                <w:szCs w:val="22"/>
                <w:lang w:val="el-GR"/>
              </w:rPr>
            </w:pPr>
          </w:p>
        </w:tc>
        <w:tc>
          <w:tcPr>
            <w:tcW w:w="1588" w:type="dxa"/>
          </w:tcPr>
          <w:p w14:paraId="4A129378" w14:textId="77777777" w:rsidR="00171824" w:rsidRDefault="006D258C">
            <w:pPr>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45B03816" w14:textId="77777777" w:rsidR="00171824" w:rsidRDefault="006D258C">
            <w:pPr>
              <w:kinsoku w:val="0"/>
              <w:overflowPunct w:val="0"/>
              <w:rPr>
                <w:rFonts w:eastAsia="MS Mincho"/>
                <w:sz w:val="22"/>
                <w:szCs w:val="22"/>
                <w:lang w:val="el-GR"/>
              </w:rPr>
            </w:pPr>
            <w:r>
              <w:rPr>
                <w:rFonts w:eastAsia="MS Mincho"/>
                <w:sz w:val="22"/>
                <w:szCs w:val="22"/>
                <w:lang w:val="el-GR"/>
              </w:rPr>
              <w:t>Λέμφωμα**,</w:t>
            </w:r>
          </w:p>
          <w:p w14:paraId="14648780" w14:textId="77777777" w:rsidR="00171824" w:rsidRDefault="006D258C">
            <w:pPr>
              <w:kinsoku w:val="0"/>
              <w:overflowPunct w:val="0"/>
              <w:rPr>
                <w:rFonts w:eastAsia="MS Mincho"/>
                <w:sz w:val="22"/>
                <w:szCs w:val="22"/>
                <w:lang w:val="el-GR"/>
              </w:rPr>
            </w:pPr>
            <w:r>
              <w:rPr>
                <w:rFonts w:eastAsia="MS Mincho"/>
                <w:sz w:val="22"/>
                <w:szCs w:val="22"/>
                <w:lang w:val="el-GR"/>
              </w:rPr>
              <w:t>νεόπλασμα συμπαγών οργάνων (συμπεριλαμβάνεται καρκίνος μαστού, νεόπλασμα πνεύμονος και νεόπλασμα θυρεοειδούς), μελάνωμα**</w:t>
            </w:r>
          </w:p>
        </w:tc>
      </w:tr>
      <w:tr w:rsidR="00171824" w14:paraId="7EA769E8" w14:textId="77777777">
        <w:trPr>
          <w:cantSplit/>
          <w:trHeight w:val="299"/>
        </w:trPr>
        <w:tc>
          <w:tcPr>
            <w:tcW w:w="2552" w:type="dxa"/>
            <w:vMerge/>
          </w:tcPr>
          <w:p w14:paraId="2607F602" w14:textId="77777777" w:rsidR="00171824" w:rsidRDefault="00171824">
            <w:pPr>
              <w:widowControl/>
              <w:kinsoku w:val="0"/>
              <w:overflowPunct w:val="0"/>
              <w:rPr>
                <w:rFonts w:eastAsia="MS Mincho"/>
                <w:sz w:val="22"/>
                <w:szCs w:val="22"/>
                <w:lang w:val="el-GR"/>
              </w:rPr>
            </w:pPr>
          </w:p>
        </w:tc>
        <w:tc>
          <w:tcPr>
            <w:tcW w:w="1588" w:type="dxa"/>
          </w:tcPr>
          <w:p w14:paraId="1A758312" w14:textId="77777777" w:rsidR="00171824" w:rsidRDefault="006D258C">
            <w:pPr>
              <w:kinsoku w:val="0"/>
              <w:overflowPunct w:val="0"/>
              <w:rPr>
                <w:rFonts w:eastAsia="MS Mincho"/>
                <w:sz w:val="22"/>
                <w:szCs w:val="22"/>
                <w:lang w:val="el-GR"/>
              </w:rPr>
            </w:pPr>
            <w:r>
              <w:rPr>
                <w:rFonts w:eastAsia="MS Mincho"/>
                <w:sz w:val="22"/>
                <w:szCs w:val="22"/>
                <w:lang w:val="el-GR"/>
              </w:rPr>
              <w:t>Σπάνιες</w:t>
            </w:r>
          </w:p>
        </w:tc>
        <w:tc>
          <w:tcPr>
            <w:tcW w:w="4791" w:type="dxa"/>
          </w:tcPr>
          <w:p w14:paraId="293202F0" w14:textId="77777777" w:rsidR="00171824" w:rsidRDefault="006D258C">
            <w:pPr>
              <w:kinsoku w:val="0"/>
              <w:overflowPunct w:val="0"/>
              <w:rPr>
                <w:rFonts w:eastAsia="MS Mincho"/>
                <w:sz w:val="22"/>
                <w:szCs w:val="22"/>
                <w:lang w:val="el-GR"/>
              </w:rPr>
            </w:pPr>
            <w:r>
              <w:rPr>
                <w:rFonts w:eastAsia="MS Mincho"/>
                <w:sz w:val="22"/>
                <w:szCs w:val="22"/>
                <w:lang w:val="el-GR"/>
              </w:rPr>
              <w:t>Λευχαιμία</w:t>
            </w:r>
            <w:r>
              <w:rPr>
                <w:rFonts w:eastAsia="MS Mincho"/>
                <w:sz w:val="22"/>
                <w:szCs w:val="22"/>
                <w:vertAlign w:val="superscript"/>
                <w:lang w:val="el-GR"/>
              </w:rPr>
              <w:t>1)</w:t>
            </w:r>
          </w:p>
        </w:tc>
      </w:tr>
      <w:tr w:rsidR="00171824" w14:paraId="698A219F" w14:textId="77777777">
        <w:trPr>
          <w:cantSplit/>
          <w:trHeight w:val="842"/>
        </w:trPr>
        <w:tc>
          <w:tcPr>
            <w:tcW w:w="2552" w:type="dxa"/>
            <w:vMerge/>
          </w:tcPr>
          <w:p w14:paraId="7796D660" w14:textId="77777777" w:rsidR="00171824" w:rsidRDefault="00171824">
            <w:pPr>
              <w:widowControl/>
              <w:kinsoku w:val="0"/>
              <w:overflowPunct w:val="0"/>
              <w:rPr>
                <w:rFonts w:eastAsia="MS Mincho"/>
                <w:sz w:val="22"/>
                <w:szCs w:val="22"/>
                <w:lang w:val="el-GR"/>
              </w:rPr>
            </w:pPr>
          </w:p>
        </w:tc>
        <w:tc>
          <w:tcPr>
            <w:tcW w:w="1588" w:type="dxa"/>
          </w:tcPr>
          <w:p w14:paraId="70AB0CB2" w14:textId="264C1C5A" w:rsidR="00171824" w:rsidRDefault="006D258C">
            <w:pPr>
              <w:kinsoku w:val="0"/>
              <w:overflowPunct w:val="0"/>
              <w:rPr>
                <w:rFonts w:eastAsia="MS Mincho"/>
                <w:sz w:val="22"/>
                <w:szCs w:val="22"/>
                <w:lang w:val="el-GR"/>
              </w:rPr>
            </w:pPr>
            <w:r>
              <w:rPr>
                <w:rFonts w:eastAsia="MS Mincho"/>
                <w:sz w:val="22"/>
                <w:szCs w:val="22"/>
                <w:lang w:val="el-GR"/>
              </w:rPr>
              <w:t>Μη γνωστ</w:t>
            </w:r>
            <w:ins w:id="65" w:author="Author">
              <w:r w:rsidR="00142221">
                <w:rPr>
                  <w:rFonts w:eastAsia="MS Mincho"/>
                  <w:sz w:val="22"/>
                  <w:szCs w:val="22"/>
                  <w:lang w:val="el-GR"/>
                </w:rPr>
                <w:t>ής συχνότητας</w:t>
              </w:r>
            </w:ins>
            <w:del w:id="66" w:author="Author">
              <w:r w:rsidDel="00142221">
                <w:rPr>
                  <w:rFonts w:eastAsia="MS Mincho"/>
                  <w:sz w:val="22"/>
                  <w:szCs w:val="22"/>
                  <w:lang w:val="el-GR"/>
                </w:rPr>
                <w:delText>ές</w:delText>
              </w:r>
            </w:del>
          </w:p>
        </w:tc>
        <w:tc>
          <w:tcPr>
            <w:tcW w:w="4791" w:type="dxa"/>
          </w:tcPr>
          <w:p w14:paraId="6D12F130" w14:textId="77777777" w:rsidR="00171824" w:rsidRDefault="006D258C">
            <w:pPr>
              <w:kinsoku w:val="0"/>
              <w:overflowPunct w:val="0"/>
              <w:rPr>
                <w:rFonts w:eastAsia="MS Mincho"/>
                <w:sz w:val="22"/>
                <w:szCs w:val="22"/>
                <w:lang w:val="el-GR"/>
              </w:rPr>
            </w:pPr>
            <w:r>
              <w:rPr>
                <w:rFonts w:eastAsia="MS Mincho"/>
                <w:sz w:val="22"/>
                <w:szCs w:val="22"/>
                <w:lang w:val="el-GR"/>
              </w:rPr>
              <w:t>Ηπατοσπληνικό λέμφωμα εκ Τ-κυττάρων</w:t>
            </w:r>
            <w:r>
              <w:rPr>
                <w:rFonts w:eastAsia="MS Mincho"/>
                <w:sz w:val="22"/>
                <w:szCs w:val="22"/>
                <w:vertAlign w:val="superscript"/>
                <w:lang w:val="el-GR"/>
              </w:rPr>
              <w:t>1)</w:t>
            </w:r>
            <w:r>
              <w:rPr>
                <w:rFonts w:eastAsia="MS Mincho"/>
                <w:sz w:val="22"/>
                <w:szCs w:val="22"/>
                <w:lang w:val="el-GR"/>
              </w:rPr>
              <w:t>,</w:t>
            </w:r>
          </w:p>
          <w:p w14:paraId="0ABBA744" w14:textId="77777777" w:rsidR="00171824" w:rsidRDefault="006D258C">
            <w:pPr>
              <w:rPr>
                <w:color w:val="000000"/>
                <w:sz w:val="22"/>
                <w:szCs w:val="22"/>
                <w:lang w:val="el-GR" w:eastAsia="en-GB"/>
              </w:rPr>
            </w:pPr>
            <w:r>
              <w:rPr>
                <w:rFonts w:eastAsia="MS Mincho"/>
                <w:sz w:val="22"/>
                <w:szCs w:val="22"/>
                <w:lang w:val="el-GR"/>
              </w:rPr>
              <w:t>καρκίνωμα εκ κυττάρων Merkel (νευροενδοκρινικό καρκίνωμα δέρματος)</w:t>
            </w:r>
            <w:r>
              <w:rPr>
                <w:rFonts w:eastAsia="MS Mincho"/>
                <w:sz w:val="22"/>
                <w:szCs w:val="22"/>
                <w:vertAlign w:val="superscript"/>
                <w:lang w:val="el-GR"/>
              </w:rPr>
              <w:t>1)</w:t>
            </w:r>
            <w:r>
              <w:rPr>
                <w:color w:val="000000"/>
                <w:sz w:val="22"/>
                <w:szCs w:val="22"/>
                <w:lang w:val="el-GR" w:eastAsia="en-GB"/>
              </w:rPr>
              <w:t>,</w:t>
            </w:r>
          </w:p>
          <w:p w14:paraId="5C0C93AC" w14:textId="77777777" w:rsidR="00171824" w:rsidRDefault="006D258C">
            <w:pPr>
              <w:kinsoku w:val="0"/>
              <w:overflowPunct w:val="0"/>
              <w:rPr>
                <w:rFonts w:eastAsia="MS Mincho"/>
                <w:sz w:val="22"/>
                <w:szCs w:val="22"/>
                <w:lang w:val="el-GR"/>
              </w:rPr>
            </w:pPr>
            <w:r>
              <w:rPr>
                <w:color w:val="000000"/>
                <w:sz w:val="22"/>
                <w:szCs w:val="22"/>
                <w:lang w:val="el-GR" w:eastAsia="en-GB"/>
              </w:rPr>
              <w:t>Σάρκωμα Kaposi</w:t>
            </w:r>
          </w:p>
        </w:tc>
      </w:tr>
      <w:tr w:rsidR="00171824" w14:paraId="79837C38" w14:textId="77777777">
        <w:trPr>
          <w:cantSplit/>
          <w:trHeight w:val="307"/>
        </w:trPr>
        <w:tc>
          <w:tcPr>
            <w:tcW w:w="2552" w:type="dxa"/>
            <w:vMerge w:val="restart"/>
          </w:tcPr>
          <w:p w14:paraId="7338BF6E"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lastRenderedPageBreak/>
              <w:t>Διαταραχές του</w:t>
            </w:r>
          </w:p>
          <w:p w14:paraId="6314C3AA" w14:textId="0D35D00D" w:rsidR="00171824" w:rsidRDefault="006D258C">
            <w:pPr>
              <w:keepNext/>
              <w:keepLines/>
              <w:widowControl/>
              <w:kinsoku w:val="0"/>
              <w:overflowPunct w:val="0"/>
              <w:rPr>
                <w:rFonts w:eastAsia="MS Mincho"/>
                <w:sz w:val="22"/>
                <w:szCs w:val="22"/>
                <w:lang w:val="el-GR"/>
              </w:rPr>
            </w:pPr>
            <w:r>
              <w:rPr>
                <w:rFonts w:eastAsia="MS Mincho"/>
                <w:sz w:val="22"/>
                <w:szCs w:val="22"/>
                <w:lang w:val="el-GR"/>
              </w:rPr>
              <w:t>α</w:t>
            </w:r>
            <w:ins w:id="67" w:author="Author">
              <w:r w:rsidR="00CA28EA">
                <w:rPr>
                  <w:rFonts w:eastAsia="MS Mincho"/>
                  <w:sz w:val="22"/>
                  <w:szCs w:val="22"/>
                  <w:lang w:val="el-GR"/>
                </w:rPr>
                <w:t>ίματος</w:t>
              </w:r>
            </w:ins>
            <w:del w:id="68" w:author="Author">
              <w:r w:rsidDel="00CA28EA">
                <w:rPr>
                  <w:rFonts w:eastAsia="MS Mincho"/>
                  <w:sz w:val="22"/>
                  <w:szCs w:val="22"/>
                  <w:lang w:val="el-GR"/>
                </w:rPr>
                <w:delText>ιμοποιητικού</w:delText>
              </w:r>
            </w:del>
            <w:r>
              <w:rPr>
                <w:rFonts w:eastAsia="MS Mincho"/>
                <w:sz w:val="22"/>
                <w:szCs w:val="22"/>
                <w:lang w:val="el-GR"/>
              </w:rPr>
              <w:t xml:space="preserve"> και του</w:t>
            </w:r>
          </w:p>
          <w:p w14:paraId="2EA32F65"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λεμφικού συστήματος*</w:t>
            </w:r>
          </w:p>
        </w:tc>
        <w:tc>
          <w:tcPr>
            <w:tcW w:w="1588" w:type="dxa"/>
          </w:tcPr>
          <w:p w14:paraId="455DF8FA"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41256D01"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Λευκοπενία (συμπεριλαμβάνεται ουδετεροπενία και ακοκκιοκυτταραιμία),</w:t>
            </w:r>
          </w:p>
          <w:p w14:paraId="53D3A591"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αναιμία</w:t>
            </w:r>
          </w:p>
        </w:tc>
      </w:tr>
      <w:tr w:rsidR="00171824" w14:paraId="2AF3B837" w14:textId="77777777">
        <w:trPr>
          <w:cantSplit/>
          <w:trHeight w:val="376"/>
        </w:trPr>
        <w:tc>
          <w:tcPr>
            <w:tcW w:w="2552" w:type="dxa"/>
            <w:vMerge/>
          </w:tcPr>
          <w:p w14:paraId="44417AA9" w14:textId="77777777" w:rsidR="00171824" w:rsidRDefault="00171824">
            <w:pPr>
              <w:keepNext/>
              <w:keepLines/>
              <w:widowControl/>
              <w:kinsoku w:val="0"/>
              <w:overflowPunct w:val="0"/>
              <w:rPr>
                <w:rFonts w:eastAsia="MS Mincho"/>
                <w:sz w:val="22"/>
                <w:szCs w:val="22"/>
                <w:lang w:val="el-GR"/>
              </w:rPr>
            </w:pPr>
          </w:p>
        </w:tc>
        <w:tc>
          <w:tcPr>
            <w:tcW w:w="1588" w:type="dxa"/>
          </w:tcPr>
          <w:p w14:paraId="1F0B8B39"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18E8DDC7"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Λευκοκυττάρωση,</w:t>
            </w:r>
          </w:p>
          <w:p w14:paraId="3890ED7D"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Θρομβοπενία</w:t>
            </w:r>
          </w:p>
        </w:tc>
      </w:tr>
      <w:tr w:rsidR="00171824" w14:paraId="15F13508" w14:textId="77777777">
        <w:trPr>
          <w:cantSplit/>
          <w:trHeight w:val="225"/>
        </w:trPr>
        <w:tc>
          <w:tcPr>
            <w:tcW w:w="2552" w:type="dxa"/>
            <w:vMerge/>
          </w:tcPr>
          <w:p w14:paraId="62EEEDB8" w14:textId="77777777" w:rsidR="00171824" w:rsidRDefault="00171824">
            <w:pPr>
              <w:keepNext/>
              <w:keepLines/>
              <w:widowControl/>
              <w:kinsoku w:val="0"/>
              <w:overflowPunct w:val="0"/>
              <w:rPr>
                <w:rFonts w:eastAsia="MS Mincho"/>
                <w:sz w:val="22"/>
                <w:szCs w:val="22"/>
                <w:lang w:val="el-GR"/>
              </w:rPr>
            </w:pPr>
          </w:p>
        </w:tc>
        <w:tc>
          <w:tcPr>
            <w:tcW w:w="1588" w:type="dxa"/>
          </w:tcPr>
          <w:p w14:paraId="0322A096"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62774DD1"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Ιδιοπαθής θρομβοπενική πορφύρα</w:t>
            </w:r>
          </w:p>
        </w:tc>
      </w:tr>
      <w:tr w:rsidR="00171824" w14:paraId="7D58EC08" w14:textId="77777777">
        <w:trPr>
          <w:cantSplit/>
          <w:trHeight w:val="216"/>
        </w:trPr>
        <w:tc>
          <w:tcPr>
            <w:tcW w:w="2552" w:type="dxa"/>
            <w:vMerge/>
          </w:tcPr>
          <w:p w14:paraId="618C1FD0" w14:textId="77777777" w:rsidR="00171824" w:rsidRDefault="00171824">
            <w:pPr>
              <w:widowControl/>
              <w:kinsoku w:val="0"/>
              <w:overflowPunct w:val="0"/>
              <w:rPr>
                <w:rFonts w:eastAsia="MS Mincho"/>
                <w:sz w:val="22"/>
                <w:szCs w:val="22"/>
                <w:lang w:val="el-GR"/>
              </w:rPr>
            </w:pPr>
          </w:p>
        </w:tc>
        <w:tc>
          <w:tcPr>
            <w:tcW w:w="1588" w:type="dxa"/>
          </w:tcPr>
          <w:p w14:paraId="57AD5956"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30490BDD" w14:textId="77777777" w:rsidR="00171824" w:rsidRDefault="006D258C">
            <w:pPr>
              <w:widowControl/>
              <w:kinsoku w:val="0"/>
              <w:overflowPunct w:val="0"/>
              <w:rPr>
                <w:rFonts w:eastAsia="MS Mincho"/>
                <w:sz w:val="22"/>
                <w:szCs w:val="22"/>
                <w:lang w:val="el-GR"/>
              </w:rPr>
            </w:pPr>
            <w:r>
              <w:rPr>
                <w:rFonts w:eastAsia="MS Mincho"/>
                <w:sz w:val="22"/>
                <w:szCs w:val="22"/>
                <w:lang w:val="el-GR"/>
              </w:rPr>
              <w:t>Πανκυτταροπενία</w:t>
            </w:r>
          </w:p>
        </w:tc>
      </w:tr>
      <w:tr w:rsidR="00171824" w:rsidRPr="00422380" w14:paraId="016E2FE3" w14:textId="77777777">
        <w:trPr>
          <w:cantSplit/>
          <w:trHeight w:val="475"/>
        </w:trPr>
        <w:tc>
          <w:tcPr>
            <w:tcW w:w="2552" w:type="dxa"/>
            <w:vMerge w:val="restart"/>
          </w:tcPr>
          <w:p w14:paraId="5763EB70"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Διαταραχές του ανοσοποιητικού συστήματος*</w:t>
            </w:r>
          </w:p>
        </w:tc>
        <w:tc>
          <w:tcPr>
            <w:tcW w:w="1588" w:type="dxa"/>
          </w:tcPr>
          <w:p w14:paraId="2F4BFD55"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114270F6" w14:textId="77777777" w:rsidR="00171824" w:rsidRDefault="006D258C">
            <w:pPr>
              <w:widowControl/>
              <w:kinsoku w:val="0"/>
              <w:overflowPunct w:val="0"/>
              <w:rPr>
                <w:rFonts w:eastAsia="MS Mincho"/>
                <w:sz w:val="22"/>
                <w:szCs w:val="22"/>
                <w:lang w:val="el-GR"/>
              </w:rPr>
            </w:pPr>
            <w:r>
              <w:rPr>
                <w:rFonts w:eastAsia="MS Mincho"/>
                <w:sz w:val="22"/>
                <w:szCs w:val="22"/>
                <w:lang w:val="el-GR"/>
              </w:rPr>
              <w:t>Υπερευαισθησία,</w:t>
            </w:r>
          </w:p>
          <w:p w14:paraId="3CF440FE" w14:textId="77777777" w:rsidR="00171824" w:rsidRDefault="006D258C">
            <w:pPr>
              <w:kinsoku w:val="0"/>
              <w:overflowPunct w:val="0"/>
              <w:rPr>
                <w:rFonts w:eastAsia="MS Mincho"/>
                <w:sz w:val="22"/>
                <w:szCs w:val="22"/>
                <w:lang w:val="el-GR"/>
              </w:rPr>
            </w:pPr>
            <w:r>
              <w:rPr>
                <w:rFonts w:eastAsia="MS Mincho"/>
                <w:sz w:val="22"/>
                <w:szCs w:val="22"/>
                <w:lang w:val="el-GR"/>
              </w:rPr>
              <w:t>αλλεργίες (συμπεριλαμβάνεται εποχική αλλεργία)</w:t>
            </w:r>
          </w:p>
        </w:tc>
      </w:tr>
      <w:tr w:rsidR="00171824" w14:paraId="311CF0C2" w14:textId="77777777">
        <w:trPr>
          <w:cantSplit/>
          <w:trHeight w:val="491"/>
        </w:trPr>
        <w:tc>
          <w:tcPr>
            <w:tcW w:w="2552" w:type="dxa"/>
            <w:vMerge/>
          </w:tcPr>
          <w:p w14:paraId="7B2FC23F" w14:textId="77777777" w:rsidR="00171824" w:rsidRDefault="00171824">
            <w:pPr>
              <w:keepNext/>
              <w:widowControl/>
              <w:kinsoku w:val="0"/>
              <w:overflowPunct w:val="0"/>
              <w:rPr>
                <w:rFonts w:eastAsia="MS Mincho"/>
                <w:sz w:val="22"/>
                <w:szCs w:val="22"/>
                <w:lang w:val="el-GR"/>
              </w:rPr>
            </w:pPr>
          </w:p>
        </w:tc>
        <w:tc>
          <w:tcPr>
            <w:tcW w:w="1588" w:type="dxa"/>
          </w:tcPr>
          <w:p w14:paraId="723BE039"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7E15E151" w14:textId="77777777" w:rsidR="00171824" w:rsidRDefault="006D258C">
            <w:pPr>
              <w:widowControl/>
              <w:kinsoku w:val="0"/>
              <w:overflowPunct w:val="0"/>
              <w:rPr>
                <w:rFonts w:eastAsia="MS Mincho"/>
                <w:sz w:val="22"/>
                <w:szCs w:val="22"/>
                <w:lang w:val="el-GR"/>
              </w:rPr>
            </w:pPr>
            <w:r>
              <w:rPr>
                <w:rFonts w:eastAsia="MS Mincho"/>
                <w:sz w:val="22"/>
                <w:szCs w:val="22"/>
                <w:lang w:val="el-GR"/>
              </w:rPr>
              <w:t>Σαρκοείδωση</w:t>
            </w:r>
            <w:r>
              <w:rPr>
                <w:rFonts w:eastAsia="MS Mincho"/>
                <w:sz w:val="22"/>
                <w:szCs w:val="22"/>
                <w:vertAlign w:val="superscript"/>
                <w:lang w:val="el-GR"/>
              </w:rPr>
              <w:t>1)</w:t>
            </w:r>
            <w:r>
              <w:rPr>
                <w:rFonts w:eastAsia="MS Mincho"/>
                <w:sz w:val="22"/>
                <w:szCs w:val="22"/>
                <w:lang w:val="el-GR"/>
              </w:rPr>
              <w:t>,</w:t>
            </w:r>
          </w:p>
          <w:p w14:paraId="2871CEF2" w14:textId="77777777" w:rsidR="00171824" w:rsidRDefault="006D258C">
            <w:pPr>
              <w:widowControl/>
              <w:kinsoku w:val="0"/>
              <w:overflowPunct w:val="0"/>
              <w:rPr>
                <w:rFonts w:eastAsia="MS Mincho"/>
                <w:sz w:val="22"/>
                <w:szCs w:val="22"/>
                <w:lang w:val="el-GR"/>
              </w:rPr>
            </w:pPr>
            <w:r>
              <w:rPr>
                <w:rFonts w:eastAsia="MS Mincho"/>
                <w:sz w:val="22"/>
                <w:szCs w:val="22"/>
                <w:lang w:val="el-GR"/>
              </w:rPr>
              <w:t>Αγγειίτιδα</w:t>
            </w:r>
          </w:p>
        </w:tc>
      </w:tr>
      <w:tr w:rsidR="00171824" w14:paraId="46884F81" w14:textId="77777777">
        <w:trPr>
          <w:cantSplit/>
          <w:trHeight w:val="187"/>
        </w:trPr>
        <w:tc>
          <w:tcPr>
            <w:tcW w:w="2552" w:type="dxa"/>
            <w:vMerge/>
          </w:tcPr>
          <w:p w14:paraId="3E4D09F5" w14:textId="77777777" w:rsidR="00171824" w:rsidRDefault="00171824">
            <w:pPr>
              <w:keepNext/>
              <w:widowControl/>
              <w:kinsoku w:val="0"/>
              <w:overflowPunct w:val="0"/>
              <w:rPr>
                <w:rFonts w:eastAsia="MS Mincho"/>
                <w:sz w:val="22"/>
                <w:szCs w:val="22"/>
                <w:lang w:val="el-GR"/>
              </w:rPr>
            </w:pPr>
          </w:p>
        </w:tc>
        <w:tc>
          <w:tcPr>
            <w:tcW w:w="1588" w:type="dxa"/>
          </w:tcPr>
          <w:p w14:paraId="2C83E0C9"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5A533E42" w14:textId="77777777" w:rsidR="00171824" w:rsidRDefault="006D258C">
            <w:pPr>
              <w:widowControl/>
              <w:kinsoku w:val="0"/>
              <w:overflowPunct w:val="0"/>
              <w:rPr>
                <w:rFonts w:eastAsia="MS Mincho"/>
                <w:sz w:val="22"/>
                <w:szCs w:val="22"/>
                <w:lang w:val="el-GR"/>
              </w:rPr>
            </w:pPr>
            <w:r>
              <w:rPr>
                <w:rFonts w:eastAsia="MS Mincho"/>
                <w:sz w:val="22"/>
                <w:szCs w:val="22"/>
                <w:lang w:val="el-GR"/>
              </w:rPr>
              <w:t>Αναφυλαξία</w:t>
            </w:r>
            <w:r>
              <w:rPr>
                <w:rFonts w:eastAsia="MS Mincho"/>
                <w:sz w:val="22"/>
                <w:szCs w:val="22"/>
                <w:vertAlign w:val="superscript"/>
                <w:lang w:val="el-GR"/>
              </w:rPr>
              <w:t>1)</w:t>
            </w:r>
          </w:p>
        </w:tc>
      </w:tr>
      <w:tr w:rsidR="00171824" w14:paraId="0D82E0C4" w14:textId="77777777">
        <w:trPr>
          <w:cantSplit/>
          <w:trHeight w:val="168"/>
        </w:trPr>
        <w:tc>
          <w:tcPr>
            <w:tcW w:w="2552" w:type="dxa"/>
            <w:vMerge w:val="restart"/>
          </w:tcPr>
          <w:p w14:paraId="765EE66B" w14:textId="4C1E9A77" w:rsidR="00171824" w:rsidRDefault="00CA28EA">
            <w:pPr>
              <w:keepNext/>
              <w:keepLines/>
              <w:widowControl/>
              <w:kinsoku w:val="0"/>
              <w:overflowPunct w:val="0"/>
              <w:rPr>
                <w:rFonts w:eastAsia="MS Mincho"/>
                <w:sz w:val="22"/>
                <w:szCs w:val="22"/>
                <w:lang w:val="el-GR"/>
              </w:rPr>
            </w:pPr>
            <w:ins w:id="69" w:author="Author">
              <w:r>
                <w:rPr>
                  <w:rFonts w:eastAsia="MS Mincho"/>
                  <w:sz w:val="22"/>
                  <w:szCs w:val="22"/>
                  <w:lang w:val="el-GR"/>
                </w:rPr>
                <w:t xml:space="preserve">Μεταβολικές και διατροφικές </w:t>
              </w:r>
            </w:ins>
            <w:del w:id="70" w:author="Author">
              <w:r w:rsidR="006D258C" w:rsidDel="00CA28EA">
                <w:rPr>
                  <w:rFonts w:eastAsia="MS Mincho"/>
                  <w:sz w:val="22"/>
                  <w:szCs w:val="22"/>
                  <w:lang w:val="el-GR"/>
                </w:rPr>
                <w:delText>Δ</w:delText>
              </w:r>
            </w:del>
            <w:ins w:id="71" w:author="Author">
              <w:r>
                <w:rPr>
                  <w:rFonts w:eastAsia="MS Mincho"/>
                  <w:sz w:val="22"/>
                  <w:szCs w:val="22"/>
                  <w:lang w:val="el-GR"/>
                </w:rPr>
                <w:t>δ</w:t>
              </w:r>
            </w:ins>
            <w:r w:rsidR="006D258C">
              <w:rPr>
                <w:rFonts w:eastAsia="MS Mincho"/>
                <w:sz w:val="22"/>
                <w:szCs w:val="22"/>
                <w:lang w:val="el-GR"/>
              </w:rPr>
              <w:t xml:space="preserve">ιαταραχές </w:t>
            </w:r>
            <w:del w:id="72" w:author="Author">
              <w:r w:rsidR="006D258C" w:rsidDel="00CA28EA">
                <w:rPr>
                  <w:rFonts w:eastAsia="MS Mincho"/>
                  <w:sz w:val="22"/>
                  <w:szCs w:val="22"/>
                  <w:lang w:val="el-GR"/>
                </w:rPr>
                <w:delText>του μεταβολισμού και της θρέψης</w:delText>
              </w:r>
            </w:del>
          </w:p>
        </w:tc>
        <w:tc>
          <w:tcPr>
            <w:tcW w:w="1588" w:type="dxa"/>
          </w:tcPr>
          <w:p w14:paraId="31BA9FEB"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5F95B663" w14:textId="77777777" w:rsidR="00171824" w:rsidRDefault="006D258C">
            <w:pPr>
              <w:keepNext/>
              <w:keepLines/>
              <w:widowControl/>
              <w:kinsoku w:val="0"/>
              <w:overflowPunct w:val="0"/>
              <w:rPr>
                <w:rFonts w:eastAsia="MS Mincho"/>
                <w:sz w:val="22"/>
                <w:szCs w:val="22"/>
                <w:lang w:val="el-GR"/>
              </w:rPr>
            </w:pPr>
            <w:r>
              <w:rPr>
                <w:rFonts w:eastAsia="MS Mincho"/>
                <w:sz w:val="22"/>
                <w:szCs w:val="22"/>
                <w:lang w:val="el-GR"/>
              </w:rPr>
              <w:t>Λιπίδια αυξημένα</w:t>
            </w:r>
          </w:p>
        </w:tc>
      </w:tr>
      <w:tr w:rsidR="00171824" w14:paraId="5C47E6F8" w14:textId="77777777">
        <w:trPr>
          <w:cantSplit/>
          <w:trHeight w:val="1617"/>
        </w:trPr>
        <w:tc>
          <w:tcPr>
            <w:tcW w:w="2552" w:type="dxa"/>
            <w:vMerge/>
          </w:tcPr>
          <w:p w14:paraId="70F568C9" w14:textId="77777777" w:rsidR="00171824" w:rsidRDefault="00171824">
            <w:pPr>
              <w:widowControl/>
              <w:kinsoku w:val="0"/>
              <w:overflowPunct w:val="0"/>
              <w:rPr>
                <w:rFonts w:eastAsia="MS Mincho"/>
                <w:sz w:val="22"/>
                <w:szCs w:val="22"/>
                <w:lang w:val="el-GR"/>
              </w:rPr>
            </w:pPr>
          </w:p>
        </w:tc>
        <w:tc>
          <w:tcPr>
            <w:tcW w:w="1588" w:type="dxa"/>
          </w:tcPr>
          <w:p w14:paraId="11C1DFF5"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55B97413" w14:textId="77777777" w:rsidR="00171824" w:rsidRDefault="006D258C">
            <w:pPr>
              <w:widowControl/>
              <w:kinsoku w:val="0"/>
              <w:overflowPunct w:val="0"/>
              <w:rPr>
                <w:rFonts w:eastAsia="MS Mincho"/>
                <w:sz w:val="22"/>
                <w:szCs w:val="22"/>
                <w:lang w:val="el-GR"/>
              </w:rPr>
            </w:pPr>
            <w:r>
              <w:rPr>
                <w:rFonts w:eastAsia="MS Mincho"/>
                <w:sz w:val="22"/>
                <w:szCs w:val="22"/>
                <w:lang w:val="el-GR"/>
              </w:rPr>
              <w:t>Υποκαλιαιμία,</w:t>
            </w:r>
          </w:p>
          <w:p w14:paraId="46A6CDFA" w14:textId="77777777" w:rsidR="00171824" w:rsidRDefault="006D258C">
            <w:pPr>
              <w:widowControl/>
              <w:kinsoku w:val="0"/>
              <w:overflowPunct w:val="0"/>
              <w:rPr>
                <w:rFonts w:eastAsia="MS Mincho"/>
                <w:sz w:val="22"/>
                <w:szCs w:val="22"/>
                <w:lang w:val="el-GR"/>
              </w:rPr>
            </w:pPr>
            <w:r>
              <w:rPr>
                <w:rFonts w:eastAsia="MS Mincho"/>
                <w:sz w:val="22"/>
                <w:szCs w:val="22"/>
                <w:lang w:val="el-GR"/>
              </w:rPr>
              <w:t>Ουρικό οξύ αυξημένο,</w:t>
            </w:r>
          </w:p>
          <w:p w14:paraId="0838B7D5" w14:textId="77777777" w:rsidR="00171824" w:rsidRDefault="006D258C">
            <w:pPr>
              <w:widowControl/>
              <w:kinsoku w:val="0"/>
              <w:overflowPunct w:val="0"/>
              <w:rPr>
                <w:rFonts w:eastAsia="MS Mincho"/>
                <w:sz w:val="22"/>
                <w:szCs w:val="22"/>
                <w:lang w:val="el-GR"/>
              </w:rPr>
            </w:pPr>
            <w:r>
              <w:rPr>
                <w:rFonts w:eastAsia="MS Mincho"/>
                <w:sz w:val="22"/>
                <w:szCs w:val="22"/>
                <w:lang w:val="el-GR"/>
              </w:rPr>
              <w:t>Νάτριο αίματος μη φυσιολογικό,</w:t>
            </w:r>
          </w:p>
          <w:p w14:paraId="02F108DA" w14:textId="77777777" w:rsidR="00171824" w:rsidRDefault="006D258C">
            <w:pPr>
              <w:widowControl/>
              <w:kinsoku w:val="0"/>
              <w:overflowPunct w:val="0"/>
              <w:rPr>
                <w:rFonts w:eastAsia="MS Mincho"/>
                <w:sz w:val="22"/>
                <w:szCs w:val="22"/>
                <w:lang w:val="el-GR"/>
              </w:rPr>
            </w:pPr>
            <w:r>
              <w:rPr>
                <w:rFonts w:eastAsia="MS Mincho"/>
                <w:sz w:val="22"/>
                <w:szCs w:val="22"/>
                <w:lang w:val="el-GR"/>
              </w:rPr>
              <w:t>Υπασβεστιαιμία,</w:t>
            </w:r>
          </w:p>
          <w:p w14:paraId="73ED3596" w14:textId="77777777" w:rsidR="00171824" w:rsidRDefault="006D258C">
            <w:pPr>
              <w:widowControl/>
              <w:kinsoku w:val="0"/>
              <w:overflowPunct w:val="0"/>
              <w:rPr>
                <w:rFonts w:eastAsia="MS Mincho"/>
                <w:sz w:val="22"/>
                <w:szCs w:val="22"/>
                <w:lang w:val="el-GR"/>
              </w:rPr>
            </w:pPr>
            <w:r>
              <w:rPr>
                <w:rFonts w:eastAsia="MS Mincho"/>
                <w:sz w:val="22"/>
                <w:szCs w:val="22"/>
                <w:lang w:val="el-GR"/>
              </w:rPr>
              <w:t>Υπεργλυκαιμία,</w:t>
            </w:r>
          </w:p>
          <w:p w14:paraId="6E2DA3A4" w14:textId="77777777" w:rsidR="00171824" w:rsidRDefault="006D258C">
            <w:pPr>
              <w:widowControl/>
              <w:kinsoku w:val="0"/>
              <w:overflowPunct w:val="0"/>
              <w:rPr>
                <w:rFonts w:eastAsia="MS Mincho"/>
                <w:sz w:val="22"/>
                <w:szCs w:val="22"/>
                <w:lang w:val="el-GR"/>
              </w:rPr>
            </w:pPr>
            <w:r>
              <w:rPr>
                <w:rFonts w:eastAsia="MS Mincho"/>
                <w:sz w:val="22"/>
                <w:szCs w:val="22"/>
                <w:lang w:val="el-GR"/>
              </w:rPr>
              <w:t>Υποφωσφοραιμία,</w:t>
            </w:r>
          </w:p>
          <w:p w14:paraId="67EBCDED" w14:textId="77777777" w:rsidR="00171824" w:rsidRDefault="006D258C">
            <w:pPr>
              <w:widowControl/>
              <w:kinsoku w:val="0"/>
              <w:overflowPunct w:val="0"/>
              <w:rPr>
                <w:rFonts w:eastAsia="MS Mincho"/>
                <w:sz w:val="22"/>
                <w:szCs w:val="22"/>
                <w:lang w:val="el-GR"/>
              </w:rPr>
            </w:pPr>
            <w:r>
              <w:rPr>
                <w:rFonts w:eastAsia="MS Mincho"/>
                <w:sz w:val="22"/>
                <w:szCs w:val="22"/>
                <w:lang w:val="el-GR"/>
              </w:rPr>
              <w:t>Αφυδάτωση</w:t>
            </w:r>
          </w:p>
        </w:tc>
      </w:tr>
      <w:tr w:rsidR="00171824" w14:paraId="2C89D688" w14:textId="77777777">
        <w:trPr>
          <w:cantSplit/>
        </w:trPr>
        <w:tc>
          <w:tcPr>
            <w:tcW w:w="2552" w:type="dxa"/>
          </w:tcPr>
          <w:p w14:paraId="4D74AB2F"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Ψυχιατρικές διαταραχές</w:t>
            </w:r>
          </w:p>
        </w:tc>
        <w:tc>
          <w:tcPr>
            <w:tcW w:w="1588" w:type="dxa"/>
          </w:tcPr>
          <w:p w14:paraId="0FD803EB"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6D1AF9AD"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Μεταβολή διάθεσης (συμπεριλαμβάνεται</w:t>
            </w:r>
          </w:p>
          <w:p w14:paraId="3EE9619A"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κατάθλιψη),</w:t>
            </w:r>
          </w:p>
          <w:p w14:paraId="1A521F3F"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΄Αγχος,</w:t>
            </w:r>
          </w:p>
          <w:p w14:paraId="5B85869B"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Αϋπνία</w:t>
            </w:r>
          </w:p>
        </w:tc>
      </w:tr>
      <w:tr w:rsidR="00171824" w14:paraId="5C8DEE16" w14:textId="77777777">
        <w:trPr>
          <w:cantSplit/>
          <w:trHeight w:val="212"/>
        </w:trPr>
        <w:tc>
          <w:tcPr>
            <w:tcW w:w="2552" w:type="dxa"/>
            <w:vMerge w:val="restart"/>
          </w:tcPr>
          <w:p w14:paraId="3EF7DA4D" w14:textId="77777777" w:rsidR="00171824" w:rsidRDefault="006D258C">
            <w:pPr>
              <w:widowControl/>
              <w:kinsoku w:val="0"/>
              <w:overflowPunct w:val="0"/>
              <w:rPr>
                <w:rFonts w:eastAsia="MS Mincho"/>
                <w:sz w:val="22"/>
                <w:szCs w:val="22"/>
                <w:lang w:val="el-GR"/>
              </w:rPr>
            </w:pPr>
            <w:r>
              <w:rPr>
                <w:rFonts w:eastAsia="MS Mincho"/>
                <w:sz w:val="22"/>
                <w:szCs w:val="22"/>
                <w:lang w:val="el-GR"/>
              </w:rPr>
              <w:t>Διαταραχές του νευρικού συστήματος*</w:t>
            </w:r>
          </w:p>
        </w:tc>
        <w:tc>
          <w:tcPr>
            <w:tcW w:w="1588" w:type="dxa"/>
          </w:tcPr>
          <w:p w14:paraId="457E8CF8"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22F2ED7F" w14:textId="77777777" w:rsidR="00171824" w:rsidRDefault="006D258C">
            <w:pPr>
              <w:widowControl/>
              <w:kinsoku w:val="0"/>
              <w:overflowPunct w:val="0"/>
              <w:rPr>
                <w:rFonts w:eastAsia="MS Mincho"/>
                <w:sz w:val="22"/>
                <w:szCs w:val="22"/>
                <w:lang w:val="el-GR"/>
              </w:rPr>
            </w:pPr>
            <w:r>
              <w:rPr>
                <w:rFonts w:eastAsia="MS Mincho"/>
                <w:sz w:val="22"/>
                <w:szCs w:val="22"/>
                <w:lang w:val="el-GR"/>
              </w:rPr>
              <w:t>Κεφαλαλγία</w:t>
            </w:r>
          </w:p>
        </w:tc>
      </w:tr>
      <w:tr w:rsidR="00171824" w:rsidRPr="00422380" w14:paraId="7B8F6FF6" w14:textId="77777777">
        <w:trPr>
          <w:cantSplit/>
          <w:trHeight w:val="386"/>
        </w:trPr>
        <w:tc>
          <w:tcPr>
            <w:tcW w:w="2552" w:type="dxa"/>
            <w:vMerge/>
          </w:tcPr>
          <w:p w14:paraId="4BF3B0BC" w14:textId="77777777" w:rsidR="00171824" w:rsidRDefault="00171824">
            <w:pPr>
              <w:widowControl/>
              <w:kinsoku w:val="0"/>
              <w:overflowPunct w:val="0"/>
              <w:rPr>
                <w:rFonts w:eastAsia="MS Mincho"/>
                <w:sz w:val="22"/>
                <w:szCs w:val="22"/>
                <w:lang w:val="el-GR"/>
              </w:rPr>
            </w:pPr>
          </w:p>
        </w:tc>
        <w:tc>
          <w:tcPr>
            <w:tcW w:w="1588" w:type="dxa"/>
          </w:tcPr>
          <w:p w14:paraId="5ED007F8"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6DCE8F9B" w14:textId="77777777" w:rsidR="00171824" w:rsidRDefault="006D258C">
            <w:pPr>
              <w:widowControl/>
              <w:kinsoku w:val="0"/>
              <w:overflowPunct w:val="0"/>
              <w:rPr>
                <w:rFonts w:eastAsia="MS Mincho"/>
                <w:sz w:val="22"/>
                <w:szCs w:val="22"/>
                <w:lang w:val="el-GR"/>
              </w:rPr>
            </w:pPr>
            <w:r>
              <w:rPr>
                <w:rFonts w:eastAsia="MS Mincho"/>
                <w:sz w:val="22"/>
                <w:szCs w:val="22"/>
                <w:lang w:val="el-GR"/>
              </w:rPr>
              <w:t>Παραισθησία (συμπεριλαμβάνεται υπαισθησία),</w:t>
            </w:r>
          </w:p>
          <w:p w14:paraId="28681755" w14:textId="77777777" w:rsidR="00171824" w:rsidRDefault="006D258C">
            <w:pPr>
              <w:widowControl/>
              <w:kinsoku w:val="0"/>
              <w:overflowPunct w:val="0"/>
              <w:rPr>
                <w:rFonts w:eastAsia="MS Mincho"/>
                <w:sz w:val="22"/>
                <w:szCs w:val="22"/>
                <w:lang w:val="el-GR"/>
              </w:rPr>
            </w:pPr>
            <w:r>
              <w:rPr>
                <w:rFonts w:eastAsia="MS Mincho"/>
                <w:sz w:val="22"/>
                <w:szCs w:val="22"/>
                <w:lang w:val="el-GR"/>
              </w:rPr>
              <w:t>Ημικρανία,</w:t>
            </w:r>
          </w:p>
          <w:p w14:paraId="3C53F29E" w14:textId="77777777" w:rsidR="00171824" w:rsidRDefault="006D258C">
            <w:pPr>
              <w:widowControl/>
              <w:kinsoku w:val="0"/>
              <w:overflowPunct w:val="0"/>
              <w:rPr>
                <w:rFonts w:eastAsia="MS Mincho"/>
                <w:sz w:val="22"/>
                <w:szCs w:val="22"/>
                <w:lang w:val="el-GR"/>
              </w:rPr>
            </w:pPr>
            <w:r>
              <w:rPr>
                <w:rFonts w:eastAsia="MS Mincho"/>
                <w:sz w:val="22"/>
                <w:szCs w:val="22"/>
                <w:lang w:val="el-GR"/>
              </w:rPr>
              <w:t>Συμπίεση νευρικής ρίζας</w:t>
            </w:r>
          </w:p>
        </w:tc>
      </w:tr>
      <w:tr w:rsidR="00171824" w:rsidRPr="00422380" w14:paraId="13C7BBF3" w14:textId="77777777">
        <w:trPr>
          <w:cantSplit/>
          <w:trHeight w:val="623"/>
        </w:trPr>
        <w:tc>
          <w:tcPr>
            <w:tcW w:w="2552" w:type="dxa"/>
            <w:vMerge/>
          </w:tcPr>
          <w:p w14:paraId="48C72508" w14:textId="77777777" w:rsidR="00171824" w:rsidRDefault="00171824">
            <w:pPr>
              <w:widowControl/>
              <w:kinsoku w:val="0"/>
              <w:overflowPunct w:val="0"/>
              <w:rPr>
                <w:rFonts w:eastAsia="MS Mincho"/>
                <w:sz w:val="22"/>
                <w:szCs w:val="22"/>
                <w:lang w:val="el-GR"/>
              </w:rPr>
            </w:pPr>
          </w:p>
        </w:tc>
        <w:tc>
          <w:tcPr>
            <w:tcW w:w="1588" w:type="dxa"/>
          </w:tcPr>
          <w:p w14:paraId="1AE476B4"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49AAA637" w14:textId="77777777" w:rsidR="00171824" w:rsidRDefault="006D258C">
            <w:pPr>
              <w:widowControl/>
              <w:kinsoku w:val="0"/>
              <w:overflowPunct w:val="0"/>
              <w:rPr>
                <w:rFonts w:eastAsia="MS Mincho"/>
                <w:sz w:val="22"/>
                <w:szCs w:val="22"/>
                <w:lang w:val="el-GR"/>
              </w:rPr>
            </w:pPr>
            <w:r>
              <w:rPr>
                <w:rFonts w:eastAsia="MS Mincho"/>
                <w:sz w:val="22"/>
                <w:szCs w:val="22"/>
                <w:lang w:val="el-GR"/>
              </w:rPr>
              <w:t>Αγγειακό εγκεφαλικό επεισόδιο</w:t>
            </w:r>
            <w:r>
              <w:rPr>
                <w:rFonts w:eastAsia="MS Mincho"/>
                <w:sz w:val="22"/>
                <w:szCs w:val="22"/>
                <w:vertAlign w:val="superscript"/>
                <w:lang w:val="el-GR"/>
              </w:rPr>
              <w:t>1)</w:t>
            </w:r>
          </w:p>
          <w:p w14:paraId="32B7691E" w14:textId="77777777" w:rsidR="00171824" w:rsidRDefault="006D258C">
            <w:pPr>
              <w:widowControl/>
              <w:kinsoku w:val="0"/>
              <w:overflowPunct w:val="0"/>
              <w:rPr>
                <w:rFonts w:eastAsia="MS Mincho"/>
                <w:sz w:val="22"/>
                <w:szCs w:val="22"/>
                <w:lang w:val="el-GR"/>
              </w:rPr>
            </w:pPr>
            <w:r>
              <w:rPr>
                <w:rFonts w:eastAsia="MS Mincho"/>
                <w:sz w:val="22"/>
                <w:szCs w:val="22"/>
                <w:lang w:val="el-GR"/>
              </w:rPr>
              <w:t>Τρόμος,</w:t>
            </w:r>
          </w:p>
          <w:p w14:paraId="41487545" w14:textId="77777777" w:rsidR="00171824" w:rsidRDefault="006D258C">
            <w:pPr>
              <w:widowControl/>
              <w:kinsoku w:val="0"/>
              <w:overflowPunct w:val="0"/>
              <w:rPr>
                <w:rFonts w:eastAsia="MS Mincho"/>
                <w:sz w:val="22"/>
                <w:szCs w:val="22"/>
                <w:lang w:val="el-GR"/>
              </w:rPr>
            </w:pPr>
            <w:r>
              <w:rPr>
                <w:rFonts w:eastAsia="MS Mincho"/>
                <w:sz w:val="22"/>
                <w:szCs w:val="22"/>
                <w:lang w:val="el-GR"/>
              </w:rPr>
              <w:t>Νευροπάθεια</w:t>
            </w:r>
          </w:p>
        </w:tc>
      </w:tr>
      <w:tr w:rsidR="00171824" w:rsidRPr="00422380" w14:paraId="7B5F7849" w14:textId="77777777">
        <w:trPr>
          <w:cantSplit/>
          <w:trHeight w:val="691"/>
        </w:trPr>
        <w:tc>
          <w:tcPr>
            <w:tcW w:w="2552" w:type="dxa"/>
            <w:vMerge/>
          </w:tcPr>
          <w:p w14:paraId="7082119F" w14:textId="77777777" w:rsidR="00171824" w:rsidRDefault="00171824">
            <w:pPr>
              <w:widowControl/>
              <w:kinsoku w:val="0"/>
              <w:overflowPunct w:val="0"/>
              <w:rPr>
                <w:rFonts w:eastAsia="MS Mincho"/>
                <w:sz w:val="22"/>
                <w:szCs w:val="22"/>
                <w:lang w:val="el-GR"/>
              </w:rPr>
            </w:pPr>
          </w:p>
        </w:tc>
        <w:tc>
          <w:tcPr>
            <w:tcW w:w="1588" w:type="dxa"/>
          </w:tcPr>
          <w:p w14:paraId="48EAF161"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783AF060" w14:textId="77777777" w:rsidR="00171824" w:rsidRDefault="006D258C">
            <w:pPr>
              <w:widowControl/>
              <w:kinsoku w:val="0"/>
              <w:overflowPunct w:val="0"/>
              <w:rPr>
                <w:rFonts w:eastAsia="MS Mincho"/>
                <w:sz w:val="22"/>
                <w:szCs w:val="22"/>
                <w:lang w:val="el-GR"/>
              </w:rPr>
            </w:pPr>
            <w:r>
              <w:rPr>
                <w:rFonts w:eastAsia="MS Mincho"/>
                <w:sz w:val="22"/>
                <w:szCs w:val="22"/>
                <w:lang w:val="el-GR"/>
              </w:rPr>
              <w:t>Σκλήρυνση κατά πλάκας,</w:t>
            </w:r>
          </w:p>
          <w:p w14:paraId="0824806D" w14:textId="77777777" w:rsidR="00171824" w:rsidRDefault="006D258C">
            <w:pPr>
              <w:widowControl/>
              <w:kinsoku w:val="0"/>
              <w:overflowPunct w:val="0"/>
              <w:rPr>
                <w:rFonts w:eastAsia="MS Mincho"/>
                <w:sz w:val="22"/>
                <w:szCs w:val="22"/>
                <w:lang w:val="el-GR"/>
              </w:rPr>
            </w:pPr>
            <w:r>
              <w:rPr>
                <w:rFonts w:eastAsia="MS Mincho"/>
                <w:sz w:val="22"/>
                <w:szCs w:val="22"/>
                <w:lang w:val="el-GR"/>
              </w:rPr>
              <w:t>Απομυελινωτικές διαταραχές (π.χ. οπτική νευρίτιδα, σύνδρομο Guillain-Barré)</w:t>
            </w:r>
            <w:r>
              <w:rPr>
                <w:rFonts w:eastAsia="MS Mincho"/>
                <w:sz w:val="22"/>
                <w:szCs w:val="22"/>
                <w:vertAlign w:val="superscript"/>
                <w:lang w:val="el-GR"/>
              </w:rPr>
              <w:t>1)</w:t>
            </w:r>
          </w:p>
        </w:tc>
      </w:tr>
      <w:tr w:rsidR="00171824" w:rsidRPr="00422380" w14:paraId="6BA88000" w14:textId="77777777">
        <w:trPr>
          <w:cantSplit/>
          <w:trHeight w:val="773"/>
        </w:trPr>
        <w:tc>
          <w:tcPr>
            <w:tcW w:w="2552" w:type="dxa"/>
            <w:vMerge w:val="restart"/>
          </w:tcPr>
          <w:p w14:paraId="18968C8C" w14:textId="419FD9AF" w:rsidR="00171824" w:rsidRDefault="006D258C">
            <w:pPr>
              <w:widowControl/>
              <w:kinsoku w:val="0"/>
              <w:overflowPunct w:val="0"/>
              <w:rPr>
                <w:rFonts w:eastAsia="MS Mincho"/>
                <w:sz w:val="22"/>
                <w:szCs w:val="22"/>
                <w:lang w:val="el-GR"/>
              </w:rPr>
            </w:pPr>
            <w:del w:id="73" w:author="Author">
              <w:r w:rsidDel="005758B2">
                <w:rPr>
                  <w:rFonts w:eastAsia="MS Mincho"/>
                  <w:sz w:val="22"/>
                  <w:szCs w:val="22"/>
                  <w:lang w:val="el-GR"/>
                </w:rPr>
                <w:delText>Οφθαλμικές δ</w:delText>
              </w:r>
            </w:del>
            <w:ins w:id="74" w:author="Author">
              <w:r w:rsidR="005758B2">
                <w:rPr>
                  <w:rFonts w:eastAsia="MS Mincho"/>
                  <w:sz w:val="22"/>
                  <w:szCs w:val="22"/>
                  <w:lang w:val="el-GR"/>
                </w:rPr>
                <w:t>Δ</w:t>
              </w:r>
            </w:ins>
            <w:r>
              <w:rPr>
                <w:rFonts w:eastAsia="MS Mincho"/>
                <w:sz w:val="22"/>
                <w:szCs w:val="22"/>
                <w:lang w:val="el-GR"/>
              </w:rPr>
              <w:t>ιαταραχές</w:t>
            </w:r>
            <w:ins w:id="75" w:author="Author">
              <w:r w:rsidR="005758B2">
                <w:rPr>
                  <w:rFonts w:eastAsia="MS Mincho"/>
                  <w:sz w:val="22"/>
                  <w:szCs w:val="22"/>
                  <w:lang w:val="el-GR"/>
                </w:rPr>
                <w:t xml:space="preserve"> του οφθαλμού</w:t>
              </w:r>
            </w:ins>
          </w:p>
        </w:tc>
        <w:tc>
          <w:tcPr>
            <w:tcW w:w="1588" w:type="dxa"/>
          </w:tcPr>
          <w:p w14:paraId="629A8C6E"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5E0A534B" w14:textId="77777777" w:rsidR="00171824" w:rsidRDefault="006D258C">
            <w:pPr>
              <w:widowControl/>
              <w:kinsoku w:val="0"/>
              <w:overflowPunct w:val="0"/>
              <w:rPr>
                <w:rFonts w:eastAsia="MS Mincho"/>
                <w:sz w:val="22"/>
                <w:szCs w:val="22"/>
                <w:lang w:val="el-GR"/>
              </w:rPr>
            </w:pPr>
            <w:r>
              <w:rPr>
                <w:rFonts w:eastAsia="MS Mincho"/>
                <w:sz w:val="22"/>
                <w:szCs w:val="22"/>
                <w:lang w:val="el-GR"/>
              </w:rPr>
              <w:t>Οπτική διαταραχή,</w:t>
            </w:r>
          </w:p>
          <w:p w14:paraId="4D2A3D56" w14:textId="77777777" w:rsidR="00171824" w:rsidRDefault="006D258C">
            <w:pPr>
              <w:widowControl/>
              <w:kinsoku w:val="0"/>
              <w:overflowPunct w:val="0"/>
              <w:rPr>
                <w:rFonts w:eastAsia="MS Mincho"/>
                <w:sz w:val="22"/>
                <w:szCs w:val="22"/>
                <w:lang w:val="el-GR"/>
              </w:rPr>
            </w:pPr>
            <w:r>
              <w:rPr>
                <w:rFonts w:eastAsia="MS Mincho"/>
                <w:sz w:val="22"/>
                <w:szCs w:val="22"/>
                <w:lang w:val="el-GR"/>
              </w:rPr>
              <w:t>Επιπεφυκίτιδα,</w:t>
            </w:r>
          </w:p>
          <w:p w14:paraId="687FE4F5" w14:textId="77777777" w:rsidR="00171824" w:rsidRDefault="006D258C">
            <w:pPr>
              <w:widowControl/>
              <w:kinsoku w:val="0"/>
              <w:overflowPunct w:val="0"/>
              <w:rPr>
                <w:rFonts w:eastAsia="MS Mincho"/>
                <w:sz w:val="22"/>
                <w:szCs w:val="22"/>
                <w:lang w:val="el-GR"/>
              </w:rPr>
            </w:pPr>
            <w:r>
              <w:rPr>
                <w:rFonts w:eastAsia="MS Mincho"/>
                <w:sz w:val="22"/>
                <w:szCs w:val="22"/>
                <w:lang w:val="el-GR"/>
              </w:rPr>
              <w:t>Βλεφαρίτιδα,</w:t>
            </w:r>
          </w:p>
          <w:p w14:paraId="0D7F673E" w14:textId="77777777" w:rsidR="00171824" w:rsidRDefault="006D258C">
            <w:pPr>
              <w:widowControl/>
              <w:kinsoku w:val="0"/>
              <w:overflowPunct w:val="0"/>
              <w:rPr>
                <w:rFonts w:eastAsia="MS Mincho"/>
                <w:sz w:val="22"/>
                <w:szCs w:val="22"/>
                <w:lang w:val="el-GR"/>
              </w:rPr>
            </w:pPr>
            <w:r>
              <w:rPr>
                <w:rFonts w:eastAsia="MS Mincho"/>
                <w:sz w:val="22"/>
                <w:szCs w:val="22"/>
                <w:lang w:val="el-GR"/>
              </w:rPr>
              <w:t>Οίδημα του οφθαλμού</w:t>
            </w:r>
          </w:p>
        </w:tc>
      </w:tr>
      <w:tr w:rsidR="00171824" w14:paraId="4839B7DF" w14:textId="77777777">
        <w:trPr>
          <w:cantSplit/>
          <w:trHeight w:val="64"/>
        </w:trPr>
        <w:tc>
          <w:tcPr>
            <w:tcW w:w="2552" w:type="dxa"/>
            <w:vMerge/>
          </w:tcPr>
          <w:p w14:paraId="3A436EF8" w14:textId="77777777" w:rsidR="00171824" w:rsidRDefault="00171824">
            <w:pPr>
              <w:widowControl/>
              <w:kinsoku w:val="0"/>
              <w:overflowPunct w:val="0"/>
              <w:rPr>
                <w:rFonts w:eastAsia="MS Mincho"/>
                <w:sz w:val="22"/>
                <w:szCs w:val="22"/>
                <w:lang w:val="el-GR"/>
              </w:rPr>
            </w:pPr>
          </w:p>
        </w:tc>
        <w:tc>
          <w:tcPr>
            <w:tcW w:w="1588" w:type="dxa"/>
          </w:tcPr>
          <w:p w14:paraId="4804FA62"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020656B9" w14:textId="77777777" w:rsidR="00171824" w:rsidRDefault="006D258C">
            <w:pPr>
              <w:widowControl/>
              <w:kinsoku w:val="0"/>
              <w:overflowPunct w:val="0"/>
              <w:rPr>
                <w:rFonts w:eastAsia="MS Mincho"/>
                <w:sz w:val="22"/>
                <w:szCs w:val="22"/>
                <w:lang w:val="el-GR"/>
              </w:rPr>
            </w:pPr>
            <w:r>
              <w:rPr>
                <w:rFonts w:eastAsia="MS Mincho"/>
                <w:sz w:val="22"/>
                <w:szCs w:val="22"/>
                <w:lang w:val="el-GR"/>
              </w:rPr>
              <w:t>Διπλωπία</w:t>
            </w:r>
          </w:p>
        </w:tc>
      </w:tr>
      <w:tr w:rsidR="00171824" w14:paraId="2D7A1DF2" w14:textId="77777777">
        <w:trPr>
          <w:cantSplit/>
          <w:trHeight w:val="64"/>
        </w:trPr>
        <w:tc>
          <w:tcPr>
            <w:tcW w:w="2552" w:type="dxa"/>
            <w:vMerge w:val="restart"/>
          </w:tcPr>
          <w:p w14:paraId="694FB67C"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Διαταραχές του ωτός και του λαβυρίνθου</w:t>
            </w:r>
          </w:p>
        </w:tc>
        <w:tc>
          <w:tcPr>
            <w:tcW w:w="1588" w:type="dxa"/>
          </w:tcPr>
          <w:p w14:paraId="3218A709"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76CCE500" w14:textId="77777777" w:rsidR="00171824" w:rsidRDefault="006D258C">
            <w:pPr>
              <w:widowControl/>
              <w:kinsoku w:val="0"/>
              <w:overflowPunct w:val="0"/>
              <w:rPr>
                <w:rFonts w:eastAsia="MS Mincho"/>
                <w:sz w:val="22"/>
                <w:szCs w:val="22"/>
                <w:lang w:val="el-GR"/>
              </w:rPr>
            </w:pPr>
            <w:r>
              <w:rPr>
                <w:rFonts w:eastAsia="MS Mincho"/>
                <w:sz w:val="22"/>
                <w:szCs w:val="22"/>
                <w:lang w:val="el-GR"/>
              </w:rPr>
              <w:t>΄Ιλιγγος</w:t>
            </w:r>
          </w:p>
        </w:tc>
      </w:tr>
      <w:tr w:rsidR="00171824" w14:paraId="378E35EE" w14:textId="77777777">
        <w:trPr>
          <w:cantSplit/>
          <w:trHeight w:val="213"/>
        </w:trPr>
        <w:tc>
          <w:tcPr>
            <w:tcW w:w="2552" w:type="dxa"/>
            <w:vMerge/>
          </w:tcPr>
          <w:p w14:paraId="40DBAAF3" w14:textId="77777777" w:rsidR="00171824" w:rsidRDefault="00171824">
            <w:pPr>
              <w:keepNext/>
              <w:widowControl/>
              <w:kinsoku w:val="0"/>
              <w:overflowPunct w:val="0"/>
              <w:rPr>
                <w:rFonts w:eastAsia="MS Mincho"/>
                <w:sz w:val="22"/>
                <w:szCs w:val="22"/>
                <w:lang w:val="el-GR"/>
              </w:rPr>
            </w:pPr>
          </w:p>
        </w:tc>
        <w:tc>
          <w:tcPr>
            <w:tcW w:w="1588" w:type="dxa"/>
          </w:tcPr>
          <w:p w14:paraId="463A048B"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3ACD2149" w14:textId="77777777" w:rsidR="00171824" w:rsidRDefault="006D258C">
            <w:pPr>
              <w:widowControl/>
              <w:kinsoku w:val="0"/>
              <w:overflowPunct w:val="0"/>
              <w:rPr>
                <w:rFonts w:eastAsia="MS Mincho"/>
                <w:sz w:val="22"/>
                <w:szCs w:val="22"/>
                <w:lang w:val="el-GR"/>
              </w:rPr>
            </w:pPr>
            <w:r>
              <w:rPr>
                <w:rFonts w:eastAsia="MS Mincho"/>
                <w:sz w:val="22"/>
                <w:szCs w:val="22"/>
                <w:lang w:val="el-GR"/>
              </w:rPr>
              <w:t>Κώφωση,</w:t>
            </w:r>
          </w:p>
          <w:p w14:paraId="6A82D0B9" w14:textId="77777777" w:rsidR="00171824" w:rsidRDefault="006D258C">
            <w:pPr>
              <w:widowControl/>
              <w:kinsoku w:val="0"/>
              <w:overflowPunct w:val="0"/>
              <w:rPr>
                <w:rFonts w:eastAsia="MS Mincho"/>
                <w:sz w:val="22"/>
                <w:szCs w:val="22"/>
                <w:lang w:val="el-GR"/>
              </w:rPr>
            </w:pPr>
            <w:r>
              <w:rPr>
                <w:rFonts w:eastAsia="MS Mincho"/>
                <w:sz w:val="22"/>
                <w:szCs w:val="22"/>
                <w:lang w:val="el-GR"/>
              </w:rPr>
              <w:t>Εμβοές</w:t>
            </w:r>
          </w:p>
        </w:tc>
      </w:tr>
      <w:tr w:rsidR="00171824" w14:paraId="394CC07B" w14:textId="77777777">
        <w:trPr>
          <w:cantSplit/>
          <w:trHeight w:val="230"/>
        </w:trPr>
        <w:tc>
          <w:tcPr>
            <w:tcW w:w="2552" w:type="dxa"/>
            <w:vMerge w:val="restart"/>
          </w:tcPr>
          <w:p w14:paraId="65B7B470"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Καρδιακές διαταραχές*</w:t>
            </w:r>
          </w:p>
        </w:tc>
        <w:tc>
          <w:tcPr>
            <w:tcW w:w="1588" w:type="dxa"/>
          </w:tcPr>
          <w:p w14:paraId="539229BE"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29583DEF"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Υαχυκαρδία</w:t>
            </w:r>
          </w:p>
        </w:tc>
      </w:tr>
      <w:tr w:rsidR="00171824" w:rsidRPr="00422380" w14:paraId="0E52249B" w14:textId="77777777">
        <w:trPr>
          <w:cantSplit/>
          <w:trHeight w:val="531"/>
        </w:trPr>
        <w:tc>
          <w:tcPr>
            <w:tcW w:w="2552" w:type="dxa"/>
            <w:vMerge/>
          </w:tcPr>
          <w:p w14:paraId="50811389" w14:textId="77777777" w:rsidR="00171824" w:rsidRDefault="00171824">
            <w:pPr>
              <w:keepNext/>
              <w:widowControl/>
              <w:kinsoku w:val="0"/>
              <w:overflowPunct w:val="0"/>
              <w:rPr>
                <w:rFonts w:eastAsia="MS Mincho"/>
                <w:sz w:val="22"/>
                <w:szCs w:val="22"/>
                <w:lang w:val="el-GR"/>
              </w:rPr>
            </w:pPr>
          </w:p>
        </w:tc>
        <w:tc>
          <w:tcPr>
            <w:tcW w:w="1588" w:type="dxa"/>
          </w:tcPr>
          <w:p w14:paraId="02D75B58"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1AD7FA04"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΄Εμφραγμα του μυοκαρδίου</w:t>
            </w:r>
            <w:r>
              <w:rPr>
                <w:rFonts w:eastAsia="MS Mincho"/>
                <w:sz w:val="22"/>
                <w:szCs w:val="22"/>
                <w:vertAlign w:val="superscript"/>
                <w:lang w:val="el-GR"/>
              </w:rPr>
              <w:t>1)</w:t>
            </w:r>
            <w:r>
              <w:rPr>
                <w:rFonts w:eastAsia="MS Mincho"/>
                <w:sz w:val="22"/>
                <w:szCs w:val="22"/>
                <w:lang w:val="el-GR"/>
              </w:rPr>
              <w:t>,</w:t>
            </w:r>
          </w:p>
          <w:p w14:paraId="6A9F2406"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Αρρυθμία,</w:t>
            </w:r>
          </w:p>
          <w:p w14:paraId="7635F057"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Συμφορητική καρδιακή ανεπάρκεια</w:t>
            </w:r>
          </w:p>
        </w:tc>
      </w:tr>
      <w:tr w:rsidR="00171824" w14:paraId="1C49C2A3" w14:textId="77777777">
        <w:trPr>
          <w:cantSplit/>
          <w:trHeight w:val="64"/>
        </w:trPr>
        <w:tc>
          <w:tcPr>
            <w:tcW w:w="2552" w:type="dxa"/>
            <w:vMerge/>
          </w:tcPr>
          <w:p w14:paraId="00531079" w14:textId="77777777" w:rsidR="00171824" w:rsidRDefault="00171824">
            <w:pPr>
              <w:keepNext/>
              <w:widowControl/>
              <w:kinsoku w:val="0"/>
              <w:overflowPunct w:val="0"/>
              <w:rPr>
                <w:rFonts w:eastAsia="MS Mincho"/>
                <w:sz w:val="22"/>
                <w:szCs w:val="22"/>
                <w:lang w:val="el-GR"/>
              </w:rPr>
            </w:pPr>
          </w:p>
        </w:tc>
        <w:tc>
          <w:tcPr>
            <w:tcW w:w="1588" w:type="dxa"/>
          </w:tcPr>
          <w:p w14:paraId="0DABB459"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0F326B44"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Καρδιακή ανακοπή</w:t>
            </w:r>
          </w:p>
        </w:tc>
      </w:tr>
      <w:tr w:rsidR="00171824" w14:paraId="31D43C76" w14:textId="77777777">
        <w:trPr>
          <w:cantSplit/>
          <w:trHeight w:val="64"/>
        </w:trPr>
        <w:tc>
          <w:tcPr>
            <w:tcW w:w="2552" w:type="dxa"/>
            <w:vMerge w:val="restart"/>
          </w:tcPr>
          <w:p w14:paraId="54BCB652" w14:textId="77777777" w:rsidR="00171824" w:rsidRDefault="006D258C">
            <w:pPr>
              <w:widowControl/>
              <w:kinsoku w:val="0"/>
              <w:overflowPunct w:val="0"/>
              <w:rPr>
                <w:rFonts w:eastAsia="MS Mincho"/>
                <w:sz w:val="22"/>
                <w:szCs w:val="22"/>
                <w:lang w:val="el-GR"/>
              </w:rPr>
            </w:pPr>
            <w:r>
              <w:rPr>
                <w:rFonts w:eastAsia="MS Mincho"/>
                <w:sz w:val="22"/>
                <w:szCs w:val="22"/>
                <w:lang w:val="el-GR"/>
              </w:rPr>
              <w:t>Αγγειακές διαταραχές</w:t>
            </w:r>
          </w:p>
        </w:tc>
        <w:tc>
          <w:tcPr>
            <w:tcW w:w="1588" w:type="dxa"/>
          </w:tcPr>
          <w:p w14:paraId="66AB424D"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531B6DFF" w14:textId="77777777" w:rsidR="00171824" w:rsidRDefault="006D258C">
            <w:pPr>
              <w:widowControl/>
              <w:kinsoku w:val="0"/>
              <w:overflowPunct w:val="0"/>
              <w:rPr>
                <w:rFonts w:eastAsia="MS Mincho"/>
                <w:sz w:val="22"/>
                <w:szCs w:val="22"/>
                <w:lang w:val="el-GR"/>
              </w:rPr>
            </w:pPr>
            <w:r>
              <w:rPr>
                <w:rFonts w:eastAsia="MS Mincho"/>
                <w:sz w:val="22"/>
                <w:szCs w:val="22"/>
                <w:lang w:val="el-GR"/>
              </w:rPr>
              <w:t>Υπέρταση,</w:t>
            </w:r>
          </w:p>
          <w:p w14:paraId="5E57AA4C" w14:textId="77777777" w:rsidR="00171824" w:rsidRDefault="006D258C">
            <w:pPr>
              <w:widowControl/>
              <w:kinsoku w:val="0"/>
              <w:overflowPunct w:val="0"/>
              <w:rPr>
                <w:rFonts w:eastAsia="MS Mincho"/>
                <w:sz w:val="22"/>
                <w:szCs w:val="22"/>
                <w:lang w:val="el-GR"/>
              </w:rPr>
            </w:pPr>
            <w:r>
              <w:rPr>
                <w:rFonts w:eastAsia="MS Mincho"/>
                <w:sz w:val="22"/>
                <w:szCs w:val="22"/>
                <w:lang w:val="el-GR"/>
              </w:rPr>
              <w:t>΄Εξαψη,</w:t>
            </w:r>
          </w:p>
          <w:p w14:paraId="642D1D91" w14:textId="77777777" w:rsidR="00171824" w:rsidRDefault="006D258C">
            <w:pPr>
              <w:widowControl/>
              <w:kinsoku w:val="0"/>
              <w:overflowPunct w:val="0"/>
              <w:rPr>
                <w:rFonts w:eastAsia="MS Mincho"/>
                <w:sz w:val="22"/>
                <w:szCs w:val="22"/>
                <w:lang w:val="el-GR"/>
              </w:rPr>
            </w:pPr>
            <w:r>
              <w:rPr>
                <w:rFonts w:eastAsia="MS Mincho"/>
                <w:sz w:val="22"/>
                <w:szCs w:val="22"/>
                <w:lang w:val="el-GR"/>
              </w:rPr>
              <w:t>Αιμάτωμα</w:t>
            </w:r>
          </w:p>
        </w:tc>
      </w:tr>
      <w:tr w:rsidR="00171824" w:rsidRPr="00422380" w14:paraId="779329ED" w14:textId="77777777">
        <w:trPr>
          <w:cantSplit/>
          <w:trHeight w:val="336"/>
        </w:trPr>
        <w:tc>
          <w:tcPr>
            <w:tcW w:w="2552" w:type="dxa"/>
            <w:vMerge/>
          </w:tcPr>
          <w:p w14:paraId="36204D37" w14:textId="77777777" w:rsidR="00171824" w:rsidRDefault="00171824">
            <w:pPr>
              <w:widowControl/>
              <w:kinsoku w:val="0"/>
              <w:overflowPunct w:val="0"/>
              <w:rPr>
                <w:rFonts w:eastAsia="MS Mincho"/>
                <w:sz w:val="22"/>
                <w:szCs w:val="22"/>
                <w:lang w:val="el-GR"/>
              </w:rPr>
            </w:pPr>
          </w:p>
        </w:tc>
        <w:tc>
          <w:tcPr>
            <w:tcW w:w="1588" w:type="dxa"/>
          </w:tcPr>
          <w:p w14:paraId="103F025D"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5C4A52EB" w14:textId="77777777" w:rsidR="00171824" w:rsidRDefault="006D258C">
            <w:pPr>
              <w:widowControl/>
              <w:kinsoku w:val="0"/>
              <w:overflowPunct w:val="0"/>
              <w:rPr>
                <w:rFonts w:eastAsia="MS Mincho"/>
                <w:sz w:val="22"/>
                <w:szCs w:val="22"/>
                <w:lang w:val="el-GR"/>
              </w:rPr>
            </w:pPr>
            <w:r>
              <w:rPr>
                <w:rFonts w:eastAsia="MS Mincho"/>
                <w:sz w:val="22"/>
                <w:szCs w:val="22"/>
                <w:lang w:val="el-GR"/>
              </w:rPr>
              <w:t>Ανεύρυσμα αορτής,</w:t>
            </w:r>
          </w:p>
          <w:p w14:paraId="2A5BF6DC" w14:textId="77777777" w:rsidR="00171824" w:rsidRDefault="006D258C">
            <w:pPr>
              <w:widowControl/>
              <w:kinsoku w:val="0"/>
              <w:overflowPunct w:val="0"/>
              <w:rPr>
                <w:rFonts w:eastAsia="MS Mincho"/>
                <w:sz w:val="22"/>
                <w:szCs w:val="22"/>
                <w:lang w:val="el-GR"/>
              </w:rPr>
            </w:pPr>
            <w:r>
              <w:rPr>
                <w:rFonts w:eastAsia="MS Mincho"/>
                <w:sz w:val="22"/>
                <w:szCs w:val="22"/>
                <w:lang w:val="el-GR"/>
              </w:rPr>
              <w:t>Απόφραξη αρτηρίας,</w:t>
            </w:r>
          </w:p>
          <w:p w14:paraId="251A2892" w14:textId="77777777" w:rsidR="00171824" w:rsidRDefault="006D258C">
            <w:pPr>
              <w:widowControl/>
              <w:kinsoku w:val="0"/>
              <w:overflowPunct w:val="0"/>
              <w:rPr>
                <w:rFonts w:eastAsia="MS Mincho"/>
                <w:sz w:val="22"/>
                <w:szCs w:val="22"/>
                <w:lang w:val="el-GR"/>
              </w:rPr>
            </w:pPr>
            <w:r>
              <w:rPr>
                <w:rFonts w:eastAsia="MS Mincho"/>
                <w:sz w:val="22"/>
                <w:szCs w:val="22"/>
                <w:lang w:val="el-GR"/>
              </w:rPr>
              <w:t>Θρομβοφλεβίτιδα</w:t>
            </w:r>
          </w:p>
        </w:tc>
      </w:tr>
      <w:tr w:rsidR="00171824" w14:paraId="77134426" w14:textId="77777777">
        <w:trPr>
          <w:cantSplit/>
          <w:trHeight w:val="403"/>
        </w:trPr>
        <w:tc>
          <w:tcPr>
            <w:tcW w:w="2552" w:type="dxa"/>
            <w:vMerge w:val="restart"/>
          </w:tcPr>
          <w:p w14:paraId="63BC4E79" w14:textId="670EBCDF" w:rsidR="00171824" w:rsidRDefault="00FC10FC">
            <w:pPr>
              <w:widowControl/>
              <w:kinsoku w:val="0"/>
              <w:overflowPunct w:val="0"/>
              <w:rPr>
                <w:rFonts w:eastAsia="MS Mincho"/>
                <w:sz w:val="22"/>
                <w:szCs w:val="22"/>
                <w:lang w:val="el-GR"/>
              </w:rPr>
            </w:pPr>
            <w:ins w:id="76" w:author="Author">
              <w:r>
                <w:rPr>
                  <w:rFonts w:eastAsia="MS Mincho"/>
                  <w:sz w:val="22"/>
                  <w:szCs w:val="22"/>
                  <w:lang w:val="el-GR"/>
                </w:rPr>
                <w:lastRenderedPageBreak/>
                <w:t xml:space="preserve">Αναπνευστικές, θωρακικές </w:t>
              </w:r>
            </w:ins>
            <w:del w:id="77" w:author="Author">
              <w:r w:rsidR="006D258C" w:rsidDel="00FC10FC">
                <w:rPr>
                  <w:rFonts w:eastAsia="MS Mincho"/>
                  <w:sz w:val="22"/>
                  <w:szCs w:val="22"/>
                  <w:lang w:val="el-GR"/>
                </w:rPr>
                <w:delText>Δ</w:delText>
              </w:r>
            </w:del>
            <w:ins w:id="78" w:author="Author">
              <w:r>
                <w:rPr>
                  <w:rFonts w:eastAsia="MS Mincho"/>
                  <w:sz w:val="22"/>
                  <w:szCs w:val="22"/>
                  <w:lang w:val="el-GR"/>
                </w:rPr>
                <w:t>δ</w:t>
              </w:r>
            </w:ins>
            <w:r w:rsidR="006D258C">
              <w:rPr>
                <w:rFonts w:eastAsia="MS Mincho"/>
                <w:sz w:val="22"/>
                <w:szCs w:val="22"/>
                <w:lang w:val="el-GR"/>
              </w:rPr>
              <w:t xml:space="preserve">ιαταραχές </w:t>
            </w:r>
            <w:del w:id="79" w:author="Author">
              <w:r w:rsidR="006D258C" w:rsidDel="00FC10FC">
                <w:rPr>
                  <w:rFonts w:eastAsia="MS Mincho"/>
                  <w:sz w:val="22"/>
                  <w:szCs w:val="22"/>
                  <w:lang w:val="el-GR"/>
                </w:rPr>
                <w:delText xml:space="preserve">του αναπνευστικού συστήματος, του θώρακα </w:delText>
              </w:r>
            </w:del>
            <w:r w:rsidR="006D258C">
              <w:rPr>
                <w:rFonts w:eastAsia="MS Mincho"/>
                <w:sz w:val="22"/>
                <w:szCs w:val="22"/>
                <w:lang w:val="el-GR"/>
              </w:rPr>
              <w:t xml:space="preserve">και </w:t>
            </w:r>
            <w:ins w:id="80" w:author="Author">
              <w:r>
                <w:rPr>
                  <w:rFonts w:eastAsia="MS Mincho"/>
                  <w:sz w:val="22"/>
                  <w:szCs w:val="22"/>
                  <w:lang w:val="el-GR"/>
                </w:rPr>
                <w:t xml:space="preserve">διαταραχές </w:t>
              </w:r>
            </w:ins>
            <w:r w:rsidR="006D258C">
              <w:rPr>
                <w:rFonts w:eastAsia="MS Mincho"/>
                <w:sz w:val="22"/>
                <w:szCs w:val="22"/>
                <w:lang w:val="el-GR"/>
              </w:rPr>
              <w:t>του μεσοθωρ</w:t>
            </w:r>
            <w:ins w:id="81" w:author="Author">
              <w:r>
                <w:rPr>
                  <w:rFonts w:eastAsia="MS Mincho"/>
                  <w:sz w:val="22"/>
                  <w:szCs w:val="22"/>
                  <w:lang w:val="el-GR"/>
                </w:rPr>
                <w:t>α</w:t>
              </w:r>
            </w:ins>
            <w:del w:id="82" w:author="Author">
              <w:r w:rsidR="006D258C" w:rsidDel="00FC10FC">
                <w:rPr>
                  <w:rFonts w:eastAsia="MS Mincho"/>
                  <w:sz w:val="22"/>
                  <w:szCs w:val="22"/>
                  <w:lang w:val="el-GR"/>
                </w:rPr>
                <w:delText>ά</w:delText>
              </w:r>
            </w:del>
            <w:r w:rsidR="006D258C">
              <w:rPr>
                <w:rFonts w:eastAsia="MS Mincho"/>
                <w:sz w:val="22"/>
                <w:szCs w:val="22"/>
                <w:lang w:val="el-GR"/>
              </w:rPr>
              <w:t>κ</w:t>
            </w:r>
            <w:ins w:id="83" w:author="Author">
              <w:r>
                <w:rPr>
                  <w:rFonts w:eastAsia="MS Mincho"/>
                  <w:sz w:val="22"/>
                  <w:szCs w:val="22"/>
                  <w:lang w:val="el-GR"/>
                </w:rPr>
                <w:t>ί</w:t>
              </w:r>
            </w:ins>
            <w:del w:id="84" w:author="Author">
              <w:r w:rsidR="006D258C" w:rsidDel="00FC10FC">
                <w:rPr>
                  <w:rFonts w:eastAsia="MS Mincho"/>
                  <w:sz w:val="22"/>
                  <w:szCs w:val="22"/>
                  <w:lang w:val="el-GR"/>
                </w:rPr>
                <w:delText>ι</w:delText>
              </w:r>
            </w:del>
            <w:r w:rsidR="006D258C">
              <w:rPr>
                <w:rFonts w:eastAsia="MS Mincho"/>
                <w:sz w:val="22"/>
                <w:szCs w:val="22"/>
                <w:lang w:val="el-GR"/>
              </w:rPr>
              <w:t>ου*</w:t>
            </w:r>
          </w:p>
        </w:tc>
        <w:tc>
          <w:tcPr>
            <w:tcW w:w="1588" w:type="dxa"/>
          </w:tcPr>
          <w:p w14:paraId="4A1B6F05"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197EDE59" w14:textId="77777777" w:rsidR="00171824" w:rsidRDefault="006D258C">
            <w:pPr>
              <w:widowControl/>
              <w:kinsoku w:val="0"/>
              <w:overflowPunct w:val="0"/>
              <w:rPr>
                <w:rFonts w:eastAsia="MS Mincho"/>
                <w:sz w:val="22"/>
                <w:szCs w:val="22"/>
                <w:lang w:val="el-GR"/>
              </w:rPr>
            </w:pPr>
            <w:r>
              <w:rPr>
                <w:rFonts w:eastAsia="MS Mincho"/>
                <w:sz w:val="22"/>
                <w:szCs w:val="22"/>
                <w:lang w:val="el-GR"/>
              </w:rPr>
              <w:t>΄Ασθμα,</w:t>
            </w:r>
          </w:p>
          <w:p w14:paraId="3324B368" w14:textId="77777777" w:rsidR="00171824" w:rsidRDefault="006D258C">
            <w:pPr>
              <w:widowControl/>
              <w:kinsoku w:val="0"/>
              <w:overflowPunct w:val="0"/>
              <w:rPr>
                <w:rFonts w:eastAsia="MS Mincho"/>
                <w:sz w:val="22"/>
                <w:szCs w:val="22"/>
                <w:lang w:val="el-GR"/>
              </w:rPr>
            </w:pPr>
            <w:r>
              <w:rPr>
                <w:rFonts w:eastAsia="MS Mincho"/>
                <w:sz w:val="22"/>
                <w:szCs w:val="22"/>
                <w:lang w:val="el-GR"/>
              </w:rPr>
              <w:t>Δύσπνοια,</w:t>
            </w:r>
          </w:p>
          <w:p w14:paraId="220363AA" w14:textId="77777777" w:rsidR="00171824" w:rsidRDefault="006D258C">
            <w:pPr>
              <w:widowControl/>
              <w:kinsoku w:val="0"/>
              <w:overflowPunct w:val="0"/>
              <w:rPr>
                <w:rFonts w:eastAsia="MS Mincho"/>
                <w:sz w:val="22"/>
                <w:szCs w:val="22"/>
                <w:lang w:val="el-GR"/>
              </w:rPr>
            </w:pPr>
            <w:r>
              <w:rPr>
                <w:rFonts w:eastAsia="MS Mincho"/>
                <w:sz w:val="22"/>
                <w:szCs w:val="22"/>
                <w:lang w:val="el-GR"/>
              </w:rPr>
              <w:t>Βήχας</w:t>
            </w:r>
          </w:p>
        </w:tc>
      </w:tr>
      <w:tr w:rsidR="00171824" w14:paraId="5F1C73E7" w14:textId="77777777">
        <w:trPr>
          <w:cantSplit/>
          <w:trHeight w:val="924"/>
        </w:trPr>
        <w:tc>
          <w:tcPr>
            <w:tcW w:w="2552" w:type="dxa"/>
            <w:vMerge/>
          </w:tcPr>
          <w:p w14:paraId="392A6C60" w14:textId="77777777" w:rsidR="00171824" w:rsidRDefault="00171824">
            <w:pPr>
              <w:widowControl/>
              <w:kinsoku w:val="0"/>
              <w:overflowPunct w:val="0"/>
              <w:rPr>
                <w:rFonts w:eastAsia="MS Mincho"/>
                <w:sz w:val="22"/>
                <w:szCs w:val="22"/>
                <w:lang w:val="el-GR"/>
              </w:rPr>
            </w:pPr>
          </w:p>
        </w:tc>
        <w:tc>
          <w:tcPr>
            <w:tcW w:w="1588" w:type="dxa"/>
          </w:tcPr>
          <w:p w14:paraId="2B8C8168"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484D4726" w14:textId="77777777" w:rsidR="00171824" w:rsidRDefault="006D258C">
            <w:pPr>
              <w:widowControl/>
              <w:kinsoku w:val="0"/>
              <w:overflowPunct w:val="0"/>
              <w:rPr>
                <w:rFonts w:eastAsia="MS Mincho"/>
                <w:sz w:val="22"/>
                <w:szCs w:val="22"/>
                <w:lang w:val="el-GR"/>
              </w:rPr>
            </w:pPr>
            <w:r>
              <w:rPr>
                <w:rFonts w:eastAsia="MS Mincho"/>
                <w:sz w:val="22"/>
                <w:szCs w:val="22"/>
                <w:lang w:val="el-GR"/>
              </w:rPr>
              <w:t>Πνευμονική εμβολή</w:t>
            </w:r>
            <w:r>
              <w:rPr>
                <w:rFonts w:eastAsia="MS Mincho"/>
                <w:sz w:val="22"/>
                <w:szCs w:val="22"/>
                <w:vertAlign w:val="superscript"/>
                <w:lang w:val="el-GR"/>
              </w:rPr>
              <w:t>1)</w:t>
            </w:r>
            <w:r>
              <w:rPr>
                <w:rFonts w:eastAsia="MS Mincho"/>
                <w:sz w:val="22"/>
                <w:szCs w:val="22"/>
                <w:lang w:val="el-GR"/>
              </w:rPr>
              <w:t>,</w:t>
            </w:r>
          </w:p>
          <w:p w14:paraId="57AF6AE0" w14:textId="77777777" w:rsidR="00171824" w:rsidRDefault="006D258C">
            <w:pPr>
              <w:widowControl/>
              <w:kinsoku w:val="0"/>
              <w:overflowPunct w:val="0"/>
              <w:rPr>
                <w:rFonts w:eastAsia="MS Mincho"/>
                <w:sz w:val="22"/>
                <w:szCs w:val="22"/>
                <w:lang w:val="el-GR"/>
              </w:rPr>
            </w:pPr>
            <w:r>
              <w:rPr>
                <w:rFonts w:eastAsia="MS Mincho"/>
                <w:sz w:val="22"/>
                <w:szCs w:val="22"/>
                <w:lang w:val="el-GR"/>
              </w:rPr>
              <w:t>Διάμεση πνευμονοπάθεια,</w:t>
            </w:r>
          </w:p>
          <w:p w14:paraId="7FA3E6B1" w14:textId="77777777" w:rsidR="00171824" w:rsidRDefault="006D258C">
            <w:pPr>
              <w:widowControl/>
              <w:kinsoku w:val="0"/>
              <w:overflowPunct w:val="0"/>
              <w:rPr>
                <w:rFonts w:eastAsia="MS Mincho"/>
                <w:sz w:val="22"/>
                <w:szCs w:val="22"/>
                <w:lang w:val="el-GR"/>
              </w:rPr>
            </w:pPr>
            <w:r>
              <w:rPr>
                <w:rFonts w:eastAsia="MS Mincho"/>
                <w:sz w:val="22"/>
                <w:szCs w:val="22"/>
                <w:lang w:val="el-GR"/>
              </w:rPr>
              <w:t>Χρόνια αποφρακτική πνευμονοπάθεια,</w:t>
            </w:r>
          </w:p>
          <w:p w14:paraId="4DD613E7" w14:textId="77777777" w:rsidR="00171824" w:rsidRDefault="006D258C">
            <w:pPr>
              <w:widowControl/>
              <w:kinsoku w:val="0"/>
              <w:overflowPunct w:val="0"/>
              <w:rPr>
                <w:rFonts w:eastAsia="MS Mincho"/>
                <w:sz w:val="22"/>
                <w:szCs w:val="22"/>
                <w:lang w:val="el-GR"/>
              </w:rPr>
            </w:pPr>
            <w:r>
              <w:rPr>
                <w:rFonts w:eastAsia="MS Mincho"/>
                <w:sz w:val="22"/>
                <w:szCs w:val="22"/>
                <w:lang w:val="el-GR"/>
              </w:rPr>
              <w:t>Πνευμονίτιδα,</w:t>
            </w:r>
          </w:p>
          <w:p w14:paraId="28C66BA5" w14:textId="77777777" w:rsidR="00171824" w:rsidRDefault="006D258C">
            <w:pPr>
              <w:widowControl/>
              <w:kinsoku w:val="0"/>
              <w:overflowPunct w:val="0"/>
              <w:rPr>
                <w:rFonts w:eastAsia="MS Mincho"/>
                <w:sz w:val="22"/>
                <w:szCs w:val="22"/>
                <w:lang w:val="el-GR"/>
              </w:rPr>
            </w:pPr>
            <w:r>
              <w:rPr>
                <w:rFonts w:eastAsia="MS Mincho"/>
                <w:sz w:val="22"/>
                <w:szCs w:val="22"/>
                <w:lang w:val="el-GR"/>
              </w:rPr>
              <w:t>Υπεζωκοτική συλλογή</w:t>
            </w:r>
            <w:r>
              <w:rPr>
                <w:rFonts w:eastAsia="MS Mincho"/>
                <w:sz w:val="22"/>
                <w:szCs w:val="22"/>
                <w:vertAlign w:val="superscript"/>
                <w:lang w:val="el-GR"/>
              </w:rPr>
              <w:t>1)</w:t>
            </w:r>
          </w:p>
        </w:tc>
      </w:tr>
      <w:tr w:rsidR="00171824" w14:paraId="19291A84" w14:textId="77777777">
        <w:trPr>
          <w:cantSplit/>
          <w:trHeight w:val="64"/>
        </w:trPr>
        <w:tc>
          <w:tcPr>
            <w:tcW w:w="2552" w:type="dxa"/>
            <w:vMerge/>
          </w:tcPr>
          <w:p w14:paraId="61975263" w14:textId="77777777" w:rsidR="00171824" w:rsidRDefault="00171824">
            <w:pPr>
              <w:widowControl/>
              <w:kinsoku w:val="0"/>
              <w:overflowPunct w:val="0"/>
              <w:rPr>
                <w:rFonts w:eastAsia="MS Mincho"/>
                <w:sz w:val="22"/>
                <w:szCs w:val="22"/>
                <w:lang w:val="el-GR"/>
              </w:rPr>
            </w:pPr>
          </w:p>
        </w:tc>
        <w:tc>
          <w:tcPr>
            <w:tcW w:w="1588" w:type="dxa"/>
          </w:tcPr>
          <w:p w14:paraId="05408845"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17B86C8D" w14:textId="77777777" w:rsidR="00171824" w:rsidRDefault="006D258C">
            <w:pPr>
              <w:kinsoku w:val="0"/>
              <w:overflowPunct w:val="0"/>
              <w:rPr>
                <w:rFonts w:eastAsia="MS Mincho"/>
                <w:sz w:val="22"/>
                <w:szCs w:val="22"/>
                <w:lang w:val="el-GR"/>
              </w:rPr>
            </w:pPr>
            <w:r>
              <w:rPr>
                <w:rFonts w:eastAsia="MS Mincho"/>
                <w:sz w:val="22"/>
                <w:szCs w:val="22"/>
                <w:lang w:val="el-GR"/>
              </w:rPr>
              <w:t>Πνευμονική ίνωση</w:t>
            </w:r>
            <w:r>
              <w:rPr>
                <w:rFonts w:eastAsia="MS Mincho"/>
                <w:sz w:val="22"/>
                <w:szCs w:val="22"/>
                <w:vertAlign w:val="superscript"/>
                <w:lang w:val="el-GR"/>
              </w:rPr>
              <w:t>1)</w:t>
            </w:r>
          </w:p>
        </w:tc>
      </w:tr>
      <w:tr w:rsidR="00171824" w:rsidRPr="00422380" w14:paraId="29A21B77" w14:textId="77777777">
        <w:trPr>
          <w:cantSplit/>
          <w:trHeight w:val="96"/>
        </w:trPr>
        <w:tc>
          <w:tcPr>
            <w:tcW w:w="2552" w:type="dxa"/>
            <w:vMerge w:val="restart"/>
          </w:tcPr>
          <w:p w14:paraId="58EB03C2" w14:textId="431ECA96" w:rsidR="00171824" w:rsidRDefault="00884D56">
            <w:pPr>
              <w:widowControl/>
              <w:kinsoku w:val="0"/>
              <w:overflowPunct w:val="0"/>
              <w:rPr>
                <w:rFonts w:eastAsia="MS Mincho"/>
                <w:sz w:val="22"/>
                <w:szCs w:val="22"/>
                <w:lang w:val="el-GR"/>
              </w:rPr>
            </w:pPr>
            <w:ins w:id="85" w:author="Author">
              <w:r>
                <w:rPr>
                  <w:rFonts w:eastAsia="MS Mincho"/>
                  <w:sz w:val="22"/>
                  <w:szCs w:val="22"/>
                  <w:lang w:val="el-GR"/>
                </w:rPr>
                <w:t xml:space="preserve">Γαστρεντερικές </w:t>
              </w:r>
            </w:ins>
            <w:del w:id="86" w:author="Author">
              <w:r w:rsidR="006D258C" w:rsidDel="00884D56">
                <w:rPr>
                  <w:rFonts w:eastAsia="MS Mincho"/>
                  <w:sz w:val="22"/>
                  <w:szCs w:val="22"/>
                  <w:lang w:val="el-GR"/>
                </w:rPr>
                <w:delText>Δ</w:delText>
              </w:r>
            </w:del>
            <w:ins w:id="87" w:author="Author">
              <w:r>
                <w:rPr>
                  <w:rFonts w:eastAsia="MS Mincho"/>
                  <w:sz w:val="22"/>
                  <w:szCs w:val="22"/>
                  <w:lang w:val="el-GR"/>
                </w:rPr>
                <w:t>δ</w:t>
              </w:r>
            </w:ins>
            <w:r w:rsidR="006D258C">
              <w:rPr>
                <w:rFonts w:eastAsia="MS Mincho"/>
                <w:sz w:val="22"/>
                <w:szCs w:val="22"/>
                <w:lang w:val="el-GR"/>
              </w:rPr>
              <w:t xml:space="preserve">ιαταραχές </w:t>
            </w:r>
            <w:del w:id="88" w:author="Author">
              <w:r w:rsidR="006D258C" w:rsidDel="00884D56">
                <w:rPr>
                  <w:rFonts w:eastAsia="MS Mincho"/>
                  <w:sz w:val="22"/>
                  <w:szCs w:val="22"/>
                  <w:lang w:val="el-GR"/>
                </w:rPr>
                <w:delText>του γαστρεντερικού</w:delText>
              </w:r>
            </w:del>
          </w:p>
        </w:tc>
        <w:tc>
          <w:tcPr>
            <w:tcW w:w="1588" w:type="dxa"/>
          </w:tcPr>
          <w:p w14:paraId="4AFC0018"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409C71A9" w14:textId="77777777" w:rsidR="00171824" w:rsidRDefault="006D258C">
            <w:pPr>
              <w:widowControl/>
              <w:kinsoku w:val="0"/>
              <w:overflowPunct w:val="0"/>
              <w:rPr>
                <w:rFonts w:eastAsia="MS Mincho"/>
                <w:sz w:val="22"/>
                <w:szCs w:val="22"/>
                <w:lang w:val="el-GR"/>
              </w:rPr>
            </w:pPr>
            <w:r>
              <w:rPr>
                <w:rFonts w:eastAsia="MS Mincho"/>
                <w:sz w:val="22"/>
                <w:szCs w:val="22"/>
                <w:lang w:val="el-GR"/>
              </w:rPr>
              <w:t>Κοιλιακό άλγος,</w:t>
            </w:r>
          </w:p>
          <w:p w14:paraId="4CC12B2C" w14:textId="77777777" w:rsidR="00171824" w:rsidRDefault="006D258C">
            <w:pPr>
              <w:widowControl/>
              <w:kinsoku w:val="0"/>
              <w:overflowPunct w:val="0"/>
              <w:rPr>
                <w:rFonts w:eastAsia="MS Mincho"/>
                <w:sz w:val="22"/>
                <w:szCs w:val="22"/>
                <w:lang w:val="el-GR"/>
              </w:rPr>
            </w:pPr>
            <w:r>
              <w:rPr>
                <w:rFonts w:eastAsia="MS Mincho"/>
                <w:sz w:val="22"/>
                <w:szCs w:val="22"/>
                <w:lang w:val="el-GR"/>
              </w:rPr>
              <w:t>Ναυτία και έμετος</w:t>
            </w:r>
          </w:p>
        </w:tc>
      </w:tr>
      <w:tr w:rsidR="00171824" w14:paraId="1E9E96CC" w14:textId="77777777">
        <w:trPr>
          <w:cantSplit/>
          <w:trHeight w:val="430"/>
        </w:trPr>
        <w:tc>
          <w:tcPr>
            <w:tcW w:w="2552" w:type="dxa"/>
            <w:vMerge/>
          </w:tcPr>
          <w:p w14:paraId="4B046DF6" w14:textId="77777777" w:rsidR="00171824" w:rsidRDefault="00171824">
            <w:pPr>
              <w:widowControl/>
              <w:kinsoku w:val="0"/>
              <w:overflowPunct w:val="0"/>
              <w:rPr>
                <w:rFonts w:eastAsia="MS Mincho"/>
                <w:sz w:val="22"/>
                <w:szCs w:val="22"/>
                <w:lang w:val="el-GR"/>
              </w:rPr>
            </w:pPr>
          </w:p>
        </w:tc>
        <w:tc>
          <w:tcPr>
            <w:tcW w:w="1588" w:type="dxa"/>
          </w:tcPr>
          <w:p w14:paraId="03FB4605"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59B9E483" w14:textId="77777777" w:rsidR="00171824" w:rsidRDefault="006D258C">
            <w:pPr>
              <w:widowControl/>
              <w:kinsoku w:val="0"/>
              <w:overflowPunct w:val="0"/>
              <w:rPr>
                <w:rFonts w:eastAsia="MS Mincho"/>
                <w:sz w:val="22"/>
                <w:szCs w:val="22"/>
                <w:lang w:val="el-GR"/>
              </w:rPr>
            </w:pPr>
            <w:r>
              <w:rPr>
                <w:rFonts w:eastAsia="MS Mincho"/>
                <w:sz w:val="22"/>
                <w:szCs w:val="22"/>
                <w:lang w:val="el-GR"/>
              </w:rPr>
              <w:t>Αιμορραγία γαστρεντερικού,</w:t>
            </w:r>
          </w:p>
          <w:p w14:paraId="4B80665B" w14:textId="77777777" w:rsidR="00171824" w:rsidRDefault="006D258C">
            <w:pPr>
              <w:widowControl/>
              <w:kinsoku w:val="0"/>
              <w:overflowPunct w:val="0"/>
              <w:rPr>
                <w:rFonts w:eastAsia="MS Mincho"/>
                <w:sz w:val="22"/>
                <w:szCs w:val="22"/>
                <w:lang w:val="el-GR"/>
              </w:rPr>
            </w:pPr>
            <w:r>
              <w:rPr>
                <w:rFonts w:eastAsia="MS Mincho"/>
                <w:sz w:val="22"/>
                <w:szCs w:val="22"/>
                <w:lang w:val="el-GR"/>
              </w:rPr>
              <w:t>Δυσπεψία,</w:t>
            </w:r>
          </w:p>
          <w:p w14:paraId="17E39910" w14:textId="77777777" w:rsidR="00171824" w:rsidRDefault="006D258C">
            <w:pPr>
              <w:widowControl/>
              <w:kinsoku w:val="0"/>
              <w:overflowPunct w:val="0"/>
              <w:rPr>
                <w:rFonts w:eastAsia="MS Mincho"/>
                <w:sz w:val="22"/>
                <w:szCs w:val="22"/>
                <w:lang w:val="el-GR"/>
              </w:rPr>
            </w:pPr>
            <w:r>
              <w:rPr>
                <w:rFonts w:eastAsia="MS Mincho"/>
                <w:sz w:val="22"/>
                <w:szCs w:val="22"/>
                <w:lang w:val="el-GR"/>
              </w:rPr>
              <w:t>Γαστροοισοφαγική παλινδρόμηση,</w:t>
            </w:r>
          </w:p>
          <w:p w14:paraId="1173B2C9" w14:textId="77777777" w:rsidR="00171824" w:rsidRDefault="006D258C">
            <w:pPr>
              <w:widowControl/>
              <w:kinsoku w:val="0"/>
              <w:overflowPunct w:val="0"/>
              <w:rPr>
                <w:rFonts w:eastAsia="MS Mincho"/>
                <w:sz w:val="22"/>
                <w:szCs w:val="22"/>
                <w:lang w:val="el-GR"/>
              </w:rPr>
            </w:pPr>
            <w:r>
              <w:rPr>
                <w:rFonts w:eastAsia="MS Mincho"/>
                <w:sz w:val="22"/>
                <w:szCs w:val="22"/>
                <w:lang w:val="el-GR"/>
              </w:rPr>
              <w:t>Σύνδρομο ξηρότητας</w:t>
            </w:r>
          </w:p>
        </w:tc>
      </w:tr>
      <w:tr w:rsidR="00171824" w14:paraId="002940C2" w14:textId="77777777">
        <w:trPr>
          <w:cantSplit/>
          <w:trHeight w:val="529"/>
        </w:trPr>
        <w:tc>
          <w:tcPr>
            <w:tcW w:w="2552" w:type="dxa"/>
            <w:vMerge/>
          </w:tcPr>
          <w:p w14:paraId="450BD86A" w14:textId="77777777" w:rsidR="00171824" w:rsidRDefault="00171824">
            <w:pPr>
              <w:widowControl/>
              <w:kinsoku w:val="0"/>
              <w:overflowPunct w:val="0"/>
              <w:rPr>
                <w:rFonts w:eastAsia="MS Mincho"/>
                <w:sz w:val="22"/>
                <w:szCs w:val="22"/>
                <w:lang w:val="el-GR"/>
              </w:rPr>
            </w:pPr>
          </w:p>
        </w:tc>
        <w:tc>
          <w:tcPr>
            <w:tcW w:w="1588" w:type="dxa"/>
          </w:tcPr>
          <w:p w14:paraId="727A3F35"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56D7D940" w14:textId="77777777" w:rsidR="00171824" w:rsidRDefault="006D258C">
            <w:pPr>
              <w:widowControl/>
              <w:kinsoku w:val="0"/>
              <w:overflowPunct w:val="0"/>
              <w:rPr>
                <w:rFonts w:eastAsia="MS Mincho"/>
                <w:sz w:val="22"/>
                <w:szCs w:val="22"/>
                <w:lang w:val="el-GR"/>
              </w:rPr>
            </w:pPr>
            <w:r>
              <w:rPr>
                <w:rFonts w:eastAsia="MS Mincho"/>
                <w:sz w:val="22"/>
                <w:szCs w:val="22"/>
                <w:lang w:val="el-GR"/>
              </w:rPr>
              <w:t>Παγκρεατίτιδα,</w:t>
            </w:r>
          </w:p>
          <w:p w14:paraId="31B655FA" w14:textId="77777777" w:rsidR="00171824" w:rsidRDefault="006D258C">
            <w:pPr>
              <w:widowControl/>
              <w:kinsoku w:val="0"/>
              <w:overflowPunct w:val="0"/>
              <w:rPr>
                <w:rFonts w:eastAsia="MS Mincho"/>
                <w:sz w:val="22"/>
                <w:szCs w:val="22"/>
                <w:lang w:val="el-GR"/>
              </w:rPr>
            </w:pPr>
            <w:r>
              <w:rPr>
                <w:rFonts w:eastAsia="MS Mincho"/>
                <w:sz w:val="22"/>
                <w:szCs w:val="22"/>
                <w:lang w:val="el-GR"/>
              </w:rPr>
              <w:t>Δυσφαγία</w:t>
            </w:r>
          </w:p>
          <w:p w14:paraId="3B0D169C" w14:textId="77777777" w:rsidR="00171824" w:rsidRDefault="006D258C">
            <w:pPr>
              <w:widowControl/>
              <w:kinsoku w:val="0"/>
              <w:overflowPunct w:val="0"/>
              <w:rPr>
                <w:rFonts w:eastAsia="MS Mincho"/>
                <w:sz w:val="22"/>
                <w:szCs w:val="22"/>
                <w:lang w:val="el-GR"/>
              </w:rPr>
            </w:pPr>
            <w:r>
              <w:rPr>
                <w:rFonts w:eastAsia="MS Mincho"/>
                <w:sz w:val="22"/>
                <w:szCs w:val="22"/>
                <w:lang w:val="el-GR"/>
              </w:rPr>
              <w:t>Οίδημα προσώπου</w:t>
            </w:r>
          </w:p>
        </w:tc>
      </w:tr>
      <w:tr w:rsidR="00171824" w14:paraId="4CDC988E" w14:textId="77777777">
        <w:trPr>
          <w:cantSplit/>
          <w:trHeight w:val="200"/>
        </w:trPr>
        <w:tc>
          <w:tcPr>
            <w:tcW w:w="2552" w:type="dxa"/>
            <w:vMerge/>
          </w:tcPr>
          <w:p w14:paraId="49A5FD09" w14:textId="77777777" w:rsidR="00171824" w:rsidRDefault="00171824">
            <w:pPr>
              <w:widowControl/>
              <w:kinsoku w:val="0"/>
              <w:overflowPunct w:val="0"/>
              <w:rPr>
                <w:rFonts w:eastAsia="MS Mincho"/>
                <w:sz w:val="22"/>
                <w:szCs w:val="22"/>
                <w:lang w:val="el-GR"/>
              </w:rPr>
            </w:pPr>
          </w:p>
        </w:tc>
        <w:tc>
          <w:tcPr>
            <w:tcW w:w="1588" w:type="dxa"/>
          </w:tcPr>
          <w:p w14:paraId="7FE922B3"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2DE532DA" w14:textId="77777777" w:rsidR="00171824" w:rsidRDefault="006D258C">
            <w:pPr>
              <w:widowControl/>
              <w:kinsoku w:val="0"/>
              <w:overflowPunct w:val="0"/>
              <w:rPr>
                <w:rFonts w:eastAsia="MS Mincho"/>
                <w:sz w:val="22"/>
                <w:szCs w:val="22"/>
                <w:lang w:val="el-GR"/>
              </w:rPr>
            </w:pPr>
            <w:r>
              <w:rPr>
                <w:rFonts w:eastAsia="MS Mincho"/>
                <w:sz w:val="22"/>
                <w:szCs w:val="22"/>
                <w:lang w:val="el-GR"/>
              </w:rPr>
              <w:t>Διάτρηση του εντέρου</w:t>
            </w:r>
            <w:r>
              <w:rPr>
                <w:rFonts w:eastAsia="MS Mincho"/>
                <w:sz w:val="22"/>
                <w:szCs w:val="22"/>
                <w:vertAlign w:val="superscript"/>
                <w:lang w:val="el-GR"/>
              </w:rPr>
              <w:t>1)</w:t>
            </w:r>
          </w:p>
        </w:tc>
      </w:tr>
      <w:tr w:rsidR="00171824" w14:paraId="240F7159" w14:textId="77777777">
        <w:trPr>
          <w:cantSplit/>
          <w:trHeight w:val="203"/>
        </w:trPr>
        <w:tc>
          <w:tcPr>
            <w:tcW w:w="2552" w:type="dxa"/>
            <w:vMerge w:val="restart"/>
          </w:tcPr>
          <w:p w14:paraId="45D564BD" w14:textId="60F1E681" w:rsidR="00171824" w:rsidRDefault="00A51A7A">
            <w:pPr>
              <w:widowControl/>
              <w:kinsoku w:val="0"/>
              <w:overflowPunct w:val="0"/>
              <w:rPr>
                <w:rFonts w:eastAsia="MS Mincho"/>
                <w:sz w:val="22"/>
                <w:szCs w:val="22"/>
                <w:lang w:val="el-GR"/>
              </w:rPr>
            </w:pPr>
            <w:ins w:id="89" w:author="Author">
              <w:r>
                <w:rPr>
                  <w:rFonts w:eastAsia="MS Mincho"/>
                  <w:sz w:val="22"/>
                  <w:szCs w:val="22"/>
                  <w:lang w:val="el-GR"/>
                </w:rPr>
                <w:t xml:space="preserve">Ηπατοχολικές </w:t>
              </w:r>
            </w:ins>
            <w:del w:id="90" w:author="Author">
              <w:r w:rsidR="006D258C" w:rsidDel="00A51A7A">
                <w:rPr>
                  <w:rFonts w:eastAsia="MS Mincho"/>
                  <w:sz w:val="22"/>
                  <w:szCs w:val="22"/>
                  <w:lang w:val="el-GR"/>
                </w:rPr>
                <w:delText>Δ</w:delText>
              </w:r>
            </w:del>
            <w:ins w:id="91" w:author="Author">
              <w:r>
                <w:rPr>
                  <w:rFonts w:eastAsia="MS Mincho"/>
                  <w:sz w:val="22"/>
                  <w:szCs w:val="22"/>
                  <w:lang w:val="el-GR"/>
                </w:rPr>
                <w:t>δ</w:t>
              </w:r>
            </w:ins>
            <w:r w:rsidR="006D258C">
              <w:rPr>
                <w:rFonts w:eastAsia="MS Mincho"/>
                <w:sz w:val="22"/>
                <w:szCs w:val="22"/>
                <w:lang w:val="el-GR"/>
              </w:rPr>
              <w:t>ιαταραχές</w:t>
            </w:r>
            <w:del w:id="92" w:author="Author">
              <w:r w:rsidR="006D258C" w:rsidDel="00A51A7A">
                <w:rPr>
                  <w:rFonts w:eastAsia="MS Mincho"/>
                  <w:sz w:val="22"/>
                  <w:szCs w:val="22"/>
                  <w:lang w:val="el-GR"/>
                </w:rPr>
                <w:delText xml:space="preserve"> του ήπατος και των χοληφόρων</w:delText>
              </w:r>
            </w:del>
            <w:r w:rsidR="006D258C">
              <w:rPr>
                <w:rFonts w:eastAsia="MS Mincho"/>
                <w:sz w:val="22"/>
                <w:szCs w:val="22"/>
                <w:lang w:val="el-GR"/>
              </w:rPr>
              <w:t>*</w:t>
            </w:r>
          </w:p>
        </w:tc>
        <w:tc>
          <w:tcPr>
            <w:tcW w:w="1588" w:type="dxa"/>
          </w:tcPr>
          <w:p w14:paraId="268688BE"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1238B1F3" w14:textId="77777777" w:rsidR="00171824" w:rsidRDefault="006D258C">
            <w:pPr>
              <w:widowControl/>
              <w:kinsoku w:val="0"/>
              <w:overflowPunct w:val="0"/>
              <w:rPr>
                <w:rFonts w:eastAsia="MS Mincho"/>
                <w:sz w:val="22"/>
                <w:szCs w:val="22"/>
                <w:lang w:val="el-GR"/>
              </w:rPr>
            </w:pPr>
            <w:r>
              <w:rPr>
                <w:rFonts w:eastAsia="MS Mincho"/>
                <w:sz w:val="22"/>
                <w:szCs w:val="22"/>
                <w:lang w:val="el-GR"/>
              </w:rPr>
              <w:t>Αυξημένα ηπατικά ένζυμα</w:t>
            </w:r>
          </w:p>
        </w:tc>
      </w:tr>
      <w:tr w:rsidR="00171824" w14:paraId="4CC4A2E3" w14:textId="77777777">
        <w:trPr>
          <w:cantSplit/>
          <w:trHeight w:val="661"/>
        </w:trPr>
        <w:tc>
          <w:tcPr>
            <w:tcW w:w="2552" w:type="dxa"/>
            <w:vMerge/>
          </w:tcPr>
          <w:p w14:paraId="7F7C3467" w14:textId="77777777" w:rsidR="00171824" w:rsidRDefault="00171824">
            <w:pPr>
              <w:widowControl/>
              <w:kinsoku w:val="0"/>
              <w:overflowPunct w:val="0"/>
              <w:rPr>
                <w:rFonts w:eastAsia="MS Mincho"/>
                <w:sz w:val="22"/>
                <w:szCs w:val="22"/>
                <w:lang w:val="el-GR"/>
              </w:rPr>
            </w:pPr>
          </w:p>
        </w:tc>
        <w:tc>
          <w:tcPr>
            <w:tcW w:w="1588" w:type="dxa"/>
          </w:tcPr>
          <w:p w14:paraId="5AF341C9"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412FAB4A" w14:textId="77777777" w:rsidR="00171824" w:rsidRDefault="006D258C">
            <w:pPr>
              <w:widowControl/>
              <w:kinsoku w:val="0"/>
              <w:overflowPunct w:val="0"/>
              <w:rPr>
                <w:rFonts w:eastAsia="MS Mincho"/>
                <w:sz w:val="22"/>
                <w:szCs w:val="22"/>
                <w:lang w:val="el-GR"/>
              </w:rPr>
            </w:pPr>
            <w:r>
              <w:rPr>
                <w:rFonts w:eastAsia="MS Mincho"/>
                <w:sz w:val="22"/>
                <w:szCs w:val="22"/>
                <w:lang w:val="el-GR"/>
              </w:rPr>
              <w:t>Χολοκυστίτιδα και χολολιθίαση,</w:t>
            </w:r>
          </w:p>
          <w:p w14:paraId="5CCB059B" w14:textId="77777777" w:rsidR="00171824" w:rsidRDefault="006D258C">
            <w:pPr>
              <w:widowControl/>
              <w:kinsoku w:val="0"/>
              <w:overflowPunct w:val="0"/>
              <w:rPr>
                <w:rFonts w:eastAsia="MS Mincho"/>
                <w:sz w:val="22"/>
                <w:szCs w:val="22"/>
                <w:lang w:val="el-GR"/>
              </w:rPr>
            </w:pPr>
            <w:r>
              <w:rPr>
                <w:rFonts w:eastAsia="MS Mincho"/>
                <w:sz w:val="22"/>
                <w:szCs w:val="22"/>
                <w:lang w:val="el-GR"/>
              </w:rPr>
              <w:t>Ηπατική στεάτωση,</w:t>
            </w:r>
          </w:p>
          <w:p w14:paraId="73A2EF56" w14:textId="77777777" w:rsidR="00171824" w:rsidRDefault="006D258C">
            <w:pPr>
              <w:widowControl/>
              <w:kinsoku w:val="0"/>
              <w:overflowPunct w:val="0"/>
              <w:rPr>
                <w:rFonts w:eastAsia="MS Mincho"/>
                <w:sz w:val="22"/>
                <w:szCs w:val="22"/>
                <w:lang w:val="el-GR"/>
              </w:rPr>
            </w:pPr>
            <w:r>
              <w:rPr>
                <w:rFonts w:eastAsia="MS Mincho"/>
                <w:sz w:val="22"/>
                <w:szCs w:val="22"/>
                <w:lang w:val="el-GR"/>
              </w:rPr>
              <w:t>Χολερυθρίνη αυξημένη</w:t>
            </w:r>
          </w:p>
        </w:tc>
      </w:tr>
      <w:tr w:rsidR="00171824" w:rsidRPr="00422380" w14:paraId="352416F4" w14:textId="77777777">
        <w:trPr>
          <w:cantSplit/>
          <w:trHeight w:val="587"/>
        </w:trPr>
        <w:tc>
          <w:tcPr>
            <w:tcW w:w="2552" w:type="dxa"/>
            <w:vMerge/>
          </w:tcPr>
          <w:p w14:paraId="2EA9C6FE" w14:textId="77777777" w:rsidR="00171824" w:rsidRDefault="00171824">
            <w:pPr>
              <w:widowControl/>
              <w:kinsoku w:val="0"/>
              <w:overflowPunct w:val="0"/>
              <w:rPr>
                <w:rFonts w:eastAsia="MS Mincho"/>
                <w:sz w:val="22"/>
                <w:szCs w:val="22"/>
                <w:lang w:val="el-GR"/>
              </w:rPr>
            </w:pPr>
          </w:p>
        </w:tc>
        <w:tc>
          <w:tcPr>
            <w:tcW w:w="1588" w:type="dxa"/>
          </w:tcPr>
          <w:p w14:paraId="4243C0A9"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3C42EAB0" w14:textId="77777777" w:rsidR="00171824" w:rsidRDefault="006D258C">
            <w:pPr>
              <w:widowControl/>
              <w:kinsoku w:val="0"/>
              <w:overflowPunct w:val="0"/>
              <w:rPr>
                <w:rFonts w:eastAsia="MS Mincho"/>
                <w:sz w:val="22"/>
                <w:szCs w:val="22"/>
                <w:lang w:val="el-GR"/>
              </w:rPr>
            </w:pPr>
            <w:r>
              <w:rPr>
                <w:rFonts w:eastAsia="MS Mincho"/>
                <w:sz w:val="22"/>
                <w:szCs w:val="22"/>
                <w:lang w:val="el-GR"/>
              </w:rPr>
              <w:t>Ηπατίτιδα,</w:t>
            </w:r>
          </w:p>
          <w:p w14:paraId="6E322CDD" w14:textId="77777777" w:rsidR="00171824" w:rsidRDefault="006D258C">
            <w:pPr>
              <w:widowControl/>
              <w:kinsoku w:val="0"/>
              <w:overflowPunct w:val="0"/>
              <w:rPr>
                <w:rFonts w:eastAsia="MS Mincho"/>
                <w:sz w:val="22"/>
                <w:szCs w:val="22"/>
                <w:lang w:val="el-GR"/>
              </w:rPr>
            </w:pPr>
            <w:r>
              <w:rPr>
                <w:rFonts w:eastAsia="MS Mincho"/>
                <w:sz w:val="22"/>
                <w:szCs w:val="22"/>
                <w:lang w:val="el-GR"/>
              </w:rPr>
              <w:t>Επανενεργοποίηση ηπατίτιδας Β</w:t>
            </w:r>
            <w:r>
              <w:rPr>
                <w:rFonts w:eastAsia="MS Mincho"/>
                <w:sz w:val="22"/>
                <w:szCs w:val="22"/>
                <w:vertAlign w:val="superscript"/>
                <w:lang w:val="el-GR"/>
              </w:rPr>
              <w:t>1)</w:t>
            </w:r>
            <w:r>
              <w:rPr>
                <w:rFonts w:eastAsia="MS Mincho"/>
                <w:sz w:val="22"/>
                <w:szCs w:val="22"/>
                <w:lang w:val="el-GR"/>
              </w:rPr>
              <w:t>,</w:t>
            </w:r>
          </w:p>
          <w:p w14:paraId="15F00CB4" w14:textId="77777777" w:rsidR="00171824" w:rsidRDefault="006D258C">
            <w:pPr>
              <w:widowControl/>
              <w:kinsoku w:val="0"/>
              <w:overflowPunct w:val="0"/>
              <w:rPr>
                <w:rFonts w:eastAsia="MS Mincho"/>
                <w:sz w:val="22"/>
                <w:szCs w:val="22"/>
                <w:lang w:val="el-GR"/>
              </w:rPr>
            </w:pPr>
            <w:r>
              <w:rPr>
                <w:rFonts w:eastAsia="MS Mincho"/>
                <w:sz w:val="22"/>
                <w:szCs w:val="22"/>
                <w:lang w:val="el-GR"/>
              </w:rPr>
              <w:t>Αυτοάνοση ηπατίτιδα</w:t>
            </w:r>
            <w:r>
              <w:rPr>
                <w:rFonts w:eastAsia="MS Mincho"/>
                <w:sz w:val="22"/>
                <w:szCs w:val="22"/>
                <w:vertAlign w:val="superscript"/>
                <w:lang w:val="el-GR"/>
              </w:rPr>
              <w:t>1)</w:t>
            </w:r>
          </w:p>
        </w:tc>
      </w:tr>
      <w:tr w:rsidR="00171824" w14:paraId="3B2F0750" w14:textId="77777777">
        <w:trPr>
          <w:cantSplit/>
          <w:trHeight w:val="116"/>
        </w:trPr>
        <w:tc>
          <w:tcPr>
            <w:tcW w:w="2552" w:type="dxa"/>
            <w:vMerge/>
          </w:tcPr>
          <w:p w14:paraId="44916602" w14:textId="77777777" w:rsidR="00171824" w:rsidRDefault="00171824">
            <w:pPr>
              <w:widowControl/>
              <w:kinsoku w:val="0"/>
              <w:overflowPunct w:val="0"/>
              <w:rPr>
                <w:rFonts w:eastAsia="MS Mincho"/>
                <w:sz w:val="22"/>
                <w:szCs w:val="22"/>
                <w:lang w:val="el-GR"/>
              </w:rPr>
            </w:pPr>
          </w:p>
        </w:tc>
        <w:tc>
          <w:tcPr>
            <w:tcW w:w="1588" w:type="dxa"/>
          </w:tcPr>
          <w:p w14:paraId="19032CA0" w14:textId="599A24CE" w:rsidR="00171824" w:rsidRDefault="006D258C">
            <w:pPr>
              <w:widowControl/>
              <w:kinsoku w:val="0"/>
              <w:overflowPunct w:val="0"/>
              <w:rPr>
                <w:rFonts w:eastAsia="MS Mincho"/>
                <w:sz w:val="22"/>
                <w:szCs w:val="22"/>
                <w:lang w:val="el-GR"/>
              </w:rPr>
            </w:pPr>
            <w:r>
              <w:rPr>
                <w:rFonts w:eastAsia="MS Mincho"/>
                <w:sz w:val="22"/>
                <w:szCs w:val="22"/>
                <w:lang w:val="el-GR"/>
              </w:rPr>
              <w:t>Μη γνωστ</w:t>
            </w:r>
            <w:ins w:id="93" w:author="Author">
              <w:r w:rsidR="00AC5A39">
                <w:rPr>
                  <w:rFonts w:eastAsia="MS Mincho"/>
                  <w:sz w:val="22"/>
                  <w:szCs w:val="22"/>
                  <w:lang w:val="el-GR"/>
                </w:rPr>
                <w:t>ής συχνότητας</w:t>
              </w:r>
            </w:ins>
            <w:del w:id="94" w:author="Author">
              <w:r w:rsidDel="00AC5A39">
                <w:rPr>
                  <w:rFonts w:eastAsia="MS Mincho"/>
                  <w:sz w:val="22"/>
                  <w:szCs w:val="22"/>
                  <w:lang w:val="el-GR"/>
                </w:rPr>
                <w:delText>ές</w:delText>
              </w:r>
            </w:del>
          </w:p>
        </w:tc>
        <w:tc>
          <w:tcPr>
            <w:tcW w:w="4791" w:type="dxa"/>
          </w:tcPr>
          <w:p w14:paraId="29D3BE0F" w14:textId="77777777" w:rsidR="00171824" w:rsidRDefault="006D258C">
            <w:pPr>
              <w:widowControl/>
              <w:kinsoku w:val="0"/>
              <w:overflowPunct w:val="0"/>
              <w:rPr>
                <w:rFonts w:eastAsia="MS Mincho"/>
                <w:sz w:val="22"/>
                <w:szCs w:val="22"/>
                <w:lang w:val="el-GR"/>
              </w:rPr>
            </w:pPr>
            <w:r>
              <w:rPr>
                <w:rFonts w:eastAsia="MS Mincho"/>
                <w:sz w:val="22"/>
                <w:szCs w:val="22"/>
                <w:lang w:val="el-GR"/>
              </w:rPr>
              <w:t>Ηπατική ανεπάρκεια</w:t>
            </w:r>
            <w:r>
              <w:rPr>
                <w:rFonts w:eastAsia="MS Mincho"/>
                <w:sz w:val="22"/>
                <w:szCs w:val="22"/>
                <w:vertAlign w:val="superscript"/>
                <w:lang w:val="el-GR"/>
              </w:rPr>
              <w:t>1)</w:t>
            </w:r>
          </w:p>
        </w:tc>
      </w:tr>
      <w:tr w:rsidR="00171824" w14:paraId="1C966A09" w14:textId="77777777">
        <w:trPr>
          <w:cantSplit/>
          <w:trHeight w:val="148"/>
        </w:trPr>
        <w:tc>
          <w:tcPr>
            <w:tcW w:w="2552" w:type="dxa"/>
            <w:vMerge w:val="restart"/>
          </w:tcPr>
          <w:p w14:paraId="163854F1"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Διαταραχές του δέρματος και του υποδόριου ιστού</w:t>
            </w:r>
          </w:p>
        </w:tc>
        <w:tc>
          <w:tcPr>
            <w:tcW w:w="1588" w:type="dxa"/>
          </w:tcPr>
          <w:p w14:paraId="0A1F62F8"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71246728" w14:textId="77777777" w:rsidR="00171824" w:rsidRDefault="006D258C">
            <w:pPr>
              <w:keepNext/>
              <w:kinsoku w:val="0"/>
              <w:overflowPunct w:val="0"/>
              <w:rPr>
                <w:rFonts w:eastAsia="MS Mincho"/>
                <w:sz w:val="22"/>
                <w:szCs w:val="22"/>
                <w:lang w:val="el-GR"/>
              </w:rPr>
            </w:pPr>
            <w:r>
              <w:rPr>
                <w:rFonts w:eastAsia="MS Mincho"/>
                <w:sz w:val="22"/>
                <w:szCs w:val="22"/>
                <w:lang w:val="el-GR"/>
              </w:rPr>
              <w:t>Εξάνθημα (συμπεριλαμβάνεται αποφολιδωτικό εξάνθημα)</w:t>
            </w:r>
          </w:p>
        </w:tc>
      </w:tr>
      <w:tr w:rsidR="00171824" w14:paraId="2F6D8DB7" w14:textId="77777777">
        <w:trPr>
          <w:cantSplit/>
          <w:trHeight w:val="2182"/>
        </w:trPr>
        <w:tc>
          <w:tcPr>
            <w:tcW w:w="2552" w:type="dxa"/>
            <w:vMerge/>
          </w:tcPr>
          <w:p w14:paraId="516EA287" w14:textId="77777777" w:rsidR="00171824" w:rsidRDefault="00171824">
            <w:pPr>
              <w:widowControl/>
              <w:kinsoku w:val="0"/>
              <w:overflowPunct w:val="0"/>
              <w:rPr>
                <w:rFonts w:eastAsia="MS Mincho"/>
                <w:sz w:val="22"/>
                <w:szCs w:val="22"/>
                <w:lang w:val="el-GR"/>
              </w:rPr>
            </w:pPr>
          </w:p>
        </w:tc>
        <w:tc>
          <w:tcPr>
            <w:tcW w:w="1588" w:type="dxa"/>
          </w:tcPr>
          <w:p w14:paraId="1C5DE4EB"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5923D6F9" w14:textId="77777777" w:rsidR="00171824" w:rsidRDefault="006D258C">
            <w:pPr>
              <w:widowControl/>
              <w:kinsoku w:val="0"/>
              <w:overflowPunct w:val="0"/>
              <w:rPr>
                <w:rFonts w:eastAsia="MS Mincho"/>
                <w:sz w:val="22"/>
                <w:szCs w:val="22"/>
                <w:lang w:val="el-GR"/>
              </w:rPr>
            </w:pPr>
            <w:r>
              <w:rPr>
                <w:rFonts w:eastAsia="MS Mincho"/>
                <w:sz w:val="22"/>
                <w:szCs w:val="22"/>
                <w:lang w:val="el-GR"/>
              </w:rPr>
              <w:t>Επιδείνωση ή πρόσφατη έναρξη της ψωρίασης (συμπεριλαμβάνεται φλυκταινώδης Ψωρίαση</w:t>
            </w:r>
          </w:p>
          <w:p w14:paraId="4EFAF2DC" w14:textId="77777777" w:rsidR="00171824" w:rsidRDefault="006D258C">
            <w:pPr>
              <w:widowControl/>
              <w:kinsoku w:val="0"/>
              <w:overflowPunct w:val="0"/>
              <w:rPr>
                <w:rFonts w:eastAsia="MS Mincho"/>
                <w:sz w:val="22"/>
                <w:szCs w:val="22"/>
                <w:lang w:val="el-GR"/>
              </w:rPr>
            </w:pPr>
            <w:r>
              <w:rPr>
                <w:rFonts w:eastAsia="MS Mincho"/>
                <w:sz w:val="22"/>
                <w:szCs w:val="22"/>
                <w:lang w:val="el-GR"/>
              </w:rPr>
              <w:t>παλαμών και πελμάτων)</w:t>
            </w:r>
            <w:r>
              <w:rPr>
                <w:rFonts w:eastAsia="MS Mincho"/>
                <w:sz w:val="22"/>
                <w:szCs w:val="22"/>
                <w:vertAlign w:val="superscript"/>
                <w:lang w:val="el-GR"/>
              </w:rPr>
              <w:t>1)</w:t>
            </w:r>
            <w:r>
              <w:rPr>
                <w:rFonts w:eastAsia="MS Mincho"/>
                <w:sz w:val="22"/>
                <w:szCs w:val="22"/>
                <w:lang w:val="el-GR"/>
              </w:rPr>
              <w:t>,</w:t>
            </w:r>
          </w:p>
          <w:p w14:paraId="0C43CB0D" w14:textId="77777777" w:rsidR="00171824" w:rsidRDefault="006D258C">
            <w:pPr>
              <w:widowControl/>
              <w:kinsoku w:val="0"/>
              <w:overflowPunct w:val="0"/>
              <w:rPr>
                <w:rFonts w:eastAsia="MS Mincho"/>
                <w:sz w:val="22"/>
                <w:szCs w:val="22"/>
                <w:lang w:val="el-GR"/>
              </w:rPr>
            </w:pPr>
            <w:r>
              <w:rPr>
                <w:rFonts w:eastAsia="MS Mincho"/>
                <w:sz w:val="22"/>
                <w:szCs w:val="22"/>
                <w:lang w:val="el-GR"/>
              </w:rPr>
              <w:t>Κνίδωση,</w:t>
            </w:r>
          </w:p>
          <w:p w14:paraId="1FD15F22" w14:textId="77777777" w:rsidR="00171824" w:rsidRDefault="006D258C">
            <w:pPr>
              <w:widowControl/>
              <w:kinsoku w:val="0"/>
              <w:overflowPunct w:val="0"/>
              <w:rPr>
                <w:rFonts w:eastAsia="MS Mincho"/>
                <w:sz w:val="22"/>
                <w:szCs w:val="22"/>
                <w:lang w:val="el-GR"/>
              </w:rPr>
            </w:pPr>
            <w:r>
              <w:rPr>
                <w:rFonts w:eastAsia="MS Mincho"/>
                <w:sz w:val="22"/>
                <w:szCs w:val="22"/>
                <w:lang w:val="el-GR"/>
              </w:rPr>
              <w:t>Μώλωπες (συμπεριλαμβάνεται πορφύρα),</w:t>
            </w:r>
          </w:p>
          <w:p w14:paraId="3E3B51AD" w14:textId="77777777" w:rsidR="00171824" w:rsidRDefault="006D258C">
            <w:pPr>
              <w:widowControl/>
              <w:kinsoku w:val="0"/>
              <w:overflowPunct w:val="0"/>
              <w:rPr>
                <w:rFonts w:eastAsia="MS Mincho"/>
                <w:sz w:val="22"/>
                <w:szCs w:val="22"/>
                <w:lang w:val="el-GR"/>
              </w:rPr>
            </w:pPr>
            <w:r>
              <w:rPr>
                <w:rFonts w:eastAsia="MS Mincho"/>
                <w:sz w:val="22"/>
                <w:szCs w:val="22"/>
                <w:lang w:val="el-GR"/>
              </w:rPr>
              <w:t>Δερματίτιδα (συμπεριλαμβάνεται έκζεμα),</w:t>
            </w:r>
          </w:p>
          <w:p w14:paraId="04B927C7" w14:textId="77777777" w:rsidR="00171824" w:rsidRDefault="006D258C">
            <w:pPr>
              <w:widowControl/>
              <w:kinsoku w:val="0"/>
              <w:overflowPunct w:val="0"/>
              <w:rPr>
                <w:rFonts w:eastAsia="MS Mincho"/>
                <w:sz w:val="22"/>
                <w:szCs w:val="22"/>
                <w:lang w:val="el-GR"/>
              </w:rPr>
            </w:pPr>
            <w:r>
              <w:rPr>
                <w:rFonts w:eastAsia="MS Mincho"/>
                <w:sz w:val="22"/>
                <w:szCs w:val="22"/>
                <w:lang w:val="el-GR"/>
              </w:rPr>
              <w:t>Ρήξη όνυχα,</w:t>
            </w:r>
          </w:p>
          <w:p w14:paraId="4E37AD2C" w14:textId="77777777" w:rsidR="00171824" w:rsidRDefault="006D258C">
            <w:pPr>
              <w:widowControl/>
              <w:kinsoku w:val="0"/>
              <w:overflowPunct w:val="0"/>
              <w:rPr>
                <w:rFonts w:eastAsia="MS Mincho"/>
                <w:sz w:val="22"/>
                <w:szCs w:val="22"/>
                <w:lang w:val="el-GR"/>
              </w:rPr>
            </w:pPr>
            <w:r>
              <w:rPr>
                <w:rFonts w:eastAsia="MS Mincho"/>
                <w:sz w:val="22"/>
                <w:szCs w:val="22"/>
                <w:lang w:val="el-GR"/>
              </w:rPr>
              <w:t>Υπερίδρωση,</w:t>
            </w:r>
          </w:p>
          <w:p w14:paraId="48FB4D72" w14:textId="77777777" w:rsidR="00171824" w:rsidRDefault="006D258C">
            <w:pPr>
              <w:widowControl/>
              <w:kinsoku w:val="0"/>
              <w:overflowPunct w:val="0"/>
              <w:rPr>
                <w:rFonts w:eastAsia="MS Mincho"/>
                <w:sz w:val="22"/>
                <w:szCs w:val="22"/>
                <w:lang w:val="el-GR"/>
              </w:rPr>
            </w:pPr>
            <w:r>
              <w:rPr>
                <w:rFonts w:eastAsia="MS Mincho"/>
                <w:sz w:val="22"/>
                <w:szCs w:val="22"/>
                <w:lang w:val="el-GR"/>
              </w:rPr>
              <w:t>Αλωπεκία</w:t>
            </w:r>
            <w:r>
              <w:rPr>
                <w:rFonts w:eastAsia="MS Mincho"/>
                <w:sz w:val="22"/>
                <w:szCs w:val="22"/>
                <w:vertAlign w:val="superscript"/>
                <w:lang w:val="el-GR"/>
              </w:rPr>
              <w:t>1)</w:t>
            </w:r>
            <w:r>
              <w:rPr>
                <w:rFonts w:eastAsia="MS Mincho"/>
                <w:sz w:val="22"/>
                <w:szCs w:val="22"/>
                <w:lang w:val="el-GR"/>
              </w:rPr>
              <w:t>,</w:t>
            </w:r>
          </w:p>
          <w:p w14:paraId="6BD6EDCC" w14:textId="77777777" w:rsidR="00171824" w:rsidRDefault="006D258C">
            <w:pPr>
              <w:widowControl/>
              <w:kinsoku w:val="0"/>
              <w:overflowPunct w:val="0"/>
              <w:rPr>
                <w:rFonts w:eastAsia="MS Mincho"/>
                <w:sz w:val="22"/>
                <w:szCs w:val="22"/>
                <w:lang w:val="el-GR"/>
              </w:rPr>
            </w:pPr>
            <w:r>
              <w:rPr>
                <w:rFonts w:eastAsia="MS Mincho"/>
                <w:sz w:val="22"/>
                <w:szCs w:val="22"/>
                <w:lang w:val="el-GR"/>
              </w:rPr>
              <w:t>Κνησμός</w:t>
            </w:r>
          </w:p>
        </w:tc>
      </w:tr>
      <w:tr w:rsidR="00171824" w14:paraId="5A491206" w14:textId="77777777">
        <w:trPr>
          <w:cantSplit/>
          <w:trHeight w:val="347"/>
        </w:trPr>
        <w:tc>
          <w:tcPr>
            <w:tcW w:w="2552" w:type="dxa"/>
            <w:vMerge/>
          </w:tcPr>
          <w:p w14:paraId="18E280D2" w14:textId="77777777" w:rsidR="00171824" w:rsidRDefault="00171824">
            <w:pPr>
              <w:widowControl/>
              <w:kinsoku w:val="0"/>
              <w:overflowPunct w:val="0"/>
              <w:rPr>
                <w:rFonts w:eastAsia="MS Mincho"/>
                <w:sz w:val="22"/>
                <w:szCs w:val="22"/>
                <w:lang w:val="el-GR"/>
              </w:rPr>
            </w:pPr>
          </w:p>
        </w:tc>
        <w:tc>
          <w:tcPr>
            <w:tcW w:w="1588" w:type="dxa"/>
          </w:tcPr>
          <w:p w14:paraId="4474BBE0"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4D585412" w14:textId="77777777" w:rsidR="00171824" w:rsidRDefault="006D258C">
            <w:pPr>
              <w:widowControl/>
              <w:kinsoku w:val="0"/>
              <w:overflowPunct w:val="0"/>
              <w:rPr>
                <w:rFonts w:eastAsia="MS Mincho"/>
                <w:sz w:val="22"/>
                <w:szCs w:val="22"/>
                <w:lang w:val="el-GR"/>
              </w:rPr>
            </w:pPr>
            <w:r>
              <w:rPr>
                <w:rFonts w:eastAsia="MS Mincho"/>
                <w:sz w:val="22"/>
                <w:szCs w:val="22"/>
                <w:lang w:val="el-GR"/>
              </w:rPr>
              <w:t>Νυκτερινοί ιδρώτες,</w:t>
            </w:r>
          </w:p>
          <w:p w14:paraId="509E0C42" w14:textId="77777777" w:rsidR="00171824" w:rsidRDefault="006D258C">
            <w:pPr>
              <w:widowControl/>
              <w:kinsoku w:val="0"/>
              <w:overflowPunct w:val="0"/>
              <w:rPr>
                <w:rFonts w:eastAsia="MS Mincho"/>
                <w:sz w:val="22"/>
                <w:szCs w:val="22"/>
                <w:lang w:val="el-GR"/>
              </w:rPr>
            </w:pPr>
            <w:r>
              <w:rPr>
                <w:rFonts w:eastAsia="MS Mincho"/>
                <w:sz w:val="22"/>
                <w:szCs w:val="22"/>
                <w:lang w:val="el-GR"/>
              </w:rPr>
              <w:t>Ουλή</w:t>
            </w:r>
          </w:p>
        </w:tc>
      </w:tr>
      <w:tr w:rsidR="00171824" w:rsidRPr="00422380" w14:paraId="4A044E18" w14:textId="77777777">
        <w:trPr>
          <w:cantSplit/>
          <w:trHeight w:val="1214"/>
        </w:trPr>
        <w:tc>
          <w:tcPr>
            <w:tcW w:w="2552" w:type="dxa"/>
            <w:vMerge/>
          </w:tcPr>
          <w:p w14:paraId="4045460C" w14:textId="77777777" w:rsidR="00171824" w:rsidRDefault="00171824">
            <w:pPr>
              <w:widowControl/>
              <w:kinsoku w:val="0"/>
              <w:overflowPunct w:val="0"/>
              <w:rPr>
                <w:rFonts w:eastAsia="MS Mincho"/>
                <w:sz w:val="22"/>
                <w:szCs w:val="22"/>
                <w:lang w:val="el-GR"/>
              </w:rPr>
            </w:pPr>
          </w:p>
        </w:tc>
        <w:tc>
          <w:tcPr>
            <w:tcW w:w="1588" w:type="dxa"/>
          </w:tcPr>
          <w:p w14:paraId="3C9D1A58"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72086F97"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Πολύμορφο ερύθημα</w:t>
            </w:r>
            <w:r>
              <w:rPr>
                <w:rFonts w:eastAsia="MS Mincho"/>
                <w:sz w:val="22"/>
                <w:szCs w:val="22"/>
                <w:vertAlign w:val="superscript"/>
                <w:lang w:val="el-GR"/>
              </w:rPr>
              <w:t>1)</w:t>
            </w:r>
            <w:r>
              <w:rPr>
                <w:rFonts w:eastAsia="MS Mincho"/>
                <w:sz w:val="22"/>
                <w:szCs w:val="22"/>
                <w:lang w:val="el-GR"/>
              </w:rPr>
              <w:t>,</w:t>
            </w:r>
          </w:p>
          <w:p w14:paraId="48ADFAF3" w14:textId="77777777" w:rsidR="00171824" w:rsidRDefault="006D258C">
            <w:pPr>
              <w:widowControl/>
              <w:kinsoku w:val="0"/>
              <w:overflowPunct w:val="0"/>
              <w:rPr>
                <w:rFonts w:eastAsia="MS Mincho"/>
                <w:sz w:val="22"/>
                <w:szCs w:val="22"/>
                <w:lang w:val="el-GR"/>
              </w:rPr>
            </w:pPr>
            <w:r>
              <w:rPr>
                <w:rFonts w:eastAsia="MS Mincho"/>
                <w:sz w:val="22"/>
                <w:szCs w:val="22"/>
                <w:lang w:val="el-GR"/>
              </w:rPr>
              <w:t>Σύνδρομο Stevens-Johnson</w:t>
            </w:r>
            <w:r>
              <w:rPr>
                <w:rFonts w:eastAsia="MS Mincho"/>
                <w:sz w:val="22"/>
                <w:szCs w:val="22"/>
                <w:vertAlign w:val="superscript"/>
                <w:lang w:val="el-GR"/>
              </w:rPr>
              <w:t>1)</w:t>
            </w:r>
            <w:r>
              <w:rPr>
                <w:rFonts w:eastAsia="MS Mincho"/>
                <w:sz w:val="22"/>
                <w:szCs w:val="22"/>
                <w:lang w:val="el-GR"/>
              </w:rPr>
              <w:t>,</w:t>
            </w:r>
          </w:p>
          <w:p w14:paraId="5581294C" w14:textId="77777777" w:rsidR="00171824" w:rsidRDefault="006D258C">
            <w:pPr>
              <w:widowControl/>
              <w:kinsoku w:val="0"/>
              <w:overflowPunct w:val="0"/>
              <w:rPr>
                <w:rFonts w:eastAsia="MS Mincho"/>
                <w:sz w:val="22"/>
                <w:szCs w:val="22"/>
                <w:lang w:val="el-GR"/>
              </w:rPr>
            </w:pPr>
            <w:r>
              <w:rPr>
                <w:rFonts w:eastAsia="MS Mincho"/>
                <w:sz w:val="22"/>
                <w:szCs w:val="22"/>
                <w:lang w:val="el-GR"/>
              </w:rPr>
              <w:t>Αγγειοοίδημα</w:t>
            </w:r>
            <w:r>
              <w:rPr>
                <w:rFonts w:eastAsia="MS Mincho"/>
                <w:sz w:val="22"/>
                <w:szCs w:val="22"/>
                <w:vertAlign w:val="superscript"/>
                <w:lang w:val="el-GR"/>
              </w:rPr>
              <w:t>1)</w:t>
            </w:r>
            <w:r>
              <w:rPr>
                <w:rFonts w:eastAsia="MS Mincho"/>
                <w:sz w:val="22"/>
                <w:szCs w:val="22"/>
                <w:lang w:val="el-GR"/>
              </w:rPr>
              <w:t>,</w:t>
            </w:r>
          </w:p>
          <w:p w14:paraId="571A2D76" w14:textId="77777777" w:rsidR="00171824" w:rsidRDefault="006D258C">
            <w:pPr>
              <w:widowControl/>
              <w:kinsoku w:val="0"/>
              <w:overflowPunct w:val="0"/>
              <w:rPr>
                <w:rFonts w:eastAsia="MS Mincho"/>
                <w:sz w:val="22"/>
                <w:szCs w:val="22"/>
                <w:vertAlign w:val="superscript"/>
                <w:lang w:val="el-GR"/>
              </w:rPr>
            </w:pPr>
            <w:r>
              <w:rPr>
                <w:rFonts w:eastAsia="MS Mincho"/>
                <w:sz w:val="22"/>
                <w:szCs w:val="22"/>
                <w:lang w:val="el-GR"/>
              </w:rPr>
              <w:t>Δερματική αγγειίτιδα</w:t>
            </w:r>
            <w:r>
              <w:rPr>
                <w:rFonts w:eastAsia="MS Mincho"/>
                <w:sz w:val="22"/>
                <w:szCs w:val="22"/>
                <w:vertAlign w:val="superscript"/>
                <w:lang w:val="el-GR"/>
              </w:rPr>
              <w:t>1)</w:t>
            </w:r>
            <w:r>
              <w:rPr>
                <w:rFonts w:eastAsia="MS Mincho"/>
                <w:sz w:val="22"/>
                <w:szCs w:val="22"/>
                <w:lang w:val="el-GR"/>
              </w:rPr>
              <w:t>,</w:t>
            </w:r>
          </w:p>
          <w:p w14:paraId="224EF471" w14:textId="77777777" w:rsidR="00171824" w:rsidRDefault="006D258C">
            <w:pPr>
              <w:widowControl/>
              <w:kinsoku w:val="0"/>
              <w:overflowPunct w:val="0"/>
              <w:rPr>
                <w:sz w:val="22"/>
                <w:szCs w:val="22"/>
                <w:vertAlign w:val="superscript"/>
                <w:lang w:val="el-GR"/>
              </w:rPr>
            </w:pPr>
            <w:r>
              <w:rPr>
                <w:rFonts w:eastAsia="MS Mincho"/>
                <w:sz w:val="22"/>
                <w:szCs w:val="22"/>
                <w:lang w:val="el-GR"/>
              </w:rPr>
              <w:t>Λειχηνοειδής αντίδραση δέρματος</w:t>
            </w:r>
            <w:r>
              <w:rPr>
                <w:sz w:val="22"/>
                <w:szCs w:val="22"/>
                <w:vertAlign w:val="superscript"/>
                <w:lang w:val="el-GR"/>
              </w:rPr>
              <w:t>1)</w:t>
            </w:r>
          </w:p>
        </w:tc>
      </w:tr>
      <w:tr w:rsidR="00171824" w14:paraId="20072C2F" w14:textId="77777777">
        <w:trPr>
          <w:cantSplit/>
          <w:trHeight w:val="194"/>
        </w:trPr>
        <w:tc>
          <w:tcPr>
            <w:tcW w:w="2552" w:type="dxa"/>
            <w:vMerge/>
          </w:tcPr>
          <w:p w14:paraId="2234CDA8" w14:textId="77777777" w:rsidR="00171824" w:rsidRDefault="00171824">
            <w:pPr>
              <w:widowControl/>
              <w:kinsoku w:val="0"/>
              <w:overflowPunct w:val="0"/>
              <w:rPr>
                <w:rFonts w:eastAsia="MS Mincho"/>
                <w:sz w:val="22"/>
                <w:szCs w:val="22"/>
                <w:lang w:val="el-GR"/>
              </w:rPr>
            </w:pPr>
          </w:p>
        </w:tc>
        <w:tc>
          <w:tcPr>
            <w:tcW w:w="1588" w:type="dxa"/>
          </w:tcPr>
          <w:p w14:paraId="5EC25ED3" w14:textId="77777777" w:rsidR="00171824" w:rsidRDefault="006D258C">
            <w:pPr>
              <w:widowControl/>
              <w:kinsoku w:val="0"/>
              <w:overflowPunct w:val="0"/>
              <w:rPr>
                <w:rFonts w:eastAsia="MS Mincho"/>
                <w:sz w:val="22"/>
                <w:szCs w:val="22"/>
                <w:lang w:val="el-GR"/>
              </w:rPr>
            </w:pPr>
            <w:r>
              <w:rPr>
                <w:rFonts w:eastAsia="MS Mincho"/>
                <w:sz w:val="22"/>
                <w:szCs w:val="22"/>
                <w:lang w:val="el-GR"/>
              </w:rPr>
              <w:t>Μη γνωστές</w:t>
            </w:r>
          </w:p>
        </w:tc>
        <w:tc>
          <w:tcPr>
            <w:tcW w:w="4791" w:type="dxa"/>
          </w:tcPr>
          <w:p w14:paraId="61BCB8B7" w14:textId="77777777" w:rsidR="00171824" w:rsidRDefault="006D258C">
            <w:pPr>
              <w:widowControl/>
              <w:kinsoku w:val="0"/>
              <w:overflowPunct w:val="0"/>
              <w:rPr>
                <w:rFonts w:eastAsia="MS Mincho"/>
                <w:sz w:val="22"/>
                <w:szCs w:val="22"/>
                <w:vertAlign w:val="superscript"/>
                <w:lang w:val="el-GR"/>
              </w:rPr>
            </w:pPr>
            <w:r>
              <w:rPr>
                <w:rFonts w:eastAsia="MS Mincho"/>
                <w:sz w:val="22"/>
                <w:szCs w:val="22"/>
                <w:lang w:val="el-GR"/>
              </w:rPr>
              <w:t>Επιδείνωση των συμπτωμάτων δερματομυοσίτιδας</w:t>
            </w:r>
            <w:r>
              <w:rPr>
                <w:rFonts w:eastAsia="MS Mincho"/>
                <w:sz w:val="22"/>
                <w:szCs w:val="22"/>
                <w:vertAlign w:val="superscript"/>
                <w:lang w:val="el-GR"/>
              </w:rPr>
              <w:t>1)</w:t>
            </w:r>
          </w:p>
        </w:tc>
      </w:tr>
      <w:tr w:rsidR="00171824" w14:paraId="10D2B0E9" w14:textId="77777777">
        <w:trPr>
          <w:cantSplit/>
          <w:trHeight w:val="64"/>
        </w:trPr>
        <w:tc>
          <w:tcPr>
            <w:tcW w:w="2552" w:type="dxa"/>
            <w:vMerge w:val="restart"/>
          </w:tcPr>
          <w:p w14:paraId="4E36C989" w14:textId="77777777" w:rsidR="00171824" w:rsidRDefault="006D258C" w:rsidP="00422380">
            <w:pPr>
              <w:keepNext/>
              <w:widowControl/>
              <w:kinsoku w:val="0"/>
              <w:overflowPunct w:val="0"/>
              <w:rPr>
                <w:rFonts w:eastAsia="MS Mincho"/>
                <w:sz w:val="22"/>
                <w:szCs w:val="22"/>
                <w:lang w:val="el-GR"/>
              </w:rPr>
            </w:pPr>
            <w:r>
              <w:rPr>
                <w:rFonts w:eastAsia="MS Mincho"/>
                <w:sz w:val="22"/>
                <w:szCs w:val="22"/>
                <w:lang w:val="el-GR"/>
              </w:rPr>
              <w:lastRenderedPageBreak/>
              <w:t>Διαταραχές του μυοσκελετικού συστήματος και του συνδετικού ιστού</w:t>
            </w:r>
          </w:p>
        </w:tc>
        <w:tc>
          <w:tcPr>
            <w:tcW w:w="1588" w:type="dxa"/>
          </w:tcPr>
          <w:p w14:paraId="26DE6B08" w14:textId="77777777" w:rsidR="00171824" w:rsidRDefault="006D258C" w:rsidP="00422380">
            <w:pPr>
              <w:keepNext/>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3DBCD8B7" w14:textId="77777777" w:rsidR="00171824" w:rsidRDefault="006D258C">
            <w:pPr>
              <w:widowControl/>
              <w:kinsoku w:val="0"/>
              <w:overflowPunct w:val="0"/>
              <w:rPr>
                <w:rFonts w:eastAsia="MS Mincho"/>
                <w:sz w:val="22"/>
                <w:szCs w:val="22"/>
                <w:lang w:val="el-GR"/>
              </w:rPr>
            </w:pPr>
            <w:r>
              <w:rPr>
                <w:rFonts w:eastAsia="MS Mincho"/>
                <w:sz w:val="22"/>
                <w:szCs w:val="22"/>
                <w:lang w:val="el-GR"/>
              </w:rPr>
              <w:t>Μυοσκελετικός πόνος</w:t>
            </w:r>
          </w:p>
        </w:tc>
      </w:tr>
      <w:tr w:rsidR="00171824" w:rsidRPr="00422380" w14:paraId="27C3D656" w14:textId="77777777">
        <w:trPr>
          <w:cantSplit/>
          <w:trHeight w:val="355"/>
        </w:trPr>
        <w:tc>
          <w:tcPr>
            <w:tcW w:w="2552" w:type="dxa"/>
            <w:vMerge/>
          </w:tcPr>
          <w:p w14:paraId="7DD9989B" w14:textId="77777777" w:rsidR="00171824" w:rsidRDefault="00171824" w:rsidP="00422380">
            <w:pPr>
              <w:keepNext/>
              <w:widowControl/>
              <w:kinsoku w:val="0"/>
              <w:overflowPunct w:val="0"/>
              <w:rPr>
                <w:rFonts w:eastAsia="MS Mincho"/>
                <w:sz w:val="22"/>
                <w:szCs w:val="22"/>
                <w:lang w:val="el-GR"/>
              </w:rPr>
            </w:pPr>
          </w:p>
        </w:tc>
        <w:tc>
          <w:tcPr>
            <w:tcW w:w="1588" w:type="dxa"/>
          </w:tcPr>
          <w:p w14:paraId="1FC07AD5" w14:textId="77777777" w:rsidR="00171824" w:rsidRDefault="006D258C" w:rsidP="00422380">
            <w:pPr>
              <w:keepNext/>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3634EF0F" w14:textId="77777777" w:rsidR="00171824" w:rsidRDefault="006D258C">
            <w:pPr>
              <w:widowControl/>
              <w:kinsoku w:val="0"/>
              <w:overflowPunct w:val="0"/>
              <w:rPr>
                <w:rFonts w:eastAsia="MS Mincho"/>
                <w:sz w:val="22"/>
                <w:szCs w:val="22"/>
                <w:lang w:val="el-GR"/>
              </w:rPr>
            </w:pPr>
            <w:r>
              <w:rPr>
                <w:rFonts w:eastAsia="MS Mincho"/>
                <w:sz w:val="22"/>
                <w:szCs w:val="22"/>
                <w:lang w:val="el-GR"/>
              </w:rPr>
              <w:t>Μυϊκοί σπασμοί (συμπεριλαμβάνεται κρεατινοφωσφωκινάση αίματος αυξημένη)</w:t>
            </w:r>
          </w:p>
        </w:tc>
      </w:tr>
      <w:tr w:rsidR="00171824" w14:paraId="168579EE" w14:textId="77777777">
        <w:trPr>
          <w:cantSplit/>
          <w:trHeight w:val="64"/>
        </w:trPr>
        <w:tc>
          <w:tcPr>
            <w:tcW w:w="2552" w:type="dxa"/>
            <w:vMerge/>
          </w:tcPr>
          <w:p w14:paraId="1F026A73" w14:textId="77777777" w:rsidR="00171824" w:rsidRDefault="00171824" w:rsidP="00422380">
            <w:pPr>
              <w:keepNext/>
              <w:widowControl/>
              <w:kinsoku w:val="0"/>
              <w:overflowPunct w:val="0"/>
              <w:rPr>
                <w:rFonts w:eastAsia="MS Mincho"/>
                <w:sz w:val="22"/>
                <w:szCs w:val="22"/>
                <w:lang w:val="el-GR"/>
              </w:rPr>
            </w:pPr>
          </w:p>
        </w:tc>
        <w:tc>
          <w:tcPr>
            <w:tcW w:w="1588" w:type="dxa"/>
          </w:tcPr>
          <w:p w14:paraId="3ABA8303" w14:textId="77777777" w:rsidR="00171824" w:rsidRDefault="006D258C" w:rsidP="00422380">
            <w:pPr>
              <w:keepNext/>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2040DDA3" w14:textId="77777777" w:rsidR="00171824" w:rsidRDefault="006D258C">
            <w:pPr>
              <w:widowControl/>
              <w:kinsoku w:val="0"/>
              <w:overflowPunct w:val="0"/>
              <w:rPr>
                <w:rFonts w:eastAsia="MS Mincho"/>
                <w:sz w:val="22"/>
                <w:szCs w:val="22"/>
                <w:lang w:val="el-GR"/>
              </w:rPr>
            </w:pPr>
            <w:r>
              <w:rPr>
                <w:rFonts w:eastAsia="MS Mincho"/>
                <w:sz w:val="22"/>
                <w:szCs w:val="22"/>
                <w:lang w:val="el-GR"/>
              </w:rPr>
              <w:t>Ραβδομυόλυση,</w:t>
            </w:r>
          </w:p>
          <w:p w14:paraId="73837DFE" w14:textId="77777777" w:rsidR="00171824" w:rsidRDefault="006D258C">
            <w:pPr>
              <w:widowControl/>
              <w:kinsoku w:val="0"/>
              <w:overflowPunct w:val="0"/>
              <w:rPr>
                <w:rFonts w:eastAsia="MS Mincho"/>
                <w:sz w:val="22"/>
                <w:szCs w:val="22"/>
                <w:lang w:val="el-GR"/>
              </w:rPr>
            </w:pPr>
            <w:r>
              <w:rPr>
                <w:rFonts w:eastAsia="MS Mincho"/>
                <w:sz w:val="22"/>
                <w:szCs w:val="22"/>
                <w:lang w:val="el-GR"/>
              </w:rPr>
              <w:t>Συστηματικός ερυθηματώδης λύκος</w:t>
            </w:r>
          </w:p>
        </w:tc>
      </w:tr>
      <w:tr w:rsidR="00171824" w14:paraId="3E7DEDB7" w14:textId="77777777">
        <w:trPr>
          <w:cantSplit/>
          <w:trHeight w:val="103"/>
        </w:trPr>
        <w:tc>
          <w:tcPr>
            <w:tcW w:w="2552" w:type="dxa"/>
            <w:vMerge/>
          </w:tcPr>
          <w:p w14:paraId="19A34E4B" w14:textId="77777777" w:rsidR="00171824" w:rsidRDefault="00171824">
            <w:pPr>
              <w:widowControl/>
              <w:kinsoku w:val="0"/>
              <w:overflowPunct w:val="0"/>
              <w:rPr>
                <w:rFonts w:eastAsia="MS Mincho"/>
                <w:sz w:val="22"/>
                <w:szCs w:val="22"/>
                <w:lang w:val="el-GR"/>
              </w:rPr>
            </w:pPr>
          </w:p>
        </w:tc>
        <w:tc>
          <w:tcPr>
            <w:tcW w:w="1588" w:type="dxa"/>
          </w:tcPr>
          <w:p w14:paraId="28FF5AE1" w14:textId="77777777" w:rsidR="00171824" w:rsidRDefault="006D258C">
            <w:pPr>
              <w:widowControl/>
              <w:kinsoku w:val="0"/>
              <w:overflowPunct w:val="0"/>
              <w:rPr>
                <w:rFonts w:eastAsia="MS Mincho"/>
                <w:sz w:val="22"/>
                <w:szCs w:val="22"/>
                <w:lang w:val="el-GR"/>
              </w:rPr>
            </w:pPr>
            <w:r>
              <w:rPr>
                <w:rFonts w:eastAsia="MS Mincho"/>
                <w:sz w:val="22"/>
                <w:szCs w:val="22"/>
                <w:lang w:val="el-GR"/>
              </w:rPr>
              <w:t>Σπάνιες</w:t>
            </w:r>
          </w:p>
        </w:tc>
        <w:tc>
          <w:tcPr>
            <w:tcW w:w="4791" w:type="dxa"/>
          </w:tcPr>
          <w:p w14:paraId="674E3617" w14:textId="77777777" w:rsidR="00171824" w:rsidRDefault="006D258C">
            <w:pPr>
              <w:widowControl/>
              <w:kinsoku w:val="0"/>
              <w:overflowPunct w:val="0"/>
              <w:rPr>
                <w:rFonts w:eastAsia="MS Mincho"/>
                <w:sz w:val="22"/>
                <w:szCs w:val="22"/>
                <w:lang w:val="el-GR"/>
              </w:rPr>
            </w:pPr>
            <w:r>
              <w:rPr>
                <w:rFonts w:eastAsia="MS Mincho"/>
                <w:sz w:val="22"/>
                <w:szCs w:val="22"/>
                <w:lang w:val="el-GR"/>
              </w:rPr>
              <w:t>Σύνδρομο προσομοιάζον με λύκο</w:t>
            </w:r>
            <w:r>
              <w:rPr>
                <w:rFonts w:eastAsia="MS Mincho"/>
                <w:sz w:val="22"/>
                <w:szCs w:val="22"/>
                <w:vertAlign w:val="superscript"/>
                <w:lang w:val="el-GR"/>
              </w:rPr>
              <w:t>1)</w:t>
            </w:r>
          </w:p>
        </w:tc>
      </w:tr>
      <w:tr w:rsidR="00171824" w14:paraId="5CB7EE5C" w14:textId="77777777">
        <w:trPr>
          <w:cantSplit/>
          <w:trHeight w:val="120"/>
        </w:trPr>
        <w:tc>
          <w:tcPr>
            <w:tcW w:w="2552" w:type="dxa"/>
            <w:vMerge w:val="restart"/>
          </w:tcPr>
          <w:p w14:paraId="00156BC3" w14:textId="77777777" w:rsidR="00171824" w:rsidRDefault="006D258C">
            <w:pPr>
              <w:widowControl/>
              <w:kinsoku w:val="0"/>
              <w:overflowPunct w:val="0"/>
              <w:rPr>
                <w:rFonts w:eastAsia="MS Mincho"/>
                <w:sz w:val="22"/>
                <w:szCs w:val="22"/>
                <w:lang w:val="el-GR"/>
              </w:rPr>
            </w:pPr>
            <w:r>
              <w:rPr>
                <w:rFonts w:eastAsia="MS Mincho"/>
                <w:sz w:val="22"/>
                <w:szCs w:val="22"/>
                <w:lang w:val="el-GR"/>
              </w:rPr>
              <w:t>Διαταραχές των νεφρών και των ουροφόρων οδών</w:t>
            </w:r>
          </w:p>
        </w:tc>
        <w:tc>
          <w:tcPr>
            <w:tcW w:w="1588" w:type="dxa"/>
          </w:tcPr>
          <w:p w14:paraId="50D3C8FE"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67D2981B" w14:textId="77777777" w:rsidR="00171824" w:rsidRDefault="006D258C">
            <w:pPr>
              <w:widowControl/>
              <w:kinsoku w:val="0"/>
              <w:overflowPunct w:val="0"/>
              <w:rPr>
                <w:rFonts w:eastAsia="MS Mincho"/>
                <w:sz w:val="22"/>
                <w:szCs w:val="22"/>
                <w:lang w:val="el-GR"/>
              </w:rPr>
            </w:pPr>
            <w:r>
              <w:rPr>
                <w:rFonts w:eastAsia="MS Mincho"/>
                <w:sz w:val="22"/>
                <w:szCs w:val="22"/>
                <w:lang w:val="el-GR"/>
              </w:rPr>
              <w:t>Νεφρική Δυσλειτουργία,</w:t>
            </w:r>
          </w:p>
          <w:p w14:paraId="15223780" w14:textId="77777777" w:rsidR="00171824" w:rsidRDefault="006D258C">
            <w:pPr>
              <w:widowControl/>
              <w:kinsoku w:val="0"/>
              <w:overflowPunct w:val="0"/>
              <w:rPr>
                <w:rFonts w:eastAsia="MS Mincho"/>
                <w:sz w:val="22"/>
                <w:szCs w:val="22"/>
                <w:lang w:val="el-GR"/>
              </w:rPr>
            </w:pPr>
            <w:r>
              <w:rPr>
                <w:rFonts w:eastAsia="MS Mincho"/>
                <w:sz w:val="22"/>
                <w:szCs w:val="22"/>
                <w:lang w:val="el-GR"/>
              </w:rPr>
              <w:t>Αιματουρία</w:t>
            </w:r>
          </w:p>
        </w:tc>
      </w:tr>
      <w:tr w:rsidR="00171824" w14:paraId="5A5B7A68" w14:textId="77777777">
        <w:trPr>
          <w:cantSplit/>
          <w:trHeight w:val="64"/>
        </w:trPr>
        <w:tc>
          <w:tcPr>
            <w:tcW w:w="2552" w:type="dxa"/>
            <w:vMerge/>
          </w:tcPr>
          <w:p w14:paraId="1740167E" w14:textId="77777777" w:rsidR="00171824" w:rsidRDefault="00171824">
            <w:pPr>
              <w:widowControl/>
              <w:kinsoku w:val="0"/>
              <w:overflowPunct w:val="0"/>
              <w:rPr>
                <w:rFonts w:eastAsia="MS Mincho"/>
                <w:sz w:val="22"/>
                <w:szCs w:val="22"/>
                <w:lang w:val="el-GR"/>
              </w:rPr>
            </w:pPr>
          </w:p>
        </w:tc>
        <w:tc>
          <w:tcPr>
            <w:tcW w:w="1588" w:type="dxa"/>
          </w:tcPr>
          <w:p w14:paraId="10AB95CD"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219E8B87" w14:textId="77777777" w:rsidR="00171824" w:rsidRDefault="006D258C">
            <w:pPr>
              <w:widowControl/>
              <w:kinsoku w:val="0"/>
              <w:overflowPunct w:val="0"/>
              <w:rPr>
                <w:rFonts w:eastAsia="MS Mincho"/>
                <w:sz w:val="22"/>
                <w:szCs w:val="22"/>
                <w:lang w:val="el-GR"/>
              </w:rPr>
            </w:pPr>
            <w:r>
              <w:rPr>
                <w:rFonts w:eastAsia="MS Mincho"/>
                <w:sz w:val="22"/>
                <w:szCs w:val="22"/>
                <w:lang w:val="el-GR"/>
              </w:rPr>
              <w:t>Νυκτουρία</w:t>
            </w:r>
          </w:p>
        </w:tc>
      </w:tr>
      <w:tr w:rsidR="00171824" w14:paraId="0D3A05C1" w14:textId="77777777">
        <w:trPr>
          <w:cantSplit/>
          <w:trHeight w:val="754"/>
        </w:trPr>
        <w:tc>
          <w:tcPr>
            <w:tcW w:w="2552" w:type="dxa"/>
          </w:tcPr>
          <w:p w14:paraId="0273C2C0" w14:textId="77777777" w:rsidR="00171824" w:rsidRDefault="006D258C">
            <w:pPr>
              <w:widowControl/>
              <w:kinsoku w:val="0"/>
              <w:overflowPunct w:val="0"/>
              <w:rPr>
                <w:rFonts w:eastAsia="MS Mincho"/>
                <w:sz w:val="22"/>
                <w:szCs w:val="22"/>
                <w:lang w:val="el-GR"/>
              </w:rPr>
            </w:pPr>
            <w:r>
              <w:rPr>
                <w:rFonts w:eastAsia="MS Mincho"/>
                <w:sz w:val="22"/>
                <w:szCs w:val="22"/>
                <w:lang w:val="el-GR"/>
              </w:rPr>
              <w:t>Διαταραχές του αναπαραγωγικού συστήματος και του μαστού</w:t>
            </w:r>
          </w:p>
        </w:tc>
        <w:tc>
          <w:tcPr>
            <w:tcW w:w="1588" w:type="dxa"/>
          </w:tcPr>
          <w:p w14:paraId="2E02E07F"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3F6B2A14" w14:textId="77777777" w:rsidR="00171824" w:rsidRDefault="006D258C">
            <w:pPr>
              <w:widowControl/>
              <w:kinsoku w:val="0"/>
              <w:overflowPunct w:val="0"/>
              <w:rPr>
                <w:rFonts w:eastAsia="MS Mincho"/>
                <w:sz w:val="22"/>
                <w:szCs w:val="22"/>
                <w:lang w:val="el-GR"/>
              </w:rPr>
            </w:pPr>
            <w:r>
              <w:rPr>
                <w:rFonts w:eastAsia="MS Mincho"/>
                <w:sz w:val="22"/>
                <w:szCs w:val="22"/>
                <w:lang w:val="el-GR"/>
              </w:rPr>
              <w:t>Στυτική δυσλειτουργία</w:t>
            </w:r>
          </w:p>
        </w:tc>
      </w:tr>
      <w:tr w:rsidR="00171824" w:rsidRPr="00422380" w14:paraId="657C8893" w14:textId="77777777">
        <w:trPr>
          <w:cantSplit/>
          <w:trHeight w:val="160"/>
        </w:trPr>
        <w:tc>
          <w:tcPr>
            <w:tcW w:w="2552" w:type="dxa"/>
            <w:vMerge w:val="restart"/>
          </w:tcPr>
          <w:p w14:paraId="05FB7158" w14:textId="1B89C6DF" w:rsidR="00171824" w:rsidRDefault="006D258C">
            <w:pPr>
              <w:widowControl/>
              <w:kinsoku w:val="0"/>
              <w:overflowPunct w:val="0"/>
              <w:rPr>
                <w:rFonts w:eastAsia="MS Mincho"/>
                <w:sz w:val="22"/>
                <w:szCs w:val="22"/>
                <w:lang w:val="el-GR"/>
              </w:rPr>
            </w:pPr>
            <w:r>
              <w:rPr>
                <w:rFonts w:eastAsia="MS Mincho"/>
                <w:sz w:val="22"/>
                <w:szCs w:val="22"/>
                <w:lang w:val="el-GR"/>
              </w:rPr>
              <w:t xml:space="preserve">Γενικές διαταραχές και καταστάσεις </w:t>
            </w:r>
            <w:ins w:id="95" w:author="Author">
              <w:r w:rsidR="00CB4799">
                <w:rPr>
                  <w:rFonts w:eastAsia="MS Mincho"/>
                  <w:sz w:val="22"/>
                  <w:szCs w:val="22"/>
                  <w:lang w:val="el-GR"/>
                </w:rPr>
                <w:t>σ</w:t>
              </w:r>
            </w:ins>
            <w:r>
              <w:rPr>
                <w:rFonts w:eastAsia="MS Mincho"/>
                <w:sz w:val="22"/>
                <w:szCs w:val="22"/>
                <w:lang w:val="el-GR"/>
              </w:rPr>
              <w:t>τη</w:t>
            </w:r>
            <w:del w:id="96" w:author="Author">
              <w:r w:rsidDel="00CB4799">
                <w:rPr>
                  <w:rFonts w:eastAsia="MS Mincho"/>
                  <w:sz w:val="22"/>
                  <w:szCs w:val="22"/>
                  <w:lang w:val="el-GR"/>
                </w:rPr>
                <w:delText>ς</w:delText>
              </w:r>
            </w:del>
            <w:r>
              <w:rPr>
                <w:rFonts w:eastAsia="MS Mincho"/>
                <w:sz w:val="22"/>
                <w:szCs w:val="22"/>
                <w:lang w:val="el-GR"/>
              </w:rPr>
              <w:t xml:space="preserve"> </w:t>
            </w:r>
            <w:del w:id="97" w:author="Author">
              <w:r w:rsidDel="00CB4799">
                <w:rPr>
                  <w:rFonts w:eastAsia="MS Mincho"/>
                  <w:sz w:val="22"/>
                  <w:szCs w:val="22"/>
                  <w:lang w:val="el-GR"/>
                </w:rPr>
                <w:delText>οδού</w:delText>
              </w:r>
            </w:del>
            <w:ins w:id="98" w:author="Author">
              <w:r w:rsidR="00CB4799">
                <w:rPr>
                  <w:rFonts w:eastAsia="MS Mincho"/>
                  <w:sz w:val="22"/>
                  <w:szCs w:val="22"/>
                  <w:lang w:val="el-GR"/>
                </w:rPr>
                <w:t>θέση</w:t>
              </w:r>
            </w:ins>
            <w:r>
              <w:rPr>
                <w:rFonts w:eastAsia="MS Mincho"/>
                <w:sz w:val="22"/>
                <w:szCs w:val="22"/>
                <w:lang w:val="el-GR"/>
              </w:rPr>
              <w:t xml:space="preserve"> χορήγησης*</w:t>
            </w:r>
          </w:p>
        </w:tc>
        <w:tc>
          <w:tcPr>
            <w:tcW w:w="1588" w:type="dxa"/>
          </w:tcPr>
          <w:p w14:paraId="1A37E13D" w14:textId="77777777" w:rsidR="00171824" w:rsidRDefault="006D258C">
            <w:pPr>
              <w:widowControl/>
              <w:kinsoku w:val="0"/>
              <w:overflowPunct w:val="0"/>
              <w:rPr>
                <w:rFonts w:eastAsia="MS Mincho"/>
                <w:sz w:val="22"/>
                <w:szCs w:val="22"/>
                <w:lang w:val="el-GR"/>
              </w:rPr>
            </w:pPr>
            <w:r>
              <w:rPr>
                <w:rFonts w:eastAsia="MS Mincho"/>
                <w:sz w:val="22"/>
                <w:szCs w:val="22"/>
                <w:lang w:val="el-GR"/>
              </w:rPr>
              <w:t>Πολύ συχνές</w:t>
            </w:r>
          </w:p>
        </w:tc>
        <w:tc>
          <w:tcPr>
            <w:tcW w:w="4791" w:type="dxa"/>
          </w:tcPr>
          <w:p w14:paraId="6CC89156" w14:textId="77777777" w:rsidR="00171824" w:rsidRDefault="006D258C">
            <w:pPr>
              <w:widowControl/>
              <w:kinsoku w:val="0"/>
              <w:overflowPunct w:val="0"/>
              <w:rPr>
                <w:rFonts w:eastAsia="MS Mincho"/>
                <w:sz w:val="22"/>
                <w:szCs w:val="22"/>
                <w:lang w:val="el-GR"/>
              </w:rPr>
            </w:pPr>
            <w:r>
              <w:rPr>
                <w:rFonts w:eastAsia="MS Mincho"/>
                <w:sz w:val="22"/>
                <w:szCs w:val="22"/>
                <w:lang w:val="el-GR"/>
              </w:rPr>
              <w:t>Αντίδραση της θέσης ένεσης (συμπεριλαμβάνεται ερύθημα της θέσης ένεσης)</w:t>
            </w:r>
          </w:p>
        </w:tc>
      </w:tr>
      <w:tr w:rsidR="00171824" w14:paraId="49761961" w14:textId="77777777">
        <w:trPr>
          <w:cantSplit/>
          <w:trHeight w:val="351"/>
        </w:trPr>
        <w:tc>
          <w:tcPr>
            <w:tcW w:w="2552" w:type="dxa"/>
            <w:vMerge/>
          </w:tcPr>
          <w:p w14:paraId="759064D0" w14:textId="77777777" w:rsidR="00171824" w:rsidRDefault="00171824">
            <w:pPr>
              <w:widowControl/>
              <w:kinsoku w:val="0"/>
              <w:overflowPunct w:val="0"/>
              <w:rPr>
                <w:rFonts w:eastAsia="MS Mincho"/>
                <w:sz w:val="22"/>
                <w:szCs w:val="22"/>
                <w:lang w:val="el-GR"/>
              </w:rPr>
            </w:pPr>
          </w:p>
        </w:tc>
        <w:tc>
          <w:tcPr>
            <w:tcW w:w="1588" w:type="dxa"/>
          </w:tcPr>
          <w:p w14:paraId="3F78719B"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0AAB0C79" w14:textId="77777777" w:rsidR="00171824" w:rsidRDefault="006D258C">
            <w:pPr>
              <w:widowControl/>
              <w:kinsoku w:val="0"/>
              <w:overflowPunct w:val="0"/>
              <w:rPr>
                <w:rFonts w:eastAsia="MS Mincho"/>
                <w:sz w:val="22"/>
                <w:szCs w:val="22"/>
                <w:lang w:val="el-GR"/>
              </w:rPr>
            </w:pPr>
            <w:r>
              <w:rPr>
                <w:rFonts w:eastAsia="MS Mincho"/>
                <w:sz w:val="22"/>
                <w:szCs w:val="22"/>
                <w:lang w:val="el-GR"/>
              </w:rPr>
              <w:t>Θωρακικό άλγος,</w:t>
            </w:r>
          </w:p>
          <w:p w14:paraId="5F0A242B" w14:textId="77777777" w:rsidR="00171824" w:rsidRDefault="006D258C">
            <w:pPr>
              <w:widowControl/>
              <w:kinsoku w:val="0"/>
              <w:overflowPunct w:val="0"/>
              <w:rPr>
                <w:rFonts w:eastAsia="MS Mincho"/>
                <w:sz w:val="22"/>
                <w:szCs w:val="22"/>
                <w:lang w:val="el-GR"/>
              </w:rPr>
            </w:pPr>
            <w:r>
              <w:rPr>
                <w:rFonts w:eastAsia="MS Mincho"/>
                <w:sz w:val="22"/>
                <w:szCs w:val="22"/>
                <w:lang w:val="el-GR"/>
              </w:rPr>
              <w:t>Οίδημα,</w:t>
            </w:r>
          </w:p>
          <w:p w14:paraId="231A77E4" w14:textId="77777777" w:rsidR="00171824" w:rsidRDefault="006D258C">
            <w:pPr>
              <w:widowControl/>
              <w:kinsoku w:val="0"/>
              <w:overflowPunct w:val="0"/>
              <w:rPr>
                <w:rFonts w:eastAsia="MS Mincho"/>
                <w:sz w:val="22"/>
                <w:szCs w:val="22"/>
                <w:lang w:val="el-GR"/>
              </w:rPr>
            </w:pPr>
            <w:r>
              <w:rPr>
                <w:rFonts w:eastAsia="MS Mincho"/>
                <w:sz w:val="22"/>
                <w:szCs w:val="22"/>
                <w:lang w:val="el-GR"/>
              </w:rPr>
              <w:t>Πυρεξία</w:t>
            </w:r>
            <w:r>
              <w:rPr>
                <w:rFonts w:eastAsia="MS Mincho"/>
                <w:sz w:val="22"/>
                <w:szCs w:val="22"/>
                <w:vertAlign w:val="superscript"/>
                <w:lang w:val="el-GR"/>
              </w:rPr>
              <w:t>1)</w:t>
            </w:r>
          </w:p>
        </w:tc>
      </w:tr>
      <w:tr w:rsidR="00171824" w14:paraId="454E30BF" w14:textId="77777777">
        <w:trPr>
          <w:cantSplit/>
          <w:trHeight w:val="64"/>
        </w:trPr>
        <w:tc>
          <w:tcPr>
            <w:tcW w:w="2552" w:type="dxa"/>
            <w:vMerge/>
          </w:tcPr>
          <w:p w14:paraId="52B876E1" w14:textId="77777777" w:rsidR="00171824" w:rsidRDefault="00171824">
            <w:pPr>
              <w:widowControl/>
              <w:kinsoku w:val="0"/>
              <w:overflowPunct w:val="0"/>
              <w:rPr>
                <w:rFonts w:eastAsia="MS Mincho"/>
                <w:sz w:val="22"/>
                <w:szCs w:val="22"/>
                <w:lang w:val="el-GR"/>
              </w:rPr>
            </w:pPr>
          </w:p>
        </w:tc>
        <w:tc>
          <w:tcPr>
            <w:tcW w:w="1588" w:type="dxa"/>
          </w:tcPr>
          <w:p w14:paraId="09B56B03" w14:textId="77777777" w:rsidR="00171824" w:rsidRDefault="006D258C">
            <w:pPr>
              <w:widowControl/>
              <w:kinsoku w:val="0"/>
              <w:overflowPunct w:val="0"/>
              <w:rPr>
                <w:rFonts w:eastAsia="MS Mincho"/>
                <w:sz w:val="22"/>
                <w:szCs w:val="22"/>
                <w:lang w:val="el-GR"/>
              </w:rPr>
            </w:pPr>
            <w:r>
              <w:rPr>
                <w:rFonts w:eastAsia="MS Mincho"/>
                <w:sz w:val="22"/>
                <w:szCs w:val="22"/>
                <w:lang w:val="el-GR"/>
              </w:rPr>
              <w:t>Όχι συχνές</w:t>
            </w:r>
          </w:p>
        </w:tc>
        <w:tc>
          <w:tcPr>
            <w:tcW w:w="4791" w:type="dxa"/>
          </w:tcPr>
          <w:p w14:paraId="0FD6FA54" w14:textId="77777777" w:rsidR="00171824" w:rsidRDefault="006D258C">
            <w:pPr>
              <w:widowControl/>
              <w:kinsoku w:val="0"/>
              <w:overflowPunct w:val="0"/>
              <w:rPr>
                <w:rFonts w:eastAsia="MS Mincho"/>
                <w:sz w:val="22"/>
                <w:szCs w:val="22"/>
                <w:lang w:val="el-GR"/>
              </w:rPr>
            </w:pPr>
            <w:r>
              <w:rPr>
                <w:rFonts w:eastAsia="MS Mincho"/>
                <w:sz w:val="22"/>
                <w:szCs w:val="22"/>
                <w:lang w:val="el-GR"/>
              </w:rPr>
              <w:t>Φλεγμονή</w:t>
            </w:r>
          </w:p>
        </w:tc>
      </w:tr>
      <w:tr w:rsidR="00171824" w14:paraId="079C0ED7" w14:textId="77777777">
        <w:trPr>
          <w:cantSplit/>
          <w:trHeight w:val="1302"/>
        </w:trPr>
        <w:tc>
          <w:tcPr>
            <w:tcW w:w="2552" w:type="dxa"/>
            <w:vMerge w:val="restart"/>
          </w:tcPr>
          <w:p w14:paraId="63B0ED1F" w14:textId="3C32B5D2" w:rsidR="00171824" w:rsidRDefault="00CB4799">
            <w:pPr>
              <w:keepNext/>
              <w:widowControl/>
              <w:kinsoku w:val="0"/>
              <w:overflowPunct w:val="0"/>
              <w:rPr>
                <w:rFonts w:eastAsia="MS Mincho"/>
                <w:sz w:val="22"/>
                <w:szCs w:val="22"/>
                <w:lang w:val="el-GR"/>
              </w:rPr>
            </w:pPr>
            <w:ins w:id="99" w:author="Author">
              <w:r>
                <w:rPr>
                  <w:rFonts w:eastAsia="MS Mincho"/>
                  <w:sz w:val="22"/>
                  <w:szCs w:val="22"/>
                  <w:lang w:val="el-GR"/>
                </w:rPr>
                <w:t>Διερευνήσεις</w:t>
              </w:r>
            </w:ins>
            <w:del w:id="100" w:author="Author">
              <w:r w:rsidR="006D258C" w:rsidDel="00CB4799">
                <w:rPr>
                  <w:rFonts w:eastAsia="MS Mincho"/>
                  <w:sz w:val="22"/>
                  <w:szCs w:val="22"/>
                  <w:lang w:val="el-GR"/>
                </w:rPr>
                <w:delText>Παρακλινικές εξετάσεις</w:delText>
              </w:r>
            </w:del>
            <w:r w:rsidR="006D258C">
              <w:rPr>
                <w:rFonts w:eastAsia="MS Mincho"/>
                <w:sz w:val="22"/>
                <w:szCs w:val="22"/>
                <w:lang w:val="el-GR"/>
              </w:rPr>
              <w:t>*</w:t>
            </w:r>
          </w:p>
        </w:tc>
        <w:tc>
          <w:tcPr>
            <w:tcW w:w="1588" w:type="dxa"/>
          </w:tcPr>
          <w:p w14:paraId="1585A105"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427EFFBA"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Διαταραχές της πηκτικότητας και αιμορραγικές (συμπεριλαμβάνεται χρόνος ενεργοποιημένης μερικής θρομβοπλαστίνης παρατεταμένος),</w:t>
            </w:r>
          </w:p>
          <w:p w14:paraId="1D256447"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Θετικός έλεγχος αυτοαντισωμάτων (συμπεριλαμβάνεται αντίσωμα έναντι της διπλής έλικας του DNA),</w:t>
            </w:r>
          </w:p>
          <w:p w14:paraId="3E84CC3D"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Γαλακτική αφυδρογονάση αίματος αυξημένη</w:t>
            </w:r>
          </w:p>
        </w:tc>
      </w:tr>
      <w:tr w:rsidR="00171824" w14:paraId="099E2EB9" w14:textId="77777777">
        <w:trPr>
          <w:cantSplit/>
          <w:trHeight w:val="94"/>
        </w:trPr>
        <w:tc>
          <w:tcPr>
            <w:tcW w:w="2552" w:type="dxa"/>
            <w:vMerge/>
          </w:tcPr>
          <w:p w14:paraId="08F1F6F2" w14:textId="77777777" w:rsidR="00171824" w:rsidRDefault="00171824">
            <w:pPr>
              <w:keepNext/>
              <w:widowControl/>
              <w:kinsoku w:val="0"/>
              <w:overflowPunct w:val="0"/>
              <w:rPr>
                <w:rFonts w:eastAsia="MS Mincho"/>
                <w:sz w:val="22"/>
                <w:szCs w:val="22"/>
                <w:lang w:val="el-GR"/>
              </w:rPr>
            </w:pPr>
          </w:p>
        </w:tc>
        <w:tc>
          <w:tcPr>
            <w:tcW w:w="1588" w:type="dxa"/>
          </w:tcPr>
          <w:p w14:paraId="459B552A" w14:textId="0E6F1FBF" w:rsidR="00171824" w:rsidRDefault="006D258C">
            <w:pPr>
              <w:keepNext/>
              <w:widowControl/>
              <w:kinsoku w:val="0"/>
              <w:overflowPunct w:val="0"/>
              <w:rPr>
                <w:rFonts w:eastAsia="MS Mincho"/>
                <w:sz w:val="22"/>
                <w:szCs w:val="22"/>
                <w:lang w:val="el-GR"/>
              </w:rPr>
            </w:pPr>
            <w:r>
              <w:rPr>
                <w:rFonts w:eastAsia="MS Mincho"/>
                <w:sz w:val="22"/>
                <w:szCs w:val="22"/>
                <w:lang w:val="el-GR"/>
              </w:rPr>
              <w:t>Μη γνωστ</w:t>
            </w:r>
            <w:ins w:id="101" w:author="Author">
              <w:r w:rsidR="00CB4799">
                <w:rPr>
                  <w:rFonts w:eastAsia="MS Mincho"/>
                  <w:sz w:val="22"/>
                  <w:szCs w:val="22"/>
                  <w:lang w:val="el-GR"/>
                </w:rPr>
                <w:t>ής συχνότητας</w:t>
              </w:r>
            </w:ins>
            <w:del w:id="102" w:author="Author">
              <w:r w:rsidDel="00CB4799">
                <w:rPr>
                  <w:rFonts w:eastAsia="MS Mincho"/>
                  <w:sz w:val="22"/>
                  <w:szCs w:val="22"/>
                  <w:lang w:val="el-GR"/>
                </w:rPr>
                <w:delText>ές</w:delText>
              </w:r>
            </w:del>
          </w:p>
        </w:tc>
        <w:tc>
          <w:tcPr>
            <w:tcW w:w="4791" w:type="dxa"/>
          </w:tcPr>
          <w:p w14:paraId="731F0F63" w14:textId="77777777" w:rsidR="00171824" w:rsidRDefault="006D258C">
            <w:pPr>
              <w:keepNext/>
              <w:widowControl/>
              <w:kinsoku w:val="0"/>
              <w:overflowPunct w:val="0"/>
              <w:rPr>
                <w:rFonts w:eastAsia="MS Mincho"/>
                <w:sz w:val="22"/>
                <w:szCs w:val="22"/>
                <w:lang w:val="el-GR"/>
              </w:rPr>
            </w:pPr>
            <w:r>
              <w:rPr>
                <w:rFonts w:eastAsia="MS Mincho"/>
                <w:sz w:val="22"/>
                <w:szCs w:val="22"/>
                <w:lang w:val="el-GR"/>
              </w:rPr>
              <w:t>Αύξηση βάρους</w:t>
            </w:r>
            <w:r>
              <w:rPr>
                <w:rFonts w:eastAsia="MS Mincho"/>
                <w:sz w:val="22"/>
                <w:szCs w:val="22"/>
                <w:vertAlign w:val="superscript"/>
                <w:lang w:val="el-GR"/>
              </w:rPr>
              <w:t>2)</w:t>
            </w:r>
          </w:p>
        </w:tc>
      </w:tr>
      <w:tr w:rsidR="00171824" w14:paraId="4FADFEF4" w14:textId="77777777">
        <w:trPr>
          <w:cantSplit/>
          <w:trHeight w:val="253"/>
        </w:trPr>
        <w:tc>
          <w:tcPr>
            <w:tcW w:w="2552" w:type="dxa"/>
          </w:tcPr>
          <w:p w14:paraId="14731619" w14:textId="77777777" w:rsidR="00171824" w:rsidRDefault="006D258C">
            <w:pPr>
              <w:widowControl/>
              <w:kinsoku w:val="0"/>
              <w:overflowPunct w:val="0"/>
              <w:rPr>
                <w:rFonts w:eastAsia="MS Mincho"/>
                <w:sz w:val="22"/>
                <w:szCs w:val="22"/>
                <w:lang w:val="el-GR"/>
              </w:rPr>
            </w:pPr>
            <w:r>
              <w:rPr>
                <w:rFonts w:eastAsia="MS Mincho"/>
                <w:sz w:val="22"/>
                <w:szCs w:val="22"/>
                <w:lang w:val="el-GR"/>
              </w:rPr>
              <w:t>Κακώσεις, δηλητηριάσεις και επιπλοκές θεραπευτικών χειρισμών</w:t>
            </w:r>
          </w:p>
        </w:tc>
        <w:tc>
          <w:tcPr>
            <w:tcW w:w="1588" w:type="dxa"/>
          </w:tcPr>
          <w:p w14:paraId="1E237AFA" w14:textId="77777777" w:rsidR="00171824" w:rsidRDefault="006D258C">
            <w:pPr>
              <w:widowControl/>
              <w:kinsoku w:val="0"/>
              <w:overflowPunct w:val="0"/>
              <w:rPr>
                <w:rFonts w:eastAsia="MS Mincho"/>
                <w:sz w:val="22"/>
                <w:szCs w:val="22"/>
                <w:lang w:val="el-GR"/>
              </w:rPr>
            </w:pPr>
            <w:r>
              <w:rPr>
                <w:rFonts w:eastAsia="MS Mincho"/>
                <w:sz w:val="22"/>
                <w:szCs w:val="22"/>
                <w:lang w:val="el-GR"/>
              </w:rPr>
              <w:t>Συχνές</w:t>
            </w:r>
          </w:p>
        </w:tc>
        <w:tc>
          <w:tcPr>
            <w:tcW w:w="4791" w:type="dxa"/>
          </w:tcPr>
          <w:p w14:paraId="52317DA5" w14:textId="77777777" w:rsidR="00171824" w:rsidRDefault="006D258C">
            <w:pPr>
              <w:widowControl/>
              <w:kinsoku w:val="0"/>
              <w:overflowPunct w:val="0"/>
              <w:rPr>
                <w:rFonts w:eastAsia="MS Mincho"/>
                <w:sz w:val="22"/>
                <w:szCs w:val="22"/>
                <w:lang w:val="el-GR"/>
              </w:rPr>
            </w:pPr>
            <w:r>
              <w:rPr>
                <w:rFonts w:eastAsia="MS Mincho"/>
                <w:sz w:val="22"/>
                <w:szCs w:val="22"/>
                <w:lang w:val="el-GR"/>
              </w:rPr>
              <w:t>Ανεπαρκής επούλωση</w:t>
            </w:r>
          </w:p>
        </w:tc>
      </w:tr>
    </w:tbl>
    <w:p w14:paraId="611AB293" w14:textId="77777777" w:rsidR="00171824" w:rsidRDefault="006D258C">
      <w:pPr>
        <w:pStyle w:val="BodyText"/>
        <w:widowControl/>
        <w:kinsoku w:val="0"/>
        <w:overflowPunct w:val="0"/>
        <w:ind w:left="0"/>
        <w:rPr>
          <w:sz w:val="20"/>
          <w:szCs w:val="20"/>
          <w:lang w:val="el-GR"/>
        </w:rPr>
      </w:pPr>
      <w:r>
        <w:rPr>
          <w:sz w:val="20"/>
          <w:szCs w:val="20"/>
          <w:lang w:val="el-GR"/>
        </w:rPr>
        <w:t>* περαιτέρω πληροφορίες βρίσκονται σε κάποια άλλα σημεία των παραγράφων 4.3, 4.4 και 4.8.</w:t>
      </w:r>
    </w:p>
    <w:p w14:paraId="5841ACBC" w14:textId="77777777" w:rsidR="00171824" w:rsidRDefault="006D258C">
      <w:pPr>
        <w:pStyle w:val="BodyText"/>
        <w:widowControl/>
        <w:kinsoku w:val="0"/>
        <w:overflowPunct w:val="0"/>
        <w:ind w:left="0"/>
        <w:rPr>
          <w:sz w:val="20"/>
          <w:szCs w:val="20"/>
          <w:lang w:val="el-GR"/>
        </w:rPr>
      </w:pPr>
      <w:r>
        <w:rPr>
          <w:sz w:val="20"/>
          <w:szCs w:val="20"/>
          <w:lang w:val="el-GR"/>
        </w:rPr>
        <w:t>** συμπεριλαμβάνονται μελέτες επέκτασης με ανοικτή χορήγηση.</w:t>
      </w:r>
    </w:p>
    <w:p w14:paraId="6A8C8162" w14:textId="77777777" w:rsidR="00171824" w:rsidRDefault="006D258C">
      <w:pPr>
        <w:pStyle w:val="BodyText"/>
        <w:widowControl/>
        <w:tabs>
          <w:tab w:val="left" w:pos="388"/>
        </w:tabs>
        <w:kinsoku w:val="0"/>
        <w:overflowPunct w:val="0"/>
        <w:ind w:left="0"/>
        <w:rPr>
          <w:sz w:val="20"/>
          <w:szCs w:val="20"/>
          <w:lang w:val="el-GR"/>
        </w:rPr>
      </w:pPr>
      <w:r>
        <w:rPr>
          <w:sz w:val="20"/>
          <w:szCs w:val="20"/>
          <w:vertAlign w:val="superscript"/>
          <w:lang w:val="el-GR"/>
        </w:rPr>
        <w:t>1)</w:t>
      </w:r>
      <w:r>
        <w:rPr>
          <w:sz w:val="20"/>
          <w:szCs w:val="20"/>
          <w:lang w:val="el-GR"/>
        </w:rPr>
        <w:t xml:space="preserve"> Συμπεριλαμβανομένων στοιχείων από αυθόρμητες αναφορές. </w:t>
      </w:r>
    </w:p>
    <w:p w14:paraId="2B4C8BAE" w14:textId="77777777" w:rsidR="00171824" w:rsidRDefault="006D258C">
      <w:pPr>
        <w:pStyle w:val="BodyText"/>
        <w:widowControl/>
        <w:tabs>
          <w:tab w:val="left" w:pos="388"/>
        </w:tabs>
        <w:kinsoku w:val="0"/>
        <w:overflowPunct w:val="0"/>
        <w:ind w:left="0"/>
        <w:rPr>
          <w:sz w:val="20"/>
          <w:szCs w:val="20"/>
          <w:lang w:val="el-GR"/>
        </w:rPr>
      </w:pPr>
      <w:r>
        <w:rPr>
          <w:color w:val="000000"/>
          <w:sz w:val="20"/>
          <w:szCs w:val="20"/>
          <w:vertAlign w:val="superscript"/>
          <w:lang w:val="el-GR" w:eastAsia="ja-JP"/>
        </w:rPr>
        <w:t>2)</w:t>
      </w:r>
      <w:r>
        <w:rPr>
          <w:color w:val="000000"/>
          <w:sz w:val="20"/>
          <w:szCs w:val="20"/>
          <w:lang w:val="el-GR" w:eastAsia="ja-JP"/>
        </w:rPr>
        <w:t xml:space="preserve"> Η μέση μεταβολή βάρους από την αρχική τιμή με το adalimumab κυμαινόταν από 0,3 kg έως 1,0 kg για τις ενδείξεις ενηλίκων σε σύγκριση με (μείον) -0,4 kg έως 0,4 kg με το εικονικό φάρμακο κατά τη διάρκεια θεραπείας 4-6 μηνών. Αύξηση βάρους της τάξης των 5-6 kg παρατηρήθηκε επίσης και σε μακροχρόνιες μελέτες επέκτασης, με μέση διάρκεια έκθεσης περίπου 1-2 ετών χωρίς ομάδα ελέγχου, ιδίως σε ασθενείς με νόσο του Crohn και ελκώδη κολίτιδα. Ο μηχανισμός αυτής της επίδρασης δεν είναι σαφής, ενδέχεται όμως να σχετίζεται με την αντιφλεγμονώδη δράση του adalimumab.</w:t>
      </w:r>
    </w:p>
    <w:p w14:paraId="32976E73" w14:textId="77777777" w:rsidR="00171824" w:rsidRDefault="00171824">
      <w:pPr>
        <w:widowControl/>
        <w:kinsoku w:val="0"/>
        <w:overflowPunct w:val="0"/>
        <w:rPr>
          <w:sz w:val="22"/>
          <w:szCs w:val="22"/>
          <w:lang w:val="el-GR"/>
        </w:rPr>
      </w:pPr>
    </w:p>
    <w:p w14:paraId="7674FC41" w14:textId="77777777" w:rsidR="00171824" w:rsidRDefault="006D258C">
      <w:pPr>
        <w:pStyle w:val="BodyText"/>
        <w:keepNext/>
        <w:widowControl/>
        <w:kinsoku w:val="0"/>
        <w:overflowPunct w:val="0"/>
        <w:ind w:left="0"/>
        <w:rPr>
          <w:lang w:val="el-GR"/>
        </w:rPr>
      </w:pPr>
      <w:r>
        <w:rPr>
          <w:u w:val="single"/>
          <w:lang w:val="el-GR"/>
        </w:rPr>
        <w:t>Διαπυητική ιδρωταδενίτιδα</w:t>
      </w:r>
    </w:p>
    <w:p w14:paraId="00FE3896" w14:textId="77777777" w:rsidR="00171824" w:rsidRDefault="00171824">
      <w:pPr>
        <w:keepNext/>
        <w:widowControl/>
        <w:kinsoku w:val="0"/>
        <w:overflowPunct w:val="0"/>
        <w:rPr>
          <w:sz w:val="22"/>
          <w:szCs w:val="22"/>
          <w:lang w:val="el-GR"/>
        </w:rPr>
      </w:pPr>
    </w:p>
    <w:p w14:paraId="33CD866B" w14:textId="77777777" w:rsidR="00171824" w:rsidRDefault="006D258C">
      <w:pPr>
        <w:pStyle w:val="BodyText"/>
        <w:widowControl/>
        <w:kinsoku w:val="0"/>
        <w:overflowPunct w:val="0"/>
        <w:ind w:left="0"/>
        <w:rPr>
          <w:lang w:val="el-GR"/>
        </w:rPr>
      </w:pPr>
      <w:r>
        <w:rPr>
          <w:lang w:val="el-GR"/>
        </w:rPr>
        <w:t>Το προφίλ ασφάλειας για τους ασθενείς με διαπυητική ιδρωταδενίτιδα που έλαβαν εβδομαδιαία θεραπεία με adalimumab ήταν σύμφωνο με το γνωστό προφίλ ασφάλειας του adalimumab.</w:t>
      </w:r>
    </w:p>
    <w:p w14:paraId="6EAA8BFD" w14:textId="77777777" w:rsidR="00171824" w:rsidRDefault="00171824">
      <w:pPr>
        <w:widowControl/>
        <w:kinsoku w:val="0"/>
        <w:overflowPunct w:val="0"/>
        <w:rPr>
          <w:sz w:val="22"/>
          <w:szCs w:val="22"/>
          <w:lang w:val="el-GR"/>
        </w:rPr>
      </w:pPr>
    </w:p>
    <w:p w14:paraId="1FC95B71" w14:textId="77777777" w:rsidR="00171824" w:rsidRDefault="006D258C">
      <w:pPr>
        <w:pStyle w:val="BodyText"/>
        <w:keepNext/>
        <w:widowControl/>
        <w:kinsoku w:val="0"/>
        <w:overflowPunct w:val="0"/>
        <w:ind w:left="0"/>
        <w:rPr>
          <w:lang w:val="el-GR"/>
        </w:rPr>
      </w:pPr>
      <w:r>
        <w:rPr>
          <w:u w:val="single"/>
          <w:lang w:val="el-GR"/>
        </w:rPr>
        <w:t>Ραγοειδίτιδα</w:t>
      </w:r>
    </w:p>
    <w:p w14:paraId="0AC5B6ED" w14:textId="77777777" w:rsidR="00171824" w:rsidRDefault="00171824">
      <w:pPr>
        <w:keepNext/>
        <w:widowControl/>
        <w:kinsoku w:val="0"/>
        <w:overflowPunct w:val="0"/>
        <w:rPr>
          <w:sz w:val="22"/>
          <w:szCs w:val="22"/>
          <w:lang w:val="el-GR"/>
        </w:rPr>
      </w:pPr>
    </w:p>
    <w:p w14:paraId="5E075067" w14:textId="77777777" w:rsidR="00171824" w:rsidRDefault="006D258C">
      <w:pPr>
        <w:pStyle w:val="BodyText"/>
        <w:widowControl/>
        <w:kinsoku w:val="0"/>
        <w:overflowPunct w:val="0"/>
        <w:ind w:left="0"/>
        <w:rPr>
          <w:lang w:val="el-GR"/>
        </w:rPr>
      </w:pPr>
      <w:r>
        <w:rPr>
          <w:lang w:val="el-GR"/>
        </w:rPr>
        <w:t>Το προφίλ ασφάλειας για τους ασθενείς με ραγοειδίτιδα που έλαβαν θεραπεία με adalimumab κάθε δεύτερη εβδομάδα ήταν σύμφωνο με το γνωστό προφίλ ασφάλειας του adalimumab.</w:t>
      </w:r>
    </w:p>
    <w:p w14:paraId="59A462FF" w14:textId="77777777" w:rsidR="00171824" w:rsidRDefault="00171824">
      <w:pPr>
        <w:widowControl/>
        <w:kinsoku w:val="0"/>
        <w:overflowPunct w:val="0"/>
        <w:rPr>
          <w:sz w:val="22"/>
          <w:szCs w:val="22"/>
          <w:lang w:val="el-GR"/>
        </w:rPr>
      </w:pPr>
    </w:p>
    <w:p w14:paraId="1276B9D7" w14:textId="77777777" w:rsidR="00171824" w:rsidRDefault="006D258C">
      <w:pPr>
        <w:pStyle w:val="BodyText"/>
        <w:keepNext/>
        <w:widowControl/>
        <w:kinsoku w:val="0"/>
        <w:overflowPunct w:val="0"/>
        <w:ind w:left="0"/>
        <w:rPr>
          <w:lang w:val="el-GR"/>
        </w:rPr>
      </w:pPr>
      <w:r>
        <w:rPr>
          <w:u w:val="single"/>
          <w:lang w:val="el-GR"/>
        </w:rPr>
        <w:lastRenderedPageBreak/>
        <w:t>Περιγραφή επιλεγμένων ανεπιθύμητων ενεργειών</w:t>
      </w:r>
    </w:p>
    <w:p w14:paraId="6FC4217A" w14:textId="77777777" w:rsidR="00171824" w:rsidRDefault="00171824">
      <w:pPr>
        <w:keepNext/>
        <w:widowControl/>
        <w:kinsoku w:val="0"/>
        <w:overflowPunct w:val="0"/>
        <w:rPr>
          <w:sz w:val="22"/>
          <w:szCs w:val="22"/>
          <w:lang w:val="el-GR"/>
        </w:rPr>
      </w:pPr>
    </w:p>
    <w:p w14:paraId="52454440" w14:textId="77777777" w:rsidR="00171824" w:rsidRDefault="006D258C">
      <w:pPr>
        <w:keepNext/>
        <w:widowControl/>
        <w:kinsoku w:val="0"/>
        <w:overflowPunct w:val="0"/>
        <w:rPr>
          <w:sz w:val="22"/>
          <w:szCs w:val="22"/>
          <w:lang w:val="el-GR"/>
        </w:rPr>
      </w:pPr>
      <w:r>
        <w:rPr>
          <w:i/>
          <w:iCs/>
          <w:sz w:val="22"/>
          <w:szCs w:val="22"/>
          <w:lang w:val="el-GR"/>
        </w:rPr>
        <w:t>Αντιδράσεις της θέσης ένεσης</w:t>
      </w:r>
    </w:p>
    <w:p w14:paraId="465819B3" w14:textId="77777777" w:rsidR="00171824" w:rsidRDefault="00171824">
      <w:pPr>
        <w:keepNext/>
        <w:widowControl/>
        <w:kinsoku w:val="0"/>
        <w:overflowPunct w:val="0"/>
        <w:rPr>
          <w:sz w:val="22"/>
          <w:szCs w:val="22"/>
          <w:lang w:val="el-GR"/>
        </w:rPr>
      </w:pPr>
    </w:p>
    <w:p w14:paraId="3CDEC8AF" w14:textId="77777777" w:rsidR="00171824" w:rsidRDefault="006D258C">
      <w:pPr>
        <w:pStyle w:val="BodyText"/>
        <w:widowControl/>
        <w:kinsoku w:val="0"/>
        <w:overflowPunct w:val="0"/>
        <w:ind w:left="0"/>
        <w:rPr>
          <w:lang w:val="el-GR"/>
        </w:rPr>
      </w:pPr>
      <w:r>
        <w:rPr>
          <w:lang w:val="el-GR"/>
        </w:rPr>
        <w:t>Στις πιλοτικές ελεγχόμενες μελέτες σε ενήλικες και παιδιά, το 12,9% των ασθενών που έλαβαν adalimumab παρουσίασαν αντιδράσεις της θέσης ένεσης (ερύθημα και/ή κνησμός, αιμορραγία, πόνος ή οίδημα), συγκριτικά με το 7,2% των ασθενών που έλαβαν εικονικό φάρμακο ή φάρμακο μάρτυρα. Οι αντιδράσεις της θέσης ένεσης γενικά δεν οδήγησαν στη διακοπή του φαρμακευτικού προϊόντος.</w:t>
      </w:r>
    </w:p>
    <w:p w14:paraId="49C5C78D" w14:textId="77777777" w:rsidR="00171824" w:rsidRDefault="00171824">
      <w:pPr>
        <w:widowControl/>
        <w:kinsoku w:val="0"/>
        <w:overflowPunct w:val="0"/>
        <w:rPr>
          <w:i/>
          <w:iCs/>
          <w:sz w:val="22"/>
          <w:szCs w:val="22"/>
          <w:lang w:val="el-GR"/>
        </w:rPr>
      </w:pPr>
    </w:p>
    <w:p w14:paraId="43854E3B" w14:textId="77777777" w:rsidR="00171824" w:rsidRDefault="006D258C">
      <w:pPr>
        <w:keepNext/>
        <w:keepLines/>
        <w:widowControl/>
        <w:kinsoku w:val="0"/>
        <w:overflowPunct w:val="0"/>
        <w:rPr>
          <w:sz w:val="22"/>
          <w:szCs w:val="22"/>
          <w:lang w:val="el-GR"/>
        </w:rPr>
      </w:pPr>
      <w:r>
        <w:rPr>
          <w:i/>
          <w:iCs/>
          <w:sz w:val="22"/>
          <w:szCs w:val="22"/>
          <w:lang w:val="el-GR"/>
        </w:rPr>
        <w:t>Λοιμώξεις</w:t>
      </w:r>
    </w:p>
    <w:p w14:paraId="6C16F763" w14:textId="77777777" w:rsidR="00171824" w:rsidRDefault="00171824">
      <w:pPr>
        <w:keepNext/>
        <w:keepLines/>
        <w:widowControl/>
        <w:kinsoku w:val="0"/>
        <w:overflowPunct w:val="0"/>
        <w:rPr>
          <w:sz w:val="22"/>
          <w:szCs w:val="22"/>
          <w:lang w:val="el-GR"/>
        </w:rPr>
      </w:pPr>
    </w:p>
    <w:p w14:paraId="481D7585" w14:textId="77777777" w:rsidR="00171824" w:rsidRDefault="006D258C">
      <w:pPr>
        <w:pStyle w:val="BodyText"/>
        <w:widowControl/>
        <w:kinsoku w:val="0"/>
        <w:overflowPunct w:val="0"/>
        <w:ind w:left="0"/>
        <w:rPr>
          <w:lang w:val="el-GR"/>
        </w:rPr>
      </w:pPr>
      <w:r>
        <w:rPr>
          <w:lang w:val="el-GR"/>
        </w:rPr>
        <w:t>Στις πιλοτικές ελεγχόμενες μελέτες σε ενήλικες και παιδιά, το ποσοστό λοίμωξης ήταν 1,51 ανά έτος ασθενή στους ασθενείς που έλαβαν adalimumab και 1,46 ανά έτος ασθενή σε ασθενείς που έλαβαν εικονικό φάρμακο και φάρμακο μάρτυρα. Οι λοιμώξεις περιελάμβαναν κυρίως ρινοφαρυγγίτιδα, λοιμώξεις του ανώτερου αναπνευστικού και παραρρινοκολπίτιδα. Οι περισσότεροι ασθενείς συνέχισαν τη θεραπεία με adalimumab αφού υποχώρησε η λοίμωξη.</w:t>
      </w:r>
    </w:p>
    <w:p w14:paraId="2D32402A" w14:textId="77777777" w:rsidR="00171824" w:rsidRDefault="00171824">
      <w:pPr>
        <w:widowControl/>
        <w:kinsoku w:val="0"/>
        <w:overflowPunct w:val="0"/>
        <w:rPr>
          <w:sz w:val="22"/>
          <w:szCs w:val="22"/>
          <w:lang w:val="el-GR"/>
        </w:rPr>
      </w:pPr>
    </w:p>
    <w:p w14:paraId="7BD464B8" w14:textId="77777777" w:rsidR="00171824" w:rsidRDefault="006D258C">
      <w:pPr>
        <w:pStyle w:val="BodyText"/>
        <w:widowControl/>
        <w:kinsoku w:val="0"/>
        <w:overflowPunct w:val="0"/>
        <w:ind w:left="0"/>
        <w:rPr>
          <w:lang w:val="el-GR"/>
        </w:rPr>
      </w:pPr>
      <w:r>
        <w:rPr>
          <w:lang w:val="el-GR"/>
        </w:rPr>
        <w:t>Η συχνότητα εμφάνισης σοβαρών λοιμώξεων ήταν 0,04 ανά έτος ασθενή σε ασθενείς που έλαβαν adalimumab και 0,03 ανά έτος ασθενή σε ασθενείς που έλαβαν εικονικό φάρμακο και φάρμακο μάρτυρα.</w:t>
      </w:r>
    </w:p>
    <w:p w14:paraId="1E28E267" w14:textId="77777777" w:rsidR="00171824" w:rsidRDefault="00171824">
      <w:pPr>
        <w:widowControl/>
        <w:kinsoku w:val="0"/>
        <w:overflowPunct w:val="0"/>
        <w:rPr>
          <w:sz w:val="22"/>
          <w:szCs w:val="22"/>
          <w:lang w:val="el-GR"/>
        </w:rPr>
      </w:pPr>
    </w:p>
    <w:p w14:paraId="21825120" w14:textId="77777777" w:rsidR="00171824" w:rsidRDefault="006D258C">
      <w:pPr>
        <w:pStyle w:val="BodyText"/>
        <w:widowControl/>
        <w:kinsoku w:val="0"/>
        <w:overflowPunct w:val="0"/>
        <w:ind w:left="0"/>
        <w:rPr>
          <w:lang w:val="el-GR"/>
        </w:rPr>
      </w:pPr>
      <w:r>
        <w:rPr>
          <w:lang w:val="el-GR"/>
        </w:rPr>
        <w:t>Σε ελεγχόμενες και ανοιχτές μελέτες σε ενήλικες και παιδιά με adalimumab, έχουν αναφερθεί σοβαρές λοιμώξεις (συμπεριλαμβανομένων και θανατηφόρων λοιμώξεων, οι οποίες εμφανίστηκαν σπάνια), οι οποίες περιλαμβάνουν αναφορές φυματίωσης (περιλαμβάνεται και κεγχροειδής και εξωπνευμονική) και διηθητικές ευκαιριακές λοιμώξεις (π.χ. διάχυτη ή εξωπνευμονική ιστοπλάσμωση, βλαστομυκητίαση, κοκκιδιοειδομυκητίαση, πνευμονοκύστη, καντιντίαση, ασπεργίλλωση και λιστερίωση). Στις περισσότερες περιπτώσεις η φυματίωση εμφανίστηκε μέσα στους πρώτους οκτώ μήνες μετά την έναρξη της θεραπείας και είναι πιθανό να συνδέεται με υποτροπή λανθάνουσας νόσου.</w:t>
      </w:r>
    </w:p>
    <w:p w14:paraId="1F6F0BF3" w14:textId="77777777" w:rsidR="00171824" w:rsidRDefault="00171824">
      <w:pPr>
        <w:widowControl/>
        <w:kinsoku w:val="0"/>
        <w:overflowPunct w:val="0"/>
        <w:rPr>
          <w:sz w:val="22"/>
          <w:szCs w:val="22"/>
          <w:lang w:val="el-GR"/>
        </w:rPr>
      </w:pPr>
    </w:p>
    <w:p w14:paraId="022A1C28" w14:textId="77777777" w:rsidR="00171824" w:rsidRDefault="006D258C">
      <w:pPr>
        <w:keepNext/>
        <w:widowControl/>
        <w:kinsoku w:val="0"/>
        <w:overflowPunct w:val="0"/>
        <w:rPr>
          <w:sz w:val="22"/>
          <w:szCs w:val="22"/>
          <w:lang w:val="el-GR"/>
        </w:rPr>
      </w:pPr>
      <w:r>
        <w:rPr>
          <w:i/>
          <w:iCs/>
          <w:sz w:val="22"/>
          <w:szCs w:val="22"/>
          <w:lang w:val="el-GR"/>
        </w:rPr>
        <w:t>Κακοήθειες και λεμφοϋπερπλαστικές διαταραχές</w:t>
      </w:r>
    </w:p>
    <w:p w14:paraId="2486EAD2" w14:textId="77777777" w:rsidR="00171824" w:rsidRDefault="00171824">
      <w:pPr>
        <w:keepNext/>
        <w:widowControl/>
        <w:kinsoku w:val="0"/>
        <w:overflowPunct w:val="0"/>
        <w:rPr>
          <w:sz w:val="22"/>
          <w:szCs w:val="22"/>
          <w:lang w:val="el-GR"/>
        </w:rPr>
      </w:pPr>
    </w:p>
    <w:p w14:paraId="66EB4E49" w14:textId="77777777" w:rsidR="00171824" w:rsidRDefault="006D258C">
      <w:pPr>
        <w:rPr>
          <w:sz w:val="22"/>
          <w:lang w:val="el-GR"/>
        </w:rPr>
      </w:pPr>
      <w:r>
        <w:rPr>
          <w:sz w:val="22"/>
          <w:szCs w:val="22"/>
          <w:lang w:val="el-GR"/>
        </w:rPr>
        <w:t>Κατά τη διάρκεια μελετών του adalimumab σε ασθενείς με νεανική ιδιοπαθή αρθρίτιδα (πολυαρθρική νεανική ιδιοπαθή αρθρίτιδα και αρθρίτιδα σχετιζόμενη με ενθεσίτιδα) δεν παρατηρήθηκε καμία κακοήθεια σε 249 παιδιατρικούς ασθενείς με έκθεση 655,6 έτη ασθενών. Επιπλέον, δεν παρατηρήθηκαν κακοήθειες σε 192 παιδιατρικούς ασθενείς με έκθεση 498,1 έτη ασθενών κατά τη διάρκεια μίας μελέτης με το adalimumab σε παιδιατρικούς ασθενείς με νόσο του Crohn. Κατά τη διάρκεια μιας μελέτης του adalimumab σε παιδιατρικούς ασθενείς με χρόνια ψωρίαση κατά πλάκας δεν παρατηρήθηκε καμία κακοήθεια σε 77 παιδιατρικούς ασθενείς με έκθεση 80,0 έτη ασθενών. Κατά τη διάρκεια μιας δοκιμής του adalimumab σε παιδιατρικούς ασθενείς με ελκώδη κολίτιδα, δεν παρατηρήθηκε καμία κακοήθεια σε 93 παιδιατρικούς ασθενείς με έκθεση 65,3 έτη ασθενών. Κατά τη διάρκεια μιας μελέτης του adalimumab σε παιδιατρικούς ασθενείς με ραγοειδίτιδα δεν παρατηρήθηκαν κακοήθειες σε 60 παιδιατρικούς ασθενείς με έκθεση 58,4 έτη ασθενών.</w:t>
      </w:r>
    </w:p>
    <w:p w14:paraId="6C2728C0" w14:textId="77777777" w:rsidR="00171824" w:rsidRDefault="00171824">
      <w:pPr>
        <w:widowControl/>
        <w:kinsoku w:val="0"/>
        <w:overflowPunct w:val="0"/>
        <w:rPr>
          <w:sz w:val="22"/>
          <w:szCs w:val="22"/>
          <w:lang w:val="el-GR"/>
        </w:rPr>
      </w:pPr>
    </w:p>
    <w:p w14:paraId="35532C9C" w14:textId="77777777" w:rsidR="00171824" w:rsidRDefault="006D258C">
      <w:pPr>
        <w:pStyle w:val="BodyText"/>
        <w:widowControl/>
        <w:kinsoku w:val="0"/>
        <w:overflowPunct w:val="0"/>
        <w:ind w:left="0"/>
        <w:rPr>
          <w:lang w:val="el-GR"/>
        </w:rPr>
      </w:pPr>
      <w:r>
        <w:rPr>
          <w:lang w:val="el-GR"/>
        </w:rPr>
        <w:t xml:space="preserve">Κατά τη διάρκεια των ελεγχόμενων τμημάτων πιλοτικών μελετών του adalimumab σε ενήλικες σε λιγότερο από 12 εβδομάδες διάρκεια σε ασθενείς με μέτρια έως σοβαρή ενεργό ρευματοειδή αρθρίτιδα, αγκυλοποιητική σπονδυλίτιδα, αξονική σπονδυλαρθρίτιδα χωρίς ακτινολογικά ευρήματα αγκυλοποιητικής σπονδυλίτιδας, ψωριασική αρθρίτιδα, ψωρίαση, διαπυητική ιδρωταδενίτιδα, νόσο του Crohn, ελκώδη κολίτιδα και ραγοειδίτιδα, παρατηρήθηκαν κακοήθειες, εκτός του λεμφώματος και του μη μελανωματικού καρκίνου του δέρματος, με συχνότητα (95% διάστημα εμπιστοσύνης) 6,8 (4,4, 10,5) ανά 1 000 ασθενείς-έτη μεταξύ 5 291 ασθενών που έλαβαν adalimumab </w:t>
      </w:r>
      <w:r>
        <w:rPr>
          <w:iCs/>
          <w:lang w:val="el-GR"/>
        </w:rPr>
        <w:t xml:space="preserve">έναντι </w:t>
      </w:r>
      <w:r>
        <w:rPr>
          <w:lang w:val="el-GR"/>
        </w:rPr>
        <w:t xml:space="preserve">6,3 (3,4, 11,8) ανά 1 000 ασθενείς-έτη μεταξύ 3 444 ασθενών μαρτύρων (η μέση διάρκεια της θεραπείας ήταν 4,0 μήνες για το adalimumab και 3,8 μήνες για τους ασθενείς μάρτυρες). Η συχνότητα (95% διάστημα εμπιστοσύνης) των μη μελανωματικών καρκίνων του δέρματος ήταν 8,8 (6,0, 13,0) ανά 1 000 ασθενείς-έτη μεταξύ των ασθενών που λαμβάνουν adalimumab και 3,2 (1,3, 7,6) ανά 1 000 ασθενείς-έτη μεταξύ των ασθενών μαρτύρων. Από αυτούς τους καρκίνους του δέρματος, έχει παρατηρηθεί καρκίνωμα από πλακώδες επιθήλιο με συχνότητα (95% διάστημα εμπιστοσύνης) 2,7 (1,4, 5,4) ανά 1 000 ασθενείς-έτη μεταξύ των ασθενών που λάμβαναν adalimumab και 0,6 (0,1, 4,5) ανά 1 000 </w:t>
      </w:r>
      <w:r>
        <w:rPr>
          <w:lang w:val="el-GR"/>
        </w:rPr>
        <w:lastRenderedPageBreak/>
        <w:t>ασθενείς- έτη μεταξύ των ασθενών μαρτύρων. Η συχνότητα (95% διάστημα εμπιστοσύνης) των λεμφωμάτων ήταν 0,7 (0,2, 2,7) ανά 1 000 ασθενείς-έτη μεταξύ των ασθενών που λαμβάνουν adalimumab και 0,6 (0,1, 4,5) ανά 1 000 ασθενείς</w:t>
      </w:r>
      <w:r>
        <w:rPr>
          <w:lang w:val="el-GR"/>
        </w:rPr>
        <w:noBreakHyphen/>
        <w:t>έτη μεταξύ των ασθενών μαρτύρων.</w:t>
      </w:r>
    </w:p>
    <w:p w14:paraId="52E33503" w14:textId="77777777" w:rsidR="00171824" w:rsidRDefault="00171824">
      <w:pPr>
        <w:widowControl/>
        <w:kinsoku w:val="0"/>
        <w:overflowPunct w:val="0"/>
        <w:rPr>
          <w:sz w:val="22"/>
          <w:szCs w:val="22"/>
          <w:lang w:val="el-GR"/>
        </w:rPr>
      </w:pPr>
    </w:p>
    <w:p w14:paraId="717593D8" w14:textId="77777777" w:rsidR="00171824" w:rsidRDefault="006D258C">
      <w:pPr>
        <w:pStyle w:val="BodyText"/>
        <w:widowControl/>
        <w:kinsoku w:val="0"/>
        <w:overflowPunct w:val="0"/>
        <w:ind w:left="0"/>
        <w:rPr>
          <w:lang w:val="el-GR"/>
        </w:rPr>
      </w:pPr>
      <w:r>
        <w:rPr>
          <w:lang w:val="el-GR"/>
        </w:rPr>
        <w:t>Όταν συνδυαστούν ελεγχόμενα μέρη αυτών των μελετών και εν εξελίξει και ολοκληρωμένες ανοιχτές μελέτες επέκτασης του adalimumab με μία μέση διάρκεια περίπου 3,3 χρόνια συμπεριλαμβανομένων 6 427 ασθενών και πάνω από 26 439ασθενείς-έτη θεραπείας, η παρατηρηθείσα συχνότητα κακοηθειών, εκτός του λεμφώματος και του μη μελανωματικού καρκίνου του δέρματος είναι περίπου 8,5 ανά 1 000 ασθενείς</w:t>
      </w:r>
      <w:r>
        <w:rPr>
          <w:lang w:val="el-GR"/>
        </w:rPr>
        <w:noBreakHyphen/>
        <w:t>έτη. Η παρατηρηθείσα συχνότητα των μη μελανωματικών καρκίνων του δέρματος είναι περίπου 9,6 ανά 1 000 ασθενείς-έτη και η παρατηρηθείσα συχνότητα του λεμφώματος είναι περίπου 1,3 ανά 1 000 ασθενείς-έτη.</w:t>
      </w:r>
    </w:p>
    <w:p w14:paraId="46B5CAEA" w14:textId="77777777" w:rsidR="00171824" w:rsidRDefault="00171824">
      <w:pPr>
        <w:pStyle w:val="BodyText"/>
        <w:widowControl/>
        <w:kinsoku w:val="0"/>
        <w:overflowPunct w:val="0"/>
        <w:ind w:left="0"/>
        <w:rPr>
          <w:lang w:val="el-GR"/>
        </w:rPr>
      </w:pPr>
    </w:p>
    <w:p w14:paraId="4736602E" w14:textId="77777777" w:rsidR="00171824" w:rsidRDefault="006D258C">
      <w:pPr>
        <w:pStyle w:val="BodyText"/>
        <w:widowControl/>
        <w:kinsoku w:val="0"/>
        <w:overflowPunct w:val="0"/>
        <w:ind w:left="0"/>
        <w:rPr>
          <w:lang w:val="el-GR"/>
        </w:rPr>
      </w:pPr>
      <w:r>
        <w:rPr>
          <w:lang w:val="el-GR"/>
        </w:rPr>
        <w:t>Από την μετά την κυκλοφορία από τον Ιανουάριο του 2003 μέχρι το Δεκέμβριο 2010, κυρίως σε ασθενείς με ρευματοειδή αρθρίτιδα, η αυθόρμητη καταγραφηθείσα συχνότητα των κακοηθειών είναι περίπου 2,7 ανά 1 000 ασθενείς-έτη θεραπείας. Η αυθόρμητη καταγραφηθείσα συχνότητα για τους μη μελανωματικούς καρκίνους του δέρματος και τα λεμφώματα είναι περίπου 0,2 και 0,3 ανά 1 000 ασθενείς-έτη θεραπείας, αντιστοίχως (βλέπε παράγραφο 4.4).</w:t>
      </w:r>
    </w:p>
    <w:p w14:paraId="0C149124" w14:textId="77777777" w:rsidR="00171824" w:rsidRDefault="00171824">
      <w:pPr>
        <w:widowControl/>
        <w:kinsoku w:val="0"/>
        <w:overflowPunct w:val="0"/>
        <w:rPr>
          <w:sz w:val="22"/>
          <w:szCs w:val="22"/>
          <w:lang w:val="el-GR"/>
        </w:rPr>
      </w:pPr>
    </w:p>
    <w:p w14:paraId="0C10D00C" w14:textId="77777777" w:rsidR="00171824" w:rsidRDefault="006D258C">
      <w:pPr>
        <w:pStyle w:val="BodyText"/>
        <w:widowControl/>
        <w:kinsoku w:val="0"/>
        <w:overflowPunct w:val="0"/>
        <w:ind w:left="0"/>
        <w:rPr>
          <w:lang w:val="el-GR"/>
        </w:rPr>
      </w:pPr>
      <w:r>
        <w:rPr>
          <w:lang w:val="el-GR"/>
        </w:rPr>
        <w:t>Σπάνιες περιπτώσεις ηπατοσπληνικού T-cell λεμφώματος μετά την κυκλοφορία έχουν παρατηρηθεί σε ασθενείς στους οποίους χορηγήθηκε adalimumab (βλέπε παράγραφο 4.4).</w:t>
      </w:r>
    </w:p>
    <w:p w14:paraId="7C0A1826" w14:textId="77777777" w:rsidR="00171824" w:rsidRDefault="00171824">
      <w:pPr>
        <w:widowControl/>
        <w:kinsoku w:val="0"/>
        <w:overflowPunct w:val="0"/>
        <w:rPr>
          <w:sz w:val="22"/>
          <w:szCs w:val="22"/>
          <w:lang w:val="el-GR"/>
        </w:rPr>
      </w:pPr>
    </w:p>
    <w:p w14:paraId="2A4D680F" w14:textId="77777777" w:rsidR="00171824" w:rsidRDefault="006D258C">
      <w:pPr>
        <w:keepNext/>
        <w:widowControl/>
        <w:kinsoku w:val="0"/>
        <w:overflowPunct w:val="0"/>
        <w:rPr>
          <w:sz w:val="22"/>
          <w:szCs w:val="22"/>
          <w:lang w:val="el-GR"/>
        </w:rPr>
      </w:pPr>
      <w:r>
        <w:rPr>
          <w:i/>
          <w:iCs/>
          <w:sz w:val="22"/>
          <w:szCs w:val="22"/>
          <w:lang w:val="el-GR"/>
        </w:rPr>
        <w:t>Αυτοαντισώματα</w:t>
      </w:r>
    </w:p>
    <w:p w14:paraId="769DE3D5" w14:textId="77777777" w:rsidR="00171824" w:rsidRDefault="00171824">
      <w:pPr>
        <w:keepNext/>
        <w:widowControl/>
        <w:kinsoku w:val="0"/>
        <w:overflowPunct w:val="0"/>
        <w:rPr>
          <w:sz w:val="22"/>
          <w:szCs w:val="22"/>
          <w:lang w:val="el-GR"/>
        </w:rPr>
      </w:pPr>
    </w:p>
    <w:p w14:paraId="223A6129" w14:textId="77777777" w:rsidR="00171824" w:rsidRDefault="006D258C">
      <w:pPr>
        <w:pStyle w:val="BodyText"/>
        <w:widowControl/>
        <w:kinsoku w:val="0"/>
        <w:overflowPunct w:val="0"/>
        <w:ind w:left="0"/>
        <w:rPr>
          <w:lang w:val="el-GR"/>
        </w:rPr>
      </w:pPr>
      <w:r>
        <w:rPr>
          <w:lang w:val="el-GR"/>
        </w:rPr>
        <w:t>Δείγματα ορού των ασθενών ελέγχθηκαν για αυτοαντισώματα σε πολλαπλές χρονικές στιγμές στις μελέτες ρευματοειδούς αρθρίτιδας Ι-V. Σε αυτές τις μελέτες, το 11,9% των ασθενών που έλαβαν adalimumab και το 8,1% των ασθενών που έλαβαν εικονικό φάρμακο καθώς και φάρμακο μάρτυρα με αρνητικούς τίτλους αντιπυρηνικών αντισωμάτων πριν από την έναρξη της θεραπείας παρουσίασαν θετικούς τίτλους κατά την εβδομάδα 24. Δύο από τους 3 441 ασθενείς που έλαβαν adalimumab σε όλες τις μελέτες ρευματοειδούς και ψωριασικής αρθρίτιδας ανέπτυξε κλινικά σημεία ενδεικτικά νέου συνδρόμου τύπου συστηματικού ερυθηματώδους λύκου. Ο ασθενής παρουσίασε βελτίωση μετά τη διακοπή της θεραπείας. Κανένας ασθενής δεν παρουσίασε νεφρίτιδα του λύκου ή συμπτώματα από το κεντρικό νευρικό σύστημα.</w:t>
      </w:r>
    </w:p>
    <w:p w14:paraId="34AE2242" w14:textId="77777777" w:rsidR="00171824" w:rsidRDefault="00171824">
      <w:pPr>
        <w:widowControl/>
        <w:kinsoku w:val="0"/>
        <w:overflowPunct w:val="0"/>
        <w:rPr>
          <w:sz w:val="22"/>
          <w:szCs w:val="22"/>
          <w:lang w:val="el-GR"/>
        </w:rPr>
      </w:pPr>
    </w:p>
    <w:p w14:paraId="176518F1" w14:textId="77777777" w:rsidR="00171824" w:rsidRDefault="006D258C">
      <w:pPr>
        <w:widowControl/>
        <w:kinsoku w:val="0"/>
        <w:overflowPunct w:val="0"/>
        <w:rPr>
          <w:sz w:val="22"/>
          <w:szCs w:val="22"/>
          <w:lang w:val="el-GR"/>
        </w:rPr>
      </w:pPr>
      <w:r>
        <w:rPr>
          <w:i/>
          <w:iCs/>
          <w:sz w:val="22"/>
          <w:szCs w:val="22"/>
          <w:lang w:val="el-GR"/>
        </w:rPr>
        <w:t>Συμβάματα του ήπατος και των χοληφόρων</w:t>
      </w:r>
    </w:p>
    <w:p w14:paraId="1C7A9CA9" w14:textId="77777777" w:rsidR="00171824" w:rsidRDefault="00171824">
      <w:pPr>
        <w:widowControl/>
        <w:kinsoku w:val="0"/>
        <w:overflowPunct w:val="0"/>
        <w:rPr>
          <w:sz w:val="22"/>
          <w:szCs w:val="22"/>
          <w:lang w:val="el-GR"/>
        </w:rPr>
      </w:pPr>
    </w:p>
    <w:p w14:paraId="26D8C155" w14:textId="77777777" w:rsidR="00171824" w:rsidRDefault="006D258C">
      <w:pPr>
        <w:pStyle w:val="BodyText"/>
        <w:widowControl/>
        <w:kinsoku w:val="0"/>
        <w:overflowPunct w:val="0"/>
        <w:ind w:left="0"/>
        <w:rPr>
          <w:lang w:val="el-GR"/>
        </w:rPr>
      </w:pPr>
      <w:r>
        <w:rPr>
          <w:lang w:val="el-GR"/>
        </w:rPr>
        <w:t xml:space="preserve">Σε ελεγχόμενες κλινικές μελέτες Φάσης 3 με το adalimumab σε ασθενείς με ρευματοειδή αρθρίτιδα και ψωριασική αρθρίτιδα με διάρκεια περιόδου ελέγχου μεταξύ 4 και 104 εβδομάδων, αυξήσεις της ALT ≥ 3 </w:t>
      </w:r>
      <w:r>
        <w:rPr>
          <w:lang w:val="el-GR" w:eastAsia="en-GB"/>
        </w:rPr>
        <w:t>×</w:t>
      </w:r>
      <w:r>
        <w:rPr>
          <w:lang w:val="el-GR"/>
        </w:rPr>
        <w:t xml:space="preserve"> ULN παρατηρήθηκαν στο 3,7% των ασθενών που έλαβαν adalimumab και στο 1,6% των ασθενών που έλαβαν εικονικό φάρμακο.</w:t>
      </w:r>
    </w:p>
    <w:p w14:paraId="647DADB9" w14:textId="77777777" w:rsidR="00171824" w:rsidRDefault="00171824">
      <w:pPr>
        <w:widowControl/>
        <w:kinsoku w:val="0"/>
        <w:overflowPunct w:val="0"/>
        <w:rPr>
          <w:sz w:val="22"/>
          <w:szCs w:val="22"/>
          <w:lang w:val="el-GR"/>
        </w:rPr>
      </w:pPr>
    </w:p>
    <w:p w14:paraId="447E75DD" w14:textId="77777777" w:rsidR="00171824" w:rsidRDefault="006D258C">
      <w:pPr>
        <w:pStyle w:val="BodyText"/>
        <w:widowControl/>
        <w:kinsoku w:val="0"/>
        <w:overflowPunct w:val="0"/>
        <w:ind w:left="0"/>
        <w:rPr>
          <w:lang w:val="el-GR"/>
        </w:rPr>
      </w:pPr>
      <w:r>
        <w:rPr>
          <w:lang w:val="el-GR"/>
        </w:rPr>
        <w:t xml:space="preserve">Σε ελεγχόμενες κλινικές μελέτες Φάσης 3 με το adalimumab σε ασθενείς με πολυαρθρική νεανική ιδιοπαθή αρθρίτιδα, ηλικίας 4 έως 17 ετών και ασθενείς με αρθρίτιδα σχετιζόμενη με ενθεσίτιδα, ηλικίας 6 έως 17 ετών, αυξήσεις της ALT ≥ 3 </w:t>
      </w:r>
      <w:r>
        <w:rPr>
          <w:lang w:val="el-GR" w:eastAsia="en-GB"/>
        </w:rPr>
        <w:t>×</w:t>
      </w:r>
      <w:r>
        <w:rPr>
          <w:lang w:val="el-GR"/>
        </w:rPr>
        <w:t xml:space="preserve"> ULN παρατηρήθηκαν στο 6,1% των ασθενών που έλαβαν adalimumab και στο 1,3% των ασθενών που έλαβαν εικονικό φάρμακο. Οι περισσότερες αυξήσεις της ALT παρατηρήθηκαν με την ταυτόχρονη χρήση μεθοτρεξάτης. Δεν παρατηρήθηκαν αυξήσεις της ALT ≥ 3 </w:t>
      </w:r>
      <w:r>
        <w:rPr>
          <w:lang w:val="el-GR" w:eastAsia="en-GB"/>
        </w:rPr>
        <w:t>×</w:t>
      </w:r>
      <w:r>
        <w:rPr>
          <w:lang w:val="el-GR"/>
        </w:rPr>
        <w:t xml:space="preserve"> ULN σε κλινικές μελέτες φάσης 3 με το adalimumab σε ασθενείς με πολυαρθρική νεανική ιδιοπαθή αρθρίτιδα, ηλικίας 2 έως &lt;4 ετών.</w:t>
      </w:r>
    </w:p>
    <w:p w14:paraId="427C6917" w14:textId="77777777" w:rsidR="00171824" w:rsidRDefault="00171824">
      <w:pPr>
        <w:widowControl/>
        <w:kinsoku w:val="0"/>
        <w:overflowPunct w:val="0"/>
        <w:rPr>
          <w:sz w:val="22"/>
          <w:szCs w:val="22"/>
          <w:lang w:val="el-GR"/>
        </w:rPr>
      </w:pPr>
    </w:p>
    <w:p w14:paraId="39D86DF9" w14:textId="77777777" w:rsidR="00171824" w:rsidRDefault="006D258C">
      <w:pPr>
        <w:pStyle w:val="BodyText"/>
        <w:widowControl/>
        <w:kinsoku w:val="0"/>
        <w:overflowPunct w:val="0"/>
        <w:ind w:left="0"/>
        <w:rPr>
          <w:lang w:val="el-GR"/>
        </w:rPr>
      </w:pPr>
      <w:r>
        <w:rPr>
          <w:lang w:val="el-GR"/>
        </w:rPr>
        <w:t xml:space="preserve">Σε ελεγχόμενες κλινικές μελέτες Φάσης 3 με το adalimumab σε ασθενείς με νόσο του Crohn και ελκώδη κολίτιδα με διάρκεια περιόδου ελέγχου μεταξύ 4 και 52 εβδομάδων, αυξήσεις της ALT ≥ 3 </w:t>
      </w:r>
      <w:r>
        <w:rPr>
          <w:lang w:val="el-GR" w:eastAsia="en-GB"/>
        </w:rPr>
        <w:t>×</w:t>
      </w:r>
      <w:r>
        <w:rPr>
          <w:lang w:val="el-GR"/>
        </w:rPr>
        <w:t xml:space="preserve"> ULN παρατηρήθηκαν στο 0,9% των ασθενών που έλαβαν adalimumab και στο 0,9% των ασθενών που έλαβαν εικονικό φάρμακο.</w:t>
      </w:r>
    </w:p>
    <w:p w14:paraId="3EFFC266" w14:textId="77777777" w:rsidR="00171824" w:rsidRDefault="00171824">
      <w:pPr>
        <w:widowControl/>
        <w:kinsoku w:val="0"/>
        <w:overflowPunct w:val="0"/>
        <w:rPr>
          <w:sz w:val="22"/>
          <w:szCs w:val="22"/>
          <w:lang w:val="el-GR"/>
        </w:rPr>
      </w:pPr>
    </w:p>
    <w:p w14:paraId="74D18DD5" w14:textId="77777777" w:rsidR="00171824" w:rsidRDefault="006D258C">
      <w:pPr>
        <w:pStyle w:val="BodyText"/>
        <w:widowControl/>
        <w:kinsoku w:val="0"/>
        <w:overflowPunct w:val="0"/>
        <w:ind w:left="0"/>
        <w:rPr>
          <w:lang w:val="el-GR"/>
        </w:rPr>
      </w:pPr>
      <w:r>
        <w:rPr>
          <w:lang w:val="el-GR"/>
        </w:rPr>
        <w:t xml:space="preserve">Στην κλινική μελέτη Φάσης 3 του adalimumab σε ασθενείς με παιδιατρική νόσο του Crohn, η οποία αξιολόγησε την αποτελεσματικότητα και την ασφάλεια δύο δοσολογικών σχημάτων συντήρησης προσαρμοσμένων στο σωματικό βάρος που ακολούθησαν θεραπεία επαγωγής έως 52 εβδομάδες προσαρμοσμένη στο σωματικό βάρος, οι αυξήσεις της ALT ≥ 3 </w:t>
      </w:r>
      <w:r>
        <w:rPr>
          <w:lang w:val="el-GR" w:eastAsia="en-GB"/>
        </w:rPr>
        <w:t>x</w:t>
      </w:r>
      <w:r>
        <w:rPr>
          <w:lang w:val="el-GR"/>
        </w:rPr>
        <w:t xml:space="preserve"> ULN εμφανίστηκαν στο 2,6% </w:t>
      </w:r>
      <w:r>
        <w:rPr>
          <w:lang w:val="el-GR"/>
        </w:rPr>
        <w:lastRenderedPageBreak/>
        <w:t>(5/192) των ασθενών, 4 εκ των οποίων λάμβαναν ταυτόχρονη θεραπεία με ανοσοκατασταλτικά κατά την έναρξη.</w:t>
      </w:r>
    </w:p>
    <w:p w14:paraId="263B08DC" w14:textId="77777777" w:rsidR="00171824" w:rsidRDefault="00171824">
      <w:pPr>
        <w:widowControl/>
        <w:kinsoku w:val="0"/>
        <w:overflowPunct w:val="0"/>
        <w:rPr>
          <w:sz w:val="22"/>
          <w:szCs w:val="22"/>
          <w:lang w:val="el-GR"/>
        </w:rPr>
      </w:pPr>
    </w:p>
    <w:p w14:paraId="41CFA9BA" w14:textId="77777777" w:rsidR="00171824" w:rsidRDefault="006D258C">
      <w:pPr>
        <w:pStyle w:val="BodyText"/>
        <w:widowControl/>
        <w:kinsoku w:val="0"/>
        <w:overflowPunct w:val="0"/>
        <w:ind w:left="0"/>
        <w:rPr>
          <w:lang w:val="el-GR"/>
        </w:rPr>
      </w:pPr>
      <w:r>
        <w:rPr>
          <w:lang w:val="el-GR"/>
        </w:rPr>
        <w:t xml:space="preserve">Σε ελεγχόμενες κλινικές μελέτες Φάσης 3 με το adalimumab σε ασθενείς με ψωρίαση κατά πλάκας με διάρκεια περιόδου ελέγχου μεταξύ 12 και 24 εβδομάδων, αυξήσεις της ALT ≥ 3 </w:t>
      </w:r>
      <w:r>
        <w:rPr>
          <w:lang w:val="el-GR" w:eastAsia="en-GB"/>
        </w:rPr>
        <w:t>×</w:t>
      </w:r>
      <w:r>
        <w:rPr>
          <w:lang w:val="el-GR"/>
        </w:rPr>
        <w:t xml:space="preserve"> ULN παρατηρήθηκαν στο 1,8% των ασθενών που έλαβαν adalimumab και στο 1,8% των ασθενών που έλαβαν εικονικό φάρμακο.</w:t>
      </w:r>
    </w:p>
    <w:p w14:paraId="56AF1B30" w14:textId="77777777" w:rsidR="00171824" w:rsidRDefault="00171824">
      <w:pPr>
        <w:keepNext/>
        <w:widowControl/>
        <w:kinsoku w:val="0"/>
        <w:overflowPunct w:val="0"/>
        <w:rPr>
          <w:sz w:val="22"/>
          <w:szCs w:val="22"/>
          <w:lang w:val="el-GR"/>
        </w:rPr>
      </w:pPr>
    </w:p>
    <w:p w14:paraId="16B2D961" w14:textId="77777777" w:rsidR="00171824" w:rsidRDefault="006D258C">
      <w:pPr>
        <w:pStyle w:val="BodyText"/>
        <w:widowControl/>
        <w:kinsoku w:val="0"/>
        <w:overflowPunct w:val="0"/>
        <w:ind w:left="0"/>
        <w:rPr>
          <w:lang w:val="el-GR"/>
        </w:rPr>
      </w:pPr>
      <w:r>
        <w:rPr>
          <w:lang w:val="el-GR"/>
        </w:rPr>
        <w:t xml:space="preserve">Δεν παρατηρήθηκαν αυξήσεις της ALT ≥ 3 </w:t>
      </w:r>
      <w:r>
        <w:rPr>
          <w:lang w:val="el-GR" w:eastAsia="en-GB"/>
        </w:rPr>
        <w:t>×</w:t>
      </w:r>
      <w:r>
        <w:rPr>
          <w:lang w:val="el-GR"/>
        </w:rPr>
        <w:t xml:space="preserve"> ULN σε κλινικές μελέτες Φάσης 3 με το adalimumab σε παιδιατρικούς ασθενείς με ψωρίαση κατά πλάκας.</w:t>
      </w:r>
    </w:p>
    <w:p w14:paraId="664A2904" w14:textId="77777777" w:rsidR="00171824" w:rsidRDefault="00171824">
      <w:pPr>
        <w:pStyle w:val="BodyText"/>
        <w:widowControl/>
        <w:kinsoku w:val="0"/>
        <w:overflowPunct w:val="0"/>
        <w:ind w:left="0"/>
        <w:rPr>
          <w:lang w:val="el-GR"/>
        </w:rPr>
      </w:pPr>
    </w:p>
    <w:p w14:paraId="461462EF" w14:textId="77777777" w:rsidR="00171824" w:rsidRDefault="006D258C">
      <w:pPr>
        <w:pStyle w:val="BodyText"/>
        <w:widowControl/>
        <w:kinsoku w:val="0"/>
        <w:overflowPunct w:val="0"/>
        <w:ind w:left="0"/>
        <w:rPr>
          <w:lang w:val="el-GR"/>
        </w:rPr>
      </w:pPr>
      <w:r>
        <w:rPr>
          <w:lang w:val="el-GR"/>
        </w:rPr>
        <w:t xml:space="preserve">Σε ελεγχόμενες κλινικές μελέτες με το adalimumab (αρχικές δόσεις 160 mg την εβδομάδα 0 και 80 mg την εβδομάδα 2, ακολουθούμενες από 40 mg κάθε εβδομάδα ξεκινώντας από την εβδομάδα 4), σε ασθενείς με διαπυητική ιδρωταδενίτιδα με διάρκεια περιόδου ελέγχου μεταξύ 12 και 16 εβδομάδων, αυξήσεις της ALT ≥ 3 </w:t>
      </w:r>
      <w:r>
        <w:rPr>
          <w:lang w:val="el-GR" w:eastAsia="en-GB"/>
        </w:rPr>
        <w:t>×</w:t>
      </w:r>
      <w:r>
        <w:rPr>
          <w:lang w:val="el-GR"/>
        </w:rPr>
        <w:t xml:space="preserve"> ULN παρατηρήθηκαν στο 0,3% των ασθενών που έλαβαν adalimumab και στο 0,6% των ασθενών που έλαβαν εικονικό φάρμακο.</w:t>
      </w:r>
    </w:p>
    <w:p w14:paraId="1724348E" w14:textId="77777777" w:rsidR="00171824" w:rsidRDefault="00171824">
      <w:pPr>
        <w:widowControl/>
        <w:kinsoku w:val="0"/>
        <w:overflowPunct w:val="0"/>
        <w:rPr>
          <w:sz w:val="22"/>
          <w:szCs w:val="22"/>
          <w:lang w:val="el-GR"/>
        </w:rPr>
      </w:pPr>
    </w:p>
    <w:p w14:paraId="6300FB3C" w14:textId="77777777" w:rsidR="00171824" w:rsidRDefault="006D258C">
      <w:pPr>
        <w:pStyle w:val="BodyText"/>
        <w:widowControl/>
        <w:kinsoku w:val="0"/>
        <w:overflowPunct w:val="0"/>
        <w:ind w:left="0"/>
        <w:rPr>
          <w:lang w:val="el-GR"/>
        </w:rPr>
      </w:pPr>
      <w:r>
        <w:rPr>
          <w:lang w:val="el-GR"/>
        </w:rPr>
        <w:t xml:space="preserve">Σε ελεγχόμενες κλινικές μελέτες με το adalimumab (αρχικές δόσεις 80 mg την εβδομάδα 0, ακολουθούμενες από 40 mg κάθε δεύτερη εβδομάδα ξεκινώντας από την εβδομάδα 1), σε ενήλικες ασθενείς με ραγοειδίτιδα για έως 80 εβδομάδες, με μια διάμεση έκθεση 166,5 ημερών και 105,0 ημερών με adalimumab και εικονικό φάρμακο, αντίστοιχα, αυξήσεις της ALT ≥ 3 </w:t>
      </w:r>
      <w:r>
        <w:rPr>
          <w:lang w:val="el-GR" w:eastAsia="en-GB"/>
        </w:rPr>
        <w:t>×</w:t>
      </w:r>
      <w:r>
        <w:rPr>
          <w:lang w:val="el-GR"/>
        </w:rPr>
        <w:t xml:space="preserve"> ULN παρατηρήθηκαν στο 2,4% των ασθενών που έλαβαν adalimumab και στο 2,4% των ασθενών που έλαβαν εικονικό φάρμακο.</w:t>
      </w:r>
    </w:p>
    <w:p w14:paraId="37B309DC" w14:textId="77777777" w:rsidR="00171824" w:rsidRDefault="00171824">
      <w:pPr>
        <w:pStyle w:val="BodyText"/>
        <w:widowControl/>
        <w:kinsoku w:val="0"/>
        <w:overflowPunct w:val="0"/>
        <w:ind w:left="0"/>
        <w:rPr>
          <w:lang w:val="el-GR"/>
        </w:rPr>
      </w:pPr>
    </w:p>
    <w:p w14:paraId="6A8E0753" w14:textId="77777777" w:rsidR="00171824" w:rsidRDefault="006D258C">
      <w:pPr>
        <w:pStyle w:val="BodyText"/>
        <w:widowControl/>
        <w:kinsoku w:val="0"/>
        <w:overflowPunct w:val="0"/>
        <w:ind w:left="0"/>
        <w:rPr>
          <w:lang w:val="el-GR"/>
        </w:rPr>
      </w:pPr>
      <w:r>
        <w:rPr>
          <w:lang w:val="el-GR"/>
        </w:rPr>
        <w:t xml:space="preserve">Στην ελεγχόμενη δοκιμή φάσης 3 του adalimumab σε αθενείς με παιδιατρική ελκώδη κολίτιδα (N = 93), η οποία αξιολόγησε την αποτελεσματικότητα και την ασφάλεια μιας δόσης συντήρησης 0,6 mg/kg (μέγιστη δόση 40 mg) κάθε δεύτερη εβδομάδα (N = 31) και μιας δόσης συντήρησης 0,6 mg/kg (μέγιστη δόση 40 mg) κάθε εβδομάδα (N = 32), μετά από αρχική δόση προσαρμοσμένη ως προς το βάρος σώματος κατά 2,4 mg/kg (μέγιστη δόση 160 mg) την εβδομάδα 0 και την εβδομάδα 1 και κατά 1,2 mg/kg (μέγιστη δόση 80 mg) την εβδομάδα 2 (N = 63) ή αρχική δόση 2,4 mg/kg (μέγιστη δόση 160 mg) την εβδομάδα 0, εικονικό φάρμακο την εβδομάδα 1, και 1,2 mg/kg (μέγιστη δόση 80 mg) την εβδομάδα 2 (N = 30), παρατηρήθηκαν αυξήσεις της ALT ≥ 3 </w:t>
      </w:r>
      <w:r>
        <w:rPr>
          <w:lang w:val="el-GR" w:eastAsia="en-GB"/>
        </w:rPr>
        <w:t>×</w:t>
      </w:r>
      <w:r>
        <w:rPr>
          <w:lang w:val="el-GR"/>
        </w:rPr>
        <w:t xml:space="preserve"> ULN στο 1,1% (1/93) των ασθενών.</w:t>
      </w:r>
    </w:p>
    <w:p w14:paraId="65BBE327" w14:textId="77777777" w:rsidR="00171824" w:rsidRDefault="00171824">
      <w:pPr>
        <w:widowControl/>
        <w:kinsoku w:val="0"/>
        <w:overflowPunct w:val="0"/>
        <w:rPr>
          <w:sz w:val="22"/>
          <w:szCs w:val="22"/>
          <w:lang w:val="el-GR"/>
        </w:rPr>
      </w:pPr>
    </w:p>
    <w:p w14:paraId="74062D80" w14:textId="77777777" w:rsidR="00171824" w:rsidRDefault="006D258C">
      <w:pPr>
        <w:pStyle w:val="BodyText"/>
        <w:widowControl/>
        <w:kinsoku w:val="0"/>
        <w:overflowPunct w:val="0"/>
        <w:ind w:left="0"/>
        <w:rPr>
          <w:lang w:val="el-GR"/>
        </w:rPr>
      </w:pPr>
      <w:r>
        <w:rPr>
          <w:lang w:val="el-GR"/>
        </w:rPr>
        <w:t>Σε όλες τις ενδείξεις σε κλινικές μελέτες οι ασθενείς με αυξημένη ALT ήταν ασυμπτωματικοί και στις περισσότερες περιπτώσεις οι αυξήσεις ήταν παροδικές και υποχώρησαν κατά τη συνέχιση της θεραπείας. Ωστόσο, υπήρξαν επίσης αναφορές μετά την κυκλοφορία ηπατικής ανεπάρκειας καθώς και λιγότερο σοβαρών ηπατικών διαταραχών που μπορεί να προηγηθούν της ηπατικής ανεπάρκειας, όπως ηπατίτιδα συμπεριλαμβανομένης της αυτοάνοσης ηπατίτιδας σε ασθενείς που λάμβαναν adalimumab.</w:t>
      </w:r>
    </w:p>
    <w:p w14:paraId="2C0C7BA4" w14:textId="77777777" w:rsidR="00171824" w:rsidRDefault="00171824">
      <w:pPr>
        <w:widowControl/>
        <w:kinsoku w:val="0"/>
        <w:overflowPunct w:val="0"/>
        <w:rPr>
          <w:sz w:val="22"/>
          <w:szCs w:val="22"/>
          <w:lang w:val="el-GR"/>
        </w:rPr>
      </w:pPr>
    </w:p>
    <w:p w14:paraId="75F00B08" w14:textId="77777777" w:rsidR="00171824" w:rsidRDefault="006D258C">
      <w:pPr>
        <w:pStyle w:val="BodyText"/>
        <w:keepNext/>
        <w:widowControl/>
        <w:kinsoku w:val="0"/>
        <w:overflowPunct w:val="0"/>
        <w:ind w:left="0"/>
        <w:rPr>
          <w:lang w:val="el-GR"/>
        </w:rPr>
      </w:pPr>
      <w:r>
        <w:rPr>
          <w:u w:val="single"/>
          <w:lang w:val="el-GR"/>
        </w:rPr>
        <w:t>Ταυτόχρονη θεραπεία με azathioprine/6-mercaptopurine</w:t>
      </w:r>
    </w:p>
    <w:p w14:paraId="14E4248D" w14:textId="77777777" w:rsidR="00171824" w:rsidRDefault="00171824">
      <w:pPr>
        <w:keepNext/>
        <w:widowControl/>
        <w:kinsoku w:val="0"/>
        <w:overflowPunct w:val="0"/>
        <w:rPr>
          <w:sz w:val="22"/>
          <w:szCs w:val="22"/>
          <w:lang w:val="el-GR"/>
        </w:rPr>
      </w:pPr>
    </w:p>
    <w:p w14:paraId="0F5AE568" w14:textId="77777777" w:rsidR="00171824" w:rsidRDefault="006D258C">
      <w:pPr>
        <w:pStyle w:val="BodyText"/>
        <w:widowControl/>
        <w:kinsoku w:val="0"/>
        <w:overflowPunct w:val="0"/>
        <w:ind w:left="0"/>
        <w:rPr>
          <w:lang w:val="el-GR"/>
        </w:rPr>
      </w:pPr>
      <w:r>
        <w:rPr>
          <w:lang w:val="el-GR"/>
        </w:rPr>
        <w:t>Σε μελέτες με ενήλικες με νόσο του Crohn, υψηλότερη συχνότητα εμφάνισης ανεπιθύμητων ενεργειών που σχετίζονται με κακοήθεια ή σοβαρές λοιμώξεις παρατηρήθηκαν με το συνδυασμό adalimumab και azathioprine/6-mercaptopurine συγκριτικά με το adalimumab μόνο.</w:t>
      </w:r>
    </w:p>
    <w:p w14:paraId="2D1F7264" w14:textId="77777777" w:rsidR="00171824" w:rsidRDefault="00171824">
      <w:pPr>
        <w:widowControl/>
        <w:kinsoku w:val="0"/>
        <w:overflowPunct w:val="0"/>
        <w:rPr>
          <w:sz w:val="22"/>
          <w:szCs w:val="22"/>
          <w:lang w:val="el-GR"/>
        </w:rPr>
      </w:pPr>
    </w:p>
    <w:p w14:paraId="2A74353B" w14:textId="77777777" w:rsidR="00171824" w:rsidRDefault="006D258C">
      <w:pPr>
        <w:pStyle w:val="BodyText"/>
        <w:widowControl/>
        <w:kinsoku w:val="0"/>
        <w:overflowPunct w:val="0"/>
        <w:ind w:left="0"/>
        <w:rPr>
          <w:lang w:val="el-GR"/>
        </w:rPr>
      </w:pPr>
      <w:r>
        <w:rPr>
          <w:u w:val="single"/>
          <w:lang w:val="el-GR"/>
        </w:rPr>
        <w:t>Αναφορά πιθανολογούμενων ανεπιθύμητων ενεργειών</w:t>
      </w:r>
    </w:p>
    <w:p w14:paraId="472AD62D" w14:textId="77777777" w:rsidR="00171824" w:rsidRDefault="00171824">
      <w:pPr>
        <w:widowControl/>
        <w:kinsoku w:val="0"/>
        <w:overflowPunct w:val="0"/>
        <w:rPr>
          <w:sz w:val="22"/>
          <w:szCs w:val="22"/>
          <w:lang w:val="el-GR"/>
        </w:rPr>
      </w:pPr>
    </w:p>
    <w:p w14:paraId="51674999" w14:textId="77777777" w:rsidR="00171824" w:rsidRDefault="006D258C">
      <w:pPr>
        <w:pStyle w:val="BodyText"/>
        <w:widowControl/>
        <w:kinsoku w:val="0"/>
        <w:overflowPunct w:val="0"/>
        <w:ind w:left="0"/>
        <w:rPr>
          <w:lang w:val="el-GR"/>
        </w:rPr>
      </w:pPr>
      <w:r>
        <w:rPr>
          <w:lang w:val="el-GR"/>
        </w:rPr>
        <w:t xml:space="preserve">Η αναφορά πιθανολογούμενων ανεπιθύμητων ενεργειών μετά από τη χορήγηση άδειας κυκλοφορίας του φαρμακευτικού προϊόντος είναι σημαντική. Επιτρέπει τη συνεχή παρακολούθηση της σχέσης οφέλους-κινδύνου του φαρμακευτικού προϊόντος. Ζητείται από τους επαγγελματίες υγείας να αναφέρουν οποιεσδήποτε πιθανολογούμενες ανεπιθύμητες ενέργειες </w:t>
      </w:r>
      <w:r>
        <w:rPr>
          <w:highlight w:val="lightGray"/>
          <w:lang w:val="el-GR"/>
        </w:rPr>
        <w:t xml:space="preserve">μέσω του εθνικού συστήματος αναφοράς που αναγράφεται στο </w:t>
      </w:r>
      <w:hyperlink r:id="rId20" w:history="1">
        <w:r>
          <w:rPr>
            <w:rStyle w:val="Hyperlink"/>
            <w:color w:val="0000FF"/>
            <w:highlight w:val="lightGray"/>
            <w:lang w:val="el-GR"/>
          </w:rPr>
          <w:t>Παράρτημα V</w:t>
        </w:r>
      </w:hyperlink>
      <w:r>
        <w:rPr>
          <w:lang w:val="el-GR"/>
        </w:rPr>
        <w:t>.</w:t>
      </w:r>
    </w:p>
    <w:p w14:paraId="027F56D7" w14:textId="77777777" w:rsidR="00171824" w:rsidRDefault="00171824">
      <w:pPr>
        <w:pStyle w:val="BodyText"/>
        <w:widowControl/>
        <w:kinsoku w:val="0"/>
        <w:overflowPunct w:val="0"/>
        <w:ind w:left="0"/>
        <w:rPr>
          <w:lang w:val="el-GR"/>
        </w:rPr>
      </w:pPr>
    </w:p>
    <w:p w14:paraId="6A332AED" w14:textId="77777777" w:rsidR="00171824" w:rsidRDefault="006D258C" w:rsidP="00422380">
      <w:pPr>
        <w:pStyle w:val="Heading1"/>
        <w:keepNext/>
        <w:widowControl/>
        <w:tabs>
          <w:tab w:val="left" w:pos="567"/>
        </w:tabs>
        <w:kinsoku w:val="0"/>
        <w:overflowPunct w:val="0"/>
        <w:ind w:left="567" w:hanging="567"/>
        <w:rPr>
          <w:b w:val="0"/>
          <w:bCs w:val="0"/>
          <w:lang w:val="el-GR"/>
        </w:rPr>
      </w:pPr>
      <w:r>
        <w:rPr>
          <w:lang w:val="el-GR"/>
        </w:rPr>
        <w:lastRenderedPageBreak/>
        <w:t>4.9</w:t>
      </w:r>
      <w:r>
        <w:rPr>
          <w:lang w:val="el-GR"/>
        </w:rPr>
        <w:tab/>
        <w:t>Υπερδοσολογία</w:t>
      </w:r>
    </w:p>
    <w:p w14:paraId="4802C87A" w14:textId="77777777" w:rsidR="00171824" w:rsidRDefault="00171824" w:rsidP="00422380">
      <w:pPr>
        <w:keepNext/>
        <w:widowControl/>
        <w:kinsoku w:val="0"/>
        <w:overflowPunct w:val="0"/>
        <w:rPr>
          <w:sz w:val="22"/>
          <w:szCs w:val="22"/>
          <w:lang w:val="el-GR"/>
        </w:rPr>
      </w:pPr>
    </w:p>
    <w:p w14:paraId="2DD1BCE6" w14:textId="77777777" w:rsidR="00171824" w:rsidRDefault="006D258C">
      <w:pPr>
        <w:pStyle w:val="BodyText"/>
        <w:widowControl/>
        <w:kinsoku w:val="0"/>
        <w:overflowPunct w:val="0"/>
        <w:ind w:left="0"/>
        <w:rPr>
          <w:lang w:val="el-GR"/>
        </w:rPr>
      </w:pPr>
      <w:r>
        <w:rPr>
          <w:lang w:val="el-GR"/>
        </w:rPr>
        <w:t>Κατά τη διάρκεια των κλινικών μελετών δεν παρατηρήθηκε τοξικότητα που οδήγησε σε περιορισμό της δόσης. Το υψηλότερο επίπεδο δόσης που έχει αξιολογηθεί ήταν οι πολλαπλές ενδοφλέβιες δόσεις των 10 mg/kg, το οποίο είναι περίπου 15 φορές μεγαλύτερο από τη συνιστώμενη δόση.</w:t>
      </w:r>
    </w:p>
    <w:p w14:paraId="62488F75" w14:textId="77777777" w:rsidR="00171824" w:rsidRDefault="00171824">
      <w:pPr>
        <w:widowControl/>
        <w:kinsoku w:val="0"/>
        <w:overflowPunct w:val="0"/>
        <w:rPr>
          <w:sz w:val="22"/>
          <w:szCs w:val="22"/>
          <w:lang w:val="el-GR"/>
        </w:rPr>
      </w:pPr>
    </w:p>
    <w:p w14:paraId="14B4556C" w14:textId="77777777" w:rsidR="00171824" w:rsidRDefault="00171824">
      <w:pPr>
        <w:widowControl/>
        <w:kinsoku w:val="0"/>
        <w:overflowPunct w:val="0"/>
        <w:rPr>
          <w:sz w:val="22"/>
          <w:szCs w:val="22"/>
          <w:lang w:val="el-GR"/>
        </w:rPr>
      </w:pPr>
    </w:p>
    <w:p w14:paraId="653DC282" w14:textId="77777777" w:rsidR="00171824" w:rsidRDefault="006D258C">
      <w:pPr>
        <w:pStyle w:val="Heading1"/>
        <w:keepNext/>
        <w:widowControl/>
        <w:tabs>
          <w:tab w:val="left" w:pos="567"/>
        </w:tabs>
        <w:kinsoku w:val="0"/>
        <w:overflowPunct w:val="0"/>
        <w:ind w:left="0"/>
        <w:rPr>
          <w:b w:val="0"/>
          <w:bCs w:val="0"/>
          <w:lang w:val="el-GR"/>
        </w:rPr>
      </w:pPr>
      <w:r>
        <w:rPr>
          <w:lang w:val="el-GR"/>
        </w:rPr>
        <w:t>5.</w:t>
      </w:r>
      <w:r>
        <w:rPr>
          <w:lang w:val="el-GR"/>
        </w:rPr>
        <w:tab/>
        <w:t>ΦΑΡΜΑΚΟΛΟΓΙΚΕΣ ΙΔΙΟΤΗΤΕΣ</w:t>
      </w:r>
    </w:p>
    <w:p w14:paraId="0D5BF0DD" w14:textId="77777777" w:rsidR="00171824" w:rsidRDefault="00171824">
      <w:pPr>
        <w:keepNext/>
        <w:widowControl/>
        <w:kinsoku w:val="0"/>
        <w:overflowPunct w:val="0"/>
        <w:rPr>
          <w:sz w:val="22"/>
          <w:szCs w:val="22"/>
          <w:lang w:val="el-GR"/>
        </w:rPr>
      </w:pPr>
    </w:p>
    <w:p w14:paraId="1B33F686" w14:textId="77777777" w:rsidR="00171824" w:rsidRDefault="006D258C">
      <w:pPr>
        <w:keepNext/>
        <w:widowControl/>
        <w:tabs>
          <w:tab w:val="left" w:pos="567"/>
        </w:tabs>
        <w:kinsoku w:val="0"/>
        <w:overflowPunct w:val="0"/>
        <w:rPr>
          <w:sz w:val="22"/>
          <w:szCs w:val="22"/>
          <w:lang w:val="el-GR"/>
        </w:rPr>
      </w:pPr>
      <w:r>
        <w:rPr>
          <w:b/>
          <w:bCs/>
          <w:sz w:val="22"/>
          <w:szCs w:val="22"/>
          <w:lang w:val="el-GR"/>
        </w:rPr>
        <w:t>5.1</w:t>
      </w:r>
      <w:r>
        <w:rPr>
          <w:b/>
          <w:bCs/>
          <w:sz w:val="22"/>
          <w:szCs w:val="22"/>
          <w:lang w:val="el-GR"/>
        </w:rPr>
        <w:tab/>
        <w:t>Φαρμακοδυναμικές ιδιότητες</w:t>
      </w:r>
    </w:p>
    <w:p w14:paraId="33853AE9" w14:textId="77777777" w:rsidR="00171824" w:rsidRDefault="00171824">
      <w:pPr>
        <w:keepNext/>
        <w:widowControl/>
        <w:kinsoku w:val="0"/>
        <w:overflowPunct w:val="0"/>
        <w:rPr>
          <w:sz w:val="22"/>
          <w:szCs w:val="22"/>
          <w:lang w:val="el-GR"/>
        </w:rPr>
      </w:pPr>
    </w:p>
    <w:p w14:paraId="1931DA62" w14:textId="77777777" w:rsidR="00171824" w:rsidRDefault="006D258C">
      <w:pPr>
        <w:pStyle w:val="BodyText"/>
        <w:widowControl/>
        <w:kinsoku w:val="0"/>
        <w:overflowPunct w:val="0"/>
        <w:ind w:left="0"/>
        <w:rPr>
          <w:lang w:val="el-GR"/>
        </w:rPr>
      </w:pPr>
      <w:r>
        <w:rPr>
          <w:lang w:val="el-GR"/>
        </w:rPr>
        <w:t>Φαρμακοθεραπευτική κατηγορία: Ανοσοκατασταλτικοί παράγοντες, αναστολείς του παράγοντα νέκρωσης όγκων α (TNF-α). Κωδικός ATC: L04AΒ04</w:t>
      </w:r>
    </w:p>
    <w:p w14:paraId="28939DFF" w14:textId="77777777" w:rsidR="00171824" w:rsidRDefault="00171824">
      <w:pPr>
        <w:widowControl/>
        <w:kinsoku w:val="0"/>
        <w:overflowPunct w:val="0"/>
        <w:rPr>
          <w:sz w:val="22"/>
          <w:szCs w:val="22"/>
          <w:lang w:val="el-GR"/>
        </w:rPr>
      </w:pPr>
    </w:p>
    <w:p w14:paraId="4221028C" w14:textId="77777777" w:rsidR="00171824" w:rsidRDefault="006D258C">
      <w:pPr>
        <w:widowControl/>
        <w:kinsoku w:val="0"/>
        <w:overflowPunct w:val="0"/>
        <w:rPr>
          <w:sz w:val="22"/>
          <w:szCs w:val="22"/>
          <w:u w:val="single"/>
          <w:lang w:val="el-GR"/>
        </w:rPr>
      </w:pPr>
      <w:r>
        <w:rPr>
          <w:sz w:val="22"/>
          <w:szCs w:val="22"/>
          <w:lang w:val="el-GR"/>
        </w:rPr>
        <w:t xml:space="preserve">Το AMGEVITA είναι ένα βιοϊσοδύναμο φαρμακευτικό προϊόν. Αναλυτικές πληροφορίες διατίθενται στον δικτυακό τόπο του Ευρωπαϊκού Οργανισμού Φαρμάκων </w:t>
      </w:r>
      <w:hyperlink r:id="rId21" w:history="1">
        <w:r>
          <w:rPr>
            <w:rStyle w:val="Hyperlink"/>
            <w:color w:val="0000FF"/>
            <w:sz w:val="22"/>
            <w:szCs w:val="22"/>
            <w:lang w:val="el-GR"/>
          </w:rPr>
          <w:t>http://www.ema.europa.eu</w:t>
        </w:r>
      </w:hyperlink>
      <w:r>
        <w:rPr>
          <w:sz w:val="22"/>
          <w:szCs w:val="22"/>
          <w:lang w:val="el-GR"/>
        </w:rPr>
        <w:t>.</w:t>
      </w:r>
    </w:p>
    <w:p w14:paraId="076B9692" w14:textId="77777777" w:rsidR="00171824" w:rsidRDefault="00171824">
      <w:pPr>
        <w:widowControl/>
        <w:kinsoku w:val="0"/>
        <w:overflowPunct w:val="0"/>
        <w:rPr>
          <w:sz w:val="22"/>
          <w:szCs w:val="22"/>
          <w:lang w:val="el-GR"/>
        </w:rPr>
      </w:pPr>
    </w:p>
    <w:p w14:paraId="457C0D1F" w14:textId="77777777" w:rsidR="00171824" w:rsidRDefault="006D258C">
      <w:pPr>
        <w:pStyle w:val="BodyText"/>
        <w:keepNext/>
        <w:widowControl/>
        <w:kinsoku w:val="0"/>
        <w:overflowPunct w:val="0"/>
        <w:ind w:left="0"/>
        <w:rPr>
          <w:lang w:val="el-GR"/>
        </w:rPr>
      </w:pPr>
      <w:r>
        <w:rPr>
          <w:u w:val="single"/>
          <w:lang w:val="el-GR"/>
        </w:rPr>
        <w:t>Μηχανισμός δράσης</w:t>
      </w:r>
    </w:p>
    <w:p w14:paraId="43102CF0" w14:textId="77777777" w:rsidR="00171824" w:rsidRDefault="00171824">
      <w:pPr>
        <w:widowControl/>
        <w:kinsoku w:val="0"/>
        <w:overflowPunct w:val="0"/>
        <w:rPr>
          <w:sz w:val="22"/>
          <w:szCs w:val="22"/>
          <w:lang w:val="el-GR"/>
        </w:rPr>
      </w:pPr>
    </w:p>
    <w:p w14:paraId="5E98C263" w14:textId="77777777" w:rsidR="00171824" w:rsidRDefault="006D258C">
      <w:pPr>
        <w:pStyle w:val="BodyText"/>
        <w:widowControl/>
        <w:kinsoku w:val="0"/>
        <w:overflowPunct w:val="0"/>
        <w:ind w:left="0"/>
        <w:rPr>
          <w:lang w:val="el-GR"/>
        </w:rPr>
      </w:pPr>
      <w:r>
        <w:rPr>
          <w:lang w:val="el-GR"/>
        </w:rPr>
        <w:t>Το adalimumab προσδένεται ειδικά στον TNF και παρεμποδίζει τη βιολογική λειτουργία του TNF αναστέλλοντας την αλληλεπίδρασή του με τους p55 και p75 υποδοχείς ΤΝF στη επιφάνεια των κυττάρων.</w:t>
      </w:r>
    </w:p>
    <w:p w14:paraId="25662995" w14:textId="77777777" w:rsidR="00171824" w:rsidRDefault="00171824">
      <w:pPr>
        <w:widowControl/>
        <w:kinsoku w:val="0"/>
        <w:overflowPunct w:val="0"/>
        <w:rPr>
          <w:sz w:val="22"/>
          <w:szCs w:val="22"/>
          <w:lang w:val="el-GR"/>
        </w:rPr>
      </w:pPr>
    </w:p>
    <w:p w14:paraId="5B55F5E5" w14:textId="77777777" w:rsidR="00171824" w:rsidRDefault="006D258C">
      <w:pPr>
        <w:pStyle w:val="BodyText"/>
        <w:widowControl/>
        <w:kinsoku w:val="0"/>
        <w:overflowPunct w:val="0"/>
        <w:ind w:left="0"/>
        <w:rPr>
          <w:lang w:val="el-GR"/>
        </w:rPr>
      </w:pPr>
      <w:r>
        <w:rPr>
          <w:lang w:val="el-GR"/>
        </w:rPr>
        <w:t>Το adalimumab τροποποιεί επίσης τις βιολογικές ανταποκρίσεις που επάγονται ή ρυθμίζονται από τον TNF, συμπεριλαμβανομένων των αλλαγών στα επίπεδα των μορίων προσκόλλησης που ευθύνονται για τη μετακίνηση των λευκοκυττάρων (ELAM-1, VCAM-1 και ICAM-1 με ένα IC</w:t>
      </w:r>
      <w:r>
        <w:rPr>
          <w:position w:val="-3"/>
          <w:sz w:val="14"/>
          <w:szCs w:val="14"/>
          <w:lang w:val="el-GR"/>
        </w:rPr>
        <w:t xml:space="preserve">50 </w:t>
      </w:r>
      <w:r>
        <w:rPr>
          <w:lang w:val="el-GR"/>
        </w:rPr>
        <w:t>των 0,1</w:t>
      </w:r>
      <w:r>
        <w:rPr>
          <w:lang w:val="el-GR"/>
        </w:rPr>
        <w:noBreakHyphen/>
        <w:t>0,2 nM).</w:t>
      </w:r>
    </w:p>
    <w:p w14:paraId="0BC737F3" w14:textId="77777777" w:rsidR="00171824" w:rsidRDefault="00171824">
      <w:pPr>
        <w:pStyle w:val="BodyText"/>
        <w:widowControl/>
        <w:kinsoku w:val="0"/>
        <w:overflowPunct w:val="0"/>
        <w:ind w:left="0"/>
        <w:rPr>
          <w:lang w:val="el-GR"/>
        </w:rPr>
      </w:pPr>
    </w:p>
    <w:p w14:paraId="74BA0C03" w14:textId="77777777" w:rsidR="00171824" w:rsidRDefault="006D258C">
      <w:pPr>
        <w:pStyle w:val="BodyText"/>
        <w:keepNext/>
        <w:widowControl/>
        <w:kinsoku w:val="0"/>
        <w:overflowPunct w:val="0"/>
        <w:ind w:left="0"/>
        <w:rPr>
          <w:u w:val="single"/>
          <w:lang w:val="el-GR"/>
        </w:rPr>
      </w:pPr>
      <w:r>
        <w:rPr>
          <w:u w:val="single"/>
          <w:lang w:val="el-GR"/>
        </w:rPr>
        <w:t>Φαρμακοδυναμικές επιδράσεις</w:t>
      </w:r>
    </w:p>
    <w:p w14:paraId="206BCBC6" w14:textId="77777777" w:rsidR="00171824" w:rsidRDefault="00171824">
      <w:pPr>
        <w:pStyle w:val="BodyText"/>
        <w:keepNext/>
        <w:widowControl/>
        <w:kinsoku w:val="0"/>
        <w:overflowPunct w:val="0"/>
        <w:ind w:left="0"/>
        <w:rPr>
          <w:lang w:val="el-GR"/>
        </w:rPr>
      </w:pPr>
    </w:p>
    <w:p w14:paraId="627527FF" w14:textId="77777777" w:rsidR="00171824" w:rsidRDefault="006D258C">
      <w:pPr>
        <w:pStyle w:val="BodyText"/>
        <w:widowControl/>
        <w:kinsoku w:val="0"/>
        <w:overflowPunct w:val="0"/>
        <w:ind w:left="0"/>
        <w:rPr>
          <w:lang w:val="el-GR"/>
        </w:rPr>
      </w:pPr>
      <w:r>
        <w:rPr>
          <w:lang w:val="el-GR"/>
        </w:rPr>
        <w:t>Μετά τη θεραπεία με adalimumab, παρατηρήθηκε μια ταχεία μείωση των επιπέδων των δεικτών της οξείας φάσεως της φλεγμονής (C-αντιδρώσα πρωτεΐνη (CRP) και ταχύτητα καθίζησης των ερυθροκυττάρων (ESR)) και των κυτοκινών του ορού (IL-6), συγκριτικά με τα επίπεδα που παρατηρήθηκαν πριν από την έναρξη της θεραπείας σε ασθενείς με ρευματοειδή αρθρίτιδα. Τα επίπεδα ορού των μέταλλο</w:t>
      </w:r>
      <w:r>
        <w:rPr>
          <w:lang w:val="el-GR"/>
        </w:rPr>
        <w:noBreakHyphen/>
        <w:t>πρωτεϊνασών της μεσοκυττάριας ουσίας (ΜΜΡ-1 και ΜΜΡ-3) που προκαλούν ανακατασκευή του ιστού που ευθύνεται για την καταστροφή του χόνδρου μειώθηκαν επίσης μετά τη χορήγηση του adalimumab. Οι ασθενείς που έλαβαν το adalimumab παρουσίασαν συνήθως βελτίωση των αιματολογικών σημείων της χρόνιας φλεγμονής.</w:t>
      </w:r>
    </w:p>
    <w:p w14:paraId="438C3CE6" w14:textId="77777777" w:rsidR="00171824" w:rsidRDefault="00171824">
      <w:pPr>
        <w:widowControl/>
        <w:kinsoku w:val="0"/>
        <w:overflowPunct w:val="0"/>
        <w:rPr>
          <w:sz w:val="22"/>
          <w:szCs w:val="22"/>
          <w:lang w:val="el-GR"/>
        </w:rPr>
      </w:pPr>
    </w:p>
    <w:p w14:paraId="76092688" w14:textId="77777777" w:rsidR="00171824" w:rsidRDefault="006D258C">
      <w:pPr>
        <w:pStyle w:val="BodyText"/>
        <w:widowControl/>
        <w:kinsoku w:val="0"/>
        <w:overflowPunct w:val="0"/>
        <w:ind w:left="0"/>
        <w:rPr>
          <w:lang w:val="el-GR"/>
        </w:rPr>
      </w:pPr>
      <w:r>
        <w:rPr>
          <w:lang w:val="el-GR"/>
        </w:rPr>
        <w:t>Επίσης, παρατηρήθηκε μία ταχεία μείωση των επιπέδων της CRP σε ασθενείς με πολυαρθρική νεανική ιδιοπαθή αρθρίτιδα, νόσο του Crohn, ελκώδη κολίτιδα και διαπυητική ιδρωταδενίτιδα μετά τη θεραπεία με adalimumab. Σε ασθενείς με νόσο του Crohn, παρατηρήθηκε μείωση του αριθμού των κυττάρων που εκφράζουν δείκτες φλεγμονής στο παχύ έντερο συμπεριλαμβανομένης σημαντικής μείωσης της έκφρασης του TNFα. Ενδοσκοπικές μελέτες του εντερικού βλεννογόνου έδειξαν στοιχεία επούλωσης του βλεννογόνου σε ασθενείς που έλαβαν θεραπεία με adalimumab.</w:t>
      </w:r>
    </w:p>
    <w:p w14:paraId="58182D96" w14:textId="77777777" w:rsidR="00171824" w:rsidRDefault="00171824">
      <w:pPr>
        <w:widowControl/>
        <w:kinsoku w:val="0"/>
        <w:overflowPunct w:val="0"/>
        <w:rPr>
          <w:sz w:val="22"/>
          <w:szCs w:val="22"/>
          <w:lang w:val="el-GR"/>
        </w:rPr>
      </w:pPr>
    </w:p>
    <w:p w14:paraId="3299A8D6" w14:textId="77777777" w:rsidR="00171824" w:rsidRDefault="006D258C">
      <w:pPr>
        <w:pStyle w:val="BodyText"/>
        <w:widowControl/>
        <w:kinsoku w:val="0"/>
        <w:overflowPunct w:val="0"/>
        <w:ind w:left="0"/>
        <w:rPr>
          <w:lang w:val="el-GR"/>
        </w:rPr>
      </w:pPr>
      <w:r>
        <w:rPr>
          <w:u w:val="single"/>
          <w:lang w:val="el-GR"/>
        </w:rPr>
        <w:t>Κλινική αποτελεσματικότητα και ασφάλεια</w:t>
      </w:r>
    </w:p>
    <w:p w14:paraId="4BEEEF4F" w14:textId="77777777" w:rsidR="00171824" w:rsidRDefault="00171824">
      <w:pPr>
        <w:widowControl/>
        <w:kinsoku w:val="0"/>
        <w:overflowPunct w:val="0"/>
        <w:rPr>
          <w:sz w:val="22"/>
          <w:szCs w:val="22"/>
          <w:lang w:val="el-GR"/>
        </w:rPr>
      </w:pPr>
    </w:p>
    <w:p w14:paraId="285F942D" w14:textId="77777777" w:rsidR="00171824" w:rsidRDefault="006D258C">
      <w:pPr>
        <w:widowControl/>
        <w:kinsoku w:val="0"/>
        <w:overflowPunct w:val="0"/>
        <w:rPr>
          <w:sz w:val="22"/>
          <w:szCs w:val="22"/>
          <w:lang w:val="el-GR"/>
        </w:rPr>
      </w:pPr>
      <w:r>
        <w:rPr>
          <w:i/>
          <w:iCs/>
          <w:sz w:val="22"/>
          <w:szCs w:val="22"/>
          <w:lang w:val="el-GR"/>
        </w:rPr>
        <w:t>Ρευματοειδής αρθρίτιδα</w:t>
      </w:r>
    </w:p>
    <w:p w14:paraId="75C43A17" w14:textId="77777777" w:rsidR="00171824" w:rsidRDefault="00171824">
      <w:pPr>
        <w:widowControl/>
        <w:kinsoku w:val="0"/>
        <w:overflowPunct w:val="0"/>
        <w:rPr>
          <w:sz w:val="22"/>
          <w:szCs w:val="22"/>
          <w:lang w:val="el-GR"/>
        </w:rPr>
      </w:pPr>
    </w:p>
    <w:p w14:paraId="03F589F5" w14:textId="77777777" w:rsidR="00171824" w:rsidRDefault="006D258C">
      <w:pPr>
        <w:pStyle w:val="BodyText"/>
        <w:widowControl/>
        <w:kinsoku w:val="0"/>
        <w:overflowPunct w:val="0"/>
        <w:ind w:left="0"/>
        <w:rPr>
          <w:lang w:val="el-GR"/>
        </w:rPr>
      </w:pPr>
      <w:r>
        <w:rPr>
          <w:lang w:val="el-GR"/>
        </w:rPr>
        <w:t>Το adalimumab αξιολογήθηκε σε πάνω από 3 000 ασθενείς σε όλες τις κλινικές μελέτες ρευματοειδούς αρθρίτιδας. Η αποτελεσματικότητα και η ασφάλεια του adalimumab αξιολογήθηκαν σε πέντε τυχαιοποιημένες, διπλά τυφλές και καλώς ελεγχόμενες μελέτες. Μερικοί ασθενείς έλαβαν το φάρμακο για περίοδο μέχρι 120 μήνες.</w:t>
      </w:r>
    </w:p>
    <w:p w14:paraId="7DBA2A62" w14:textId="77777777" w:rsidR="00171824" w:rsidRDefault="00171824">
      <w:pPr>
        <w:widowControl/>
        <w:kinsoku w:val="0"/>
        <w:overflowPunct w:val="0"/>
        <w:rPr>
          <w:sz w:val="22"/>
          <w:szCs w:val="22"/>
          <w:lang w:val="el-GR"/>
        </w:rPr>
      </w:pPr>
    </w:p>
    <w:p w14:paraId="69F8DC26" w14:textId="77777777" w:rsidR="00171824" w:rsidRDefault="006D258C">
      <w:pPr>
        <w:pStyle w:val="BodyText"/>
        <w:widowControl/>
        <w:kinsoku w:val="0"/>
        <w:overflowPunct w:val="0"/>
        <w:ind w:left="0"/>
        <w:rPr>
          <w:lang w:val="el-GR"/>
        </w:rPr>
      </w:pPr>
      <w:r>
        <w:rPr>
          <w:lang w:val="el-GR"/>
        </w:rPr>
        <w:t xml:space="preserve">Η μελέτη RA Ι αξιολόγησε 271 ασθενείς με μέτρια έως σοβαρή ενεργό ρευματοειδή αρθρίτιδα, οι οποίοι ήταν ≥ 18 ετών, είχαν αποτύχει στη θεραπεία με ένα τουλάχιστον τροποποιητικό της νόσου </w:t>
      </w:r>
      <w:r>
        <w:rPr>
          <w:lang w:val="el-GR"/>
        </w:rPr>
        <w:lastRenderedPageBreak/>
        <w:t>αντιρευματικό φάρμακο και είχαν ανεπαρκή αποτελεσματικότητα με χορήγηση μεθοτρεξάτης σε δόσεις των 12,5 έως 25 mg (10 mg σε περίπτωση δυσανεξίας στη μεθοτρεξάτη) ανά εβδομάδα και στους οποίους η δόση της μεθοτρεξάτης παρέμεινε σταθερή σε 10 έως 25 mg ανά εβδομάδα. Δόσεις των 20, 40 ή 80 mg adalimumab ή εικονικού φαρμάκου χορηγήθηκαν ανά δεύτερη εβδομάδα επί 24 εβδομάδες.</w:t>
      </w:r>
    </w:p>
    <w:p w14:paraId="0B228309" w14:textId="77777777" w:rsidR="00171824" w:rsidRDefault="00171824">
      <w:pPr>
        <w:keepNext/>
        <w:widowControl/>
        <w:kinsoku w:val="0"/>
        <w:overflowPunct w:val="0"/>
        <w:rPr>
          <w:sz w:val="22"/>
          <w:szCs w:val="22"/>
          <w:lang w:val="el-GR"/>
        </w:rPr>
      </w:pPr>
    </w:p>
    <w:p w14:paraId="4609B2F5" w14:textId="77777777" w:rsidR="00171824" w:rsidRDefault="006D258C">
      <w:pPr>
        <w:pStyle w:val="BodyText"/>
        <w:widowControl/>
        <w:kinsoku w:val="0"/>
        <w:overflowPunct w:val="0"/>
        <w:ind w:left="0"/>
        <w:rPr>
          <w:lang w:val="el-GR"/>
        </w:rPr>
      </w:pPr>
      <w:r>
        <w:rPr>
          <w:lang w:val="el-GR"/>
        </w:rPr>
        <w:t>Η μελέτη RA ΙΙ αξιολόγησε 544 ασθενείς με μέτρια έως σοβαρή ενεργό ρευματοειδή αρθρίτιδα, οι οποίοι ήταν ≥ 18 ετών και είχαν αποτύχει στη θεραπεία με ένα τουλάχιστον τροποποιητικό της νόσου αντιρευματικό φάρμακο. Δόσεις των 20 ή 40 mg adalimumab χορηγήθηκαν με υποδόρια ένεση ανά δεύτερη εβδομάδα με εικονικό φάρμακο στις ενδιάμεσες εβδομάδες ή κάθε εβδομάδα επί 26 εβδομάδες. Το εικονικό φάρμακο χορηγήθηκε κάθε εβδομάδα για την ίδια χρονική διάρκεια. Δε χορηγήθηκε κανένα άλλο τροποποιητικό της νόσου αντιρευματικό φάρμακο.</w:t>
      </w:r>
    </w:p>
    <w:p w14:paraId="7D232DCD" w14:textId="77777777" w:rsidR="00171824" w:rsidRDefault="00171824">
      <w:pPr>
        <w:widowControl/>
        <w:kinsoku w:val="0"/>
        <w:overflowPunct w:val="0"/>
        <w:rPr>
          <w:sz w:val="22"/>
          <w:szCs w:val="22"/>
          <w:lang w:val="el-GR"/>
        </w:rPr>
      </w:pPr>
    </w:p>
    <w:p w14:paraId="49A118A5" w14:textId="77777777" w:rsidR="00171824" w:rsidRDefault="006D258C">
      <w:pPr>
        <w:pStyle w:val="BodyText"/>
        <w:widowControl/>
        <w:kinsoku w:val="0"/>
        <w:overflowPunct w:val="0"/>
        <w:ind w:left="0"/>
        <w:rPr>
          <w:lang w:val="el-GR"/>
        </w:rPr>
      </w:pPr>
      <w:r>
        <w:rPr>
          <w:lang w:val="el-GR"/>
        </w:rPr>
        <w:t>Η μελέτη RA ΙΙΙ αξιολόγησε 619 ασθενείς με μέτρια έως σοβαρή ενεργό ρευματοειδή αρθρίτιδα, οι οποίοι ήταν ≥ 18 ετών, και οι οποίοι είχαν μη αποτελεσματική ανταπόκριση στη μεθοτρεξάτη σε δόσεις των 12,5 έως 25 mg ή οι οποίοι είχαν δυσανεξία σε 10 mg μεθοτρεξάτης κάθε εβδομάδα. Υπήρχαν τρεις ομάδες σε αυτή τη μελέτη. Η πρώτη έλαβε ενέσεις εικονικού φαρμάκου ανά εβδομάδα επί 52 εβδομάδες. Η δεύτερη έλαβε 20 mg adalimumab ανά εβδομάδα επί 52 εβδομάδες. Η τρίτη ομάδα έλαβε 40 mg adalimumab ανά δεύτερη εβδομάδα με ενέσεις εικονικού φαρμάκου στις ενδιάμεσες εβδομάδες. Μετά την ολοκλήρωση των πρώτων 52 εβδομάδων, 457 ασθενείς συμμετείχαν σε ανοιχτή μελέτη επέκτασης στην οποία 40 mg adalimumab/ΜΤΧ χορηγήθηκαν κάθε δεύτερη εβδομάδα για περίοδο μέχρι και 10 χρόνια.</w:t>
      </w:r>
    </w:p>
    <w:p w14:paraId="443B3F7E" w14:textId="77777777" w:rsidR="00171824" w:rsidRDefault="00171824">
      <w:pPr>
        <w:pStyle w:val="BodyText"/>
        <w:widowControl/>
        <w:kinsoku w:val="0"/>
        <w:overflowPunct w:val="0"/>
        <w:ind w:left="0"/>
        <w:rPr>
          <w:lang w:val="el-GR"/>
        </w:rPr>
      </w:pPr>
    </w:p>
    <w:p w14:paraId="2FFF9E8A" w14:textId="77777777" w:rsidR="00171824" w:rsidRDefault="006D258C">
      <w:pPr>
        <w:pStyle w:val="BodyText"/>
        <w:widowControl/>
        <w:kinsoku w:val="0"/>
        <w:overflowPunct w:val="0"/>
        <w:ind w:left="0"/>
        <w:rPr>
          <w:lang w:val="el-GR"/>
        </w:rPr>
      </w:pPr>
      <w:r>
        <w:rPr>
          <w:lang w:val="el-GR"/>
        </w:rPr>
        <w:t>Η μελέτη RA ΙV αξιολόγησε κυρίως την ασφάλεια σε 636 ασθενείς με μέτρια έως σοβαρή ενεργό ρευματοειδή αρθρίτιδα, οι οποίοι ήταν ≥ 18 ετών. Οι ασθενείς είτε δεν είχαν λάβει τροποποιητικό της νόσου αντιρευματικό φάρμακο ή παρέμειναν στην προϋπάρχουσα αντιρευματική θεραπεία τους με την προϋπόθεση ότι η θεραπεία αυτή ήταν σταθερή για τουλάχιστον 28 ημέρες. Οι θεραπείες αυτές περιλαμβάνουν μεθοτρεξάτη, λεφλουνομίδη, υδροξυχλωροκίνη, σουλφασαλαζίνη και /ή άλατα χρυσού. Οι ασθενείς τυχαιοποιήθηκαν σε 40 mg adalimumab ή εικονικό φάρμακο ανά δεύτερη εβδομάδα επί 24 εβδομάδες.</w:t>
      </w:r>
    </w:p>
    <w:p w14:paraId="7C71DED5" w14:textId="77777777" w:rsidR="00171824" w:rsidRDefault="00171824">
      <w:pPr>
        <w:widowControl/>
        <w:kinsoku w:val="0"/>
        <w:overflowPunct w:val="0"/>
        <w:rPr>
          <w:sz w:val="22"/>
          <w:szCs w:val="22"/>
          <w:lang w:val="el-GR"/>
        </w:rPr>
      </w:pPr>
    </w:p>
    <w:p w14:paraId="377E9541" w14:textId="77777777" w:rsidR="00171824" w:rsidRDefault="006D258C">
      <w:pPr>
        <w:pStyle w:val="BodyText"/>
        <w:widowControl/>
        <w:kinsoku w:val="0"/>
        <w:overflowPunct w:val="0"/>
        <w:ind w:left="0"/>
        <w:rPr>
          <w:lang w:val="el-GR"/>
        </w:rPr>
      </w:pPr>
      <w:r>
        <w:rPr>
          <w:lang w:val="el-GR"/>
        </w:rPr>
        <w:t>Η μελέτη RA V αξιολόγησε 799 ενήλικες ασθενείς στους οποίους δεν είχε χορηγηθεί ποτέ μεθοτρεξάτη με μέτρια έως σοβαρή πρώιμη ρευματοειδή αρθρίτιδα (μέση διάρκεια θεραπείας λιγότερο από 9 μήνες). Αυτή η μελέτη αξιολόγησε την αποτελεσματικότητα της θεραπείας συνδυασμού μεθοτρεξάτης με adalimumab 40 mg κάθε δεύτερη εβδομάδα, του adalimumab 40 mg κάθε δεύτερη εβδομάδα ως μονοθεραπεία και της μεθοτρεξάτης ως μονοθεραπεία, όσον αφορά στη μείωση σημείων, συμπτωμάτων και το βαθμό εξέλιξης της αρθρικής βλάβης στη ρευματοειδή αρθρίτιδα για 104 εβδομάδες. Μετά το πέρας των πρώτων 104 εβδομάδων, 497 ασθενείς συμμετείχαν σε μια ανοιχτή φάση επέκτασης στην οποία χορηγούνταν 40 mg adalimumab κάθε δεύτερη εβδομάδα για περίοδο μέχρι και 10 χρόνια.</w:t>
      </w:r>
    </w:p>
    <w:p w14:paraId="0E30AC78" w14:textId="77777777" w:rsidR="00171824" w:rsidRDefault="00171824">
      <w:pPr>
        <w:widowControl/>
        <w:kinsoku w:val="0"/>
        <w:overflowPunct w:val="0"/>
        <w:rPr>
          <w:sz w:val="22"/>
          <w:szCs w:val="22"/>
          <w:lang w:val="el-GR"/>
        </w:rPr>
      </w:pPr>
    </w:p>
    <w:p w14:paraId="7C552080" w14:textId="77777777" w:rsidR="00171824" w:rsidRDefault="006D258C">
      <w:pPr>
        <w:pStyle w:val="BodyText"/>
        <w:widowControl/>
        <w:kinsoku w:val="0"/>
        <w:overflowPunct w:val="0"/>
        <w:ind w:left="0"/>
        <w:rPr>
          <w:lang w:val="el-GR"/>
        </w:rPr>
      </w:pPr>
      <w:r>
        <w:rPr>
          <w:lang w:val="el-GR"/>
        </w:rPr>
        <w:t xml:space="preserve">Το πρωτεύον καταληκτικό σημείο στις μελέτες RA Ι, ΙΙ και ΙΙΙ και το δευτερεύον καταληκτικό σημείο στη μελέτη RA IV ήταν το ποσοστό των ασθενών που πέτυχαν ανταπόκριση κατά ACR 20 στην εβδομάδα 24 ή 26. Το πρωτεύον καταληκτικό σημείο στη μελέτη RA V ήταν το ποσοστό των ασθενών που εμφάνισαν ανταπόκριση κατά ACR 50 στην εβδομάδα 52. Η Μελέτη ΙΙΙ και V είχαν ένα επιπρόσθετο πρωτεύον καταληκτικό σημείο κατά την εβδομάδα 52, την επιβράδυνση της εξέλιξης της νόσου (βάσει των ακτινολογικών ευρημάτων). Η μελέτη RA ΙΙΙ είχε επίσης ως πρωτεύον καταληκτικό σημείο τις αλλαγές στην ποιότητα ζωής. </w:t>
      </w:r>
    </w:p>
    <w:p w14:paraId="68CCD572" w14:textId="77777777" w:rsidR="00171824" w:rsidRDefault="00171824">
      <w:pPr>
        <w:widowControl/>
        <w:kinsoku w:val="0"/>
        <w:overflowPunct w:val="0"/>
        <w:rPr>
          <w:sz w:val="22"/>
          <w:szCs w:val="22"/>
          <w:lang w:val="el-GR"/>
        </w:rPr>
      </w:pPr>
    </w:p>
    <w:p w14:paraId="15255580" w14:textId="77777777" w:rsidR="00171824" w:rsidRDefault="006D258C">
      <w:pPr>
        <w:widowControl/>
        <w:kinsoku w:val="0"/>
        <w:overflowPunct w:val="0"/>
        <w:rPr>
          <w:sz w:val="22"/>
          <w:szCs w:val="22"/>
          <w:u w:val="single"/>
          <w:lang w:val="el-GR"/>
        </w:rPr>
      </w:pPr>
      <w:r>
        <w:rPr>
          <w:i/>
          <w:iCs/>
          <w:sz w:val="22"/>
          <w:szCs w:val="22"/>
          <w:u w:val="single"/>
          <w:lang w:val="el-GR"/>
        </w:rPr>
        <w:t>ACR ανταπόκριση</w:t>
      </w:r>
    </w:p>
    <w:p w14:paraId="544DD63B" w14:textId="77777777" w:rsidR="00171824" w:rsidRDefault="00171824">
      <w:pPr>
        <w:widowControl/>
        <w:kinsoku w:val="0"/>
        <w:overflowPunct w:val="0"/>
        <w:rPr>
          <w:sz w:val="22"/>
          <w:szCs w:val="22"/>
          <w:lang w:val="el-GR"/>
        </w:rPr>
      </w:pPr>
    </w:p>
    <w:p w14:paraId="49208141" w14:textId="77777777" w:rsidR="00171824" w:rsidRDefault="006D258C">
      <w:pPr>
        <w:pStyle w:val="BodyText"/>
        <w:widowControl/>
        <w:kinsoku w:val="0"/>
        <w:overflowPunct w:val="0"/>
        <w:ind w:left="0"/>
        <w:rPr>
          <w:lang w:val="el-GR"/>
        </w:rPr>
      </w:pPr>
      <w:r>
        <w:rPr>
          <w:lang w:val="el-GR"/>
        </w:rPr>
        <w:t>Το ποσοστό των ασθενών που έλαβαν adalimumab και εμφάνισαν ανταποκρίσεις ACR 20, 50 και 70 ήταν σταθερό στις μελέτες RA Ι, ΙΙ και ΙΙΙ. Τα αποτελέσματα της δόσης των 40 mg ανά εβδομάδα συνοψίζονται στον πίνακα 8.</w:t>
      </w:r>
    </w:p>
    <w:p w14:paraId="7F0B830F" w14:textId="77777777" w:rsidR="00171824" w:rsidRDefault="00171824">
      <w:pPr>
        <w:pStyle w:val="BodyText"/>
        <w:widowControl/>
        <w:ind w:left="0"/>
        <w:rPr>
          <w:b/>
          <w:lang w:val="el-GR"/>
        </w:rPr>
      </w:pPr>
    </w:p>
    <w:p w14:paraId="77AFDE97" w14:textId="77777777" w:rsidR="00171824" w:rsidRDefault="006D258C">
      <w:pPr>
        <w:pStyle w:val="BodyText"/>
        <w:keepNext/>
        <w:keepLines/>
        <w:widowControl/>
        <w:ind w:left="0"/>
        <w:rPr>
          <w:b/>
          <w:lang w:val="el-GR"/>
        </w:rPr>
      </w:pPr>
      <w:r>
        <w:rPr>
          <w:b/>
          <w:lang w:val="el-GR"/>
        </w:rPr>
        <w:lastRenderedPageBreak/>
        <w:t>Πίνακας 8.</w:t>
      </w:r>
      <w:r>
        <w:rPr>
          <w:b/>
          <w:bCs/>
          <w:lang w:val="el-GR"/>
        </w:rPr>
        <w:t xml:space="preserve"> ACR Ανταποκρίσεις σε Μελέτες Ελεγχόμενες με Εικονικό Φάρμακο (ποσοστό ασθενών)</w:t>
      </w:r>
    </w:p>
    <w:p w14:paraId="30FB48B5" w14:textId="77777777" w:rsidR="00171824" w:rsidRDefault="00171824">
      <w:pPr>
        <w:keepNext/>
        <w:keepLines/>
        <w:widowControl/>
        <w:kinsoku w:val="0"/>
        <w:overflowPunct w:val="0"/>
        <w:rPr>
          <w:sz w:val="22"/>
          <w:szCs w:val="22"/>
          <w:lang w:val="el-GR"/>
        </w:rPr>
      </w:pPr>
    </w:p>
    <w:tbl>
      <w:tblPr>
        <w:tblW w:w="9204"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28" w:type="dxa"/>
          <w:right w:w="28" w:type="dxa"/>
        </w:tblCellMar>
        <w:tblLook w:val="04A0" w:firstRow="1" w:lastRow="0" w:firstColumn="1" w:lastColumn="0" w:noHBand="0" w:noVBand="1"/>
      </w:tblPr>
      <w:tblGrid>
        <w:gridCol w:w="1408"/>
        <w:gridCol w:w="1134"/>
        <w:gridCol w:w="1559"/>
        <w:gridCol w:w="1134"/>
        <w:gridCol w:w="1418"/>
        <w:gridCol w:w="1134"/>
        <w:gridCol w:w="1417"/>
      </w:tblGrid>
      <w:tr w:rsidR="00171824" w14:paraId="18C85934" w14:textId="77777777">
        <w:trPr>
          <w:trHeight w:val="19"/>
          <w:tblHeader/>
        </w:trPr>
        <w:tc>
          <w:tcPr>
            <w:tcW w:w="1408" w:type="dxa"/>
            <w:vMerge w:val="restart"/>
            <w:tcBorders>
              <w:left w:val="single" w:sz="4" w:space="0" w:color="auto"/>
            </w:tcBorders>
          </w:tcPr>
          <w:p w14:paraId="3321195A" w14:textId="77777777" w:rsidR="00171824" w:rsidRDefault="006D258C">
            <w:pPr>
              <w:pStyle w:val="TableParagraph"/>
              <w:keepNext/>
              <w:keepLines/>
              <w:widowControl/>
              <w:kinsoku w:val="0"/>
              <w:overflowPunct w:val="0"/>
              <w:rPr>
                <w:rFonts w:eastAsia="MS Mincho"/>
                <w:b/>
                <w:sz w:val="22"/>
                <w:szCs w:val="22"/>
                <w:lang w:val="el-GR"/>
              </w:rPr>
            </w:pPr>
            <w:r>
              <w:rPr>
                <w:rFonts w:eastAsia="MS Mincho"/>
                <w:b/>
                <w:sz w:val="22"/>
                <w:szCs w:val="22"/>
                <w:lang w:val="el-GR"/>
              </w:rPr>
              <w:t>Ανταπόκριση</w:t>
            </w:r>
          </w:p>
        </w:tc>
        <w:tc>
          <w:tcPr>
            <w:tcW w:w="2693" w:type="dxa"/>
            <w:gridSpan w:val="2"/>
          </w:tcPr>
          <w:p w14:paraId="17D6641F"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Μελέτη RA I</w:t>
            </w:r>
            <w:r>
              <w:rPr>
                <w:rFonts w:eastAsia="MS Mincho"/>
                <w:b/>
                <w:sz w:val="22"/>
                <w:szCs w:val="22"/>
                <w:vertAlign w:val="superscript"/>
                <w:lang w:val="el-GR"/>
              </w:rPr>
              <w:t>a</w:t>
            </w:r>
            <w:r>
              <w:rPr>
                <w:rFonts w:eastAsia="MS Mincho"/>
                <w:b/>
                <w:sz w:val="22"/>
                <w:szCs w:val="22"/>
                <w:lang w:val="el-GR"/>
              </w:rPr>
              <w:t>**</w:t>
            </w:r>
          </w:p>
        </w:tc>
        <w:tc>
          <w:tcPr>
            <w:tcW w:w="2552" w:type="dxa"/>
            <w:gridSpan w:val="2"/>
          </w:tcPr>
          <w:p w14:paraId="16CBA53F"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Μελέτη RA IΙ</w:t>
            </w:r>
            <w:r>
              <w:rPr>
                <w:rFonts w:eastAsia="MS Mincho"/>
                <w:b/>
                <w:sz w:val="22"/>
                <w:szCs w:val="22"/>
                <w:vertAlign w:val="superscript"/>
                <w:lang w:val="el-GR"/>
              </w:rPr>
              <w:t>a</w:t>
            </w:r>
            <w:r>
              <w:rPr>
                <w:rFonts w:eastAsia="MS Mincho"/>
                <w:b/>
                <w:sz w:val="22"/>
                <w:szCs w:val="22"/>
                <w:lang w:val="el-GR"/>
              </w:rPr>
              <w:t>**</w:t>
            </w:r>
          </w:p>
        </w:tc>
        <w:tc>
          <w:tcPr>
            <w:tcW w:w="2551" w:type="dxa"/>
            <w:gridSpan w:val="2"/>
            <w:tcBorders>
              <w:right w:val="single" w:sz="4" w:space="0" w:color="auto"/>
            </w:tcBorders>
          </w:tcPr>
          <w:p w14:paraId="1D8F2D44"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Μελέτη RA ΙΙI</w:t>
            </w:r>
            <w:r>
              <w:rPr>
                <w:rFonts w:eastAsia="MS Mincho"/>
                <w:b/>
                <w:sz w:val="22"/>
                <w:szCs w:val="22"/>
                <w:vertAlign w:val="superscript"/>
                <w:lang w:val="el-GR"/>
              </w:rPr>
              <w:t>a</w:t>
            </w:r>
            <w:r>
              <w:rPr>
                <w:rFonts w:eastAsia="MS Mincho"/>
                <w:b/>
                <w:sz w:val="22"/>
                <w:szCs w:val="22"/>
                <w:lang w:val="el-GR"/>
              </w:rPr>
              <w:t>**</w:t>
            </w:r>
          </w:p>
        </w:tc>
      </w:tr>
      <w:tr w:rsidR="00171824" w14:paraId="650553D7" w14:textId="77777777">
        <w:trPr>
          <w:trHeight w:val="19"/>
          <w:tblHeader/>
        </w:trPr>
        <w:tc>
          <w:tcPr>
            <w:tcW w:w="1408" w:type="dxa"/>
            <w:vMerge/>
            <w:tcBorders>
              <w:left w:val="single" w:sz="4" w:space="0" w:color="auto"/>
              <w:bottom w:val="single" w:sz="8" w:space="0" w:color="auto"/>
            </w:tcBorders>
          </w:tcPr>
          <w:p w14:paraId="5912EF04" w14:textId="77777777" w:rsidR="00171824" w:rsidRDefault="00171824">
            <w:pPr>
              <w:pStyle w:val="TableParagraph"/>
              <w:keepNext/>
              <w:keepLines/>
              <w:widowControl/>
              <w:kinsoku w:val="0"/>
              <w:overflowPunct w:val="0"/>
              <w:rPr>
                <w:rFonts w:eastAsia="MS Mincho"/>
                <w:b/>
                <w:sz w:val="22"/>
                <w:szCs w:val="22"/>
                <w:lang w:val="el-GR"/>
              </w:rPr>
            </w:pPr>
          </w:p>
        </w:tc>
        <w:tc>
          <w:tcPr>
            <w:tcW w:w="1134" w:type="dxa"/>
            <w:tcBorders>
              <w:bottom w:val="single" w:sz="8" w:space="0" w:color="auto"/>
              <w:right w:val="single" w:sz="4" w:space="0" w:color="auto"/>
            </w:tcBorders>
          </w:tcPr>
          <w:p w14:paraId="46683F19"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Εικονικό</w:t>
            </w:r>
          </w:p>
          <w:p w14:paraId="28498956"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φάρμακο/</w:t>
            </w:r>
          </w:p>
          <w:p w14:paraId="28266742"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MTX</w:t>
            </w:r>
            <w:r>
              <w:rPr>
                <w:rFonts w:eastAsia="MS Mincho"/>
                <w:b/>
                <w:sz w:val="22"/>
                <w:szCs w:val="22"/>
                <w:vertAlign w:val="superscript"/>
                <w:lang w:val="el-GR"/>
              </w:rPr>
              <w:t>c</w:t>
            </w:r>
          </w:p>
          <w:p w14:paraId="64541F99"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n=60</w:t>
            </w:r>
          </w:p>
        </w:tc>
        <w:tc>
          <w:tcPr>
            <w:tcW w:w="1559" w:type="dxa"/>
            <w:tcBorders>
              <w:left w:val="single" w:sz="4" w:space="0" w:color="auto"/>
              <w:bottom w:val="single" w:sz="8" w:space="0" w:color="auto"/>
            </w:tcBorders>
          </w:tcPr>
          <w:p w14:paraId="0A4D1B82"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Adalimumab</w:t>
            </w:r>
            <w:r>
              <w:rPr>
                <w:rFonts w:eastAsia="MS Mincho"/>
                <w:b/>
                <w:sz w:val="22"/>
                <w:szCs w:val="22"/>
                <w:vertAlign w:val="superscript"/>
                <w:lang w:val="el-GR"/>
              </w:rPr>
              <w:t>b</w:t>
            </w:r>
            <w:r>
              <w:rPr>
                <w:rFonts w:eastAsia="MS Mincho"/>
                <w:b/>
                <w:sz w:val="22"/>
                <w:szCs w:val="22"/>
                <w:lang w:val="el-GR"/>
              </w:rPr>
              <w:t>/</w:t>
            </w:r>
          </w:p>
          <w:p w14:paraId="4B25056B"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MTX</w:t>
            </w:r>
            <w:r>
              <w:rPr>
                <w:rFonts w:eastAsia="MS Mincho"/>
                <w:b/>
                <w:sz w:val="22"/>
                <w:szCs w:val="22"/>
                <w:vertAlign w:val="superscript"/>
                <w:lang w:val="el-GR"/>
              </w:rPr>
              <w:t>c</w:t>
            </w:r>
          </w:p>
          <w:p w14:paraId="664DC6BD"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n=63</w:t>
            </w:r>
          </w:p>
        </w:tc>
        <w:tc>
          <w:tcPr>
            <w:tcW w:w="1134" w:type="dxa"/>
            <w:tcBorders>
              <w:bottom w:val="single" w:sz="8" w:space="0" w:color="auto"/>
              <w:right w:val="single" w:sz="4" w:space="0" w:color="auto"/>
            </w:tcBorders>
          </w:tcPr>
          <w:p w14:paraId="50CE3DF1"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Εικονικό</w:t>
            </w:r>
          </w:p>
          <w:p w14:paraId="132B1501"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φάρμακο</w:t>
            </w:r>
          </w:p>
          <w:p w14:paraId="76D181A8"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n=110</w:t>
            </w:r>
          </w:p>
        </w:tc>
        <w:tc>
          <w:tcPr>
            <w:tcW w:w="1418" w:type="dxa"/>
            <w:tcBorders>
              <w:left w:val="single" w:sz="4" w:space="0" w:color="auto"/>
              <w:bottom w:val="single" w:sz="8" w:space="0" w:color="auto"/>
            </w:tcBorders>
          </w:tcPr>
          <w:p w14:paraId="5E67F002"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Adalimumab</w:t>
            </w:r>
            <w:r>
              <w:rPr>
                <w:rFonts w:eastAsia="MS Mincho"/>
                <w:b/>
                <w:sz w:val="22"/>
                <w:szCs w:val="22"/>
                <w:vertAlign w:val="superscript"/>
                <w:lang w:val="el-GR"/>
              </w:rPr>
              <w:t>b</w:t>
            </w:r>
          </w:p>
          <w:p w14:paraId="546F5ECF"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n=113</w:t>
            </w:r>
          </w:p>
        </w:tc>
        <w:tc>
          <w:tcPr>
            <w:tcW w:w="1134" w:type="dxa"/>
            <w:tcBorders>
              <w:bottom w:val="single" w:sz="8" w:space="0" w:color="auto"/>
              <w:right w:val="single" w:sz="4" w:space="0" w:color="auto"/>
            </w:tcBorders>
          </w:tcPr>
          <w:p w14:paraId="4F94FC1F"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Εικονικό</w:t>
            </w:r>
          </w:p>
          <w:p w14:paraId="219911B2"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φάρμακο/</w:t>
            </w:r>
          </w:p>
          <w:p w14:paraId="0848AABD"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MTX</w:t>
            </w:r>
            <w:r>
              <w:rPr>
                <w:rFonts w:eastAsia="MS Mincho"/>
                <w:b/>
                <w:sz w:val="22"/>
                <w:szCs w:val="22"/>
                <w:vertAlign w:val="superscript"/>
                <w:lang w:val="el-GR"/>
              </w:rPr>
              <w:t>c</w:t>
            </w:r>
          </w:p>
          <w:p w14:paraId="66CADCAA"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n=200</w:t>
            </w:r>
          </w:p>
        </w:tc>
        <w:tc>
          <w:tcPr>
            <w:tcW w:w="1417" w:type="dxa"/>
            <w:tcBorders>
              <w:left w:val="single" w:sz="4" w:space="0" w:color="auto"/>
              <w:bottom w:val="single" w:sz="8" w:space="0" w:color="auto"/>
              <w:right w:val="single" w:sz="4" w:space="0" w:color="auto"/>
            </w:tcBorders>
          </w:tcPr>
          <w:p w14:paraId="0F8054F4" w14:textId="77777777" w:rsidR="00171824" w:rsidRDefault="006D258C">
            <w:pPr>
              <w:pStyle w:val="TableParagraph"/>
              <w:keepNext/>
              <w:keepLines/>
              <w:widowControl/>
              <w:kinsoku w:val="0"/>
              <w:overflowPunct w:val="0"/>
              <w:jc w:val="center"/>
              <w:rPr>
                <w:rFonts w:eastAsia="MS Mincho"/>
                <w:b/>
                <w:w w:val="99"/>
                <w:position w:val="10"/>
                <w:sz w:val="22"/>
                <w:szCs w:val="22"/>
                <w:lang w:val="el-GR"/>
              </w:rPr>
            </w:pPr>
            <w:r>
              <w:rPr>
                <w:rFonts w:eastAsia="MS Mincho"/>
                <w:b/>
                <w:sz w:val="22"/>
                <w:szCs w:val="22"/>
                <w:lang w:val="el-GR"/>
              </w:rPr>
              <w:t>Adalimumab</w:t>
            </w:r>
            <w:r>
              <w:rPr>
                <w:rFonts w:eastAsia="MS Mincho"/>
                <w:b/>
                <w:sz w:val="22"/>
                <w:szCs w:val="22"/>
                <w:vertAlign w:val="superscript"/>
                <w:lang w:val="el-GR"/>
              </w:rPr>
              <w:t>b</w:t>
            </w:r>
            <w:r>
              <w:rPr>
                <w:rFonts w:eastAsia="MS Mincho"/>
                <w:b/>
                <w:sz w:val="22"/>
                <w:szCs w:val="22"/>
                <w:lang w:val="el-GR"/>
              </w:rPr>
              <w:t>/ MTX</w:t>
            </w:r>
            <w:r>
              <w:rPr>
                <w:rFonts w:eastAsia="MS Mincho"/>
                <w:b/>
                <w:sz w:val="22"/>
                <w:szCs w:val="22"/>
                <w:vertAlign w:val="superscript"/>
                <w:lang w:val="el-GR"/>
              </w:rPr>
              <w:t>c</w:t>
            </w:r>
            <w:r>
              <w:rPr>
                <w:rFonts w:eastAsia="MS Mincho"/>
                <w:b/>
                <w:w w:val="99"/>
                <w:position w:val="10"/>
                <w:sz w:val="22"/>
                <w:szCs w:val="22"/>
                <w:lang w:val="el-GR"/>
              </w:rPr>
              <w:t xml:space="preserve"> </w:t>
            </w:r>
          </w:p>
          <w:p w14:paraId="4947DD65"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n=207</w:t>
            </w:r>
          </w:p>
        </w:tc>
      </w:tr>
      <w:tr w:rsidR="00171824" w14:paraId="5A4E8DC5" w14:textId="77777777">
        <w:trPr>
          <w:trHeight w:val="19"/>
        </w:trPr>
        <w:tc>
          <w:tcPr>
            <w:tcW w:w="9204" w:type="dxa"/>
            <w:gridSpan w:val="7"/>
            <w:tcBorders>
              <w:left w:val="single" w:sz="4" w:space="0" w:color="auto"/>
              <w:bottom w:val="single" w:sz="4" w:space="0" w:color="auto"/>
              <w:right w:val="single" w:sz="4" w:space="0" w:color="auto"/>
            </w:tcBorders>
          </w:tcPr>
          <w:p w14:paraId="186E4B61" w14:textId="77777777" w:rsidR="00171824" w:rsidRDefault="006D258C">
            <w:pPr>
              <w:pStyle w:val="TableParagraph"/>
              <w:keepNext/>
              <w:keepLines/>
              <w:widowControl/>
              <w:kinsoku w:val="0"/>
              <w:overflowPunct w:val="0"/>
              <w:rPr>
                <w:rFonts w:eastAsia="MS Mincho"/>
                <w:sz w:val="22"/>
                <w:szCs w:val="22"/>
                <w:lang w:val="el-GR"/>
              </w:rPr>
            </w:pPr>
            <w:r>
              <w:rPr>
                <w:rFonts w:eastAsia="MS Mincho"/>
                <w:sz w:val="22"/>
                <w:szCs w:val="22"/>
                <w:lang w:val="el-GR"/>
              </w:rPr>
              <w:t>ACR 20</w:t>
            </w:r>
          </w:p>
        </w:tc>
      </w:tr>
      <w:tr w:rsidR="00171824" w14:paraId="0CDC4FCB" w14:textId="77777777">
        <w:trPr>
          <w:trHeight w:val="19"/>
        </w:trPr>
        <w:tc>
          <w:tcPr>
            <w:tcW w:w="1408" w:type="dxa"/>
            <w:tcBorders>
              <w:top w:val="single" w:sz="4" w:space="0" w:color="auto"/>
              <w:left w:val="single" w:sz="4" w:space="0" w:color="auto"/>
              <w:bottom w:val="single" w:sz="4" w:space="0" w:color="auto"/>
            </w:tcBorders>
          </w:tcPr>
          <w:p w14:paraId="12A1ADFD" w14:textId="77777777" w:rsidR="00171824" w:rsidRDefault="006D258C">
            <w:pPr>
              <w:pStyle w:val="BodyText"/>
              <w:keepNext/>
              <w:widowControl/>
              <w:ind w:left="0"/>
              <w:jc w:val="center"/>
              <w:rPr>
                <w:rFonts w:eastAsia="MS Mincho"/>
                <w:lang w:val="el-GR"/>
              </w:rPr>
            </w:pPr>
            <w:r>
              <w:rPr>
                <w:rFonts w:eastAsia="MS Mincho"/>
                <w:lang w:val="el-GR"/>
              </w:rPr>
              <w:t>6 μήνες</w:t>
            </w:r>
          </w:p>
        </w:tc>
        <w:tc>
          <w:tcPr>
            <w:tcW w:w="1134" w:type="dxa"/>
            <w:tcBorders>
              <w:top w:val="single" w:sz="4" w:space="0" w:color="auto"/>
              <w:bottom w:val="single" w:sz="4" w:space="0" w:color="auto"/>
              <w:right w:val="single" w:sz="4" w:space="0" w:color="auto"/>
            </w:tcBorders>
          </w:tcPr>
          <w:p w14:paraId="5F9C7A35" w14:textId="77777777" w:rsidR="00171824" w:rsidRDefault="006D258C">
            <w:pPr>
              <w:pStyle w:val="TableParagraph"/>
              <w:keepNext/>
              <w:kinsoku w:val="0"/>
              <w:overflowPunct w:val="0"/>
              <w:jc w:val="center"/>
              <w:rPr>
                <w:rFonts w:eastAsia="MS Mincho"/>
                <w:sz w:val="22"/>
                <w:szCs w:val="22"/>
                <w:lang w:val="el-GR"/>
              </w:rPr>
            </w:pPr>
            <w:r>
              <w:rPr>
                <w:rFonts w:eastAsia="MS Mincho"/>
                <w:sz w:val="22"/>
                <w:szCs w:val="22"/>
                <w:lang w:val="el-GR"/>
              </w:rPr>
              <w:t>13,3%</w:t>
            </w:r>
          </w:p>
        </w:tc>
        <w:tc>
          <w:tcPr>
            <w:tcW w:w="1559" w:type="dxa"/>
            <w:tcBorders>
              <w:top w:val="single" w:sz="4" w:space="0" w:color="auto"/>
              <w:left w:val="single" w:sz="4" w:space="0" w:color="auto"/>
              <w:bottom w:val="single" w:sz="4" w:space="0" w:color="auto"/>
            </w:tcBorders>
          </w:tcPr>
          <w:p w14:paraId="11091F0B" w14:textId="77777777" w:rsidR="00171824" w:rsidRDefault="006D258C">
            <w:pPr>
              <w:pStyle w:val="TableParagraph"/>
              <w:keepNext/>
              <w:kinsoku w:val="0"/>
              <w:overflowPunct w:val="0"/>
              <w:jc w:val="center"/>
              <w:rPr>
                <w:rFonts w:eastAsia="MS Mincho"/>
                <w:sz w:val="22"/>
                <w:szCs w:val="22"/>
                <w:lang w:val="el-GR"/>
              </w:rPr>
            </w:pPr>
            <w:r>
              <w:rPr>
                <w:rFonts w:eastAsia="MS Mincho"/>
                <w:sz w:val="22"/>
                <w:szCs w:val="22"/>
                <w:lang w:val="el-GR"/>
              </w:rPr>
              <w:t>65,1%</w:t>
            </w:r>
          </w:p>
        </w:tc>
        <w:tc>
          <w:tcPr>
            <w:tcW w:w="1134" w:type="dxa"/>
            <w:tcBorders>
              <w:top w:val="single" w:sz="4" w:space="0" w:color="auto"/>
              <w:bottom w:val="single" w:sz="4" w:space="0" w:color="auto"/>
              <w:right w:val="single" w:sz="4" w:space="0" w:color="auto"/>
            </w:tcBorders>
          </w:tcPr>
          <w:p w14:paraId="25F8B008" w14:textId="77777777" w:rsidR="00171824" w:rsidRDefault="006D258C">
            <w:pPr>
              <w:pStyle w:val="TableParagraph"/>
              <w:kinsoku w:val="0"/>
              <w:overflowPunct w:val="0"/>
              <w:jc w:val="center"/>
              <w:rPr>
                <w:rFonts w:eastAsia="MS Mincho"/>
                <w:sz w:val="22"/>
                <w:szCs w:val="22"/>
                <w:lang w:val="el-GR"/>
              </w:rPr>
            </w:pPr>
            <w:r>
              <w:rPr>
                <w:rFonts w:eastAsia="MS Mincho"/>
                <w:sz w:val="22"/>
                <w:szCs w:val="22"/>
                <w:lang w:val="el-GR"/>
              </w:rPr>
              <w:t>19,1%</w:t>
            </w:r>
          </w:p>
        </w:tc>
        <w:tc>
          <w:tcPr>
            <w:tcW w:w="1418" w:type="dxa"/>
            <w:tcBorders>
              <w:top w:val="single" w:sz="4" w:space="0" w:color="auto"/>
              <w:left w:val="single" w:sz="4" w:space="0" w:color="auto"/>
              <w:bottom w:val="single" w:sz="4" w:space="0" w:color="auto"/>
            </w:tcBorders>
          </w:tcPr>
          <w:p w14:paraId="5085DDE0" w14:textId="77777777" w:rsidR="00171824" w:rsidRDefault="006D258C">
            <w:pPr>
              <w:pStyle w:val="TableParagraph"/>
              <w:kinsoku w:val="0"/>
              <w:overflowPunct w:val="0"/>
              <w:jc w:val="center"/>
              <w:rPr>
                <w:rFonts w:eastAsia="MS Mincho"/>
                <w:sz w:val="22"/>
                <w:szCs w:val="22"/>
                <w:lang w:val="el-GR"/>
              </w:rPr>
            </w:pPr>
            <w:r>
              <w:rPr>
                <w:rFonts w:eastAsia="MS Mincho"/>
                <w:sz w:val="22"/>
                <w:szCs w:val="22"/>
                <w:lang w:val="el-GR"/>
              </w:rPr>
              <w:t>46,0%</w:t>
            </w:r>
          </w:p>
        </w:tc>
        <w:tc>
          <w:tcPr>
            <w:tcW w:w="1134" w:type="dxa"/>
            <w:tcBorders>
              <w:top w:val="single" w:sz="4" w:space="0" w:color="auto"/>
              <w:bottom w:val="single" w:sz="4" w:space="0" w:color="auto"/>
              <w:right w:val="single" w:sz="4" w:space="0" w:color="auto"/>
            </w:tcBorders>
          </w:tcPr>
          <w:p w14:paraId="3A9DB257" w14:textId="77777777" w:rsidR="00171824" w:rsidRDefault="006D258C">
            <w:pPr>
              <w:pStyle w:val="TableParagraph"/>
              <w:kinsoku w:val="0"/>
              <w:overflowPunct w:val="0"/>
              <w:jc w:val="center"/>
              <w:rPr>
                <w:rFonts w:eastAsia="MS Mincho"/>
                <w:sz w:val="22"/>
                <w:szCs w:val="22"/>
                <w:lang w:val="el-GR"/>
              </w:rPr>
            </w:pPr>
            <w:r>
              <w:rPr>
                <w:rFonts w:eastAsia="MS Mincho"/>
                <w:sz w:val="22"/>
                <w:szCs w:val="22"/>
                <w:lang w:val="el-GR"/>
              </w:rPr>
              <w:t>29,5%</w:t>
            </w:r>
          </w:p>
        </w:tc>
        <w:tc>
          <w:tcPr>
            <w:tcW w:w="1417" w:type="dxa"/>
            <w:tcBorders>
              <w:top w:val="single" w:sz="4" w:space="0" w:color="auto"/>
              <w:left w:val="single" w:sz="4" w:space="0" w:color="auto"/>
              <w:bottom w:val="single" w:sz="4" w:space="0" w:color="auto"/>
              <w:right w:val="single" w:sz="4" w:space="0" w:color="auto"/>
            </w:tcBorders>
          </w:tcPr>
          <w:p w14:paraId="4ECF96E3" w14:textId="77777777" w:rsidR="00171824" w:rsidRDefault="006D258C">
            <w:pPr>
              <w:pStyle w:val="TableParagraph"/>
              <w:kinsoku w:val="0"/>
              <w:overflowPunct w:val="0"/>
              <w:jc w:val="center"/>
              <w:rPr>
                <w:rFonts w:eastAsia="MS Mincho"/>
                <w:sz w:val="22"/>
                <w:szCs w:val="22"/>
                <w:lang w:val="el-GR"/>
              </w:rPr>
            </w:pPr>
            <w:r>
              <w:rPr>
                <w:rFonts w:eastAsia="MS Mincho"/>
                <w:sz w:val="22"/>
                <w:szCs w:val="22"/>
                <w:lang w:val="el-GR"/>
              </w:rPr>
              <w:t>63,3%</w:t>
            </w:r>
          </w:p>
        </w:tc>
      </w:tr>
      <w:tr w:rsidR="00171824" w14:paraId="1619A8F3" w14:textId="77777777">
        <w:trPr>
          <w:trHeight w:val="19"/>
        </w:trPr>
        <w:tc>
          <w:tcPr>
            <w:tcW w:w="1408" w:type="dxa"/>
            <w:tcBorders>
              <w:top w:val="single" w:sz="4" w:space="0" w:color="auto"/>
              <w:left w:val="single" w:sz="4" w:space="0" w:color="auto"/>
              <w:bottom w:val="single" w:sz="4" w:space="0" w:color="auto"/>
            </w:tcBorders>
          </w:tcPr>
          <w:p w14:paraId="7AEDE39A" w14:textId="77777777" w:rsidR="00171824" w:rsidRDefault="006D258C">
            <w:pPr>
              <w:pStyle w:val="BodyText"/>
              <w:keepNext/>
              <w:widowControl/>
              <w:ind w:left="0"/>
              <w:jc w:val="center"/>
              <w:rPr>
                <w:rFonts w:eastAsia="MS Mincho"/>
                <w:lang w:val="el-GR"/>
              </w:rPr>
            </w:pPr>
            <w:r>
              <w:rPr>
                <w:rFonts w:eastAsia="MS Mincho"/>
                <w:lang w:val="el-GR"/>
              </w:rPr>
              <w:t>12 μήνες</w:t>
            </w:r>
          </w:p>
        </w:tc>
        <w:tc>
          <w:tcPr>
            <w:tcW w:w="1134" w:type="dxa"/>
            <w:tcBorders>
              <w:top w:val="single" w:sz="4" w:space="0" w:color="auto"/>
              <w:bottom w:val="single" w:sz="4" w:space="0" w:color="auto"/>
              <w:right w:val="single" w:sz="4" w:space="0" w:color="auto"/>
            </w:tcBorders>
          </w:tcPr>
          <w:p w14:paraId="13418861"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NA</w:t>
            </w:r>
          </w:p>
        </w:tc>
        <w:tc>
          <w:tcPr>
            <w:tcW w:w="1559" w:type="dxa"/>
            <w:tcBorders>
              <w:top w:val="single" w:sz="4" w:space="0" w:color="auto"/>
              <w:left w:val="single" w:sz="4" w:space="0" w:color="auto"/>
              <w:bottom w:val="single" w:sz="4" w:space="0" w:color="auto"/>
            </w:tcBorders>
          </w:tcPr>
          <w:p w14:paraId="5419A769"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NA</w:t>
            </w:r>
          </w:p>
        </w:tc>
        <w:tc>
          <w:tcPr>
            <w:tcW w:w="1134" w:type="dxa"/>
            <w:tcBorders>
              <w:top w:val="single" w:sz="4" w:space="0" w:color="auto"/>
              <w:bottom w:val="single" w:sz="4" w:space="0" w:color="auto"/>
              <w:right w:val="single" w:sz="4" w:space="0" w:color="auto"/>
            </w:tcBorders>
          </w:tcPr>
          <w:p w14:paraId="77384D7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418" w:type="dxa"/>
            <w:tcBorders>
              <w:top w:val="single" w:sz="4" w:space="0" w:color="auto"/>
              <w:left w:val="single" w:sz="4" w:space="0" w:color="auto"/>
              <w:bottom w:val="single" w:sz="4" w:space="0" w:color="auto"/>
            </w:tcBorders>
          </w:tcPr>
          <w:p w14:paraId="4601DF9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134" w:type="dxa"/>
            <w:tcBorders>
              <w:top w:val="single" w:sz="4" w:space="0" w:color="auto"/>
              <w:bottom w:val="single" w:sz="4" w:space="0" w:color="auto"/>
              <w:right w:val="single" w:sz="4" w:space="0" w:color="auto"/>
            </w:tcBorders>
          </w:tcPr>
          <w:p w14:paraId="50ECB28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24,0%</w:t>
            </w:r>
          </w:p>
        </w:tc>
        <w:tc>
          <w:tcPr>
            <w:tcW w:w="1417" w:type="dxa"/>
            <w:tcBorders>
              <w:top w:val="single" w:sz="4" w:space="0" w:color="auto"/>
              <w:left w:val="single" w:sz="4" w:space="0" w:color="auto"/>
              <w:bottom w:val="single" w:sz="4" w:space="0" w:color="auto"/>
              <w:right w:val="single" w:sz="4" w:space="0" w:color="auto"/>
            </w:tcBorders>
          </w:tcPr>
          <w:p w14:paraId="238A924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58,9%</w:t>
            </w:r>
          </w:p>
        </w:tc>
      </w:tr>
      <w:tr w:rsidR="00171824" w14:paraId="69345204" w14:textId="77777777">
        <w:trPr>
          <w:trHeight w:val="19"/>
        </w:trPr>
        <w:tc>
          <w:tcPr>
            <w:tcW w:w="9204" w:type="dxa"/>
            <w:gridSpan w:val="7"/>
            <w:tcBorders>
              <w:top w:val="single" w:sz="4" w:space="0" w:color="auto"/>
              <w:left w:val="single" w:sz="4" w:space="0" w:color="auto"/>
              <w:bottom w:val="single" w:sz="4" w:space="0" w:color="auto"/>
              <w:right w:val="single" w:sz="4" w:space="0" w:color="auto"/>
            </w:tcBorders>
          </w:tcPr>
          <w:p w14:paraId="717323E1" w14:textId="77777777" w:rsidR="00171824" w:rsidRDefault="006D258C">
            <w:pPr>
              <w:widowControl/>
              <w:rPr>
                <w:rFonts w:eastAsia="MS Mincho"/>
                <w:sz w:val="22"/>
                <w:szCs w:val="22"/>
                <w:lang w:val="el-GR"/>
              </w:rPr>
            </w:pPr>
            <w:r>
              <w:rPr>
                <w:rFonts w:eastAsia="MS Mincho"/>
                <w:sz w:val="22"/>
                <w:szCs w:val="22"/>
                <w:lang w:val="el-GR"/>
              </w:rPr>
              <w:t>ACR 50</w:t>
            </w:r>
          </w:p>
        </w:tc>
      </w:tr>
      <w:tr w:rsidR="00171824" w14:paraId="25661107" w14:textId="77777777">
        <w:trPr>
          <w:trHeight w:val="19"/>
        </w:trPr>
        <w:tc>
          <w:tcPr>
            <w:tcW w:w="1408" w:type="dxa"/>
            <w:tcBorders>
              <w:top w:val="single" w:sz="4" w:space="0" w:color="auto"/>
              <w:left w:val="single" w:sz="4" w:space="0" w:color="auto"/>
              <w:bottom w:val="single" w:sz="4" w:space="0" w:color="auto"/>
            </w:tcBorders>
          </w:tcPr>
          <w:p w14:paraId="173B5738" w14:textId="77777777" w:rsidR="00171824" w:rsidRDefault="006D258C">
            <w:pPr>
              <w:pStyle w:val="BodyText"/>
              <w:widowControl/>
              <w:ind w:left="0"/>
              <w:jc w:val="center"/>
              <w:rPr>
                <w:rFonts w:eastAsia="MS Mincho"/>
                <w:lang w:val="el-GR"/>
              </w:rPr>
            </w:pPr>
            <w:r>
              <w:rPr>
                <w:rFonts w:eastAsia="MS Mincho"/>
                <w:lang w:val="el-GR"/>
              </w:rPr>
              <w:t>6 μήνες</w:t>
            </w:r>
          </w:p>
        </w:tc>
        <w:tc>
          <w:tcPr>
            <w:tcW w:w="1134" w:type="dxa"/>
            <w:tcBorders>
              <w:top w:val="single" w:sz="4" w:space="0" w:color="auto"/>
              <w:bottom w:val="single" w:sz="4" w:space="0" w:color="auto"/>
              <w:right w:val="single" w:sz="4" w:space="0" w:color="auto"/>
            </w:tcBorders>
          </w:tcPr>
          <w:p w14:paraId="5A8DCB2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6,7%</w:t>
            </w:r>
          </w:p>
        </w:tc>
        <w:tc>
          <w:tcPr>
            <w:tcW w:w="1559" w:type="dxa"/>
            <w:tcBorders>
              <w:top w:val="single" w:sz="4" w:space="0" w:color="auto"/>
              <w:left w:val="single" w:sz="4" w:space="0" w:color="auto"/>
              <w:bottom w:val="single" w:sz="4" w:space="0" w:color="auto"/>
            </w:tcBorders>
          </w:tcPr>
          <w:p w14:paraId="0CB829E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52,4%</w:t>
            </w:r>
          </w:p>
        </w:tc>
        <w:tc>
          <w:tcPr>
            <w:tcW w:w="1134" w:type="dxa"/>
            <w:tcBorders>
              <w:top w:val="single" w:sz="4" w:space="0" w:color="auto"/>
              <w:bottom w:val="single" w:sz="4" w:space="0" w:color="auto"/>
              <w:right w:val="single" w:sz="4" w:space="0" w:color="auto"/>
            </w:tcBorders>
          </w:tcPr>
          <w:p w14:paraId="102D6C3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8,2%</w:t>
            </w:r>
          </w:p>
        </w:tc>
        <w:tc>
          <w:tcPr>
            <w:tcW w:w="1418" w:type="dxa"/>
            <w:tcBorders>
              <w:top w:val="single" w:sz="4" w:space="0" w:color="auto"/>
              <w:left w:val="single" w:sz="4" w:space="0" w:color="auto"/>
              <w:bottom w:val="single" w:sz="4" w:space="0" w:color="auto"/>
            </w:tcBorders>
          </w:tcPr>
          <w:p w14:paraId="399D9B9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22,1%</w:t>
            </w:r>
          </w:p>
        </w:tc>
        <w:tc>
          <w:tcPr>
            <w:tcW w:w="1134" w:type="dxa"/>
            <w:tcBorders>
              <w:top w:val="single" w:sz="4" w:space="0" w:color="auto"/>
              <w:bottom w:val="single" w:sz="4" w:space="0" w:color="auto"/>
              <w:right w:val="single" w:sz="4" w:space="0" w:color="auto"/>
            </w:tcBorders>
          </w:tcPr>
          <w:p w14:paraId="6E67351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9,5%</w:t>
            </w:r>
          </w:p>
        </w:tc>
        <w:tc>
          <w:tcPr>
            <w:tcW w:w="1417" w:type="dxa"/>
            <w:tcBorders>
              <w:top w:val="single" w:sz="4" w:space="0" w:color="auto"/>
              <w:left w:val="single" w:sz="4" w:space="0" w:color="auto"/>
              <w:bottom w:val="single" w:sz="4" w:space="0" w:color="auto"/>
              <w:right w:val="single" w:sz="4" w:space="0" w:color="auto"/>
            </w:tcBorders>
          </w:tcPr>
          <w:p w14:paraId="086BAA0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39,1%</w:t>
            </w:r>
          </w:p>
        </w:tc>
      </w:tr>
      <w:tr w:rsidR="00171824" w14:paraId="3CBCFA50" w14:textId="77777777">
        <w:trPr>
          <w:trHeight w:val="19"/>
        </w:trPr>
        <w:tc>
          <w:tcPr>
            <w:tcW w:w="1408" w:type="dxa"/>
            <w:tcBorders>
              <w:top w:val="single" w:sz="4" w:space="0" w:color="auto"/>
              <w:left w:val="single" w:sz="4" w:space="0" w:color="auto"/>
              <w:bottom w:val="single" w:sz="4" w:space="0" w:color="auto"/>
            </w:tcBorders>
          </w:tcPr>
          <w:p w14:paraId="57A80E83" w14:textId="77777777" w:rsidR="00171824" w:rsidRDefault="006D258C">
            <w:pPr>
              <w:pStyle w:val="BodyText"/>
              <w:widowControl/>
              <w:ind w:left="0"/>
              <w:jc w:val="center"/>
              <w:rPr>
                <w:rFonts w:eastAsia="MS Mincho"/>
                <w:lang w:val="el-GR"/>
              </w:rPr>
            </w:pPr>
            <w:r>
              <w:rPr>
                <w:rFonts w:eastAsia="MS Mincho"/>
                <w:lang w:val="el-GR"/>
              </w:rPr>
              <w:t>12 μήνες</w:t>
            </w:r>
          </w:p>
        </w:tc>
        <w:tc>
          <w:tcPr>
            <w:tcW w:w="1134" w:type="dxa"/>
            <w:tcBorders>
              <w:top w:val="single" w:sz="4" w:space="0" w:color="auto"/>
              <w:bottom w:val="single" w:sz="4" w:space="0" w:color="auto"/>
              <w:right w:val="single" w:sz="4" w:space="0" w:color="auto"/>
            </w:tcBorders>
          </w:tcPr>
          <w:p w14:paraId="654190A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559" w:type="dxa"/>
            <w:tcBorders>
              <w:top w:val="single" w:sz="4" w:space="0" w:color="auto"/>
              <w:left w:val="single" w:sz="4" w:space="0" w:color="auto"/>
              <w:bottom w:val="single" w:sz="4" w:space="0" w:color="auto"/>
            </w:tcBorders>
          </w:tcPr>
          <w:p w14:paraId="1F583BE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134" w:type="dxa"/>
            <w:tcBorders>
              <w:top w:val="single" w:sz="4" w:space="0" w:color="auto"/>
              <w:bottom w:val="single" w:sz="4" w:space="0" w:color="auto"/>
              <w:right w:val="single" w:sz="4" w:space="0" w:color="auto"/>
            </w:tcBorders>
          </w:tcPr>
          <w:p w14:paraId="16FFCF5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418" w:type="dxa"/>
            <w:tcBorders>
              <w:top w:val="single" w:sz="4" w:space="0" w:color="auto"/>
              <w:left w:val="single" w:sz="4" w:space="0" w:color="auto"/>
              <w:bottom w:val="single" w:sz="4" w:space="0" w:color="auto"/>
            </w:tcBorders>
          </w:tcPr>
          <w:p w14:paraId="6EC1E0B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134" w:type="dxa"/>
            <w:tcBorders>
              <w:top w:val="single" w:sz="4" w:space="0" w:color="auto"/>
              <w:bottom w:val="single" w:sz="4" w:space="0" w:color="auto"/>
              <w:right w:val="single" w:sz="4" w:space="0" w:color="auto"/>
            </w:tcBorders>
          </w:tcPr>
          <w:p w14:paraId="1ED6E1D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9,5%</w:t>
            </w:r>
          </w:p>
        </w:tc>
        <w:tc>
          <w:tcPr>
            <w:tcW w:w="1417" w:type="dxa"/>
            <w:tcBorders>
              <w:top w:val="single" w:sz="4" w:space="0" w:color="auto"/>
              <w:left w:val="single" w:sz="4" w:space="0" w:color="auto"/>
              <w:bottom w:val="single" w:sz="4" w:space="0" w:color="auto"/>
              <w:right w:val="single" w:sz="4" w:space="0" w:color="auto"/>
            </w:tcBorders>
          </w:tcPr>
          <w:p w14:paraId="34A1C2D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41,5%</w:t>
            </w:r>
          </w:p>
        </w:tc>
      </w:tr>
      <w:tr w:rsidR="00171824" w14:paraId="5FE560D4" w14:textId="77777777">
        <w:trPr>
          <w:trHeight w:val="19"/>
        </w:trPr>
        <w:tc>
          <w:tcPr>
            <w:tcW w:w="9204" w:type="dxa"/>
            <w:gridSpan w:val="7"/>
            <w:tcBorders>
              <w:top w:val="single" w:sz="4" w:space="0" w:color="auto"/>
              <w:left w:val="single" w:sz="4" w:space="0" w:color="auto"/>
              <w:bottom w:val="single" w:sz="4" w:space="0" w:color="auto"/>
              <w:right w:val="single" w:sz="4" w:space="0" w:color="auto"/>
            </w:tcBorders>
          </w:tcPr>
          <w:p w14:paraId="38DBB617" w14:textId="77777777" w:rsidR="00171824" w:rsidRDefault="006D258C">
            <w:pPr>
              <w:widowControl/>
              <w:rPr>
                <w:rFonts w:eastAsia="MS Mincho"/>
                <w:sz w:val="22"/>
                <w:szCs w:val="22"/>
                <w:lang w:val="el-GR"/>
              </w:rPr>
            </w:pPr>
            <w:r>
              <w:rPr>
                <w:rFonts w:eastAsia="MS Mincho"/>
                <w:sz w:val="22"/>
                <w:szCs w:val="22"/>
                <w:lang w:val="el-GR"/>
              </w:rPr>
              <w:t>ACR 70</w:t>
            </w:r>
          </w:p>
        </w:tc>
      </w:tr>
      <w:tr w:rsidR="00171824" w14:paraId="62F28924" w14:textId="77777777">
        <w:trPr>
          <w:trHeight w:val="19"/>
        </w:trPr>
        <w:tc>
          <w:tcPr>
            <w:tcW w:w="1408" w:type="dxa"/>
            <w:tcBorders>
              <w:top w:val="single" w:sz="4" w:space="0" w:color="auto"/>
              <w:left w:val="single" w:sz="4" w:space="0" w:color="auto"/>
              <w:bottom w:val="single" w:sz="4" w:space="0" w:color="auto"/>
            </w:tcBorders>
          </w:tcPr>
          <w:p w14:paraId="7DC08200" w14:textId="77777777" w:rsidR="00171824" w:rsidRDefault="006D258C">
            <w:pPr>
              <w:pStyle w:val="BodyText"/>
              <w:widowControl/>
              <w:ind w:left="0"/>
              <w:jc w:val="center"/>
              <w:rPr>
                <w:rFonts w:eastAsia="MS Mincho"/>
                <w:lang w:val="el-GR"/>
              </w:rPr>
            </w:pPr>
            <w:r>
              <w:rPr>
                <w:rFonts w:eastAsia="MS Mincho"/>
                <w:lang w:val="el-GR"/>
              </w:rPr>
              <w:t>6 μήνες</w:t>
            </w:r>
          </w:p>
        </w:tc>
        <w:tc>
          <w:tcPr>
            <w:tcW w:w="1134" w:type="dxa"/>
            <w:tcBorders>
              <w:top w:val="single" w:sz="4" w:space="0" w:color="auto"/>
              <w:bottom w:val="single" w:sz="4" w:space="0" w:color="auto"/>
              <w:right w:val="single" w:sz="4" w:space="0" w:color="auto"/>
            </w:tcBorders>
          </w:tcPr>
          <w:p w14:paraId="5D4823C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3,3%</w:t>
            </w:r>
          </w:p>
        </w:tc>
        <w:tc>
          <w:tcPr>
            <w:tcW w:w="1559" w:type="dxa"/>
            <w:tcBorders>
              <w:top w:val="single" w:sz="4" w:space="0" w:color="auto"/>
              <w:left w:val="single" w:sz="4" w:space="0" w:color="auto"/>
              <w:bottom w:val="single" w:sz="4" w:space="0" w:color="auto"/>
            </w:tcBorders>
          </w:tcPr>
          <w:p w14:paraId="3392353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23,8%</w:t>
            </w:r>
          </w:p>
        </w:tc>
        <w:tc>
          <w:tcPr>
            <w:tcW w:w="1134" w:type="dxa"/>
            <w:tcBorders>
              <w:top w:val="single" w:sz="4" w:space="0" w:color="auto"/>
              <w:bottom w:val="single" w:sz="4" w:space="0" w:color="auto"/>
              <w:right w:val="single" w:sz="4" w:space="0" w:color="auto"/>
            </w:tcBorders>
          </w:tcPr>
          <w:p w14:paraId="0B10F66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1,8%</w:t>
            </w:r>
          </w:p>
        </w:tc>
        <w:tc>
          <w:tcPr>
            <w:tcW w:w="1418" w:type="dxa"/>
            <w:tcBorders>
              <w:top w:val="single" w:sz="4" w:space="0" w:color="auto"/>
              <w:left w:val="single" w:sz="4" w:space="0" w:color="auto"/>
              <w:bottom w:val="single" w:sz="4" w:space="0" w:color="auto"/>
            </w:tcBorders>
          </w:tcPr>
          <w:p w14:paraId="24C951F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12,4%</w:t>
            </w:r>
          </w:p>
        </w:tc>
        <w:tc>
          <w:tcPr>
            <w:tcW w:w="1134" w:type="dxa"/>
            <w:tcBorders>
              <w:top w:val="single" w:sz="4" w:space="0" w:color="auto"/>
              <w:bottom w:val="single" w:sz="4" w:space="0" w:color="auto"/>
              <w:right w:val="single" w:sz="4" w:space="0" w:color="auto"/>
            </w:tcBorders>
          </w:tcPr>
          <w:p w14:paraId="5A5B33D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2,5%</w:t>
            </w:r>
          </w:p>
        </w:tc>
        <w:tc>
          <w:tcPr>
            <w:tcW w:w="1417" w:type="dxa"/>
            <w:tcBorders>
              <w:top w:val="single" w:sz="4" w:space="0" w:color="auto"/>
              <w:left w:val="single" w:sz="4" w:space="0" w:color="auto"/>
              <w:bottom w:val="single" w:sz="4" w:space="0" w:color="auto"/>
              <w:right w:val="single" w:sz="4" w:space="0" w:color="auto"/>
            </w:tcBorders>
          </w:tcPr>
          <w:p w14:paraId="77DFE21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20,8%</w:t>
            </w:r>
          </w:p>
        </w:tc>
      </w:tr>
      <w:tr w:rsidR="00171824" w14:paraId="0AA924B0" w14:textId="77777777">
        <w:trPr>
          <w:trHeight w:val="19"/>
        </w:trPr>
        <w:tc>
          <w:tcPr>
            <w:tcW w:w="1408" w:type="dxa"/>
            <w:tcBorders>
              <w:top w:val="single" w:sz="4" w:space="0" w:color="auto"/>
              <w:left w:val="single" w:sz="4" w:space="0" w:color="auto"/>
              <w:bottom w:val="single" w:sz="4" w:space="0" w:color="auto"/>
            </w:tcBorders>
          </w:tcPr>
          <w:p w14:paraId="0D8407D1" w14:textId="77777777" w:rsidR="00171824" w:rsidRDefault="006D258C">
            <w:pPr>
              <w:pStyle w:val="BodyText"/>
              <w:widowControl/>
              <w:ind w:left="0"/>
              <w:jc w:val="center"/>
              <w:rPr>
                <w:rFonts w:eastAsia="MS Mincho"/>
                <w:lang w:val="el-GR"/>
              </w:rPr>
            </w:pPr>
            <w:r>
              <w:rPr>
                <w:rFonts w:eastAsia="MS Mincho"/>
                <w:lang w:val="el-GR"/>
              </w:rPr>
              <w:t>12 μήνες</w:t>
            </w:r>
          </w:p>
        </w:tc>
        <w:tc>
          <w:tcPr>
            <w:tcW w:w="1134" w:type="dxa"/>
            <w:tcBorders>
              <w:top w:val="single" w:sz="4" w:space="0" w:color="auto"/>
              <w:bottom w:val="single" w:sz="4" w:space="0" w:color="auto"/>
              <w:right w:val="single" w:sz="4" w:space="0" w:color="auto"/>
            </w:tcBorders>
          </w:tcPr>
          <w:p w14:paraId="1D2C995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559" w:type="dxa"/>
            <w:tcBorders>
              <w:top w:val="single" w:sz="4" w:space="0" w:color="auto"/>
              <w:left w:val="single" w:sz="4" w:space="0" w:color="auto"/>
              <w:bottom w:val="single" w:sz="4" w:space="0" w:color="auto"/>
            </w:tcBorders>
          </w:tcPr>
          <w:p w14:paraId="5302A1B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134" w:type="dxa"/>
            <w:tcBorders>
              <w:top w:val="single" w:sz="4" w:space="0" w:color="auto"/>
              <w:bottom w:val="single" w:sz="4" w:space="0" w:color="auto"/>
              <w:right w:val="single" w:sz="4" w:space="0" w:color="auto"/>
            </w:tcBorders>
          </w:tcPr>
          <w:p w14:paraId="270231B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418" w:type="dxa"/>
            <w:tcBorders>
              <w:top w:val="single" w:sz="4" w:space="0" w:color="auto"/>
              <w:left w:val="single" w:sz="4" w:space="0" w:color="auto"/>
              <w:bottom w:val="single" w:sz="4" w:space="0" w:color="auto"/>
            </w:tcBorders>
          </w:tcPr>
          <w:p w14:paraId="1A3ACDB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134" w:type="dxa"/>
            <w:tcBorders>
              <w:top w:val="single" w:sz="4" w:space="0" w:color="auto"/>
              <w:bottom w:val="single" w:sz="4" w:space="0" w:color="auto"/>
              <w:right w:val="single" w:sz="4" w:space="0" w:color="auto"/>
            </w:tcBorders>
          </w:tcPr>
          <w:p w14:paraId="5CF3C0B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4,5%</w:t>
            </w:r>
          </w:p>
        </w:tc>
        <w:tc>
          <w:tcPr>
            <w:tcW w:w="1417" w:type="dxa"/>
            <w:tcBorders>
              <w:top w:val="single" w:sz="4" w:space="0" w:color="auto"/>
              <w:left w:val="single" w:sz="4" w:space="0" w:color="auto"/>
              <w:bottom w:val="single" w:sz="4" w:space="0" w:color="auto"/>
              <w:right w:val="single" w:sz="4" w:space="0" w:color="auto"/>
            </w:tcBorders>
          </w:tcPr>
          <w:p w14:paraId="0E34623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23,2%</w:t>
            </w:r>
          </w:p>
        </w:tc>
      </w:tr>
    </w:tbl>
    <w:p w14:paraId="15F130B5" w14:textId="77777777" w:rsidR="00171824" w:rsidRDefault="006D258C">
      <w:pPr>
        <w:pStyle w:val="BodyText"/>
        <w:widowControl/>
        <w:tabs>
          <w:tab w:val="left" w:pos="284"/>
        </w:tabs>
        <w:kinsoku w:val="0"/>
        <w:overflowPunct w:val="0"/>
        <w:ind w:left="0"/>
        <w:jc w:val="both"/>
        <w:rPr>
          <w:sz w:val="20"/>
          <w:szCs w:val="20"/>
          <w:lang w:val="el-GR"/>
        </w:rPr>
      </w:pPr>
      <w:r>
        <w:rPr>
          <w:sz w:val="20"/>
          <w:szCs w:val="20"/>
          <w:vertAlign w:val="superscript"/>
          <w:lang w:val="el-GR"/>
        </w:rPr>
        <w:t>a</w:t>
      </w:r>
      <w:r>
        <w:rPr>
          <w:sz w:val="20"/>
          <w:szCs w:val="20"/>
          <w:lang w:val="el-GR"/>
        </w:rPr>
        <w:tab/>
        <w:t>Μελέτη RA Ι στις 24 εβδομάδες, μελέτη RA ΙΙ στις 26 εβδομάδες και μελέτη RA ΙΙΙ στις 24 και 52 εβδομάδες</w:t>
      </w:r>
    </w:p>
    <w:p w14:paraId="60E64F24" w14:textId="77777777" w:rsidR="00171824" w:rsidRDefault="006D258C">
      <w:pPr>
        <w:pStyle w:val="BodyText"/>
        <w:widowControl/>
        <w:tabs>
          <w:tab w:val="left" w:pos="284"/>
        </w:tabs>
        <w:kinsoku w:val="0"/>
        <w:overflowPunct w:val="0"/>
        <w:ind w:left="0"/>
        <w:jc w:val="both"/>
        <w:rPr>
          <w:sz w:val="20"/>
          <w:szCs w:val="20"/>
          <w:lang w:val="el-GR"/>
        </w:rPr>
      </w:pPr>
      <w:r>
        <w:rPr>
          <w:sz w:val="20"/>
          <w:szCs w:val="20"/>
          <w:vertAlign w:val="superscript"/>
          <w:lang w:val="el-GR"/>
        </w:rPr>
        <w:t>b</w:t>
      </w:r>
      <w:r>
        <w:rPr>
          <w:sz w:val="20"/>
          <w:szCs w:val="20"/>
          <w:lang w:val="el-GR"/>
        </w:rPr>
        <w:tab/>
        <w:t>40 mg adalimumab χορηγούμενο ανά δεύτερη εβδομάδα</w:t>
      </w:r>
    </w:p>
    <w:p w14:paraId="7E770B8A" w14:textId="77777777" w:rsidR="00171824" w:rsidRDefault="006D258C">
      <w:pPr>
        <w:pStyle w:val="BodyText"/>
        <w:widowControl/>
        <w:tabs>
          <w:tab w:val="left" w:pos="284"/>
        </w:tabs>
        <w:kinsoku w:val="0"/>
        <w:overflowPunct w:val="0"/>
        <w:ind w:left="0"/>
        <w:jc w:val="both"/>
        <w:rPr>
          <w:sz w:val="20"/>
          <w:szCs w:val="20"/>
          <w:lang w:val="el-GR"/>
        </w:rPr>
      </w:pPr>
      <w:r>
        <w:rPr>
          <w:sz w:val="20"/>
          <w:szCs w:val="20"/>
          <w:vertAlign w:val="superscript"/>
          <w:lang w:val="el-GR"/>
        </w:rPr>
        <w:t>c</w:t>
      </w:r>
      <w:r>
        <w:rPr>
          <w:sz w:val="20"/>
          <w:szCs w:val="20"/>
          <w:lang w:val="el-GR"/>
        </w:rPr>
        <w:tab/>
        <w:t>MTX = μεθοτρεξάτη</w:t>
      </w:r>
    </w:p>
    <w:p w14:paraId="3802A9D0" w14:textId="77777777" w:rsidR="00171824" w:rsidRDefault="006D258C">
      <w:pPr>
        <w:pStyle w:val="BodyText"/>
        <w:widowControl/>
        <w:tabs>
          <w:tab w:val="left" w:pos="284"/>
        </w:tabs>
        <w:kinsoku w:val="0"/>
        <w:overflowPunct w:val="0"/>
        <w:ind w:left="0"/>
        <w:jc w:val="both"/>
        <w:rPr>
          <w:sz w:val="20"/>
          <w:szCs w:val="20"/>
          <w:lang w:val="el-GR"/>
        </w:rPr>
      </w:pPr>
      <w:r>
        <w:rPr>
          <w:sz w:val="20"/>
          <w:szCs w:val="20"/>
          <w:lang w:val="el-GR"/>
        </w:rPr>
        <w:t>**</w:t>
      </w:r>
      <w:r>
        <w:rPr>
          <w:sz w:val="20"/>
          <w:szCs w:val="20"/>
          <w:lang w:val="el-GR"/>
        </w:rPr>
        <w:tab/>
        <w:t xml:space="preserve">p &lt; 0,01, adalimumab </w:t>
      </w:r>
      <w:r>
        <w:rPr>
          <w:i/>
          <w:iCs/>
          <w:sz w:val="20"/>
          <w:szCs w:val="20"/>
          <w:lang w:val="el-GR"/>
        </w:rPr>
        <w:t xml:space="preserve">έναντι </w:t>
      </w:r>
      <w:r>
        <w:rPr>
          <w:sz w:val="20"/>
          <w:szCs w:val="20"/>
          <w:lang w:val="el-GR"/>
        </w:rPr>
        <w:t>εικονικού φαρμάκου</w:t>
      </w:r>
    </w:p>
    <w:p w14:paraId="593973FE" w14:textId="77777777" w:rsidR="00171824" w:rsidRDefault="00171824">
      <w:pPr>
        <w:widowControl/>
        <w:kinsoku w:val="0"/>
        <w:overflowPunct w:val="0"/>
        <w:rPr>
          <w:sz w:val="22"/>
          <w:szCs w:val="22"/>
          <w:lang w:val="el-GR"/>
        </w:rPr>
      </w:pPr>
    </w:p>
    <w:p w14:paraId="0C23B28A" w14:textId="77777777" w:rsidR="00171824" w:rsidRDefault="006D258C">
      <w:pPr>
        <w:pStyle w:val="BodyText"/>
        <w:widowControl/>
        <w:kinsoku w:val="0"/>
        <w:overflowPunct w:val="0"/>
        <w:ind w:left="0"/>
        <w:rPr>
          <w:lang w:val="el-GR"/>
        </w:rPr>
      </w:pPr>
      <w:r>
        <w:rPr>
          <w:lang w:val="el-GR"/>
        </w:rPr>
        <w:t>Στις μελέτες RA I</w:t>
      </w:r>
      <w:r>
        <w:rPr>
          <w:lang w:val="el-GR"/>
        </w:rPr>
        <w:noBreakHyphen/>
        <w:t>IV, όλα τα μεμονωμένα στοιχεία των ανταποκρίσεων σύμφωνα με το ACR (αριθμός επώδυνων και διογκωμένων αρθρώσεων, αξιολόγηση της δραστηριότητας της νόσου και του άλγους από τον γιατρό και τον ασθενή, τιμές δείκτη ανικανότητας (HAQ) και επίπεδα CRP (mg/dl)) βελτιώθηκαν στις 24 ή 26 εβδομάδες έναντι του εικονικού φαρμάκου. Στη μελέτη RA ΙΙΙ, οι βελτιώσεις αυτές διατηρήθηκαν καθ’ όλη τη διάρκεια των 52 εβδομάδων.</w:t>
      </w:r>
    </w:p>
    <w:p w14:paraId="508514C0" w14:textId="77777777" w:rsidR="00171824" w:rsidRDefault="00171824">
      <w:pPr>
        <w:widowControl/>
        <w:kinsoku w:val="0"/>
        <w:overflowPunct w:val="0"/>
        <w:rPr>
          <w:sz w:val="22"/>
          <w:szCs w:val="22"/>
          <w:lang w:val="el-GR"/>
        </w:rPr>
      </w:pPr>
    </w:p>
    <w:p w14:paraId="1C79E192" w14:textId="77777777" w:rsidR="00171824" w:rsidRDefault="006D258C">
      <w:pPr>
        <w:pStyle w:val="BodyText"/>
        <w:widowControl/>
        <w:kinsoku w:val="0"/>
        <w:overflowPunct w:val="0"/>
        <w:ind w:left="0"/>
        <w:rPr>
          <w:lang w:val="el-GR"/>
        </w:rPr>
      </w:pPr>
      <w:r>
        <w:rPr>
          <w:lang w:val="el-GR"/>
        </w:rPr>
        <w:t>Στην ανοιχτή μελέτη επέκτασης για τη μελέτη RA ΙΙΙ, οι περισσότεροι ασθενείς που είχαν ACR ανταπόκριση διατήρησαν την ανταπόκριση όταν παρακολουθήθηκαν μέχρι και 10 χρόνια. Από 207 ασθενείς οι οποίοι τυχαιοποιήθηκαν σε adalimumab 40 mg κάθε δεύτερη εβδομάδα, 114 ασθενείς συνέχισαν τη θεραπεία με adalimumab 40 mg κάθε δεύτερη εβδομάδα για 5 χρόνια. Μεταξύ αυτών, 86 ασθενείς (75,4%) είχαν ανταποκρίσεις ACR 20, 72 ασθενείς (63,2%) είχαν ανταποκρίσεις ACR 50 και 41 ασθενείς (36%) είχαν ανταποκρίσεις ACR 70. Από 207 ασθενείς, 81 ασθενείς συνέχισαν τη θεραπεία με adalimumab 40 mg κάθε δεύτερη εβδομάδα για 10 χρόνια. Μεταξύ αυτών, 64 ασθενείς (79,0%) είχαν ανταποκρίσεις ACR 20, 56 ασθενείς (69,1%) είχαν ανταποκρίσεις ACR 50 και 43 ασθενείς (53,1%) είχαν ανταποκρίσεις ACR 70.</w:t>
      </w:r>
    </w:p>
    <w:p w14:paraId="0ACF4D06" w14:textId="77777777" w:rsidR="00171824" w:rsidRDefault="00171824">
      <w:pPr>
        <w:widowControl/>
        <w:kinsoku w:val="0"/>
        <w:overflowPunct w:val="0"/>
        <w:rPr>
          <w:sz w:val="22"/>
          <w:szCs w:val="22"/>
          <w:lang w:val="el-GR"/>
        </w:rPr>
      </w:pPr>
    </w:p>
    <w:p w14:paraId="4DCA8E62" w14:textId="77777777" w:rsidR="00171824" w:rsidRDefault="006D258C">
      <w:pPr>
        <w:pStyle w:val="BodyText"/>
        <w:widowControl/>
        <w:kinsoku w:val="0"/>
        <w:overflowPunct w:val="0"/>
        <w:ind w:left="0"/>
        <w:rPr>
          <w:lang w:val="el-GR"/>
        </w:rPr>
      </w:pPr>
      <w:r>
        <w:rPr>
          <w:lang w:val="el-GR"/>
        </w:rPr>
        <w:t>Στη μελέτη RA IV, η ACR 20 ανταπόκριση των ασθενών που έλαβαν adalimumab μαζί με τη συνήθη θεραπεία, ήταν στατιστικά σημαντικά καλύτερη συγκριτικά με τους ασθενείς που έλαβαν εικονικό φάρμακο μαζί με τη συνήθη θεραπεία (p &lt; 0,001).</w:t>
      </w:r>
    </w:p>
    <w:p w14:paraId="6EC53012" w14:textId="77777777" w:rsidR="00171824" w:rsidRDefault="00171824">
      <w:pPr>
        <w:widowControl/>
        <w:kinsoku w:val="0"/>
        <w:overflowPunct w:val="0"/>
        <w:rPr>
          <w:sz w:val="22"/>
          <w:szCs w:val="22"/>
          <w:lang w:val="el-GR"/>
        </w:rPr>
      </w:pPr>
    </w:p>
    <w:p w14:paraId="1DD22704" w14:textId="77777777" w:rsidR="00171824" w:rsidRDefault="006D258C">
      <w:pPr>
        <w:pStyle w:val="BodyText"/>
        <w:widowControl/>
        <w:kinsoku w:val="0"/>
        <w:overflowPunct w:val="0"/>
        <w:ind w:left="0"/>
        <w:rPr>
          <w:lang w:val="el-GR"/>
        </w:rPr>
      </w:pPr>
      <w:r>
        <w:rPr>
          <w:lang w:val="el-GR"/>
        </w:rPr>
        <w:t>Στις μελέτες RA Ι</w:t>
      </w:r>
      <w:r>
        <w:rPr>
          <w:lang w:val="el-GR"/>
        </w:rPr>
        <w:noBreakHyphen/>
        <w:t>ΙV, οι ασθενείς που έλαβαν adalimumab πέτυχαν στατιστικά σημαντικές ACR 20 και 50 ανταποκρίσεις συγκριτικά με τους ασθενείς που έλαβαν εικονικό φάρμακο για μια περίοδο μιας έως δύο εβδομάδων μετά την έναρξη της θεραπείας.</w:t>
      </w:r>
    </w:p>
    <w:p w14:paraId="222F7D53" w14:textId="77777777" w:rsidR="00171824" w:rsidRDefault="00171824">
      <w:pPr>
        <w:widowControl/>
        <w:kinsoku w:val="0"/>
        <w:overflowPunct w:val="0"/>
        <w:rPr>
          <w:sz w:val="22"/>
          <w:szCs w:val="22"/>
          <w:lang w:val="el-GR"/>
        </w:rPr>
      </w:pPr>
    </w:p>
    <w:p w14:paraId="12E7ADD3" w14:textId="77777777" w:rsidR="00171824" w:rsidRDefault="006D258C">
      <w:pPr>
        <w:pStyle w:val="BodyText"/>
        <w:widowControl/>
        <w:kinsoku w:val="0"/>
        <w:overflowPunct w:val="0"/>
        <w:ind w:left="0"/>
        <w:rPr>
          <w:lang w:val="el-GR"/>
        </w:rPr>
      </w:pPr>
      <w:r>
        <w:rPr>
          <w:lang w:val="el-GR"/>
        </w:rPr>
        <w:t>Στη μελέτη RA V σε ασθενείς με πρώιμη ρευματοειδή αρθρίτιδα στους οποίους δεν είχε χορηγηθεί ποτέ μεθοτρεξάτη, η θεραπεία συνδυασμού με adalimumab και μεθοτρεξάτη οδήγησε σε γρηγορότερες και σημαντικά μεγαλύτερες ACR ανταποκρίσεις από τη μονοθεραπεία με μεθοτρεξάτη στην εβδομάδα 52 και οι ανταποκρίσεις διατηρήθηκαν στην εβδομάδα 104 (βλέπε πίνακα 9).</w:t>
      </w:r>
    </w:p>
    <w:p w14:paraId="5D0434DE" w14:textId="77777777" w:rsidR="00171824" w:rsidRDefault="00171824">
      <w:pPr>
        <w:pStyle w:val="BodyText"/>
        <w:widowControl/>
        <w:kinsoku w:val="0"/>
        <w:overflowPunct w:val="0"/>
        <w:ind w:left="0"/>
        <w:rPr>
          <w:lang w:val="el-GR"/>
        </w:rPr>
      </w:pPr>
    </w:p>
    <w:p w14:paraId="056D11DA" w14:textId="77777777" w:rsidR="00171824" w:rsidRDefault="006D258C">
      <w:pPr>
        <w:pStyle w:val="Heading1"/>
        <w:keepNext/>
        <w:widowControl/>
        <w:kinsoku w:val="0"/>
        <w:overflowPunct w:val="0"/>
        <w:ind w:left="0"/>
        <w:rPr>
          <w:lang w:val="el-GR"/>
        </w:rPr>
      </w:pPr>
      <w:r>
        <w:rPr>
          <w:lang w:val="el-GR"/>
        </w:rPr>
        <w:lastRenderedPageBreak/>
        <w:t>Πίνακας 9.</w:t>
      </w:r>
      <w:r>
        <w:rPr>
          <w:b w:val="0"/>
          <w:bCs w:val="0"/>
          <w:lang w:val="el-GR"/>
        </w:rPr>
        <w:t xml:space="preserve"> </w:t>
      </w:r>
      <w:r>
        <w:rPr>
          <w:bCs w:val="0"/>
          <w:lang w:val="el-GR"/>
        </w:rPr>
        <w:t>ACR Ανταποκρίσεις στη Μελέτη RA V (ποσοστό ασθενών)</w:t>
      </w:r>
    </w:p>
    <w:p w14:paraId="44528C92" w14:textId="77777777" w:rsidR="00171824" w:rsidRDefault="00171824">
      <w:pPr>
        <w:keepNext/>
        <w:widowControl/>
        <w:kinsoku w:val="0"/>
        <w:overflowPunct w:val="0"/>
        <w:rPr>
          <w:sz w:val="22"/>
          <w:lang w:val="el-GR"/>
        </w:rPr>
      </w:pPr>
    </w:p>
    <w:tbl>
      <w:tblPr>
        <w:tblW w:w="9056" w:type="dxa"/>
        <w:tblInd w:w="8" w:type="dxa"/>
        <w:tblLayout w:type="fixed"/>
        <w:tblLook w:val="04A0" w:firstRow="1" w:lastRow="0" w:firstColumn="1" w:lastColumn="0" w:noHBand="0" w:noVBand="1"/>
      </w:tblPr>
      <w:tblGrid>
        <w:gridCol w:w="1685"/>
        <w:gridCol w:w="1134"/>
        <w:gridCol w:w="1560"/>
        <w:gridCol w:w="1639"/>
        <w:gridCol w:w="1054"/>
        <w:gridCol w:w="992"/>
        <w:gridCol w:w="992"/>
      </w:tblGrid>
      <w:tr w:rsidR="00171824" w14:paraId="4FAD14BC" w14:textId="77777777">
        <w:trPr>
          <w:trHeight w:val="20"/>
          <w:tblHeader/>
        </w:trPr>
        <w:tc>
          <w:tcPr>
            <w:tcW w:w="1685" w:type="dxa"/>
            <w:tcBorders>
              <w:top w:val="single" w:sz="4" w:space="0" w:color="000000"/>
              <w:left w:val="single" w:sz="6" w:space="0" w:color="000000"/>
              <w:bottom w:val="single" w:sz="4" w:space="0" w:color="000000"/>
              <w:right w:val="single" w:sz="4" w:space="0" w:color="000000"/>
            </w:tcBorders>
          </w:tcPr>
          <w:p w14:paraId="2DE7959B" w14:textId="77777777" w:rsidR="00171824" w:rsidRDefault="006D258C">
            <w:pPr>
              <w:pStyle w:val="TableParagraph"/>
              <w:keepNext/>
              <w:widowControl/>
              <w:kinsoku w:val="0"/>
              <w:overflowPunct w:val="0"/>
              <w:rPr>
                <w:rFonts w:eastAsia="MS Mincho"/>
                <w:sz w:val="22"/>
                <w:szCs w:val="22"/>
                <w:lang w:val="el-GR"/>
              </w:rPr>
            </w:pPr>
            <w:r>
              <w:rPr>
                <w:rFonts w:eastAsia="MS Mincho"/>
                <w:b/>
                <w:bCs/>
                <w:sz w:val="22"/>
                <w:szCs w:val="22"/>
                <w:lang w:val="el-GR"/>
              </w:rPr>
              <w:t>Ανταπόκριση</w:t>
            </w:r>
          </w:p>
        </w:tc>
        <w:tc>
          <w:tcPr>
            <w:tcW w:w="1134" w:type="dxa"/>
            <w:tcBorders>
              <w:top w:val="single" w:sz="4" w:space="0" w:color="000000"/>
              <w:left w:val="single" w:sz="4" w:space="0" w:color="000000"/>
              <w:bottom w:val="single" w:sz="4" w:space="0" w:color="000000"/>
              <w:right w:val="single" w:sz="4" w:space="0" w:color="000000"/>
            </w:tcBorders>
          </w:tcPr>
          <w:p w14:paraId="2863299C"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MTX n=257</w:t>
            </w:r>
          </w:p>
        </w:tc>
        <w:tc>
          <w:tcPr>
            <w:tcW w:w="1560" w:type="dxa"/>
            <w:tcBorders>
              <w:top w:val="single" w:sz="4" w:space="0" w:color="000000"/>
              <w:left w:val="single" w:sz="4" w:space="0" w:color="000000"/>
              <w:bottom w:val="single" w:sz="4" w:space="0" w:color="000000"/>
              <w:right w:val="single" w:sz="4" w:space="0" w:color="000000"/>
            </w:tcBorders>
          </w:tcPr>
          <w:p w14:paraId="7F401864"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Adalimumab n=274</w:t>
            </w:r>
          </w:p>
        </w:tc>
        <w:tc>
          <w:tcPr>
            <w:tcW w:w="1639" w:type="dxa"/>
            <w:tcBorders>
              <w:top w:val="single" w:sz="4" w:space="0" w:color="000000"/>
              <w:left w:val="single" w:sz="4" w:space="0" w:color="000000"/>
              <w:bottom w:val="single" w:sz="4" w:space="0" w:color="000000"/>
              <w:right w:val="single" w:sz="4" w:space="0" w:color="000000"/>
            </w:tcBorders>
          </w:tcPr>
          <w:p w14:paraId="58F4A28C" w14:textId="77777777" w:rsidR="00171824" w:rsidRDefault="006D258C">
            <w:pPr>
              <w:pStyle w:val="TableParagraph"/>
              <w:keepNext/>
              <w:widowControl/>
              <w:kinsoku w:val="0"/>
              <w:overflowPunct w:val="0"/>
              <w:jc w:val="center"/>
              <w:rPr>
                <w:rFonts w:eastAsia="MS Mincho"/>
                <w:b/>
                <w:bCs/>
                <w:sz w:val="22"/>
                <w:szCs w:val="22"/>
                <w:lang w:val="el-GR"/>
              </w:rPr>
            </w:pPr>
            <w:r>
              <w:rPr>
                <w:rFonts w:eastAsia="MS Mincho"/>
                <w:b/>
                <w:bCs/>
                <w:sz w:val="22"/>
                <w:szCs w:val="22"/>
                <w:lang w:val="el-GR"/>
              </w:rPr>
              <w:t xml:space="preserve">Adalimumab/MTX </w:t>
            </w:r>
          </w:p>
          <w:p w14:paraId="3C0CB631"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n=268</w:t>
            </w:r>
          </w:p>
        </w:tc>
        <w:tc>
          <w:tcPr>
            <w:tcW w:w="1054" w:type="dxa"/>
            <w:tcBorders>
              <w:top w:val="single" w:sz="4" w:space="0" w:color="000000"/>
              <w:left w:val="single" w:sz="4" w:space="0" w:color="000000"/>
              <w:bottom w:val="single" w:sz="4" w:space="0" w:color="000000"/>
              <w:right w:val="single" w:sz="4" w:space="0" w:color="000000"/>
            </w:tcBorders>
            <w:vAlign w:val="center"/>
          </w:tcPr>
          <w:p w14:paraId="4EB64DC4"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p-value</w:t>
            </w:r>
            <w:r>
              <w:rPr>
                <w:rFonts w:eastAsia="MS Mincho"/>
                <w:b/>
                <w:bCs/>
                <w:sz w:val="22"/>
                <w:szCs w:val="22"/>
                <w:vertAlign w:val="superscript"/>
                <w:lang w:val="el-GR"/>
              </w:rPr>
              <w:t>a</w:t>
            </w:r>
          </w:p>
        </w:tc>
        <w:tc>
          <w:tcPr>
            <w:tcW w:w="992" w:type="dxa"/>
            <w:tcBorders>
              <w:top w:val="single" w:sz="4" w:space="0" w:color="000000"/>
              <w:left w:val="single" w:sz="4" w:space="0" w:color="000000"/>
              <w:bottom w:val="single" w:sz="4" w:space="0" w:color="000000"/>
              <w:right w:val="single" w:sz="4" w:space="0" w:color="000000"/>
            </w:tcBorders>
            <w:vAlign w:val="center"/>
          </w:tcPr>
          <w:p w14:paraId="42D23B7C"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p-value</w:t>
            </w:r>
            <w:r>
              <w:rPr>
                <w:rFonts w:eastAsia="MS Mincho"/>
                <w:b/>
                <w:bCs/>
                <w:sz w:val="22"/>
                <w:szCs w:val="22"/>
                <w:vertAlign w:val="superscript"/>
                <w:lang w:val="el-GR"/>
              </w:rPr>
              <w:t>b</w:t>
            </w:r>
          </w:p>
        </w:tc>
        <w:tc>
          <w:tcPr>
            <w:tcW w:w="992" w:type="dxa"/>
            <w:tcBorders>
              <w:top w:val="single" w:sz="4" w:space="0" w:color="000000"/>
              <w:left w:val="single" w:sz="4" w:space="0" w:color="000000"/>
              <w:bottom w:val="single" w:sz="4" w:space="0" w:color="000000"/>
              <w:right w:val="single" w:sz="6" w:space="0" w:color="000000"/>
            </w:tcBorders>
            <w:vAlign w:val="center"/>
          </w:tcPr>
          <w:p w14:paraId="1640D160"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p-value</w:t>
            </w:r>
            <w:r>
              <w:rPr>
                <w:rFonts w:eastAsia="MS Mincho"/>
                <w:b/>
                <w:bCs/>
                <w:sz w:val="22"/>
                <w:szCs w:val="22"/>
                <w:vertAlign w:val="superscript"/>
                <w:lang w:val="el-GR"/>
              </w:rPr>
              <w:t>c</w:t>
            </w:r>
          </w:p>
        </w:tc>
      </w:tr>
      <w:tr w:rsidR="00171824" w14:paraId="521B972C" w14:textId="77777777">
        <w:trPr>
          <w:trHeight w:val="20"/>
        </w:trPr>
        <w:tc>
          <w:tcPr>
            <w:tcW w:w="9056" w:type="dxa"/>
            <w:gridSpan w:val="7"/>
            <w:tcBorders>
              <w:top w:val="single" w:sz="4" w:space="0" w:color="000000"/>
              <w:left w:val="single" w:sz="6" w:space="0" w:color="000000"/>
              <w:bottom w:val="single" w:sz="4" w:space="0" w:color="000000"/>
              <w:right w:val="single" w:sz="6" w:space="0" w:color="000000"/>
            </w:tcBorders>
          </w:tcPr>
          <w:p w14:paraId="3E01475D" w14:textId="77777777" w:rsidR="00171824" w:rsidRDefault="006D258C">
            <w:pPr>
              <w:keepNext/>
              <w:widowControl/>
              <w:rPr>
                <w:rFonts w:eastAsia="MS Mincho"/>
                <w:sz w:val="22"/>
                <w:szCs w:val="22"/>
                <w:lang w:val="el-GR"/>
              </w:rPr>
            </w:pPr>
            <w:r>
              <w:rPr>
                <w:rFonts w:eastAsia="MS Mincho"/>
                <w:sz w:val="22"/>
                <w:szCs w:val="22"/>
                <w:lang w:val="el-GR"/>
              </w:rPr>
              <w:t>ACR 20</w:t>
            </w:r>
          </w:p>
        </w:tc>
      </w:tr>
      <w:tr w:rsidR="00171824" w14:paraId="220D1261" w14:textId="77777777">
        <w:trPr>
          <w:trHeight w:val="20"/>
        </w:trPr>
        <w:tc>
          <w:tcPr>
            <w:tcW w:w="1685" w:type="dxa"/>
            <w:tcBorders>
              <w:top w:val="single" w:sz="4" w:space="0" w:color="000000"/>
              <w:left w:val="single" w:sz="6" w:space="0" w:color="000000"/>
              <w:bottom w:val="single" w:sz="4" w:space="0" w:color="000000"/>
              <w:right w:val="single" w:sz="4" w:space="0" w:color="000000"/>
            </w:tcBorders>
          </w:tcPr>
          <w:p w14:paraId="07834B67"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Εβδομάδα 52</w:t>
            </w:r>
          </w:p>
        </w:tc>
        <w:tc>
          <w:tcPr>
            <w:tcW w:w="1134" w:type="dxa"/>
            <w:tcBorders>
              <w:top w:val="single" w:sz="4" w:space="0" w:color="000000"/>
              <w:left w:val="single" w:sz="4" w:space="0" w:color="000000"/>
              <w:bottom w:val="single" w:sz="4" w:space="0" w:color="000000"/>
              <w:right w:val="single" w:sz="4" w:space="0" w:color="000000"/>
            </w:tcBorders>
          </w:tcPr>
          <w:p w14:paraId="52F06EC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62,6%</w:t>
            </w:r>
          </w:p>
        </w:tc>
        <w:tc>
          <w:tcPr>
            <w:tcW w:w="1560" w:type="dxa"/>
            <w:tcBorders>
              <w:top w:val="single" w:sz="4" w:space="0" w:color="000000"/>
              <w:left w:val="single" w:sz="4" w:space="0" w:color="000000"/>
              <w:bottom w:val="single" w:sz="4" w:space="0" w:color="000000"/>
              <w:right w:val="single" w:sz="4" w:space="0" w:color="000000"/>
            </w:tcBorders>
          </w:tcPr>
          <w:p w14:paraId="6CD6C99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54,4%</w:t>
            </w:r>
          </w:p>
        </w:tc>
        <w:tc>
          <w:tcPr>
            <w:tcW w:w="1639" w:type="dxa"/>
            <w:tcBorders>
              <w:top w:val="single" w:sz="4" w:space="0" w:color="000000"/>
              <w:left w:val="single" w:sz="4" w:space="0" w:color="000000"/>
              <w:bottom w:val="single" w:sz="4" w:space="0" w:color="000000"/>
              <w:right w:val="single" w:sz="4" w:space="0" w:color="000000"/>
            </w:tcBorders>
          </w:tcPr>
          <w:p w14:paraId="07019FD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72,8%</w:t>
            </w:r>
          </w:p>
        </w:tc>
        <w:tc>
          <w:tcPr>
            <w:tcW w:w="1054" w:type="dxa"/>
            <w:tcBorders>
              <w:top w:val="single" w:sz="4" w:space="0" w:color="000000"/>
              <w:left w:val="single" w:sz="4" w:space="0" w:color="000000"/>
              <w:bottom w:val="single" w:sz="4" w:space="0" w:color="000000"/>
              <w:right w:val="single" w:sz="4" w:space="0" w:color="000000"/>
            </w:tcBorders>
          </w:tcPr>
          <w:p w14:paraId="645EF00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0,013</w:t>
            </w:r>
          </w:p>
        </w:tc>
        <w:tc>
          <w:tcPr>
            <w:tcW w:w="992" w:type="dxa"/>
            <w:tcBorders>
              <w:top w:val="single" w:sz="4" w:space="0" w:color="000000"/>
              <w:left w:val="single" w:sz="4" w:space="0" w:color="000000"/>
              <w:bottom w:val="single" w:sz="4" w:space="0" w:color="000000"/>
              <w:right w:val="single" w:sz="4" w:space="0" w:color="000000"/>
            </w:tcBorders>
          </w:tcPr>
          <w:p w14:paraId="292AF0F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6" w:space="0" w:color="000000"/>
            </w:tcBorders>
          </w:tcPr>
          <w:p w14:paraId="6F6C1FC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0,043</w:t>
            </w:r>
          </w:p>
        </w:tc>
      </w:tr>
      <w:tr w:rsidR="00171824" w14:paraId="2AC75AD1" w14:textId="77777777">
        <w:trPr>
          <w:trHeight w:val="20"/>
        </w:trPr>
        <w:tc>
          <w:tcPr>
            <w:tcW w:w="1685" w:type="dxa"/>
            <w:tcBorders>
              <w:top w:val="single" w:sz="4" w:space="0" w:color="000000"/>
              <w:left w:val="single" w:sz="6" w:space="0" w:color="000000"/>
              <w:bottom w:val="single" w:sz="4" w:space="0" w:color="000000"/>
              <w:right w:val="single" w:sz="4" w:space="0" w:color="000000"/>
            </w:tcBorders>
          </w:tcPr>
          <w:p w14:paraId="6A86E67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104</w:t>
            </w:r>
          </w:p>
        </w:tc>
        <w:tc>
          <w:tcPr>
            <w:tcW w:w="1134" w:type="dxa"/>
            <w:tcBorders>
              <w:top w:val="single" w:sz="4" w:space="0" w:color="000000"/>
              <w:left w:val="single" w:sz="4" w:space="0" w:color="000000"/>
              <w:bottom w:val="single" w:sz="4" w:space="0" w:color="000000"/>
              <w:right w:val="single" w:sz="4" w:space="0" w:color="000000"/>
            </w:tcBorders>
          </w:tcPr>
          <w:p w14:paraId="5444F55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56,0%</w:t>
            </w:r>
          </w:p>
        </w:tc>
        <w:tc>
          <w:tcPr>
            <w:tcW w:w="1560" w:type="dxa"/>
            <w:tcBorders>
              <w:top w:val="single" w:sz="4" w:space="0" w:color="000000"/>
              <w:left w:val="single" w:sz="4" w:space="0" w:color="000000"/>
              <w:bottom w:val="single" w:sz="4" w:space="0" w:color="000000"/>
              <w:right w:val="single" w:sz="4" w:space="0" w:color="000000"/>
            </w:tcBorders>
          </w:tcPr>
          <w:p w14:paraId="74840F3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49,3%</w:t>
            </w:r>
          </w:p>
        </w:tc>
        <w:tc>
          <w:tcPr>
            <w:tcW w:w="1639" w:type="dxa"/>
            <w:tcBorders>
              <w:top w:val="single" w:sz="4" w:space="0" w:color="000000"/>
              <w:left w:val="single" w:sz="4" w:space="0" w:color="000000"/>
              <w:bottom w:val="single" w:sz="4" w:space="0" w:color="000000"/>
              <w:right w:val="single" w:sz="4" w:space="0" w:color="000000"/>
            </w:tcBorders>
          </w:tcPr>
          <w:p w14:paraId="0947EB2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69,4%</w:t>
            </w:r>
          </w:p>
        </w:tc>
        <w:tc>
          <w:tcPr>
            <w:tcW w:w="1054" w:type="dxa"/>
            <w:tcBorders>
              <w:top w:val="single" w:sz="4" w:space="0" w:color="000000"/>
              <w:left w:val="single" w:sz="4" w:space="0" w:color="000000"/>
              <w:bottom w:val="single" w:sz="4" w:space="0" w:color="000000"/>
              <w:right w:val="single" w:sz="4" w:space="0" w:color="000000"/>
            </w:tcBorders>
          </w:tcPr>
          <w:p w14:paraId="2714DF8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0,002</w:t>
            </w:r>
          </w:p>
        </w:tc>
        <w:tc>
          <w:tcPr>
            <w:tcW w:w="992" w:type="dxa"/>
            <w:tcBorders>
              <w:top w:val="single" w:sz="4" w:space="0" w:color="000000"/>
              <w:left w:val="single" w:sz="4" w:space="0" w:color="000000"/>
              <w:bottom w:val="single" w:sz="4" w:space="0" w:color="000000"/>
              <w:right w:val="single" w:sz="4" w:space="0" w:color="000000"/>
            </w:tcBorders>
          </w:tcPr>
          <w:p w14:paraId="66D120C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6" w:space="0" w:color="000000"/>
            </w:tcBorders>
          </w:tcPr>
          <w:p w14:paraId="7FE2619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0,140</w:t>
            </w:r>
          </w:p>
        </w:tc>
      </w:tr>
      <w:tr w:rsidR="00171824" w14:paraId="6E11AD9A" w14:textId="77777777">
        <w:trPr>
          <w:trHeight w:val="20"/>
        </w:trPr>
        <w:tc>
          <w:tcPr>
            <w:tcW w:w="9056" w:type="dxa"/>
            <w:gridSpan w:val="7"/>
            <w:tcBorders>
              <w:top w:val="single" w:sz="4" w:space="0" w:color="000000"/>
              <w:left w:val="single" w:sz="6" w:space="0" w:color="000000"/>
              <w:bottom w:val="single" w:sz="4" w:space="0" w:color="000000"/>
              <w:right w:val="single" w:sz="6" w:space="0" w:color="000000"/>
            </w:tcBorders>
          </w:tcPr>
          <w:p w14:paraId="3CF3BFCB" w14:textId="77777777" w:rsidR="00171824" w:rsidRDefault="006D258C">
            <w:pPr>
              <w:widowControl/>
              <w:rPr>
                <w:rFonts w:eastAsia="MS Mincho"/>
                <w:sz w:val="22"/>
                <w:szCs w:val="22"/>
                <w:lang w:val="el-GR"/>
              </w:rPr>
            </w:pPr>
            <w:r>
              <w:rPr>
                <w:rFonts w:eastAsia="MS Mincho"/>
                <w:sz w:val="22"/>
                <w:szCs w:val="22"/>
                <w:lang w:val="el-GR"/>
              </w:rPr>
              <w:t>ACR 50</w:t>
            </w:r>
          </w:p>
        </w:tc>
      </w:tr>
      <w:tr w:rsidR="00171824" w14:paraId="2EEF3F5F" w14:textId="77777777">
        <w:trPr>
          <w:trHeight w:val="20"/>
        </w:trPr>
        <w:tc>
          <w:tcPr>
            <w:tcW w:w="1685" w:type="dxa"/>
            <w:tcBorders>
              <w:top w:val="single" w:sz="4" w:space="0" w:color="000000"/>
              <w:left w:val="single" w:sz="6" w:space="0" w:color="000000"/>
              <w:bottom w:val="single" w:sz="4" w:space="0" w:color="000000"/>
              <w:right w:val="single" w:sz="4" w:space="0" w:color="000000"/>
            </w:tcBorders>
          </w:tcPr>
          <w:p w14:paraId="373DEB8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52</w:t>
            </w:r>
          </w:p>
        </w:tc>
        <w:tc>
          <w:tcPr>
            <w:tcW w:w="1134" w:type="dxa"/>
            <w:tcBorders>
              <w:top w:val="single" w:sz="4" w:space="0" w:color="000000"/>
              <w:left w:val="single" w:sz="4" w:space="0" w:color="000000"/>
              <w:bottom w:val="single" w:sz="4" w:space="0" w:color="000000"/>
              <w:right w:val="single" w:sz="4" w:space="0" w:color="000000"/>
            </w:tcBorders>
          </w:tcPr>
          <w:p w14:paraId="5D805F6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45,9%</w:t>
            </w:r>
          </w:p>
        </w:tc>
        <w:tc>
          <w:tcPr>
            <w:tcW w:w="1560" w:type="dxa"/>
            <w:tcBorders>
              <w:top w:val="single" w:sz="4" w:space="0" w:color="000000"/>
              <w:left w:val="single" w:sz="4" w:space="0" w:color="000000"/>
              <w:bottom w:val="single" w:sz="4" w:space="0" w:color="000000"/>
              <w:right w:val="single" w:sz="4" w:space="0" w:color="000000"/>
            </w:tcBorders>
          </w:tcPr>
          <w:p w14:paraId="20D893F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41,2%</w:t>
            </w:r>
          </w:p>
        </w:tc>
        <w:tc>
          <w:tcPr>
            <w:tcW w:w="1639" w:type="dxa"/>
            <w:tcBorders>
              <w:top w:val="single" w:sz="4" w:space="0" w:color="000000"/>
              <w:left w:val="single" w:sz="4" w:space="0" w:color="000000"/>
              <w:bottom w:val="single" w:sz="4" w:space="0" w:color="000000"/>
              <w:right w:val="single" w:sz="4" w:space="0" w:color="000000"/>
            </w:tcBorders>
          </w:tcPr>
          <w:p w14:paraId="2FB212C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61,6%</w:t>
            </w:r>
          </w:p>
        </w:tc>
        <w:tc>
          <w:tcPr>
            <w:tcW w:w="1054" w:type="dxa"/>
            <w:tcBorders>
              <w:top w:val="single" w:sz="4" w:space="0" w:color="000000"/>
              <w:left w:val="single" w:sz="4" w:space="0" w:color="000000"/>
              <w:bottom w:val="single" w:sz="4" w:space="0" w:color="000000"/>
              <w:right w:val="single" w:sz="4" w:space="0" w:color="000000"/>
            </w:tcBorders>
          </w:tcPr>
          <w:p w14:paraId="5D8702C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4" w:space="0" w:color="000000"/>
            </w:tcBorders>
          </w:tcPr>
          <w:p w14:paraId="1F83809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6" w:space="0" w:color="000000"/>
            </w:tcBorders>
          </w:tcPr>
          <w:p w14:paraId="12E9D07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0,317</w:t>
            </w:r>
          </w:p>
        </w:tc>
      </w:tr>
      <w:tr w:rsidR="00171824" w14:paraId="4C6E35EF" w14:textId="77777777">
        <w:trPr>
          <w:trHeight w:val="20"/>
        </w:trPr>
        <w:tc>
          <w:tcPr>
            <w:tcW w:w="1685" w:type="dxa"/>
            <w:tcBorders>
              <w:top w:val="single" w:sz="4" w:space="0" w:color="000000"/>
              <w:left w:val="single" w:sz="6" w:space="0" w:color="000000"/>
              <w:bottom w:val="single" w:sz="4" w:space="0" w:color="000000"/>
              <w:right w:val="single" w:sz="4" w:space="0" w:color="000000"/>
            </w:tcBorders>
          </w:tcPr>
          <w:p w14:paraId="2B5EE6B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104</w:t>
            </w:r>
          </w:p>
        </w:tc>
        <w:tc>
          <w:tcPr>
            <w:tcW w:w="1134" w:type="dxa"/>
            <w:tcBorders>
              <w:top w:val="single" w:sz="4" w:space="0" w:color="000000"/>
              <w:left w:val="single" w:sz="4" w:space="0" w:color="000000"/>
              <w:bottom w:val="single" w:sz="4" w:space="0" w:color="000000"/>
              <w:right w:val="single" w:sz="4" w:space="0" w:color="000000"/>
            </w:tcBorders>
          </w:tcPr>
          <w:p w14:paraId="72C5039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42,8%</w:t>
            </w:r>
          </w:p>
        </w:tc>
        <w:tc>
          <w:tcPr>
            <w:tcW w:w="1560" w:type="dxa"/>
            <w:tcBorders>
              <w:top w:val="single" w:sz="4" w:space="0" w:color="000000"/>
              <w:left w:val="single" w:sz="4" w:space="0" w:color="000000"/>
              <w:bottom w:val="single" w:sz="4" w:space="0" w:color="000000"/>
              <w:right w:val="single" w:sz="4" w:space="0" w:color="000000"/>
            </w:tcBorders>
          </w:tcPr>
          <w:p w14:paraId="0B26C7C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36,9%</w:t>
            </w:r>
          </w:p>
        </w:tc>
        <w:tc>
          <w:tcPr>
            <w:tcW w:w="1639" w:type="dxa"/>
            <w:tcBorders>
              <w:top w:val="single" w:sz="4" w:space="0" w:color="000000"/>
              <w:left w:val="single" w:sz="4" w:space="0" w:color="000000"/>
              <w:bottom w:val="single" w:sz="4" w:space="0" w:color="000000"/>
              <w:right w:val="single" w:sz="4" w:space="0" w:color="000000"/>
            </w:tcBorders>
          </w:tcPr>
          <w:p w14:paraId="69CA67D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59,0%</w:t>
            </w:r>
          </w:p>
        </w:tc>
        <w:tc>
          <w:tcPr>
            <w:tcW w:w="1054" w:type="dxa"/>
            <w:tcBorders>
              <w:top w:val="single" w:sz="4" w:space="0" w:color="000000"/>
              <w:left w:val="single" w:sz="4" w:space="0" w:color="000000"/>
              <w:bottom w:val="single" w:sz="4" w:space="0" w:color="000000"/>
              <w:right w:val="single" w:sz="4" w:space="0" w:color="000000"/>
            </w:tcBorders>
          </w:tcPr>
          <w:p w14:paraId="14FF9C4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4" w:space="0" w:color="000000"/>
            </w:tcBorders>
          </w:tcPr>
          <w:p w14:paraId="2D1BD19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6" w:space="0" w:color="000000"/>
            </w:tcBorders>
          </w:tcPr>
          <w:p w14:paraId="1F459B9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0,162</w:t>
            </w:r>
          </w:p>
        </w:tc>
      </w:tr>
      <w:tr w:rsidR="00171824" w14:paraId="231FA33F" w14:textId="77777777">
        <w:trPr>
          <w:trHeight w:val="20"/>
        </w:trPr>
        <w:tc>
          <w:tcPr>
            <w:tcW w:w="9056" w:type="dxa"/>
            <w:gridSpan w:val="7"/>
            <w:tcBorders>
              <w:top w:val="single" w:sz="4" w:space="0" w:color="000000"/>
              <w:left w:val="single" w:sz="6" w:space="0" w:color="000000"/>
              <w:bottom w:val="single" w:sz="4" w:space="0" w:color="000000"/>
              <w:right w:val="single" w:sz="6" w:space="0" w:color="000000"/>
            </w:tcBorders>
          </w:tcPr>
          <w:p w14:paraId="3B18025E" w14:textId="77777777" w:rsidR="00171824" w:rsidRDefault="006D258C">
            <w:pPr>
              <w:widowControl/>
              <w:rPr>
                <w:rFonts w:eastAsia="MS Mincho"/>
                <w:sz w:val="22"/>
                <w:szCs w:val="22"/>
                <w:lang w:val="el-GR"/>
              </w:rPr>
            </w:pPr>
            <w:r>
              <w:rPr>
                <w:rFonts w:eastAsia="MS Mincho"/>
                <w:sz w:val="22"/>
                <w:szCs w:val="22"/>
                <w:lang w:val="el-GR"/>
              </w:rPr>
              <w:t>ACR 70</w:t>
            </w:r>
          </w:p>
        </w:tc>
      </w:tr>
      <w:tr w:rsidR="00171824" w14:paraId="67B13AAD" w14:textId="77777777">
        <w:trPr>
          <w:trHeight w:val="20"/>
        </w:trPr>
        <w:tc>
          <w:tcPr>
            <w:tcW w:w="1685" w:type="dxa"/>
            <w:tcBorders>
              <w:top w:val="single" w:sz="4" w:space="0" w:color="000000"/>
              <w:left w:val="single" w:sz="6" w:space="0" w:color="000000"/>
              <w:bottom w:val="single" w:sz="4" w:space="0" w:color="000000"/>
              <w:right w:val="single" w:sz="4" w:space="0" w:color="000000"/>
            </w:tcBorders>
          </w:tcPr>
          <w:p w14:paraId="0FC66C3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52</w:t>
            </w:r>
          </w:p>
        </w:tc>
        <w:tc>
          <w:tcPr>
            <w:tcW w:w="1134" w:type="dxa"/>
            <w:tcBorders>
              <w:top w:val="single" w:sz="4" w:space="0" w:color="000000"/>
              <w:left w:val="single" w:sz="4" w:space="0" w:color="000000"/>
              <w:bottom w:val="single" w:sz="4" w:space="0" w:color="000000"/>
              <w:right w:val="single" w:sz="4" w:space="0" w:color="000000"/>
            </w:tcBorders>
          </w:tcPr>
          <w:p w14:paraId="4A32935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27,2%</w:t>
            </w:r>
          </w:p>
        </w:tc>
        <w:tc>
          <w:tcPr>
            <w:tcW w:w="1560" w:type="dxa"/>
            <w:tcBorders>
              <w:top w:val="single" w:sz="4" w:space="0" w:color="000000"/>
              <w:left w:val="single" w:sz="4" w:space="0" w:color="000000"/>
              <w:bottom w:val="single" w:sz="4" w:space="0" w:color="000000"/>
              <w:right w:val="single" w:sz="4" w:space="0" w:color="000000"/>
            </w:tcBorders>
          </w:tcPr>
          <w:p w14:paraId="114C034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25,9%</w:t>
            </w:r>
          </w:p>
        </w:tc>
        <w:tc>
          <w:tcPr>
            <w:tcW w:w="1639" w:type="dxa"/>
            <w:tcBorders>
              <w:top w:val="single" w:sz="4" w:space="0" w:color="000000"/>
              <w:left w:val="single" w:sz="4" w:space="0" w:color="000000"/>
              <w:bottom w:val="single" w:sz="4" w:space="0" w:color="000000"/>
              <w:right w:val="single" w:sz="4" w:space="0" w:color="000000"/>
            </w:tcBorders>
          </w:tcPr>
          <w:p w14:paraId="2C272A0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45,5%</w:t>
            </w:r>
          </w:p>
        </w:tc>
        <w:tc>
          <w:tcPr>
            <w:tcW w:w="1054" w:type="dxa"/>
            <w:tcBorders>
              <w:top w:val="single" w:sz="4" w:space="0" w:color="000000"/>
              <w:left w:val="single" w:sz="4" w:space="0" w:color="000000"/>
              <w:bottom w:val="single" w:sz="4" w:space="0" w:color="000000"/>
              <w:right w:val="single" w:sz="4" w:space="0" w:color="000000"/>
            </w:tcBorders>
          </w:tcPr>
          <w:p w14:paraId="75849AA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4" w:space="0" w:color="000000"/>
            </w:tcBorders>
          </w:tcPr>
          <w:p w14:paraId="7B2DA40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6" w:space="0" w:color="000000"/>
            </w:tcBorders>
          </w:tcPr>
          <w:p w14:paraId="20FB672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0,656</w:t>
            </w:r>
          </w:p>
        </w:tc>
      </w:tr>
      <w:tr w:rsidR="00171824" w14:paraId="184D2AA0" w14:textId="77777777">
        <w:trPr>
          <w:trHeight w:val="20"/>
        </w:trPr>
        <w:tc>
          <w:tcPr>
            <w:tcW w:w="1685" w:type="dxa"/>
            <w:tcBorders>
              <w:top w:val="single" w:sz="4" w:space="0" w:color="000000"/>
              <w:left w:val="single" w:sz="6" w:space="0" w:color="000000"/>
              <w:bottom w:val="single" w:sz="4" w:space="0" w:color="000000"/>
              <w:right w:val="single" w:sz="4" w:space="0" w:color="000000"/>
            </w:tcBorders>
          </w:tcPr>
          <w:p w14:paraId="1524F43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104</w:t>
            </w:r>
          </w:p>
        </w:tc>
        <w:tc>
          <w:tcPr>
            <w:tcW w:w="1134" w:type="dxa"/>
            <w:tcBorders>
              <w:top w:val="single" w:sz="4" w:space="0" w:color="000000"/>
              <w:left w:val="single" w:sz="4" w:space="0" w:color="000000"/>
              <w:bottom w:val="single" w:sz="4" w:space="0" w:color="000000"/>
              <w:right w:val="single" w:sz="4" w:space="0" w:color="000000"/>
            </w:tcBorders>
          </w:tcPr>
          <w:p w14:paraId="45B89A2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28,4%</w:t>
            </w:r>
          </w:p>
        </w:tc>
        <w:tc>
          <w:tcPr>
            <w:tcW w:w="1560" w:type="dxa"/>
            <w:tcBorders>
              <w:top w:val="single" w:sz="4" w:space="0" w:color="000000"/>
              <w:left w:val="single" w:sz="4" w:space="0" w:color="000000"/>
              <w:bottom w:val="single" w:sz="4" w:space="0" w:color="000000"/>
              <w:right w:val="single" w:sz="4" w:space="0" w:color="000000"/>
            </w:tcBorders>
          </w:tcPr>
          <w:p w14:paraId="55FE6CE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28,1%</w:t>
            </w:r>
          </w:p>
        </w:tc>
        <w:tc>
          <w:tcPr>
            <w:tcW w:w="1639" w:type="dxa"/>
            <w:tcBorders>
              <w:top w:val="single" w:sz="4" w:space="0" w:color="000000"/>
              <w:left w:val="single" w:sz="4" w:space="0" w:color="000000"/>
              <w:bottom w:val="single" w:sz="4" w:space="0" w:color="000000"/>
              <w:right w:val="single" w:sz="4" w:space="0" w:color="000000"/>
            </w:tcBorders>
          </w:tcPr>
          <w:p w14:paraId="1CA5F17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46,6%</w:t>
            </w:r>
          </w:p>
        </w:tc>
        <w:tc>
          <w:tcPr>
            <w:tcW w:w="1054" w:type="dxa"/>
            <w:tcBorders>
              <w:top w:val="single" w:sz="4" w:space="0" w:color="000000"/>
              <w:left w:val="single" w:sz="4" w:space="0" w:color="000000"/>
              <w:bottom w:val="single" w:sz="4" w:space="0" w:color="000000"/>
              <w:right w:val="single" w:sz="4" w:space="0" w:color="000000"/>
            </w:tcBorders>
          </w:tcPr>
          <w:p w14:paraId="252CC6C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4" w:space="0" w:color="000000"/>
            </w:tcBorders>
          </w:tcPr>
          <w:p w14:paraId="41D3BA9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&lt; 0,001</w:t>
            </w:r>
          </w:p>
        </w:tc>
        <w:tc>
          <w:tcPr>
            <w:tcW w:w="992" w:type="dxa"/>
            <w:tcBorders>
              <w:top w:val="single" w:sz="4" w:space="0" w:color="000000"/>
              <w:left w:val="single" w:sz="4" w:space="0" w:color="000000"/>
              <w:bottom w:val="single" w:sz="4" w:space="0" w:color="000000"/>
              <w:right w:val="single" w:sz="6" w:space="0" w:color="000000"/>
            </w:tcBorders>
          </w:tcPr>
          <w:p w14:paraId="72AAAA1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0,864</w:t>
            </w:r>
          </w:p>
        </w:tc>
      </w:tr>
      <w:tr w:rsidR="00171824" w:rsidRPr="00422380" w14:paraId="6BA7D86D" w14:textId="77777777">
        <w:trPr>
          <w:trHeight w:val="20"/>
        </w:trPr>
        <w:tc>
          <w:tcPr>
            <w:tcW w:w="9056" w:type="dxa"/>
            <w:gridSpan w:val="7"/>
            <w:tcBorders>
              <w:top w:val="single" w:sz="4" w:space="0" w:color="000000"/>
            </w:tcBorders>
          </w:tcPr>
          <w:p w14:paraId="6368FAFD" w14:textId="77777777" w:rsidR="00171824" w:rsidRDefault="006D258C">
            <w:pPr>
              <w:pStyle w:val="TableParagraph"/>
              <w:widowControl/>
              <w:tabs>
                <w:tab w:val="left" w:pos="302"/>
              </w:tabs>
              <w:kinsoku w:val="0"/>
              <w:overflowPunct w:val="0"/>
              <w:rPr>
                <w:rFonts w:eastAsia="MS Mincho"/>
                <w:sz w:val="20"/>
                <w:szCs w:val="20"/>
                <w:lang w:val="el-GR"/>
              </w:rPr>
            </w:pPr>
            <w:r>
              <w:rPr>
                <w:rFonts w:eastAsia="MS Mincho"/>
                <w:sz w:val="20"/>
                <w:szCs w:val="20"/>
                <w:vertAlign w:val="superscript"/>
                <w:lang w:val="el-GR"/>
              </w:rPr>
              <w:t>a</w:t>
            </w:r>
            <w:r>
              <w:rPr>
                <w:rFonts w:eastAsia="MS Mincho"/>
                <w:sz w:val="20"/>
                <w:szCs w:val="20"/>
                <w:lang w:val="el-GR"/>
              </w:rPr>
              <w:tab/>
              <w:t>το p-value προκύπτει από τη σύγκριση ανά ζεύγος της μονοθεραπείας με μεθοτρεξάτη και της θεραπείας συνδυασμού με adalimumab/μεθοτρεξάτη χρησιμοποιώντας το Μann-Whitney U test</w:t>
            </w:r>
          </w:p>
          <w:p w14:paraId="4D71A4F6" w14:textId="77777777" w:rsidR="00171824" w:rsidRDefault="006D258C">
            <w:pPr>
              <w:pStyle w:val="TableParagraph"/>
              <w:widowControl/>
              <w:tabs>
                <w:tab w:val="left" w:pos="302"/>
              </w:tabs>
              <w:kinsoku w:val="0"/>
              <w:overflowPunct w:val="0"/>
              <w:rPr>
                <w:rFonts w:eastAsia="MS Mincho"/>
                <w:sz w:val="20"/>
                <w:szCs w:val="20"/>
                <w:lang w:val="el-GR"/>
              </w:rPr>
            </w:pPr>
            <w:r>
              <w:rPr>
                <w:rFonts w:eastAsia="MS Mincho"/>
                <w:sz w:val="20"/>
                <w:szCs w:val="20"/>
                <w:vertAlign w:val="superscript"/>
                <w:lang w:val="el-GR"/>
              </w:rPr>
              <w:t>b</w:t>
            </w:r>
            <w:r>
              <w:rPr>
                <w:rFonts w:eastAsia="MS Mincho"/>
                <w:sz w:val="20"/>
                <w:szCs w:val="20"/>
                <w:lang w:val="el-GR"/>
              </w:rPr>
              <w:tab/>
              <w:t>το p-value προκύπτει από τη σύγκριση ανά ζεύγος της μονοθεραπείας με adalimumab και της θεραπείας συνδυασμού με adalimumab/μεθοτρεξάτη χρησιμοποιώντας το Μann-Whitney U test</w:t>
            </w:r>
          </w:p>
          <w:p w14:paraId="1BD23E2C" w14:textId="77777777" w:rsidR="00171824" w:rsidRDefault="006D258C">
            <w:pPr>
              <w:pStyle w:val="TableParagraph"/>
              <w:widowControl/>
              <w:tabs>
                <w:tab w:val="left" w:pos="302"/>
              </w:tabs>
              <w:kinsoku w:val="0"/>
              <w:overflowPunct w:val="0"/>
              <w:rPr>
                <w:rFonts w:eastAsia="MS Mincho"/>
                <w:sz w:val="22"/>
                <w:szCs w:val="22"/>
                <w:lang w:val="el-GR"/>
              </w:rPr>
            </w:pPr>
            <w:r>
              <w:rPr>
                <w:rFonts w:eastAsia="MS Mincho"/>
                <w:sz w:val="20"/>
                <w:szCs w:val="20"/>
                <w:vertAlign w:val="superscript"/>
                <w:lang w:val="el-GR"/>
              </w:rPr>
              <w:t>c</w:t>
            </w:r>
            <w:r>
              <w:rPr>
                <w:rFonts w:eastAsia="MS Mincho"/>
                <w:sz w:val="20"/>
                <w:szCs w:val="20"/>
                <w:lang w:val="el-GR"/>
              </w:rPr>
              <w:tab/>
              <w:t>το p-value προκύπτει από τη σύγκριση ανά ζεύγος της μονοθεραπείας με adalimumab και της μονοθεραπείας με μεθοτρεξάτη χρησιμοποιώντας το Μann-Whitney U test.</w:t>
            </w:r>
          </w:p>
        </w:tc>
      </w:tr>
    </w:tbl>
    <w:p w14:paraId="2126C184" w14:textId="77777777" w:rsidR="00171824" w:rsidRDefault="00171824">
      <w:pPr>
        <w:widowControl/>
        <w:kinsoku w:val="0"/>
        <w:overflowPunct w:val="0"/>
        <w:rPr>
          <w:sz w:val="22"/>
          <w:szCs w:val="22"/>
          <w:lang w:val="el-GR"/>
        </w:rPr>
      </w:pPr>
    </w:p>
    <w:p w14:paraId="66DA986D" w14:textId="77777777" w:rsidR="00171824" w:rsidRDefault="006D258C">
      <w:pPr>
        <w:pStyle w:val="BodyText"/>
        <w:widowControl/>
        <w:kinsoku w:val="0"/>
        <w:overflowPunct w:val="0"/>
        <w:ind w:left="0"/>
        <w:rPr>
          <w:lang w:val="el-GR"/>
        </w:rPr>
      </w:pPr>
      <w:r>
        <w:rPr>
          <w:lang w:val="el-GR"/>
        </w:rPr>
        <w:t>Στην ανοιχτή μελέτη επέκτασης για τη μελέτη RA V, τα ποσοστά ανταπόκρισης κατά ACR διατηρήθηκαν όταν παρακολουθήθηκαν για διάστημα έως 10 χρόνια. Από τους 542 ασθενείς που τυχαιοποιήθηκαν σε 40 mg adalimumab κάθε δεύτερη εβδομάδα, οι 170 ασθενείς συνέχισαν τη θεραπεία με adalimumab 40 mg κάθε δεύτερη εβδομάδα για 10 χρόνια. Μεταξύ αυτών, 154 ασθενείς (90,6%) είχαν ανταποκρίσεις κατά ACR 20, 127 ασθενείς (74,7%) είχαν ανταποκρίσεις κατά ACR 50, και 102 ασθενείς (60,0%) είχαν ανταποκρίσεις κατά ACR 70.</w:t>
      </w:r>
    </w:p>
    <w:p w14:paraId="6B1685A1" w14:textId="77777777" w:rsidR="00171824" w:rsidRDefault="00171824">
      <w:pPr>
        <w:widowControl/>
        <w:kinsoku w:val="0"/>
        <w:overflowPunct w:val="0"/>
        <w:rPr>
          <w:sz w:val="22"/>
          <w:szCs w:val="22"/>
          <w:lang w:val="el-GR"/>
        </w:rPr>
      </w:pPr>
    </w:p>
    <w:p w14:paraId="5A11713D" w14:textId="77777777" w:rsidR="00171824" w:rsidRDefault="006D258C">
      <w:pPr>
        <w:keepNext/>
        <w:keepLines/>
        <w:widowControl/>
        <w:rPr>
          <w:sz w:val="22"/>
          <w:lang w:val="el-GR"/>
        </w:rPr>
      </w:pPr>
      <w:r>
        <w:rPr>
          <w:sz w:val="22"/>
          <w:szCs w:val="22"/>
          <w:lang w:val="el-GR"/>
        </w:rPr>
        <w:t>Στην εβδομάδα 52, το 42,9% των ασθενών που έλαβαν θεραπεία συνδυασμού adalimumab/μεθοτρεξάτης πέτυχαν κλινική ύφεση (DAS28 (CRP) &lt; 2,6) συγκριτικά με το 20,6% των ασθενών που έλαβαν μεθοτρεξάτη σε μονοθεραπεία και το 23,4% των ασθενών που έλαβαν adalimumab σε μονοθεραπεία. Η θεραπεία συνδυασμού adalimumab/μεθοτρεξάτης ήταν τόσο κλινικά όσο και στατιστικά ανώτερη από τη μονοθεραπεία με μεθοτρεξάτη (p &lt; 0,001) και τη μονοθεραπεία με adalimumab (p &lt; 0,001) για την επίτευξη χαμηλής ενεργότητας νόσου σε ασθενείς με προσφάτως διαγνωσθείσα μέτρια έως σοβαρή ρευματοειδή αρθρίτιδα. H ανταπόκριση για τις δύο μονοθεραπείες ήταν παρόμοια (p = 0,447). Από τους 342 ασθενείς που αρχικά τυχαιοποιήθηκαν σε μονοθεραπεία με adalimumab ή θεραπεία συνδυασμού adalimumab/μεθοτρεξάτης που συμμετείχαν στην ανοιχτή μελέτη επέκτασης, 171 ασθενείς συμπλήρωσαν 10 χρόνια θεραπείας με adalimumab. Μεταξύ αυτών, 109 άτομα (63,7%) έχουν αναφερθεί να βρίσκονται σε ύφεση στα 10 χρόνια.</w:t>
      </w:r>
    </w:p>
    <w:p w14:paraId="6A3225D2" w14:textId="77777777" w:rsidR="00171824" w:rsidRDefault="00171824">
      <w:pPr>
        <w:widowControl/>
        <w:kinsoku w:val="0"/>
        <w:overflowPunct w:val="0"/>
        <w:rPr>
          <w:sz w:val="22"/>
          <w:szCs w:val="22"/>
          <w:lang w:val="el-GR"/>
        </w:rPr>
      </w:pPr>
    </w:p>
    <w:p w14:paraId="20E1E260" w14:textId="77777777" w:rsidR="00171824" w:rsidRDefault="006D258C">
      <w:pPr>
        <w:widowControl/>
        <w:kinsoku w:val="0"/>
        <w:overflowPunct w:val="0"/>
        <w:rPr>
          <w:sz w:val="22"/>
          <w:szCs w:val="22"/>
          <w:lang w:val="el-GR"/>
        </w:rPr>
      </w:pPr>
      <w:r>
        <w:rPr>
          <w:i/>
          <w:iCs/>
          <w:sz w:val="22"/>
          <w:szCs w:val="22"/>
          <w:u w:val="single"/>
          <w:lang w:val="el-GR"/>
        </w:rPr>
        <w:t>Ακτινολογική ανταπόκριση</w:t>
      </w:r>
    </w:p>
    <w:p w14:paraId="14B644BC" w14:textId="77777777" w:rsidR="00171824" w:rsidRDefault="00171824">
      <w:pPr>
        <w:widowControl/>
        <w:kinsoku w:val="0"/>
        <w:overflowPunct w:val="0"/>
        <w:rPr>
          <w:sz w:val="22"/>
          <w:szCs w:val="22"/>
          <w:lang w:val="el-GR"/>
        </w:rPr>
      </w:pPr>
    </w:p>
    <w:p w14:paraId="2F779B31" w14:textId="77777777" w:rsidR="00171824" w:rsidRDefault="006D258C">
      <w:pPr>
        <w:pStyle w:val="BodyText"/>
        <w:widowControl/>
        <w:kinsoku w:val="0"/>
        <w:overflowPunct w:val="0"/>
        <w:ind w:left="0"/>
        <w:rPr>
          <w:lang w:val="el-GR"/>
        </w:rPr>
      </w:pPr>
      <w:r>
        <w:rPr>
          <w:lang w:val="el-GR"/>
        </w:rPr>
        <w:t>Στη μελέτη RA ΙΙΙ, όπου οι ασθενείς που λάμβαναν adalimumab είχαν ρευματοειδή αρθρίτιδα μέσης διάρκειας περίπου 11 ετών, η αρθρική δομική βλάβη αξιολογήθηκε ακτινολογικά και ορίστηκε ως η μεταβολή του τροποποιημένου Τotal Sharp Score (TSS) και των επιμέρους δεικτών του, της βαθμολογίας των διαβρώσεων και της βαθμολογίας της στένωσης του μεσαρθρίου διαστήματος (JSN). Οι ασθενείς που λάμβαναν adalimumab/MTX έδειξαν σημαντικά μικρότερη ακτινολογική επιδείνωση από τους ασθενείς που λάμβαναν ΜΤΧ ως μονοθεραπεία στους 6 και 12 μήνες (βλέπε πίνακα 10).</w:t>
      </w:r>
    </w:p>
    <w:p w14:paraId="1A8977CD" w14:textId="77777777" w:rsidR="00171824" w:rsidRDefault="00171824">
      <w:pPr>
        <w:widowControl/>
        <w:kinsoku w:val="0"/>
        <w:overflowPunct w:val="0"/>
        <w:rPr>
          <w:sz w:val="22"/>
          <w:szCs w:val="22"/>
          <w:lang w:val="el-GR"/>
        </w:rPr>
      </w:pPr>
    </w:p>
    <w:p w14:paraId="26C5B483" w14:textId="77777777" w:rsidR="00171824" w:rsidRDefault="006D258C">
      <w:pPr>
        <w:pStyle w:val="BodyText"/>
        <w:widowControl/>
        <w:kinsoku w:val="0"/>
        <w:overflowPunct w:val="0"/>
        <w:ind w:left="0"/>
        <w:rPr>
          <w:lang w:val="el-GR"/>
        </w:rPr>
      </w:pPr>
      <w:r>
        <w:rPr>
          <w:lang w:val="el-GR"/>
        </w:rPr>
        <w:t xml:space="preserve">Στην ανοιχτή μελέτη επέκτασης για τη μελέτη RA III, η αναστολή της εξέλιξης της δομικής βλάβης διατηρήθηκε για 8 και 10 χρόνια σε μία υποομάδα ασθενών. Στα 8 χρόνια, 81 από 207 ασθενείς οι οποίοι αρχικά έλαβαν 40mg adalimumab κάθε δεύτερη εβδομάδα αξιολογήθηκαν ακτινολογικά. Από αυτούς, 48 ασθενείς δεν έδειξαν καμία εξέλιξη της δομικής βλάβης όπως ορίζεται από τη μεταβολή από την αρχική βαθμολογία αναφοράς του τροποποιημένου Total Sharp Score (mTSS) της τάξεως του 0,5 ή λιγότερο. Στα 10 χρόνια, 79 από 207 ασθενείς οι οποίοι αρχικά έλαβαν adalimumab 40 mg κάθε δεύτερη εβδομάδα αξιολογήθηκαν ακτινολογικά. Μεταξύ αυτών, 40 ασθενείς δεν έδειξαν καμία </w:t>
      </w:r>
      <w:r>
        <w:rPr>
          <w:lang w:val="el-GR"/>
        </w:rPr>
        <w:lastRenderedPageBreak/>
        <w:t>εξέλιξη της δομικής βλάβης όπως ορίζεται από τη μεταβολή από την αρχική βαθμολογία αναφοράς του τροποποιημένου Total Sharp Score (mTSS) της τάξεως του 0,5 ή λιγότερο.</w:t>
      </w:r>
    </w:p>
    <w:p w14:paraId="09AAD28B" w14:textId="77777777" w:rsidR="00171824" w:rsidRDefault="00171824">
      <w:pPr>
        <w:widowControl/>
        <w:kinsoku w:val="0"/>
        <w:overflowPunct w:val="0"/>
        <w:rPr>
          <w:sz w:val="22"/>
          <w:szCs w:val="26"/>
          <w:lang w:val="el-GR"/>
        </w:rPr>
      </w:pPr>
    </w:p>
    <w:p w14:paraId="795BE6E0" w14:textId="77777777" w:rsidR="00171824" w:rsidRDefault="006D258C">
      <w:pPr>
        <w:keepNext/>
        <w:widowControl/>
        <w:kinsoku w:val="0"/>
        <w:overflowPunct w:val="0"/>
        <w:ind w:right="432"/>
        <w:rPr>
          <w:sz w:val="22"/>
          <w:szCs w:val="22"/>
          <w:lang w:val="el-GR"/>
        </w:rPr>
      </w:pPr>
      <w:r>
        <w:rPr>
          <w:b/>
          <w:sz w:val="22"/>
          <w:szCs w:val="22"/>
          <w:lang w:val="el-GR"/>
        </w:rPr>
        <w:t xml:space="preserve">Πίνακας </w:t>
      </w:r>
      <w:r>
        <w:rPr>
          <w:b/>
          <w:bCs/>
          <w:sz w:val="22"/>
          <w:szCs w:val="22"/>
          <w:lang w:val="el-GR"/>
        </w:rPr>
        <w:t>10. Μέσες Ακτινολογικές Αλλαγές Μετά τους 12 Μήνες στη Μελέτη RA III</w:t>
      </w:r>
    </w:p>
    <w:p w14:paraId="55B50B0C" w14:textId="77777777" w:rsidR="00171824" w:rsidRDefault="00171824">
      <w:pPr>
        <w:keepNext/>
        <w:widowControl/>
        <w:kinsoku w:val="0"/>
        <w:overflowPunct w:val="0"/>
        <w:rPr>
          <w:sz w:val="22"/>
          <w:szCs w:val="22"/>
          <w:lang w:val="el-GR"/>
        </w:rPr>
      </w:pPr>
    </w:p>
    <w:tbl>
      <w:tblPr>
        <w:tblW w:w="9204" w:type="dxa"/>
        <w:tblInd w:w="5" w:type="dxa"/>
        <w:tblLayout w:type="fixed"/>
        <w:tblLook w:val="04A0" w:firstRow="1" w:lastRow="0" w:firstColumn="1" w:lastColumn="0" w:noHBand="0" w:noVBand="1"/>
      </w:tblPr>
      <w:tblGrid>
        <w:gridCol w:w="2684"/>
        <w:gridCol w:w="1417"/>
        <w:gridCol w:w="1701"/>
        <w:gridCol w:w="2126"/>
        <w:gridCol w:w="1276"/>
      </w:tblGrid>
      <w:tr w:rsidR="00171824" w14:paraId="183FF64A" w14:textId="77777777">
        <w:trPr>
          <w:trHeight w:val="20"/>
        </w:trPr>
        <w:tc>
          <w:tcPr>
            <w:tcW w:w="2684" w:type="dxa"/>
            <w:tcBorders>
              <w:top w:val="single" w:sz="4" w:space="0" w:color="000000"/>
              <w:left w:val="single" w:sz="4" w:space="0" w:color="000000"/>
              <w:bottom w:val="single" w:sz="4" w:space="0" w:color="000000"/>
              <w:right w:val="single" w:sz="4" w:space="0" w:color="000000"/>
            </w:tcBorders>
          </w:tcPr>
          <w:p w14:paraId="1D75A5F3" w14:textId="77777777" w:rsidR="00171824" w:rsidRDefault="00171824">
            <w:pPr>
              <w:widowControl/>
              <w:rPr>
                <w:rFonts w:eastAsia="MS Mincho"/>
                <w:b/>
                <w:sz w:val="22"/>
                <w:lang w:val="el-GR"/>
              </w:rPr>
            </w:pPr>
          </w:p>
        </w:tc>
        <w:tc>
          <w:tcPr>
            <w:tcW w:w="1417" w:type="dxa"/>
            <w:tcBorders>
              <w:top w:val="single" w:sz="4" w:space="0" w:color="000000"/>
              <w:left w:val="single" w:sz="4" w:space="0" w:color="000000"/>
              <w:bottom w:val="single" w:sz="4" w:space="0" w:color="000000"/>
              <w:right w:val="single" w:sz="4" w:space="0" w:color="000000"/>
            </w:tcBorders>
          </w:tcPr>
          <w:p w14:paraId="456C25E8" w14:textId="77777777" w:rsidR="00171824" w:rsidRDefault="006D258C">
            <w:pPr>
              <w:pStyle w:val="TableParagraph"/>
              <w:widowControl/>
              <w:kinsoku w:val="0"/>
              <w:overflowPunct w:val="0"/>
              <w:jc w:val="center"/>
              <w:rPr>
                <w:rFonts w:eastAsia="MS Mincho"/>
                <w:b/>
                <w:sz w:val="22"/>
                <w:lang w:val="el-GR"/>
              </w:rPr>
            </w:pPr>
            <w:r>
              <w:rPr>
                <w:rFonts w:eastAsia="MS Mincho"/>
                <w:b/>
                <w:sz w:val="22"/>
                <w:szCs w:val="22"/>
                <w:lang w:val="el-GR"/>
              </w:rPr>
              <w:t>Εικονικό φάρμακο/ MTX</w:t>
            </w:r>
            <w:r>
              <w:rPr>
                <w:rFonts w:eastAsia="MS Mincho"/>
                <w:b/>
                <w:sz w:val="22"/>
                <w:szCs w:val="22"/>
                <w:vertAlign w:val="superscript"/>
                <w:lang w:val="el-GR"/>
              </w:rPr>
              <w:t>a</w:t>
            </w:r>
          </w:p>
        </w:tc>
        <w:tc>
          <w:tcPr>
            <w:tcW w:w="1701" w:type="dxa"/>
            <w:tcBorders>
              <w:top w:val="single" w:sz="4" w:space="0" w:color="000000"/>
              <w:left w:val="single" w:sz="4" w:space="0" w:color="000000"/>
              <w:bottom w:val="single" w:sz="4" w:space="0" w:color="000000"/>
              <w:right w:val="single" w:sz="4" w:space="0" w:color="000000"/>
            </w:tcBorders>
          </w:tcPr>
          <w:p w14:paraId="60F70BD2" w14:textId="77777777" w:rsidR="00171824" w:rsidRDefault="006D258C">
            <w:pPr>
              <w:pStyle w:val="TableParagraph"/>
              <w:widowControl/>
              <w:kinsoku w:val="0"/>
              <w:overflowPunct w:val="0"/>
              <w:jc w:val="center"/>
              <w:rPr>
                <w:rFonts w:eastAsia="MS Mincho"/>
                <w:b/>
                <w:sz w:val="22"/>
                <w:lang w:val="el-GR"/>
              </w:rPr>
            </w:pPr>
            <w:r>
              <w:rPr>
                <w:rFonts w:eastAsia="MS Mincho"/>
                <w:b/>
                <w:sz w:val="22"/>
                <w:szCs w:val="22"/>
                <w:lang w:val="el-GR"/>
              </w:rPr>
              <w:t>Adalimumab/MTX 40 mg κάθε δεύτερη εβδομάδα</w:t>
            </w:r>
          </w:p>
        </w:tc>
        <w:tc>
          <w:tcPr>
            <w:tcW w:w="2126" w:type="dxa"/>
            <w:tcBorders>
              <w:top w:val="single" w:sz="4" w:space="0" w:color="000000"/>
              <w:left w:val="single" w:sz="4" w:space="0" w:color="000000"/>
              <w:bottom w:val="single" w:sz="4" w:space="0" w:color="000000"/>
              <w:right w:val="single" w:sz="4" w:space="0" w:color="000000"/>
            </w:tcBorders>
          </w:tcPr>
          <w:p w14:paraId="008D6FA1" w14:textId="77777777" w:rsidR="00171824" w:rsidRDefault="006D258C">
            <w:pPr>
              <w:pStyle w:val="TableParagraph"/>
              <w:widowControl/>
              <w:kinsoku w:val="0"/>
              <w:overflowPunct w:val="0"/>
              <w:jc w:val="center"/>
              <w:rPr>
                <w:rFonts w:eastAsia="MS Mincho"/>
                <w:b/>
                <w:sz w:val="22"/>
                <w:lang w:val="el-GR"/>
              </w:rPr>
            </w:pPr>
            <w:r>
              <w:rPr>
                <w:rFonts w:eastAsia="MS Mincho"/>
                <w:b/>
                <w:sz w:val="22"/>
                <w:szCs w:val="22"/>
                <w:lang w:val="el-GR"/>
              </w:rPr>
              <w:t xml:space="preserve">Εικονικό φάρμακο/MTX-adalimumab/MTX (95% διάστημα εμπιστοσύνης </w:t>
            </w:r>
            <w:r>
              <w:rPr>
                <w:rFonts w:eastAsia="MS Mincho"/>
                <w:b/>
                <w:sz w:val="22"/>
                <w:szCs w:val="22"/>
                <w:vertAlign w:val="superscript"/>
                <w:lang w:val="el-GR"/>
              </w:rPr>
              <w:t>b</w:t>
            </w:r>
            <w:r>
              <w:rPr>
                <w:rFonts w:eastAsia="MS Mincho"/>
                <w:b/>
                <w:sz w:val="22"/>
                <w:szCs w:val="22"/>
                <w:lang w:val="el-GR"/>
              </w:rPr>
              <w:t>)</w:t>
            </w:r>
          </w:p>
        </w:tc>
        <w:tc>
          <w:tcPr>
            <w:tcW w:w="1276" w:type="dxa"/>
            <w:tcBorders>
              <w:top w:val="single" w:sz="4" w:space="0" w:color="000000"/>
              <w:left w:val="single" w:sz="4" w:space="0" w:color="000000"/>
              <w:bottom w:val="single" w:sz="4" w:space="0" w:color="000000"/>
              <w:right w:val="single" w:sz="4" w:space="0" w:color="000000"/>
            </w:tcBorders>
          </w:tcPr>
          <w:p w14:paraId="4D001C06" w14:textId="77777777" w:rsidR="00171824" w:rsidRDefault="006D258C">
            <w:pPr>
              <w:pStyle w:val="TableParagraph"/>
              <w:widowControl/>
              <w:kinsoku w:val="0"/>
              <w:overflowPunct w:val="0"/>
              <w:jc w:val="center"/>
              <w:rPr>
                <w:rFonts w:eastAsia="MS Mincho"/>
                <w:b/>
                <w:sz w:val="22"/>
                <w:lang w:val="el-GR"/>
              </w:rPr>
            </w:pPr>
            <w:r>
              <w:rPr>
                <w:rFonts w:eastAsia="MS Mincho"/>
                <w:b/>
                <w:sz w:val="22"/>
                <w:szCs w:val="22"/>
                <w:lang w:val="el-GR"/>
              </w:rPr>
              <w:t>p-value</w:t>
            </w:r>
          </w:p>
        </w:tc>
      </w:tr>
      <w:tr w:rsidR="00171824" w14:paraId="37A6F695" w14:textId="77777777">
        <w:trPr>
          <w:trHeight w:val="20"/>
        </w:trPr>
        <w:tc>
          <w:tcPr>
            <w:tcW w:w="2684" w:type="dxa"/>
            <w:tcBorders>
              <w:top w:val="single" w:sz="4" w:space="0" w:color="000000"/>
              <w:left w:val="single" w:sz="4" w:space="0" w:color="000000"/>
              <w:bottom w:val="single" w:sz="4" w:space="0" w:color="000000"/>
              <w:right w:val="single" w:sz="4" w:space="0" w:color="000000"/>
            </w:tcBorders>
          </w:tcPr>
          <w:p w14:paraId="68D8273C"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Total Sharp Score</w:t>
            </w:r>
          </w:p>
        </w:tc>
        <w:tc>
          <w:tcPr>
            <w:tcW w:w="1417" w:type="dxa"/>
            <w:tcBorders>
              <w:top w:val="single" w:sz="4" w:space="0" w:color="000000"/>
              <w:left w:val="single" w:sz="4" w:space="0" w:color="000000"/>
              <w:bottom w:val="single" w:sz="4" w:space="0" w:color="000000"/>
              <w:right w:val="single" w:sz="4" w:space="0" w:color="000000"/>
            </w:tcBorders>
          </w:tcPr>
          <w:p w14:paraId="47660509"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2,7</w:t>
            </w:r>
          </w:p>
        </w:tc>
        <w:tc>
          <w:tcPr>
            <w:tcW w:w="1701" w:type="dxa"/>
            <w:tcBorders>
              <w:top w:val="single" w:sz="4" w:space="0" w:color="000000"/>
              <w:left w:val="single" w:sz="4" w:space="0" w:color="000000"/>
              <w:bottom w:val="single" w:sz="4" w:space="0" w:color="000000"/>
              <w:right w:val="single" w:sz="4" w:space="0" w:color="000000"/>
            </w:tcBorders>
          </w:tcPr>
          <w:p w14:paraId="2FDBF4C0"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0,1</w:t>
            </w:r>
          </w:p>
        </w:tc>
        <w:tc>
          <w:tcPr>
            <w:tcW w:w="2126" w:type="dxa"/>
            <w:tcBorders>
              <w:top w:val="single" w:sz="4" w:space="0" w:color="000000"/>
              <w:left w:val="single" w:sz="4" w:space="0" w:color="000000"/>
              <w:bottom w:val="single" w:sz="4" w:space="0" w:color="000000"/>
              <w:right w:val="single" w:sz="4" w:space="0" w:color="000000"/>
            </w:tcBorders>
          </w:tcPr>
          <w:p w14:paraId="2449325C"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2,6 (1,4, 3,8)</w:t>
            </w:r>
          </w:p>
        </w:tc>
        <w:tc>
          <w:tcPr>
            <w:tcW w:w="1276" w:type="dxa"/>
            <w:tcBorders>
              <w:top w:val="single" w:sz="4" w:space="0" w:color="000000"/>
              <w:left w:val="single" w:sz="4" w:space="0" w:color="000000"/>
              <w:bottom w:val="single" w:sz="4" w:space="0" w:color="000000"/>
              <w:right w:val="single" w:sz="4" w:space="0" w:color="000000"/>
            </w:tcBorders>
          </w:tcPr>
          <w:p w14:paraId="271DA746"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&lt; 0,001</w:t>
            </w:r>
            <w:r>
              <w:rPr>
                <w:rFonts w:eastAsia="MS Mincho"/>
                <w:sz w:val="22"/>
                <w:szCs w:val="22"/>
                <w:vertAlign w:val="superscript"/>
                <w:lang w:val="el-GR"/>
              </w:rPr>
              <w:t>c</w:t>
            </w:r>
          </w:p>
        </w:tc>
      </w:tr>
      <w:tr w:rsidR="00171824" w14:paraId="763118C2" w14:textId="77777777">
        <w:trPr>
          <w:trHeight w:val="20"/>
        </w:trPr>
        <w:tc>
          <w:tcPr>
            <w:tcW w:w="2684" w:type="dxa"/>
            <w:tcBorders>
              <w:top w:val="single" w:sz="4" w:space="0" w:color="000000"/>
              <w:left w:val="single" w:sz="4" w:space="0" w:color="000000"/>
              <w:bottom w:val="single" w:sz="4" w:space="0" w:color="000000"/>
              <w:right w:val="single" w:sz="4" w:space="0" w:color="000000"/>
            </w:tcBorders>
          </w:tcPr>
          <w:p w14:paraId="1B4E76EA"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Βαθμολογία διαβρώσεων</w:t>
            </w:r>
          </w:p>
        </w:tc>
        <w:tc>
          <w:tcPr>
            <w:tcW w:w="1417" w:type="dxa"/>
            <w:tcBorders>
              <w:top w:val="single" w:sz="4" w:space="0" w:color="000000"/>
              <w:left w:val="single" w:sz="4" w:space="0" w:color="000000"/>
              <w:bottom w:val="single" w:sz="4" w:space="0" w:color="000000"/>
              <w:right w:val="single" w:sz="4" w:space="0" w:color="000000"/>
            </w:tcBorders>
          </w:tcPr>
          <w:p w14:paraId="2C34BF1C"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1,6</w:t>
            </w:r>
          </w:p>
        </w:tc>
        <w:tc>
          <w:tcPr>
            <w:tcW w:w="1701" w:type="dxa"/>
            <w:tcBorders>
              <w:top w:val="single" w:sz="4" w:space="0" w:color="000000"/>
              <w:left w:val="single" w:sz="4" w:space="0" w:color="000000"/>
              <w:bottom w:val="single" w:sz="4" w:space="0" w:color="000000"/>
              <w:right w:val="single" w:sz="4" w:space="0" w:color="000000"/>
            </w:tcBorders>
          </w:tcPr>
          <w:p w14:paraId="7E944F50"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0,0</w:t>
            </w:r>
          </w:p>
        </w:tc>
        <w:tc>
          <w:tcPr>
            <w:tcW w:w="2126" w:type="dxa"/>
            <w:tcBorders>
              <w:top w:val="single" w:sz="4" w:space="0" w:color="000000"/>
              <w:left w:val="single" w:sz="4" w:space="0" w:color="000000"/>
              <w:bottom w:val="single" w:sz="4" w:space="0" w:color="000000"/>
              <w:right w:val="single" w:sz="4" w:space="0" w:color="000000"/>
            </w:tcBorders>
          </w:tcPr>
          <w:p w14:paraId="1AB3AE7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1,6 (0,9, 2,2)</w:t>
            </w:r>
          </w:p>
        </w:tc>
        <w:tc>
          <w:tcPr>
            <w:tcW w:w="1276" w:type="dxa"/>
            <w:tcBorders>
              <w:top w:val="single" w:sz="4" w:space="0" w:color="000000"/>
              <w:left w:val="single" w:sz="4" w:space="0" w:color="000000"/>
              <w:bottom w:val="single" w:sz="4" w:space="0" w:color="000000"/>
              <w:right w:val="single" w:sz="4" w:space="0" w:color="000000"/>
            </w:tcBorders>
          </w:tcPr>
          <w:p w14:paraId="7A38F58D"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&lt; 0,001</w:t>
            </w:r>
          </w:p>
        </w:tc>
      </w:tr>
      <w:tr w:rsidR="00171824" w14:paraId="73317E25" w14:textId="77777777">
        <w:trPr>
          <w:trHeight w:val="20"/>
        </w:trPr>
        <w:tc>
          <w:tcPr>
            <w:tcW w:w="2684" w:type="dxa"/>
            <w:tcBorders>
              <w:top w:val="single" w:sz="4" w:space="0" w:color="000000"/>
              <w:left w:val="single" w:sz="4" w:space="0" w:color="000000"/>
              <w:bottom w:val="single" w:sz="4" w:space="0" w:color="000000"/>
              <w:right w:val="single" w:sz="4" w:space="0" w:color="000000"/>
            </w:tcBorders>
          </w:tcPr>
          <w:p w14:paraId="548FB21A"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Βαθμολογία JSN</w:t>
            </w:r>
            <w:r>
              <w:rPr>
                <w:rFonts w:eastAsia="MS Mincho"/>
                <w:sz w:val="22"/>
                <w:szCs w:val="22"/>
                <w:vertAlign w:val="superscript"/>
                <w:lang w:val="el-GR"/>
              </w:rPr>
              <w:t>d</w:t>
            </w:r>
          </w:p>
        </w:tc>
        <w:tc>
          <w:tcPr>
            <w:tcW w:w="1417" w:type="dxa"/>
            <w:tcBorders>
              <w:top w:val="single" w:sz="4" w:space="0" w:color="000000"/>
              <w:left w:val="single" w:sz="4" w:space="0" w:color="000000"/>
              <w:bottom w:val="single" w:sz="4" w:space="0" w:color="000000"/>
              <w:right w:val="single" w:sz="4" w:space="0" w:color="000000"/>
            </w:tcBorders>
          </w:tcPr>
          <w:p w14:paraId="27B07161"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1,0</w:t>
            </w:r>
          </w:p>
        </w:tc>
        <w:tc>
          <w:tcPr>
            <w:tcW w:w="1701" w:type="dxa"/>
            <w:tcBorders>
              <w:top w:val="single" w:sz="4" w:space="0" w:color="000000"/>
              <w:left w:val="single" w:sz="4" w:space="0" w:color="000000"/>
              <w:bottom w:val="single" w:sz="4" w:space="0" w:color="000000"/>
              <w:right w:val="single" w:sz="4" w:space="0" w:color="000000"/>
            </w:tcBorders>
          </w:tcPr>
          <w:p w14:paraId="36FA593A"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0,1</w:t>
            </w:r>
          </w:p>
        </w:tc>
        <w:tc>
          <w:tcPr>
            <w:tcW w:w="2126" w:type="dxa"/>
            <w:tcBorders>
              <w:top w:val="single" w:sz="4" w:space="0" w:color="000000"/>
              <w:left w:val="single" w:sz="4" w:space="0" w:color="000000"/>
              <w:bottom w:val="single" w:sz="4" w:space="0" w:color="000000"/>
              <w:right w:val="single" w:sz="4" w:space="0" w:color="000000"/>
            </w:tcBorders>
          </w:tcPr>
          <w:p w14:paraId="3D3DC862"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0,9 (0,3, 1,4)</w:t>
            </w:r>
          </w:p>
        </w:tc>
        <w:tc>
          <w:tcPr>
            <w:tcW w:w="1276" w:type="dxa"/>
            <w:tcBorders>
              <w:top w:val="single" w:sz="4" w:space="0" w:color="000000"/>
              <w:left w:val="single" w:sz="4" w:space="0" w:color="000000"/>
              <w:bottom w:val="single" w:sz="4" w:space="0" w:color="000000"/>
              <w:right w:val="single" w:sz="4" w:space="0" w:color="000000"/>
            </w:tcBorders>
          </w:tcPr>
          <w:p w14:paraId="063D27EE"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0,002</w:t>
            </w:r>
          </w:p>
        </w:tc>
      </w:tr>
    </w:tbl>
    <w:p w14:paraId="4CC1437B" w14:textId="77777777" w:rsidR="00171824" w:rsidRDefault="006D258C">
      <w:pPr>
        <w:widowControl/>
        <w:tabs>
          <w:tab w:val="left" w:pos="284"/>
        </w:tabs>
        <w:kinsoku w:val="0"/>
        <w:overflowPunct w:val="0"/>
        <w:rPr>
          <w:sz w:val="20"/>
          <w:szCs w:val="20"/>
          <w:lang w:val="el-GR"/>
        </w:rPr>
      </w:pPr>
      <w:r>
        <w:rPr>
          <w:sz w:val="20"/>
          <w:szCs w:val="20"/>
          <w:vertAlign w:val="superscript"/>
          <w:lang w:val="el-GR"/>
        </w:rPr>
        <w:t>a</w:t>
      </w:r>
      <w:r>
        <w:rPr>
          <w:sz w:val="20"/>
          <w:szCs w:val="20"/>
          <w:lang w:val="el-GR"/>
        </w:rPr>
        <w:tab/>
        <w:t>Μεθοτρεξάτη</w:t>
      </w:r>
    </w:p>
    <w:p w14:paraId="2D46B135" w14:textId="77777777" w:rsidR="00171824" w:rsidRDefault="006D258C">
      <w:pPr>
        <w:widowControl/>
        <w:tabs>
          <w:tab w:val="left" w:pos="284"/>
        </w:tabs>
        <w:kinsoku w:val="0"/>
        <w:overflowPunct w:val="0"/>
        <w:rPr>
          <w:sz w:val="20"/>
          <w:szCs w:val="20"/>
          <w:lang w:val="el-GR"/>
        </w:rPr>
      </w:pPr>
      <w:r>
        <w:rPr>
          <w:sz w:val="20"/>
          <w:szCs w:val="20"/>
          <w:vertAlign w:val="superscript"/>
          <w:lang w:val="el-GR"/>
        </w:rPr>
        <w:t>b</w:t>
      </w:r>
      <w:r>
        <w:rPr>
          <w:sz w:val="20"/>
          <w:szCs w:val="20"/>
          <w:lang w:val="el-GR"/>
        </w:rPr>
        <w:tab/>
        <w:t xml:space="preserve">95% διάστημα εμπιστοσύνης για τις διαφορές στις βαθμολογίες μεταξύ μεθοτρεξάτης και adalimumab </w:t>
      </w:r>
    </w:p>
    <w:p w14:paraId="0C090AD6" w14:textId="77777777" w:rsidR="00171824" w:rsidRDefault="006D258C">
      <w:pPr>
        <w:widowControl/>
        <w:tabs>
          <w:tab w:val="left" w:pos="284"/>
        </w:tabs>
        <w:kinsoku w:val="0"/>
        <w:overflowPunct w:val="0"/>
        <w:rPr>
          <w:sz w:val="20"/>
          <w:szCs w:val="20"/>
          <w:lang w:val="el-GR"/>
        </w:rPr>
      </w:pPr>
      <w:r>
        <w:rPr>
          <w:sz w:val="20"/>
          <w:szCs w:val="20"/>
          <w:vertAlign w:val="superscript"/>
          <w:lang w:val="el-GR"/>
        </w:rPr>
        <w:t>c</w:t>
      </w:r>
      <w:r>
        <w:rPr>
          <w:sz w:val="20"/>
          <w:szCs w:val="20"/>
          <w:lang w:val="el-GR"/>
        </w:rPr>
        <w:tab/>
        <w:t>Bασίζεται σε ανάλυση κατά σειρά μεγέθους</w:t>
      </w:r>
    </w:p>
    <w:p w14:paraId="51F15948" w14:textId="77777777" w:rsidR="00171824" w:rsidRDefault="006D258C">
      <w:pPr>
        <w:widowControl/>
        <w:tabs>
          <w:tab w:val="left" w:pos="284"/>
        </w:tabs>
        <w:kinsoku w:val="0"/>
        <w:overflowPunct w:val="0"/>
        <w:rPr>
          <w:sz w:val="20"/>
          <w:szCs w:val="20"/>
          <w:lang w:val="el-GR"/>
        </w:rPr>
      </w:pPr>
      <w:r>
        <w:rPr>
          <w:sz w:val="20"/>
          <w:szCs w:val="20"/>
          <w:vertAlign w:val="superscript"/>
          <w:lang w:val="el-GR"/>
        </w:rPr>
        <w:t>d</w:t>
      </w:r>
      <w:r>
        <w:rPr>
          <w:sz w:val="20"/>
          <w:szCs w:val="20"/>
          <w:lang w:val="el-GR"/>
        </w:rPr>
        <w:tab/>
        <w:t>Στένωση του μεσαρθρίου διαστήματος</w:t>
      </w:r>
    </w:p>
    <w:p w14:paraId="32FAF912" w14:textId="77777777" w:rsidR="00171824" w:rsidRDefault="00171824">
      <w:pPr>
        <w:widowControl/>
        <w:kinsoku w:val="0"/>
        <w:overflowPunct w:val="0"/>
        <w:rPr>
          <w:sz w:val="22"/>
          <w:szCs w:val="22"/>
          <w:lang w:val="el-GR"/>
        </w:rPr>
      </w:pPr>
    </w:p>
    <w:p w14:paraId="6132002D" w14:textId="77777777" w:rsidR="00171824" w:rsidRDefault="006D258C">
      <w:pPr>
        <w:pStyle w:val="BodyText"/>
        <w:widowControl/>
        <w:kinsoku w:val="0"/>
        <w:overflowPunct w:val="0"/>
        <w:ind w:left="0"/>
        <w:rPr>
          <w:lang w:val="el-GR"/>
        </w:rPr>
      </w:pPr>
      <w:r>
        <w:rPr>
          <w:lang w:val="el-GR"/>
        </w:rPr>
        <w:t>Στη μελέτη RA V, η αρθρική δομική βλάβη αξιολογήθηκε ακτινολογικά και ορίστηκε ως η μεταβολή του τροποποιημένου Total Sharp Score (βλέπε πίνακα 11).</w:t>
      </w:r>
    </w:p>
    <w:p w14:paraId="563DB9FA" w14:textId="77777777" w:rsidR="00171824" w:rsidRDefault="00171824">
      <w:pPr>
        <w:widowControl/>
        <w:kinsoku w:val="0"/>
        <w:overflowPunct w:val="0"/>
        <w:rPr>
          <w:sz w:val="22"/>
          <w:szCs w:val="22"/>
          <w:lang w:val="el-GR"/>
        </w:rPr>
      </w:pPr>
    </w:p>
    <w:p w14:paraId="1914A0C9" w14:textId="77777777" w:rsidR="00171824" w:rsidRDefault="006D258C">
      <w:pPr>
        <w:pStyle w:val="Heading1"/>
        <w:keepNext/>
        <w:keepLines/>
        <w:widowControl/>
        <w:kinsoku w:val="0"/>
        <w:overflowPunct w:val="0"/>
        <w:ind w:left="0"/>
        <w:rPr>
          <w:lang w:val="el-GR"/>
        </w:rPr>
      </w:pPr>
      <w:r>
        <w:rPr>
          <w:lang w:val="el-GR"/>
        </w:rPr>
        <w:t>Πίνακας 11.</w:t>
      </w:r>
      <w:r>
        <w:rPr>
          <w:b w:val="0"/>
          <w:bCs w:val="0"/>
          <w:lang w:val="el-GR"/>
        </w:rPr>
        <w:t xml:space="preserve"> </w:t>
      </w:r>
      <w:r>
        <w:rPr>
          <w:bCs w:val="0"/>
          <w:lang w:val="el-GR"/>
        </w:rPr>
        <w:t>Μέσες Ακτινολογικές Αλλαγές στην εβδομάδα 52 στη Μελέτη RA V</w:t>
      </w:r>
    </w:p>
    <w:p w14:paraId="47690740" w14:textId="77777777" w:rsidR="00171824" w:rsidRDefault="00171824">
      <w:pPr>
        <w:keepNext/>
        <w:keepLines/>
        <w:widowControl/>
        <w:kinsoku w:val="0"/>
        <w:overflowPunct w:val="0"/>
        <w:rPr>
          <w:sz w:val="22"/>
          <w:szCs w:val="22"/>
          <w:lang w:val="el-GR"/>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1"/>
        <w:gridCol w:w="1645"/>
        <w:gridCol w:w="1701"/>
        <w:gridCol w:w="1701"/>
        <w:gridCol w:w="992"/>
        <w:gridCol w:w="992"/>
        <w:gridCol w:w="993"/>
      </w:tblGrid>
      <w:tr w:rsidR="00171824" w14:paraId="0C1E09FD" w14:textId="77777777">
        <w:trPr>
          <w:trHeight w:val="665"/>
        </w:trPr>
        <w:tc>
          <w:tcPr>
            <w:tcW w:w="1361" w:type="dxa"/>
            <w:vAlign w:val="center"/>
          </w:tcPr>
          <w:p w14:paraId="2347FFFD" w14:textId="77777777" w:rsidR="00171824" w:rsidRDefault="00171824">
            <w:pPr>
              <w:keepNext/>
              <w:keepLines/>
              <w:widowControl/>
              <w:kinsoku w:val="0"/>
              <w:overflowPunct w:val="0"/>
              <w:jc w:val="center"/>
              <w:rPr>
                <w:rFonts w:eastAsia="MS Mincho"/>
                <w:b/>
                <w:sz w:val="22"/>
                <w:szCs w:val="22"/>
                <w:lang w:val="el-GR"/>
              </w:rPr>
            </w:pPr>
          </w:p>
        </w:tc>
        <w:tc>
          <w:tcPr>
            <w:tcW w:w="1645" w:type="dxa"/>
          </w:tcPr>
          <w:p w14:paraId="1C34494E" w14:textId="77777777" w:rsidR="00171824" w:rsidRDefault="006D258C">
            <w:pPr>
              <w:pStyle w:val="BodyText"/>
              <w:keepNext/>
              <w:keepLines/>
              <w:widowControl/>
              <w:ind w:left="0"/>
              <w:jc w:val="center"/>
              <w:rPr>
                <w:rFonts w:eastAsia="MS Mincho"/>
                <w:b/>
                <w:lang w:val="el-GR"/>
              </w:rPr>
            </w:pPr>
            <w:r>
              <w:rPr>
                <w:rFonts w:eastAsia="MS Mincho"/>
                <w:b/>
                <w:lang w:val="el-GR"/>
              </w:rPr>
              <w:t>MTX</w:t>
            </w:r>
          </w:p>
          <w:p w14:paraId="1CECF840" w14:textId="77777777" w:rsidR="00171824" w:rsidRDefault="006D258C">
            <w:pPr>
              <w:pStyle w:val="BodyText"/>
              <w:keepNext/>
              <w:keepLines/>
              <w:widowControl/>
              <w:ind w:left="0"/>
              <w:jc w:val="center"/>
              <w:rPr>
                <w:rFonts w:eastAsia="MS Mincho"/>
                <w:b/>
                <w:lang w:val="el-GR"/>
              </w:rPr>
            </w:pPr>
            <w:r>
              <w:rPr>
                <w:rFonts w:eastAsia="MS Mincho"/>
                <w:b/>
                <w:lang w:val="el-GR"/>
              </w:rPr>
              <w:t>n=257</w:t>
            </w:r>
          </w:p>
          <w:p w14:paraId="49FC6A98" w14:textId="77777777" w:rsidR="00171824" w:rsidRDefault="006D258C">
            <w:pPr>
              <w:pStyle w:val="BodyText"/>
              <w:keepNext/>
              <w:keepLines/>
              <w:widowControl/>
              <w:ind w:left="0"/>
              <w:jc w:val="center"/>
              <w:rPr>
                <w:rFonts w:eastAsia="MS Mincho"/>
                <w:b/>
                <w:lang w:val="el-GR"/>
              </w:rPr>
            </w:pPr>
            <w:r>
              <w:rPr>
                <w:rFonts w:eastAsia="MS Mincho"/>
                <w:b/>
                <w:lang w:val="el-GR"/>
              </w:rPr>
              <w:t>(95% διάστημα εμπιστοσύνης)</w:t>
            </w:r>
          </w:p>
        </w:tc>
        <w:tc>
          <w:tcPr>
            <w:tcW w:w="1701" w:type="dxa"/>
          </w:tcPr>
          <w:p w14:paraId="73921DA9" w14:textId="77777777" w:rsidR="00171824" w:rsidRDefault="006D258C">
            <w:pPr>
              <w:pStyle w:val="BodyText"/>
              <w:keepNext/>
              <w:keepLines/>
              <w:widowControl/>
              <w:ind w:left="0"/>
              <w:jc w:val="center"/>
              <w:rPr>
                <w:rFonts w:eastAsia="MS Mincho"/>
                <w:b/>
                <w:lang w:val="el-GR"/>
              </w:rPr>
            </w:pPr>
            <w:r>
              <w:rPr>
                <w:rFonts w:eastAsia="MS Mincho"/>
                <w:b/>
                <w:lang w:val="el-GR"/>
              </w:rPr>
              <w:t>Adalimumab</w:t>
            </w:r>
          </w:p>
          <w:p w14:paraId="4788D16F" w14:textId="77777777" w:rsidR="00171824" w:rsidRDefault="006D258C">
            <w:pPr>
              <w:pStyle w:val="BodyText"/>
              <w:keepNext/>
              <w:keepLines/>
              <w:widowControl/>
              <w:ind w:left="0"/>
              <w:jc w:val="center"/>
              <w:rPr>
                <w:rFonts w:eastAsia="MS Mincho"/>
                <w:b/>
                <w:lang w:val="el-GR"/>
              </w:rPr>
            </w:pPr>
            <w:r>
              <w:rPr>
                <w:rFonts w:eastAsia="MS Mincho"/>
                <w:b/>
                <w:lang w:val="el-GR"/>
              </w:rPr>
              <w:t>n=274</w:t>
            </w:r>
          </w:p>
          <w:p w14:paraId="66D75EAC" w14:textId="77777777" w:rsidR="00171824" w:rsidRDefault="006D258C">
            <w:pPr>
              <w:pStyle w:val="BodyText"/>
              <w:keepNext/>
              <w:keepLines/>
              <w:widowControl/>
              <w:ind w:left="0"/>
              <w:jc w:val="center"/>
              <w:rPr>
                <w:rFonts w:eastAsia="MS Mincho"/>
                <w:b/>
                <w:lang w:val="el-GR"/>
              </w:rPr>
            </w:pPr>
            <w:r>
              <w:rPr>
                <w:rFonts w:eastAsia="MS Mincho"/>
                <w:b/>
                <w:lang w:val="el-GR"/>
              </w:rPr>
              <w:t>(95% διάστημα εμπιστοσύνης)</w:t>
            </w:r>
          </w:p>
        </w:tc>
        <w:tc>
          <w:tcPr>
            <w:tcW w:w="1701" w:type="dxa"/>
          </w:tcPr>
          <w:p w14:paraId="6F57D408" w14:textId="77777777" w:rsidR="00171824" w:rsidRDefault="006D258C">
            <w:pPr>
              <w:pStyle w:val="BodyText"/>
              <w:keepNext/>
              <w:keepLines/>
              <w:widowControl/>
              <w:ind w:left="0"/>
              <w:jc w:val="center"/>
              <w:rPr>
                <w:rFonts w:eastAsia="MS Mincho"/>
                <w:b/>
                <w:lang w:val="el-GR"/>
              </w:rPr>
            </w:pPr>
            <w:r>
              <w:rPr>
                <w:rFonts w:eastAsia="MS Mincho"/>
                <w:b/>
                <w:lang w:val="el-GR"/>
              </w:rPr>
              <w:t>Adalimumab/MTX</w:t>
            </w:r>
          </w:p>
          <w:p w14:paraId="176E3829" w14:textId="77777777" w:rsidR="00171824" w:rsidRDefault="006D258C">
            <w:pPr>
              <w:pStyle w:val="BodyText"/>
              <w:keepNext/>
              <w:keepLines/>
              <w:widowControl/>
              <w:ind w:left="0"/>
              <w:jc w:val="center"/>
              <w:rPr>
                <w:rFonts w:eastAsia="MS Mincho"/>
                <w:b/>
                <w:lang w:val="el-GR"/>
              </w:rPr>
            </w:pPr>
            <w:r>
              <w:rPr>
                <w:rFonts w:eastAsia="MS Mincho"/>
                <w:b/>
                <w:lang w:val="el-GR"/>
              </w:rPr>
              <w:t>n=268</w:t>
            </w:r>
          </w:p>
          <w:p w14:paraId="7A6D3D1B" w14:textId="77777777" w:rsidR="00171824" w:rsidRDefault="006D258C">
            <w:pPr>
              <w:pStyle w:val="BodyText"/>
              <w:keepNext/>
              <w:keepLines/>
              <w:widowControl/>
              <w:ind w:left="0"/>
              <w:jc w:val="center"/>
              <w:rPr>
                <w:rFonts w:eastAsia="MS Mincho"/>
                <w:b/>
                <w:lang w:val="el-GR"/>
              </w:rPr>
            </w:pPr>
            <w:r>
              <w:rPr>
                <w:rFonts w:eastAsia="MS Mincho"/>
                <w:b/>
                <w:lang w:val="el-GR"/>
              </w:rPr>
              <w:t>(95% διάστημα εμπιστοσύνης)</w:t>
            </w:r>
          </w:p>
        </w:tc>
        <w:tc>
          <w:tcPr>
            <w:tcW w:w="992" w:type="dxa"/>
          </w:tcPr>
          <w:p w14:paraId="4BCE2833" w14:textId="77777777" w:rsidR="00171824" w:rsidRDefault="006D258C">
            <w:pPr>
              <w:pStyle w:val="BodyText"/>
              <w:keepNext/>
              <w:keepLines/>
              <w:widowControl/>
              <w:ind w:left="0"/>
              <w:jc w:val="center"/>
              <w:rPr>
                <w:rFonts w:eastAsia="MS Mincho"/>
                <w:b/>
                <w:lang w:val="el-GR"/>
              </w:rPr>
            </w:pPr>
            <w:r>
              <w:rPr>
                <w:rFonts w:eastAsia="MS Mincho"/>
                <w:b/>
                <w:lang w:val="el-GR"/>
              </w:rPr>
              <w:t>p-value</w:t>
            </w:r>
            <w:r>
              <w:rPr>
                <w:rFonts w:eastAsia="MS Mincho"/>
                <w:b/>
                <w:vertAlign w:val="superscript"/>
                <w:lang w:val="el-GR"/>
              </w:rPr>
              <w:t>a</w:t>
            </w:r>
          </w:p>
        </w:tc>
        <w:tc>
          <w:tcPr>
            <w:tcW w:w="992" w:type="dxa"/>
          </w:tcPr>
          <w:p w14:paraId="3EE8FBE0" w14:textId="77777777" w:rsidR="00171824" w:rsidRDefault="006D258C">
            <w:pPr>
              <w:pStyle w:val="BodyText"/>
              <w:keepNext/>
              <w:keepLines/>
              <w:widowControl/>
              <w:ind w:left="0"/>
              <w:jc w:val="center"/>
              <w:rPr>
                <w:rFonts w:eastAsia="MS Mincho"/>
                <w:b/>
                <w:lang w:val="el-GR"/>
              </w:rPr>
            </w:pPr>
            <w:r>
              <w:rPr>
                <w:rFonts w:eastAsia="MS Mincho"/>
                <w:b/>
                <w:lang w:val="el-GR"/>
              </w:rPr>
              <w:t>p-value</w:t>
            </w:r>
            <w:r>
              <w:rPr>
                <w:rFonts w:eastAsia="MS Mincho"/>
                <w:b/>
                <w:vertAlign w:val="superscript"/>
                <w:lang w:val="el-GR"/>
              </w:rPr>
              <w:t>b</w:t>
            </w:r>
          </w:p>
        </w:tc>
        <w:tc>
          <w:tcPr>
            <w:tcW w:w="993" w:type="dxa"/>
          </w:tcPr>
          <w:p w14:paraId="0B13A7EE" w14:textId="77777777" w:rsidR="00171824" w:rsidRDefault="006D258C">
            <w:pPr>
              <w:pStyle w:val="BodyText"/>
              <w:keepNext/>
              <w:keepLines/>
              <w:widowControl/>
              <w:ind w:left="0"/>
              <w:jc w:val="center"/>
              <w:rPr>
                <w:rFonts w:eastAsia="MS Mincho"/>
                <w:b/>
                <w:lang w:val="el-GR"/>
              </w:rPr>
            </w:pPr>
            <w:r>
              <w:rPr>
                <w:rFonts w:eastAsia="MS Mincho"/>
                <w:b/>
                <w:lang w:val="el-GR"/>
              </w:rPr>
              <w:t>p-value</w:t>
            </w:r>
            <w:r>
              <w:rPr>
                <w:rFonts w:eastAsia="MS Mincho"/>
                <w:b/>
                <w:vertAlign w:val="superscript"/>
                <w:lang w:val="el-GR"/>
              </w:rPr>
              <w:t>c</w:t>
            </w:r>
          </w:p>
        </w:tc>
      </w:tr>
      <w:tr w:rsidR="00171824" w14:paraId="2D63B770" w14:textId="77777777">
        <w:tc>
          <w:tcPr>
            <w:tcW w:w="1361" w:type="dxa"/>
          </w:tcPr>
          <w:p w14:paraId="7771EF0C" w14:textId="77777777" w:rsidR="00171824" w:rsidRDefault="006D258C">
            <w:pPr>
              <w:pStyle w:val="BodyText"/>
              <w:keepNext/>
              <w:keepLines/>
              <w:widowControl/>
              <w:ind w:left="0"/>
              <w:rPr>
                <w:rFonts w:eastAsia="MS Mincho"/>
                <w:lang w:val="el-GR"/>
              </w:rPr>
            </w:pPr>
            <w:r>
              <w:rPr>
                <w:rFonts w:eastAsia="MS Mincho"/>
                <w:lang w:val="el-GR"/>
              </w:rPr>
              <w:t>Total Sharp Score</w:t>
            </w:r>
          </w:p>
        </w:tc>
        <w:tc>
          <w:tcPr>
            <w:tcW w:w="1645" w:type="dxa"/>
          </w:tcPr>
          <w:p w14:paraId="68EC8BC7" w14:textId="77777777" w:rsidR="00171824" w:rsidRDefault="006D258C">
            <w:pPr>
              <w:pStyle w:val="BodyText"/>
              <w:keepNext/>
              <w:keepLines/>
              <w:widowControl/>
              <w:ind w:left="0"/>
              <w:jc w:val="center"/>
              <w:rPr>
                <w:rFonts w:eastAsia="MS Mincho"/>
                <w:lang w:val="el-GR"/>
              </w:rPr>
            </w:pPr>
            <w:r>
              <w:rPr>
                <w:rFonts w:eastAsia="MS Mincho"/>
                <w:lang w:val="el-GR"/>
              </w:rPr>
              <w:t>5,7 (4,2-7,3)</w:t>
            </w:r>
          </w:p>
        </w:tc>
        <w:tc>
          <w:tcPr>
            <w:tcW w:w="1701" w:type="dxa"/>
          </w:tcPr>
          <w:p w14:paraId="55BB4B33" w14:textId="77777777" w:rsidR="00171824" w:rsidRDefault="006D258C">
            <w:pPr>
              <w:pStyle w:val="BodyText"/>
              <w:keepNext/>
              <w:keepLines/>
              <w:widowControl/>
              <w:ind w:left="0"/>
              <w:jc w:val="center"/>
              <w:rPr>
                <w:rFonts w:eastAsia="MS Mincho"/>
                <w:lang w:val="el-GR"/>
              </w:rPr>
            </w:pPr>
            <w:r>
              <w:rPr>
                <w:rFonts w:eastAsia="MS Mincho"/>
                <w:lang w:val="el-GR"/>
              </w:rPr>
              <w:t>3,0 (1,7-4,3)</w:t>
            </w:r>
          </w:p>
        </w:tc>
        <w:tc>
          <w:tcPr>
            <w:tcW w:w="1701" w:type="dxa"/>
          </w:tcPr>
          <w:p w14:paraId="0D40D1AD" w14:textId="77777777" w:rsidR="00171824" w:rsidRDefault="006D258C">
            <w:pPr>
              <w:pStyle w:val="BodyText"/>
              <w:keepNext/>
              <w:keepLines/>
              <w:widowControl/>
              <w:ind w:left="0"/>
              <w:jc w:val="center"/>
              <w:rPr>
                <w:rFonts w:eastAsia="MS Mincho"/>
                <w:lang w:val="el-GR"/>
              </w:rPr>
            </w:pPr>
            <w:r>
              <w:rPr>
                <w:rFonts w:eastAsia="MS Mincho"/>
                <w:lang w:val="el-GR"/>
              </w:rPr>
              <w:t>1,3 (0,5-2,1)</w:t>
            </w:r>
          </w:p>
        </w:tc>
        <w:tc>
          <w:tcPr>
            <w:tcW w:w="992" w:type="dxa"/>
          </w:tcPr>
          <w:p w14:paraId="0AB88DC7" w14:textId="77777777" w:rsidR="00171824" w:rsidRDefault="006D258C">
            <w:pPr>
              <w:pStyle w:val="BodyText"/>
              <w:keepNext/>
              <w:keepLines/>
              <w:widowControl/>
              <w:ind w:left="0"/>
              <w:jc w:val="center"/>
              <w:rPr>
                <w:rFonts w:eastAsia="MS Mincho"/>
                <w:lang w:val="el-GR"/>
              </w:rPr>
            </w:pPr>
            <w:r>
              <w:rPr>
                <w:rFonts w:eastAsia="MS Mincho"/>
                <w:lang w:val="el-GR"/>
              </w:rPr>
              <w:t>&lt; 0,001</w:t>
            </w:r>
          </w:p>
        </w:tc>
        <w:tc>
          <w:tcPr>
            <w:tcW w:w="992" w:type="dxa"/>
          </w:tcPr>
          <w:p w14:paraId="6523BA0C" w14:textId="77777777" w:rsidR="00171824" w:rsidRDefault="006D258C">
            <w:pPr>
              <w:pStyle w:val="BodyText"/>
              <w:keepNext/>
              <w:keepLines/>
              <w:widowControl/>
              <w:ind w:left="0"/>
              <w:jc w:val="center"/>
              <w:rPr>
                <w:rFonts w:eastAsia="MS Mincho"/>
                <w:lang w:val="el-GR"/>
              </w:rPr>
            </w:pPr>
            <w:r>
              <w:rPr>
                <w:rFonts w:eastAsia="MS Mincho"/>
                <w:lang w:val="el-GR"/>
              </w:rPr>
              <w:t>0,0020</w:t>
            </w:r>
          </w:p>
        </w:tc>
        <w:tc>
          <w:tcPr>
            <w:tcW w:w="993" w:type="dxa"/>
          </w:tcPr>
          <w:p w14:paraId="26A54563" w14:textId="77777777" w:rsidR="00171824" w:rsidRDefault="006D258C">
            <w:pPr>
              <w:pStyle w:val="BodyText"/>
              <w:keepNext/>
              <w:keepLines/>
              <w:widowControl/>
              <w:ind w:left="0"/>
              <w:jc w:val="center"/>
              <w:rPr>
                <w:rFonts w:eastAsia="MS Mincho"/>
                <w:lang w:val="el-GR"/>
              </w:rPr>
            </w:pPr>
            <w:r>
              <w:rPr>
                <w:rFonts w:eastAsia="MS Mincho"/>
                <w:lang w:val="el-GR"/>
              </w:rPr>
              <w:t>&lt; 0,001</w:t>
            </w:r>
          </w:p>
        </w:tc>
      </w:tr>
      <w:tr w:rsidR="00171824" w14:paraId="38B6A140" w14:textId="77777777">
        <w:tc>
          <w:tcPr>
            <w:tcW w:w="1361" w:type="dxa"/>
          </w:tcPr>
          <w:p w14:paraId="658120AC" w14:textId="77777777" w:rsidR="00171824" w:rsidRDefault="006D258C">
            <w:pPr>
              <w:pStyle w:val="BodyText"/>
              <w:widowControl/>
              <w:ind w:left="0"/>
              <w:rPr>
                <w:rFonts w:eastAsia="MS Mincho"/>
                <w:lang w:val="el-GR"/>
              </w:rPr>
            </w:pPr>
            <w:r>
              <w:rPr>
                <w:rFonts w:eastAsia="MS Mincho"/>
                <w:lang w:val="el-GR"/>
              </w:rPr>
              <w:t>Βαθμολογία διαβρώσεων</w:t>
            </w:r>
          </w:p>
        </w:tc>
        <w:tc>
          <w:tcPr>
            <w:tcW w:w="1645" w:type="dxa"/>
          </w:tcPr>
          <w:p w14:paraId="25CF5049" w14:textId="77777777" w:rsidR="00171824" w:rsidRDefault="006D258C">
            <w:pPr>
              <w:pStyle w:val="BodyText"/>
              <w:widowControl/>
              <w:ind w:left="0"/>
              <w:jc w:val="center"/>
              <w:rPr>
                <w:rFonts w:eastAsia="MS Mincho"/>
                <w:lang w:val="el-GR"/>
              </w:rPr>
            </w:pPr>
            <w:r>
              <w:rPr>
                <w:rFonts w:eastAsia="MS Mincho"/>
                <w:lang w:val="el-GR"/>
              </w:rPr>
              <w:t>3,7 (2,7-4,7)</w:t>
            </w:r>
          </w:p>
        </w:tc>
        <w:tc>
          <w:tcPr>
            <w:tcW w:w="1701" w:type="dxa"/>
          </w:tcPr>
          <w:p w14:paraId="1D47C648" w14:textId="77777777" w:rsidR="00171824" w:rsidRDefault="006D258C">
            <w:pPr>
              <w:pStyle w:val="BodyText"/>
              <w:widowControl/>
              <w:ind w:left="0"/>
              <w:jc w:val="center"/>
              <w:rPr>
                <w:rFonts w:eastAsia="MS Mincho"/>
                <w:lang w:val="el-GR"/>
              </w:rPr>
            </w:pPr>
            <w:r>
              <w:rPr>
                <w:rFonts w:eastAsia="MS Mincho"/>
                <w:lang w:val="el-GR"/>
              </w:rPr>
              <w:t>1,7 (1,0-2,4)</w:t>
            </w:r>
          </w:p>
        </w:tc>
        <w:tc>
          <w:tcPr>
            <w:tcW w:w="1701" w:type="dxa"/>
          </w:tcPr>
          <w:p w14:paraId="658E6FC0" w14:textId="77777777" w:rsidR="00171824" w:rsidRDefault="006D258C">
            <w:pPr>
              <w:pStyle w:val="BodyText"/>
              <w:widowControl/>
              <w:ind w:left="0"/>
              <w:jc w:val="center"/>
              <w:rPr>
                <w:rFonts w:eastAsia="MS Mincho"/>
                <w:lang w:val="el-GR"/>
              </w:rPr>
            </w:pPr>
            <w:r>
              <w:rPr>
                <w:rFonts w:eastAsia="MS Mincho"/>
                <w:lang w:val="el-GR"/>
              </w:rPr>
              <w:t>0,8 (0,4-1,2)</w:t>
            </w:r>
          </w:p>
        </w:tc>
        <w:tc>
          <w:tcPr>
            <w:tcW w:w="992" w:type="dxa"/>
          </w:tcPr>
          <w:p w14:paraId="2462106A" w14:textId="77777777" w:rsidR="00171824" w:rsidRDefault="006D258C">
            <w:pPr>
              <w:pStyle w:val="BodyText"/>
              <w:widowControl/>
              <w:ind w:left="0"/>
              <w:jc w:val="center"/>
              <w:rPr>
                <w:rFonts w:eastAsia="MS Mincho"/>
                <w:lang w:val="el-GR"/>
              </w:rPr>
            </w:pPr>
            <w:r>
              <w:rPr>
                <w:rFonts w:eastAsia="MS Mincho"/>
                <w:lang w:val="el-GR"/>
              </w:rPr>
              <w:t>&lt; 0,001</w:t>
            </w:r>
          </w:p>
        </w:tc>
        <w:tc>
          <w:tcPr>
            <w:tcW w:w="992" w:type="dxa"/>
          </w:tcPr>
          <w:p w14:paraId="611C690E" w14:textId="77777777" w:rsidR="00171824" w:rsidRDefault="006D258C">
            <w:pPr>
              <w:pStyle w:val="BodyText"/>
              <w:widowControl/>
              <w:ind w:left="0"/>
              <w:jc w:val="center"/>
              <w:rPr>
                <w:rFonts w:eastAsia="MS Mincho"/>
                <w:lang w:val="el-GR"/>
              </w:rPr>
            </w:pPr>
            <w:r>
              <w:rPr>
                <w:rFonts w:eastAsia="MS Mincho"/>
                <w:lang w:val="el-GR"/>
              </w:rPr>
              <w:t>0,0082</w:t>
            </w:r>
          </w:p>
        </w:tc>
        <w:tc>
          <w:tcPr>
            <w:tcW w:w="993" w:type="dxa"/>
          </w:tcPr>
          <w:p w14:paraId="19F720EB" w14:textId="77777777" w:rsidR="00171824" w:rsidRDefault="006D258C">
            <w:pPr>
              <w:pStyle w:val="BodyText"/>
              <w:widowControl/>
              <w:ind w:left="0"/>
              <w:jc w:val="center"/>
              <w:rPr>
                <w:rFonts w:eastAsia="MS Mincho"/>
                <w:lang w:val="el-GR"/>
              </w:rPr>
            </w:pPr>
            <w:r>
              <w:rPr>
                <w:rFonts w:eastAsia="MS Mincho"/>
                <w:lang w:val="el-GR"/>
              </w:rPr>
              <w:t>&lt; 0,001</w:t>
            </w:r>
          </w:p>
        </w:tc>
      </w:tr>
      <w:tr w:rsidR="00171824" w14:paraId="1EF09473" w14:textId="77777777">
        <w:tc>
          <w:tcPr>
            <w:tcW w:w="1361" w:type="dxa"/>
          </w:tcPr>
          <w:p w14:paraId="5154F1D6" w14:textId="77777777" w:rsidR="00171824" w:rsidRDefault="006D258C">
            <w:pPr>
              <w:pStyle w:val="BodyText"/>
              <w:widowControl/>
              <w:ind w:left="0"/>
              <w:rPr>
                <w:rFonts w:eastAsia="MS Mincho"/>
                <w:lang w:val="el-GR"/>
              </w:rPr>
            </w:pPr>
            <w:r>
              <w:rPr>
                <w:rFonts w:eastAsia="MS Mincho"/>
                <w:lang w:val="el-GR"/>
              </w:rPr>
              <w:t>Βαθμολογία JSN</w:t>
            </w:r>
          </w:p>
        </w:tc>
        <w:tc>
          <w:tcPr>
            <w:tcW w:w="1645" w:type="dxa"/>
          </w:tcPr>
          <w:p w14:paraId="42CE7390" w14:textId="77777777" w:rsidR="00171824" w:rsidRDefault="006D258C">
            <w:pPr>
              <w:pStyle w:val="BodyText"/>
              <w:widowControl/>
              <w:ind w:left="0"/>
              <w:jc w:val="center"/>
              <w:rPr>
                <w:rFonts w:eastAsia="MS Mincho"/>
                <w:lang w:val="el-GR"/>
              </w:rPr>
            </w:pPr>
            <w:r>
              <w:rPr>
                <w:rFonts w:eastAsia="MS Mincho"/>
                <w:lang w:val="el-GR"/>
              </w:rPr>
              <w:t>2,0 (1,2-2,8)</w:t>
            </w:r>
          </w:p>
        </w:tc>
        <w:tc>
          <w:tcPr>
            <w:tcW w:w="1701" w:type="dxa"/>
          </w:tcPr>
          <w:p w14:paraId="05342678" w14:textId="77777777" w:rsidR="00171824" w:rsidRDefault="006D258C">
            <w:pPr>
              <w:pStyle w:val="BodyText"/>
              <w:widowControl/>
              <w:ind w:left="0"/>
              <w:jc w:val="center"/>
              <w:rPr>
                <w:rFonts w:eastAsia="MS Mincho"/>
                <w:lang w:val="el-GR"/>
              </w:rPr>
            </w:pPr>
            <w:r>
              <w:rPr>
                <w:rFonts w:eastAsia="MS Mincho"/>
                <w:lang w:val="el-GR"/>
              </w:rPr>
              <w:t>1,3 (0,5-2,1)</w:t>
            </w:r>
          </w:p>
        </w:tc>
        <w:tc>
          <w:tcPr>
            <w:tcW w:w="1701" w:type="dxa"/>
          </w:tcPr>
          <w:p w14:paraId="3CB48430" w14:textId="77777777" w:rsidR="00171824" w:rsidRDefault="006D258C">
            <w:pPr>
              <w:pStyle w:val="BodyText"/>
              <w:widowControl/>
              <w:ind w:left="0"/>
              <w:jc w:val="center"/>
              <w:rPr>
                <w:rFonts w:eastAsia="MS Mincho"/>
                <w:lang w:val="el-GR"/>
              </w:rPr>
            </w:pPr>
            <w:r>
              <w:rPr>
                <w:rFonts w:eastAsia="MS Mincho"/>
                <w:lang w:val="el-GR"/>
              </w:rPr>
              <w:t>0,5 (0-1,0)</w:t>
            </w:r>
          </w:p>
        </w:tc>
        <w:tc>
          <w:tcPr>
            <w:tcW w:w="992" w:type="dxa"/>
          </w:tcPr>
          <w:p w14:paraId="744000EC" w14:textId="77777777" w:rsidR="00171824" w:rsidRDefault="006D258C">
            <w:pPr>
              <w:pStyle w:val="BodyText"/>
              <w:widowControl/>
              <w:ind w:left="0"/>
              <w:jc w:val="center"/>
              <w:rPr>
                <w:rFonts w:eastAsia="MS Mincho"/>
                <w:lang w:val="el-GR"/>
              </w:rPr>
            </w:pPr>
            <w:r>
              <w:rPr>
                <w:rFonts w:eastAsia="MS Mincho"/>
                <w:lang w:val="el-GR"/>
              </w:rPr>
              <w:t>&lt; 0,001</w:t>
            </w:r>
          </w:p>
        </w:tc>
        <w:tc>
          <w:tcPr>
            <w:tcW w:w="992" w:type="dxa"/>
          </w:tcPr>
          <w:p w14:paraId="5670559E" w14:textId="77777777" w:rsidR="00171824" w:rsidRDefault="006D258C">
            <w:pPr>
              <w:pStyle w:val="BodyText"/>
              <w:widowControl/>
              <w:ind w:left="0"/>
              <w:jc w:val="center"/>
              <w:rPr>
                <w:rFonts w:eastAsia="MS Mincho"/>
                <w:lang w:val="el-GR"/>
              </w:rPr>
            </w:pPr>
            <w:r>
              <w:rPr>
                <w:rFonts w:eastAsia="MS Mincho"/>
                <w:lang w:val="el-GR"/>
              </w:rPr>
              <w:t>0,0037</w:t>
            </w:r>
          </w:p>
        </w:tc>
        <w:tc>
          <w:tcPr>
            <w:tcW w:w="993" w:type="dxa"/>
          </w:tcPr>
          <w:p w14:paraId="2E918037" w14:textId="77777777" w:rsidR="00171824" w:rsidRDefault="006D258C">
            <w:pPr>
              <w:pStyle w:val="BodyText"/>
              <w:widowControl/>
              <w:ind w:left="0"/>
              <w:jc w:val="center"/>
              <w:rPr>
                <w:rFonts w:eastAsia="MS Mincho"/>
                <w:lang w:val="el-GR"/>
              </w:rPr>
            </w:pPr>
            <w:r>
              <w:rPr>
                <w:rFonts w:eastAsia="MS Mincho"/>
                <w:lang w:val="el-GR"/>
              </w:rPr>
              <w:t>0,151</w:t>
            </w:r>
          </w:p>
        </w:tc>
      </w:tr>
    </w:tbl>
    <w:p w14:paraId="0E7BCAC9" w14:textId="77777777" w:rsidR="00171824" w:rsidRDefault="006D258C">
      <w:pPr>
        <w:pStyle w:val="BodyText"/>
        <w:widowControl/>
        <w:tabs>
          <w:tab w:val="left" w:pos="284"/>
        </w:tabs>
        <w:kinsoku w:val="0"/>
        <w:overflowPunct w:val="0"/>
        <w:ind w:left="284" w:right="567" w:hanging="284"/>
        <w:rPr>
          <w:sz w:val="20"/>
          <w:szCs w:val="20"/>
          <w:lang w:val="el-GR"/>
        </w:rPr>
      </w:pPr>
      <w:r>
        <w:rPr>
          <w:sz w:val="20"/>
          <w:szCs w:val="20"/>
          <w:vertAlign w:val="superscript"/>
          <w:lang w:val="el-GR"/>
        </w:rPr>
        <w:t>a</w:t>
      </w:r>
      <w:r>
        <w:rPr>
          <w:sz w:val="20"/>
          <w:szCs w:val="20"/>
          <w:lang w:val="el-GR"/>
        </w:rPr>
        <w:tab/>
        <w:t>το p-value προκύπτει από τη σύγκριση ανά ζεύγος της μονοθεραπείας με μεθοτρεξάτη και της θεραπείας συνδυασμού με adalimumab/μεθοτρεξάτη χρησιμοποιώντας το Μann-Whitney U test</w:t>
      </w:r>
    </w:p>
    <w:p w14:paraId="3E1F2DAD" w14:textId="77777777" w:rsidR="00171824" w:rsidRDefault="006D258C">
      <w:pPr>
        <w:pStyle w:val="BodyText"/>
        <w:widowControl/>
        <w:tabs>
          <w:tab w:val="left" w:pos="284"/>
        </w:tabs>
        <w:kinsoku w:val="0"/>
        <w:overflowPunct w:val="0"/>
        <w:ind w:left="284" w:right="567" w:hanging="284"/>
        <w:rPr>
          <w:sz w:val="20"/>
          <w:szCs w:val="20"/>
          <w:lang w:val="el-GR"/>
        </w:rPr>
      </w:pPr>
      <w:r>
        <w:rPr>
          <w:sz w:val="20"/>
          <w:szCs w:val="20"/>
          <w:vertAlign w:val="superscript"/>
          <w:lang w:val="el-GR"/>
        </w:rPr>
        <w:t>b</w:t>
      </w:r>
      <w:r>
        <w:rPr>
          <w:sz w:val="20"/>
          <w:szCs w:val="20"/>
          <w:lang w:val="el-GR"/>
        </w:rPr>
        <w:tab/>
        <w:t>το p-value προκύπτει από τη σύγκριση ανά ζεύγος της μονοθεραπείας με adalimumab και της θεραπείας συνδυασμού με adalimumab/μεθοτρεξάτη χρησιμοποιώντας το Μann-Whitney U test</w:t>
      </w:r>
    </w:p>
    <w:p w14:paraId="4D282994" w14:textId="77777777" w:rsidR="00171824" w:rsidRDefault="006D258C">
      <w:pPr>
        <w:pStyle w:val="BodyText"/>
        <w:widowControl/>
        <w:tabs>
          <w:tab w:val="left" w:pos="284"/>
        </w:tabs>
        <w:kinsoku w:val="0"/>
        <w:overflowPunct w:val="0"/>
        <w:ind w:left="284" w:right="567" w:hanging="284"/>
        <w:rPr>
          <w:sz w:val="20"/>
          <w:szCs w:val="20"/>
          <w:lang w:val="el-GR"/>
        </w:rPr>
      </w:pPr>
      <w:r>
        <w:rPr>
          <w:sz w:val="20"/>
          <w:szCs w:val="20"/>
          <w:vertAlign w:val="superscript"/>
          <w:lang w:val="el-GR"/>
        </w:rPr>
        <w:t>c</w:t>
      </w:r>
      <w:r>
        <w:rPr>
          <w:sz w:val="20"/>
          <w:szCs w:val="20"/>
          <w:lang w:val="el-GR"/>
        </w:rPr>
        <w:tab/>
        <w:t>το p-value προκύπτει από τη σύγκριση ανά ζεύγος της μονοθεραπείας με adalimumab και της μονοθεραπείας με μεθοτρεξάτη χρησιμοποιώντας το Μann-Whitney U test.</w:t>
      </w:r>
    </w:p>
    <w:p w14:paraId="18CFE38B" w14:textId="77777777" w:rsidR="00171824" w:rsidRDefault="00171824">
      <w:pPr>
        <w:pStyle w:val="BodyText"/>
        <w:widowControl/>
        <w:tabs>
          <w:tab w:val="left" w:pos="284"/>
        </w:tabs>
        <w:kinsoku w:val="0"/>
        <w:overflowPunct w:val="0"/>
        <w:ind w:left="0"/>
        <w:rPr>
          <w:lang w:val="el-GR"/>
        </w:rPr>
      </w:pPr>
    </w:p>
    <w:p w14:paraId="7A58F7A0" w14:textId="77777777" w:rsidR="00171824" w:rsidRDefault="006D258C">
      <w:pPr>
        <w:pStyle w:val="BodyText"/>
        <w:widowControl/>
        <w:kinsoku w:val="0"/>
        <w:overflowPunct w:val="0"/>
        <w:ind w:left="0"/>
        <w:rPr>
          <w:lang w:val="el-GR"/>
        </w:rPr>
      </w:pPr>
      <w:r>
        <w:rPr>
          <w:lang w:val="el-GR"/>
        </w:rPr>
        <w:t>Μετά από 52 και 104 εβδομάδες θεραπείας, το ποσοστό ασθενών χωρίς ακτινολογική εξέλιξη (διαφορά από την αρχή της θεραπείας του τροποποιημένου Total Sharp Score ≤ 0,5) ήταν σημαντικά υψηλότερη στη θεραπεία συνδυασμού adalimumab/μεθοτρεξάτης (63,8% και 61,2% αντιστοίχως) συγκριτικά με τη μεθοτρεξάτη ως μονοθεραπεία (37,4% και 33,5% αντιστοίχως, p &lt; 0,001) και με το adalimumab ως μονοθεραπεία (50,7%, p &lt; 0,002 και 44,5%, p &lt; 0,001 αντιστοίχως).</w:t>
      </w:r>
    </w:p>
    <w:p w14:paraId="4220B4CE" w14:textId="77777777" w:rsidR="00171824" w:rsidRDefault="00171824">
      <w:pPr>
        <w:widowControl/>
        <w:kinsoku w:val="0"/>
        <w:overflowPunct w:val="0"/>
        <w:rPr>
          <w:sz w:val="22"/>
          <w:szCs w:val="22"/>
          <w:lang w:val="el-GR"/>
        </w:rPr>
      </w:pPr>
    </w:p>
    <w:p w14:paraId="7BC50A17" w14:textId="77777777" w:rsidR="00171824" w:rsidRDefault="006D258C">
      <w:pPr>
        <w:pStyle w:val="BodyText"/>
        <w:widowControl/>
        <w:kinsoku w:val="0"/>
        <w:overflowPunct w:val="0"/>
        <w:ind w:left="0"/>
        <w:rPr>
          <w:lang w:val="el-GR"/>
        </w:rPr>
      </w:pPr>
      <w:r>
        <w:rPr>
          <w:lang w:val="el-GR"/>
        </w:rPr>
        <w:t>Στην ανοιχτή μελέτη επέκτασης για τη μελέτη RA V, η μέση μεταβολή του τροποποιημένου Τotal Sharp Score από την αρχική τιμή έως το 10</w:t>
      </w:r>
      <w:r>
        <w:rPr>
          <w:vertAlign w:val="superscript"/>
          <w:lang w:val="el-GR"/>
        </w:rPr>
        <w:t>ο</w:t>
      </w:r>
      <w:r>
        <w:rPr>
          <w:lang w:val="el-GR"/>
        </w:rPr>
        <w:t xml:space="preserve"> Έτος ήταν 10,8, 9,2 και 3,9 σε ασθενείς που αρχικά τυχαιοποιήθηκαν σε μονοθεραπεία με μεθοτρεξάτη, μονοθεραπεία με adalimumab και θεραπεία συνδυασμού adalimumab/μεθοτρεξάτης, αντίστοιχα. Τα αντίστοιχα ποσοστά των ασθενών χωρίς ακτινολογική εξέλιξη ήταν 31,3%, 23,7% και 36,7%, αντίστοιχα.</w:t>
      </w:r>
    </w:p>
    <w:p w14:paraId="51210A97" w14:textId="77777777" w:rsidR="00171824" w:rsidRDefault="00171824">
      <w:pPr>
        <w:widowControl/>
        <w:kinsoku w:val="0"/>
        <w:overflowPunct w:val="0"/>
        <w:rPr>
          <w:sz w:val="22"/>
          <w:szCs w:val="22"/>
          <w:lang w:val="el-GR"/>
        </w:rPr>
      </w:pPr>
    </w:p>
    <w:p w14:paraId="7BA034F8" w14:textId="77777777" w:rsidR="00171824" w:rsidRDefault="006D258C">
      <w:pPr>
        <w:keepNext/>
        <w:widowControl/>
        <w:kinsoku w:val="0"/>
        <w:overflowPunct w:val="0"/>
        <w:rPr>
          <w:sz w:val="22"/>
          <w:szCs w:val="22"/>
          <w:lang w:val="el-GR"/>
        </w:rPr>
      </w:pPr>
      <w:r>
        <w:rPr>
          <w:i/>
          <w:iCs/>
          <w:sz w:val="22"/>
          <w:szCs w:val="22"/>
          <w:u w:val="single"/>
          <w:lang w:val="el-GR"/>
        </w:rPr>
        <w:t>Ποιότητα ζωής και λειτουργικότητα</w:t>
      </w:r>
    </w:p>
    <w:p w14:paraId="4C1D006F" w14:textId="77777777" w:rsidR="00171824" w:rsidRDefault="00171824">
      <w:pPr>
        <w:keepNext/>
        <w:widowControl/>
        <w:kinsoku w:val="0"/>
        <w:overflowPunct w:val="0"/>
        <w:rPr>
          <w:sz w:val="22"/>
          <w:szCs w:val="22"/>
          <w:lang w:val="el-GR"/>
        </w:rPr>
      </w:pPr>
    </w:p>
    <w:p w14:paraId="0FA6835C" w14:textId="77777777" w:rsidR="00171824" w:rsidRDefault="006D258C">
      <w:pPr>
        <w:pStyle w:val="BodyText"/>
        <w:widowControl/>
        <w:kinsoku w:val="0"/>
        <w:overflowPunct w:val="0"/>
        <w:ind w:left="0"/>
        <w:rPr>
          <w:lang w:val="el-GR"/>
        </w:rPr>
      </w:pPr>
      <w:r>
        <w:rPr>
          <w:lang w:val="el-GR"/>
        </w:rPr>
        <w:t xml:space="preserve">Η ποιότητα ζωής σχετικά με την κατάσταση της υγείας και τη λειτουργικότητα του ασθενή αξιολογήθηκε χρησιμοποιώντας το βαθμό ανικανότητας του Ερωτηματολογίου Αξιολόγησης της Υγείας (HAQ) στις τέσσερις πιλοτικές επαρκώς και καλώς ελεγχόμενες μελέτες, και ήταν ένα </w:t>
      </w:r>
      <w:r>
        <w:rPr>
          <w:lang w:val="el-GR"/>
        </w:rPr>
        <w:lastRenderedPageBreak/>
        <w:t>προκαθορισμένο πρωτεύον καταληκτικό σημείο στην εβδομάδα 52 της μελέτης RA ΙΙΙ. Όλες οι δόσεις /σχήματα του adalimumab στις τέσσερις μελέτες έδειξαν στατιστικά σημαντικά μεγαλύτερη βελτίωση στο δείκτη ανικανότητας του HAQ από την αρχή της θεραπείας μέχρι το Μήνα 6 συγκριτικά με το εικονικό φάρμακο και το ίδιο αποτέλεσμα παρατηρήθηκε στη μελέτη RA ΙΙΙ κατά την εβδομάδα 52. Τα αποτελέσματα από το Short Form Health Survey (SF 36) για όλες τις δόσεις/σχήματα του adalimumab στις τέσσερις μελέτες υποστηρίζουν τα ευρήματα αυτά, με στατιστικά σημαντικές περιληπτικές βαθμολογίες σωματικών παραμέτρων (PCS), όπως και με στατιστικά σημαντικές βαθμολογίες των παραμέτρων του πόνου και της ζωτικότητας για τη δόση των 40 mg ανά δεύτερη εβδομάδα. Μια στατιστικά σημαντική ελάττωση της κόπωσης, όπως μετράται από τη λειτουργική εκτίμηση της βαθμολογίας της θεραπείας χρόνιας νόσου (FACIT) παρατηρήθηκε και στις τρεις μελέτες όπου αξιολογήθηκε η παράμετρος αυτή (μελέτες RA Ι, ΙΙΙ, IV).</w:t>
      </w:r>
    </w:p>
    <w:p w14:paraId="020A1C85" w14:textId="77777777" w:rsidR="00171824" w:rsidRDefault="00171824">
      <w:pPr>
        <w:widowControl/>
        <w:kinsoku w:val="0"/>
        <w:overflowPunct w:val="0"/>
        <w:rPr>
          <w:sz w:val="22"/>
          <w:szCs w:val="22"/>
          <w:lang w:val="el-GR"/>
        </w:rPr>
      </w:pPr>
    </w:p>
    <w:p w14:paraId="58F4C15A" w14:textId="77777777" w:rsidR="00171824" w:rsidRDefault="006D258C">
      <w:pPr>
        <w:pStyle w:val="BodyText"/>
        <w:widowControl/>
        <w:kinsoku w:val="0"/>
        <w:overflowPunct w:val="0"/>
        <w:ind w:left="0"/>
        <w:rPr>
          <w:lang w:val="el-GR"/>
        </w:rPr>
      </w:pPr>
      <w:r>
        <w:rPr>
          <w:lang w:val="el-GR"/>
        </w:rPr>
        <w:t>Στη μελέτη RA ΙΙΙ, οι περισσότεροι ασθενείς που πέτυχαν βελτίωση της λειτουργικότητας και συνέχισαν τη θεραπεία διατήρησαν τη βελτίωση έως και την εβδομάδα 520 (120 μήνες) ανοικτής θεραπείας. Η βελτίωση της ποιότητας ζωής μετρήθηκε την εβδομάδα 156 (36 μήνες) και η βελτίωση διατηρήθηκε στη διάρκεια αυτής της περιόδου.</w:t>
      </w:r>
    </w:p>
    <w:p w14:paraId="40AA8BE3" w14:textId="77777777" w:rsidR="00171824" w:rsidRDefault="00171824">
      <w:pPr>
        <w:widowControl/>
        <w:kinsoku w:val="0"/>
        <w:overflowPunct w:val="0"/>
        <w:rPr>
          <w:sz w:val="22"/>
          <w:szCs w:val="22"/>
          <w:lang w:val="el-GR"/>
        </w:rPr>
      </w:pPr>
    </w:p>
    <w:p w14:paraId="69C56D69" w14:textId="77777777" w:rsidR="00171824" w:rsidRDefault="006D258C">
      <w:pPr>
        <w:pStyle w:val="BodyText"/>
        <w:widowControl/>
        <w:kinsoku w:val="0"/>
        <w:overflowPunct w:val="0"/>
        <w:ind w:left="0"/>
        <w:rPr>
          <w:lang w:val="el-GR"/>
        </w:rPr>
      </w:pPr>
      <w:r>
        <w:rPr>
          <w:lang w:val="el-GR"/>
        </w:rPr>
        <w:t>Στη μελέτη RA V, αποδείχθηκε μεγαλύτερη βελτίωση στο δείκτη ανικανότητας του HAQ και τα αποτελέσματα της σωματικής παραμέτρου του SF 36 έδειξαν μεγαλύτερη βελτίωση (p &lt; 0,001) για τη θεραπεία συνδυασμού adalimumab/μεθοτρεξάτης σε σχέση με τη μεθοτρεξάτη σε μονοθεραπεία και μονοθεραπέια με adalimumab στην εβδομάδα 52, η οποία διατηρήθηκε μέχρι την Eβδομάδα 104. Μεταξύ των 250 ασθενών που ολοκλήρωσαν την ανοιχτή μελέτη επέκτασης, οι βελτιώσεις στη λειτουργικότητα διατηρήθηκαν κατά τη διάρκεια των 10 χρόνων θεραπείας.</w:t>
      </w:r>
    </w:p>
    <w:p w14:paraId="56034F34" w14:textId="77777777" w:rsidR="00171824" w:rsidRDefault="00171824">
      <w:pPr>
        <w:widowControl/>
        <w:kinsoku w:val="0"/>
        <w:overflowPunct w:val="0"/>
        <w:ind w:right="57"/>
        <w:rPr>
          <w:sz w:val="22"/>
          <w:szCs w:val="22"/>
          <w:lang w:val="el-GR"/>
        </w:rPr>
      </w:pPr>
    </w:p>
    <w:p w14:paraId="5802539C" w14:textId="77777777" w:rsidR="00171824" w:rsidRDefault="006D258C">
      <w:pPr>
        <w:widowControl/>
        <w:kinsoku w:val="0"/>
        <w:overflowPunct w:val="0"/>
        <w:ind w:right="57"/>
        <w:rPr>
          <w:i/>
          <w:iCs/>
          <w:sz w:val="22"/>
          <w:szCs w:val="22"/>
          <w:lang w:val="el-GR"/>
        </w:rPr>
      </w:pPr>
      <w:r>
        <w:rPr>
          <w:i/>
          <w:iCs/>
          <w:sz w:val="22"/>
          <w:szCs w:val="22"/>
          <w:lang w:val="el-GR"/>
        </w:rPr>
        <w:t>Αξονική σπονδυλαρθρίτιδα</w:t>
      </w:r>
    </w:p>
    <w:p w14:paraId="6C4E59B7" w14:textId="77777777" w:rsidR="00171824" w:rsidRDefault="00171824">
      <w:pPr>
        <w:widowControl/>
        <w:kinsoku w:val="0"/>
        <w:overflowPunct w:val="0"/>
        <w:ind w:right="57"/>
        <w:rPr>
          <w:i/>
          <w:iCs/>
          <w:sz w:val="22"/>
          <w:szCs w:val="22"/>
          <w:lang w:val="el-GR"/>
        </w:rPr>
      </w:pPr>
    </w:p>
    <w:p w14:paraId="14D4BDB7" w14:textId="77777777" w:rsidR="00171824" w:rsidRDefault="006D258C">
      <w:pPr>
        <w:widowControl/>
        <w:kinsoku w:val="0"/>
        <w:overflowPunct w:val="0"/>
        <w:ind w:right="57"/>
        <w:rPr>
          <w:i/>
          <w:iCs/>
          <w:sz w:val="22"/>
          <w:szCs w:val="22"/>
          <w:u w:val="single"/>
          <w:lang w:val="el-GR"/>
        </w:rPr>
      </w:pPr>
      <w:r>
        <w:rPr>
          <w:i/>
          <w:iCs/>
          <w:sz w:val="22"/>
          <w:szCs w:val="22"/>
          <w:u w:val="single"/>
          <w:lang w:val="el-GR"/>
        </w:rPr>
        <w:t>Αγκυλοποιητική σπονδυλίτιδα (ΑΣ)</w:t>
      </w:r>
    </w:p>
    <w:p w14:paraId="407ECF40" w14:textId="77777777" w:rsidR="00171824" w:rsidRDefault="00171824">
      <w:pPr>
        <w:widowControl/>
        <w:kinsoku w:val="0"/>
        <w:overflowPunct w:val="0"/>
        <w:ind w:right="57"/>
        <w:rPr>
          <w:sz w:val="22"/>
          <w:szCs w:val="22"/>
          <w:lang w:val="el-GR"/>
        </w:rPr>
      </w:pPr>
    </w:p>
    <w:p w14:paraId="5BE1A5D0" w14:textId="77777777" w:rsidR="00171824" w:rsidRDefault="006D258C">
      <w:pPr>
        <w:pStyle w:val="BodyText"/>
        <w:widowControl/>
        <w:kinsoku w:val="0"/>
        <w:overflowPunct w:val="0"/>
        <w:ind w:left="0" w:right="57"/>
        <w:rPr>
          <w:lang w:val="el-GR"/>
        </w:rPr>
      </w:pPr>
      <w:r>
        <w:rPr>
          <w:lang w:val="el-GR"/>
        </w:rPr>
        <w:t>Το adalimumab 40 mg χορηγούμενο κάθε δεύτερη εβδομάδα μελετήθηκε σε 393 ασθενείς σε δύο τυχαιοποιημένες, διπλά τυφλές μελέτες 24 εβδομάδων, ελεγχόμενες με εικονικό φάρμακο σε ασθενείς με ενεργό αγκυλοποιητική σπονδυλίτιδα (μέση αρχική βαθμολογία ενεργότητας της νόσου [Βath Ankylosing Spondylitis Disease Activity Index (BASDAI)] 6,3 σε όλες τις ομάδες) που είχαν μη ικανοποιητική ανταπόκριση στη συμβατική θεραπεία. Σε εβδομήντα εννέα (20,1%) ασθενείς χορηγήθηκαν ταυτόχρονα άλλα τροποποιητικά της νόσου αντιρευματικά φάρμακα και σε 37 (9,4%) ασθενείς γλυκοκορτικοειδή. Η τυφλή περίοδος ακολουθήθηκε από μία ανοιχτή μελέτη κατά τη διάρκεια της οποίας ασθενείς έλαβαν adalimumab 40 mg κάθε δεύτερη εβδομάδα υποδορίως για επιπλέον 28 εβδομάδες. Οι ασθενείς (n=215, 54,7%) οι οποίοι δεν πέτυχαν ΑSAS 20 στις εβδομάδες 12 ή 16 ή 20 έλαβαν adalimumab 40 mg κάθε δεύτερη εβδομάδα υποδορίως, πρώιμα ως ανοιχτής χορήγησης θεραπεία διάσωσης και, ως εκ τούτου, αντιμετωπίστηκαν σαν μη αποκρινόμενοι στη θεραπεία στη διπλά τυφλή στατιστική ανάλυση.</w:t>
      </w:r>
    </w:p>
    <w:p w14:paraId="7AA2F50D" w14:textId="77777777" w:rsidR="00171824" w:rsidRDefault="00171824">
      <w:pPr>
        <w:widowControl/>
        <w:kinsoku w:val="0"/>
        <w:overflowPunct w:val="0"/>
        <w:rPr>
          <w:sz w:val="22"/>
          <w:szCs w:val="22"/>
          <w:lang w:val="el-GR"/>
        </w:rPr>
      </w:pPr>
    </w:p>
    <w:p w14:paraId="589FE16B" w14:textId="77777777" w:rsidR="00171824" w:rsidRDefault="006D258C">
      <w:pPr>
        <w:pStyle w:val="BodyText"/>
        <w:widowControl/>
        <w:kinsoku w:val="0"/>
        <w:overflowPunct w:val="0"/>
        <w:ind w:left="0"/>
        <w:rPr>
          <w:lang w:val="el-GR"/>
        </w:rPr>
      </w:pPr>
      <w:r>
        <w:rPr>
          <w:lang w:val="el-GR"/>
        </w:rPr>
        <w:t xml:space="preserve">Σε μία μεγαλύτερη μελέτη </w:t>
      </w:r>
      <w:r>
        <w:rPr>
          <w:i/>
          <w:iCs/>
          <w:u w:val="single"/>
          <w:lang w:val="el-GR"/>
        </w:rPr>
        <w:t>ΑΣ</w:t>
      </w:r>
      <w:r>
        <w:rPr>
          <w:lang w:val="el-GR"/>
        </w:rPr>
        <w:t xml:space="preserve"> Ι με 315 ασθενείς, τα αποτελέσματα έδειξαν στατιστικά σημαντική βελτίωση των σημείων και συμπτωμάτων της αγκυλοποιητικής σπονδυλίτιδας σε ασθενείς στους οποίους χορηγήθηκε adalimumab σε σύγκριση με τους ασθενείς στους οποίους χορηγήθηκε εικονικό φάρμακο. Σημαντική ανταπόκριση αρχικά παρατηρήθηκε στην εβδομάδα 2 και διατηρήθηκε κατά τη διάρκεια των 24 εβδομάδων (πίνακας 12).</w:t>
      </w:r>
    </w:p>
    <w:p w14:paraId="08979CB7" w14:textId="77777777" w:rsidR="00171824" w:rsidRDefault="00171824">
      <w:pPr>
        <w:widowControl/>
        <w:kinsoku w:val="0"/>
        <w:overflowPunct w:val="0"/>
        <w:rPr>
          <w:sz w:val="22"/>
          <w:szCs w:val="22"/>
          <w:lang w:val="el-GR"/>
        </w:rPr>
      </w:pPr>
    </w:p>
    <w:p w14:paraId="3B63DFF6" w14:textId="77777777" w:rsidR="00171824" w:rsidRDefault="006D258C">
      <w:pPr>
        <w:keepNext/>
        <w:widowControl/>
        <w:kinsoku w:val="0"/>
        <w:overflowPunct w:val="0"/>
        <w:ind w:right="707"/>
        <w:jc w:val="both"/>
        <w:rPr>
          <w:sz w:val="22"/>
          <w:szCs w:val="22"/>
          <w:lang w:val="el-GR"/>
        </w:rPr>
      </w:pPr>
      <w:r>
        <w:rPr>
          <w:b/>
          <w:bCs/>
          <w:sz w:val="22"/>
          <w:szCs w:val="22"/>
          <w:lang w:val="el-GR"/>
        </w:rPr>
        <w:t>Πίνακας 12. Ανταποκρίσεις της αποτελεσματικότητας στη Μελέτη της Αγκυλοποιητικής Σπονδυλίτιδας ελεγχόμενης με εικονικό φάρμακο - Μελέτη Ι μείωση των σημείων και συμπτωμάτων</w:t>
      </w:r>
    </w:p>
    <w:p w14:paraId="0193C526" w14:textId="77777777" w:rsidR="00171824" w:rsidRDefault="00171824">
      <w:pPr>
        <w:keepNext/>
        <w:widowControl/>
        <w:kinsoku w:val="0"/>
        <w:overflowPunct w:val="0"/>
        <w:ind w:right="2277"/>
        <w:rPr>
          <w:sz w:val="22"/>
          <w:szCs w:val="22"/>
          <w:lang w:val="el-GR"/>
        </w:rPr>
      </w:pPr>
    </w:p>
    <w:tbl>
      <w:tblPr>
        <w:tblW w:w="5000" w:type="pct"/>
        <w:tblLook w:val="04A0" w:firstRow="1" w:lastRow="0" w:firstColumn="1" w:lastColumn="0" w:noHBand="0" w:noVBand="1"/>
      </w:tblPr>
      <w:tblGrid>
        <w:gridCol w:w="3022"/>
        <w:gridCol w:w="3020"/>
        <w:gridCol w:w="3019"/>
      </w:tblGrid>
      <w:tr w:rsidR="00171824" w14:paraId="774F2A0A" w14:textId="77777777">
        <w:trPr>
          <w:trHeight w:val="20"/>
          <w:tblHeader/>
        </w:trPr>
        <w:tc>
          <w:tcPr>
            <w:tcW w:w="1667" w:type="pct"/>
            <w:tcBorders>
              <w:top w:val="single" w:sz="4" w:space="0" w:color="000000"/>
              <w:left w:val="single" w:sz="4" w:space="0" w:color="000000"/>
              <w:bottom w:val="single" w:sz="4" w:space="0" w:color="000000"/>
              <w:right w:val="single" w:sz="4" w:space="0" w:color="000000"/>
            </w:tcBorders>
          </w:tcPr>
          <w:p w14:paraId="1CFF020C" w14:textId="77777777" w:rsidR="00171824" w:rsidRDefault="006D258C">
            <w:pPr>
              <w:pStyle w:val="TableParagraph"/>
              <w:widowControl/>
              <w:kinsoku w:val="0"/>
              <w:overflowPunct w:val="0"/>
              <w:jc w:val="both"/>
              <w:rPr>
                <w:rFonts w:eastAsia="MS Mincho"/>
                <w:sz w:val="22"/>
                <w:szCs w:val="22"/>
                <w:lang w:val="el-GR"/>
              </w:rPr>
            </w:pPr>
            <w:r>
              <w:rPr>
                <w:rFonts w:eastAsia="MS Mincho"/>
                <w:b/>
                <w:bCs/>
                <w:sz w:val="22"/>
                <w:szCs w:val="22"/>
                <w:lang w:val="el-GR"/>
              </w:rPr>
              <w:t>Ανταπόκριση</w:t>
            </w:r>
          </w:p>
        </w:tc>
        <w:tc>
          <w:tcPr>
            <w:tcW w:w="1666" w:type="pct"/>
            <w:tcBorders>
              <w:top w:val="single" w:sz="4" w:space="0" w:color="000000"/>
              <w:left w:val="single" w:sz="4" w:space="0" w:color="000000"/>
              <w:bottom w:val="single" w:sz="4" w:space="0" w:color="000000"/>
              <w:right w:val="single" w:sz="4" w:space="0" w:color="000000"/>
            </w:tcBorders>
          </w:tcPr>
          <w:p w14:paraId="7DFE4586" w14:textId="77777777" w:rsidR="00171824" w:rsidRDefault="006D258C">
            <w:pPr>
              <w:pStyle w:val="TableParagraph"/>
              <w:widowControl/>
              <w:kinsoku w:val="0"/>
              <w:overflowPunct w:val="0"/>
              <w:jc w:val="center"/>
              <w:rPr>
                <w:rFonts w:eastAsia="MS Mincho"/>
                <w:b/>
                <w:bCs/>
                <w:sz w:val="22"/>
                <w:szCs w:val="22"/>
                <w:lang w:val="el-GR"/>
              </w:rPr>
            </w:pPr>
            <w:r>
              <w:rPr>
                <w:rFonts w:eastAsia="MS Mincho"/>
                <w:b/>
                <w:bCs/>
                <w:sz w:val="22"/>
                <w:szCs w:val="22"/>
                <w:lang w:val="el-GR"/>
              </w:rPr>
              <w:t>Εικονικό φάρμακο</w:t>
            </w:r>
          </w:p>
          <w:p w14:paraId="1EBE0FBE"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N=107</w:t>
            </w:r>
          </w:p>
        </w:tc>
        <w:tc>
          <w:tcPr>
            <w:tcW w:w="1666" w:type="pct"/>
            <w:tcBorders>
              <w:top w:val="single" w:sz="4" w:space="0" w:color="000000"/>
              <w:left w:val="single" w:sz="4" w:space="0" w:color="000000"/>
              <w:bottom w:val="single" w:sz="4" w:space="0" w:color="000000"/>
              <w:right w:val="single" w:sz="4" w:space="0" w:color="000000"/>
            </w:tcBorders>
          </w:tcPr>
          <w:p w14:paraId="7C6EB706" w14:textId="77777777" w:rsidR="00171824" w:rsidRDefault="006D258C">
            <w:pPr>
              <w:pStyle w:val="TableParagraph"/>
              <w:widowControl/>
              <w:kinsoku w:val="0"/>
              <w:overflowPunct w:val="0"/>
              <w:jc w:val="center"/>
              <w:rPr>
                <w:rFonts w:eastAsia="MS Mincho"/>
                <w:b/>
                <w:bCs/>
                <w:sz w:val="22"/>
                <w:szCs w:val="22"/>
                <w:lang w:val="el-GR"/>
              </w:rPr>
            </w:pPr>
            <w:r>
              <w:rPr>
                <w:rFonts w:eastAsia="MS Mincho"/>
                <w:b/>
                <w:bCs/>
                <w:sz w:val="22"/>
                <w:szCs w:val="22"/>
                <w:lang w:val="el-GR"/>
              </w:rPr>
              <w:t>Adalimumab</w:t>
            </w:r>
          </w:p>
          <w:p w14:paraId="3E705A90"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N=208</w:t>
            </w:r>
          </w:p>
        </w:tc>
      </w:tr>
      <w:tr w:rsidR="00171824" w14:paraId="65B92006"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330CB8C5"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ASAS</w:t>
            </w:r>
            <w:r>
              <w:rPr>
                <w:rFonts w:eastAsia="MS Mincho"/>
                <w:sz w:val="22"/>
                <w:szCs w:val="22"/>
                <w:vertAlign w:val="superscript"/>
                <w:lang w:val="el-GR"/>
              </w:rPr>
              <w:t>a</w:t>
            </w:r>
            <w:r>
              <w:rPr>
                <w:rFonts w:eastAsia="MS Mincho"/>
                <w:sz w:val="22"/>
                <w:szCs w:val="22"/>
                <w:lang w:val="el-GR"/>
              </w:rPr>
              <w:t xml:space="preserve"> 20</w:t>
            </w:r>
          </w:p>
        </w:tc>
        <w:tc>
          <w:tcPr>
            <w:tcW w:w="1666" w:type="pct"/>
            <w:tcBorders>
              <w:top w:val="single" w:sz="4" w:space="0" w:color="000000"/>
              <w:left w:val="single" w:sz="4" w:space="0" w:color="000000"/>
              <w:bottom w:val="single" w:sz="4" w:space="0" w:color="000000"/>
              <w:right w:val="single" w:sz="4" w:space="0" w:color="000000"/>
            </w:tcBorders>
          </w:tcPr>
          <w:p w14:paraId="0A193037" w14:textId="77777777" w:rsidR="00171824" w:rsidRDefault="00171824">
            <w:pPr>
              <w:widowControl/>
              <w:jc w:val="center"/>
              <w:rPr>
                <w:rFonts w:eastAsia="MS Mincho"/>
                <w:sz w:val="22"/>
                <w:szCs w:val="22"/>
                <w:lang w:val="el-GR"/>
              </w:rPr>
            </w:pPr>
          </w:p>
        </w:tc>
        <w:tc>
          <w:tcPr>
            <w:tcW w:w="1666" w:type="pct"/>
            <w:tcBorders>
              <w:top w:val="single" w:sz="4" w:space="0" w:color="000000"/>
              <w:left w:val="single" w:sz="4" w:space="0" w:color="000000"/>
              <w:bottom w:val="single" w:sz="4" w:space="0" w:color="000000"/>
              <w:right w:val="single" w:sz="4" w:space="0" w:color="000000"/>
            </w:tcBorders>
          </w:tcPr>
          <w:p w14:paraId="035B6EDF" w14:textId="77777777" w:rsidR="00171824" w:rsidRDefault="00171824">
            <w:pPr>
              <w:widowControl/>
              <w:jc w:val="center"/>
              <w:rPr>
                <w:rFonts w:eastAsia="MS Mincho"/>
                <w:sz w:val="22"/>
                <w:szCs w:val="22"/>
                <w:lang w:val="el-GR"/>
              </w:rPr>
            </w:pPr>
          </w:p>
        </w:tc>
      </w:tr>
      <w:tr w:rsidR="00171824" w14:paraId="268DE293"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0A0E7D2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2</w:t>
            </w:r>
          </w:p>
        </w:tc>
        <w:tc>
          <w:tcPr>
            <w:tcW w:w="1666" w:type="pct"/>
            <w:tcBorders>
              <w:top w:val="single" w:sz="4" w:space="0" w:color="000000"/>
              <w:left w:val="single" w:sz="4" w:space="0" w:color="000000"/>
              <w:bottom w:val="single" w:sz="4" w:space="0" w:color="000000"/>
              <w:right w:val="single" w:sz="4" w:space="0" w:color="000000"/>
            </w:tcBorders>
          </w:tcPr>
          <w:p w14:paraId="68E49F2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16%</w:t>
            </w:r>
          </w:p>
        </w:tc>
        <w:tc>
          <w:tcPr>
            <w:tcW w:w="1666" w:type="pct"/>
            <w:tcBorders>
              <w:top w:val="single" w:sz="4" w:space="0" w:color="000000"/>
              <w:left w:val="single" w:sz="4" w:space="0" w:color="000000"/>
              <w:bottom w:val="single" w:sz="4" w:space="0" w:color="000000"/>
              <w:right w:val="single" w:sz="4" w:space="0" w:color="000000"/>
            </w:tcBorders>
          </w:tcPr>
          <w:p w14:paraId="25BB894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42%***</w:t>
            </w:r>
          </w:p>
        </w:tc>
      </w:tr>
      <w:tr w:rsidR="00171824" w14:paraId="7B115BE6"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2C39F85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12</w:t>
            </w:r>
          </w:p>
        </w:tc>
        <w:tc>
          <w:tcPr>
            <w:tcW w:w="1666" w:type="pct"/>
            <w:tcBorders>
              <w:top w:val="single" w:sz="4" w:space="0" w:color="000000"/>
              <w:left w:val="single" w:sz="4" w:space="0" w:color="000000"/>
              <w:bottom w:val="single" w:sz="4" w:space="0" w:color="000000"/>
              <w:right w:val="single" w:sz="4" w:space="0" w:color="000000"/>
            </w:tcBorders>
          </w:tcPr>
          <w:p w14:paraId="46F8303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21%</w:t>
            </w:r>
          </w:p>
        </w:tc>
        <w:tc>
          <w:tcPr>
            <w:tcW w:w="1666" w:type="pct"/>
            <w:tcBorders>
              <w:top w:val="single" w:sz="4" w:space="0" w:color="000000"/>
              <w:left w:val="single" w:sz="4" w:space="0" w:color="000000"/>
              <w:bottom w:val="single" w:sz="4" w:space="0" w:color="000000"/>
              <w:right w:val="single" w:sz="4" w:space="0" w:color="000000"/>
            </w:tcBorders>
          </w:tcPr>
          <w:p w14:paraId="3A5F74D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58%***</w:t>
            </w:r>
          </w:p>
        </w:tc>
      </w:tr>
      <w:tr w:rsidR="00171824" w14:paraId="7CD6937D"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63FF8EE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24</w:t>
            </w:r>
          </w:p>
        </w:tc>
        <w:tc>
          <w:tcPr>
            <w:tcW w:w="1666" w:type="pct"/>
            <w:tcBorders>
              <w:top w:val="single" w:sz="4" w:space="0" w:color="000000"/>
              <w:left w:val="single" w:sz="4" w:space="0" w:color="000000"/>
              <w:bottom w:val="single" w:sz="4" w:space="0" w:color="000000"/>
              <w:right w:val="single" w:sz="4" w:space="0" w:color="000000"/>
            </w:tcBorders>
          </w:tcPr>
          <w:p w14:paraId="5E1AE40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19%</w:t>
            </w:r>
          </w:p>
        </w:tc>
        <w:tc>
          <w:tcPr>
            <w:tcW w:w="1666" w:type="pct"/>
            <w:tcBorders>
              <w:top w:val="single" w:sz="4" w:space="0" w:color="000000"/>
              <w:left w:val="single" w:sz="4" w:space="0" w:color="000000"/>
              <w:bottom w:val="single" w:sz="4" w:space="0" w:color="000000"/>
              <w:right w:val="single" w:sz="4" w:space="0" w:color="000000"/>
            </w:tcBorders>
          </w:tcPr>
          <w:p w14:paraId="48ABAB4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51%***</w:t>
            </w:r>
          </w:p>
        </w:tc>
      </w:tr>
      <w:tr w:rsidR="00171824" w14:paraId="5128B9F0"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4EE5144D"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lastRenderedPageBreak/>
              <w:t>ASAS 50</w:t>
            </w:r>
          </w:p>
        </w:tc>
        <w:tc>
          <w:tcPr>
            <w:tcW w:w="1666" w:type="pct"/>
            <w:tcBorders>
              <w:top w:val="single" w:sz="4" w:space="0" w:color="000000"/>
              <w:left w:val="single" w:sz="4" w:space="0" w:color="000000"/>
              <w:bottom w:val="single" w:sz="4" w:space="0" w:color="000000"/>
              <w:right w:val="single" w:sz="4" w:space="0" w:color="000000"/>
            </w:tcBorders>
          </w:tcPr>
          <w:p w14:paraId="4548AB69" w14:textId="77777777" w:rsidR="00171824" w:rsidRDefault="00171824">
            <w:pPr>
              <w:widowControl/>
              <w:jc w:val="center"/>
              <w:rPr>
                <w:rFonts w:eastAsia="MS Mincho"/>
                <w:sz w:val="22"/>
                <w:szCs w:val="22"/>
                <w:lang w:val="el-GR"/>
              </w:rPr>
            </w:pPr>
          </w:p>
        </w:tc>
        <w:tc>
          <w:tcPr>
            <w:tcW w:w="1666" w:type="pct"/>
            <w:tcBorders>
              <w:top w:val="single" w:sz="4" w:space="0" w:color="000000"/>
              <w:left w:val="single" w:sz="4" w:space="0" w:color="000000"/>
              <w:bottom w:val="single" w:sz="4" w:space="0" w:color="000000"/>
              <w:right w:val="single" w:sz="4" w:space="0" w:color="000000"/>
            </w:tcBorders>
          </w:tcPr>
          <w:p w14:paraId="0FE4A208" w14:textId="77777777" w:rsidR="00171824" w:rsidRDefault="00171824">
            <w:pPr>
              <w:widowControl/>
              <w:jc w:val="center"/>
              <w:rPr>
                <w:rFonts w:eastAsia="MS Mincho"/>
                <w:sz w:val="22"/>
                <w:szCs w:val="22"/>
                <w:lang w:val="el-GR"/>
              </w:rPr>
            </w:pPr>
          </w:p>
        </w:tc>
      </w:tr>
      <w:tr w:rsidR="00171824" w14:paraId="7B3872F8"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22720C6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2</w:t>
            </w:r>
          </w:p>
        </w:tc>
        <w:tc>
          <w:tcPr>
            <w:tcW w:w="1666" w:type="pct"/>
            <w:tcBorders>
              <w:top w:val="single" w:sz="4" w:space="0" w:color="000000"/>
              <w:left w:val="single" w:sz="4" w:space="0" w:color="000000"/>
              <w:bottom w:val="single" w:sz="4" w:space="0" w:color="000000"/>
              <w:right w:val="single" w:sz="4" w:space="0" w:color="000000"/>
            </w:tcBorders>
          </w:tcPr>
          <w:p w14:paraId="0C52613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w:t>
            </w:r>
          </w:p>
        </w:tc>
        <w:tc>
          <w:tcPr>
            <w:tcW w:w="1666" w:type="pct"/>
            <w:tcBorders>
              <w:top w:val="single" w:sz="4" w:space="0" w:color="000000"/>
              <w:left w:val="single" w:sz="4" w:space="0" w:color="000000"/>
              <w:bottom w:val="single" w:sz="4" w:space="0" w:color="000000"/>
              <w:right w:val="single" w:sz="4" w:space="0" w:color="000000"/>
            </w:tcBorders>
          </w:tcPr>
          <w:p w14:paraId="4F689C1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16%***</w:t>
            </w:r>
          </w:p>
        </w:tc>
      </w:tr>
      <w:tr w:rsidR="00171824" w14:paraId="6BDB3F71"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3F9F8DC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12</w:t>
            </w:r>
          </w:p>
        </w:tc>
        <w:tc>
          <w:tcPr>
            <w:tcW w:w="1666" w:type="pct"/>
            <w:tcBorders>
              <w:top w:val="single" w:sz="4" w:space="0" w:color="000000"/>
              <w:left w:val="single" w:sz="4" w:space="0" w:color="000000"/>
              <w:bottom w:val="single" w:sz="4" w:space="0" w:color="000000"/>
              <w:right w:val="single" w:sz="4" w:space="0" w:color="000000"/>
            </w:tcBorders>
          </w:tcPr>
          <w:p w14:paraId="670EE48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10%</w:t>
            </w:r>
          </w:p>
        </w:tc>
        <w:tc>
          <w:tcPr>
            <w:tcW w:w="1666" w:type="pct"/>
            <w:tcBorders>
              <w:top w:val="single" w:sz="4" w:space="0" w:color="000000"/>
              <w:left w:val="single" w:sz="4" w:space="0" w:color="000000"/>
              <w:bottom w:val="single" w:sz="4" w:space="0" w:color="000000"/>
              <w:right w:val="single" w:sz="4" w:space="0" w:color="000000"/>
            </w:tcBorders>
          </w:tcPr>
          <w:p w14:paraId="41621C0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38%***</w:t>
            </w:r>
          </w:p>
        </w:tc>
      </w:tr>
      <w:tr w:rsidR="00171824" w14:paraId="2077077B"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551DC3A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24</w:t>
            </w:r>
          </w:p>
        </w:tc>
        <w:tc>
          <w:tcPr>
            <w:tcW w:w="1666" w:type="pct"/>
            <w:tcBorders>
              <w:top w:val="single" w:sz="4" w:space="0" w:color="000000"/>
              <w:left w:val="single" w:sz="4" w:space="0" w:color="000000"/>
              <w:bottom w:val="single" w:sz="4" w:space="0" w:color="000000"/>
              <w:right w:val="single" w:sz="4" w:space="0" w:color="000000"/>
            </w:tcBorders>
          </w:tcPr>
          <w:p w14:paraId="71E7528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11%</w:t>
            </w:r>
          </w:p>
        </w:tc>
        <w:tc>
          <w:tcPr>
            <w:tcW w:w="1666" w:type="pct"/>
            <w:tcBorders>
              <w:top w:val="single" w:sz="4" w:space="0" w:color="000000"/>
              <w:left w:val="single" w:sz="4" w:space="0" w:color="000000"/>
              <w:bottom w:val="single" w:sz="4" w:space="0" w:color="000000"/>
              <w:right w:val="single" w:sz="4" w:space="0" w:color="000000"/>
            </w:tcBorders>
          </w:tcPr>
          <w:p w14:paraId="5254F63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35%***</w:t>
            </w:r>
          </w:p>
        </w:tc>
      </w:tr>
      <w:tr w:rsidR="00171824" w14:paraId="73157278"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1166CF8E"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ASAS 70</w:t>
            </w:r>
          </w:p>
        </w:tc>
        <w:tc>
          <w:tcPr>
            <w:tcW w:w="1666" w:type="pct"/>
            <w:tcBorders>
              <w:top w:val="single" w:sz="4" w:space="0" w:color="000000"/>
              <w:left w:val="single" w:sz="4" w:space="0" w:color="000000"/>
              <w:bottom w:val="single" w:sz="4" w:space="0" w:color="000000"/>
              <w:right w:val="single" w:sz="4" w:space="0" w:color="000000"/>
            </w:tcBorders>
          </w:tcPr>
          <w:p w14:paraId="30353435" w14:textId="77777777" w:rsidR="00171824" w:rsidRDefault="00171824">
            <w:pPr>
              <w:widowControl/>
              <w:jc w:val="center"/>
              <w:rPr>
                <w:rFonts w:eastAsia="MS Mincho"/>
                <w:sz w:val="22"/>
                <w:szCs w:val="22"/>
                <w:lang w:val="el-GR"/>
              </w:rPr>
            </w:pPr>
          </w:p>
        </w:tc>
        <w:tc>
          <w:tcPr>
            <w:tcW w:w="1666" w:type="pct"/>
            <w:tcBorders>
              <w:top w:val="single" w:sz="4" w:space="0" w:color="000000"/>
              <w:left w:val="single" w:sz="4" w:space="0" w:color="000000"/>
              <w:bottom w:val="single" w:sz="4" w:space="0" w:color="000000"/>
              <w:right w:val="single" w:sz="4" w:space="0" w:color="000000"/>
            </w:tcBorders>
          </w:tcPr>
          <w:p w14:paraId="0420A2E2" w14:textId="77777777" w:rsidR="00171824" w:rsidRDefault="00171824">
            <w:pPr>
              <w:widowControl/>
              <w:jc w:val="center"/>
              <w:rPr>
                <w:rFonts w:eastAsia="MS Mincho"/>
                <w:sz w:val="22"/>
                <w:szCs w:val="22"/>
                <w:lang w:val="el-GR"/>
              </w:rPr>
            </w:pPr>
          </w:p>
        </w:tc>
      </w:tr>
      <w:tr w:rsidR="00171824" w14:paraId="0DF3E842"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18D5528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2</w:t>
            </w:r>
          </w:p>
        </w:tc>
        <w:tc>
          <w:tcPr>
            <w:tcW w:w="1666" w:type="pct"/>
            <w:tcBorders>
              <w:top w:val="single" w:sz="4" w:space="0" w:color="000000"/>
              <w:left w:val="single" w:sz="4" w:space="0" w:color="000000"/>
              <w:bottom w:val="single" w:sz="4" w:space="0" w:color="000000"/>
              <w:right w:val="single" w:sz="4" w:space="0" w:color="000000"/>
            </w:tcBorders>
          </w:tcPr>
          <w:p w14:paraId="4ACC562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w:t>
            </w:r>
          </w:p>
        </w:tc>
        <w:tc>
          <w:tcPr>
            <w:tcW w:w="1666" w:type="pct"/>
            <w:tcBorders>
              <w:top w:val="single" w:sz="4" w:space="0" w:color="000000"/>
              <w:left w:val="single" w:sz="4" w:space="0" w:color="000000"/>
              <w:bottom w:val="single" w:sz="4" w:space="0" w:color="000000"/>
              <w:right w:val="single" w:sz="4" w:space="0" w:color="000000"/>
            </w:tcBorders>
          </w:tcPr>
          <w:p w14:paraId="1C1287E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7%**</w:t>
            </w:r>
          </w:p>
        </w:tc>
      </w:tr>
      <w:tr w:rsidR="00171824" w14:paraId="6B48625C"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6121E8D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12</w:t>
            </w:r>
          </w:p>
        </w:tc>
        <w:tc>
          <w:tcPr>
            <w:tcW w:w="1666" w:type="pct"/>
            <w:tcBorders>
              <w:top w:val="single" w:sz="4" w:space="0" w:color="000000"/>
              <w:left w:val="single" w:sz="4" w:space="0" w:color="000000"/>
              <w:bottom w:val="single" w:sz="4" w:space="0" w:color="000000"/>
              <w:right w:val="single" w:sz="4" w:space="0" w:color="000000"/>
            </w:tcBorders>
          </w:tcPr>
          <w:p w14:paraId="6CED86A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w:t>
            </w:r>
          </w:p>
        </w:tc>
        <w:tc>
          <w:tcPr>
            <w:tcW w:w="1666" w:type="pct"/>
            <w:tcBorders>
              <w:top w:val="single" w:sz="4" w:space="0" w:color="000000"/>
              <w:left w:val="single" w:sz="4" w:space="0" w:color="000000"/>
              <w:bottom w:val="single" w:sz="4" w:space="0" w:color="000000"/>
              <w:right w:val="single" w:sz="4" w:space="0" w:color="000000"/>
            </w:tcBorders>
          </w:tcPr>
          <w:p w14:paraId="6F53574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23%***</w:t>
            </w:r>
          </w:p>
        </w:tc>
      </w:tr>
      <w:tr w:rsidR="00171824" w14:paraId="39282624"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52F2515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24</w:t>
            </w:r>
          </w:p>
        </w:tc>
        <w:tc>
          <w:tcPr>
            <w:tcW w:w="1666" w:type="pct"/>
            <w:tcBorders>
              <w:top w:val="single" w:sz="4" w:space="0" w:color="000000"/>
              <w:left w:val="single" w:sz="4" w:space="0" w:color="000000"/>
              <w:bottom w:val="single" w:sz="4" w:space="0" w:color="000000"/>
              <w:right w:val="single" w:sz="4" w:space="0" w:color="000000"/>
            </w:tcBorders>
          </w:tcPr>
          <w:p w14:paraId="3527626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8%</w:t>
            </w:r>
          </w:p>
        </w:tc>
        <w:tc>
          <w:tcPr>
            <w:tcW w:w="1666" w:type="pct"/>
            <w:tcBorders>
              <w:top w:val="single" w:sz="4" w:space="0" w:color="000000"/>
              <w:left w:val="single" w:sz="4" w:space="0" w:color="000000"/>
              <w:bottom w:val="single" w:sz="4" w:space="0" w:color="000000"/>
              <w:right w:val="single" w:sz="4" w:space="0" w:color="000000"/>
            </w:tcBorders>
          </w:tcPr>
          <w:p w14:paraId="42F7D80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24%***</w:t>
            </w:r>
          </w:p>
        </w:tc>
      </w:tr>
      <w:tr w:rsidR="00171824" w14:paraId="54B4A872"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544C0E7D"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BASDAI</w:t>
            </w:r>
            <w:r>
              <w:rPr>
                <w:rFonts w:eastAsia="MS Mincho"/>
                <w:sz w:val="22"/>
                <w:szCs w:val="22"/>
                <w:vertAlign w:val="superscript"/>
                <w:lang w:val="el-GR"/>
              </w:rPr>
              <w:t>b</w:t>
            </w:r>
            <w:r>
              <w:rPr>
                <w:rFonts w:eastAsia="MS Mincho"/>
                <w:sz w:val="22"/>
                <w:szCs w:val="22"/>
                <w:lang w:val="el-GR"/>
              </w:rPr>
              <w:t xml:space="preserve"> 50</w:t>
            </w:r>
          </w:p>
        </w:tc>
        <w:tc>
          <w:tcPr>
            <w:tcW w:w="1666" w:type="pct"/>
            <w:tcBorders>
              <w:top w:val="single" w:sz="4" w:space="0" w:color="000000"/>
              <w:left w:val="single" w:sz="4" w:space="0" w:color="000000"/>
              <w:bottom w:val="single" w:sz="4" w:space="0" w:color="000000"/>
              <w:right w:val="single" w:sz="4" w:space="0" w:color="000000"/>
            </w:tcBorders>
          </w:tcPr>
          <w:p w14:paraId="04D4C255" w14:textId="77777777" w:rsidR="00171824" w:rsidRDefault="00171824">
            <w:pPr>
              <w:widowControl/>
              <w:jc w:val="center"/>
              <w:rPr>
                <w:rFonts w:eastAsia="MS Mincho"/>
                <w:sz w:val="22"/>
                <w:szCs w:val="22"/>
                <w:lang w:val="el-GR"/>
              </w:rPr>
            </w:pPr>
          </w:p>
        </w:tc>
        <w:tc>
          <w:tcPr>
            <w:tcW w:w="1666" w:type="pct"/>
            <w:tcBorders>
              <w:top w:val="single" w:sz="4" w:space="0" w:color="000000"/>
              <w:left w:val="single" w:sz="4" w:space="0" w:color="000000"/>
              <w:bottom w:val="single" w:sz="4" w:space="0" w:color="000000"/>
              <w:right w:val="single" w:sz="4" w:space="0" w:color="000000"/>
            </w:tcBorders>
          </w:tcPr>
          <w:p w14:paraId="712FE016" w14:textId="77777777" w:rsidR="00171824" w:rsidRDefault="00171824">
            <w:pPr>
              <w:widowControl/>
              <w:jc w:val="center"/>
              <w:rPr>
                <w:rFonts w:eastAsia="MS Mincho"/>
                <w:sz w:val="22"/>
                <w:szCs w:val="22"/>
                <w:lang w:val="el-GR"/>
              </w:rPr>
            </w:pPr>
          </w:p>
        </w:tc>
      </w:tr>
      <w:tr w:rsidR="00171824" w14:paraId="003F4146"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31AF126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2</w:t>
            </w:r>
          </w:p>
        </w:tc>
        <w:tc>
          <w:tcPr>
            <w:tcW w:w="1666" w:type="pct"/>
            <w:tcBorders>
              <w:top w:val="single" w:sz="4" w:space="0" w:color="000000"/>
              <w:left w:val="single" w:sz="4" w:space="0" w:color="000000"/>
              <w:bottom w:val="single" w:sz="4" w:space="0" w:color="000000"/>
              <w:right w:val="single" w:sz="4" w:space="0" w:color="000000"/>
            </w:tcBorders>
          </w:tcPr>
          <w:p w14:paraId="2460DB7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w:t>
            </w:r>
          </w:p>
        </w:tc>
        <w:tc>
          <w:tcPr>
            <w:tcW w:w="1666" w:type="pct"/>
            <w:tcBorders>
              <w:top w:val="single" w:sz="4" w:space="0" w:color="000000"/>
              <w:left w:val="single" w:sz="4" w:space="0" w:color="000000"/>
              <w:bottom w:val="single" w:sz="4" w:space="0" w:color="000000"/>
              <w:right w:val="single" w:sz="4" w:space="0" w:color="000000"/>
            </w:tcBorders>
          </w:tcPr>
          <w:p w14:paraId="32D0685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20%***</w:t>
            </w:r>
          </w:p>
        </w:tc>
      </w:tr>
      <w:tr w:rsidR="00171824" w14:paraId="1B693A20"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15B7DD5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12</w:t>
            </w:r>
          </w:p>
        </w:tc>
        <w:tc>
          <w:tcPr>
            <w:tcW w:w="1666" w:type="pct"/>
            <w:tcBorders>
              <w:top w:val="single" w:sz="4" w:space="0" w:color="000000"/>
              <w:left w:val="single" w:sz="4" w:space="0" w:color="000000"/>
              <w:bottom w:val="single" w:sz="4" w:space="0" w:color="000000"/>
              <w:right w:val="single" w:sz="4" w:space="0" w:color="000000"/>
            </w:tcBorders>
          </w:tcPr>
          <w:p w14:paraId="49B3345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16%</w:t>
            </w:r>
          </w:p>
        </w:tc>
        <w:tc>
          <w:tcPr>
            <w:tcW w:w="1666" w:type="pct"/>
            <w:tcBorders>
              <w:top w:val="single" w:sz="4" w:space="0" w:color="000000"/>
              <w:left w:val="single" w:sz="4" w:space="0" w:color="000000"/>
              <w:bottom w:val="single" w:sz="4" w:space="0" w:color="000000"/>
              <w:right w:val="single" w:sz="4" w:space="0" w:color="000000"/>
            </w:tcBorders>
          </w:tcPr>
          <w:p w14:paraId="7AEAC3D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45%***</w:t>
            </w:r>
          </w:p>
        </w:tc>
      </w:tr>
      <w:tr w:rsidR="00171824" w14:paraId="1CB8F2F4" w14:textId="77777777">
        <w:trPr>
          <w:trHeight w:val="20"/>
        </w:trPr>
        <w:tc>
          <w:tcPr>
            <w:tcW w:w="1667" w:type="pct"/>
            <w:tcBorders>
              <w:top w:val="single" w:sz="4" w:space="0" w:color="000000"/>
              <w:left w:val="single" w:sz="4" w:space="0" w:color="000000"/>
              <w:bottom w:val="single" w:sz="4" w:space="0" w:color="000000"/>
              <w:right w:val="single" w:sz="4" w:space="0" w:color="000000"/>
            </w:tcBorders>
          </w:tcPr>
          <w:p w14:paraId="2EE797B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Εβδομάδα 24</w:t>
            </w:r>
          </w:p>
        </w:tc>
        <w:tc>
          <w:tcPr>
            <w:tcW w:w="1666" w:type="pct"/>
            <w:tcBorders>
              <w:top w:val="single" w:sz="4" w:space="0" w:color="000000"/>
              <w:left w:val="single" w:sz="4" w:space="0" w:color="000000"/>
              <w:bottom w:val="single" w:sz="4" w:space="0" w:color="000000"/>
              <w:right w:val="single" w:sz="4" w:space="0" w:color="000000"/>
            </w:tcBorders>
          </w:tcPr>
          <w:p w14:paraId="05B358BE"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15%</w:t>
            </w:r>
          </w:p>
        </w:tc>
        <w:tc>
          <w:tcPr>
            <w:tcW w:w="1666" w:type="pct"/>
            <w:tcBorders>
              <w:top w:val="single" w:sz="4" w:space="0" w:color="000000"/>
              <w:left w:val="single" w:sz="4" w:space="0" w:color="000000"/>
              <w:bottom w:val="single" w:sz="4" w:space="0" w:color="000000"/>
              <w:right w:val="single" w:sz="4" w:space="0" w:color="000000"/>
            </w:tcBorders>
          </w:tcPr>
          <w:p w14:paraId="4C6012A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42%***</w:t>
            </w:r>
          </w:p>
        </w:tc>
      </w:tr>
    </w:tbl>
    <w:p w14:paraId="7E4D4364" w14:textId="77777777" w:rsidR="00171824" w:rsidRDefault="006D258C">
      <w:pPr>
        <w:pStyle w:val="BodyText"/>
        <w:widowControl/>
        <w:kinsoku w:val="0"/>
        <w:overflowPunct w:val="0"/>
        <w:ind w:left="0" w:right="8"/>
        <w:rPr>
          <w:sz w:val="20"/>
          <w:szCs w:val="20"/>
          <w:lang w:val="el-GR"/>
        </w:rPr>
      </w:pPr>
      <w:r>
        <w:rPr>
          <w:sz w:val="20"/>
          <w:szCs w:val="20"/>
          <w:lang w:val="el-GR"/>
        </w:rPr>
        <w:t>***,** Στατιστικά σημαντικό με p &lt; 0,001, &lt; 0,01 για όλες τις συγκρίσεις μεταξύ adalimumab και εικονικού φαρμάκου στις εβδομάδες 2, 12 και 24</w:t>
      </w:r>
    </w:p>
    <w:p w14:paraId="751F61D7" w14:textId="77777777" w:rsidR="00171824" w:rsidRPr="00422380" w:rsidRDefault="006D258C">
      <w:pPr>
        <w:pStyle w:val="BodyText"/>
        <w:widowControl/>
        <w:kinsoku w:val="0"/>
        <w:overflowPunct w:val="0"/>
        <w:ind w:left="0"/>
        <w:rPr>
          <w:sz w:val="20"/>
          <w:szCs w:val="20"/>
          <w:lang w:val="el-GR"/>
        </w:rPr>
      </w:pPr>
      <w:r w:rsidRPr="00422380">
        <w:rPr>
          <w:sz w:val="20"/>
          <w:szCs w:val="20"/>
          <w:vertAlign w:val="superscript"/>
        </w:rPr>
        <w:t>a</w:t>
      </w:r>
      <w:r w:rsidRPr="00422380">
        <w:rPr>
          <w:sz w:val="20"/>
          <w:szCs w:val="20"/>
          <w:lang w:val="el-GR"/>
        </w:rPr>
        <w:t xml:space="preserve"> </w:t>
      </w:r>
      <w:r>
        <w:rPr>
          <w:sz w:val="20"/>
          <w:szCs w:val="20"/>
          <w:lang w:val="el-GR"/>
        </w:rPr>
        <w:t>Α</w:t>
      </w:r>
      <w:r w:rsidRPr="00422380">
        <w:rPr>
          <w:sz w:val="20"/>
          <w:szCs w:val="20"/>
        </w:rPr>
        <w:t>ssessments</w:t>
      </w:r>
      <w:r w:rsidRPr="00422380">
        <w:rPr>
          <w:sz w:val="20"/>
          <w:szCs w:val="20"/>
          <w:lang w:val="el-GR"/>
        </w:rPr>
        <w:t xml:space="preserve"> </w:t>
      </w:r>
      <w:r w:rsidRPr="00422380">
        <w:rPr>
          <w:sz w:val="20"/>
          <w:szCs w:val="20"/>
        </w:rPr>
        <w:t>in</w:t>
      </w:r>
      <w:r w:rsidRPr="00422380">
        <w:rPr>
          <w:sz w:val="20"/>
          <w:szCs w:val="20"/>
          <w:lang w:val="el-GR"/>
        </w:rPr>
        <w:t xml:space="preserve"> </w:t>
      </w:r>
      <w:r w:rsidRPr="00422380">
        <w:rPr>
          <w:sz w:val="20"/>
          <w:szCs w:val="20"/>
        </w:rPr>
        <w:t>Ankylosing</w:t>
      </w:r>
      <w:r w:rsidRPr="00422380">
        <w:rPr>
          <w:sz w:val="20"/>
          <w:szCs w:val="20"/>
          <w:lang w:val="el-GR"/>
        </w:rPr>
        <w:t xml:space="preserve"> </w:t>
      </w:r>
      <w:r w:rsidRPr="00422380">
        <w:rPr>
          <w:sz w:val="20"/>
          <w:szCs w:val="20"/>
        </w:rPr>
        <w:t>Spondylitis</w:t>
      </w:r>
      <w:r w:rsidRPr="00422380">
        <w:rPr>
          <w:sz w:val="20"/>
          <w:szCs w:val="20"/>
          <w:lang w:val="el-GR"/>
        </w:rPr>
        <w:t xml:space="preserve"> / </w:t>
      </w:r>
      <w:r w:rsidRPr="00422380">
        <w:rPr>
          <w:sz w:val="20"/>
          <w:szCs w:val="20"/>
        </w:rPr>
        <w:t>ASAS</w:t>
      </w:r>
      <w:r w:rsidRPr="00422380">
        <w:rPr>
          <w:sz w:val="20"/>
          <w:szCs w:val="20"/>
          <w:lang w:val="el-GR"/>
        </w:rPr>
        <w:t xml:space="preserve"> = </w:t>
      </w:r>
      <w:r>
        <w:rPr>
          <w:sz w:val="20"/>
          <w:szCs w:val="20"/>
          <w:lang w:val="el-GR"/>
        </w:rPr>
        <w:t>Διεθνής</w:t>
      </w:r>
      <w:r w:rsidRPr="00422380">
        <w:rPr>
          <w:sz w:val="20"/>
          <w:szCs w:val="20"/>
          <w:lang w:val="el-GR"/>
        </w:rPr>
        <w:t xml:space="preserve"> </w:t>
      </w:r>
      <w:r>
        <w:rPr>
          <w:sz w:val="20"/>
          <w:szCs w:val="20"/>
          <w:lang w:val="el-GR"/>
        </w:rPr>
        <w:t>Εταιρεία</w:t>
      </w:r>
      <w:r w:rsidRPr="00422380">
        <w:rPr>
          <w:sz w:val="20"/>
          <w:szCs w:val="20"/>
          <w:lang w:val="el-GR"/>
        </w:rPr>
        <w:t xml:space="preserve"> </w:t>
      </w:r>
      <w:r>
        <w:rPr>
          <w:sz w:val="20"/>
          <w:szCs w:val="20"/>
          <w:lang w:val="el-GR"/>
        </w:rPr>
        <w:t>Αξιολόγησης</w:t>
      </w:r>
    </w:p>
    <w:p w14:paraId="4FF96187" w14:textId="77777777" w:rsidR="00171824" w:rsidRPr="00422380" w:rsidRDefault="006D258C">
      <w:pPr>
        <w:pStyle w:val="BodyText"/>
        <w:widowControl/>
        <w:kinsoku w:val="0"/>
        <w:overflowPunct w:val="0"/>
        <w:ind w:left="0"/>
        <w:rPr>
          <w:sz w:val="20"/>
          <w:szCs w:val="20"/>
          <w:lang w:val="el-GR"/>
        </w:rPr>
      </w:pPr>
      <w:r>
        <w:rPr>
          <w:sz w:val="20"/>
          <w:szCs w:val="20"/>
          <w:lang w:val="el-GR"/>
        </w:rPr>
        <w:t>Σπονδυλαρθρίτιδας</w:t>
      </w:r>
    </w:p>
    <w:p w14:paraId="2D1F4B97" w14:textId="77777777" w:rsidR="00171824" w:rsidRPr="00422380" w:rsidRDefault="006D258C">
      <w:pPr>
        <w:pStyle w:val="BodyText"/>
        <w:widowControl/>
        <w:kinsoku w:val="0"/>
        <w:overflowPunct w:val="0"/>
        <w:ind w:left="0" w:right="15"/>
        <w:rPr>
          <w:sz w:val="20"/>
          <w:szCs w:val="20"/>
          <w:lang w:val="el-GR"/>
        </w:rPr>
      </w:pPr>
      <w:r w:rsidRPr="00422380">
        <w:rPr>
          <w:sz w:val="20"/>
          <w:szCs w:val="20"/>
          <w:vertAlign w:val="superscript"/>
        </w:rPr>
        <w:t>b</w:t>
      </w:r>
      <w:r w:rsidRPr="00422380">
        <w:rPr>
          <w:sz w:val="20"/>
          <w:szCs w:val="20"/>
          <w:lang w:val="el-GR"/>
        </w:rPr>
        <w:t xml:space="preserve"> </w:t>
      </w:r>
      <w:r w:rsidRPr="00422380">
        <w:rPr>
          <w:sz w:val="20"/>
          <w:szCs w:val="20"/>
        </w:rPr>
        <w:t>Bath</w:t>
      </w:r>
      <w:r w:rsidRPr="00422380">
        <w:rPr>
          <w:sz w:val="20"/>
          <w:szCs w:val="20"/>
          <w:lang w:val="el-GR"/>
        </w:rPr>
        <w:t xml:space="preserve"> </w:t>
      </w:r>
      <w:r w:rsidRPr="00422380">
        <w:rPr>
          <w:sz w:val="20"/>
          <w:szCs w:val="20"/>
        </w:rPr>
        <w:t>Ankylosing</w:t>
      </w:r>
      <w:r w:rsidRPr="00422380">
        <w:rPr>
          <w:sz w:val="20"/>
          <w:szCs w:val="20"/>
          <w:lang w:val="el-GR"/>
        </w:rPr>
        <w:t xml:space="preserve"> </w:t>
      </w:r>
      <w:r w:rsidRPr="00422380">
        <w:rPr>
          <w:sz w:val="20"/>
          <w:szCs w:val="20"/>
        </w:rPr>
        <w:t>Spondylitis</w:t>
      </w:r>
      <w:r w:rsidRPr="00422380">
        <w:rPr>
          <w:sz w:val="20"/>
          <w:szCs w:val="20"/>
          <w:lang w:val="el-GR"/>
        </w:rPr>
        <w:t xml:space="preserve"> </w:t>
      </w:r>
      <w:r w:rsidRPr="00422380">
        <w:rPr>
          <w:sz w:val="20"/>
          <w:szCs w:val="20"/>
        </w:rPr>
        <w:t>Disease</w:t>
      </w:r>
      <w:r w:rsidRPr="00422380">
        <w:rPr>
          <w:sz w:val="20"/>
          <w:szCs w:val="20"/>
          <w:lang w:val="el-GR"/>
        </w:rPr>
        <w:t xml:space="preserve"> </w:t>
      </w:r>
      <w:r w:rsidRPr="00422380">
        <w:rPr>
          <w:sz w:val="20"/>
          <w:szCs w:val="20"/>
        </w:rPr>
        <w:t>Activity</w:t>
      </w:r>
      <w:r w:rsidRPr="00422380">
        <w:rPr>
          <w:sz w:val="20"/>
          <w:szCs w:val="20"/>
          <w:lang w:val="el-GR"/>
        </w:rPr>
        <w:t xml:space="preserve"> </w:t>
      </w:r>
      <w:r w:rsidRPr="00422380">
        <w:rPr>
          <w:sz w:val="20"/>
          <w:szCs w:val="20"/>
        </w:rPr>
        <w:t>Index</w:t>
      </w:r>
      <w:r w:rsidRPr="00422380">
        <w:rPr>
          <w:sz w:val="20"/>
          <w:szCs w:val="20"/>
          <w:lang w:val="el-GR"/>
        </w:rPr>
        <w:t xml:space="preserve">/ </w:t>
      </w:r>
      <w:r w:rsidRPr="00422380">
        <w:rPr>
          <w:sz w:val="20"/>
          <w:szCs w:val="20"/>
        </w:rPr>
        <w:t>BASDAI</w:t>
      </w:r>
      <w:r w:rsidRPr="00422380">
        <w:rPr>
          <w:sz w:val="20"/>
          <w:szCs w:val="20"/>
          <w:lang w:val="el-GR"/>
        </w:rPr>
        <w:t xml:space="preserve"> = </w:t>
      </w:r>
      <w:r>
        <w:rPr>
          <w:sz w:val="20"/>
          <w:szCs w:val="20"/>
          <w:lang w:val="el-GR"/>
        </w:rPr>
        <w:t>Δείκτης</w:t>
      </w:r>
      <w:r w:rsidRPr="00422380">
        <w:rPr>
          <w:sz w:val="20"/>
          <w:szCs w:val="20"/>
          <w:lang w:val="el-GR"/>
        </w:rPr>
        <w:t xml:space="preserve"> </w:t>
      </w:r>
      <w:r>
        <w:rPr>
          <w:sz w:val="20"/>
          <w:szCs w:val="20"/>
          <w:lang w:val="el-GR"/>
        </w:rPr>
        <w:t>Ενεργότητας</w:t>
      </w:r>
      <w:r w:rsidRPr="00422380">
        <w:rPr>
          <w:sz w:val="20"/>
          <w:szCs w:val="20"/>
          <w:lang w:val="el-GR"/>
        </w:rPr>
        <w:t xml:space="preserve"> </w:t>
      </w:r>
      <w:r>
        <w:rPr>
          <w:sz w:val="20"/>
          <w:szCs w:val="20"/>
          <w:lang w:val="el-GR"/>
        </w:rPr>
        <w:t>Αγκυλοποιητικής</w:t>
      </w:r>
      <w:r w:rsidRPr="00422380">
        <w:rPr>
          <w:sz w:val="20"/>
          <w:szCs w:val="20"/>
          <w:lang w:val="el-GR"/>
        </w:rPr>
        <w:t xml:space="preserve"> </w:t>
      </w:r>
      <w:r>
        <w:rPr>
          <w:sz w:val="20"/>
          <w:szCs w:val="20"/>
          <w:lang w:val="el-GR"/>
        </w:rPr>
        <w:t>Σπονδυλίτιδας</w:t>
      </w:r>
      <w:r w:rsidRPr="00422380">
        <w:rPr>
          <w:sz w:val="20"/>
          <w:szCs w:val="20"/>
          <w:lang w:val="el-GR"/>
        </w:rPr>
        <w:t xml:space="preserve"> </w:t>
      </w:r>
      <w:r>
        <w:rPr>
          <w:sz w:val="20"/>
          <w:szCs w:val="20"/>
          <w:lang w:val="el-GR"/>
        </w:rPr>
        <w:t>του</w:t>
      </w:r>
      <w:r w:rsidRPr="00422380">
        <w:rPr>
          <w:sz w:val="20"/>
          <w:szCs w:val="20"/>
          <w:lang w:val="el-GR"/>
        </w:rPr>
        <w:t xml:space="preserve"> </w:t>
      </w:r>
      <w:r w:rsidRPr="00422380">
        <w:rPr>
          <w:sz w:val="20"/>
          <w:szCs w:val="20"/>
        </w:rPr>
        <w:t>Bath</w:t>
      </w:r>
    </w:p>
    <w:p w14:paraId="24A3A7A4" w14:textId="77777777" w:rsidR="00171824" w:rsidRPr="00422380" w:rsidRDefault="00171824">
      <w:pPr>
        <w:widowControl/>
        <w:kinsoku w:val="0"/>
        <w:overflowPunct w:val="0"/>
        <w:rPr>
          <w:sz w:val="22"/>
          <w:szCs w:val="22"/>
          <w:lang w:val="el-GR"/>
        </w:rPr>
      </w:pPr>
    </w:p>
    <w:p w14:paraId="3562F281" w14:textId="77777777" w:rsidR="00171824" w:rsidRDefault="006D258C">
      <w:pPr>
        <w:pStyle w:val="BodyText"/>
        <w:widowControl/>
        <w:kinsoku w:val="0"/>
        <w:overflowPunct w:val="0"/>
        <w:ind w:left="0"/>
        <w:rPr>
          <w:lang w:val="el-GR"/>
        </w:rPr>
      </w:pPr>
      <w:r>
        <w:rPr>
          <w:lang w:val="el-GR"/>
        </w:rPr>
        <w:t>Οι ασθενείς στους οποίους χορηγήθηκε adalimumab είχαν σημαντικά μεγαλύτερη βελτίωση στην εβδομάδα 12, η οποία διατηρήθηκε έως την εβδομάδα 24 και στο SF36 και στο Αnkylosing Spondylitis Quality of Life Questionnaire (ASQoL).</w:t>
      </w:r>
    </w:p>
    <w:p w14:paraId="2FFE13FC" w14:textId="77777777" w:rsidR="00171824" w:rsidRDefault="00171824">
      <w:pPr>
        <w:widowControl/>
        <w:kinsoku w:val="0"/>
        <w:overflowPunct w:val="0"/>
        <w:rPr>
          <w:sz w:val="22"/>
          <w:szCs w:val="22"/>
          <w:lang w:val="el-GR"/>
        </w:rPr>
      </w:pPr>
    </w:p>
    <w:p w14:paraId="41516B36" w14:textId="77777777" w:rsidR="00171824" w:rsidRDefault="006D258C">
      <w:pPr>
        <w:pStyle w:val="BodyText"/>
        <w:widowControl/>
        <w:kinsoku w:val="0"/>
        <w:overflowPunct w:val="0"/>
        <w:ind w:left="0"/>
        <w:rPr>
          <w:lang w:val="el-GR"/>
        </w:rPr>
      </w:pPr>
      <w:r>
        <w:rPr>
          <w:lang w:val="el-GR"/>
        </w:rPr>
        <w:t xml:space="preserve">Παρόμοιες τάσεις (όχι όλες στατιστικά σημαντικές) εμφανίστηκαν στη μικρότερη τυχαιοποιημένη, διπλά-τυφλή, ελεγχόμενη με εικονικό φάρμακο μελέτη </w:t>
      </w:r>
      <w:r>
        <w:rPr>
          <w:i/>
          <w:iCs/>
          <w:u w:val="single"/>
          <w:lang w:val="el-GR"/>
        </w:rPr>
        <w:t>ΑΣ</w:t>
      </w:r>
      <w:r>
        <w:rPr>
          <w:lang w:val="el-GR"/>
        </w:rPr>
        <w:t xml:space="preserve"> ΙΙ με 82 ενήλικες ασθενείς με ενεργό αγκυλοποιητική σπονδυλίτιδα.</w:t>
      </w:r>
    </w:p>
    <w:p w14:paraId="6B8AC716" w14:textId="77777777" w:rsidR="00171824" w:rsidRDefault="00171824">
      <w:pPr>
        <w:widowControl/>
        <w:kinsoku w:val="0"/>
        <w:overflowPunct w:val="0"/>
        <w:rPr>
          <w:sz w:val="22"/>
          <w:szCs w:val="22"/>
          <w:lang w:val="el-GR"/>
        </w:rPr>
      </w:pPr>
    </w:p>
    <w:p w14:paraId="46049A57" w14:textId="77777777" w:rsidR="00171824" w:rsidRDefault="006D258C">
      <w:pPr>
        <w:widowControl/>
        <w:kinsoku w:val="0"/>
        <w:overflowPunct w:val="0"/>
        <w:rPr>
          <w:sz w:val="22"/>
          <w:szCs w:val="22"/>
          <w:lang w:val="el-GR"/>
        </w:rPr>
      </w:pPr>
      <w:r>
        <w:rPr>
          <w:i/>
          <w:iCs/>
          <w:sz w:val="22"/>
          <w:szCs w:val="22"/>
          <w:u w:val="single"/>
          <w:lang w:val="el-GR"/>
        </w:rPr>
        <w:t>Αξονική σπονδυλαρθρίτιδα χωρίς ακτινολογικά ευρήματα αγκυλοποιητικής σπονδυλίτιδας (ΑΣ)</w:t>
      </w:r>
    </w:p>
    <w:p w14:paraId="39A1E57B" w14:textId="77777777" w:rsidR="00171824" w:rsidRDefault="00171824">
      <w:pPr>
        <w:widowControl/>
        <w:kinsoku w:val="0"/>
        <w:overflowPunct w:val="0"/>
        <w:rPr>
          <w:sz w:val="22"/>
          <w:szCs w:val="22"/>
          <w:lang w:val="el-GR"/>
        </w:rPr>
      </w:pPr>
    </w:p>
    <w:p w14:paraId="12ED6C6A" w14:textId="77777777" w:rsidR="00171824" w:rsidRDefault="006D258C">
      <w:pPr>
        <w:widowControl/>
        <w:kinsoku w:val="0"/>
        <w:overflowPunct w:val="0"/>
        <w:rPr>
          <w:sz w:val="22"/>
          <w:szCs w:val="22"/>
          <w:lang w:val="el-GR"/>
        </w:rPr>
      </w:pPr>
      <w:r>
        <w:rPr>
          <w:sz w:val="22"/>
          <w:szCs w:val="22"/>
          <w:lang w:val="el-GR"/>
        </w:rPr>
        <w:t>Η ασφάλεια και η αποτελεσματικότητα του adalimumab αξιολογήθηκαν σε δύο τυχαιοποιημένες, διπλά τυφλές ελεγχόμενες με εικονικό φάρμακο μελέτες σε ασθενείς με μη ακτινογραφική αξονική σπονδυλοαρθρίτιδα (nr-axSpA). Η μελέτη nr-axSpA Ι αξιολόγησε ασθενείς με ενεργό nr-axSpA. Η μελέτη nr-axSpA II ήταν μια μελέτη απόσυρσης της θεραπείας σε ενεργούς ασθενείς με nr-axSpA που πέτυχαν ύφεση κατά την ανοιχτή θεραπεία με adalimumab.</w:t>
      </w:r>
    </w:p>
    <w:p w14:paraId="3964D1FC" w14:textId="77777777" w:rsidR="00171824" w:rsidRDefault="00171824">
      <w:pPr>
        <w:pStyle w:val="BodyText"/>
        <w:widowControl/>
        <w:kinsoku w:val="0"/>
        <w:overflowPunct w:val="0"/>
        <w:ind w:left="0"/>
        <w:rPr>
          <w:lang w:val="el-GR"/>
        </w:rPr>
      </w:pPr>
    </w:p>
    <w:p w14:paraId="6BD88237" w14:textId="77777777" w:rsidR="00171824" w:rsidRDefault="006D258C">
      <w:pPr>
        <w:widowControl/>
        <w:kinsoku w:val="0"/>
        <w:overflowPunct w:val="0"/>
        <w:rPr>
          <w:sz w:val="22"/>
          <w:szCs w:val="22"/>
          <w:lang w:val="el-GR"/>
        </w:rPr>
      </w:pPr>
      <w:r>
        <w:rPr>
          <w:sz w:val="22"/>
          <w:szCs w:val="22"/>
          <w:lang w:val="el-GR"/>
        </w:rPr>
        <w:t>Μελέτη nr-axSpA I</w:t>
      </w:r>
    </w:p>
    <w:p w14:paraId="6C0877BB" w14:textId="77777777" w:rsidR="00171824" w:rsidRDefault="00171824">
      <w:pPr>
        <w:widowControl/>
        <w:kinsoku w:val="0"/>
        <w:overflowPunct w:val="0"/>
        <w:rPr>
          <w:sz w:val="22"/>
          <w:lang w:val="el-GR"/>
        </w:rPr>
      </w:pPr>
    </w:p>
    <w:p w14:paraId="1BE63599" w14:textId="77777777" w:rsidR="00171824" w:rsidRDefault="006D258C">
      <w:pPr>
        <w:widowControl/>
        <w:kinsoku w:val="0"/>
        <w:overflowPunct w:val="0"/>
        <w:rPr>
          <w:sz w:val="22"/>
          <w:szCs w:val="22"/>
          <w:lang w:val="el-GR"/>
        </w:rPr>
      </w:pPr>
      <w:r>
        <w:rPr>
          <w:sz w:val="22"/>
          <w:szCs w:val="22"/>
          <w:lang w:val="el-GR"/>
        </w:rPr>
        <w:t>Στην Μελέτη nr-axSpA I το adalimumab 40 mg χορηγούμενο κάθε δεύτερη εβδομάδα μελετήθηκε σε 185 ασθενείς σε μία τυχαιοποιημένη, διπλά τυφλή μελέτη 12 εβδομάδων, ελεγχόμενη με εικονικό φάρμακο σε ασθενείς με ενεργό nr-axSpA (η μέση αρχική βαθμολογία ενεργότητας της νόσου [Βath Ankylosing Spondylitis Disease Activity Index (BASDAI)] ήταν 6,4 στην ομάδα ασθενών που έλαβαν adalimumab και 6,5 στην ομάδα ασθενών που έλαβαν εικονικό φάρμακο) που είχαν μη ικανοποιητική ανταπόκριση ή δυσανεξία σε ≥ 1 NSAIDs, ή αντένδειξη σε NSAIDs.</w:t>
      </w:r>
    </w:p>
    <w:p w14:paraId="69A30160" w14:textId="77777777" w:rsidR="00171824" w:rsidRDefault="00171824">
      <w:pPr>
        <w:widowControl/>
        <w:kinsoku w:val="0"/>
        <w:overflowPunct w:val="0"/>
        <w:rPr>
          <w:sz w:val="22"/>
          <w:szCs w:val="22"/>
          <w:lang w:val="el-GR"/>
        </w:rPr>
      </w:pPr>
    </w:p>
    <w:p w14:paraId="2D78B510" w14:textId="77777777" w:rsidR="00171824" w:rsidRDefault="006D258C">
      <w:pPr>
        <w:pStyle w:val="BodyText"/>
        <w:widowControl/>
        <w:kinsoku w:val="0"/>
        <w:overflowPunct w:val="0"/>
        <w:ind w:left="0"/>
        <w:rPr>
          <w:lang w:val="el-GR"/>
        </w:rPr>
      </w:pPr>
      <w:r>
        <w:rPr>
          <w:lang w:val="el-GR"/>
        </w:rPr>
        <w:t xml:space="preserve">Σε 33 (18%) ασθενείς χορηγούνταν ταυτόχρονα τροποποιητικά της νόσου αντιρευματικά φάρμακα και σε 146 (79%) ασθενείς μη στεροειδή αντιφλεγμονώδη (NSAIDs) κατά την έναρξη της μελέτης. Η διπλά τυφλή περίοδος ακολουθήθηκε από μία περίοδο ανοιχτής χορήγησης κατά τη διάρκεια της οποίας ασθενείς έλαβαν adalimumab 40 mg κάθε δεύτερη εβδομάδα υποδορίως για επιπλέον 144 εβδομάδες. Τα αποτελέσματα της εβδομάδας 12 έδειξαν στατιστικά </w:t>
      </w:r>
      <w:r>
        <w:rPr>
          <w:sz w:val="24"/>
          <w:szCs w:val="24"/>
          <w:lang w:val="el-GR"/>
        </w:rPr>
        <w:t xml:space="preserve">σημαντική βελτίωση των σημείων και συμπτωμάτων της ενεργού nr-axSpA </w:t>
      </w:r>
      <w:r>
        <w:rPr>
          <w:lang w:val="el-GR"/>
        </w:rPr>
        <w:t>στους ασθενείς που έλαβαν adalimumab συγκριτικά με το εικονικό φάρμακο (πίνακας 13).</w:t>
      </w:r>
    </w:p>
    <w:p w14:paraId="0AC703F4" w14:textId="77777777" w:rsidR="00171824" w:rsidRDefault="00171824">
      <w:pPr>
        <w:widowControl/>
        <w:kinsoku w:val="0"/>
        <w:overflowPunct w:val="0"/>
        <w:rPr>
          <w:sz w:val="22"/>
          <w:szCs w:val="22"/>
          <w:lang w:val="el-GR"/>
        </w:rPr>
      </w:pPr>
    </w:p>
    <w:p w14:paraId="0FEF52A7" w14:textId="77777777" w:rsidR="00171824" w:rsidRDefault="006D258C">
      <w:pPr>
        <w:keepNext/>
        <w:widowControl/>
        <w:kinsoku w:val="0"/>
        <w:overflowPunct w:val="0"/>
        <w:rPr>
          <w:sz w:val="22"/>
          <w:szCs w:val="22"/>
          <w:lang w:val="el-GR"/>
        </w:rPr>
      </w:pPr>
      <w:r>
        <w:rPr>
          <w:b/>
          <w:bCs/>
          <w:sz w:val="22"/>
          <w:szCs w:val="22"/>
          <w:lang w:val="el-GR"/>
        </w:rPr>
        <w:lastRenderedPageBreak/>
        <w:t>Πίνακας 13. Απόκριση αποτελεσματικότητας σε ελεγχόμενη με εικονικό φάρμακο μελέτη nr-axSpA I</w:t>
      </w:r>
    </w:p>
    <w:p w14:paraId="6B428E2F" w14:textId="77777777" w:rsidR="00171824" w:rsidRDefault="00171824">
      <w:pPr>
        <w:keepNext/>
        <w:widowControl/>
        <w:kinsoku w:val="0"/>
        <w:overflowPunct w:val="0"/>
        <w:rPr>
          <w:sz w:val="22"/>
          <w:szCs w:val="22"/>
          <w:lang w:val="el-GR"/>
        </w:rPr>
      </w:pPr>
    </w:p>
    <w:tbl>
      <w:tblPr>
        <w:tblW w:w="5000" w:type="pct"/>
        <w:tblLook w:val="04A0" w:firstRow="1" w:lastRow="0" w:firstColumn="1" w:lastColumn="0" w:noHBand="0" w:noVBand="1"/>
      </w:tblPr>
      <w:tblGrid>
        <w:gridCol w:w="3860"/>
        <w:gridCol w:w="2381"/>
        <w:gridCol w:w="2820"/>
      </w:tblGrid>
      <w:tr w:rsidR="00171824" w14:paraId="4411E4D5" w14:textId="77777777">
        <w:trPr>
          <w:trHeight w:val="20"/>
          <w:tblHeader/>
        </w:trPr>
        <w:tc>
          <w:tcPr>
            <w:tcW w:w="2130" w:type="pct"/>
            <w:tcBorders>
              <w:top w:val="single" w:sz="4" w:space="0" w:color="000000"/>
              <w:left w:val="single" w:sz="4" w:space="0" w:color="000000"/>
              <w:bottom w:val="single" w:sz="4" w:space="0" w:color="000000"/>
              <w:right w:val="single" w:sz="4" w:space="0" w:color="000000"/>
            </w:tcBorders>
          </w:tcPr>
          <w:p w14:paraId="73557FC8" w14:textId="77777777" w:rsidR="00171824" w:rsidRDefault="006D258C">
            <w:pPr>
              <w:pStyle w:val="TableParagraph"/>
              <w:widowControl/>
              <w:kinsoku w:val="0"/>
              <w:overflowPunct w:val="0"/>
              <w:rPr>
                <w:rFonts w:eastAsia="MS Mincho"/>
                <w:sz w:val="22"/>
                <w:szCs w:val="22"/>
                <w:lang w:val="el-GR"/>
              </w:rPr>
            </w:pPr>
            <w:r>
              <w:rPr>
                <w:rFonts w:eastAsia="MS Mincho"/>
                <w:b/>
                <w:bCs/>
                <w:sz w:val="22"/>
                <w:szCs w:val="22"/>
                <w:lang w:val="el-GR"/>
              </w:rPr>
              <w:t>Διπλά-τυφλή</w:t>
            </w:r>
          </w:p>
          <w:p w14:paraId="32140C46" w14:textId="77777777" w:rsidR="00171824" w:rsidRDefault="006D258C">
            <w:pPr>
              <w:pStyle w:val="TableParagraph"/>
              <w:widowControl/>
              <w:kinsoku w:val="0"/>
              <w:overflowPunct w:val="0"/>
              <w:rPr>
                <w:rFonts w:eastAsia="MS Mincho"/>
                <w:sz w:val="22"/>
                <w:lang w:val="el-GR"/>
              </w:rPr>
            </w:pPr>
            <w:r>
              <w:rPr>
                <w:rFonts w:eastAsia="MS Mincho"/>
                <w:b/>
                <w:bCs/>
                <w:sz w:val="22"/>
                <w:szCs w:val="22"/>
                <w:lang w:val="el-GR"/>
              </w:rPr>
              <w:t>ανταπόκριση στην εβδομάδα 12</w:t>
            </w:r>
          </w:p>
        </w:tc>
        <w:tc>
          <w:tcPr>
            <w:tcW w:w="1314" w:type="pct"/>
            <w:tcBorders>
              <w:top w:val="single" w:sz="4" w:space="0" w:color="000000"/>
              <w:left w:val="single" w:sz="4" w:space="0" w:color="000000"/>
              <w:bottom w:val="single" w:sz="4" w:space="0" w:color="000000"/>
              <w:right w:val="single" w:sz="4" w:space="0" w:color="000000"/>
            </w:tcBorders>
          </w:tcPr>
          <w:p w14:paraId="4627B392" w14:textId="77777777" w:rsidR="00171824" w:rsidRDefault="006D258C">
            <w:pPr>
              <w:pStyle w:val="TableParagraph"/>
              <w:widowControl/>
              <w:kinsoku w:val="0"/>
              <w:overflowPunct w:val="0"/>
              <w:jc w:val="center"/>
              <w:rPr>
                <w:rFonts w:eastAsia="MS Mincho"/>
                <w:sz w:val="22"/>
                <w:lang w:val="el-GR"/>
              </w:rPr>
            </w:pPr>
            <w:r>
              <w:rPr>
                <w:rFonts w:eastAsia="MS Mincho"/>
                <w:b/>
                <w:bCs/>
                <w:sz w:val="22"/>
                <w:szCs w:val="22"/>
                <w:lang w:val="el-GR"/>
              </w:rPr>
              <w:t>Εικονικό φάρμακο N=94</w:t>
            </w:r>
          </w:p>
        </w:tc>
        <w:tc>
          <w:tcPr>
            <w:tcW w:w="1556" w:type="pct"/>
            <w:tcBorders>
              <w:top w:val="single" w:sz="4" w:space="0" w:color="000000"/>
              <w:left w:val="single" w:sz="4" w:space="0" w:color="000000"/>
              <w:bottom w:val="single" w:sz="4" w:space="0" w:color="000000"/>
              <w:right w:val="single" w:sz="4" w:space="0" w:color="000000"/>
            </w:tcBorders>
          </w:tcPr>
          <w:p w14:paraId="7C20AF38" w14:textId="77777777" w:rsidR="00171824" w:rsidRDefault="006D258C">
            <w:pPr>
              <w:pStyle w:val="TableParagraph"/>
              <w:widowControl/>
              <w:kinsoku w:val="0"/>
              <w:overflowPunct w:val="0"/>
              <w:jc w:val="center"/>
              <w:rPr>
                <w:rFonts w:eastAsia="MS Mincho"/>
                <w:b/>
                <w:bCs/>
                <w:sz w:val="22"/>
                <w:szCs w:val="22"/>
                <w:lang w:val="el-GR"/>
              </w:rPr>
            </w:pPr>
            <w:r>
              <w:rPr>
                <w:rFonts w:eastAsia="MS Mincho"/>
                <w:b/>
                <w:bCs/>
                <w:sz w:val="22"/>
                <w:szCs w:val="22"/>
                <w:lang w:val="el-GR"/>
              </w:rPr>
              <w:t>Adalimumab</w:t>
            </w:r>
          </w:p>
          <w:p w14:paraId="0CEEE69E" w14:textId="77777777" w:rsidR="00171824" w:rsidRDefault="006D258C">
            <w:pPr>
              <w:pStyle w:val="TableParagraph"/>
              <w:widowControl/>
              <w:kinsoku w:val="0"/>
              <w:overflowPunct w:val="0"/>
              <w:jc w:val="center"/>
              <w:rPr>
                <w:rFonts w:eastAsia="MS Mincho"/>
                <w:sz w:val="22"/>
                <w:lang w:val="el-GR"/>
              </w:rPr>
            </w:pPr>
            <w:r>
              <w:rPr>
                <w:rFonts w:eastAsia="MS Mincho"/>
                <w:b/>
                <w:bCs/>
                <w:sz w:val="22"/>
                <w:szCs w:val="22"/>
                <w:lang w:val="el-GR"/>
              </w:rPr>
              <w:t>N=91</w:t>
            </w:r>
          </w:p>
        </w:tc>
      </w:tr>
      <w:tr w:rsidR="00171824" w14:paraId="3DE69800"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7D84AA60"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ASAS</w:t>
            </w:r>
            <w:r>
              <w:rPr>
                <w:rFonts w:eastAsia="MS Mincho"/>
                <w:sz w:val="22"/>
                <w:szCs w:val="22"/>
                <w:vertAlign w:val="superscript"/>
                <w:lang w:val="el-GR"/>
              </w:rPr>
              <w:t>a</w:t>
            </w:r>
            <w:r>
              <w:rPr>
                <w:rFonts w:eastAsia="MS Mincho"/>
                <w:position w:val="10"/>
                <w:sz w:val="14"/>
                <w:szCs w:val="14"/>
                <w:lang w:val="el-GR"/>
              </w:rPr>
              <w:t xml:space="preserve"> </w:t>
            </w:r>
            <w:r>
              <w:rPr>
                <w:rFonts w:eastAsia="MS Mincho"/>
                <w:sz w:val="22"/>
                <w:szCs w:val="22"/>
                <w:lang w:val="el-GR"/>
              </w:rPr>
              <w:t>40</w:t>
            </w:r>
          </w:p>
        </w:tc>
        <w:tc>
          <w:tcPr>
            <w:tcW w:w="1314" w:type="pct"/>
            <w:tcBorders>
              <w:top w:val="single" w:sz="4" w:space="0" w:color="000000"/>
              <w:left w:val="single" w:sz="4" w:space="0" w:color="000000"/>
              <w:bottom w:val="single" w:sz="4" w:space="0" w:color="000000"/>
              <w:right w:val="single" w:sz="4" w:space="0" w:color="000000"/>
            </w:tcBorders>
          </w:tcPr>
          <w:p w14:paraId="65890D66"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15%</w:t>
            </w:r>
          </w:p>
        </w:tc>
        <w:tc>
          <w:tcPr>
            <w:tcW w:w="1556" w:type="pct"/>
            <w:tcBorders>
              <w:top w:val="single" w:sz="4" w:space="0" w:color="000000"/>
              <w:left w:val="single" w:sz="4" w:space="0" w:color="000000"/>
              <w:bottom w:val="single" w:sz="4" w:space="0" w:color="000000"/>
              <w:right w:val="single" w:sz="4" w:space="0" w:color="000000"/>
            </w:tcBorders>
          </w:tcPr>
          <w:p w14:paraId="55D3EAE1"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36%***</w:t>
            </w:r>
          </w:p>
        </w:tc>
      </w:tr>
      <w:tr w:rsidR="00171824" w14:paraId="1284F94D"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5261FECE"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ASAS 20</w:t>
            </w:r>
          </w:p>
        </w:tc>
        <w:tc>
          <w:tcPr>
            <w:tcW w:w="1314" w:type="pct"/>
            <w:tcBorders>
              <w:top w:val="single" w:sz="4" w:space="0" w:color="000000"/>
              <w:left w:val="single" w:sz="4" w:space="0" w:color="000000"/>
              <w:bottom w:val="single" w:sz="4" w:space="0" w:color="000000"/>
              <w:right w:val="single" w:sz="4" w:space="0" w:color="000000"/>
            </w:tcBorders>
          </w:tcPr>
          <w:p w14:paraId="147917A1"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31%</w:t>
            </w:r>
          </w:p>
        </w:tc>
        <w:tc>
          <w:tcPr>
            <w:tcW w:w="1556" w:type="pct"/>
            <w:tcBorders>
              <w:top w:val="single" w:sz="4" w:space="0" w:color="000000"/>
              <w:left w:val="single" w:sz="4" w:space="0" w:color="000000"/>
              <w:bottom w:val="single" w:sz="4" w:space="0" w:color="000000"/>
              <w:right w:val="single" w:sz="4" w:space="0" w:color="000000"/>
            </w:tcBorders>
          </w:tcPr>
          <w:p w14:paraId="048C3975"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52%**</w:t>
            </w:r>
          </w:p>
        </w:tc>
      </w:tr>
      <w:tr w:rsidR="00171824" w14:paraId="406F6A93"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125CB081"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ASAS 5/6</w:t>
            </w:r>
          </w:p>
        </w:tc>
        <w:tc>
          <w:tcPr>
            <w:tcW w:w="1314" w:type="pct"/>
            <w:tcBorders>
              <w:top w:val="single" w:sz="4" w:space="0" w:color="000000"/>
              <w:left w:val="single" w:sz="4" w:space="0" w:color="000000"/>
              <w:bottom w:val="single" w:sz="4" w:space="0" w:color="000000"/>
              <w:right w:val="single" w:sz="4" w:space="0" w:color="000000"/>
            </w:tcBorders>
          </w:tcPr>
          <w:p w14:paraId="08EBFAD1"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6%</w:t>
            </w:r>
          </w:p>
        </w:tc>
        <w:tc>
          <w:tcPr>
            <w:tcW w:w="1556" w:type="pct"/>
            <w:tcBorders>
              <w:top w:val="single" w:sz="4" w:space="0" w:color="000000"/>
              <w:left w:val="single" w:sz="4" w:space="0" w:color="000000"/>
              <w:bottom w:val="single" w:sz="4" w:space="0" w:color="000000"/>
              <w:right w:val="single" w:sz="4" w:space="0" w:color="000000"/>
            </w:tcBorders>
          </w:tcPr>
          <w:p w14:paraId="6001CF02"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31%***</w:t>
            </w:r>
          </w:p>
        </w:tc>
      </w:tr>
      <w:tr w:rsidR="00171824" w14:paraId="7B84BDD6"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0D5863FE"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ASAS Μερική Ύφεση</w:t>
            </w:r>
          </w:p>
        </w:tc>
        <w:tc>
          <w:tcPr>
            <w:tcW w:w="1314" w:type="pct"/>
            <w:tcBorders>
              <w:top w:val="single" w:sz="4" w:space="0" w:color="000000"/>
              <w:left w:val="single" w:sz="4" w:space="0" w:color="000000"/>
              <w:bottom w:val="single" w:sz="4" w:space="0" w:color="000000"/>
              <w:right w:val="single" w:sz="4" w:space="0" w:color="000000"/>
            </w:tcBorders>
          </w:tcPr>
          <w:p w14:paraId="1300D1E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5%</w:t>
            </w:r>
          </w:p>
        </w:tc>
        <w:tc>
          <w:tcPr>
            <w:tcW w:w="1556" w:type="pct"/>
            <w:tcBorders>
              <w:top w:val="single" w:sz="4" w:space="0" w:color="000000"/>
              <w:left w:val="single" w:sz="4" w:space="0" w:color="000000"/>
              <w:bottom w:val="single" w:sz="4" w:space="0" w:color="000000"/>
              <w:right w:val="single" w:sz="4" w:space="0" w:color="000000"/>
            </w:tcBorders>
          </w:tcPr>
          <w:p w14:paraId="21816176"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16%*</w:t>
            </w:r>
          </w:p>
        </w:tc>
      </w:tr>
      <w:tr w:rsidR="00171824" w14:paraId="22B39E9E"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2E73B002"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BASDAI</w:t>
            </w:r>
            <w:r>
              <w:rPr>
                <w:rFonts w:eastAsia="MS Mincho"/>
                <w:sz w:val="22"/>
                <w:szCs w:val="22"/>
                <w:vertAlign w:val="superscript"/>
                <w:lang w:val="el-GR"/>
              </w:rPr>
              <w:t>b</w:t>
            </w:r>
            <w:r>
              <w:rPr>
                <w:rFonts w:eastAsia="MS Mincho"/>
                <w:sz w:val="22"/>
                <w:szCs w:val="22"/>
                <w:lang w:val="el-GR"/>
              </w:rPr>
              <w:t xml:space="preserve"> 50</w:t>
            </w:r>
          </w:p>
        </w:tc>
        <w:tc>
          <w:tcPr>
            <w:tcW w:w="1314" w:type="pct"/>
            <w:tcBorders>
              <w:top w:val="single" w:sz="4" w:space="0" w:color="000000"/>
              <w:left w:val="single" w:sz="4" w:space="0" w:color="000000"/>
              <w:bottom w:val="single" w:sz="4" w:space="0" w:color="000000"/>
              <w:right w:val="single" w:sz="4" w:space="0" w:color="000000"/>
            </w:tcBorders>
          </w:tcPr>
          <w:p w14:paraId="2733FA8B"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15%</w:t>
            </w:r>
          </w:p>
        </w:tc>
        <w:tc>
          <w:tcPr>
            <w:tcW w:w="1556" w:type="pct"/>
            <w:tcBorders>
              <w:top w:val="single" w:sz="4" w:space="0" w:color="000000"/>
              <w:left w:val="single" w:sz="4" w:space="0" w:color="000000"/>
              <w:bottom w:val="single" w:sz="4" w:space="0" w:color="000000"/>
              <w:right w:val="single" w:sz="4" w:space="0" w:color="000000"/>
            </w:tcBorders>
          </w:tcPr>
          <w:p w14:paraId="101F7AB8"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35%**</w:t>
            </w:r>
          </w:p>
        </w:tc>
      </w:tr>
      <w:tr w:rsidR="00171824" w14:paraId="474352A3"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5FD8C899"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 xml:space="preserve">ASDAS </w:t>
            </w:r>
            <w:r>
              <w:rPr>
                <w:rFonts w:eastAsia="MS Mincho"/>
                <w:sz w:val="22"/>
                <w:szCs w:val="22"/>
                <w:vertAlign w:val="superscript"/>
                <w:lang w:val="el-GR"/>
              </w:rPr>
              <w:t>c,d,e</w:t>
            </w:r>
          </w:p>
        </w:tc>
        <w:tc>
          <w:tcPr>
            <w:tcW w:w="1314" w:type="pct"/>
            <w:tcBorders>
              <w:top w:val="single" w:sz="4" w:space="0" w:color="000000"/>
              <w:left w:val="single" w:sz="4" w:space="0" w:color="000000"/>
              <w:bottom w:val="single" w:sz="4" w:space="0" w:color="000000"/>
              <w:right w:val="single" w:sz="4" w:space="0" w:color="000000"/>
            </w:tcBorders>
          </w:tcPr>
          <w:p w14:paraId="1A946E13"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-0,3</w:t>
            </w:r>
          </w:p>
        </w:tc>
        <w:tc>
          <w:tcPr>
            <w:tcW w:w="1556" w:type="pct"/>
            <w:tcBorders>
              <w:top w:val="single" w:sz="4" w:space="0" w:color="000000"/>
              <w:left w:val="single" w:sz="4" w:space="0" w:color="000000"/>
              <w:bottom w:val="single" w:sz="4" w:space="0" w:color="000000"/>
              <w:right w:val="single" w:sz="4" w:space="0" w:color="000000"/>
            </w:tcBorders>
          </w:tcPr>
          <w:p w14:paraId="4B4F963C"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-1,0***</w:t>
            </w:r>
          </w:p>
        </w:tc>
      </w:tr>
      <w:tr w:rsidR="00171824" w14:paraId="2A8306E2"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7CC6250E"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ASDAS Ανενεργή Νόσος</w:t>
            </w:r>
          </w:p>
        </w:tc>
        <w:tc>
          <w:tcPr>
            <w:tcW w:w="1314" w:type="pct"/>
            <w:tcBorders>
              <w:top w:val="single" w:sz="4" w:space="0" w:color="000000"/>
              <w:left w:val="single" w:sz="4" w:space="0" w:color="000000"/>
              <w:bottom w:val="single" w:sz="4" w:space="0" w:color="000000"/>
              <w:right w:val="single" w:sz="4" w:space="0" w:color="000000"/>
            </w:tcBorders>
          </w:tcPr>
          <w:p w14:paraId="5888953A"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4%</w:t>
            </w:r>
          </w:p>
        </w:tc>
        <w:tc>
          <w:tcPr>
            <w:tcW w:w="1556" w:type="pct"/>
            <w:tcBorders>
              <w:top w:val="single" w:sz="4" w:space="0" w:color="000000"/>
              <w:left w:val="single" w:sz="4" w:space="0" w:color="000000"/>
              <w:bottom w:val="single" w:sz="4" w:space="0" w:color="000000"/>
              <w:right w:val="single" w:sz="4" w:space="0" w:color="000000"/>
            </w:tcBorders>
          </w:tcPr>
          <w:p w14:paraId="0AD1B7C0"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24%***</w:t>
            </w:r>
          </w:p>
        </w:tc>
      </w:tr>
      <w:tr w:rsidR="00171824" w14:paraId="0C3842AD"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7FABE689" w14:textId="77777777" w:rsidR="00171824" w:rsidRDefault="006D258C">
            <w:pPr>
              <w:pStyle w:val="TableParagraph"/>
              <w:widowControl/>
              <w:kinsoku w:val="0"/>
              <w:overflowPunct w:val="0"/>
              <w:rPr>
                <w:rFonts w:eastAsia="MS Mincho"/>
                <w:sz w:val="22"/>
                <w:lang w:val="el-GR"/>
              </w:rPr>
            </w:pPr>
            <w:r>
              <w:rPr>
                <w:rFonts w:eastAsia="MS Mincho"/>
                <w:sz w:val="22"/>
                <w:szCs w:val="22"/>
                <w:lang w:val="el-GR"/>
              </w:rPr>
              <w:t xml:space="preserve">hs-CRP </w:t>
            </w:r>
            <w:r>
              <w:rPr>
                <w:rFonts w:eastAsia="MS Mincho"/>
                <w:sz w:val="22"/>
                <w:szCs w:val="22"/>
                <w:vertAlign w:val="superscript"/>
                <w:lang w:val="el-GR"/>
              </w:rPr>
              <w:t>d,f,g</w:t>
            </w:r>
          </w:p>
        </w:tc>
        <w:tc>
          <w:tcPr>
            <w:tcW w:w="1314" w:type="pct"/>
            <w:tcBorders>
              <w:top w:val="single" w:sz="4" w:space="0" w:color="000000"/>
              <w:left w:val="single" w:sz="4" w:space="0" w:color="000000"/>
              <w:bottom w:val="single" w:sz="4" w:space="0" w:color="000000"/>
              <w:right w:val="single" w:sz="4" w:space="0" w:color="000000"/>
            </w:tcBorders>
          </w:tcPr>
          <w:p w14:paraId="00B81F31"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-0,3</w:t>
            </w:r>
          </w:p>
        </w:tc>
        <w:tc>
          <w:tcPr>
            <w:tcW w:w="1556" w:type="pct"/>
            <w:tcBorders>
              <w:top w:val="single" w:sz="4" w:space="0" w:color="000000"/>
              <w:left w:val="single" w:sz="4" w:space="0" w:color="000000"/>
              <w:bottom w:val="single" w:sz="4" w:space="0" w:color="000000"/>
              <w:right w:val="single" w:sz="4" w:space="0" w:color="000000"/>
            </w:tcBorders>
          </w:tcPr>
          <w:p w14:paraId="3291535F"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-4,7***</w:t>
            </w:r>
          </w:p>
        </w:tc>
      </w:tr>
      <w:tr w:rsidR="00171824" w14:paraId="1409FD91"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656299AF" w14:textId="77777777" w:rsidR="00171824" w:rsidRPr="00E10827" w:rsidRDefault="006D258C">
            <w:pPr>
              <w:pStyle w:val="TableParagraph"/>
              <w:widowControl/>
              <w:kinsoku w:val="0"/>
              <w:overflowPunct w:val="0"/>
              <w:rPr>
                <w:rFonts w:eastAsia="MS Mincho"/>
                <w:sz w:val="22"/>
                <w:lang w:val="el-GR"/>
              </w:rPr>
            </w:pPr>
            <w:r>
              <w:rPr>
                <w:rFonts w:eastAsia="MS Mincho"/>
                <w:sz w:val="22"/>
                <w:szCs w:val="22"/>
              </w:rPr>
              <w:t>SPARCC</w:t>
            </w:r>
            <w:r>
              <w:rPr>
                <w:rFonts w:eastAsia="MS Mincho"/>
                <w:sz w:val="22"/>
                <w:szCs w:val="22"/>
                <w:vertAlign w:val="superscript"/>
              </w:rPr>
              <w:t>h</w:t>
            </w:r>
            <w:r w:rsidRPr="00E10827">
              <w:rPr>
                <w:rFonts w:eastAsia="MS Mincho"/>
                <w:sz w:val="22"/>
                <w:szCs w:val="22"/>
                <w:lang w:val="el-GR"/>
              </w:rPr>
              <w:t xml:space="preserve"> </w:t>
            </w:r>
            <w:r>
              <w:rPr>
                <w:rFonts w:eastAsia="MS Mincho"/>
                <w:sz w:val="22"/>
                <w:szCs w:val="22"/>
              </w:rPr>
              <w:t>MRI</w:t>
            </w:r>
            <w:r w:rsidRPr="00E10827">
              <w:rPr>
                <w:rFonts w:eastAsia="MS Mincho"/>
                <w:sz w:val="22"/>
                <w:szCs w:val="22"/>
                <w:lang w:val="el-GR"/>
              </w:rPr>
              <w:t xml:space="preserve"> </w:t>
            </w:r>
            <w:r>
              <w:rPr>
                <w:rFonts w:eastAsia="MS Mincho"/>
                <w:sz w:val="22"/>
                <w:szCs w:val="22"/>
                <w:lang w:val="el-GR"/>
              </w:rPr>
              <w:t>Ιερολαγόνιων</w:t>
            </w:r>
            <w:r w:rsidRPr="00E10827">
              <w:rPr>
                <w:rFonts w:eastAsia="MS Mincho"/>
                <w:sz w:val="22"/>
                <w:szCs w:val="22"/>
                <w:lang w:val="el-GR"/>
              </w:rPr>
              <w:t xml:space="preserve"> </w:t>
            </w:r>
            <w:r>
              <w:rPr>
                <w:rFonts w:eastAsia="MS Mincho"/>
                <w:sz w:val="22"/>
                <w:szCs w:val="22"/>
                <w:lang w:val="el-GR"/>
              </w:rPr>
              <w:t>αρθρώσεων</w:t>
            </w:r>
            <w:r w:rsidRPr="00E10827">
              <w:rPr>
                <w:rFonts w:eastAsia="MS Mincho"/>
                <w:sz w:val="22"/>
                <w:szCs w:val="22"/>
                <w:lang w:val="el-GR"/>
              </w:rPr>
              <w:t xml:space="preserve"> </w:t>
            </w:r>
            <w:r>
              <w:rPr>
                <w:rFonts w:eastAsia="MS Mincho"/>
                <w:sz w:val="22"/>
                <w:szCs w:val="22"/>
                <w:vertAlign w:val="superscript"/>
              </w:rPr>
              <w:t>d</w:t>
            </w:r>
            <w:r w:rsidRPr="00E10827">
              <w:rPr>
                <w:rFonts w:eastAsia="MS Mincho"/>
                <w:sz w:val="22"/>
                <w:szCs w:val="22"/>
                <w:vertAlign w:val="superscript"/>
                <w:lang w:val="el-GR"/>
              </w:rPr>
              <w:t>,</w:t>
            </w:r>
            <w:r>
              <w:rPr>
                <w:rFonts w:eastAsia="MS Mincho"/>
                <w:sz w:val="22"/>
                <w:szCs w:val="22"/>
                <w:vertAlign w:val="superscript"/>
              </w:rPr>
              <w:t>i</w:t>
            </w:r>
          </w:p>
        </w:tc>
        <w:tc>
          <w:tcPr>
            <w:tcW w:w="1314" w:type="pct"/>
            <w:tcBorders>
              <w:top w:val="single" w:sz="4" w:space="0" w:color="000000"/>
              <w:left w:val="single" w:sz="4" w:space="0" w:color="000000"/>
              <w:bottom w:val="single" w:sz="4" w:space="0" w:color="000000"/>
              <w:right w:val="single" w:sz="4" w:space="0" w:color="000000"/>
            </w:tcBorders>
          </w:tcPr>
          <w:p w14:paraId="12AEC4ED"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-0,6</w:t>
            </w:r>
          </w:p>
        </w:tc>
        <w:tc>
          <w:tcPr>
            <w:tcW w:w="1556" w:type="pct"/>
            <w:tcBorders>
              <w:top w:val="single" w:sz="4" w:space="0" w:color="000000"/>
              <w:left w:val="single" w:sz="4" w:space="0" w:color="000000"/>
              <w:bottom w:val="single" w:sz="4" w:space="0" w:color="000000"/>
              <w:right w:val="single" w:sz="4" w:space="0" w:color="000000"/>
            </w:tcBorders>
          </w:tcPr>
          <w:p w14:paraId="55C57AEF"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-3,2**</w:t>
            </w:r>
          </w:p>
        </w:tc>
      </w:tr>
      <w:tr w:rsidR="00171824" w14:paraId="2AEE13EB" w14:textId="77777777">
        <w:trPr>
          <w:trHeight w:val="20"/>
        </w:trPr>
        <w:tc>
          <w:tcPr>
            <w:tcW w:w="2130" w:type="pct"/>
            <w:tcBorders>
              <w:top w:val="single" w:sz="4" w:space="0" w:color="000000"/>
              <w:left w:val="single" w:sz="4" w:space="0" w:color="000000"/>
              <w:bottom w:val="single" w:sz="4" w:space="0" w:color="000000"/>
              <w:right w:val="single" w:sz="4" w:space="0" w:color="000000"/>
            </w:tcBorders>
          </w:tcPr>
          <w:p w14:paraId="5E5155E0" w14:textId="77777777" w:rsidR="00171824" w:rsidRPr="00E10827" w:rsidRDefault="006D258C">
            <w:pPr>
              <w:pStyle w:val="TableParagraph"/>
              <w:widowControl/>
              <w:kinsoku w:val="0"/>
              <w:overflowPunct w:val="0"/>
              <w:rPr>
                <w:rFonts w:eastAsia="MS Mincho"/>
                <w:sz w:val="22"/>
                <w:lang w:val="el-GR"/>
              </w:rPr>
            </w:pPr>
            <w:r>
              <w:rPr>
                <w:rFonts w:eastAsia="MS Mincho"/>
                <w:sz w:val="22"/>
                <w:szCs w:val="22"/>
              </w:rPr>
              <w:t>SPARCC</w:t>
            </w:r>
            <w:r w:rsidRPr="00E10827">
              <w:rPr>
                <w:rFonts w:eastAsia="MS Mincho"/>
                <w:sz w:val="22"/>
                <w:szCs w:val="22"/>
                <w:lang w:val="el-GR"/>
              </w:rPr>
              <w:t xml:space="preserve"> </w:t>
            </w:r>
            <w:r>
              <w:rPr>
                <w:rFonts w:eastAsia="MS Mincho"/>
                <w:sz w:val="22"/>
                <w:szCs w:val="22"/>
              </w:rPr>
              <w:t>MRI</w:t>
            </w:r>
            <w:r w:rsidRPr="00E10827">
              <w:rPr>
                <w:rFonts w:eastAsia="MS Mincho"/>
                <w:sz w:val="22"/>
                <w:szCs w:val="22"/>
                <w:lang w:val="el-GR"/>
              </w:rPr>
              <w:t xml:space="preserve"> </w:t>
            </w:r>
            <w:r>
              <w:rPr>
                <w:rFonts w:eastAsia="MS Mincho"/>
                <w:sz w:val="22"/>
                <w:szCs w:val="22"/>
                <w:lang w:val="el-GR"/>
              </w:rPr>
              <w:t>Σπονδυλικής</w:t>
            </w:r>
            <w:r w:rsidRPr="00E10827">
              <w:rPr>
                <w:rFonts w:eastAsia="MS Mincho"/>
                <w:sz w:val="22"/>
                <w:szCs w:val="22"/>
                <w:lang w:val="el-GR"/>
              </w:rPr>
              <w:t xml:space="preserve"> </w:t>
            </w:r>
            <w:r>
              <w:rPr>
                <w:rFonts w:eastAsia="MS Mincho"/>
                <w:sz w:val="22"/>
                <w:szCs w:val="22"/>
                <w:lang w:val="el-GR"/>
              </w:rPr>
              <w:t>στήλης</w:t>
            </w:r>
            <w:r w:rsidRPr="00E10827">
              <w:rPr>
                <w:rFonts w:eastAsia="MS Mincho"/>
                <w:sz w:val="22"/>
                <w:szCs w:val="22"/>
                <w:lang w:val="el-GR"/>
              </w:rPr>
              <w:t xml:space="preserve"> </w:t>
            </w:r>
            <w:r>
              <w:rPr>
                <w:rFonts w:eastAsia="MS Mincho"/>
                <w:sz w:val="22"/>
                <w:szCs w:val="22"/>
                <w:vertAlign w:val="superscript"/>
              </w:rPr>
              <w:t>d</w:t>
            </w:r>
            <w:r w:rsidRPr="00E10827">
              <w:rPr>
                <w:rFonts w:eastAsia="MS Mincho"/>
                <w:sz w:val="22"/>
                <w:szCs w:val="22"/>
                <w:vertAlign w:val="superscript"/>
                <w:lang w:val="el-GR"/>
              </w:rPr>
              <w:t>,</w:t>
            </w:r>
            <w:r>
              <w:rPr>
                <w:rFonts w:eastAsia="MS Mincho"/>
                <w:sz w:val="22"/>
                <w:szCs w:val="22"/>
                <w:vertAlign w:val="superscript"/>
              </w:rPr>
              <w:t>j</w:t>
            </w:r>
          </w:p>
        </w:tc>
        <w:tc>
          <w:tcPr>
            <w:tcW w:w="1314" w:type="pct"/>
            <w:tcBorders>
              <w:top w:val="single" w:sz="4" w:space="0" w:color="000000"/>
              <w:left w:val="single" w:sz="4" w:space="0" w:color="000000"/>
              <w:bottom w:val="single" w:sz="4" w:space="0" w:color="000000"/>
              <w:right w:val="single" w:sz="4" w:space="0" w:color="000000"/>
            </w:tcBorders>
          </w:tcPr>
          <w:p w14:paraId="71586709"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-0,2</w:t>
            </w:r>
          </w:p>
        </w:tc>
        <w:tc>
          <w:tcPr>
            <w:tcW w:w="1556" w:type="pct"/>
            <w:tcBorders>
              <w:top w:val="single" w:sz="4" w:space="0" w:color="000000"/>
              <w:left w:val="single" w:sz="4" w:space="0" w:color="000000"/>
              <w:bottom w:val="single" w:sz="4" w:space="0" w:color="000000"/>
              <w:right w:val="single" w:sz="4" w:space="0" w:color="000000"/>
            </w:tcBorders>
          </w:tcPr>
          <w:p w14:paraId="6775BD5A" w14:textId="77777777" w:rsidR="00171824" w:rsidRDefault="006D258C">
            <w:pPr>
              <w:pStyle w:val="TableParagraph"/>
              <w:widowControl/>
              <w:kinsoku w:val="0"/>
              <w:overflowPunct w:val="0"/>
              <w:jc w:val="center"/>
              <w:rPr>
                <w:rFonts w:eastAsia="MS Mincho"/>
                <w:sz w:val="22"/>
                <w:lang w:val="el-GR"/>
              </w:rPr>
            </w:pPr>
            <w:r>
              <w:rPr>
                <w:rFonts w:eastAsia="MS Mincho"/>
                <w:sz w:val="22"/>
                <w:szCs w:val="22"/>
                <w:lang w:val="el-GR"/>
              </w:rPr>
              <w:t>-1,8**</w:t>
            </w:r>
          </w:p>
        </w:tc>
      </w:tr>
    </w:tbl>
    <w:p w14:paraId="0A7ED945"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a</w:t>
      </w:r>
      <w:r>
        <w:rPr>
          <w:sz w:val="20"/>
          <w:szCs w:val="20"/>
          <w:lang w:val="el-GR"/>
        </w:rPr>
        <w:tab/>
        <w:t>ASAS = Διεθνής Εταιρεία Αξιολόγησης Σπονδυλαρθρίτιδας</w:t>
      </w:r>
    </w:p>
    <w:p w14:paraId="3F61D6B3"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b</w:t>
      </w:r>
      <w:r>
        <w:rPr>
          <w:sz w:val="20"/>
          <w:szCs w:val="20"/>
          <w:lang w:val="el-GR"/>
        </w:rPr>
        <w:tab/>
        <w:t>BASDAI = Δείκτης Ενεργότητας Αγκυλοποιητικής Σπονδυλίτιδας του Bath</w:t>
      </w:r>
    </w:p>
    <w:p w14:paraId="2776786E"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c</w:t>
      </w:r>
      <w:r>
        <w:rPr>
          <w:sz w:val="20"/>
          <w:szCs w:val="20"/>
          <w:lang w:val="el-GR"/>
        </w:rPr>
        <w:tab/>
        <w:t>ASDAS = Kλίμακα ενεργότητας της νόσου της Αγκυλοποιητικής Σπονδυλίτιδας</w:t>
      </w:r>
    </w:p>
    <w:p w14:paraId="06F6E0EB"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d</w:t>
      </w:r>
      <w:r>
        <w:rPr>
          <w:sz w:val="20"/>
          <w:szCs w:val="20"/>
          <w:lang w:val="el-GR"/>
        </w:rPr>
        <w:tab/>
        <w:t>μέση μεταβολή από την αρχική τιμή</w:t>
      </w:r>
    </w:p>
    <w:p w14:paraId="481F3963"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e</w:t>
      </w:r>
      <w:r>
        <w:rPr>
          <w:sz w:val="20"/>
          <w:szCs w:val="20"/>
          <w:lang w:val="el-GR"/>
        </w:rPr>
        <w:tab/>
        <w:t xml:space="preserve">n=91 εικονικό φάρμακο και n=87 adalimumab </w:t>
      </w:r>
    </w:p>
    <w:p w14:paraId="70E976A2"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f</w:t>
      </w:r>
      <w:r>
        <w:rPr>
          <w:sz w:val="20"/>
          <w:szCs w:val="20"/>
          <w:lang w:val="el-GR"/>
        </w:rPr>
        <w:tab/>
        <w:t>Υψηλής Ευαισθησίας C-αντιδρώσα πρωτεΐνη (mg/l)</w:t>
      </w:r>
    </w:p>
    <w:p w14:paraId="477925BA"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g</w:t>
      </w:r>
      <w:r>
        <w:rPr>
          <w:sz w:val="20"/>
          <w:szCs w:val="20"/>
          <w:lang w:val="el-GR"/>
        </w:rPr>
        <w:tab/>
        <w:t xml:space="preserve">n=73 εικονικό φάρμακο και n=70 adalimumab </w:t>
      </w:r>
    </w:p>
    <w:p w14:paraId="0DA93A99"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h</w:t>
      </w:r>
      <w:r>
        <w:rPr>
          <w:sz w:val="20"/>
          <w:szCs w:val="20"/>
          <w:lang w:val="el-GR"/>
        </w:rPr>
        <w:tab/>
        <w:t>Καναδική Κοινοπραξία Έρευνας της Σπονδυλαρθρίτιδας</w:t>
      </w:r>
    </w:p>
    <w:p w14:paraId="3039B3E2"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i</w:t>
      </w:r>
      <w:r>
        <w:rPr>
          <w:sz w:val="20"/>
          <w:szCs w:val="20"/>
          <w:lang w:val="el-GR"/>
        </w:rPr>
        <w:tab/>
        <w:t xml:space="preserve">n=84 εικονικό φάρμακο και adalimumab </w:t>
      </w:r>
    </w:p>
    <w:p w14:paraId="30B6B6B3"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j</w:t>
      </w:r>
      <w:r>
        <w:rPr>
          <w:sz w:val="20"/>
          <w:szCs w:val="20"/>
          <w:lang w:val="el-GR"/>
        </w:rPr>
        <w:tab/>
        <w:t xml:space="preserve">n=82 εικονικό φάρμακο και n=85 adalimumab </w:t>
      </w:r>
    </w:p>
    <w:p w14:paraId="6C8BC372" w14:textId="77777777" w:rsidR="00171824" w:rsidRDefault="006D258C">
      <w:pPr>
        <w:pStyle w:val="BodyText"/>
        <w:widowControl/>
        <w:kinsoku w:val="0"/>
        <w:overflowPunct w:val="0"/>
        <w:ind w:left="0"/>
        <w:rPr>
          <w:sz w:val="20"/>
          <w:szCs w:val="20"/>
          <w:lang w:val="el-GR"/>
        </w:rPr>
      </w:pPr>
      <w:r>
        <w:rPr>
          <w:sz w:val="20"/>
          <w:szCs w:val="20"/>
          <w:lang w:val="el-GR"/>
        </w:rPr>
        <w:t>***, **, * Στατιστικά σημαντικό με p &lt; 0,001, &lt; 0,01, και &lt; 0,05, αντίστοιχα, για όλες τις συγκρίσεις μεταξύ adalimumab και εικονικού φαρμάκου.</w:t>
      </w:r>
    </w:p>
    <w:p w14:paraId="48D5E520" w14:textId="77777777" w:rsidR="00171824" w:rsidRDefault="00171824">
      <w:pPr>
        <w:widowControl/>
        <w:kinsoku w:val="0"/>
        <w:overflowPunct w:val="0"/>
        <w:rPr>
          <w:sz w:val="22"/>
          <w:szCs w:val="22"/>
          <w:lang w:val="el-GR"/>
        </w:rPr>
      </w:pPr>
    </w:p>
    <w:p w14:paraId="50C3C814" w14:textId="77777777" w:rsidR="00171824" w:rsidRDefault="006D258C">
      <w:pPr>
        <w:pStyle w:val="BodyText"/>
        <w:widowControl/>
        <w:kinsoku w:val="0"/>
        <w:overflowPunct w:val="0"/>
        <w:ind w:left="0"/>
        <w:rPr>
          <w:lang w:val="el-GR"/>
        </w:rPr>
      </w:pPr>
      <w:r>
        <w:rPr>
          <w:lang w:val="el-GR"/>
        </w:rPr>
        <w:t>Στην ανοιχτή μελέτη επέκτασης, με τη θεραπεία με το adalimumab η βελτίωση των σημείων και συμπτωμάτων διατηρήθηκε έως την εβδομάδα 156.</w:t>
      </w:r>
    </w:p>
    <w:p w14:paraId="01DF7DBD" w14:textId="77777777" w:rsidR="00171824" w:rsidRDefault="00171824">
      <w:pPr>
        <w:widowControl/>
        <w:kinsoku w:val="0"/>
        <w:overflowPunct w:val="0"/>
        <w:rPr>
          <w:sz w:val="22"/>
          <w:szCs w:val="22"/>
          <w:lang w:val="el-GR"/>
        </w:rPr>
      </w:pPr>
    </w:p>
    <w:p w14:paraId="75E7604C" w14:textId="77777777" w:rsidR="00171824" w:rsidRDefault="006D258C">
      <w:pPr>
        <w:pStyle w:val="BodyText"/>
        <w:widowControl/>
        <w:kinsoku w:val="0"/>
        <w:overflowPunct w:val="0"/>
        <w:ind w:left="0"/>
        <w:rPr>
          <w:u w:val="single"/>
          <w:lang w:val="el-GR"/>
        </w:rPr>
      </w:pPr>
      <w:r>
        <w:rPr>
          <w:u w:val="single"/>
          <w:lang w:val="el-GR"/>
        </w:rPr>
        <w:t>Αναστολή της φλεγμονής</w:t>
      </w:r>
    </w:p>
    <w:p w14:paraId="48663CFF" w14:textId="77777777" w:rsidR="00171824" w:rsidRDefault="00171824">
      <w:pPr>
        <w:widowControl/>
        <w:kinsoku w:val="0"/>
        <w:overflowPunct w:val="0"/>
        <w:rPr>
          <w:sz w:val="22"/>
          <w:szCs w:val="22"/>
          <w:lang w:val="el-GR"/>
        </w:rPr>
      </w:pPr>
    </w:p>
    <w:p w14:paraId="153ED715" w14:textId="77777777" w:rsidR="00171824" w:rsidRDefault="006D258C">
      <w:pPr>
        <w:pStyle w:val="BodyText"/>
        <w:widowControl/>
        <w:kinsoku w:val="0"/>
        <w:overflowPunct w:val="0"/>
        <w:ind w:left="0"/>
        <w:rPr>
          <w:lang w:val="el-GR"/>
        </w:rPr>
      </w:pPr>
      <w:r>
        <w:rPr>
          <w:lang w:val="el-GR"/>
        </w:rPr>
        <w:t>Σημαντική βελτίωση των σημείων της φλεγμονής, όπως μετράται με την hs-CRP και τη μαγνητική τομογραφία των Ιερολαγόνιων αρθρώσεων και της Σπονδυλικής στήλης, διατηρήθηκε στους ασθενείς που έλαβαν adalimumab έως την εβδομάδα 156 και την εβδομάδα 104, αντίστοιχα.</w:t>
      </w:r>
    </w:p>
    <w:p w14:paraId="26CE0F4E" w14:textId="77777777" w:rsidR="00171824" w:rsidRDefault="00171824">
      <w:pPr>
        <w:widowControl/>
        <w:kinsoku w:val="0"/>
        <w:overflowPunct w:val="0"/>
        <w:rPr>
          <w:sz w:val="22"/>
          <w:szCs w:val="22"/>
          <w:lang w:val="el-GR"/>
        </w:rPr>
      </w:pPr>
    </w:p>
    <w:p w14:paraId="4A2DF289" w14:textId="77777777" w:rsidR="00171824" w:rsidRDefault="006D258C">
      <w:pPr>
        <w:pStyle w:val="BodyText"/>
        <w:widowControl/>
        <w:kinsoku w:val="0"/>
        <w:overflowPunct w:val="0"/>
        <w:ind w:left="0"/>
        <w:rPr>
          <w:u w:val="single"/>
          <w:lang w:val="el-GR"/>
        </w:rPr>
      </w:pPr>
      <w:r>
        <w:rPr>
          <w:u w:val="single"/>
          <w:lang w:val="el-GR"/>
        </w:rPr>
        <w:t>Ποιότητα ζωής και λειτουργικότητα</w:t>
      </w:r>
    </w:p>
    <w:p w14:paraId="5FBE4B62" w14:textId="77777777" w:rsidR="00171824" w:rsidRDefault="00171824">
      <w:pPr>
        <w:widowControl/>
        <w:kinsoku w:val="0"/>
        <w:overflowPunct w:val="0"/>
        <w:rPr>
          <w:sz w:val="22"/>
          <w:szCs w:val="22"/>
          <w:lang w:val="el-GR"/>
        </w:rPr>
      </w:pPr>
    </w:p>
    <w:p w14:paraId="225ED1BC" w14:textId="77777777" w:rsidR="00171824" w:rsidRDefault="006D258C">
      <w:pPr>
        <w:pStyle w:val="BodyText"/>
        <w:widowControl/>
        <w:kinsoku w:val="0"/>
        <w:overflowPunct w:val="0"/>
        <w:ind w:left="0"/>
        <w:rPr>
          <w:lang w:val="el-GR"/>
        </w:rPr>
      </w:pPr>
      <w:r>
        <w:rPr>
          <w:lang w:val="el-GR"/>
        </w:rPr>
        <w:t>Η ποιότητα ζωής σχετιζόμενη με την υγεία και τη λειτουργικότητα αξιολογήθηκαν χρησιμοποιώντας τα ερωτηματολόγια HAQ-S και SF-36. Το adalimumab παρουσίασε στατιστικά σημαντικά μεγαλύτερη βελτίωση στο συνολικό αποτέλεσμα του HAQ-S και στο αποτέλεσμα σωματικής παραμέτρου του SF</w:t>
      </w:r>
      <w:r>
        <w:rPr>
          <w:lang w:val="el-GR"/>
        </w:rPr>
        <w:noBreakHyphen/>
        <w:t>36 (PCS) από την έναρξη έως την εβδομάδα 12 συγκριτικά με το εικονικό φάρμακο. Η βελτίωση της σχετιζόμενης με την υγεία ποιότητας ζωής και λειτουργικότητας διατηρήθηκε κατά τη διάρκεια της ανοιχτής επέκτασης έως την εβδομάδα 156.</w:t>
      </w:r>
    </w:p>
    <w:p w14:paraId="2AA0D8B0" w14:textId="77777777" w:rsidR="00171824" w:rsidRDefault="00171824">
      <w:pPr>
        <w:widowControl/>
        <w:kinsoku w:val="0"/>
        <w:overflowPunct w:val="0"/>
        <w:rPr>
          <w:sz w:val="22"/>
          <w:szCs w:val="22"/>
          <w:lang w:val="el-GR"/>
        </w:rPr>
      </w:pPr>
    </w:p>
    <w:p w14:paraId="77A5A509" w14:textId="77777777" w:rsidR="00171824" w:rsidRDefault="006D258C">
      <w:pPr>
        <w:keepNext/>
        <w:suppressAutoHyphens/>
        <w:rPr>
          <w:sz w:val="22"/>
          <w:szCs w:val="22"/>
          <w:lang w:val="el-GR"/>
        </w:rPr>
      </w:pPr>
      <w:r>
        <w:rPr>
          <w:sz w:val="22"/>
          <w:szCs w:val="22"/>
          <w:lang w:val="el-GR"/>
        </w:rPr>
        <w:t>Μελέτη nr-axSpA II</w:t>
      </w:r>
    </w:p>
    <w:p w14:paraId="28B946F4" w14:textId="77777777" w:rsidR="00171824" w:rsidRDefault="00171824">
      <w:pPr>
        <w:keepNext/>
        <w:widowControl/>
        <w:kinsoku w:val="0"/>
        <w:overflowPunct w:val="0"/>
        <w:rPr>
          <w:sz w:val="22"/>
          <w:szCs w:val="22"/>
          <w:lang w:val="el-GR"/>
        </w:rPr>
      </w:pPr>
    </w:p>
    <w:p w14:paraId="66E3BBB5" w14:textId="77777777" w:rsidR="00171824" w:rsidRDefault="006D258C">
      <w:pPr>
        <w:widowControl/>
        <w:kinsoku w:val="0"/>
        <w:overflowPunct w:val="0"/>
        <w:rPr>
          <w:sz w:val="22"/>
          <w:szCs w:val="22"/>
          <w:lang w:val="el-GR"/>
        </w:rPr>
      </w:pPr>
      <w:r>
        <w:rPr>
          <w:sz w:val="22"/>
          <w:szCs w:val="22"/>
          <w:lang w:val="el-GR"/>
        </w:rPr>
        <w:t xml:space="preserve">673 ασθενείς με ενεργή nr-axSpA (μέση βασική δραστηριότητα της νόσου [BASDAI] ήταν 7,0) οι οποίοι είχαν ανεπαρκή απόκριση σε </w:t>
      </w:r>
      <w:r>
        <w:rPr>
          <w:szCs w:val="22"/>
          <w:lang w:val="el-GR"/>
        </w:rPr>
        <w:t>≥ </w:t>
      </w:r>
      <w:r>
        <w:rPr>
          <w:sz w:val="22"/>
          <w:szCs w:val="22"/>
          <w:lang w:val="el-GR"/>
        </w:rPr>
        <w:t xml:space="preserve">2 NSAIDs ή δυσανεξία ή αντένδειξη για τα ΜΣΑΦ που εγγράφηκαν στην ανοιχτή περίοδο της μελέτης nr-axSpA II κατά τη διάρκεια της οποίας έλαβαν adalimumab 40 mg κάθε δεύτερη εβδομάδα για 28 εβδομάδες. Οι ασθενείς αυτοί είχαν επίσης αντικειμενικές ενδείξεις φλεγμονής στις ιερολαγόνιες αρθρώσεις ή στη σπονδυλική στήλη σε MRI ή αυξημένη hs-CRP. Οι ασθενείς που επέτυχαν διαρκή ύφεση για τουλάχιστον 12 εβδομάδες (N = 305) (ASDAS &lt;1,3 στις εβδομάδες 16, 20, 24 και 28) κατά τη διάρκεια της ανοιχτής περιόδου, τυχαιοποιήθηκαν για να λάβουν είτε συνεχιζόμενη θεραπεία με adalimumab 40 mg κάθε δεύτερη εβδομάδα Ν = 152) ή εικονικό φάρμακο (Ν = 153) για επιπλέον 40 εβδομάδες σε μια διπλά τυφλή, </w:t>
      </w:r>
      <w:r>
        <w:rPr>
          <w:sz w:val="22"/>
          <w:szCs w:val="22"/>
          <w:lang w:val="el-GR"/>
        </w:rPr>
        <w:lastRenderedPageBreak/>
        <w:t>ελεγχόμενη με εικονικό φάρμακο περίοδο (συνολική διάρκεια μελέτης 68 εβδομάδες). Στα άτομα που εμφάνισαν φλεγμονή κατά τη διάρκεια της διπλά τυφλής περιόδου χορηγήθηκε αγωγή διάσωσης με adalimumab 40 mg κάθε δεύτερη εβδομάδα για τουλάχιστον 12 εβδομάδες.</w:t>
      </w:r>
    </w:p>
    <w:p w14:paraId="49A4EA04" w14:textId="77777777" w:rsidR="00171824" w:rsidRDefault="00171824">
      <w:pPr>
        <w:widowControl/>
        <w:kinsoku w:val="0"/>
        <w:overflowPunct w:val="0"/>
        <w:rPr>
          <w:sz w:val="22"/>
          <w:szCs w:val="22"/>
          <w:lang w:val="el-GR"/>
        </w:rPr>
      </w:pPr>
    </w:p>
    <w:p w14:paraId="56B27E6F" w14:textId="77777777" w:rsidR="00171824" w:rsidRDefault="006D258C">
      <w:pPr>
        <w:widowControl/>
        <w:kinsoku w:val="0"/>
        <w:overflowPunct w:val="0"/>
        <w:rPr>
          <w:sz w:val="22"/>
          <w:szCs w:val="22"/>
          <w:lang w:val="el-GR"/>
        </w:rPr>
      </w:pPr>
      <w:r>
        <w:rPr>
          <w:sz w:val="22"/>
          <w:szCs w:val="22"/>
          <w:lang w:val="el-GR"/>
        </w:rPr>
        <w:t>Το κύριο τελικό σημείο αποτελεσματικότητας ήταν το ποσοστό των ασθενών που δεν εμφάνιζαν φλεγμονή έως την εβδομάδα 68 της μελέτης. Η φλεγμονή ορίζεται ως ASDAS ≥ 2,1 σε δύο διαδοχικές επισκέψεις σε διάστημα τεσσάρων εβδομάδων. Μεγαλύτερη αναλογία ασθενών που έλαβαν adalimumab δεν εμφάνισαν έξαρσηκατά τη διάρκεια της διπλά τυφλής περιόδου, σε σύγκριση με εκείνη του εικονικού φαρμάκου (70,4% έναντι 47,1%, p &lt; 0,001) (εικόνα 1).</w:t>
      </w:r>
    </w:p>
    <w:p w14:paraId="18A94025" w14:textId="77777777" w:rsidR="00171824" w:rsidRDefault="00171824">
      <w:pPr>
        <w:widowControl/>
        <w:kinsoku w:val="0"/>
        <w:overflowPunct w:val="0"/>
        <w:rPr>
          <w:sz w:val="22"/>
          <w:szCs w:val="22"/>
          <w:lang w:val="el-GR"/>
        </w:rPr>
      </w:pPr>
    </w:p>
    <w:p w14:paraId="300E7A6C" w14:textId="77777777" w:rsidR="00171824" w:rsidRDefault="006D258C">
      <w:pPr>
        <w:keepNext/>
        <w:widowControl/>
        <w:suppressAutoHyphens/>
        <w:rPr>
          <w:b/>
          <w:sz w:val="22"/>
          <w:szCs w:val="22"/>
          <w:lang w:val="el-GR"/>
        </w:rPr>
      </w:pPr>
      <w:r>
        <w:rPr>
          <w:b/>
          <w:sz w:val="22"/>
          <w:szCs w:val="22"/>
          <w:lang w:val="el-GR"/>
        </w:rPr>
        <w:t>Σχήμα 1. Καμπύλες Kaplan-Meier που συνοψίζουν το χρόνο έως την αποτυχία της θεραπείας στη μελέτη nr-axSpA II</w:t>
      </w:r>
    </w:p>
    <w:p w14:paraId="367B56CE" w14:textId="77777777" w:rsidR="00171824" w:rsidRDefault="00171824">
      <w:pPr>
        <w:keepNext/>
        <w:widowControl/>
        <w:kinsoku w:val="0"/>
        <w:overflowPunct w:val="0"/>
        <w:rPr>
          <w:i/>
          <w:iCs/>
          <w:sz w:val="22"/>
          <w:szCs w:val="22"/>
          <w:lang w:val="el-GR"/>
        </w:rPr>
      </w:pPr>
    </w:p>
    <w:tbl>
      <w:tblPr>
        <w:tblW w:w="9073" w:type="dxa"/>
        <w:tblLayout w:type="fixed"/>
        <w:tblLook w:val="04A0" w:firstRow="1" w:lastRow="0" w:firstColumn="1" w:lastColumn="0" w:noHBand="0" w:noVBand="1"/>
      </w:tblPr>
      <w:tblGrid>
        <w:gridCol w:w="894"/>
        <w:gridCol w:w="8179"/>
      </w:tblGrid>
      <w:tr w:rsidR="00171824" w14:paraId="7E67FF69" w14:textId="77777777">
        <w:trPr>
          <w:cantSplit/>
          <w:trHeight w:val="1134"/>
        </w:trPr>
        <w:tc>
          <w:tcPr>
            <w:tcW w:w="894" w:type="dxa"/>
            <w:textDirection w:val="btLr"/>
            <w:vAlign w:val="center"/>
          </w:tcPr>
          <w:p w14:paraId="34BDE0F2" w14:textId="77777777" w:rsidR="00171824" w:rsidRDefault="006D258C">
            <w:pPr>
              <w:keepNext/>
              <w:widowControl/>
              <w:tabs>
                <w:tab w:val="left" w:pos="562"/>
              </w:tabs>
              <w:suppressAutoHyphens/>
              <w:autoSpaceDE/>
              <w:autoSpaceDN/>
              <w:adjustRightInd/>
              <w:ind w:left="113" w:right="113"/>
              <w:jc w:val="center"/>
              <w:rPr>
                <w:sz w:val="22"/>
                <w:szCs w:val="22"/>
                <w:lang w:val="el-GR"/>
              </w:rPr>
            </w:pPr>
            <w:r>
              <w:rPr>
                <w:b/>
                <w:sz w:val="22"/>
                <w:szCs w:val="22"/>
                <w:lang w:val="el-GR"/>
              </w:rPr>
              <w:t>ΠΙΘΑΝΌΤΗΤΑ ΑΠΟΤΥΧΙΑΣ ΤΗΣ ΘΕΡΑΠΕΊΑΣ</w:t>
            </w:r>
          </w:p>
        </w:tc>
        <w:tc>
          <w:tcPr>
            <w:tcW w:w="8179" w:type="dxa"/>
          </w:tcPr>
          <w:p w14:paraId="736B8205" w14:textId="05A3C023" w:rsidR="00171824" w:rsidRDefault="009039B7">
            <w:pPr>
              <w:keepNext/>
              <w:widowControl/>
              <w:tabs>
                <w:tab w:val="left" w:pos="562"/>
              </w:tabs>
              <w:suppressAutoHyphens/>
              <w:autoSpaceDE/>
              <w:autoSpaceDN/>
              <w:adjustRightInd/>
              <w:jc w:val="center"/>
              <w:rPr>
                <w:b/>
                <w:sz w:val="22"/>
                <w:szCs w:val="22"/>
                <w:lang w:val="el-GR"/>
              </w:rPr>
            </w:pPr>
            <w:r>
              <w:rPr>
                <w:noProof/>
                <w:lang w:val="el-GR" w:eastAsia="zh-CN"/>
              </w:rPr>
              <w:drawing>
                <wp:inline distT="0" distB="0" distL="0" distR="0" wp14:anchorId="48356C39" wp14:editId="1DCABC3A">
                  <wp:extent cx="5120640" cy="2840355"/>
                  <wp:effectExtent l="0" t="0" r="0" b="0"/>
                  <wp:docPr id="7" name="Picture 61" descr="A graph of a number of pati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graph of a number of patient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0640" cy="2840355"/>
                          </a:xfrm>
                          <a:prstGeom prst="rect">
                            <a:avLst/>
                          </a:prstGeom>
                          <a:noFill/>
                          <a:ln>
                            <a:noFill/>
                          </a:ln>
                        </pic:spPr>
                      </pic:pic>
                    </a:graphicData>
                  </a:graphic>
                </wp:inline>
              </w:drawing>
            </w:r>
          </w:p>
        </w:tc>
      </w:tr>
      <w:tr w:rsidR="00171824" w14:paraId="3367DE22" w14:textId="77777777">
        <w:trPr>
          <w:cantSplit/>
          <w:trHeight w:val="74"/>
        </w:trPr>
        <w:tc>
          <w:tcPr>
            <w:tcW w:w="894" w:type="dxa"/>
            <w:vAlign w:val="center"/>
          </w:tcPr>
          <w:p w14:paraId="76BE5A40" w14:textId="77777777" w:rsidR="00171824" w:rsidRDefault="00171824">
            <w:pPr>
              <w:keepNext/>
              <w:widowControl/>
              <w:tabs>
                <w:tab w:val="left" w:pos="562"/>
              </w:tabs>
              <w:suppressAutoHyphens/>
              <w:autoSpaceDE/>
              <w:autoSpaceDN/>
              <w:adjustRightInd/>
              <w:jc w:val="center"/>
              <w:rPr>
                <w:b/>
                <w:sz w:val="22"/>
                <w:szCs w:val="22"/>
                <w:lang w:val="el-GR"/>
              </w:rPr>
            </w:pPr>
          </w:p>
        </w:tc>
        <w:tc>
          <w:tcPr>
            <w:tcW w:w="8179" w:type="dxa"/>
          </w:tcPr>
          <w:p w14:paraId="7F9933DF" w14:textId="77777777" w:rsidR="00171824" w:rsidRDefault="006D258C">
            <w:pPr>
              <w:keepNext/>
              <w:widowControl/>
              <w:tabs>
                <w:tab w:val="left" w:pos="562"/>
              </w:tabs>
              <w:suppressAutoHyphens/>
              <w:autoSpaceDE/>
              <w:autoSpaceDN/>
              <w:adjustRightInd/>
              <w:jc w:val="center"/>
              <w:rPr>
                <w:sz w:val="22"/>
                <w:szCs w:val="22"/>
                <w:lang w:val="el-GR" w:eastAsia="zh-CN"/>
              </w:rPr>
            </w:pPr>
            <w:r>
              <w:rPr>
                <w:b/>
                <w:sz w:val="22"/>
                <w:szCs w:val="22"/>
                <w:lang w:val="el-GR"/>
              </w:rPr>
              <w:t>ΧΡΟΝΟΣ (ΕΒΔΟΜΑΔΕΣ)</w:t>
            </w:r>
          </w:p>
        </w:tc>
      </w:tr>
      <w:tr w:rsidR="00171824" w:rsidRPr="00A07F46" w14:paraId="48995A3B" w14:textId="77777777">
        <w:trPr>
          <w:cantSplit/>
          <w:trHeight w:val="74"/>
        </w:trPr>
        <w:tc>
          <w:tcPr>
            <w:tcW w:w="9073" w:type="dxa"/>
            <w:gridSpan w:val="2"/>
            <w:vAlign w:val="center"/>
          </w:tcPr>
          <w:p w14:paraId="32C19C63" w14:textId="5C2B6878" w:rsidR="00171824" w:rsidRDefault="006D258C">
            <w:pPr>
              <w:keepNext/>
              <w:widowControl/>
              <w:tabs>
                <w:tab w:val="left" w:pos="562"/>
              </w:tabs>
              <w:suppressAutoHyphens/>
              <w:autoSpaceDE/>
              <w:autoSpaceDN/>
              <w:adjustRightInd/>
              <w:jc w:val="center"/>
              <w:rPr>
                <w:sz w:val="22"/>
                <w:szCs w:val="22"/>
                <w:lang w:val="el-GR"/>
              </w:rPr>
            </w:pPr>
            <w:r>
              <w:rPr>
                <w:sz w:val="22"/>
                <w:szCs w:val="22"/>
                <w:lang w:val="el-GR"/>
              </w:rPr>
              <w:t>Θεραπεία</w:t>
            </w:r>
            <w:r>
              <w:rPr>
                <w:sz w:val="22"/>
                <w:szCs w:val="22"/>
                <w:lang w:val="el-GR" w:eastAsia="zh-CN"/>
              </w:rPr>
              <w:t xml:space="preserve">       </w:t>
            </w:r>
            <w:r w:rsidR="009039B7">
              <w:rPr>
                <w:noProof/>
                <w:sz w:val="22"/>
                <w:szCs w:val="22"/>
                <w:lang w:val="el-GR" w:eastAsia="zh-CN"/>
              </w:rPr>
              <w:drawing>
                <wp:inline distT="0" distB="0" distL="0" distR="0" wp14:anchorId="443658FB" wp14:editId="730D315B">
                  <wp:extent cx="457200" cy="97155"/>
                  <wp:effectExtent l="0" t="0" r="0" b="0"/>
                  <wp:docPr id="8" name="Picture 60"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umira PED UV KM Curv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 cy="97155"/>
                          </a:xfrm>
                          <a:prstGeom prst="rect">
                            <a:avLst/>
                          </a:prstGeom>
                          <a:noFill/>
                          <a:ln>
                            <a:noFill/>
                          </a:ln>
                        </pic:spPr>
                      </pic:pic>
                    </a:graphicData>
                  </a:graphic>
                </wp:inline>
              </w:drawing>
            </w:r>
            <w:r>
              <w:rPr>
                <w:sz w:val="22"/>
                <w:szCs w:val="22"/>
                <w:lang w:val="el-GR" w:eastAsia="zh-CN"/>
              </w:rPr>
              <w:t xml:space="preserve"> </w:t>
            </w:r>
            <w:r>
              <w:rPr>
                <w:sz w:val="22"/>
                <w:szCs w:val="22"/>
                <w:lang w:val="el-GR"/>
              </w:rPr>
              <w:t xml:space="preserve">Εικονικό φάρμακο     </w:t>
            </w:r>
            <w:r w:rsidR="009039B7">
              <w:rPr>
                <w:noProof/>
                <w:lang w:val="el-GR" w:eastAsia="zh-CN"/>
              </w:rPr>
              <w:drawing>
                <wp:inline distT="0" distB="0" distL="0" distR="0" wp14:anchorId="2701F860" wp14:editId="61D0C90D">
                  <wp:extent cx="457200" cy="97155"/>
                  <wp:effectExtent l="0" t="0" r="0" b="0"/>
                  <wp:docPr id="9" name="Picture 59"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 cy="97155"/>
                          </a:xfrm>
                          <a:prstGeom prst="rect">
                            <a:avLst/>
                          </a:prstGeom>
                          <a:noFill/>
                          <a:ln>
                            <a:noFill/>
                          </a:ln>
                        </pic:spPr>
                      </pic:pic>
                    </a:graphicData>
                  </a:graphic>
                </wp:inline>
              </w:drawing>
            </w:r>
            <w:r>
              <w:rPr>
                <w:sz w:val="22"/>
                <w:szCs w:val="22"/>
                <w:lang w:val="el-GR"/>
              </w:rPr>
              <w:t xml:space="preserve"> Adalimumab     </w:t>
            </w:r>
            <w:r>
              <w:rPr>
                <w:sz w:val="22"/>
                <w:lang w:val="el-GR"/>
              </w:rPr>
              <w:t>∆ Με σήμανση</w:t>
            </w:r>
          </w:p>
        </w:tc>
      </w:tr>
    </w:tbl>
    <w:p w14:paraId="3E276239" w14:textId="77777777" w:rsidR="00171824" w:rsidRDefault="00171824">
      <w:pPr>
        <w:widowControl/>
        <w:kinsoku w:val="0"/>
        <w:overflowPunct w:val="0"/>
        <w:rPr>
          <w:i/>
          <w:iCs/>
          <w:sz w:val="22"/>
          <w:szCs w:val="22"/>
          <w:lang w:val="el-GR"/>
        </w:rPr>
      </w:pPr>
    </w:p>
    <w:p w14:paraId="07F007EA" w14:textId="77777777" w:rsidR="00171824" w:rsidRDefault="006D258C">
      <w:pPr>
        <w:widowControl/>
        <w:kinsoku w:val="0"/>
        <w:overflowPunct w:val="0"/>
        <w:rPr>
          <w:sz w:val="22"/>
          <w:szCs w:val="22"/>
          <w:lang w:val="el-GR"/>
        </w:rPr>
      </w:pPr>
      <w:r>
        <w:rPr>
          <w:sz w:val="22"/>
          <w:szCs w:val="22"/>
          <w:lang w:val="el-GR"/>
        </w:rPr>
        <w:t>Σημείωση: P = Εικονικό φάρμακο (αριθμός υπο κίνδυνο (σε έξαρση) ), A = Adalimumab (αριθμός υπο κίνδυνο (σε έξαρση)).</w:t>
      </w:r>
    </w:p>
    <w:p w14:paraId="1E6C625E" w14:textId="77777777" w:rsidR="00171824" w:rsidRDefault="00171824">
      <w:pPr>
        <w:widowControl/>
        <w:kinsoku w:val="0"/>
        <w:overflowPunct w:val="0"/>
        <w:rPr>
          <w:i/>
          <w:iCs/>
          <w:sz w:val="22"/>
          <w:szCs w:val="22"/>
          <w:lang w:val="el-GR"/>
        </w:rPr>
      </w:pPr>
    </w:p>
    <w:p w14:paraId="3F067921" w14:textId="77777777" w:rsidR="00171824" w:rsidRDefault="006D258C">
      <w:pPr>
        <w:widowControl/>
        <w:kinsoku w:val="0"/>
        <w:overflowPunct w:val="0"/>
        <w:rPr>
          <w:sz w:val="22"/>
          <w:szCs w:val="22"/>
          <w:lang w:val="el-GR"/>
        </w:rPr>
      </w:pPr>
      <w:r>
        <w:rPr>
          <w:sz w:val="22"/>
          <w:szCs w:val="22"/>
          <w:lang w:val="el-GR"/>
        </w:rPr>
        <w:t>Μεταξύ των 68 ασθενών που ήταν σε έξαρση στην ομάδα που αποσύρθηκε η θεραπεία, 65 συμπλήρωσαν 12 εβδομάδες θεραπείας διάσωσης με adalimumab, εκ των οποίων 37 (56,9%) είχαν επανακτήσει ύφεση (ASDAS &lt; 1,3) μετά από 12 εβδομάδες επανεκκίνησης της ανοικτής θεραπείας.</w:t>
      </w:r>
    </w:p>
    <w:p w14:paraId="7661BDAD" w14:textId="77777777" w:rsidR="00171824" w:rsidRDefault="00171824">
      <w:pPr>
        <w:widowControl/>
        <w:kinsoku w:val="0"/>
        <w:overflowPunct w:val="0"/>
        <w:rPr>
          <w:sz w:val="22"/>
          <w:szCs w:val="22"/>
          <w:lang w:val="el-GR"/>
        </w:rPr>
      </w:pPr>
    </w:p>
    <w:p w14:paraId="1EB69C1F" w14:textId="77777777" w:rsidR="00171824" w:rsidRDefault="006D258C">
      <w:pPr>
        <w:widowControl/>
        <w:kinsoku w:val="0"/>
        <w:overflowPunct w:val="0"/>
        <w:rPr>
          <w:sz w:val="22"/>
          <w:szCs w:val="22"/>
          <w:lang w:val="el-GR"/>
        </w:rPr>
      </w:pPr>
      <w:r>
        <w:rPr>
          <w:sz w:val="22"/>
          <w:szCs w:val="22"/>
          <w:lang w:val="el-GR"/>
        </w:rPr>
        <w:t>Μέχρι την εβδομάδα 68, οι ασθενείς που έλαβαν συνεχή αγωγή με adalimumab έδειξαν στατιστικά σημαντική βελτίωση των σημείων και συμπτωμάτων της ενεργής nr-axSpA σε σύγκριση με τους ασθενείς που χορηγήθηκαν στην απόσυρση της θεραπείας κατά τη διάρκεια της διπλά τυφλής περιόδου της μελέτης (πίνακας 14).</w:t>
      </w:r>
    </w:p>
    <w:p w14:paraId="5E9017EB" w14:textId="77777777" w:rsidR="00171824" w:rsidRDefault="00171824">
      <w:pPr>
        <w:widowControl/>
        <w:kinsoku w:val="0"/>
        <w:overflowPunct w:val="0"/>
        <w:rPr>
          <w:i/>
          <w:iCs/>
          <w:sz w:val="22"/>
          <w:szCs w:val="22"/>
          <w:lang w:val="el-GR"/>
        </w:rPr>
      </w:pPr>
    </w:p>
    <w:p w14:paraId="58F27739" w14:textId="77777777" w:rsidR="00171824" w:rsidRDefault="006D258C">
      <w:pPr>
        <w:widowControl/>
        <w:rPr>
          <w:b/>
          <w:sz w:val="22"/>
          <w:szCs w:val="22"/>
          <w:lang w:val="el-GR"/>
        </w:rPr>
      </w:pPr>
      <w:r>
        <w:rPr>
          <w:b/>
          <w:sz w:val="22"/>
          <w:szCs w:val="22"/>
          <w:lang w:val="el-GR"/>
        </w:rPr>
        <w:t>Πίνακας 14. Απόκριση αποτελεσματικότητας σε ελεγχόμενη με εικονικό φάρμακο περίοδο για τη μελέτη nr-axSpA II</w:t>
      </w:r>
    </w:p>
    <w:p w14:paraId="68D4B247" w14:textId="77777777" w:rsidR="00171824" w:rsidRDefault="00171824">
      <w:pPr>
        <w:widowControl/>
        <w:rPr>
          <w:b/>
          <w:sz w:val="22"/>
          <w:lang w:val="el-G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6"/>
        <w:gridCol w:w="2126"/>
        <w:gridCol w:w="1979"/>
      </w:tblGrid>
      <w:tr w:rsidR="00171824" w14:paraId="50380388" w14:textId="77777777">
        <w:trPr>
          <w:tblHeader/>
          <w:jc w:val="center"/>
        </w:trPr>
        <w:tc>
          <w:tcPr>
            <w:tcW w:w="2735" w:type="pct"/>
            <w:tcBorders>
              <w:top w:val="single" w:sz="4" w:space="0" w:color="auto"/>
              <w:left w:val="single" w:sz="4" w:space="0" w:color="auto"/>
              <w:bottom w:val="single" w:sz="4" w:space="0" w:color="auto"/>
              <w:right w:val="single" w:sz="4" w:space="0" w:color="auto"/>
            </w:tcBorders>
          </w:tcPr>
          <w:p w14:paraId="42C82F33" w14:textId="77777777" w:rsidR="00171824" w:rsidRDefault="006D258C">
            <w:pPr>
              <w:widowControl/>
              <w:rPr>
                <w:b/>
                <w:bCs/>
                <w:sz w:val="22"/>
                <w:szCs w:val="22"/>
                <w:lang w:val="el-GR"/>
              </w:rPr>
            </w:pPr>
            <w:r>
              <w:rPr>
                <w:b/>
                <w:sz w:val="22"/>
                <w:szCs w:val="22"/>
                <w:lang w:val="el-GR"/>
              </w:rPr>
              <w:t>Διπλά τυφλή</w:t>
            </w:r>
            <w:r>
              <w:rPr>
                <w:b/>
                <w:sz w:val="22"/>
                <w:szCs w:val="22"/>
                <w:lang w:val="el-GR"/>
              </w:rPr>
              <w:br/>
              <w:t>ανταπόκριση την εβδομάδα 68</w:t>
            </w:r>
          </w:p>
        </w:tc>
        <w:tc>
          <w:tcPr>
            <w:tcW w:w="1173" w:type="pct"/>
            <w:tcBorders>
              <w:top w:val="single" w:sz="4" w:space="0" w:color="auto"/>
              <w:left w:val="single" w:sz="4" w:space="0" w:color="auto"/>
              <w:bottom w:val="single" w:sz="4" w:space="0" w:color="auto"/>
              <w:right w:val="single" w:sz="4" w:space="0" w:color="auto"/>
            </w:tcBorders>
          </w:tcPr>
          <w:p w14:paraId="14C79677" w14:textId="77777777" w:rsidR="00171824" w:rsidRDefault="006D258C">
            <w:pPr>
              <w:widowControl/>
              <w:jc w:val="center"/>
              <w:rPr>
                <w:b/>
                <w:bCs/>
                <w:sz w:val="22"/>
                <w:szCs w:val="22"/>
                <w:lang w:val="el-GR"/>
              </w:rPr>
            </w:pPr>
            <w:r>
              <w:rPr>
                <w:b/>
                <w:bCs/>
                <w:sz w:val="22"/>
                <w:szCs w:val="22"/>
                <w:lang w:val="el-GR"/>
              </w:rPr>
              <w:t>Εικονικό φάρμακο</w:t>
            </w:r>
          </w:p>
          <w:p w14:paraId="47E40C07" w14:textId="77777777" w:rsidR="00171824" w:rsidRDefault="006D258C">
            <w:pPr>
              <w:widowControl/>
              <w:jc w:val="center"/>
              <w:rPr>
                <w:b/>
                <w:bCs/>
                <w:sz w:val="22"/>
                <w:szCs w:val="22"/>
                <w:lang w:val="el-GR"/>
              </w:rPr>
            </w:pPr>
            <w:r>
              <w:rPr>
                <w:b/>
                <w:bCs/>
                <w:sz w:val="22"/>
                <w:szCs w:val="22"/>
                <w:lang w:val="el-GR"/>
              </w:rPr>
              <w:t>N = 153</w:t>
            </w:r>
          </w:p>
        </w:tc>
        <w:tc>
          <w:tcPr>
            <w:tcW w:w="1092" w:type="pct"/>
            <w:tcBorders>
              <w:top w:val="single" w:sz="4" w:space="0" w:color="auto"/>
              <w:left w:val="single" w:sz="4" w:space="0" w:color="auto"/>
              <w:bottom w:val="single" w:sz="4" w:space="0" w:color="auto"/>
              <w:right w:val="single" w:sz="4" w:space="0" w:color="auto"/>
            </w:tcBorders>
          </w:tcPr>
          <w:p w14:paraId="12AE363F" w14:textId="77777777" w:rsidR="00171824" w:rsidRDefault="006D258C">
            <w:pPr>
              <w:widowControl/>
              <w:jc w:val="center"/>
              <w:rPr>
                <w:b/>
                <w:bCs/>
                <w:sz w:val="22"/>
                <w:szCs w:val="22"/>
                <w:lang w:val="el-GR"/>
              </w:rPr>
            </w:pPr>
            <w:r>
              <w:rPr>
                <w:b/>
                <w:bCs/>
                <w:sz w:val="22"/>
                <w:szCs w:val="22"/>
                <w:lang w:val="el-GR"/>
              </w:rPr>
              <w:t>Adalimumab</w:t>
            </w:r>
          </w:p>
          <w:p w14:paraId="4063D039" w14:textId="77777777" w:rsidR="00171824" w:rsidRDefault="006D258C">
            <w:pPr>
              <w:widowControl/>
              <w:jc w:val="center"/>
              <w:rPr>
                <w:b/>
                <w:bCs/>
                <w:sz w:val="22"/>
                <w:szCs w:val="22"/>
                <w:lang w:val="el-GR"/>
              </w:rPr>
            </w:pPr>
            <w:r>
              <w:rPr>
                <w:b/>
                <w:bCs/>
                <w:sz w:val="22"/>
                <w:szCs w:val="22"/>
                <w:lang w:val="el-GR"/>
              </w:rPr>
              <w:t>N = 152</w:t>
            </w:r>
          </w:p>
        </w:tc>
      </w:tr>
      <w:tr w:rsidR="00171824" w14:paraId="468F8ACB" w14:textId="77777777">
        <w:trPr>
          <w:jc w:val="center"/>
        </w:trPr>
        <w:tc>
          <w:tcPr>
            <w:tcW w:w="2735" w:type="pct"/>
            <w:tcBorders>
              <w:top w:val="single" w:sz="4" w:space="0" w:color="auto"/>
              <w:left w:val="single" w:sz="4" w:space="0" w:color="auto"/>
              <w:bottom w:val="single" w:sz="4" w:space="0" w:color="auto"/>
              <w:right w:val="single" w:sz="4" w:space="0" w:color="auto"/>
            </w:tcBorders>
          </w:tcPr>
          <w:p w14:paraId="0FEC56AB" w14:textId="77777777" w:rsidR="00171824" w:rsidRDefault="006D258C">
            <w:pPr>
              <w:widowControl/>
              <w:rPr>
                <w:sz w:val="22"/>
                <w:szCs w:val="22"/>
                <w:lang w:val="el-GR"/>
              </w:rPr>
            </w:pPr>
            <w:r>
              <w:rPr>
                <w:sz w:val="22"/>
                <w:szCs w:val="22"/>
                <w:lang w:val="el-GR"/>
              </w:rPr>
              <w:t>ASAS</w:t>
            </w:r>
            <w:r>
              <w:rPr>
                <w:sz w:val="22"/>
                <w:szCs w:val="22"/>
                <w:vertAlign w:val="superscript"/>
                <w:lang w:val="el-GR"/>
              </w:rPr>
              <w:t>α,β</w:t>
            </w:r>
            <w:r>
              <w:rPr>
                <w:sz w:val="22"/>
                <w:szCs w:val="22"/>
                <w:lang w:val="el-GR"/>
              </w:rPr>
              <w:t xml:space="preserve"> 20</w:t>
            </w:r>
          </w:p>
        </w:tc>
        <w:tc>
          <w:tcPr>
            <w:tcW w:w="1173" w:type="pct"/>
            <w:tcBorders>
              <w:top w:val="single" w:sz="4" w:space="0" w:color="auto"/>
              <w:left w:val="single" w:sz="4" w:space="0" w:color="auto"/>
              <w:bottom w:val="single" w:sz="4" w:space="0" w:color="auto"/>
              <w:right w:val="single" w:sz="4" w:space="0" w:color="auto"/>
            </w:tcBorders>
          </w:tcPr>
          <w:p w14:paraId="78C5A4ED" w14:textId="77777777" w:rsidR="00171824" w:rsidRDefault="006D258C">
            <w:pPr>
              <w:widowControl/>
              <w:jc w:val="center"/>
              <w:rPr>
                <w:sz w:val="22"/>
                <w:szCs w:val="22"/>
                <w:lang w:val="el-GR"/>
              </w:rPr>
            </w:pPr>
            <w:r>
              <w:rPr>
                <w:sz w:val="22"/>
                <w:szCs w:val="22"/>
                <w:lang w:val="el-GR"/>
              </w:rPr>
              <w:t>47,1%</w:t>
            </w:r>
          </w:p>
        </w:tc>
        <w:tc>
          <w:tcPr>
            <w:tcW w:w="1092" w:type="pct"/>
            <w:tcBorders>
              <w:top w:val="single" w:sz="4" w:space="0" w:color="auto"/>
              <w:left w:val="single" w:sz="4" w:space="0" w:color="auto"/>
              <w:bottom w:val="single" w:sz="4" w:space="0" w:color="auto"/>
              <w:right w:val="single" w:sz="4" w:space="0" w:color="auto"/>
            </w:tcBorders>
          </w:tcPr>
          <w:p w14:paraId="51550AE3" w14:textId="77777777" w:rsidR="00171824" w:rsidRDefault="006D258C">
            <w:pPr>
              <w:widowControl/>
              <w:jc w:val="center"/>
              <w:rPr>
                <w:sz w:val="22"/>
                <w:szCs w:val="22"/>
                <w:lang w:val="el-GR"/>
              </w:rPr>
            </w:pPr>
            <w:r>
              <w:rPr>
                <w:sz w:val="22"/>
                <w:szCs w:val="22"/>
                <w:lang w:val="el-GR"/>
              </w:rPr>
              <w:t>70,4%***</w:t>
            </w:r>
          </w:p>
        </w:tc>
      </w:tr>
      <w:tr w:rsidR="00171824" w14:paraId="18D1380A" w14:textId="77777777">
        <w:trPr>
          <w:jc w:val="center"/>
        </w:trPr>
        <w:tc>
          <w:tcPr>
            <w:tcW w:w="2735" w:type="pct"/>
            <w:tcBorders>
              <w:top w:val="single" w:sz="4" w:space="0" w:color="auto"/>
              <w:left w:val="single" w:sz="4" w:space="0" w:color="auto"/>
              <w:bottom w:val="single" w:sz="4" w:space="0" w:color="auto"/>
              <w:right w:val="single" w:sz="4" w:space="0" w:color="auto"/>
            </w:tcBorders>
          </w:tcPr>
          <w:p w14:paraId="0BCC6FE8" w14:textId="77777777" w:rsidR="00171824" w:rsidRDefault="006D258C">
            <w:pPr>
              <w:widowControl/>
              <w:rPr>
                <w:sz w:val="22"/>
                <w:szCs w:val="22"/>
                <w:lang w:val="el-GR"/>
              </w:rPr>
            </w:pPr>
            <w:r>
              <w:rPr>
                <w:sz w:val="22"/>
                <w:szCs w:val="22"/>
                <w:lang w:val="el-GR"/>
              </w:rPr>
              <w:t>ASAS</w:t>
            </w:r>
            <w:r>
              <w:rPr>
                <w:sz w:val="22"/>
                <w:szCs w:val="22"/>
                <w:vertAlign w:val="superscript"/>
                <w:lang w:val="el-GR"/>
              </w:rPr>
              <w:t>α,β</w:t>
            </w:r>
            <w:r>
              <w:rPr>
                <w:sz w:val="22"/>
                <w:szCs w:val="22"/>
                <w:lang w:val="el-GR"/>
              </w:rPr>
              <w:t xml:space="preserve"> 40</w:t>
            </w:r>
          </w:p>
        </w:tc>
        <w:tc>
          <w:tcPr>
            <w:tcW w:w="1173" w:type="pct"/>
            <w:tcBorders>
              <w:top w:val="single" w:sz="4" w:space="0" w:color="auto"/>
              <w:left w:val="single" w:sz="4" w:space="0" w:color="auto"/>
              <w:bottom w:val="single" w:sz="4" w:space="0" w:color="auto"/>
              <w:right w:val="single" w:sz="4" w:space="0" w:color="auto"/>
            </w:tcBorders>
          </w:tcPr>
          <w:p w14:paraId="3CEDC8CF" w14:textId="77777777" w:rsidR="00171824" w:rsidRDefault="006D258C">
            <w:pPr>
              <w:widowControl/>
              <w:jc w:val="center"/>
              <w:rPr>
                <w:sz w:val="22"/>
                <w:szCs w:val="22"/>
                <w:lang w:val="el-GR"/>
              </w:rPr>
            </w:pPr>
            <w:r>
              <w:rPr>
                <w:sz w:val="22"/>
                <w:szCs w:val="22"/>
                <w:lang w:val="el-GR"/>
              </w:rPr>
              <w:t>45,8%</w:t>
            </w:r>
          </w:p>
        </w:tc>
        <w:tc>
          <w:tcPr>
            <w:tcW w:w="1092" w:type="pct"/>
            <w:tcBorders>
              <w:top w:val="single" w:sz="4" w:space="0" w:color="auto"/>
              <w:left w:val="single" w:sz="4" w:space="0" w:color="auto"/>
              <w:bottom w:val="single" w:sz="4" w:space="0" w:color="auto"/>
              <w:right w:val="single" w:sz="4" w:space="0" w:color="auto"/>
            </w:tcBorders>
          </w:tcPr>
          <w:p w14:paraId="093D8984" w14:textId="77777777" w:rsidR="00171824" w:rsidRDefault="006D258C">
            <w:pPr>
              <w:widowControl/>
              <w:jc w:val="center"/>
              <w:rPr>
                <w:sz w:val="22"/>
                <w:szCs w:val="22"/>
                <w:lang w:val="el-GR"/>
              </w:rPr>
            </w:pPr>
            <w:r>
              <w:rPr>
                <w:sz w:val="22"/>
                <w:szCs w:val="22"/>
                <w:lang w:val="el-GR"/>
              </w:rPr>
              <w:t>65,8%***</w:t>
            </w:r>
          </w:p>
        </w:tc>
      </w:tr>
      <w:tr w:rsidR="00171824" w14:paraId="4277F12D" w14:textId="77777777">
        <w:trPr>
          <w:jc w:val="center"/>
        </w:trPr>
        <w:tc>
          <w:tcPr>
            <w:tcW w:w="2735" w:type="pct"/>
            <w:tcBorders>
              <w:top w:val="single" w:sz="4" w:space="0" w:color="auto"/>
              <w:left w:val="single" w:sz="4" w:space="0" w:color="auto"/>
              <w:bottom w:val="single" w:sz="4" w:space="0" w:color="auto"/>
              <w:right w:val="single" w:sz="4" w:space="0" w:color="auto"/>
            </w:tcBorders>
          </w:tcPr>
          <w:p w14:paraId="2D5F9C1E" w14:textId="77777777" w:rsidR="00171824" w:rsidRDefault="006D258C">
            <w:pPr>
              <w:widowControl/>
              <w:rPr>
                <w:sz w:val="22"/>
                <w:szCs w:val="22"/>
                <w:lang w:val="el-GR"/>
              </w:rPr>
            </w:pPr>
            <w:r>
              <w:rPr>
                <w:sz w:val="22"/>
                <w:szCs w:val="22"/>
                <w:lang w:val="el-GR"/>
              </w:rPr>
              <w:t>ASAS</w:t>
            </w:r>
            <w:r>
              <w:rPr>
                <w:sz w:val="22"/>
                <w:szCs w:val="22"/>
                <w:vertAlign w:val="superscript"/>
                <w:lang w:val="el-GR"/>
              </w:rPr>
              <w:t>α</w:t>
            </w:r>
            <w:r>
              <w:rPr>
                <w:sz w:val="22"/>
                <w:szCs w:val="22"/>
                <w:lang w:val="el-GR"/>
              </w:rPr>
              <w:t xml:space="preserve"> Μερική Υφεση</w:t>
            </w:r>
          </w:p>
        </w:tc>
        <w:tc>
          <w:tcPr>
            <w:tcW w:w="1173" w:type="pct"/>
            <w:tcBorders>
              <w:top w:val="single" w:sz="4" w:space="0" w:color="auto"/>
              <w:left w:val="single" w:sz="4" w:space="0" w:color="auto"/>
              <w:bottom w:val="single" w:sz="4" w:space="0" w:color="auto"/>
              <w:right w:val="single" w:sz="4" w:space="0" w:color="auto"/>
            </w:tcBorders>
          </w:tcPr>
          <w:p w14:paraId="47F5057D" w14:textId="77777777" w:rsidR="00171824" w:rsidRDefault="006D258C">
            <w:pPr>
              <w:widowControl/>
              <w:jc w:val="center"/>
              <w:rPr>
                <w:sz w:val="22"/>
                <w:szCs w:val="22"/>
                <w:lang w:val="el-GR"/>
              </w:rPr>
            </w:pPr>
            <w:r>
              <w:rPr>
                <w:sz w:val="22"/>
                <w:szCs w:val="22"/>
                <w:lang w:val="el-GR"/>
              </w:rPr>
              <w:t>26,8%</w:t>
            </w:r>
          </w:p>
        </w:tc>
        <w:tc>
          <w:tcPr>
            <w:tcW w:w="1092" w:type="pct"/>
            <w:tcBorders>
              <w:top w:val="single" w:sz="4" w:space="0" w:color="auto"/>
              <w:left w:val="single" w:sz="4" w:space="0" w:color="auto"/>
              <w:bottom w:val="single" w:sz="4" w:space="0" w:color="auto"/>
              <w:right w:val="single" w:sz="4" w:space="0" w:color="auto"/>
            </w:tcBorders>
          </w:tcPr>
          <w:p w14:paraId="1DE0570B" w14:textId="77777777" w:rsidR="00171824" w:rsidRDefault="006D258C">
            <w:pPr>
              <w:widowControl/>
              <w:jc w:val="center"/>
              <w:rPr>
                <w:sz w:val="22"/>
                <w:szCs w:val="22"/>
                <w:lang w:val="el-GR"/>
              </w:rPr>
            </w:pPr>
            <w:r>
              <w:rPr>
                <w:sz w:val="22"/>
                <w:szCs w:val="22"/>
                <w:lang w:val="el-GR"/>
              </w:rPr>
              <w:t>42,1%**</w:t>
            </w:r>
          </w:p>
        </w:tc>
      </w:tr>
      <w:tr w:rsidR="00171824" w14:paraId="279A9040" w14:textId="77777777">
        <w:trPr>
          <w:jc w:val="center"/>
        </w:trPr>
        <w:tc>
          <w:tcPr>
            <w:tcW w:w="2735" w:type="pct"/>
            <w:tcBorders>
              <w:top w:val="single" w:sz="4" w:space="0" w:color="auto"/>
              <w:left w:val="single" w:sz="4" w:space="0" w:color="auto"/>
              <w:bottom w:val="single" w:sz="4" w:space="0" w:color="auto"/>
              <w:right w:val="single" w:sz="4" w:space="0" w:color="auto"/>
            </w:tcBorders>
          </w:tcPr>
          <w:p w14:paraId="0E6C1D53" w14:textId="77777777" w:rsidR="00171824" w:rsidRDefault="006D258C">
            <w:pPr>
              <w:keepNext/>
              <w:keepLines/>
              <w:widowControl/>
              <w:rPr>
                <w:sz w:val="22"/>
                <w:szCs w:val="22"/>
                <w:lang w:val="el-GR"/>
              </w:rPr>
            </w:pPr>
            <w:r>
              <w:rPr>
                <w:sz w:val="22"/>
                <w:szCs w:val="22"/>
                <w:lang w:val="el-GR"/>
              </w:rPr>
              <w:lastRenderedPageBreak/>
              <w:t>ASDA</w:t>
            </w:r>
            <w:r>
              <w:rPr>
                <w:sz w:val="22"/>
                <w:szCs w:val="22"/>
                <w:vertAlign w:val="superscript"/>
                <w:lang w:val="el-GR"/>
              </w:rPr>
              <w:t>γ</w:t>
            </w:r>
            <w:r>
              <w:rPr>
                <w:sz w:val="22"/>
                <w:szCs w:val="22"/>
                <w:lang w:val="el-GR"/>
              </w:rPr>
              <w:t xml:space="preserve"> Αδρανής Νόσος</w:t>
            </w:r>
          </w:p>
        </w:tc>
        <w:tc>
          <w:tcPr>
            <w:tcW w:w="1173" w:type="pct"/>
            <w:tcBorders>
              <w:top w:val="single" w:sz="4" w:space="0" w:color="auto"/>
              <w:left w:val="single" w:sz="4" w:space="0" w:color="auto"/>
              <w:bottom w:val="single" w:sz="4" w:space="0" w:color="auto"/>
              <w:right w:val="single" w:sz="4" w:space="0" w:color="auto"/>
            </w:tcBorders>
          </w:tcPr>
          <w:p w14:paraId="64ADA1B0" w14:textId="77777777" w:rsidR="00171824" w:rsidRDefault="006D258C">
            <w:pPr>
              <w:keepNext/>
              <w:keepLines/>
              <w:widowControl/>
              <w:jc w:val="center"/>
              <w:rPr>
                <w:sz w:val="22"/>
                <w:szCs w:val="22"/>
                <w:lang w:val="el-GR"/>
              </w:rPr>
            </w:pPr>
            <w:r>
              <w:rPr>
                <w:sz w:val="22"/>
                <w:szCs w:val="22"/>
                <w:lang w:val="el-GR"/>
              </w:rPr>
              <w:t>33,3%</w:t>
            </w:r>
          </w:p>
        </w:tc>
        <w:tc>
          <w:tcPr>
            <w:tcW w:w="1092" w:type="pct"/>
            <w:tcBorders>
              <w:top w:val="single" w:sz="4" w:space="0" w:color="auto"/>
              <w:left w:val="single" w:sz="4" w:space="0" w:color="auto"/>
              <w:bottom w:val="single" w:sz="4" w:space="0" w:color="auto"/>
              <w:right w:val="single" w:sz="4" w:space="0" w:color="auto"/>
            </w:tcBorders>
          </w:tcPr>
          <w:p w14:paraId="7420C10A" w14:textId="77777777" w:rsidR="00171824" w:rsidRDefault="006D258C">
            <w:pPr>
              <w:keepNext/>
              <w:keepLines/>
              <w:widowControl/>
              <w:jc w:val="center"/>
              <w:rPr>
                <w:sz w:val="22"/>
                <w:szCs w:val="22"/>
                <w:lang w:val="el-GR"/>
              </w:rPr>
            </w:pPr>
            <w:r>
              <w:rPr>
                <w:sz w:val="22"/>
                <w:szCs w:val="22"/>
                <w:lang w:val="el-GR"/>
              </w:rPr>
              <w:t>57,2%***</w:t>
            </w:r>
          </w:p>
        </w:tc>
      </w:tr>
      <w:tr w:rsidR="00171824" w14:paraId="6A2D2D5C" w14:textId="77777777">
        <w:trPr>
          <w:jc w:val="center"/>
        </w:trPr>
        <w:tc>
          <w:tcPr>
            <w:tcW w:w="2735" w:type="pct"/>
            <w:tcBorders>
              <w:top w:val="single" w:sz="4" w:space="0" w:color="auto"/>
              <w:left w:val="single" w:sz="4" w:space="0" w:color="auto"/>
              <w:bottom w:val="single" w:sz="4" w:space="0" w:color="auto"/>
              <w:right w:val="single" w:sz="4" w:space="0" w:color="auto"/>
            </w:tcBorders>
          </w:tcPr>
          <w:p w14:paraId="6F9CA537" w14:textId="77777777" w:rsidR="00171824" w:rsidRDefault="006D258C">
            <w:pPr>
              <w:keepNext/>
              <w:keepLines/>
              <w:widowControl/>
              <w:rPr>
                <w:sz w:val="22"/>
                <w:szCs w:val="22"/>
                <w:lang w:val="el-GR"/>
              </w:rPr>
            </w:pPr>
            <w:r>
              <w:rPr>
                <w:sz w:val="22"/>
                <w:szCs w:val="22"/>
                <w:lang w:val="el-GR"/>
              </w:rPr>
              <w:t>Μερική έξαρση</w:t>
            </w:r>
            <w:r>
              <w:rPr>
                <w:sz w:val="22"/>
                <w:szCs w:val="22"/>
                <w:vertAlign w:val="superscript"/>
                <w:lang w:val="el-GR"/>
              </w:rPr>
              <w:t>δ</w:t>
            </w:r>
          </w:p>
        </w:tc>
        <w:tc>
          <w:tcPr>
            <w:tcW w:w="1173" w:type="pct"/>
            <w:tcBorders>
              <w:top w:val="single" w:sz="4" w:space="0" w:color="auto"/>
              <w:left w:val="single" w:sz="4" w:space="0" w:color="auto"/>
              <w:bottom w:val="single" w:sz="4" w:space="0" w:color="auto"/>
              <w:right w:val="single" w:sz="4" w:space="0" w:color="auto"/>
            </w:tcBorders>
          </w:tcPr>
          <w:p w14:paraId="677B1122" w14:textId="77777777" w:rsidR="00171824" w:rsidRDefault="006D258C">
            <w:pPr>
              <w:keepNext/>
              <w:keepLines/>
              <w:widowControl/>
              <w:jc w:val="center"/>
              <w:rPr>
                <w:sz w:val="22"/>
                <w:szCs w:val="22"/>
                <w:lang w:val="el-GR"/>
              </w:rPr>
            </w:pPr>
            <w:r>
              <w:rPr>
                <w:sz w:val="22"/>
                <w:szCs w:val="22"/>
                <w:lang w:val="el-GR"/>
              </w:rPr>
              <w:t>64,1%</w:t>
            </w:r>
          </w:p>
        </w:tc>
        <w:tc>
          <w:tcPr>
            <w:tcW w:w="1092" w:type="pct"/>
            <w:tcBorders>
              <w:top w:val="single" w:sz="4" w:space="0" w:color="auto"/>
              <w:left w:val="single" w:sz="4" w:space="0" w:color="auto"/>
              <w:bottom w:val="single" w:sz="4" w:space="0" w:color="auto"/>
              <w:right w:val="single" w:sz="4" w:space="0" w:color="auto"/>
            </w:tcBorders>
          </w:tcPr>
          <w:p w14:paraId="774D43C1" w14:textId="77777777" w:rsidR="00171824" w:rsidRDefault="006D258C">
            <w:pPr>
              <w:keepNext/>
              <w:keepLines/>
              <w:widowControl/>
              <w:jc w:val="center"/>
              <w:rPr>
                <w:sz w:val="22"/>
                <w:szCs w:val="22"/>
                <w:lang w:val="el-GR"/>
              </w:rPr>
            </w:pPr>
            <w:r>
              <w:rPr>
                <w:sz w:val="22"/>
                <w:szCs w:val="22"/>
                <w:lang w:val="el-GR"/>
              </w:rPr>
              <w:t>40,8%***</w:t>
            </w:r>
          </w:p>
        </w:tc>
      </w:tr>
      <w:tr w:rsidR="00171824" w:rsidRPr="00422380" w14:paraId="081203B7" w14:textId="77777777">
        <w:trPr>
          <w:jc w:val="center"/>
        </w:trPr>
        <w:tc>
          <w:tcPr>
            <w:tcW w:w="5000" w:type="pct"/>
            <w:gridSpan w:val="3"/>
            <w:tcBorders>
              <w:top w:val="single" w:sz="4" w:space="0" w:color="auto"/>
              <w:left w:val="nil"/>
              <w:bottom w:val="nil"/>
              <w:right w:val="nil"/>
            </w:tcBorders>
          </w:tcPr>
          <w:p w14:paraId="62321223" w14:textId="77777777" w:rsidR="00171824" w:rsidRDefault="006D258C">
            <w:pPr>
              <w:keepNext/>
              <w:keepLines/>
              <w:widowControl/>
              <w:tabs>
                <w:tab w:val="left" w:pos="720"/>
              </w:tabs>
              <w:rPr>
                <w:sz w:val="20"/>
                <w:szCs w:val="20"/>
                <w:lang w:val="el-GR"/>
              </w:rPr>
            </w:pPr>
            <w:r>
              <w:rPr>
                <w:sz w:val="20"/>
                <w:szCs w:val="20"/>
                <w:vertAlign w:val="superscript"/>
                <w:lang w:val="el-GR"/>
              </w:rPr>
              <w:t>α</w:t>
            </w:r>
            <w:r>
              <w:rPr>
                <w:sz w:val="20"/>
                <w:szCs w:val="20"/>
                <w:lang w:val="el-GR"/>
              </w:rPr>
              <w:t xml:space="preserve"> Διεθνής Εταιρεία Αξιολόγησης Σπονδυλαρθρίτιδας.</w:t>
            </w:r>
          </w:p>
          <w:p w14:paraId="35EEC240" w14:textId="77777777" w:rsidR="00171824" w:rsidRDefault="006D258C">
            <w:pPr>
              <w:keepNext/>
              <w:keepLines/>
              <w:widowControl/>
              <w:rPr>
                <w:sz w:val="20"/>
                <w:szCs w:val="20"/>
                <w:vertAlign w:val="superscript"/>
                <w:lang w:val="el-GR"/>
              </w:rPr>
            </w:pPr>
            <w:r>
              <w:rPr>
                <w:sz w:val="20"/>
                <w:szCs w:val="20"/>
                <w:vertAlign w:val="superscript"/>
                <w:lang w:val="el-GR"/>
              </w:rPr>
              <w:t>β</w:t>
            </w:r>
            <w:r>
              <w:rPr>
                <w:sz w:val="20"/>
                <w:szCs w:val="20"/>
                <w:lang w:val="el-GR"/>
              </w:rPr>
              <w:t xml:space="preserve"> Το σημείο αναφοράς ορίζεται σαν σημείο αναφοράς ανοιχτής επισήμανσης όταν οι ασθενείς έχουν ενεργή νόσο.</w:t>
            </w:r>
          </w:p>
          <w:p w14:paraId="239EDC8E" w14:textId="77777777" w:rsidR="00171824" w:rsidRDefault="006D258C">
            <w:pPr>
              <w:keepNext/>
              <w:keepLines/>
              <w:widowControl/>
              <w:rPr>
                <w:sz w:val="20"/>
                <w:szCs w:val="20"/>
                <w:vertAlign w:val="superscript"/>
                <w:lang w:val="el-GR"/>
              </w:rPr>
            </w:pPr>
            <w:r>
              <w:rPr>
                <w:sz w:val="20"/>
                <w:szCs w:val="20"/>
                <w:vertAlign w:val="superscript"/>
                <w:lang w:val="el-GR"/>
              </w:rPr>
              <w:t>γ</w:t>
            </w:r>
            <w:r>
              <w:rPr>
                <w:sz w:val="20"/>
                <w:szCs w:val="20"/>
                <w:lang w:val="el-GR"/>
              </w:rPr>
              <w:t xml:space="preserve"> Δείκτης Ενεργότητας Αγκυλοποιητικής Σπονδυλίτιδας.</w:t>
            </w:r>
          </w:p>
          <w:p w14:paraId="207FFC1E" w14:textId="77777777" w:rsidR="00171824" w:rsidRDefault="006D258C">
            <w:pPr>
              <w:keepNext/>
              <w:keepLines/>
              <w:widowControl/>
              <w:tabs>
                <w:tab w:val="left" w:pos="720"/>
              </w:tabs>
              <w:rPr>
                <w:sz w:val="20"/>
                <w:szCs w:val="20"/>
                <w:lang w:val="el-GR"/>
              </w:rPr>
            </w:pPr>
            <w:r>
              <w:rPr>
                <w:sz w:val="20"/>
                <w:szCs w:val="20"/>
                <w:vertAlign w:val="superscript"/>
                <w:lang w:val="el-GR"/>
              </w:rPr>
              <w:t>δ</w:t>
            </w:r>
            <w:r>
              <w:rPr>
                <w:rFonts w:eastAsia="Calibri"/>
                <w:sz w:val="20"/>
                <w:szCs w:val="20"/>
                <w:lang w:val="el-GR"/>
              </w:rPr>
              <w:t>.Μερική έξαρση καθορίζεται ως ASDAS ≥ 1,3 αλλά &lt; 2,1 σε δύο συνεχόμενες επισκέψεις.</w:t>
            </w:r>
          </w:p>
          <w:p w14:paraId="68F7DE24" w14:textId="77777777" w:rsidR="00171824" w:rsidRDefault="006D258C">
            <w:pPr>
              <w:keepNext/>
              <w:keepLines/>
              <w:widowControl/>
              <w:rPr>
                <w:sz w:val="20"/>
                <w:szCs w:val="20"/>
                <w:lang w:val="el-GR"/>
              </w:rPr>
            </w:pPr>
            <w:r>
              <w:rPr>
                <w:sz w:val="20"/>
                <w:szCs w:val="20"/>
                <w:lang w:val="el-GR"/>
              </w:rPr>
              <w:t>***, ** Στατιστικά σημαντικό με p &lt;0,001 και &lt;0,01, αντίστοιχα, για όλες τις συγκρίσεις μεταξύ adalimumab και εικονικού φαρμάκου.</w:t>
            </w:r>
          </w:p>
        </w:tc>
      </w:tr>
    </w:tbl>
    <w:p w14:paraId="362547E4" w14:textId="77777777" w:rsidR="00171824" w:rsidRDefault="00171824">
      <w:pPr>
        <w:widowControl/>
        <w:kinsoku w:val="0"/>
        <w:overflowPunct w:val="0"/>
        <w:rPr>
          <w:i/>
          <w:iCs/>
          <w:sz w:val="22"/>
          <w:szCs w:val="22"/>
          <w:lang w:val="el-GR"/>
        </w:rPr>
      </w:pPr>
    </w:p>
    <w:p w14:paraId="4F43C973" w14:textId="77777777" w:rsidR="00171824" w:rsidRDefault="006D258C">
      <w:pPr>
        <w:keepNext/>
        <w:widowControl/>
        <w:kinsoku w:val="0"/>
        <w:overflowPunct w:val="0"/>
        <w:rPr>
          <w:i/>
          <w:sz w:val="22"/>
          <w:szCs w:val="22"/>
          <w:lang w:val="el-GR"/>
        </w:rPr>
      </w:pPr>
      <w:r>
        <w:rPr>
          <w:i/>
          <w:iCs/>
          <w:sz w:val="22"/>
          <w:szCs w:val="22"/>
          <w:lang w:val="el-GR"/>
        </w:rPr>
        <w:t>Ψωριασική αρθρίτιδα</w:t>
      </w:r>
    </w:p>
    <w:p w14:paraId="76940F86" w14:textId="77777777" w:rsidR="00171824" w:rsidRDefault="00171824">
      <w:pPr>
        <w:keepNext/>
        <w:widowControl/>
        <w:kinsoku w:val="0"/>
        <w:overflowPunct w:val="0"/>
        <w:rPr>
          <w:sz w:val="22"/>
          <w:szCs w:val="22"/>
          <w:lang w:val="el-GR"/>
        </w:rPr>
      </w:pPr>
    </w:p>
    <w:p w14:paraId="29248436" w14:textId="77777777" w:rsidR="00171824" w:rsidRDefault="006D258C">
      <w:pPr>
        <w:pStyle w:val="BodyText"/>
        <w:widowControl/>
        <w:kinsoku w:val="0"/>
        <w:overflowPunct w:val="0"/>
        <w:ind w:left="0"/>
        <w:rPr>
          <w:lang w:val="el-GR"/>
        </w:rPr>
      </w:pPr>
      <w:r>
        <w:rPr>
          <w:lang w:val="el-GR"/>
        </w:rPr>
        <w:t>Η χορήγηση adalimumab 40 mg κάθε δεύτερη εβδομάδα, μελετήθηκε σε ασθενείς με μέτρια έως σοβαρή ενεργό ψωριασική αρθρίτιδα σε δύο ελεγχόμενες με εικονικό φάρμακο μελέτες, τις μελέτες ΨΑ I και II. Στη μελέτη ΨΑ I με διάρκεια 24 εβδομάδων, συμμετείχαν 313 ενήλικες ασθενείς οι οποίοι είχαν ανεπαρκή ανταπόκριση σε θεραπεία με μη στεροειδή αντιφλεγμονώδη και από αυτούς περίπου το 50% λάμβαναν μεθοτρεξάτη. Στη μελέτη ΨΑ II με διάρκεια 12 εβδομάδων συμμετείχαν 100 ασθενείς οι οποίοι είχαν ανεπαρκή ανταπόκριση σε θεραπεία με DMARD. Μετά την ολοκλήρωση και των δύο μελετών, 383 ασθενείς συμμετείχαν σε μία ανοιχτή μελέτη επέκτασης, στην οποία χορηγήθηκαν 40 mg adalimumab κάθε δεύτερη εβδομάδα.</w:t>
      </w:r>
    </w:p>
    <w:p w14:paraId="78F0E142" w14:textId="77777777" w:rsidR="00171824" w:rsidRDefault="00171824">
      <w:pPr>
        <w:widowControl/>
        <w:kinsoku w:val="0"/>
        <w:overflowPunct w:val="0"/>
        <w:rPr>
          <w:sz w:val="22"/>
          <w:szCs w:val="22"/>
          <w:lang w:val="el-GR"/>
        </w:rPr>
      </w:pPr>
    </w:p>
    <w:p w14:paraId="4BFE926B" w14:textId="77777777" w:rsidR="00171824" w:rsidRDefault="006D258C">
      <w:pPr>
        <w:pStyle w:val="BodyText"/>
        <w:widowControl/>
        <w:kinsoku w:val="0"/>
        <w:overflowPunct w:val="0"/>
        <w:ind w:left="0"/>
        <w:rPr>
          <w:lang w:val="el-GR"/>
        </w:rPr>
      </w:pPr>
      <w:r>
        <w:rPr>
          <w:lang w:val="el-GR"/>
        </w:rPr>
        <w:t>Δεν υπάρχει επαρκής εμπειρία για την αποτελεσματικότητα του adalimumab σε ασθενείς με αγκυλοποιητικής σπονδυλαρθρίτιδας ψωριασική αρθροπάθεια (ψωριασική σπονδυλίτιδα), εξαιτίας του μικρού αριθμού ασθενών οι οποίοι μελετήθηκαν.</w:t>
      </w:r>
    </w:p>
    <w:p w14:paraId="0043ED04" w14:textId="77777777" w:rsidR="00171824" w:rsidRDefault="00171824">
      <w:pPr>
        <w:widowControl/>
        <w:kinsoku w:val="0"/>
        <w:overflowPunct w:val="0"/>
        <w:rPr>
          <w:sz w:val="22"/>
          <w:szCs w:val="22"/>
          <w:lang w:val="el-GR"/>
        </w:rPr>
      </w:pPr>
    </w:p>
    <w:p w14:paraId="48E85346" w14:textId="77777777" w:rsidR="00171824" w:rsidRDefault="006D258C">
      <w:pPr>
        <w:keepNext/>
        <w:keepLines/>
        <w:widowControl/>
        <w:kinsoku w:val="0"/>
        <w:overflowPunct w:val="0"/>
        <w:ind w:right="232"/>
        <w:rPr>
          <w:sz w:val="22"/>
          <w:szCs w:val="22"/>
          <w:lang w:val="el-GR"/>
        </w:rPr>
      </w:pPr>
      <w:r>
        <w:rPr>
          <w:b/>
          <w:sz w:val="22"/>
          <w:szCs w:val="22"/>
          <w:lang w:val="el-GR"/>
        </w:rPr>
        <w:t>Πίνακας 15.</w:t>
      </w:r>
      <w:r>
        <w:rPr>
          <w:b/>
          <w:bCs/>
          <w:sz w:val="22"/>
          <w:szCs w:val="22"/>
          <w:lang w:val="el-GR"/>
        </w:rPr>
        <w:t xml:space="preserve"> ACR Ανταποκρίσεις σε Ελεγχόμενες με Εικονικό Φάρμακο Μελέτες Ψωριασικής Αρθρίτιδας (% Ασθενών)</w:t>
      </w:r>
    </w:p>
    <w:p w14:paraId="13CF6D57" w14:textId="77777777" w:rsidR="00171824" w:rsidRDefault="00171824">
      <w:pPr>
        <w:keepNext/>
        <w:keepLines/>
        <w:widowControl/>
        <w:kinsoku w:val="0"/>
        <w:overflowPunct w:val="0"/>
        <w:rPr>
          <w:sz w:val="22"/>
          <w:szCs w:val="22"/>
          <w:lang w:val="el-GR"/>
        </w:rPr>
      </w:pPr>
    </w:p>
    <w:tbl>
      <w:tblPr>
        <w:tblW w:w="935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1895"/>
        <w:gridCol w:w="1649"/>
        <w:gridCol w:w="1702"/>
        <w:gridCol w:w="1700"/>
      </w:tblGrid>
      <w:tr w:rsidR="00171824" w14:paraId="4AE62D91" w14:textId="77777777">
        <w:trPr>
          <w:tblHeader/>
        </w:trPr>
        <w:tc>
          <w:tcPr>
            <w:tcW w:w="2409" w:type="dxa"/>
          </w:tcPr>
          <w:p w14:paraId="17A25A5B" w14:textId="77777777" w:rsidR="00171824" w:rsidRDefault="00171824">
            <w:pPr>
              <w:pStyle w:val="BodyText"/>
              <w:keepNext/>
              <w:keepLines/>
              <w:widowControl/>
              <w:kinsoku w:val="0"/>
              <w:overflowPunct w:val="0"/>
              <w:ind w:left="0"/>
              <w:rPr>
                <w:rFonts w:eastAsia="MS Mincho"/>
                <w:b/>
                <w:lang w:val="el-GR"/>
              </w:rPr>
            </w:pPr>
          </w:p>
        </w:tc>
        <w:tc>
          <w:tcPr>
            <w:tcW w:w="3544" w:type="dxa"/>
            <w:gridSpan w:val="2"/>
          </w:tcPr>
          <w:p w14:paraId="4A710DEE"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Μελέτη ΨΑ I</w:t>
            </w:r>
          </w:p>
        </w:tc>
        <w:tc>
          <w:tcPr>
            <w:tcW w:w="3402" w:type="dxa"/>
            <w:gridSpan w:val="2"/>
          </w:tcPr>
          <w:p w14:paraId="6E303821"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Μελέτη ΨΑ II</w:t>
            </w:r>
          </w:p>
        </w:tc>
      </w:tr>
      <w:tr w:rsidR="00171824" w14:paraId="61F0D816" w14:textId="77777777">
        <w:tc>
          <w:tcPr>
            <w:tcW w:w="2409" w:type="dxa"/>
          </w:tcPr>
          <w:p w14:paraId="7B6EFCF2" w14:textId="77777777" w:rsidR="00171824" w:rsidRDefault="006D258C">
            <w:pPr>
              <w:pStyle w:val="BodyText"/>
              <w:keepNext/>
              <w:keepLines/>
              <w:widowControl/>
              <w:kinsoku w:val="0"/>
              <w:overflowPunct w:val="0"/>
              <w:ind w:left="0"/>
              <w:rPr>
                <w:rFonts w:eastAsia="MS Mincho"/>
                <w:b/>
                <w:lang w:val="el-GR"/>
              </w:rPr>
            </w:pPr>
            <w:r>
              <w:rPr>
                <w:rFonts w:eastAsia="MS Mincho"/>
                <w:b/>
                <w:lang w:val="el-GR"/>
              </w:rPr>
              <w:t>Ανταπόκριση</w:t>
            </w:r>
          </w:p>
        </w:tc>
        <w:tc>
          <w:tcPr>
            <w:tcW w:w="1895" w:type="dxa"/>
          </w:tcPr>
          <w:p w14:paraId="6BEAD7FB"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Εικονικό Φάρμακο</w:t>
            </w:r>
          </w:p>
          <w:p w14:paraId="2B6CB2FE"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N=162</w:t>
            </w:r>
          </w:p>
        </w:tc>
        <w:tc>
          <w:tcPr>
            <w:tcW w:w="1649" w:type="dxa"/>
          </w:tcPr>
          <w:p w14:paraId="041B8907"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Adalimumab</w:t>
            </w:r>
          </w:p>
          <w:p w14:paraId="2F648159"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N=151</w:t>
            </w:r>
          </w:p>
        </w:tc>
        <w:tc>
          <w:tcPr>
            <w:tcW w:w="1702" w:type="dxa"/>
          </w:tcPr>
          <w:p w14:paraId="3DC308D3"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Εικονικό φάρμακο</w:t>
            </w:r>
          </w:p>
          <w:p w14:paraId="7E366A27"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N=49</w:t>
            </w:r>
          </w:p>
        </w:tc>
        <w:tc>
          <w:tcPr>
            <w:tcW w:w="1700" w:type="dxa"/>
          </w:tcPr>
          <w:p w14:paraId="089362C4"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Adalimumab</w:t>
            </w:r>
          </w:p>
          <w:p w14:paraId="1940B1C7" w14:textId="77777777" w:rsidR="00171824" w:rsidRDefault="006D258C">
            <w:pPr>
              <w:pStyle w:val="TableParagraph"/>
              <w:keepNext/>
              <w:keepLines/>
              <w:widowControl/>
              <w:kinsoku w:val="0"/>
              <w:overflowPunct w:val="0"/>
              <w:jc w:val="center"/>
              <w:rPr>
                <w:rFonts w:eastAsia="MS Mincho"/>
                <w:b/>
                <w:sz w:val="22"/>
                <w:szCs w:val="22"/>
                <w:lang w:val="el-GR"/>
              </w:rPr>
            </w:pPr>
            <w:r>
              <w:rPr>
                <w:rFonts w:eastAsia="MS Mincho"/>
                <w:b/>
                <w:sz w:val="22"/>
                <w:szCs w:val="22"/>
                <w:lang w:val="el-GR"/>
              </w:rPr>
              <w:t>N=51</w:t>
            </w:r>
          </w:p>
        </w:tc>
      </w:tr>
      <w:tr w:rsidR="00171824" w14:paraId="06B1F874" w14:textId="77777777">
        <w:trPr>
          <w:trHeight w:val="102"/>
        </w:trPr>
        <w:tc>
          <w:tcPr>
            <w:tcW w:w="2409" w:type="dxa"/>
          </w:tcPr>
          <w:p w14:paraId="6F9EB80E" w14:textId="77777777" w:rsidR="00171824" w:rsidRDefault="006D258C">
            <w:pPr>
              <w:pStyle w:val="BodyText"/>
              <w:widowControl/>
              <w:ind w:left="0"/>
              <w:rPr>
                <w:rFonts w:eastAsia="MS Mincho"/>
                <w:lang w:val="el-GR"/>
              </w:rPr>
            </w:pPr>
            <w:r>
              <w:rPr>
                <w:rFonts w:eastAsia="MS Mincho"/>
                <w:lang w:val="el-GR"/>
              </w:rPr>
              <w:t>ACR 20</w:t>
            </w:r>
          </w:p>
        </w:tc>
        <w:tc>
          <w:tcPr>
            <w:tcW w:w="1895" w:type="dxa"/>
          </w:tcPr>
          <w:p w14:paraId="3707D8CA" w14:textId="77777777" w:rsidR="00171824" w:rsidRDefault="00171824">
            <w:pPr>
              <w:pStyle w:val="TableParagraph"/>
              <w:widowControl/>
              <w:kinsoku w:val="0"/>
              <w:overflowPunct w:val="0"/>
              <w:jc w:val="center"/>
              <w:rPr>
                <w:rFonts w:eastAsia="MS Mincho"/>
                <w:sz w:val="22"/>
                <w:szCs w:val="22"/>
                <w:lang w:val="el-GR"/>
              </w:rPr>
            </w:pPr>
          </w:p>
        </w:tc>
        <w:tc>
          <w:tcPr>
            <w:tcW w:w="1649" w:type="dxa"/>
          </w:tcPr>
          <w:p w14:paraId="43147FD8" w14:textId="77777777" w:rsidR="00171824" w:rsidRDefault="00171824">
            <w:pPr>
              <w:pStyle w:val="TableParagraph"/>
              <w:widowControl/>
              <w:kinsoku w:val="0"/>
              <w:overflowPunct w:val="0"/>
              <w:jc w:val="center"/>
              <w:rPr>
                <w:rFonts w:eastAsia="MS Mincho"/>
                <w:sz w:val="22"/>
                <w:szCs w:val="22"/>
                <w:lang w:val="el-GR"/>
              </w:rPr>
            </w:pPr>
          </w:p>
        </w:tc>
        <w:tc>
          <w:tcPr>
            <w:tcW w:w="1702" w:type="dxa"/>
          </w:tcPr>
          <w:p w14:paraId="04795FBC" w14:textId="77777777" w:rsidR="00171824" w:rsidRDefault="00171824">
            <w:pPr>
              <w:pStyle w:val="TableParagraph"/>
              <w:widowControl/>
              <w:kinsoku w:val="0"/>
              <w:overflowPunct w:val="0"/>
              <w:jc w:val="center"/>
              <w:rPr>
                <w:rFonts w:eastAsia="MS Mincho"/>
                <w:sz w:val="22"/>
                <w:szCs w:val="22"/>
                <w:lang w:val="el-GR"/>
              </w:rPr>
            </w:pPr>
          </w:p>
        </w:tc>
        <w:tc>
          <w:tcPr>
            <w:tcW w:w="1700" w:type="dxa"/>
          </w:tcPr>
          <w:p w14:paraId="3F5A4FBE" w14:textId="77777777" w:rsidR="00171824" w:rsidRDefault="00171824">
            <w:pPr>
              <w:pStyle w:val="TableParagraph"/>
              <w:widowControl/>
              <w:kinsoku w:val="0"/>
              <w:overflowPunct w:val="0"/>
              <w:jc w:val="center"/>
              <w:rPr>
                <w:rFonts w:eastAsia="MS Mincho"/>
                <w:sz w:val="22"/>
                <w:szCs w:val="22"/>
                <w:lang w:val="el-GR"/>
              </w:rPr>
            </w:pPr>
          </w:p>
        </w:tc>
      </w:tr>
      <w:tr w:rsidR="00171824" w14:paraId="16E62F68" w14:textId="77777777">
        <w:trPr>
          <w:trHeight w:val="102"/>
        </w:trPr>
        <w:tc>
          <w:tcPr>
            <w:tcW w:w="2409" w:type="dxa"/>
          </w:tcPr>
          <w:p w14:paraId="7495381A" w14:textId="77777777" w:rsidR="00171824" w:rsidRDefault="006D258C">
            <w:pPr>
              <w:pStyle w:val="BodyText"/>
              <w:widowControl/>
              <w:ind w:left="0"/>
              <w:rPr>
                <w:rFonts w:eastAsia="MS Mincho"/>
                <w:lang w:val="el-GR"/>
              </w:rPr>
            </w:pPr>
            <w:r>
              <w:rPr>
                <w:rFonts w:eastAsia="MS Mincho"/>
                <w:lang w:val="el-GR"/>
              </w:rPr>
              <w:t>Εβδομάδα 12</w:t>
            </w:r>
          </w:p>
        </w:tc>
        <w:tc>
          <w:tcPr>
            <w:tcW w:w="1895" w:type="dxa"/>
            <w:vAlign w:val="center"/>
          </w:tcPr>
          <w:p w14:paraId="1B9645F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14%</w:t>
            </w:r>
          </w:p>
        </w:tc>
        <w:tc>
          <w:tcPr>
            <w:tcW w:w="1649" w:type="dxa"/>
            <w:vAlign w:val="center"/>
          </w:tcPr>
          <w:p w14:paraId="6F06ECC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58%</w:t>
            </w:r>
            <w:r>
              <w:rPr>
                <w:rFonts w:eastAsia="MS Mincho"/>
                <w:sz w:val="22"/>
                <w:szCs w:val="22"/>
                <w:vertAlign w:val="superscript"/>
                <w:lang w:val="el-GR"/>
              </w:rPr>
              <w:t>***</w:t>
            </w:r>
          </w:p>
        </w:tc>
        <w:tc>
          <w:tcPr>
            <w:tcW w:w="1702" w:type="dxa"/>
            <w:vAlign w:val="center"/>
          </w:tcPr>
          <w:p w14:paraId="77B62BD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16%</w:t>
            </w:r>
          </w:p>
        </w:tc>
        <w:tc>
          <w:tcPr>
            <w:tcW w:w="1700" w:type="dxa"/>
            <w:vAlign w:val="center"/>
          </w:tcPr>
          <w:p w14:paraId="22BBBA4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39%</w:t>
            </w:r>
            <w:r>
              <w:rPr>
                <w:rFonts w:eastAsia="MS Mincho"/>
                <w:sz w:val="22"/>
                <w:szCs w:val="22"/>
                <w:vertAlign w:val="superscript"/>
                <w:lang w:val="el-GR"/>
              </w:rPr>
              <w:t>*</w:t>
            </w:r>
          </w:p>
        </w:tc>
      </w:tr>
      <w:tr w:rsidR="00171824" w14:paraId="6689506D" w14:textId="77777777">
        <w:trPr>
          <w:trHeight w:val="102"/>
        </w:trPr>
        <w:tc>
          <w:tcPr>
            <w:tcW w:w="2409" w:type="dxa"/>
          </w:tcPr>
          <w:p w14:paraId="17B554B1" w14:textId="77777777" w:rsidR="00171824" w:rsidRDefault="006D258C">
            <w:pPr>
              <w:pStyle w:val="BodyText"/>
              <w:widowControl/>
              <w:ind w:left="0"/>
              <w:rPr>
                <w:rFonts w:eastAsia="MS Mincho"/>
                <w:lang w:val="el-GR"/>
              </w:rPr>
            </w:pPr>
            <w:r>
              <w:rPr>
                <w:rFonts w:eastAsia="MS Mincho"/>
                <w:lang w:val="el-GR"/>
              </w:rPr>
              <w:t>Εβδομάδα 24</w:t>
            </w:r>
          </w:p>
        </w:tc>
        <w:tc>
          <w:tcPr>
            <w:tcW w:w="1895" w:type="dxa"/>
            <w:vAlign w:val="center"/>
          </w:tcPr>
          <w:p w14:paraId="227ECEB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15%</w:t>
            </w:r>
          </w:p>
        </w:tc>
        <w:tc>
          <w:tcPr>
            <w:tcW w:w="1649" w:type="dxa"/>
            <w:vAlign w:val="center"/>
          </w:tcPr>
          <w:p w14:paraId="75CCEFB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57%</w:t>
            </w:r>
            <w:r>
              <w:rPr>
                <w:rFonts w:eastAsia="MS Mincho"/>
                <w:sz w:val="22"/>
                <w:szCs w:val="22"/>
                <w:vertAlign w:val="superscript"/>
                <w:lang w:val="el-GR"/>
              </w:rPr>
              <w:t>***</w:t>
            </w:r>
          </w:p>
        </w:tc>
        <w:tc>
          <w:tcPr>
            <w:tcW w:w="1702" w:type="dxa"/>
            <w:vAlign w:val="center"/>
          </w:tcPr>
          <w:p w14:paraId="5215F46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700" w:type="dxa"/>
            <w:vAlign w:val="center"/>
          </w:tcPr>
          <w:p w14:paraId="2F4E366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r>
      <w:tr w:rsidR="00171824" w14:paraId="264F46D8" w14:textId="77777777">
        <w:tc>
          <w:tcPr>
            <w:tcW w:w="2409" w:type="dxa"/>
          </w:tcPr>
          <w:p w14:paraId="3CDF44FB"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ACR 50</w:t>
            </w:r>
          </w:p>
        </w:tc>
        <w:tc>
          <w:tcPr>
            <w:tcW w:w="1895" w:type="dxa"/>
          </w:tcPr>
          <w:p w14:paraId="5C6633CA" w14:textId="77777777" w:rsidR="00171824" w:rsidRDefault="00171824">
            <w:pPr>
              <w:pStyle w:val="TableParagraph"/>
              <w:widowControl/>
              <w:kinsoku w:val="0"/>
              <w:overflowPunct w:val="0"/>
              <w:jc w:val="center"/>
              <w:rPr>
                <w:rFonts w:eastAsia="MS Mincho"/>
                <w:sz w:val="22"/>
                <w:szCs w:val="22"/>
                <w:lang w:val="el-GR"/>
              </w:rPr>
            </w:pPr>
          </w:p>
        </w:tc>
        <w:tc>
          <w:tcPr>
            <w:tcW w:w="1649" w:type="dxa"/>
          </w:tcPr>
          <w:p w14:paraId="57DDA7B8" w14:textId="77777777" w:rsidR="00171824" w:rsidRDefault="00171824">
            <w:pPr>
              <w:pStyle w:val="TableParagraph"/>
              <w:widowControl/>
              <w:kinsoku w:val="0"/>
              <w:overflowPunct w:val="0"/>
              <w:jc w:val="center"/>
              <w:rPr>
                <w:rFonts w:eastAsia="MS Mincho"/>
                <w:sz w:val="22"/>
                <w:szCs w:val="22"/>
                <w:lang w:val="el-GR"/>
              </w:rPr>
            </w:pPr>
          </w:p>
        </w:tc>
        <w:tc>
          <w:tcPr>
            <w:tcW w:w="1702" w:type="dxa"/>
          </w:tcPr>
          <w:p w14:paraId="6D7827CA" w14:textId="77777777" w:rsidR="00171824" w:rsidRDefault="00171824">
            <w:pPr>
              <w:pStyle w:val="TableParagraph"/>
              <w:widowControl/>
              <w:kinsoku w:val="0"/>
              <w:overflowPunct w:val="0"/>
              <w:jc w:val="center"/>
              <w:rPr>
                <w:rFonts w:eastAsia="MS Mincho"/>
                <w:sz w:val="22"/>
                <w:szCs w:val="22"/>
                <w:lang w:val="el-GR"/>
              </w:rPr>
            </w:pPr>
          </w:p>
        </w:tc>
        <w:tc>
          <w:tcPr>
            <w:tcW w:w="1700" w:type="dxa"/>
          </w:tcPr>
          <w:p w14:paraId="359B6A71" w14:textId="77777777" w:rsidR="00171824" w:rsidRDefault="00171824">
            <w:pPr>
              <w:pStyle w:val="TableParagraph"/>
              <w:widowControl/>
              <w:kinsoku w:val="0"/>
              <w:overflowPunct w:val="0"/>
              <w:jc w:val="center"/>
              <w:rPr>
                <w:rFonts w:eastAsia="MS Mincho"/>
                <w:sz w:val="22"/>
                <w:szCs w:val="22"/>
                <w:lang w:val="el-GR"/>
              </w:rPr>
            </w:pPr>
          </w:p>
        </w:tc>
      </w:tr>
      <w:tr w:rsidR="00171824" w14:paraId="787E102B" w14:textId="77777777">
        <w:tc>
          <w:tcPr>
            <w:tcW w:w="2409" w:type="dxa"/>
          </w:tcPr>
          <w:p w14:paraId="4A5DA57C"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Εβδομάδα 12</w:t>
            </w:r>
          </w:p>
        </w:tc>
        <w:tc>
          <w:tcPr>
            <w:tcW w:w="1895" w:type="dxa"/>
          </w:tcPr>
          <w:p w14:paraId="05A257CC"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w:t>
            </w:r>
          </w:p>
        </w:tc>
        <w:tc>
          <w:tcPr>
            <w:tcW w:w="1649" w:type="dxa"/>
          </w:tcPr>
          <w:p w14:paraId="400EE71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36%</w:t>
            </w:r>
            <w:r>
              <w:rPr>
                <w:rFonts w:eastAsia="MS Mincho"/>
                <w:sz w:val="22"/>
                <w:szCs w:val="22"/>
                <w:vertAlign w:val="superscript"/>
                <w:lang w:val="el-GR"/>
              </w:rPr>
              <w:t>***</w:t>
            </w:r>
          </w:p>
        </w:tc>
        <w:tc>
          <w:tcPr>
            <w:tcW w:w="1702" w:type="dxa"/>
          </w:tcPr>
          <w:p w14:paraId="16C4C0E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w:t>
            </w:r>
          </w:p>
        </w:tc>
        <w:tc>
          <w:tcPr>
            <w:tcW w:w="1700" w:type="dxa"/>
          </w:tcPr>
          <w:p w14:paraId="15299D2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25%</w:t>
            </w:r>
            <w:r>
              <w:rPr>
                <w:rFonts w:eastAsia="MS Mincho"/>
                <w:sz w:val="22"/>
                <w:szCs w:val="22"/>
                <w:vertAlign w:val="superscript"/>
                <w:lang w:val="el-GR"/>
              </w:rPr>
              <w:t>***</w:t>
            </w:r>
          </w:p>
        </w:tc>
      </w:tr>
      <w:tr w:rsidR="00171824" w14:paraId="612E0DCC" w14:textId="77777777">
        <w:tc>
          <w:tcPr>
            <w:tcW w:w="2409" w:type="dxa"/>
          </w:tcPr>
          <w:p w14:paraId="173F3444"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Εβδομάδα 24</w:t>
            </w:r>
          </w:p>
        </w:tc>
        <w:tc>
          <w:tcPr>
            <w:tcW w:w="1895" w:type="dxa"/>
          </w:tcPr>
          <w:p w14:paraId="6EC4C4E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w:t>
            </w:r>
          </w:p>
        </w:tc>
        <w:tc>
          <w:tcPr>
            <w:tcW w:w="1649" w:type="dxa"/>
          </w:tcPr>
          <w:p w14:paraId="0DC1E41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39%</w:t>
            </w:r>
            <w:r>
              <w:rPr>
                <w:rFonts w:eastAsia="MS Mincho"/>
                <w:sz w:val="22"/>
                <w:szCs w:val="22"/>
                <w:vertAlign w:val="superscript"/>
                <w:lang w:val="el-GR"/>
              </w:rPr>
              <w:t>***</w:t>
            </w:r>
          </w:p>
        </w:tc>
        <w:tc>
          <w:tcPr>
            <w:tcW w:w="1702" w:type="dxa"/>
          </w:tcPr>
          <w:p w14:paraId="62577BF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700" w:type="dxa"/>
          </w:tcPr>
          <w:p w14:paraId="513B0B5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r>
      <w:tr w:rsidR="00171824" w14:paraId="232062D0" w14:textId="77777777">
        <w:tc>
          <w:tcPr>
            <w:tcW w:w="2409" w:type="dxa"/>
          </w:tcPr>
          <w:p w14:paraId="3ED4301D"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ACR 70</w:t>
            </w:r>
          </w:p>
        </w:tc>
        <w:tc>
          <w:tcPr>
            <w:tcW w:w="1895" w:type="dxa"/>
          </w:tcPr>
          <w:p w14:paraId="6D469CAD" w14:textId="77777777" w:rsidR="00171824" w:rsidRDefault="00171824">
            <w:pPr>
              <w:pStyle w:val="TableParagraph"/>
              <w:widowControl/>
              <w:kinsoku w:val="0"/>
              <w:overflowPunct w:val="0"/>
              <w:jc w:val="center"/>
              <w:rPr>
                <w:rFonts w:eastAsia="MS Mincho"/>
                <w:sz w:val="22"/>
                <w:szCs w:val="22"/>
                <w:lang w:val="el-GR"/>
              </w:rPr>
            </w:pPr>
          </w:p>
        </w:tc>
        <w:tc>
          <w:tcPr>
            <w:tcW w:w="1649" w:type="dxa"/>
          </w:tcPr>
          <w:p w14:paraId="48F59860" w14:textId="77777777" w:rsidR="00171824" w:rsidRDefault="00171824">
            <w:pPr>
              <w:pStyle w:val="TableParagraph"/>
              <w:widowControl/>
              <w:kinsoku w:val="0"/>
              <w:overflowPunct w:val="0"/>
              <w:jc w:val="center"/>
              <w:rPr>
                <w:rFonts w:eastAsia="MS Mincho"/>
                <w:sz w:val="22"/>
                <w:szCs w:val="22"/>
                <w:lang w:val="el-GR"/>
              </w:rPr>
            </w:pPr>
          </w:p>
        </w:tc>
        <w:tc>
          <w:tcPr>
            <w:tcW w:w="1702" w:type="dxa"/>
          </w:tcPr>
          <w:p w14:paraId="10E37AB6" w14:textId="77777777" w:rsidR="00171824" w:rsidRDefault="00171824">
            <w:pPr>
              <w:pStyle w:val="TableParagraph"/>
              <w:widowControl/>
              <w:kinsoku w:val="0"/>
              <w:overflowPunct w:val="0"/>
              <w:jc w:val="center"/>
              <w:rPr>
                <w:rFonts w:eastAsia="MS Mincho"/>
                <w:sz w:val="22"/>
                <w:szCs w:val="22"/>
                <w:lang w:val="el-GR"/>
              </w:rPr>
            </w:pPr>
          </w:p>
        </w:tc>
        <w:tc>
          <w:tcPr>
            <w:tcW w:w="1700" w:type="dxa"/>
          </w:tcPr>
          <w:p w14:paraId="01E757CF" w14:textId="77777777" w:rsidR="00171824" w:rsidRDefault="00171824">
            <w:pPr>
              <w:pStyle w:val="TableParagraph"/>
              <w:widowControl/>
              <w:kinsoku w:val="0"/>
              <w:overflowPunct w:val="0"/>
              <w:jc w:val="center"/>
              <w:rPr>
                <w:rFonts w:eastAsia="MS Mincho"/>
                <w:sz w:val="22"/>
                <w:szCs w:val="22"/>
                <w:lang w:val="el-GR"/>
              </w:rPr>
            </w:pPr>
          </w:p>
        </w:tc>
      </w:tr>
      <w:tr w:rsidR="00171824" w14:paraId="441AA99F" w14:textId="77777777">
        <w:tc>
          <w:tcPr>
            <w:tcW w:w="2409" w:type="dxa"/>
          </w:tcPr>
          <w:p w14:paraId="2C7B8B66"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Εβδομάδα 12</w:t>
            </w:r>
          </w:p>
        </w:tc>
        <w:tc>
          <w:tcPr>
            <w:tcW w:w="1895" w:type="dxa"/>
          </w:tcPr>
          <w:p w14:paraId="1A9F9DA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w:t>
            </w:r>
          </w:p>
        </w:tc>
        <w:tc>
          <w:tcPr>
            <w:tcW w:w="1649" w:type="dxa"/>
          </w:tcPr>
          <w:p w14:paraId="786EC73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20%</w:t>
            </w:r>
            <w:r>
              <w:rPr>
                <w:rFonts w:eastAsia="MS Mincho"/>
                <w:sz w:val="22"/>
                <w:szCs w:val="22"/>
                <w:vertAlign w:val="superscript"/>
                <w:lang w:val="el-GR"/>
              </w:rPr>
              <w:t>***</w:t>
            </w:r>
          </w:p>
        </w:tc>
        <w:tc>
          <w:tcPr>
            <w:tcW w:w="1702" w:type="dxa"/>
          </w:tcPr>
          <w:p w14:paraId="4CDE26E8"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0%</w:t>
            </w:r>
          </w:p>
        </w:tc>
        <w:tc>
          <w:tcPr>
            <w:tcW w:w="1700" w:type="dxa"/>
          </w:tcPr>
          <w:p w14:paraId="0187718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14%</w:t>
            </w:r>
            <w:r>
              <w:rPr>
                <w:rFonts w:eastAsia="MS Mincho"/>
                <w:sz w:val="22"/>
                <w:szCs w:val="22"/>
                <w:vertAlign w:val="superscript"/>
                <w:lang w:val="el-GR"/>
              </w:rPr>
              <w:t>*</w:t>
            </w:r>
          </w:p>
        </w:tc>
      </w:tr>
      <w:tr w:rsidR="00171824" w14:paraId="5D72F6DE" w14:textId="77777777">
        <w:tc>
          <w:tcPr>
            <w:tcW w:w="2409" w:type="dxa"/>
          </w:tcPr>
          <w:p w14:paraId="4DEA1C58"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Εβδομάδα 24</w:t>
            </w:r>
          </w:p>
        </w:tc>
        <w:tc>
          <w:tcPr>
            <w:tcW w:w="1895" w:type="dxa"/>
          </w:tcPr>
          <w:p w14:paraId="294E2A45"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w:t>
            </w:r>
          </w:p>
        </w:tc>
        <w:tc>
          <w:tcPr>
            <w:tcW w:w="1649" w:type="dxa"/>
          </w:tcPr>
          <w:p w14:paraId="36B86BC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23%</w:t>
            </w:r>
            <w:r>
              <w:rPr>
                <w:rFonts w:eastAsia="MS Mincho"/>
                <w:sz w:val="22"/>
                <w:szCs w:val="22"/>
                <w:vertAlign w:val="superscript"/>
                <w:lang w:val="el-GR"/>
              </w:rPr>
              <w:t>***</w:t>
            </w:r>
          </w:p>
        </w:tc>
        <w:tc>
          <w:tcPr>
            <w:tcW w:w="1702" w:type="dxa"/>
          </w:tcPr>
          <w:p w14:paraId="5C0BEC3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c>
          <w:tcPr>
            <w:tcW w:w="1700" w:type="dxa"/>
          </w:tcPr>
          <w:p w14:paraId="5072C16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N/A</w:t>
            </w:r>
          </w:p>
        </w:tc>
      </w:tr>
    </w:tbl>
    <w:p w14:paraId="1E758A0D" w14:textId="77777777" w:rsidR="00171824" w:rsidRDefault="006D258C">
      <w:pPr>
        <w:pStyle w:val="BodyText"/>
        <w:widowControl/>
        <w:tabs>
          <w:tab w:val="left" w:pos="426"/>
        </w:tabs>
        <w:kinsoku w:val="0"/>
        <w:overflowPunct w:val="0"/>
        <w:ind w:left="0"/>
        <w:rPr>
          <w:sz w:val="20"/>
          <w:szCs w:val="20"/>
          <w:lang w:val="el-GR"/>
        </w:rPr>
      </w:pPr>
      <w:r>
        <w:rPr>
          <w:sz w:val="20"/>
          <w:szCs w:val="20"/>
          <w:lang w:val="el-GR"/>
        </w:rPr>
        <w:t>***</w:t>
      </w:r>
      <w:r>
        <w:rPr>
          <w:sz w:val="20"/>
          <w:szCs w:val="20"/>
          <w:lang w:val="el-GR"/>
        </w:rPr>
        <w:tab/>
        <w:t>p &lt; 0,001 για όλες τις συγκρίσεις μεταξύ adalimumab και εικονικού φαρμάκου</w:t>
      </w:r>
    </w:p>
    <w:p w14:paraId="1E3DE1AD" w14:textId="77777777" w:rsidR="00171824" w:rsidRDefault="006D258C">
      <w:pPr>
        <w:pStyle w:val="BodyText"/>
        <w:widowControl/>
        <w:tabs>
          <w:tab w:val="left" w:pos="426"/>
        </w:tabs>
        <w:kinsoku w:val="0"/>
        <w:overflowPunct w:val="0"/>
        <w:ind w:left="0"/>
        <w:rPr>
          <w:sz w:val="20"/>
          <w:szCs w:val="20"/>
          <w:lang w:val="el-GR"/>
        </w:rPr>
      </w:pPr>
      <w:r>
        <w:rPr>
          <w:sz w:val="20"/>
          <w:szCs w:val="20"/>
          <w:lang w:val="el-GR"/>
        </w:rPr>
        <w:t>*</w:t>
      </w:r>
      <w:r>
        <w:rPr>
          <w:sz w:val="20"/>
          <w:szCs w:val="20"/>
          <w:lang w:val="el-GR"/>
        </w:rPr>
        <w:tab/>
        <w:t>p &lt; 0,05 για όλες τις συγκρίσεις μεταξύ adalimumab και εικονικού φαρμάκου</w:t>
      </w:r>
    </w:p>
    <w:p w14:paraId="4707723A" w14:textId="77777777" w:rsidR="00171824" w:rsidRDefault="006D258C">
      <w:pPr>
        <w:pStyle w:val="BodyText"/>
        <w:widowControl/>
        <w:tabs>
          <w:tab w:val="left" w:pos="426"/>
        </w:tabs>
        <w:kinsoku w:val="0"/>
        <w:overflowPunct w:val="0"/>
        <w:ind w:left="0"/>
        <w:rPr>
          <w:sz w:val="20"/>
          <w:szCs w:val="20"/>
          <w:lang w:val="el-GR"/>
        </w:rPr>
      </w:pPr>
      <w:r>
        <w:rPr>
          <w:sz w:val="20"/>
          <w:szCs w:val="20"/>
          <w:lang w:val="el-GR"/>
        </w:rPr>
        <w:t>Ν/Α</w:t>
      </w:r>
      <w:r>
        <w:rPr>
          <w:sz w:val="20"/>
          <w:szCs w:val="20"/>
          <w:lang w:val="el-GR"/>
        </w:rPr>
        <w:tab/>
        <w:t>δεν εφαρμόζεται</w:t>
      </w:r>
    </w:p>
    <w:p w14:paraId="03B606BF" w14:textId="77777777" w:rsidR="00171824" w:rsidRDefault="00171824">
      <w:pPr>
        <w:widowControl/>
        <w:kinsoku w:val="0"/>
        <w:overflowPunct w:val="0"/>
        <w:rPr>
          <w:sz w:val="22"/>
          <w:szCs w:val="22"/>
          <w:lang w:val="el-GR"/>
        </w:rPr>
      </w:pPr>
    </w:p>
    <w:p w14:paraId="792D8189" w14:textId="77777777" w:rsidR="00171824" w:rsidRDefault="006D258C">
      <w:pPr>
        <w:pStyle w:val="BodyText"/>
        <w:widowControl/>
        <w:kinsoku w:val="0"/>
        <w:overflowPunct w:val="0"/>
        <w:ind w:left="0"/>
        <w:rPr>
          <w:lang w:val="el-GR"/>
        </w:rPr>
      </w:pPr>
      <w:r>
        <w:rPr>
          <w:lang w:val="el-GR"/>
        </w:rPr>
        <w:t>Οι ανταποκρίσεις κατά ACR στη μελέτη ΨΑ I ήταν παρόμοιες είτε με είτε χωρίς συγχορηγούμενη θεραπεία με μεθοτρεξάτη. Οι ανταποκρίσεις κατά ACR διατηρήθηκαν στην ανοιχτή μελέτη επέκτασης για περίοδο μέχρι 136 εβδομάδες.</w:t>
      </w:r>
    </w:p>
    <w:p w14:paraId="61CF4ECB" w14:textId="77777777" w:rsidR="00171824" w:rsidRDefault="00171824">
      <w:pPr>
        <w:widowControl/>
        <w:kinsoku w:val="0"/>
        <w:overflowPunct w:val="0"/>
        <w:rPr>
          <w:sz w:val="22"/>
          <w:szCs w:val="22"/>
          <w:lang w:val="el-GR"/>
        </w:rPr>
      </w:pPr>
    </w:p>
    <w:p w14:paraId="690E9C7B" w14:textId="77777777" w:rsidR="00171824" w:rsidRDefault="006D258C">
      <w:pPr>
        <w:pStyle w:val="BodyText"/>
        <w:widowControl/>
        <w:kinsoku w:val="0"/>
        <w:overflowPunct w:val="0"/>
        <w:ind w:left="0"/>
        <w:rPr>
          <w:lang w:val="el-GR"/>
        </w:rPr>
      </w:pPr>
      <w:r>
        <w:rPr>
          <w:lang w:val="el-GR"/>
        </w:rPr>
        <w:t>Ακτινολογικές αλλοιώσεις αξιολογήθηκαν στις μελέτες ψωριασικής αρθρίτιδας. Ακτινογραφίες χειρών, καρπών και ποδών ελήφθησαν στην έναρξη και στην εβδομάδα 24 κατά τη διάρκεια της διπλά τυφλής περιόδου όταν οι ασθενείς λάμβαναν adalimumab ή εικονικό φάρμακο και στην εβδομάδα 48 όταν όλοι οι ασθενείς λάμβαναν adalimumab σε ανοιχτή μελέτη. Χρησιμοποιήθηκε η τροποποιημένη βαθμολογία Total Sharp Score (mTSS), η οποία περιελάμβανε τις άπω φαλλαγγοφαλλαγγικές αρθρώσεις (π.χ., διαφορετική από το ΤSS ο οποίος χρησιμοποιήθηκε για τη ρευματοειδή αρθρίτιδα).</w:t>
      </w:r>
    </w:p>
    <w:p w14:paraId="7096199C" w14:textId="77777777" w:rsidR="00171824" w:rsidRDefault="00171824">
      <w:pPr>
        <w:widowControl/>
        <w:kinsoku w:val="0"/>
        <w:overflowPunct w:val="0"/>
        <w:rPr>
          <w:sz w:val="22"/>
          <w:szCs w:val="22"/>
          <w:lang w:val="el-GR"/>
        </w:rPr>
      </w:pPr>
    </w:p>
    <w:p w14:paraId="49616A56" w14:textId="77777777" w:rsidR="00171824" w:rsidRDefault="006D258C">
      <w:pPr>
        <w:pStyle w:val="BodyText"/>
        <w:widowControl/>
        <w:kinsoku w:val="0"/>
        <w:overflowPunct w:val="0"/>
        <w:ind w:left="0"/>
        <w:rPr>
          <w:lang w:val="el-GR"/>
        </w:rPr>
      </w:pPr>
      <w:r>
        <w:rPr>
          <w:lang w:val="el-GR"/>
        </w:rPr>
        <w:t xml:space="preserve">Η θεραπεία με adalimumab μείωσε το ρυθμό της εξέλιξης της δομικής βλάβης των περιφερικών αρθρώσεων συγκρινόμενη με τη θεραπεία με εικονικό φάρμακο όπως μετρήθηκε από τη μεταβολή από τα αρχικά επίπεδα του mTSS (μέσο </w:t>
      </w:r>
      <w:r>
        <w:rPr>
          <w:u w:val="single"/>
          <w:lang w:val="el-GR"/>
        </w:rPr>
        <w:t xml:space="preserve">± </w:t>
      </w:r>
      <w:r>
        <w:rPr>
          <w:lang w:val="el-GR"/>
        </w:rPr>
        <w:t>SD) 0,8 ± 2,5 στην ομάδα που έλαβε εικονικό φάρμακο (την εβδομάδα 24) συγκρινόμενο με το 0,0 ± 1,9 (p &lt;0,001) στην ομάδα που έλαβε adalimumab (την εβδομάδα 48).</w:t>
      </w:r>
    </w:p>
    <w:p w14:paraId="3939380A" w14:textId="77777777" w:rsidR="00171824" w:rsidRDefault="00171824">
      <w:pPr>
        <w:widowControl/>
        <w:kinsoku w:val="0"/>
        <w:overflowPunct w:val="0"/>
        <w:rPr>
          <w:sz w:val="22"/>
          <w:szCs w:val="22"/>
          <w:lang w:val="el-GR"/>
        </w:rPr>
      </w:pPr>
    </w:p>
    <w:p w14:paraId="6327A675" w14:textId="77777777" w:rsidR="00171824" w:rsidRDefault="006D258C">
      <w:pPr>
        <w:pStyle w:val="BodyText"/>
        <w:widowControl/>
        <w:kinsoku w:val="0"/>
        <w:overflowPunct w:val="0"/>
        <w:ind w:left="0"/>
        <w:rPr>
          <w:lang w:val="el-GR"/>
        </w:rPr>
      </w:pPr>
      <w:r>
        <w:rPr>
          <w:lang w:val="el-GR"/>
        </w:rPr>
        <w:t>Σε ασθενείς οι οποίοι έλαβαν adalimumab χωρίς ακτινολογική εξέλιξη από τα αρχικά επίπεδα έως την εβδομάδα 48 (n=102), το 84% συνέχισε να μη δείχνει καμία ακτινολογική εξέλιξη κατά τη διάρκεια των 144 εβδομάδων θεραπείας. Οι ασθενείς οι οποίοι έλαβαν adalimumab κατέδειξαν στατιστικά σημαντική βελτίωση της λειτουργικότητας όπως αξιολογήθηκε από τον HAQ και τον SF 36 (Short Form Health Survey) συγκρινόμενη με το εικονικό φάρμακο την εβδομάδα 24. Η βελτιωμένη λειτουργικότητα συνεχίστηκε κατά τη διάρκεια της ανοικτής μελέτης επέκτασης μέχρι την εβδομάδα 136.</w:t>
      </w:r>
    </w:p>
    <w:p w14:paraId="0329B3A5" w14:textId="77777777" w:rsidR="00171824" w:rsidRDefault="00171824">
      <w:pPr>
        <w:widowControl/>
        <w:kinsoku w:val="0"/>
        <w:overflowPunct w:val="0"/>
        <w:rPr>
          <w:sz w:val="22"/>
          <w:szCs w:val="22"/>
          <w:lang w:val="el-GR"/>
        </w:rPr>
      </w:pPr>
    </w:p>
    <w:p w14:paraId="71DD6BF3" w14:textId="77777777" w:rsidR="00171824" w:rsidRDefault="006D258C">
      <w:pPr>
        <w:widowControl/>
        <w:kinsoku w:val="0"/>
        <w:overflowPunct w:val="0"/>
        <w:rPr>
          <w:i/>
          <w:sz w:val="22"/>
          <w:szCs w:val="22"/>
          <w:lang w:val="el-GR"/>
        </w:rPr>
      </w:pPr>
      <w:r>
        <w:rPr>
          <w:i/>
          <w:iCs/>
          <w:sz w:val="22"/>
          <w:szCs w:val="22"/>
          <w:lang w:val="el-GR"/>
        </w:rPr>
        <w:t>Ψωρίαση</w:t>
      </w:r>
    </w:p>
    <w:p w14:paraId="56832D28" w14:textId="77777777" w:rsidR="00171824" w:rsidRDefault="00171824">
      <w:pPr>
        <w:widowControl/>
        <w:kinsoku w:val="0"/>
        <w:overflowPunct w:val="0"/>
        <w:rPr>
          <w:sz w:val="22"/>
          <w:szCs w:val="22"/>
          <w:lang w:val="el-GR"/>
        </w:rPr>
      </w:pPr>
    </w:p>
    <w:p w14:paraId="01684D3F" w14:textId="77777777" w:rsidR="00171824" w:rsidRDefault="006D258C">
      <w:pPr>
        <w:pStyle w:val="BodyText"/>
        <w:widowControl/>
        <w:kinsoku w:val="0"/>
        <w:overflowPunct w:val="0"/>
        <w:ind w:left="0"/>
        <w:rPr>
          <w:lang w:val="el-GR"/>
        </w:rPr>
      </w:pPr>
      <w:r>
        <w:rPr>
          <w:lang w:val="el-GR"/>
        </w:rPr>
        <w:t>Η ασφάλεια και η αποτελεσματικότητα του adalimumab μελετήθηκε σε ενήλικες ασθενείς με χρόνια ψωρίαση κατά πλάκας (≥ 10% BSA και Psoriasis Area and Severity Index (PASI) ≥ 12 ή ≥ 10) οι οποίοι ήταν υποψήφιοι για συστηματική θεραπεία ή φωτοθεραπεία σε τυχαιοποιημένες διπλά-τυφλές μελέτες. Το 73% των ασθενών που συμμετείχε σε Μελέτες Ψωρίασης Ι και ΙΙ είχε λάβει προηγουμένως συστηματική θεραπεία ή φωτοθεραπεία. Η ασφάλεια και η αποτελεσματικότητα του adalimumab μελετήθηκαν επίσης σε ενήλικες ασθενείς με μέτρια έως σοβαρή χρόνια ψωρίαση κατά πλάκας με ταυτόχρονη ψωρίαση παλαμών/πελμάτων οι οποίοι ήταν υποψήφιοι για συστηματική θεραπεία σε μία τυχαιοποιημένη, διπλά-τυφλή μελέτη (Μελέτη Ψωρίασης III).</w:t>
      </w:r>
    </w:p>
    <w:p w14:paraId="19682B14" w14:textId="77777777" w:rsidR="00171824" w:rsidRDefault="00171824">
      <w:pPr>
        <w:widowControl/>
        <w:kinsoku w:val="0"/>
        <w:overflowPunct w:val="0"/>
        <w:rPr>
          <w:sz w:val="22"/>
          <w:szCs w:val="22"/>
          <w:lang w:val="el-GR"/>
        </w:rPr>
      </w:pPr>
    </w:p>
    <w:p w14:paraId="4C4952CB" w14:textId="77777777" w:rsidR="00171824" w:rsidRDefault="006D258C">
      <w:pPr>
        <w:pStyle w:val="BodyText"/>
        <w:widowControl/>
        <w:kinsoku w:val="0"/>
        <w:overflowPunct w:val="0"/>
        <w:ind w:left="0"/>
        <w:rPr>
          <w:lang w:val="el-GR"/>
        </w:rPr>
      </w:pPr>
      <w:r>
        <w:rPr>
          <w:lang w:val="el-GR"/>
        </w:rPr>
        <w:t>Η Μελέτη Ψωρίασης Ι (REVEAL) αξιολόγησε 1 212 ασθενείς σε τρεις περιόδους θεραπείας. Στην περίοδο Α, οι ασθενείς έλαβαν εικονικό φάρμακο ή adalimumab σε μια αρχική δόση 80 mg, ακολουθούμενη από 40 mg κάθε δεύτερη εβδομάδα, αρχίζοντας μία εβδομάδα μετά την αρχική δόση. Μετά από 16 εβδομάδες θεραπείας, οι ασθενείς οι οποίοι είχαν τουλάχιστον ανταπόκριση PASI 75 (βελτίωση PASI score τουλάχιστον κατά 75% σε σχέση με τα αρχικά επίπεδα) συμπεριλήφθηκαν στην περίοδο Β και έλαβαν ανοικτή θεραπεία με adalimumab 40 mg κάθε δεύτερη εβδομάδα. Οι ασθενείς που διατήρησαν ανταπόκριση ≥ PASI 75 την εβδομάδα 33 και είχαν αρχικά τυχαιοποιηθεί σε ενεργό θεραπεία την περίοδο Α, επανατυχαιοποιήθηκαν την περίοδο Γ, ώστε να λάβουν είτε 40 mg adalimumab κάθε δεύτερη εβδομάδα ή εικονικό φάρμακο για 19 επιπλέον εβδομάδες. Συνολικά σε όλες τις ομάδες θεραπείας, ο μέσος δείκτης PASI στα αρχικά επίπεδα ήταν 18,9 και τα αρχικά επίπεδα του δείκτη Physician’s Global Assessment (PGA) κυμάνθηκαν από “μέτρια” (53% των ασθενών που συμμετείχαν) έως “σοβαρή” (41%) έως “πολύ σοβαρή” (6%).</w:t>
      </w:r>
    </w:p>
    <w:p w14:paraId="33FA0163" w14:textId="77777777" w:rsidR="00171824" w:rsidRDefault="00171824">
      <w:pPr>
        <w:widowControl/>
        <w:kinsoku w:val="0"/>
        <w:overflowPunct w:val="0"/>
        <w:rPr>
          <w:sz w:val="22"/>
          <w:szCs w:val="22"/>
          <w:lang w:val="el-GR"/>
        </w:rPr>
      </w:pPr>
    </w:p>
    <w:p w14:paraId="191407A3" w14:textId="77777777" w:rsidR="00171824" w:rsidRDefault="006D258C">
      <w:pPr>
        <w:pStyle w:val="BodyText"/>
        <w:widowControl/>
        <w:kinsoku w:val="0"/>
        <w:overflowPunct w:val="0"/>
        <w:ind w:left="0"/>
        <w:rPr>
          <w:lang w:val="el-GR"/>
        </w:rPr>
      </w:pPr>
      <w:r>
        <w:rPr>
          <w:lang w:val="el-GR"/>
        </w:rPr>
        <w:t xml:space="preserve">Η Μελέτη ΙΙ της ψωρίασης (CHAMPION) συνέκρινε την αποτελεσματικότητα και την ασφάλεια του adalimumab </w:t>
      </w:r>
      <w:r>
        <w:rPr>
          <w:i/>
          <w:iCs/>
          <w:lang w:val="el-GR"/>
        </w:rPr>
        <w:t xml:space="preserve">έναντι </w:t>
      </w:r>
      <w:r>
        <w:rPr>
          <w:lang w:val="el-GR"/>
        </w:rPr>
        <w:t>της μεθοτρεξάτης και του εικονικού φαρμάκου σε 271 ασθενείς. Οι ασθενείς έλαβαν εικονικό φάρμακο, μεθοτρεξάτη σε αρχική δόση 7,5 mg και ακολούθως η δόση αυξήθηκε μέχρι την εβδομάδα 12 στη μέγιστη δόση των 25 mg ή adalimumab σε αρχική δόση 80 mg ακολουθούμενη από 40 mg κάθε δεύτερη εβδομάδα (ξεκινώντας μία εβδομάδα μετά την αρχική δόση) για 16 εβδομάδες. Δεν υπάρχουν διαθέσιμα στοιχεία τα οποία συγκρίνουν το adalimumab και τη μεθοτρεξάτη για πάνω από 16 εβδομάδες θεραπείας. Στους ασθενείς που λάμβαναν μεθοτρεξάτη και πέτυχαν ανταπόκριση ≥ PASI 50 την εβδομάδα 8 και /ή την 12 δεν έγιναν επιπρόσθετες αυξήσεις δόσης. Σε όλες τις θεραπευτικές ομάδες, τα μέσα αρχικά επίπεδα ανταπόκρισης PASI ήταν 19,7 και τα αρχικά επίπεδα PGA κυμαίνονται από “ήπια” (&lt; 1%) έως “μέτρια” (48%) έως “σοβαρή” (46%) έως “πολύ σοβαρή” (6%).</w:t>
      </w:r>
    </w:p>
    <w:p w14:paraId="3075B56F" w14:textId="77777777" w:rsidR="00171824" w:rsidRDefault="00171824">
      <w:pPr>
        <w:widowControl/>
        <w:kinsoku w:val="0"/>
        <w:overflowPunct w:val="0"/>
        <w:rPr>
          <w:sz w:val="22"/>
          <w:szCs w:val="22"/>
          <w:lang w:val="el-GR"/>
        </w:rPr>
      </w:pPr>
    </w:p>
    <w:p w14:paraId="2EBE2629" w14:textId="77777777" w:rsidR="00171824" w:rsidRDefault="006D258C">
      <w:pPr>
        <w:pStyle w:val="BodyText"/>
        <w:widowControl/>
        <w:kinsoku w:val="0"/>
        <w:overflowPunct w:val="0"/>
        <w:ind w:left="0"/>
        <w:rPr>
          <w:lang w:val="el-GR"/>
        </w:rPr>
      </w:pPr>
      <w:r>
        <w:rPr>
          <w:lang w:val="el-GR"/>
        </w:rPr>
        <w:t>Οι ασθενείς που συμμετείχαν σε όλες τις μελέτες ψωρίασης Φάσης 2 και Φάσης 3 κρίθηκαν κατάλληλοι για εισαγωγή σε μία ανοιχτή μελέτη επέκτασης, όπου το adalimumab χορηγήθηκε για τουλάχιστον 108 επιπλέον εβδομάδες.</w:t>
      </w:r>
    </w:p>
    <w:p w14:paraId="4FCACDA2" w14:textId="77777777" w:rsidR="00171824" w:rsidRDefault="00171824">
      <w:pPr>
        <w:widowControl/>
        <w:kinsoku w:val="0"/>
        <w:overflowPunct w:val="0"/>
        <w:rPr>
          <w:sz w:val="22"/>
          <w:szCs w:val="22"/>
          <w:lang w:val="el-GR"/>
        </w:rPr>
      </w:pPr>
    </w:p>
    <w:p w14:paraId="323F986B" w14:textId="77777777" w:rsidR="00171824" w:rsidRDefault="006D258C">
      <w:pPr>
        <w:pStyle w:val="BodyText"/>
        <w:widowControl/>
        <w:kinsoku w:val="0"/>
        <w:overflowPunct w:val="0"/>
        <w:ind w:left="0"/>
        <w:jc w:val="both"/>
        <w:rPr>
          <w:lang w:val="el-GR"/>
        </w:rPr>
      </w:pPr>
      <w:r>
        <w:rPr>
          <w:lang w:val="el-GR"/>
        </w:rPr>
        <w:lastRenderedPageBreak/>
        <w:t>Στις Μελέτες Ψωρίασης Ι και ΙΙ, ένα πρωτεύον καταληκτικό σημείο ήταν το ποσοστό των ασθενών οι οποίοι πέτυχαν ανταπόκριση PASI 75 από τα αρχικά επίπεδα μέχρι την εβδομάδα 16 (βλέπε πίνακες 16 και 17).</w:t>
      </w:r>
    </w:p>
    <w:p w14:paraId="4CC70F2C" w14:textId="77777777" w:rsidR="00171824" w:rsidRDefault="00171824">
      <w:pPr>
        <w:pStyle w:val="BodyText"/>
        <w:keepNext/>
        <w:keepLines/>
        <w:widowControl/>
        <w:ind w:left="0"/>
        <w:rPr>
          <w:b/>
          <w:lang w:val="el-GR"/>
        </w:rPr>
      </w:pPr>
    </w:p>
    <w:p w14:paraId="0B9DDDB5" w14:textId="77777777" w:rsidR="00171824" w:rsidRDefault="006D258C">
      <w:pPr>
        <w:pStyle w:val="BodyText"/>
        <w:keepNext/>
        <w:keepLines/>
        <w:widowControl/>
        <w:ind w:left="0"/>
        <w:rPr>
          <w:b/>
          <w:bCs/>
          <w:lang w:val="el-GR"/>
        </w:rPr>
      </w:pPr>
      <w:r>
        <w:rPr>
          <w:b/>
          <w:lang w:val="el-GR"/>
        </w:rPr>
        <w:t xml:space="preserve">Πίνακας </w:t>
      </w:r>
      <w:r>
        <w:rPr>
          <w:b/>
          <w:bCs/>
          <w:lang w:val="el-GR"/>
        </w:rPr>
        <w:t>16. Μελέτη Ψωρίασης I (REVEAL) Αποτελεσματικότητα στις 16 εβδομάδες</w:t>
      </w:r>
    </w:p>
    <w:p w14:paraId="424F309C" w14:textId="77777777" w:rsidR="00171824" w:rsidRDefault="00171824">
      <w:pPr>
        <w:pStyle w:val="BodyText"/>
        <w:keepNext/>
        <w:keepLines/>
        <w:widowControl/>
        <w:ind w:left="0"/>
        <w:rPr>
          <w:lang w:val="el-GR"/>
        </w:rPr>
      </w:pPr>
    </w:p>
    <w:tbl>
      <w:tblPr>
        <w:tblW w:w="5000" w:type="pct"/>
        <w:tblLook w:val="04A0" w:firstRow="1" w:lastRow="0" w:firstColumn="1" w:lastColumn="0" w:noHBand="0" w:noVBand="1"/>
      </w:tblPr>
      <w:tblGrid>
        <w:gridCol w:w="4107"/>
        <w:gridCol w:w="2408"/>
        <w:gridCol w:w="2546"/>
      </w:tblGrid>
      <w:tr w:rsidR="00171824" w14:paraId="647C3438" w14:textId="77777777">
        <w:trPr>
          <w:trHeight w:val="20"/>
        </w:trPr>
        <w:tc>
          <w:tcPr>
            <w:tcW w:w="2266" w:type="pct"/>
            <w:tcBorders>
              <w:top w:val="single" w:sz="4" w:space="0" w:color="000000"/>
              <w:left w:val="single" w:sz="4" w:space="0" w:color="000000"/>
              <w:bottom w:val="single" w:sz="4" w:space="0" w:color="000000"/>
              <w:right w:val="single" w:sz="4" w:space="0" w:color="000000"/>
            </w:tcBorders>
          </w:tcPr>
          <w:p w14:paraId="7308B1ED" w14:textId="77777777" w:rsidR="00171824" w:rsidRDefault="00171824">
            <w:pPr>
              <w:keepNext/>
              <w:keepLines/>
              <w:widowControl/>
              <w:rPr>
                <w:rFonts w:eastAsia="MS Mincho"/>
                <w:sz w:val="22"/>
                <w:szCs w:val="22"/>
                <w:lang w:val="el-GR"/>
              </w:rPr>
            </w:pPr>
          </w:p>
        </w:tc>
        <w:tc>
          <w:tcPr>
            <w:tcW w:w="1329" w:type="pct"/>
            <w:tcBorders>
              <w:top w:val="single" w:sz="4" w:space="0" w:color="000000"/>
              <w:left w:val="single" w:sz="4" w:space="0" w:color="000000"/>
              <w:bottom w:val="single" w:sz="4" w:space="0" w:color="000000"/>
              <w:right w:val="single" w:sz="4" w:space="0" w:color="000000"/>
            </w:tcBorders>
          </w:tcPr>
          <w:p w14:paraId="2F9EC876"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b/>
                <w:bCs/>
                <w:sz w:val="22"/>
                <w:szCs w:val="22"/>
                <w:lang w:val="el-GR"/>
              </w:rPr>
              <w:t>Εικονικό φάρμακο N=398</w:t>
            </w:r>
          </w:p>
          <w:p w14:paraId="797D17FA"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b/>
                <w:bCs/>
                <w:sz w:val="22"/>
                <w:szCs w:val="22"/>
                <w:lang w:val="el-GR"/>
              </w:rPr>
              <w:t>n (%)</w:t>
            </w:r>
          </w:p>
        </w:tc>
        <w:tc>
          <w:tcPr>
            <w:tcW w:w="1405" w:type="pct"/>
            <w:tcBorders>
              <w:top w:val="single" w:sz="4" w:space="0" w:color="000000"/>
              <w:left w:val="single" w:sz="4" w:space="0" w:color="000000"/>
              <w:bottom w:val="single" w:sz="4" w:space="0" w:color="000000"/>
              <w:right w:val="single" w:sz="4" w:space="0" w:color="000000"/>
            </w:tcBorders>
          </w:tcPr>
          <w:p w14:paraId="4F0DCC1A"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b/>
                <w:bCs/>
                <w:sz w:val="22"/>
                <w:szCs w:val="22"/>
                <w:lang w:val="el-GR"/>
              </w:rPr>
              <w:t>Adalimumab 40 mg κάθε δεύτερη εβδομάδα N=814</w:t>
            </w:r>
          </w:p>
          <w:p w14:paraId="5F5BEC11"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b/>
                <w:bCs/>
                <w:sz w:val="22"/>
                <w:szCs w:val="22"/>
                <w:lang w:val="el-GR"/>
              </w:rPr>
              <w:t>n (%)</w:t>
            </w:r>
          </w:p>
        </w:tc>
      </w:tr>
      <w:tr w:rsidR="00171824" w14:paraId="08881EA3" w14:textId="77777777">
        <w:trPr>
          <w:trHeight w:val="20"/>
        </w:trPr>
        <w:tc>
          <w:tcPr>
            <w:tcW w:w="2266" w:type="pct"/>
            <w:tcBorders>
              <w:top w:val="single" w:sz="4" w:space="0" w:color="000000"/>
              <w:left w:val="single" w:sz="4" w:space="0" w:color="000000"/>
              <w:bottom w:val="single" w:sz="4" w:space="0" w:color="000000"/>
              <w:right w:val="single" w:sz="4" w:space="0" w:color="000000"/>
            </w:tcBorders>
          </w:tcPr>
          <w:p w14:paraId="0BEC45B4" w14:textId="77777777" w:rsidR="00171824" w:rsidRDefault="006D258C">
            <w:pPr>
              <w:pStyle w:val="TableParagraph"/>
              <w:keepNext/>
              <w:keepLines/>
              <w:widowControl/>
              <w:kinsoku w:val="0"/>
              <w:overflowPunct w:val="0"/>
              <w:rPr>
                <w:rFonts w:eastAsia="MS Mincho"/>
                <w:sz w:val="22"/>
                <w:szCs w:val="22"/>
                <w:lang w:val="el-GR"/>
              </w:rPr>
            </w:pPr>
            <w:r>
              <w:rPr>
                <w:rFonts w:eastAsia="MS Mincho"/>
                <w:sz w:val="22"/>
                <w:szCs w:val="22"/>
                <w:lang w:val="el-GR"/>
              </w:rPr>
              <w:t xml:space="preserve">≥ </w:t>
            </w:r>
            <w:r>
              <w:rPr>
                <w:rFonts w:eastAsia="MS Mincho"/>
                <w:b/>
                <w:bCs/>
                <w:sz w:val="22"/>
                <w:szCs w:val="22"/>
                <w:lang w:val="el-GR"/>
              </w:rPr>
              <w:t>PASI 75</w:t>
            </w:r>
            <w:r>
              <w:rPr>
                <w:rFonts w:eastAsia="MS Mincho"/>
                <w:b/>
                <w:bCs/>
                <w:sz w:val="22"/>
                <w:szCs w:val="22"/>
                <w:vertAlign w:val="superscript"/>
                <w:lang w:val="el-GR"/>
              </w:rPr>
              <w:t>a</w:t>
            </w:r>
          </w:p>
        </w:tc>
        <w:tc>
          <w:tcPr>
            <w:tcW w:w="1329" w:type="pct"/>
            <w:tcBorders>
              <w:top w:val="single" w:sz="4" w:space="0" w:color="000000"/>
              <w:left w:val="single" w:sz="4" w:space="0" w:color="000000"/>
              <w:bottom w:val="single" w:sz="4" w:space="0" w:color="000000"/>
              <w:right w:val="single" w:sz="4" w:space="0" w:color="000000"/>
            </w:tcBorders>
          </w:tcPr>
          <w:p w14:paraId="023AB973"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sz w:val="22"/>
                <w:szCs w:val="22"/>
                <w:lang w:val="el-GR"/>
              </w:rPr>
              <w:t>26 (6,5)</w:t>
            </w:r>
          </w:p>
        </w:tc>
        <w:tc>
          <w:tcPr>
            <w:tcW w:w="1405" w:type="pct"/>
            <w:tcBorders>
              <w:top w:val="single" w:sz="4" w:space="0" w:color="000000"/>
              <w:left w:val="single" w:sz="4" w:space="0" w:color="000000"/>
              <w:bottom w:val="single" w:sz="4" w:space="0" w:color="000000"/>
              <w:right w:val="single" w:sz="4" w:space="0" w:color="000000"/>
            </w:tcBorders>
          </w:tcPr>
          <w:p w14:paraId="21E926F4"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sz w:val="22"/>
                <w:szCs w:val="22"/>
                <w:lang w:val="el-GR"/>
              </w:rPr>
              <w:t>578 (70,9)</w:t>
            </w:r>
            <w:r>
              <w:rPr>
                <w:rFonts w:eastAsia="MS Mincho"/>
                <w:sz w:val="22"/>
                <w:szCs w:val="22"/>
                <w:vertAlign w:val="superscript"/>
                <w:lang w:val="el-GR"/>
              </w:rPr>
              <w:t>b</w:t>
            </w:r>
          </w:p>
        </w:tc>
      </w:tr>
      <w:tr w:rsidR="00171824" w14:paraId="40E5D810" w14:textId="77777777">
        <w:trPr>
          <w:trHeight w:val="20"/>
        </w:trPr>
        <w:tc>
          <w:tcPr>
            <w:tcW w:w="2266" w:type="pct"/>
            <w:tcBorders>
              <w:top w:val="single" w:sz="4" w:space="0" w:color="000000"/>
              <w:left w:val="single" w:sz="4" w:space="0" w:color="000000"/>
              <w:bottom w:val="single" w:sz="4" w:space="0" w:color="000000"/>
              <w:right w:val="single" w:sz="4" w:space="0" w:color="000000"/>
            </w:tcBorders>
          </w:tcPr>
          <w:p w14:paraId="690BFBF9" w14:textId="77777777" w:rsidR="00171824" w:rsidRDefault="006D258C">
            <w:pPr>
              <w:pStyle w:val="TableParagraph"/>
              <w:keepNext/>
              <w:keepLines/>
              <w:widowControl/>
              <w:kinsoku w:val="0"/>
              <w:overflowPunct w:val="0"/>
              <w:rPr>
                <w:rFonts w:eastAsia="MS Mincho"/>
                <w:sz w:val="22"/>
                <w:szCs w:val="22"/>
                <w:lang w:val="el-GR"/>
              </w:rPr>
            </w:pPr>
            <w:r>
              <w:rPr>
                <w:rFonts w:eastAsia="MS Mincho"/>
                <w:b/>
                <w:bCs/>
                <w:sz w:val="22"/>
                <w:szCs w:val="22"/>
                <w:lang w:val="el-GR"/>
              </w:rPr>
              <w:t>PASI 100</w:t>
            </w:r>
          </w:p>
        </w:tc>
        <w:tc>
          <w:tcPr>
            <w:tcW w:w="1329" w:type="pct"/>
            <w:tcBorders>
              <w:top w:val="single" w:sz="4" w:space="0" w:color="000000"/>
              <w:left w:val="single" w:sz="4" w:space="0" w:color="000000"/>
              <w:bottom w:val="single" w:sz="4" w:space="0" w:color="000000"/>
              <w:right w:val="single" w:sz="4" w:space="0" w:color="000000"/>
            </w:tcBorders>
          </w:tcPr>
          <w:p w14:paraId="0BCE7878"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sz w:val="22"/>
                <w:szCs w:val="22"/>
                <w:lang w:val="el-GR"/>
              </w:rPr>
              <w:t>3 (0,8)</w:t>
            </w:r>
          </w:p>
        </w:tc>
        <w:tc>
          <w:tcPr>
            <w:tcW w:w="1405" w:type="pct"/>
            <w:tcBorders>
              <w:top w:val="single" w:sz="4" w:space="0" w:color="000000"/>
              <w:left w:val="single" w:sz="4" w:space="0" w:color="000000"/>
              <w:bottom w:val="single" w:sz="4" w:space="0" w:color="000000"/>
              <w:right w:val="single" w:sz="4" w:space="0" w:color="000000"/>
            </w:tcBorders>
          </w:tcPr>
          <w:p w14:paraId="0AF0547C"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sz w:val="22"/>
                <w:szCs w:val="22"/>
                <w:lang w:val="el-GR"/>
              </w:rPr>
              <w:t>163 (20,0)</w:t>
            </w:r>
            <w:r>
              <w:rPr>
                <w:rFonts w:eastAsia="MS Mincho"/>
                <w:sz w:val="22"/>
                <w:szCs w:val="22"/>
                <w:vertAlign w:val="superscript"/>
                <w:lang w:val="el-GR"/>
              </w:rPr>
              <w:t>b</w:t>
            </w:r>
          </w:p>
        </w:tc>
      </w:tr>
      <w:tr w:rsidR="00171824" w14:paraId="71BBC112" w14:textId="77777777">
        <w:trPr>
          <w:trHeight w:val="20"/>
        </w:trPr>
        <w:tc>
          <w:tcPr>
            <w:tcW w:w="2266" w:type="pct"/>
            <w:tcBorders>
              <w:top w:val="single" w:sz="4" w:space="0" w:color="000000"/>
              <w:left w:val="single" w:sz="4" w:space="0" w:color="000000"/>
              <w:bottom w:val="single" w:sz="4" w:space="0" w:color="000000"/>
              <w:right w:val="single" w:sz="4" w:space="0" w:color="000000"/>
            </w:tcBorders>
          </w:tcPr>
          <w:p w14:paraId="4C9EAE6F" w14:textId="77777777" w:rsidR="00171824" w:rsidRDefault="006D258C">
            <w:pPr>
              <w:pStyle w:val="TableParagraph"/>
              <w:keepNext/>
              <w:keepLines/>
              <w:widowControl/>
              <w:kinsoku w:val="0"/>
              <w:overflowPunct w:val="0"/>
              <w:rPr>
                <w:rFonts w:eastAsia="MS Mincho"/>
                <w:sz w:val="22"/>
                <w:szCs w:val="22"/>
                <w:lang w:val="el-GR"/>
              </w:rPr>
            </w:pPr>
            <w:r>
              <w:rPr>
                <w:rFonts w:eastAsia="MS Mincho"/>
                <w:b/>
                <w:bCs/>
                <w:sz w:val="22"/>
                <w:szCs w:val="22"/>
                <w:lang w:val="el-GR"/>
              </w:rPr>
              <w:t>PGA: Καθαρό /ελάχιστο</w:t>
            </w:r>
          </w:p>
        </w:tc>
        <w:tc>
          <w:tcPr>
            <w:tcW w:w="1329" w:type="pct"/>
            <w:tcBorders>
              <w:top w:val="single" w:sz="4" w:space="0" w:color="000000"/>
              <w:left w:val="single" w:sz="4" w:space="0" w:color="000000"/>
              <w:bottom w:val="single" w:sz="4" w:space="0" w:color="000000"/>
              <w:right w:val="single" w:sz="4" w:space="0" w:color="000000"/>
            </w:tcBorders>
          </w:tcPr>
          <w:p w14:paraId="7E96C33E"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sz w:val="22"/>
                <w:szCs w:val="22"/>
                <w:lang w:val="el-GR"/>
              </w:rPr>
              <w:t>17 (4,3)</w:t>
            </w:r>
          </w:p>
        </w:tc>
        <w:tc>
          <w:tcPr>
            <w:tcW w:w="1405" w:type="pct"/>
            <w:tcBorders>
              <w:top w:val="single" w:sz="4" w:space="0" w:color="000000"/>
              <w:left w:val="single" w:sz="4" w:space="0" w:color="000000"/>
              <w:bottom w:val="single" w:sz="4" w:space="0" w:color="000000"/>
              <w:right w:val="single" w:sz="4" w:space="0" w:color="000000"/>
            </w:tcBorders>
          </w:tcPr>
          <w:p w14:paraId="78CD2971" w14:textId="77777777" w:rsidR="00171824" w:rsidRDefault="006D258C">
            <w:pPr>
              <w:pStyle w:val="TableParagraph"/>
              <w:keepNext/>
              <w:keepLines/>
              <w:widowControl/>
              <w:kinsoku w:val="0"/>
              <w:overflowPunct w:val="0"/>
              <w:jc w:val="center"/>
              <w:rPr>
                <w:rFonts w:eastAsia="MS Mincho"/>
                <w:sz w:val="22"/>
                <w:szCs w:val="22"/>
                <w:lang w:val="el-GR"/>
              </w:rPr>
            </w:pPr>
            <w:r>
              <w:rPr>
                <w:rFonts w:eastAsia="MS Mincho"/>
                <w:sz w:val="22"/>
                <w:szCs w:val="22"/>
                <w:lang w:val="el-GR"/>
              </w:rPr>
              <w:t>506 (62,2)</w:t>
            </w:r>
            <w:r>
              <w:rPr>
                <w:rFonts w:eastAsia="MS Mincho"/>
                <w:sz w:val="22"/>
                <w:szCs w:val="22"/>
                <w:vertAlign w:val="superscript"/>
                <w:lang w:val="el-GR"/>
              </w:rPr>
              <w:t>b</w:t>
            </w:r>
          </w:p>
        </w:tc>
      </w:tr>
      <w:tr w:rsidR="00171824" w:rsidRPr="00422380" w14:paraId="1E6E1A66" w14:textId="77777777">
        <w:trPr>
          <w:trHeight w:val="20"/>
        </w:trPr>
        <w:tc>
          <w:tcPr>
            <w:tcW w:w="5000" w:type="pct"/>
            <w:gridSpan w:val="3"/>
            <w:tcBorders>
              <w:top w:val="single" w:sz="4" w:space="0" w:color="000000"/>
            </w:tcBorders>
          </w:tcPr>
          <w:p w14:paraId="4AEAB478" w14:textId="77777777" w:rsidR="00171824" w:rsidRDefault="006D258C">
            <w:pPr>
              <w:keepNext/>
              <w:keepLines/>
              <w:widowControl/>
              <w:tabs>
                <w:tab w:val="left" w:pos="351"/>
              </w:tabs>
              <w:kinsoku w:val="0"/>
              <w:overflowPunct w:val="0"/>
              <w:rPr>
                <w:rFonts w:eastAsia="MS Mincho"/>
                <w:sz w:val="20"/>
                <w:szCs w:val="20"/>
                <w:lang w:val="el-GR"/>
              </w:rPr>
            </w:pPr>
            <w:r>
              <w:rPr>
                <w:rFonts w:eastAsia="MS Mincho"/>
                <w:sz w:val="20"/>
                <w:szCs w:val="20"/>
                <w:vertAlign w:val="superscript"/>
                <w:lang w:val="el-GR"/>
              </w:rPr>
              <w:t>a</w:t>
            </w:r>
            <w:r>
              <w:rPr>
                <w:rFonts w:eastAsia="MS Mincho"/>
                <w:sz w:val="20"/>
                <w:szCs w:val="20"/>
                <w:lang w:val="el-GR"/>
              </w:rPr>
              <w:tab/>
              <w:t>Το ποσοστό ασθενών οι οποίοι πέτυχαν ανταπόκριση PASI 75</w:t>
            </w:r>
          </w:p>
          <w:p w14:paraId="291A2CD9" w14:textId="77777777" w:rsidR="00171824" w:rsidRDefault="006D258C">
            <w:pPr>
              <w:pStyle w:val="TableParagraph"/>
              <w:keepNext/>
              <w:keepLines/>
              <w:widowControl/>
              <w:kinsoku w:val="0"/>
              <w:overflowPunct w:val="0"/>
              <w:rPr>
                <w:rFonts w:eastAsia="MS Mincho"/>
                <w:sz w:val="20"/>
                <w:szCs w:val="20"/>
                <w:lang w:val="el-GR"/>
              </w:rPr>
            </w:pPr>
            <w:r>
              <w:rPr>
                <w:rFonts w:eastAsia="MS Mincho"/>
                <w:sz w:val="20"/>
                <w:szCs w:val="20"/>
                <w:lang w:val="el-GR"/>
              </w:rPr>
              <w:t>υπολογίστηκε ως ποσοστό προσαρμοσμένο ανάλογα με το κέντρο</w:t>
            </w:r>
          </w:p>
          <w:p w14:paraId="6C373EB8" w14:textId="77777777" w:rsidR="00171824" w:rsidRDefault="006D258C">
            <w:pPr>
              <w:keepNext/>
              <w:keepLines/>
              <w:widowControl/>
              <w:tabs>
                <w:tab w:val="left" w:pos="351"/>
              </w:tabs>
              <w:kinsoku w:val="0"/>
              <w:overflowPunct w:val="0"/>
              <w:rPr>
                <w:rFonts w:eastAsia="MS Mincho"/>
                <w:sz w:val="20"/>
                <w:szCs w:val="20"/>
                <w:lang w:val="el-GR"/>
              </w:rPr>
            </w:pPr>
            <w:r>
              <w:rPr>
                <w:rFonts w:eastAsia="MS Mincho"/>
                <w:sz w:val="20"/>
                <w:szCs w:val="20"/>
                <w:vertAlign w:val="superscript"/>
                <w:lang w:val="el-GR"/>
              </w:rPr>
              <w:t>b</w:t>
            </w:r>
            <w:r>
              <w:rPr>
                <w:rFonts w:eastAsia="MS Mincho"/>
                <w:sz w:val="20"/>
                <w:szCs w:val="20"/>
                <w:lang w:val="el-GR"/>
              </w:rPr>
              <w:tab/>
              <w:t xml:space="preserve">p&lt; 0,001, adalimumab </w:t>
            </w:r>
            <w:r>
              <w:rPr>
                <w:rFonts w:eastAsia="MS Mincho"/>
                <w:iCs/>
                <w:sz w:val="20"/>
                <w:szCs w:val="20"/>
                <w:lang w:val="el-GR"/>
              </w:rPr>
              <w:t>έναντι</w:t>
            </w:r>
            <w:r>
              <w:rPr>
                <w:rFonts w:eastAsia="MS Mincho"/>
                <w:i/>
                <w:iCs/>
                <w:sz w:val="20"/>
                <w:szCs w:val="20"/>
                <w:lang w:val="el-GR"/>
              </w:rPr>
              <w:t xml:space="preserve"> </w:t>
            </w:r>
            <w:r>
              <w:rPr>
                <w:rFonts w:eastAsia="MS Mincho"/>
                <w:sz w:val="20"/>
                <w:szCs w:val="20"/>
                <w:lang w:val="el-GR"/>
              </w:rPr>
              <w:t>εικονικού φαρμάκου.</w:t>
            </w:r>
          </w:p>
        </w:tc>
      </w:tr>
    </w:tbl>
    <w:p w14:paraId="00F770C8" w14:textId="77777777" w:rsidR="00171824" w:rsidRDefault="00171824">
      <w:pPr>
        <w:widowControl/>
        <w:kinsoku w:val="0"/>
        <w:overflowPunct w:val="0"/>
        <w:rPr>
          <w:sz w:val="22"/>
          <w:szCs w:val="22"/>
          <w:lang w:val="el-GR"/>
        </w:rPr>
      </w:pPr>
    </w:p>
    <w:p w14:paraId="2FAE6533" w14:textId="77777777" w:rsidR="00171824" w:rsidRDefault="006D258C">
      <w:pPr>
        <w:pStyle w:val="BodyText"/>
        <w:keepNext/>
        <w:widowControl/>
        <w:ind w:left="0"/>
        <w:rPr>
          <w:b/>
          <w:lang w:val="el-GR"/>
        </w:rPr>
      </w:pPr>
      <w:r>
        <w:rPr>
          <w:b/>
          <w:lang w:val="el-GR"/>
        </w:rPr>
        <w:t>Πίνακας 17.</w:t>
      </w:r>
      <w:r>
        <w:rPr>
          <w:b/>
          <w:bCs/>
          <w:lang w:val="el-GR"/>
        </w:rPr>
        <w:t xml:space="preserve"> Μελέτη Ψωρίασης II (CHAMPION) Αποτελεσματικότητα στις 16 εβδομάδες</w:t>
      </w:r>
    </w:p>
    <w:p w14:paraId="506D2660" w14:textId="77777777" w:rsidR="00171824" w:rsidRDefault="00171824">
      <w:pPr>
        <w:keepNext/>
        <w:widowControl/>
        <w:kinsoku w:val="0"/>
        <w:overflowPunct w:val="0"/>
        <w:rPr>
          <w:sz w:val="22"/>
          <w:szCs w:val="22"/>
          <w:lang w:val="el-GR"/>
        </w:rPr>
      </w:pPr>
    </w:p>
    <w:tbl>
      <w:tblPr>
        <w:tblW w:w="5000" w:type="pct"/>
        <w:tblLook w:val="04A0" w:firstRow="1" w:lastRow="0" w:firstColumn="1" w:lastColumn="0" w:noHBand="0" w:noVBand="1"/>
      </w:tblPr>
      <w:tblGrid>
        <w:gridCol w:w="2527"/>
        <w:gridCol w:w="2004"/>
        <w:gridCol w:w="1986"/>
        <w:gridCol w:w="2544"/>
      </w:tblGrid>
      <w:tr w:rsidR="00171824" w14:paraId="11834BA0" w14:textId="77777777">
        <w:trPr>
          <w:trHeight w:val="20"/>
        </w:trPr>
        <w:tc>
          <w:tcPr>
            <w:tcW w:w="1394" w:type="pct"/>
            <w:tcBorders>
              <w:top w:val="single" w:sz="4" w:space="0" w:color="000000"/>
              <w:left w:val="single" w:sz="4" w:space="0" w:color="000000"/>
              <w:bottom w:val="single" w:sz="4" w:space="0" w:color="000000"/>
              <w:right w:val="single" w:sz="4" w:space="0" w:color="000000"/>
            </w:tcBorders>
          </w:tcPr>
          <w:p w14:paraId="066615D8" w14:textId="77777777" w:rsidR="00171824" w:rsidRDefault="00171824">
            <w:pPr>
              <w:keepNext/>
              <w:widowControl/>
              <w:rPr>
                <w:rFonts w:eastAsia="MS Mincho"/>
                <w:sz w:val="22"/>
                <w:szCs w:val="22"/>
                <w:lang w:val="el-GR"/>
              </w:rPr>
            </w:pPr>
          </w:p>
        </w:tc>
        <w:tc>
          <w:tcPr>
            <w:tcW w:w="1106" w:type="pct"/>
            <w:tcBorders>
              <w:top w:val="single" w:sz="4" w:space="0" w:color="000000"/>
              <w:left w:val="single" w:sz="4" w:space="0" w:color="000000"/>
              <w:bottom w:val="single" w:sz="4" w:space="0" w:color="000000"/>
              <w:right w:val="single" w:sz="4" w:space="0" w:color="000000"/>
            </w:tcBorders>
          </w:tcPr>
          <w:p w14:paraId="1560BCEA"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w:t>
            </w:r>
          </w:p>
          <w:p w14:paraId="3B3C0E63" w14:textId="77777777" w:rsidR="00171824" w:rsidRDefault="006D258C">
            <w:pPr>
              <w:pStyle w:val="TableParagraph"/>
              <w:keepNext/>
              <w:widowControl/>
              <w:kinsoku w:val="0"/>
              <w:overflowPunct w:val="0"/>
              <w:jc w:val="center"/>
              <w:rPr>
                <w:rFonts w:eastAsia="MS Mincho"/>
                <w:b/>
                <w:bCs/>
                <w:sz w:val="22"/>
                <w:szCs w:val="22"/>
                <w:lang w:val="el-GR"/>
              </w:rPr>
            </w:pPr>
            <w:r>
              <w:rPr>
                <w:rFonts w:eastAsia="MS Mincho"/>
                <w:b/>
                <w:bCs/>
                <w:sz w:val="22"/>
                <w:szCs w:val="22"/>
                <w:lang w:val="el-GR"/>
              </w:rPr>
              <w:t xml:space="preserve">N=53 </w:t>
            </w:r>
          </w:p>
          <w:p w14:paraId="0A00BA58"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w:t>
            </w:r>
          </w:p>
        </w:tc>
        <w:tc>
          <w:tcPr>
            <w:tcW w:w="1096" w:type="pct"/>
            <w:tcBorders>
              <w:top w:val="single" w:sz="4" w:space="0" w:color="000000"/>
              <w:left w:val="single" w:sz="4" w:space="0" w:color="000000"/>
              <w:bottom w:val="single" w:sz="4" w:space="0" w:color="000000"/>
              <w:right w:val="single" w:sz="4" w:space="0" w:color="000000"/>
            </w:tcBorders>
          </w:tcPr>
          <w:p w14:paraId="58F9754B"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MTX</w:t>
            </w:r>
          </w:p>
          <w:p w14:paraId="7515A857" w14:textId="77777777" w:rsidR="00171824" w:rsidRDefault="006D258C">
            <w:pPr>
              <w:pStyle w:val="TableParagraph"/>
              <w:keepNext/>
              <w:widowControl/>
              <w:kinsoku w:val="0"/>
              <w:overflowPunct w:val="0"/>
              <w:jc w:val="center"/>
              <w:rPr>
                <w:rFonts w:eastAsia="MS Mincho"/>
                <w:b/>
                <w:bCs/>
                <w:sz w:val="22"/>
                <w:szCs w:val="22"/>
                <w:lang w:val="el-GR"/>
              </w:rPr>
            </w:pPr>
            <w:r>
              <w:rPr>
                <w:rFonts w:eastAsia="MS Mincho"/>
                <w:b/>
                <w:bCs/>
                <w:sz w:val="22"/>
                <w:szCs w:val="22"/>
                <w:lang w:val="el-GR"/>
              </w:rPr>
              <w:t xml:space="preserve">N=110 </w:t>
            </w:r>
          </w:p>
          <w:p w14:paraId="5AE81999"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w:t>
            </w:r>
          </w:p>
        </w:tc>
        <w:tc>
          <w:tcPr>
            <w:tcW w:w="1403" w:type="pct"/>
            <w:tcBorders>
              <w:top w:val="single" w:sz="4" w:space="0" w:color="000000"/>
              <w:left w:val="single" w:sz="4" w:space="0" w:color="000000"/>
              <w:bottom w:val="single" w:sz="4" w:space="0" w:color="000000"/>
              <w:right w:val="single" w:sz="4" w:space="0" w:color="000000"/>
            </w:tcBorders>
          </w:tcPr>
          <w:p w14:paraId="152AF680"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Adalimumab 40 mg κάθε δεύτερη εβδομάδα N=108</w:t>
            </w:r>
          </w:p>
          <w:p w14:paraId="2C3F3FE7"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w:t>
            </w:r>
          </w:p>
        </w:tc>
      </w:tr>
      <w:tr w:rsidR="00171824" w14:paraId="4A0F1165" w14:textId="77777777">
        <w:trPr>
          <w:trHeight w:val="20"/>
        </w:trPr>
        <w:tc>
          <w:tcPr>
            <w:tcW w:w="1394" w:type="pct"/>
            <w:tcBorders>
              <w:top w:val="single" w:sz="4" w:space="0" w:color="000000"/>
              <w:left w:val="single" w:sz="4" w:space="0" w:color="000000"/>
              <w:bottom w:val="single" w:sz="4" w:space="0" w:color="000000"/>
              <w:right w:val="single" w:sz="4" w:space="0" w:color="000000"/>
            </w:tcBorders>
          </w:tcPr>
          <w:p w14:paraId="74F8F045"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w:t>
            </w:r>
            <w:r>
              <w:rPr>
                <w:rFonts w:eastAsia="MS Mincho"/>
                <w:b/>
                <w:bCs/>
                <w:sz w:val="22"/>
                <w:szCs w:val="22"/>
                <w:lang w:val="el-GR"/>
              </w:rPr>
              <w:t>PASI 75</w:t>
            </w:r>
          </w:p>
        </w:tc>
        <w:tc>
          <w:tcPr>
            <w:tcW w:w="1106" w:type="pct"/>
            <w:tcBorders>
              <w:top w:val="single" w:sz="4" w:space="0" w:color="000000"/>
              <w:left w:val="single" w:sz="4" w:space="0" w:color="000000"/>
              <w:bottom w:val="single" w:sz="4" w:space="0" w:color="000000"/>
              <w:right w:val="single" w:sz="4" w:space="0" w:color="000000"/>
            </w:tcBorders>
          </w:tcPr>
          <w:p w14:paraId="0D267B4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10 (18,9)</w:t>
            </w:r>
          </w:p>
        </w:tc>
        <w:tc>
          <w:tcPr>
            <w:tcW w:w="1096" w:type="pct"/>
            <w:tcBorders>
              <w:top w:val="single" w:sz="4" w:space="0" w:color="000000"/>
              <w:left w:val="single" w:sz="4" w:space="0" w:color="000000"/>
              <w:bottom w:val="single" w:sz="4" w:space="0" w:color="000000"/>
              <w:right w:val="single" w:sz="4" w:space="0" w:color="000000"/>
            </w:tcBorders>
          </w:tcPr>
          <w:p w14:paraId="1854488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39 (35,5)</w:t>
            </w:r>
          </w:p>
        </w:tc>
        <w:tc>
          <w:tcPr>
            <w:tcW w:w="1403" w:type="pct"/>
            <w:tcBorders>
              <w:top w:val="single" w:sz="4" w:space="0" w:color="000000"/>
              <w:left w:val="single" w:sz="4" w:space="0" w:color="000000"/>
              <w:bottom w:val="single" w:sz="4" w:space="0" w:color="000000"/>
              <w:right w:val="single" w:sz="4" w:space="0" w:color="000000"/>
            </w:tcBorders>
          </w:tcPr>
          <w:p w14:paraId="746E646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 xml:space="preserve">86 (79,6) </w:t>
            </w:r>
            <w:r>
              <w:rPr>
                <w:rFonts w:eastAsia="MS Mincho"/>
                <w:sz w:val="22"/>
                <w:szCs w:val="22"/>
                <w:vertAlign w:val="superscript"/>
                <w:lang w:val="el-GR"/>
              </w:rPr>
              <w:t>a, b</w:t>
            </w:r>
          </w:p>
        </w:tc>
      </w:tr>
      <w:tr w:rsidR="00171824" w14:paraId="2F05F376" w14:textId="77777777">
        <w:trPr>
          <w:trHeight w:val="20"/>
        </w:trPr>
        <w:tc>
          <w:tcPr>
            <w:tcW w:w="1394" w:type="pct"/>
            <w:tcBorders>
              <w:top w:val="single" w:sz="4" w:space="0" w:color="000000"/>
              <w:left w:val="single" w:sz="4" w:space="0" w:color="000000"/>
              <w:bottom w:val="single" w:sz="4" w:space="0" w:color="000000"/>
              <w:right w:val="single" w:sz="4" w:space="0" w:color="000000"/>
            </w:tcBorders>
          </w:tcPr>
          <w:p w14:paraId="3F1B3645" w14:textId="77777777" w:rsidR="00171824" w:rsidRDefault="006D258C">
            <w:pPr>
              <w:pStyle w:val="TableParagraph"/>
              <w:widowControl/>
              <w:kinsoku w:val="0"/>
              <w:overflowPunct w:val="0"/>
              <w:rPr>
                <w:rFonts w:eastAsia="MS Mincho"/>
                <w:sz w:val="22"/>
                <w:szCs w:val="22"/>
                <w:lang w:val="el-GR"/>
              </w:rPr>
            </w:pPr>
            <w:r>
              <w:rPr>
                <w:rFonts w:eastAsia="MS Mincho"/>
                <w:b/>
                <w:bCs/>
                <w:sz w:val="22"/>
                <w:szCs w:val="22"/>
                <w:lang w:val="el-GR"/>
              </w:rPr>
              <w:t>PASI 100</w:t>
            </w:r>
          </w:p>
        </w:tc>
        <w:tc>
          <w:tcPr>
            <w:tcW w:w="1106" w:type="pct"/>
            <w:tcBorders>
              <w:top w:val="single" w:sz="4" w:space="0" w:color="000000"/>
              <w:left w:val="single" w:sz="4" w:space="0" w:color="000000"/>
              <w:bottom w:val="single" w:sz="4" w:space="0" w:color="000000"/>
              <w:right w:val="single" w:sz="4" w:space="0" w:color="000000"/>
            </w:tcBorders>
          </w:tcPr>
          <w:p w14:paraId="11FDC21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 (1,9)</w:t>
            </w:r>
          </w:p>
        </w:tc>
        <w:tc>
          <w:tcPr>
            <w:tcW w:w="1096" w:type="pct"/>
            <w:tcBorders>
              <w:top w:val="single" w:sz="4" w:space="0" w:color="000000"/>
              <w:left w:val="single" w:sz="4" w:space="0" w:color="000000"/>
              <w:bottom w:val="single" w:sz="4" w:space="0" w:color="000000"/>
              <w:right w:val="single" w:sz="4" w:space="0" w:color="000000"/>
            </w:tcBorders>
          </w:tcPr>
          <w:p w14:paraId="4F0BE21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8 (7,3)</w:t>
            </w:r>
          </w:p>
        </w:tc>
        <w:tc>
          <w:tcPr>
            <w:tcW w:w="1403" w:type="pct"/>
            <w:tcBorders>
              <w:top w:val="single" w:sz="4" w:space="0" w:color="000000"/>
              <w:left w:val="single" w:sz="4" w:space="0" w:color="000000"/>
              <w:bottom w:val="single" w:sz="4" w:space="0" w:color="000000"/>
              <w:right w:val="single" w:sz="4" w:space="0" w:color="000000"/>
            </w:tcBorders>
          </w:tcPr>
          <w:p w14:paraId="15EC8DBB"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 xml:space="preserve">18 (16,7) </w:t>
            </w:r>
            <w:r>
              <w:rPr>
                <w:rFonts w:eastAsia="MS Mincho"/>
                <w:sz w:val="22"/>
                <w:szCs w:val="22"/>
                <w:vertAlign w:val="superscript"/>
                <w:lang w:val="el-GR"/>
              </w:rPr>
              <w:t>c, d</w:t>
            </w:r>
          </w:p>
        </w:tc>
      </w:tr>
      <w:tr w:rsidR="00171824" w14:paraId="700C86A9" w14:textId="77777777">
        <w:trPr>
          <w:trHeight w:val="20"/>
        </w:trPr>
        <w:tc>
          <w:tcPr>
            <w:tcW w:w="1394" w:type="pct"/>
            <w:tcBorders>
              <w:top w:val="single" w:sz="4" w:space="0" w:color="000000"/>
              <w:left w:val="single" w:sz="4" w:space="0" w:color="000000"/>
              <w:bottom w:val="single" w:sz="4" w:space="0" w:color="000000"/>
              <w:right w:val="single" w:sz="4" w:space="0" w:color="000000"/>
            </w:tcBorders>
          </w:tcPr>
          <w:p w14:paraId="1259B602" w14:textId="77777777" w:rsidR="00171824" w:rsidRDefault="006D258C">
            <w:pPr>
              <w:pStyle w:val="TableParagraph"/>
              <w:widowControl/>
              <w:kinsoku w:val="0"/>
              <w:overflowPunct w:val="0"/>
              <w:rPr>
                <w:rFonts w:eastAsia="MS Mincho"/>
                <w:sz w:val="22"/>
                <w:szCs w:val="22"/>
                <w:lang w:val="el-GR"/>
              </w:rPr>
            </w:pPr>
            <w:r>
              <w:rPr>
                <w:rFonts w:eastAsia="MS Mincho"/>
                <w:b/>
                <w:bCs/>
                <w:sz w:val="22"/>
                <w:szCs w:val="22"/>
                <w:lang w:val="el-GR"/>
              </w:rPr>
              <w:t>PGA:</w:t>
            </w:r>
          </w:p>
          <w:p w14:paraId="16A830CA" w14:textId="77777777" w:rsidR="00171824" w:rsidRDefault="006D258C">
            <w:pPr>
              <w:pStyle w:val="TableParagraph"/>
              <w:widowControl/>
              <w:kinsoku w:val="0"/>
              <w:overflowPunct w:val="0"/>
              <w:rPr>
                <w:rFonts w:eastAsia="MS Mincho"/>
                <w:sz w:val="22"/>
                <w:szCs w:val="22"/>
                <w:lang w:val="el-GR"/>
              </w:rPr>
            </w:pPr>
            <w:r>
              <w:rPr>
                <w:rFonts w:eastAsia="MS Mincho"/>
                <w:b/>
                <w:bCs/>
                <w:sz w:val="22"/>
                <w:szCs w:val="22"/>
                <w:lang w:val="el-GR"/>
              </w:rPr>
              <w:t>Καθαρό/ελάχιστο</w:t>
            </w:r>
          </w:p>
        </w:tc>
        <w:tc>
          <w:tcPr>
            <w:tcW w:w="1106" w:type="pct"/>
            <w:tcBorders>
              <w:top w:val="single" w:sz="4" w:space="0" w:color="000000"/>
              <w:left w:val="single" w:sz="4" w:space="0" w:color="000000"/>
              <w:bottom w:val="single" w:sz="4" w:space="0" w:color="000000"/>
              <w:right w:val="single" w:sz="4" w:space="0" w:color="000000"/>
            </w:tcBorders>
          </w:tcPr>
          <w:p w14:paraId="4D64627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6 (11,3)</w:t>
            </w:r>
          </w:p>
        </w:tc>
        <w:tc>
          <w:tcPr>
            <w:tcW w:w="1096" w:type="pct"/>
            <w:tcBorders>
              <w:top w:val="single" w:sz="4" w:space="0" w:color="000000"/>
              <w:left w:val="single" w:sz="4" w:space="0" w:color="000000"/>
              <w:bottom w:val="single" w:sz="4" w:space="0" w:color="000000"/>
              <w:right w:val="single" w:sz="4" w:space="0" w:color="000000"/>
            </w:tcBorders>
          </w:tcPr>
          <w:p w14:paraId="1F233C9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33 (30,0)</w:t>
            </w:r>
          </w:p>
        </w:tc>
        <w:tc>
          <w:tcPr>
            <w:tcW w:w="1403" w:type="pct"/>
            <w:tcBorders>
              <w:top w:val="single" w:sz="4" w:space="0" w:color="000000"/>
              <w:left w:val="single" w:sz="4" w:space="0" w:color="000000"/>
              <w:bottom w:val="single" w:sz="4" w:space="0" w:color="000000"/>
              <w:right w:val="single" w:sz="4" w:space="0" w:color="000000"/>
            </w:tcBorders>
          </w:tcPr>
          <w:p w14:paraId="25D824E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 xml:space="preserve">79 (73,1) </w:t>
            </w:r>
            <w:r>
              <w:rPr>
                <w:rFonts w:eastAsia="MS Mincho"/>
                <w:sz w:val="22"/>
                <w:szCs w:val="22"/>
                <w:vertAlign w:val="superscript"/>
                <w:lang w:val="el-GR"/>
              </w:rPr>
              <w:t>a, b</w:t>
            </w:r>
          </w:p>
        </w:tc>
      </w:tr>
      <w:tr w:rsidR="00171824" w:rsidRPr="00422380" w14:paraId="5AE6AA5F" w14:textId="77777777">
        <w:trPr>
          <w:trHeight w:val="20"/>
        </w:trPr>
        <w:tc>
          <w:tcPr>
            <w:tcW w:w="5000" w:type="pct"/>
            <w:gridSpan w:val="4"/>
            <w:tcBorders>
              <w:top w:val="single" w:sz="4" w:space="0" w:color="000000"/>
            </w:tcBorders>
          </w:tcPr>
          <w:p w14:paraId="2B96EBF2" w14:textId="77777777" w:rsidR="00171824" w:rsidRPr="00E10827" w:rsidRDefault="006D258C">
            <w:pPr>
              <w:widowControl/>
              <w:tabs>
                <w:tab w:val="left" w:pos="313"/>
              </w:tabs>
              <w:kinsoku w:val="0"/>
              <w:overflowPunct w:val="0"/>
              <w:rPr>
                <w:rFonts w:eastAsia="MS Mincho"/>
                <w:sz w:val="20"/>
                <w:szCs w:val="20"/>
                <w:lang w:val="el-GR"/>
              </w:rPr>
            </w:pPr>
            <w:r>
              <w:rPr>
                <w:rFonts w:eastAsia="MS Mincho"/>
                <w:sz w:val="20"/>
                <w:szCs w:val="20"/>
                <w:vertAlign w:val="superscript"/>
              </w:rPr>
              <w:t>a</w:t>
            </w:r>
            <w:r w:rsidRPr="00E10827">
              <w:rPr>
                <w:rFonts w:eastAsia="MS Mincho"/>
                <w:sz w:val="20"/>
                <w:szCs w:val="20"/>
                <w:lang w:val="el-GR"/>
              </w:rPr>
              <w:tab/>
            </w:r>
            <w:r>
              <w:rPr>
                <w:rFonts w:eastAsia="MS Mincho"/>
                <w:sz w:val="20"/>
                <w:szCs w:val="20"/>
              </w:rPr>
              <w:t>p</w:t>
            </w:r>
            <w:r w:rsidRPr="00E10827">
              <w:rPr>
                <w:rFonts w:eastAsia="MS Mincho"/>
                <w:sz w:val="20"/>
                <w:szCs w:val="20"/>
                <w:lang w:val="el-GR"/>
              </w:rPr>
              <w:t xml:space="preserve">&lt; 0,001 </w:t>
            </w:r>
            <w:r>
              <w:rPr>
                <w:rFonts w:eastAsia="MS Mincho"/>
                <w:sz w:val="20"/>
                <w:szCs w:val="20"/>
              </w:rPr>
              <w:t>adalimumab</w:t>
            </w:r>
            <w:r w:rsidRPr="00E10827">
              <w:rPr>
                <w:rFonts w:eastAsia="MS Mincho"/>
                <w:sz w:val="20"/>
                <w:szCs w:val="20"/>
                <w:lang w:val="el-GR"/>
              </w:rPr>
              <w:t xml:space="preserve"> </w:t>
            </w:r>
            <w:r>
              <w:rPr>
                <w:rFonts w:eastAsia="MS Mincho"/>
                <w:i/>
                <w:iCs/>
                <w:sz w:val="20"/>
                <w:szCs w:val="20"/>
                <w:lang w:val="el-GR"/>
              </w:rPr>
              <w:t>έναντι</w:t>
            </w:r>
            <w:r w:rsidRPr="00E10827">
              <w:rPr>
                <w:rFonts w:eastAsia="MS Mincho"/>
                <w:i/>
                <w:iCs/>
                <w:sz w:val="20"/>
                <w:szCs w:val="20"/>
                <w:lang w:val="el-GR"/>
              </w:rPr>
              <w:t xml:space="preserve"> </w:t>
            </w:r>
            <w:r>
              <w:rPr>
                <w:rFonts w:eastAsia="MS Mincho"/>
                <w:sz w:val="20"/>
                <w:szCs w:val="20"/>
                <w:lang w:val="el-GR"/>
              </w:rPr>
              <w:t>εικονικού</w:t>
            </w:r>
            <w:r w:rsidRPr="00E10827">
              <w:rPr>
                <w:rFonts w:eastAsia="MS Mincho"/>
                <w:sz w:val="20"/>
                <w:szCs w:val="20"/>
                <w:lang w:val="el-GR"/>
              </w:rPr>
              <w:t xml:space="preserve"> </w:t>
            </w:r>
            <w:r>
              <w:rPr>
                <w:rFonts w:eastAsia="MS Mincho"/>
                <w:sz w:val="20"/>
                <w:szCs w:val="20"/>
                <w:lang w:val="el-GR"/>
              </w:rPr>
              <w:t>φαρμάκου</w:t>
            </w:r>
          </w:p>
          <w:p w14:paraId="57E661C7" w14:textId="77777777" w:rsidR="00171824" w:rsidRPr="00E10827" w:rsidRDefault="006D258C">
            <w:pPr>
              <w:widowControl/>
              <w:tabs>
                <w:tab w:val="left" w:pos="313"/>
              </w:tabs>
              <w:kinsoku w:val="0"/>
              <w:overflowPunct w:val="0"/>
              <w:rPr>
                <w:rFonts w:eastAsia="MS Mincho"/>
                <w:sz w:val="20"/>
                <w:szCs w:val="20"/>
                <w:lang w:val="el-GR"/>
              </w:rPr>
            </w:pPr>
            <w:r>
              <w:rPr>
                <w:rFonts w:eastAsia="MS Mincho"/>
                <w:sz w:val="20"/>
                <w:szCs w:val="20"/>
                <w:vertAlign w:val="superscript"/>
              </w:rPr>
              <w:t>b</w:t>
            </w:r>
            <w:r w:rsidRPr="00E10827">
              <w:rPr>
                <w:rFonts w:eastAsia="MS Mincho"/>
                <w:sz w:val="20"/>
                <w:szCs w:val="20"/>
                <w:lang w:val="el-GR"/>
              </w:rPr>
              <w:tab/>
            </w:r>
            <w:r>
              <w:rPr>
                <w:rFonts w:eastAsia="MS Mincho"/>
                <w:sz w:val="20"/>
                <w:szCs w:val="20"/>
              </w:rPr>
              <w:t>p</w:t>
            </w:r>
            <w:r w:rsidRPr="00E10827">
              <w:rPr>
                <w:rFonts w:eastAsia="MS Mincho"/>
                <w:sz w:val="20"/>
                <w:szCs w:val="20"/>
                <w:lang w:val="el-GR"/>
              </w:rPr>
              <w:t xml:space="preserve">&lt; 0,001 </w:t>
            </w:r>
            <w:r>
              <w:rPr>
                <w:rFonts w:eastAsia="MS Mincho"/>
                <w:sz w:val="20"/>
                <w:szCs w:val="20"/>
              </w:rPr>
              <w:t>adalimumab</w:t>
            </w:r>
            <w:r w:rsidRPr="00E10827">
              <w:rPr>
                <w:rFonts w:eastAsia="MS Mincho"/>
                <w:sz w:val="20"/>
                <w:szCs w:val="20"/>
                <w:lang w:val="el-GR"/>
              </w:rPr>
              <w:t xml:space="preserve"> </w:t>
            </w:r>
            <w:r>
              <w:rPr>
                <w:rFonts w:eastAsia="MS Mincho"/>
                <w:i/>
                <w:iCs/>
                <w:sz w:val="20"/>
                <w:szCs w:val="20"/>
                <w:lang w:val="el-GR"/>
              </w:rPr>
              <w:t>έναντι</w:t>
            </w:r>
            <w:r w:rsidRPr="00E10827">
              <w:rPr>
                <w:rFonts w:eastAsia="MS Mincho"/>
                <w:i/>
                <w:iCs/>
                <w:sz w:val="20"/>
                <w:szCs w:val="20"/>
                <w:lang w:val="el-GR"/>
              </w:rPr>
              <w:t xml:space="preserve"> </w:t>
            </w:r>
            <w:r>
              <w:rPr>
                <w:rFonts w:eastAsia="MS Mincho"/>
                <w:sz w:val="20"/>
                <w:szCs w:val="20"/>
                <w:lang w:val="el-GR"/>
              </w:rPr>
              <w:t>μεθοτρεξάτης</w:t>
            </w:r>
          </w:p>
          <w:p w14:paraId="3C41F858" w14:textId="77777777" w:rsidR="00171824" w:rsidRPr="00E10827" w:rsidRDefault="006D258C">
            <w:pPr>
              <w:widowControl/>
              <w:tabs>
                <w:tab w:val="left" w:pos="313"/>
              </w:tabs>
              <w:kinsoku w:val="0"/>
              <w:overflowPunct w:val="0"/>
              <w:rPr>
                <w:rFonts w:eastAsia="MS Mincho"/>
                <w:sz w:val="20"/>
                <w:szCs w:val="20"/>
                <w:lang w:val="el-GR"/>
              </w:rPr>
            </w:pPr>
            <w:r>
              <w:rPr>
                <w:rFonts w:eastAsia="MS Mincho"/>
                <w:sz w:val="20"/>
                <w:szCs w:val="20"/>
                <w:vertAlign w:val="superscript"/>
              </w:rPr>
              <w:t>c</w:t>
            </w:r>
            <w:r w:rsidRPr="00E10827">
              <w:rPr>
                <w:rFonts w:eastAsia="MS Mincho"/>
                <w:sz w:val="20"/>
                <w:szCs w:val="20"/>
                <w:lang w:val="el-GR"/>
              </w:rPr>
              <w:tab/>
            </w:r>
            <w:r>
              <w:rPr>
                <w:rFonts w:eastAsia="MS Mincho"/>
                <w:sz w:val="20"/>
                <w:szCs w:val="20"/>
              </w:rPr>
              <w:t>p</w:t>
            </w:r>
            <w:r w:rsidRPr="00E10827">
              <w:rPr>
                <w:rFonts w:eastAsia="MS Mincho"/>
                <w:sz w:val="20"/>
                <w:szCs w:val="20"/>
                <w:lang w:val="el-GR"/>
              </w:rPr>
              <w:t xml:space="preserve">&lt; 0,01 </w:t>
            </w:r>
            <w:r>
              <w:rPr>
                <w:rFonts w:eastAsia="MS Mincho"/>
                <w:sz w:val="20"/>
                <w:szCs w:val="20"/>
              </w:rPr>
              <w:t>adalimumab</w:t>
            </w:r>
            <w:r w:rsidRPr="00E10827">
              <w:rPr>
                <w:rFonts w:eastAsia="MS Mincho"/>
                <w:sz w:val="20"/>
                <w:szCs w:val="20"/>
                <w:lang w:val="el-GR"/>
              </w:rPr>
              <w:t xml:space="preserve"> </w:t>
            </w:r>
            <w:r>
              <w:rPr>
                <w:rFonts w:eastAsia="MS Mincho"/>
                <w:i/>
                <w:iCs/>
                <w:sz w:val="20"/>
                <w:szCs w:val="20"/>
                <w:lang w:val="el-GR"/>
              </w:rPr>
              <w:t>έναντι</w:t>
            </w:r>
            <w:r w:rsidRPr="00E10827">
              <w:rPr>
                <w:rFonts w:eastAsia="MS Mincho"/>
                <w:i/>
                <w:iCs/>
                <w:sz w:val="20"/>
                <w:szCs w:val="20"/>
                <w:lang w:val="el-GR"/>
              </w:rPr>
              <w:t xml:space="preserve"> </w:t>
            </w:r>
            <w:r>
              <w:rPr>
                <w:rFonts w:eastAsia="MS Mincho"/>
                <w:sz w:val="20"/>
                <w:szCs w:val="20"/>
                <w:lang w:val="el-GR"/>
              </w:rPr>
              <w:t>εικονικού</w:t>
            </w:r>
            <w:r w:rsidRPr="00E10827">
              <w:rPr>
                <w:rFonts w:eastAsia="MS Mincho"/>
                <w:sz w:val="20"/>
                <w:szCs w:val="20"/>
                <w:lang w:val="el-GR"/>
              </w:rPr>
              <w:t xml:space="preserve"> </w:t>
            </w:r>
            <w:r>
              <w:rPr>
                <w:rFonts w:eastAsia="MS Mincho"/>
                <w:sz w:val="20"/>
                <w:szCs w:val="20"/>
                <w:lang w:val="el-GR"/>
              </w:rPr>
              <w:t>φαρμάκου</w:t>
            </w:r>
          </w:p>
          <w:p w14:paraId="49E114C5" w14:textId="77777777" w:rsidR="00171824" w:rsidRPr="00E10827" w:rsidRDefault="006D258C">
            <w:pPr>
              <w:widowControl/>
              <w:tabs>
                <w:tab w:val="left" w:pos="313"/>
              </w:tabs>
              <w:kinsoku w:val="0"/>
              <w:overflowPunct w:val="0"/>
              <w:rPr>
                <w:rFonts w:eastAsia="MS Mincho"/>
                <w:sz w:val="22"/>
                <w:szCs w:val="22"/>
                <w:lang w:val="el-GR"/>
              </w:rPr>
            </w:pPr>
            <w:r>
              <w:rPr>
                <w:rFonts w:eastAsia="MS Mincho"/>
                <w:sz w:val="20"/>
                <w:szCs w:val="20"/>
                <w:vertAlign w:val="superscript"/>
              </w:rPr>
              <w:t>d</w:t>
            </w:r>
            <w:r w:rsidRPr="00E10827">
              <w:rPr>
                <w:rFonts w:eastAsia="MS Mincho"/>
                <w:sz w:val="20"/>
                <w:szCs w:val="20"/>
                <w:lang w:val="el-GR"/>
              </w:rPr>
              <w:tab/>
            </w:r>
            <w:r>
              <w:rPr>
                <w:rFonts w:eastAsia="MS Mincho"/>
                <w:sz w:val="20"/>
                <w:szCs w:val="20"/>
              </w:rPr>
              <w:t>p</w:t>
            </w:r>
            <w:r w:rsidRPr="00E10827">
              <w:rPr>
                <w:rFonts w:eastAsia="MS Mincho"/>
                <w:sz w:val="20"/>
                <w:szCs w:val="20"/>
                <w:lang w:val="el-GR"/>
              </w:rPr>
              <w:t xml:space="preserve">&lt; 0,05 </w:t>
            </w:r>
            <w:r>
              <w:rPr>
                <w:rFonts w:eastAsia="MS Mincho"/>
                <w:sz w:val="20"/>
                <w:szCs w:val="20"/>
              </w:rPr>
              <w:t>adalimumab</w:t>
            </w:r>
            <w:r w:rsidRPr="00E10827">
              <w:rPr>
                <w:rFonts w:eastAsia="MS Mincho"/>
                <w:sz w:val="20"/>
                <w:szCs w:val="20"/>
                <w:lang w:val="el-GR"/>
              </w:rPr>
              <w:t xml:space="preserve"> </w:t>
            </w:r>
            <w:r>
              <w:rPr>
                <w:rFonts w:eastAsia="MS Mincho"/>
                <w:i/>
                <w:iCs/>
                <w:sz w:val="20"/>
                <w:szCs w:val="20"/>
                <w:lang w:val="el-GR"/>
              </w:rPr>
              <w:t>έναντι</w:t>
            </w:r>
            <w:r w:rsidRPr="00E10827">
              <w:rPr>
                <w:rFonts w:eastAsia="MS Mincho"/>
                <w:i/>
                <w:iCs/>
                <w:sz w:val="20"/>
                <w:szCs w:val="20"/>
                <w:lang w:val="el-GR"/>
              </w:rPr>
              <w:t xml:space="preserve"> </w:t>
            </w:r>
            <w:r>
              <w:rPr>
                <w:rFonts w:eastAsia="MS Mincho"/>
                <w:sz w:val="20"/>
                <w:szCs w:val="20"/>
                <w:lang w:val="el-GR"/>
              </w:rPr>
              <w:t>μεθοτρεξάτης</w:t>
            </w:r>
          </w:p>
        </w:tc>
      </w:tr>
    </w:tbl>
    <w:p w14:paraId="5E22F26D" w14:textId="77777777" w:rsidR="00171824" w:rsidRPr="00E10827" w:rsidRDefault="00171824">
      <w:pPr>
        <w:widowControl/>
        <w:kinsoku w:val="0"/>
        <w:overflowPunct w:val="0"/>
        <w:rPr>
          <w:sz w:val="22"/>
          <w:szCs w:val="22"/>
          <w:lang w:val="el-GR"/>
        </w:rPr>
      </w:pPr>
    </w:p>
    <w:p w14:paraId="7DBB195C" w14:textId="77777777" w:rsidR="00171824" w:rsidRDefault="006D258C">
      <w:pPr>
        <w:pStyle w:val="BodyText"/>
        <w:widowControl/>
        <w:kinsoku w:val="0"/>
        <w:overflowPunct w:val="0"/>
        <w:ind w:left="0"/>
        <w:rPr>
          <w:lang w:val="el-GR"/>
        </w:rPr>
      </w:pPr>
      <w:r>
        <w:rPr>
          <w:lang w:val="el-GR"/>
        </w:rPr>
        <w:t>Στη Μελέτη Ψωρίασης Ι, το 28% των ασθενών που είχαν ανταπόκριση PASI 75 και επανατυχαιοποιήθηκαν στο εικονικό φάρμακο την εβδομάδα 33 σε σχέση με το 5% των ασθενών οι οποίοι συνέχισαν με adalimumab, p&lt; 0,001, εμφάνισαν “απώλεια επαρκούς ανταπόκρισης” (δείκτης PASI μετά την εβδομάδα 33 και κατά τη διάρκεια ή πριν την εβδομάδα 52 που οδήγησε σε ανταπόκριση &lt; PASI 50 σε σχέση με τα αρχικά επίπεδα με ελάχιστη αύξηση 6 βαθμών στο δείκτη PASI σε σχέση με την εβδομάδα 33). Από τους ασθενείς οι οποίοι εμφάνισαν απώλεια επαρκούς ανταπόκρισης μετά την επανατυχαιοποίηση σε εικονικό φάρμακο και οι οποίοι τότε εντάχθηκαν στην ανοιχτή φάση της μελέτης επέκτασης, το 38% (25/66) και το 55% (36/66) επανέκτησαν ανταπόκριση PASI 75 μετά από 12 και 24 εβδομάδες επαναχορήγησης, αντίστοιχα.</w:t>
      </w:r>
    </w:p>
    <w:p w14:paraId="0DC8CF7E" w14:textId="77777777" w:rsidR="00171824" w:rsidRDefault="00171824">
      <w:pPr>
        <w:widowControl/>
        <w:kinsoku w:val="0"/>
        <w:overflowPunct w:val="0"/>
        <w:rPr>
          <w:sz w:val="22"/>
          <w:szCs w:val="22"/>
          <w:lang w:val="el-GR"/>
        </w:rPr>
      </w:pPr>
    </w:p>
    <w:p w14:paraId="6BCCCBFE" w14:textId="77777777" w:rsidR="00171824" w:rsidRDefault="006D258C">
      <w:pPr>
        <w:pStyle w:val="BodyText"/>
        <w:widowControl/>
        <w:kinsoku w:val="0"/>
        <w:overflowPunct w:val="0"/>
        <w:ind w:left="0"/>
        <w:rPr>
          <w:lang w:val="el-GR"/>
        </w:rPr>
      </w:pPr>
      <w:r>
        <w:rPr>
          <w:lang w:val="el-GR"/>
        </w:rPr>
        <w:t>Συνολικά 233 ασθενείς που είχαν ανταπόκριση PASI 75 την εβδομάδα 16 και την εβδομάδα 33 έλαβαν συνεχή θεραπεία με adalimumab επί 52 εβδομάδες στη Μελέτη Ψωρίασης Ι, και συνέχισαν το adalimumab στην ανοιχτή μελέτη επέκτασης. Τα ποσοστά ανταπόκρισης κατά PASI 75 και PGA καθαρό ή ελάχιστο σε αυτούς τους ασθενείς ήταν 74,7% και 59,0% αντίστοιχα μετά από επιπλέον 108 εβδομάδες ανοικτής θεραπείας (συνολικά 160 εβδομάδες). Σε μια ανάλυση όπου όλοι οι ασθενείς που αποσύρθηκαν από τη μελέτη λόγω ανεπιθυμήτων ενεργειών ή έλλειψης αποτελεσματικότητας ή όπου αυξήθηκε η δόση, θεωρήθηκαν ως μη ανταποκρινόμενοι, τα ποσοστά ανταπόκρισης κατά PASI 75 και PGA καθαρό ή ελάχιστο σε αυτούς τους ασθενείς ήταν 69,6% και 55,7%, αντίστοιχα, μετά από επιπλέον 108 εβδομάδες ανοικτής θεραπείας (συνολικά 160 εβδομάδες).</w:t>
      </w:r>
    </w:p>
    <w:p w14:paraId="2ABACA75" w14:textId="77777777" w:rsidR="00171824" w:rsidRDefault="00171824">
      <w:pPr>
        <w:widowControl/>
        <w:kinsoku w:val="0"/>
        <w:overflowPunct w:val="0"/>
        <w:rPr>
          <w:sz w:val="22"/>
          <w:szCs w:val="22"/>
          <w:lang w:val="el-GR"/>
        </w:rPr>
      </w:pPr>
    </w:p>
    <w:p w14:paraId="5AF5B5A8" w14:textId="77777777" w:rsidR="00171824" w:rsidRDefault="006D258C">
      <w:pPr>
        <w:pStyle w:val="BodyText"/>
        <w:widowControl/>
        <w:kinsoku w:val="0"/>
        <w:overflowPunct w:val="0"/>
        <w:ind w:left="0"/>
        <w:rPr>
          <w:lang w:val="el-GR"/>
        </w:rPr>
      </w:pPr>
      <w:r>
        <w:rPr>
          <w:lang w:val="el-GR"/>
        </w:rPr>
        <w:t xml:space="preserve">Συνολικά 347 ασθενείς με σταθερή ανταπόκριση συμμετείχαν σε μια ανοιχτή μελέτη επέκτασης με σκοπό την αξιολόγηση της απόσυρσης και της επαναθεραπείας. Κατά τη διάρκεια της περιόδου απόσυρσης, τα συμπτώματα της ψωρίασης επέστρεψαν με την πάροδο του χρόνου με μέσο χρόνο υποτροπής περίπου 5 μήνες (μείωση του PGA σε “μέτρια” ή σοβαρή νόσο). Κανένας από αυτούς τους ασθενείς δεν παρουσίασε υποτροπή (rebound) κατά τη διάρκεια της περιόδου απόσυρσης. Ένα </w:t>
      </w:r>
      <w:r>
        <w:rPr>
          <w:lang w:val="el-GR"/>
        </w:rPr>
        <w:lastRenderedPageBreak/>
        <w:t>σύνολο 76,5% (218/285) των ασθενών οι οποίοι εισήλθαν στην περίοδο επαναθεραπείας είχε μια ανταπόκριση του PGA "καθαρή" ή "ελάχιστη"  μετά από 16 εβδομάδες επαναθεραπείας, ανεξάρτητα από το εάν υποτροπίασαν κατά την απόσυρση (69,1% [123/178] και 88,8% [95/107] ήταν ασθενείς που υποτροπίασαν και που δεν υποτροπίασαν κατά τη διάρκεια της περιόδου απόσυρσης, αντίστοιχα). Ένα παρόμοιο προφίλ ασφαλείας παρατηρήθηκε κατά τη διάρκεια επαναθεραπείας όπως πριν την απόσυρση.</w:t>
      </w:r>
    </w:p>
    <w:p w14:paraId="1F46CEFE" w14:textId="77777777" w:rsidR="00171824" w:rsidRDefault="00171824">
      <w:pPr>
        <w:widowControl/>
        <w:kinsoku w:val="0"/>
        <w:overflowPunct w:val="0"/>
        <w:rPr>
          <w:sz w:val="22"/>
          <w:szCs w:val="22"/>
          <w:lang w:val="el-GR"/>
        </w:rPr>
      </w:pPr>
    </w:p>
    <w:p w14:paraId="7A7F9B65" w14:textId="77777777" w:rsidR="00171824" w:rsidRDefault="006D258C">
      <w:pPr>
        <w:pStyle w:val="BodyText"/>
        <w:widowControl/>
        <w:kinsoku w:val="0"/>
        <w:overflowPunct w:val="0"/>
        <w:ind w:left="0"/>
        <w:rPr>
          <w:lang w:val="el-GR"/>
        </w:rPr>
      </w:pPr>
      <w:r>
        <w:rPr>
          <w:lang w:val="el-GR"/>
        </w:rPr>
        <w:t>Σημαντικές βελτιώσεις στην εβδομάδα 16 από τα αρχικά επίπεδα σε σχέση με το εικονικό φάρμακο (Μελέτες Ι και ΙΙ) και τη μεθοτρεξάτη (Μελέτη ΙΙ) επιτεύχθηκαν στο DLQI (Dermatology Life Quality Index). Στη Μελέτη Ι, οι βελτιώσεις στις σωματικές και ψυχολογικές παραμέτρους του SF-36 ήταν επίσης σημαντικές σε σχέση με το εικονικό φάρμακο.</w:t>
      </w:r>
    </w:p>
    <w:p w14:paraId="0C796995" w14:textId="77777777" w:rsidR="00171824" w:rsidRDefault="00171824">
      <w:pPr>
        <w:widowControl/>
        <w:kinsoku w:val="0"/>
        <w:overflowPunct w:val="0"/>
        <w:rPr>
          <w:sz w:val="22"/>
          <w:szCs w:val="22"/>
          <w:lang w:val="el-GR"/>
        </w:rPr>
      </w:pPr>
    </w:p>
    <w:p w14:paraId="28D41E38" w14:textId="77777777" w:rsidR="00171824" w:rsidRDefault="006D258C">
      <w:pPr>
        <w:pStyle w:val="BodyText"/>
        <w:widowControl/>
        <w:kinsoku w:val="0"/>
        <w:overflowPunct w:val="0"/>
        <w:ind w:left="0"/>
        <w:rPr>
          <w:lang w:val="el-GR"/>
        </w:rPr>
      </w:pPr>
      <w:r>
        <w:rPr>
          <w:lang w:val="el-GR"/>
        </w:rPr>
        <w:t>Σε μία ανοιχτή μελέτη επέκτασης, για τους ασθενείς στους οποίους η δόση διαμορφώθηκε από 40 mg κάθε δεύτερη εβδομάδα σε 40 mg κάθε εβδομάδα εξαιτίας της ανταπόκρισης PASI κάτω από 50%, 26,4% (92/349) και 37,8% (132/349) των ασθενών πέτυχαν ανταπόκριση PASI 75 την εβδομάδα 12 και 24, αντίστοιχα.</w:t>
      </w:r>
    </w:p>
    <w:p w14:paraId="6C9820CF" w14:textId="77777777" w:rsidR="00171824" w:rsidRDefault="00171824">
      <w:pPr>
        <w:widowControl/>
        <w:kinsoku w:val="0"/>
        <w:overflowPunct w:val="0"/>
        <w:rPr>
          <w:sz w:val="22"/>
          <w:szCs w:val="22"/>
          <w:lang w:val="el-GR"/>
        </w:rPr>
      </w:pPr>
    </w:p>
    <w:p w14:paraId="232F9691" w14:textId="77777777" w:rsidR="00171824" w:rsidRDefault="006D258C">
      <w:pPr>
        <w:pStyle w:val="BodyText"/>
        <w:widowControl/>
        <w:kinsoku w:val="0"/>
        <w:overflowPunct w:val="0"/>
        <w:ind w:left="0"/>
        <w:rPr>
          <w:lang w:val="el-GR"/>
        </w:rPr>
      </w:pPr>
      <w:r>
        <w:rPr>
          <w:lang w:val="el-GR"/>
        </w:rPr>
        <w:t>Η Μελέτη Ψωρίασης III (REACH) συνέκρινε την αποτελεσματικότητα και την ασφάλεια του adalimumab έναντι εικονικού φαρμάκου σε 72 ασθενείς με μέτρια έως σοβαρή χρόνια ψωρίαση κατά πλάκας και ψωρίαση παλαμών και/ή πελμάτων. Οι ασθενείς έλαβαν μία αρχική δόση 80 mg adalimumab ακολουθούμενη από 40 mg κάθε δεύτερη εβδομάδα (ξεκινώντας μία εβδομάδα μετά την αρχική δόση) ή εικονικό φάρμακο για 16 εβδομάδες. Την εβδομάδα 16, ένα στατιστικά σημαντικά μεγαλύτερο ποσοστό των ασθενών που έλαβαν adalimumab πέτυχε «εξάλειψη των βλαβών» ή «σχεδόν εξάλειψη των βλαβών» κατά PGA στις παλάμες και/ή στα πέλματα σε σύγκριση με τους ασθενείς που έλαβαν εικονικό φάρμακο (30,6% έναντι 4,3%, αντίστοιχα [P = 0,014]).</w:t>
      </w:r>
    </w:p>
    <w:p w14:paraId="73B00BC5" w14:textId="77777777" w:rsidR="00171824" w:rsidRDefault="00171824">
      <w:pPr>
        <w:pStyle w:val="BodyText"/>
        <w:widowControl/>
        <w:kinsoku w:val="0"/>
        <w:overflowPunct w:val="0"/>
        <w:ind w:left="0"/>
        <w:rPr>
          <w:lang w:val="el-GR"/>
        </w:rPr>
      </w:pPr>
    </w:p>
    <w:p w14:paraId="43C06F44" w14:textId="77777777" w:rsidR="00171824" w:rsidRDefault="006D258C">
      <w:pPr>
        <w:pStyle w:val="BodyText"/>
        <w:widowControl/>
        <w:kinsoku w:val="0"/>
        <w:overflowPunct w:val="0"/>
        <w:ind w:left="0"/>
        <w:jc w:val="both"/>
        <w:rPr>
          <w:lang w:val="el-GR"/>
        </w:rPr>
      </w:pPr>
      <w:r>
        <w:rPr>
          <w:lang w:val="el-GR"/>
        </w:rPr>
        <w:t>Η Μελέτη Ψωρίασης IV συνέκρινε την αποτελεσματικότητα και την ασφάλεια του adalimumab έναντι εικονικού φαρμάκου σε 217 ενήλικες ασθενείς με μέτρια έως σοβαρή ψωριασική ονυχία. Οι ασθενείς έλαβαν μία αρχική δόση 80 mg adalimumab ακολουθούμενη από 40 mg κάθε δεύτερη εβδομάδα (ξεκινώντας μία εβδομάδα μετά την αρχική δόση) ή εικονικό φάρμακο για 26 εβδομάδες, ακολουθούμενο από ανοιχτή θεραπεία με adalimumab για επιπλέον 26 εβδομάδες. Οι αξιολογήσεις της ψωριασικής ονυχίας περιλάμβαναν τον τροποποιημένο Δείκτη Σοβαρότητας της Ψωριασικής Ονυχίας (mNAPSI), τη Συνολική Εκτίμηση του Γιατρού για την Ψωριασική Ονυχία (PGA-F) και τον Δείκτη Σοβαρότητας της Ψωριασικής Ονυχίας (NAPSI) (βλέπε πίνακα 18). Το adalimumab κατέδειξε όφελος της θεραπείας σε ασθενείς με ψωριασική ονυχία με διαφορετικές εκτάσεις δερματικών βλαβών (BSA≥ 10% (60% των ασθενών) και BSA&lt; 10% και ≥ 5% (40% των ασθενών)).</w:t>
      </w:r>
    </w:p>
    <w:p w14:paraId="4879505B" w14:textId="77777777" w:rsidR="00171824" w:rsidRDefault="00171824">
      <w:pPr>
        <w:widowControl/>
        <w:kinsoku w:val="0"/>
        <w:overflowPunct w:val="0"/>
        <w:rPr>
          <w:sz w:val="22"/>
          <w:szCs w:val="22"/>
          <w:lang w:val="el-GR"/>
        </w:rPr>
      </w:pPr>
    </w:p>
    <w:p w14:paraId="710C85ED" w14:textId="77777777" w:rsidR="00171824" w:rsidRDefault="006D258C">
      <w:pPr>
        <w:widowControl/>
        <w:suppressAutoHyphens/>
        <w:kinsoku w:val="0"/>
        <w:overflowPunct w:val="0"/>
        <w:rPr>
          <w:b/>
          <w:sz w:val="22"/>
          <w:szCs w:val="22"/>
          <w:lang w:val="el-GR"/>
        </w:rPr>
      </w:pPr>
      <w:r>
        <w:rPr>
          <w:b/>
          <w:sz w:val="22"/>
          <w:szCs w:val="22"/>
          <w:lang w:val="el-GR"/>
        </w:rPr>
        <w:t>Πίνακας 18. Μελέτη Ψωρίασης ΙV - Αποτελεσματικότητα στις 16, 26 και 52 εβδομάδες</w:t>
      </w:r>
    </w:p>
    <w:p w14:paraId="087AD142" w14:textId="77777777" w:rsidR="00171824" w:rsidRDefault="00171824">
      <w:pPr>
        <w:widowControl/>
        <w:kinsoku w:val="0"/>
        <w:overflowPunct w:val="0"/>
        <w:rPr>
          <w:b/>
          <w:sz w:val="22"/>
          <w:szCs w:val="22"/>
          <w:lang w:val="el-GR"/>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074"/>
        <w:gridCol w:w="1607"/>
        <w:gridCol w:w="1074"/>
        <w:gridCol w:w="1476"/>
        <w:gridCol w:w="1716"/>
      </w:tblGrid>
      <w:tr w:rsidR="00171824" w14:paraId="098015B2" w14:textId="77777777">
        <w:trPr>
          <w:tblHeader/>
        </w:trPr>
        <w:tc>
          <w:tcPr>
            <w:tcW w:w="1122" w:type="pct"/>
            <w:vMerge w:val="restart"/>
          </w:tcPr>
          <w:p w14:paraId="6ABA83B3" w14:textId="77777777" w:rsidR="00171824" w:rsidRDefault="006D258C">
            <w:pPr>
              <w:pStyle w:val="gtctablespaceafter"/>
              <w:spacing w:after="0"/>
              <w:rPr>
                <w:b/>
                <w:bCs/>
                <w:sz w:val="22"/>
                <w:szCs w:val="22"/>
                <w:lang w:val="el-GR"/>
              </w:rPr>
            </w:pPr>
            <w:r>
              <w:rPr>
                <w:b/>
                <w:bCs/>
                <w:sz w:val="22"/>
                <w:szCs w:val="22"/>
                <w:lang w:val="el-GR"/>
              </w:rPr>
              <w:t>Καταληκτικό σημείο</w:t>
            </w:r>
          </w:p>
        </w:tc>
        <w:tc>
          <w:tcPr>
            <w:tcW w:w="1497" w:type="pct"/>
            <w:gridSpan w:val="2"/>
          </w:tcPr>
          <w:p w14:paraId="105B691C" w14:textId="77777777" w:rsidR="00171824" w:rsidRDefault="006D258C">
            <w:pPr>
              <w:pStyle w:val="gtctablespaceafter"/>
              <w:spacing w:after="0"/>
              <w:jc w:val="center"/>
              <w:rPr>
                <w:b/>
                <w:sz w:val="22"/>
                <w:szCs w:val="22"/>
                <w:lang w:val="el-GR"/>
              </w:rPr>
            </w:pPr>
            <w:r>
              <w:rPr>
                <w:b/>
                <w:sz w:val="22"/>
                <w:szCs w:val="22"/>
                <w:lang w:val="el-GR"/>
              </w:rPr>
              <w:t>Εβδομάδα 16</w:t>
            </w:r>
          </w:p>
          <w:p w14:paraId="1DDC0D0C" w14:textId="77777777" w:rsidR="00171824" w:rsidRDefault="006D258C">
            <w:pPr>
              <w:pStyle w:val="gtctablespaceafter"/>
              <w:spacing w:after="0"/>
              <w:jc w:val="center"/>
              <w:rPr>
                <w:sz w:val="22"/>
                <w:szCs w:val="22"/>
                <w:lang w:val="el-GR"/>
              </w:rPr>
            </w:pPr>
            <w:r>
              <w:rPr>
                <w:b/>
                <w:sz w:val="22"/>
                <w:szCs w:val="22"/>
                <w:lang w:val="el-GR"/>
              </w:rPr>
              <w:t>Ελεγχόμενη με Εικονικό Φάρμακο</w:t>
            </w:r>
          </w:p>
        </w:tc>
        <w:tc>
          <w:tcPr>
            <w:tcW w:w="1423" w:type="pct"/>
            <w:gridSpan w:val="2"/>
          </w:tcPr>
          <w:p w14:paraId="1DED4FD7" w14:textId="77777777" w:rsidR="00171824" w:rsidRDefault="006D258C">
            <w:pPr>
              <w:pStyle w:val="gtctablespaceafter"/>
              <w:spacing w:after="0"/>
              <w:jc w:val="center"/>
              <w:rPr>
                <w:b/>
                <w:sz w:val="22"/>
                <w:szCs w:val="22"/>
                <w:lang w:val="el-GR"/>
              </w:rPr>
            </w:pPr>
            <w:r>
              <w:rPr>
                <w:b/>
                <w:sz w:val="22"/>
                <w:szCs w:val="22"/>
                <w:lang w:val="el-GR"/>
              </w:rPr>
              <w:t>Εβδομάδα 26</w:t>
            </w:r>
          </w:p>
          <w:p w14:paraId="341CB3B6" w14:textId="77777777" w:rsidR="00171824" w:rsidRDefault="006D258C">
            <w:pPr>
              <w:pStyle w:val="gtctablespaceafter"/>
              <w:spacing w:after="0"/>
              <w:jc w:val="center"/>
              <w:rPr>
                <w:sz w:val="22"/>
                <w:szCs w:val="22"/>
                <w:lang w:val="el-GR"/>
              </w:rPr>
            </w:pPr>
            <w:r>
              <w:rPr>
                <w:b/>
                <w:sz w:val="22"/>
                <w:szCs w:val="22"/>
                <w:lang w:val="el-GR"/>
              </w:rPr>
              <w:t>Ελεγχόμενη με Εικονικό Φάρμακο</w:t>
            </w:r>
          </w:p>
        </w:tc>
        <w:tc>
          <w:tcPr>
            <w:tcW w:w="958" w:type="pct"/>
          </w:tcPr>
          <w:p w14:paraId="4C272755" w14:textId="77777777" w:rsidR="00171824" w:rsidRDefault="006D258C">
            <w:pPr>
              <w:pStyle w:val="gtctablespaceafter"/>
              <w:spacing w:after="0"/>
              <w:jc w:val="center"/>
              <w:rPr>
                <w:b/>
                <w:sz w:val="22"/>
                <w:szCs w:val="22"/>
                <w:lang w:val="el-GR"/>
              </w:rPr>
            </w:pPr>
            <w:r>
              <w:rPr>
                <w:b/>
                <w:sz w:val="22"/>
                <w:szCs w:val="22"/>
                <w:lang w:val="el-GR"/>
              </w:rPr>
              <w:t>Εβδομάδα 52</w:t>
            </w:r>
          </w:p>
          <w:p w14:paraId="151CB608" w14:textId="77777777" w:rsidR="00171824" w:rsidRDefault="006D258C">
            <w:pPr>
              <w:pStyle w:val="gtctablespaceafter"/>
              <w:spacing w:after="0"/>
              <w:jc w:val="center"/>
              <w:rPr>
                <w:sz w:val="22"/>
                <w:szCs w:val="22"/>
                <w:lang w:val="el-GR"/>
              </w:rPr>
            </w:pPr>
            <w:r>
              <w:rPr>
                <w:b/>
                <w:sz w:val="22"/>
                <w:szCs w:val="22"/>
                <w:lang w:val="el-GR"/>
              </w:rPr>
              <w:t>Ανοιχτή</w:t>
            </w:r>
          </w:p>
        </w:tc>
      </w:tr>
      <w:tr w:rsidR="00171824" w:rsidRPr="00422380" w14:paraId="039011F4" w14:textId="77777777">
        <w:trPr>
          <w:tblHeader/>
        </w:trPr>
        <w:tc>
          <w:tcPr>
            <w:tcW w:w="1122" w:type="pct"/>
            <w:vMerge/>
          </w:tcPr>
          <w:p w14:paraId="11CCF767" w14:textId="77777777" w:rsidR="00171824" w:rsidRDefault="00171824">
            <w:pPr>
              <w:pStyle w:val="gtctablespaceafter"/>
              <w:spacing w:after="0"/>
              <w:rPr>
                <w:sz w:val="22"/>
                <w:szCs w:val="22"/>
                <w:lang w:val="el-GR"/>
              </w:rPr>
            </w:pPr>
          </w:p>
        </w:tc>
        <w:tc>
          <w:tcPr>
            <w:tcW w:w="599" w:type="pct"/>
          </w:tcPr>
          <w:p w14:paraId="7F3BE48F" w14:textId="77777777" w:rsidR="00171824" w:rsidRDefault="006D258C">
            <w:pPr>
              <w:pStyle w:val="gtctablespaceafter"/>
              <w:spacing w:after="0"/>
              <w:jc w:val="center"/>
              <w:rPr>
                <w:b/>
                <w:bCs/>
                <w:sz w:val="22"/>
                <w:lang w:val="el-GR"/>
              </w:rPr>
            </w:pPr>
            <w:r>
              <w:rPr>
                <w:b/>
                <w:bCs/>
                <w:sz w:val="22"/>
                <w:lang w:val="el-GR"/>
              </w:rPr>
              <w:t>Εικονικό φάρμακο</w:t>
            </w:r>
          </w:p>
          <w:p w14:paraId="37BC405B" w14:textId="77777777" w:rsidR="00171824" w:rsidRDefault="006D258C">
            <w:pPr>
              <w:pStyle w:val="gtctablespaceafter"/>
              <w:spacing w:after="0"/>
              <w:jc w:val="center"/>
              <w:rPr>
                <w:b/>
                <w:bCs/>
                <w:sz w:val="22"/>
                <w:szCs w:val="22"/>
                <w:lang w:val="el-GR"/>
              </w:rPr>
            </w:pPr>
            <w:r>
              <w:rPr>
                <w:b/>
                <w:bCs/>
                <w:sz w:val="22"/>
                <w:lang w:val="el-GR"/>
              </w:rPr>
              <w:t>N=108</w:t>
            </w:r>
          </w:p>
        </w:tc>
        <w:tc>
          <w:tcPr>
            <w:tcW w:w="898" w:type="pct"/>
          </w:tcPr>
          <w:p w14:paraId="4BFDA705" w14:textId="77777777" w:rsidR="00171824" w:rsidRDefault="006D258C">
            <w:pPr>
              <w:pStyle w:val="gtctablespaceafter"/>
              <w:spacing w:after="0"/>
              <w:jc w:val="center"/>
              <w:rPr>
                <w:b/>
                <w:bCs/>
                <w:sz w:val="22"/>
                <w:szCs w:val="20"/>
                <w:lang w:val="el-GR"/>
              </w:rPr>
            </w:pPr>
            <w:r>
              <w:rPr>
                <w:b/>
                <w:bCs/>
                <w:sz w:val="22"/>
                <w:szCs w:val="20"/>
                <w:lang w:val="el-GR"/>
              </w:rPr>
              <w:t>Adalimumab 40 mg</w:t>
            </w:r>
          </w:p>
          <w:p w14:paraId="5CFD3AFD" w14:textId="77777777" w:rsidR="00171824" w:rsidRDefault="006D258C">
            <w:pPr>
              <w:pStyle w:val="gtctablespaceafter"/>
              <w:spacing w:after="0"/>
              <w:jc w:val="center"/>
              <w:rPr>
                <w:b/>
                <w:bCs/>
                <w:sz w:val="22"/>
                <w:lang w:val="el-GR"/>
              </w:rPr>
            </w:pPr>
            <w:r>
              <w:rPr>
                <w:b/>
                <w:bCs/>
                <w:sz w:val="22"/>
                <w:szCs w:val="20"/>
                <w:lang w:val="el-GR"/>
              </w:rPr>
              <w:t>κάθε δεύτερη εβδομάδα</w:t>
            </w:r>
          </w:p>
          <w:p w14:paraId="79CCE362" w14:textId="77777777" w:rsidR="00171824" w:rsidRDefault="006D258C">
            <w:pPr>
              <w:pStyle w:val="gtctablespaceafter"/>
              <w:spacing w:after="0"/>
              <w:jc w:val="center"/>
              <w:rPr>
                <w:b/>
                <w:bCs/>
                <w:sz w:val="22"/>
                <w:szCs w:val="22"/>
                <w:lang w:val="el-GR"/>
              </w:rPr>
            </w:pPr>
            <w:r>
              <w:rPr>
                <w:b/>
                <w:bCs/>
                <w:sz w:val="22"/>
                <w:lang w:val="el-GR"/>
              </w:rPr>
              <w:t>N=109</w:t>
            </w:r>
          </w:p>
        </w:tc>
        <w:tc>
          <w:tcPr>
            <w:tcW w:w="599" w:type="pct"/>
          </w:tcPr>
          <w:p w14:paraId="443C20E2" w14:textId="77777777" w:rsidR="00171824" w:rsidRDefault="006D258C">
            <w:pPr>
              <w:pStyle w:val="gtctablespaceafter"/>
              <w:spacing w:after="0"/>
              <w:jc w:val="center"/>
              <w:rPr>
                <w:b/>
                <w:bCs/>
                <w:sz w:val="22"/>
                <w:lang w:val="el-GR"/>
              </w:rPr>
            </w:pPr>
            <w:r>
              <w:rPr>
                <w:b/>
                <w:bCs/>
                <w:sz w:val="22"/>
                <w:lang w:val="el-GR"/>
              </w:rPr>
              <w:t>Εικονικό φάρμακο</w:t>
            </w:r>
          </w:p>
          <w:p w14:paraId="51C668B9" w14:textId="77777777" w:rsidR="00171824" w:rsidRDefault="006D258C">
            <w:pPr>
              <w:pStyle w:val="gtctablespaceafter"/>
              <w:spacing w:after="0"/>
              <w:jc w:val="center"/>
              <w:rPr>
                <w:b/>
                <w:bCs/>
                <w:sz w:val="22"/>
                <w:szCs w:val="22"/>
                <w:lang w:val="el-GR"/>
              </w:rPr>
            </w:pPr>
            <w:r>
              <w:rPr>
                <w:b/>
                <w:bCs/>
                <w:sz w:val="22"/>
                <w:lang w:val="el-GR"/>
              </w:rPr>
              <w:t>N=108</w:t>
            </w:r>
          </w:p>
        </w:tc>
        <w:tc>
          <w:tcPr>
            <w:tcW w:w="824" w:type="pct"/>
          </w:tcPr>
          <w:p w14:paraId="43AC6D41" w14:textId="77777777" w:rsidR="00171824" w:rsidRDefault="006D258C">
            <w:pPr>
              <w:pStyle w:val="gtctablespaceafter"/>
              <w:spacing w:after="0"/>
              <w:jc w:val="center"/>
              <w:rPr>
                <w:b/>
                <w:bCs/>
                <w:sz w:val="22"/>
                <w:szCs w:val="20"/>
                <w:lang w:val="el-GR"/>
              </w:rPr>
            </w:pPr>
            <w:r>
              <w:rPr>
                <w:b/>
                <w:bCs/>
                <w:sz w:val="22"/>
                <w:szCs w:val="20"/>
                <w:lang w:val="el-GR"/>
              </w:rPr>
              <w:t>Adalimumab 40 mg</w:t>
            </w:r>
          </w:p>
          <w:p w14:paraId="48E82D9B" w14:textId="77777777" w:rsidR="00171824" w:rsidRDefault="006D258C">
            <w:pPr>
              <w:pStyle w:val="gtctablespaceafter"/>
              <w:spacing w:after="0"/>
              <w:jc w:val="center"/>
              <w:rPr>
                <w:b/>
                <w:bCs/>
                <w:sz w:val="22"/>
                <w:szCs w:val="20"/>
                <w:lang w:val="el-GR"/>
              </w:rPr>
            </w:pPr>
            <w:r>
              <w:rPr>
                <w:b/>
                <w:bCs/>
                <w:sz w:val="22"/>
                <w:szCs w:val="20"/>
                <w:lang w:val="el-GR"/>
              </w:rPr>
              <w:t>κάθε δεύτερη εβδομάδα</w:t>
            </w:r>
          </w:p>
          <w:p w14:paraId="0E2A68BB" w14:textId="77777777" w:rsidR="00171824" w:rsidRDefault="006D258C">
            <w:pPr>
              <w:pStyle w:val="gtctablespaceafter"/>
              <w:spacing w:after="0"/>
              <w:jc w:val="center"/>
              <w:rPr>
                <w:b/>
                <w:bCs/>
                <w:sz w:val="22"/>
                <w:szCs w:val="22"/>
                <w:lang w:val="el-GR"/>
              </w:rPr>
            </w:pPr>
            <w:r>
              <w:rPr>
                <w:b/>
                <w:bCs/>
                <w:sz w:val="22"/>
                <w:lang w:val="el-GR"/>
              </w:rPr>
              <w:t>N=109</w:t>
            </w:r>
          </w:p>
        </w:tc>
        <w:tc>
          <w:tcPr>
            <w:tcW w:w="958" w:type="pct"/>
          </w:tcPr>
          <w:p w14:paraId="0C00841C" w14:textId="77777777" w:rsidR="00171824" w:rsidRDefault="006D258C">
            <w:pPr>
              <w:pStyle w:val="gtctablespaceafter"/>
              <w:spacing w:after="0"/>
              <w:jc w:val="center"/>
              <w:rPr>
                <w:b/>
                <w:bCs/>
                <w:sz w:val="22"/>
                <w:szCs w:val="20"/>
                <w:lang w:val="el-GR"/>
              </w:rPr>
            </w:pPr>
            <w:r>
              <w:rPr>
                <w:b/>
                <w:bCs/>
                <w:sz w:val="22"/>
                <w:szCs w:val="20"/>
                <w:lang w:val="el-GR"/>
              </w:rPr>
              <w:t>Adalimumab 40 mg</w:t>
            </w:r>
          </w:p>
          <w:p w14:paraId="0AD8E62A" w14:textId="77777777" w:rsidR="00171824" w:rsidRDefault="006D258C">
            <w:pPr>
              <w:pStyle w:val="gtctablespaceafter"/>
              <w:spacing w:after="0"/>
              <w:jc w:val="center"/>
              <w:rPr>
                <w:b/>
                <w:bCs/>
                <w:sz w:val="22"/>
                <w:szCs w:val="20"/>
                <w:lang w:val="el-GR"/>
              </w:rPr>
            </w:pPr>
            <w:r>
              <w:rPr>
                <w:b/>
                <w:bCs/>
                <w:sz w:val="22"/>
                <w:szCs w:val="20"/>
                <w:lang w:val="el-GR"/>
              </w:rPr>
              <w:t>κάθε δεύτερη εβδομάδα</w:t>
            </w:r>
          </w:p>
          <w:p w14:paraId="3E029161" w14:textId="77777777" w:rsidR="00171824" w:rsidRDefault="006D258C">
            <w:pPr>
              <w:pStyle w:val="gtctablespaceafter"/>
              <w:spacing w:after="0"/>
              <w:jc w:val="center"/>
              <w:rPr>
                <w:b/>
                <w:bCs/>
                <w:sz w:val="22"/>
                <w:szCs w:val="22"/>
                <w:lang w:val="el-GR"/>
              </w:rPr>
            </w:pPr>
            <w:r>
              <w:rPr>
                <w:b/>
                <w:bCs/>
                <w:sz w:val="22"/>
                <w:lang w:val="el-GR"/>
              </w:rPr>
              <w:t>N=80</w:t>
            </w:r>
          </w:p>
        </w:tc>
      </w:tr>
      <w:tr w:rsidR="00171824" w14:paraId="2C3F8E20" w14:textId="77777777">
        <w:tc>
          <w:tcPr>
            <w:tcW w:w="1122" w:type="pct"/>
          </w:tcPr>
          <w:p w14:paraId="490D7DB4" w14:textId="77777777" w:rsidR="00171824" w:rsidRDefault="006D258C">
            <w:pPr>
              <w:pStyle w:val="gtctablespaceafter"/>
              <w:spacing w:after="0"/>
              <w:rPr>
                <w:sz w:val="22"/>
                <w:szCs w:val="22"/>
                <w:lang w:val="el-GR"/>
              </w:rPr>
            </w:pPr>
            <w:r>
              <w:rPr>
                <w:sz w:val="22"/>
                <w:lang w:val="el-GR"/>
              </w:rPr>
              <w:t>≥ mNAPSI 75 (%)</w:t>
            </w:r>
          </w:p>
        </w:tc>
        <w:tc>
          <w:tcPr>
            <w:tcW w:w="599" w:type="pct"/>
          </w:tcPr>
          <w:p w14:paraId="259C47D8" w14:textId="77777777" w:rsidR="00171824" w:rsidRDefault="006D258C">
            <w:pPr>
              <w:pStyle w:val="gtctablespaceafter"/>
              <w:spacing w:after="0"/>
              <w:jc w:val="center"/>
              <w:rPr>
                <w:sz w:val="22"/>
                <w:szCs w:val="22"/>
                <w:lang w:val="el-GR"/>
              </w:rPr>
            </w:pPr>
            <w:r>
              <w:rPr>
                <w:sz w:val="22"/>
                <w:szCs w:val="22"/>
                <w:lang w:val="el-GR"/>
              </w:rPr>
              <w:t>2,9</w:t>
            </w:r>
          </w:p>
        </w:tc>
        <w:tc>
          <w:tcPr>
            <w:tcW w:w="898" w:type="pct"/>
          </w:tcPr>
          <w:p w14:paraId="777D010F" w14:textId="77777777" w:rsidR="00171824" w:rsidRDefault="006D258C">
            <w:pPr>
              <w:pStyle w:val="gtctablespaceafter"/>
              <w:spacing w:after="0"/>
              <w:jc w:val="center"/>
              <w:rPr>
                <w:sz w:val="22"/>
                <w:szCs w:val="22"/>
                <w:lang w:val="el-GR"/>
              </w:rPr>
            </w:pPr>
            <w:r>
              <w:rPr>
                <w:sz w:val="22"/>
                <w:szCs w:val="22"/>
                <w:lang w:val="el-GR"/>
              </w:rPr>
              <w:t>26,0</w:t>
            </w:r>
            <w:r>
              <w:rPr>
                <w:sz w:val="22"/>
                <w:szCs w:val="22"/>
                <w:vertAlign w:val="superscript"/>
                <w:lang w:val="el-GR"/>
              </w:rPr>
              <w:t>a</w:t>
            </w:r>
          </w:p>
        </w:tc>
        <w:tc>
          <w:tcPr>
            <w:tcW w:w="599" w:type="pct"/>
          </w:tcPr>
          <w:p w14:paraId="119E8341" w14:textId="77777777" w:rsidR="00171824" w:rsidRDefault="006D258C">
            <w:pPr>
              <w:jc w:val="center"/>
              <w:rPr>
                <w:sz w:val="22"/>
                <w:szCs w:val="22"/>
                <w:lang w:val="el-GR"/>
              </w:rPr>
            </w:pPr>
            <w:r>
              <w:rPr>
                <w:sz w:val="22"/>
                <w:szCs w:val="22"/>
                <w:lang w:val="el-GR"/>
              </w:rPr>
              <w:t>3,4</w:t>
            </w:r>
          </w:p>
        </w:tc>
        <w:tc>
          <w:tcPr>
            <w:tcW w:w="824" w:type="pct"/>
          </w:tcPr>
          <w:p w14:paraId="091E102F" w14:textId="77777777" w:rsidR="00171824" w:rsidRDefault="006D258C">
            <w:pPr>
              <w:jc w:val="center"/>
              <w:rPr>
                <w:sz w:val="22"/>
                <w:szCs w:val="22"/>
                <w:lang w:val="el-GR"/>
              </w:rPr>
            </w:pPr>
            <w:r>
              <w:rPr>
                <w:sz w:val="22"/>
                <w:szCs w:val="22"/>
                <w:lang w:val="el-GR"/>
              </w:rPr>
              <w:t>46,6</w:t>
            </w:r>
            <w:r>
              <w:rPr>
                <w:sz w:val="22"/>
                <w:szCs w:val="22"/>
                <w:vertAlign w:val="superscript"/>
                <w:lang w:val="el-GR"/>
              </w:rPr>
              <w:t>a</w:t>
            </w:r>
          </w:p>
        </w:tc>
        <w:tc>
          <w:tcPr>
            <w:tcW w:w="958" w:type="pct"/>
          </w:tcPr>
          <w:p w14:paraId="615F9E0F" w14:textId="77777777" w:rsidR="00171824" w:rsidRDefault="006D258C">
            <w:pPr>
              <w:pStyle w:val="gtctablespaceafter"/>
              <w:spacing w:after="0"/>
              <w:jc w:val="center"/>
              <w:rPr>
                <w:sz w:val="22"/>
                <w:szCs w:val="22"/>
                <w:lang w:val="el-GR"/>
              </w:rPr>
            </w:pPr>
            <w:r>
              <w:rPr>
                <w:sz w:val="22"/>
                <w:szCs w:val="22"/>
                <w:lang w:val="el-GR"/>
              </w:rPr>
              <w:t>65,0</w:t>
            </w:r>
          </w:p>
        </w:tc>
      </w:tr>
      <w:tr w:rsidR="00171824" w14:paraId="208D3341" w14:textId="77777777">
        <w:tc>
          <w:tcPr>
            <w:tcW w:w="1122" w:type="pct"/>
          </w:tcPr>
          <w:p w14:paraId="1D3C31F3" w14:textId="77777777" w:rsidR="00171824" w:rsidRDefault="006D258C">
            <w:pPr>
              <w:pStyle w:val="gtctablespaceafter"/>
              <w:keepNext/>
              <w:spacing w:after="0"/>
              <w:rPr>
                <w:sz w:val="22"/>
                <w:szCs w:val="22"/>
                <w:lang w:val="el-GR"/>
              </w:rPr>
            </w:pPr>
            <w:r>
              <w:rPr>
                <w:sz w:val="22"/>
                <w:szCs w:val="22"/>
                <w:lang w:val="el-GR"/>
              </w:rPr>
              <w:t>PGA-F καθαρό/ελάχιστο και βελτίωση ≥ 2 βαθμούς (%)</w:t>
            </w:r>
          </w:p>
        </w:tc>
        <w:tc>
          <w:tcPr>
            <w:tcW w:w="599" w:type="pct"/>
          </w:tcPr>
          <w:p w14:paraId="29550654" w14:textId="77777777" w:rsidR="00171824" w:rsidRDefault="006D258C">
            <w:pPr>
              <w:pStyle w:val="gtctablespaceafter"/>
              <w:spacing w:after="0"/>
              <w:jc w:val="center"/>
              <w:rPr>
                <w:sz w:val="22"/>
                <w:szCs w:val="22"/>
                <w:lang w:val="el-GR"/>
              </w:rPr>
            </w:pPr>
            <w:r>
              <w:rPr>
                <w:sz w:val="22"/>
                <w:szCs w:val="22"/>
                <w:lang w:val="el-GR"/>
              </w:rPr>
              <w:t>2,9</w:t>
            </w:r>
          </w:p>
        </w:tc>
        <w:tc>
          <w:tcPr>
            <w:tcW w:w="898" w:type="pct"/>
          </w:tcPr>
          <w:p w14:paraId="3DE09032" w14:textId="77777777" w:rsidR="00171824" w:rsidRDefault="006D258C">
            <w:pPr>
              <w:pStyle w:val="gtctablespaceafter"/>
              <w:spacing w:after="0"/>
              <w:jc w:val="center"/>
              <w:rPr>
                <w:sz w:val="22"/>
                <w:szCs w:val="22"/>
                <w:lang w:val="el-GR"/>
              </w:rPr>
            </w:pPr>
            <w:r>
              <w:rPr>
                <w:sz w:val="22"/>
                <w:szCs w:val="22"/>
                <w:lang w:val="el-GR"/>
              </w:rPr>
              <w:t>29,7</w:t>
            </w:r>
            <w:r>
              <w:rPr>
                <w:sz w:val="22"/>
                <w:szCs w:val="22"/>
                <w:vertAlign w:val="superscript"/>
                <w:lang w:val="el-GR"/>
              </w:rPr>
              <w:t>a</w:t>
            </w:r>
          </w:p>
        </w:tc>
        <w:tc>
          <w:tcPr>
            <w:tcW w:w="599" w:type="pct"/>
          </w:tcPr>
          <w:p w14:paraId="6B08932C" w14:textId="77777777" w:rsidR="00171824" w:rsidRDefault="006D258C">
            <w:pPr>
              <w:jc w:val="center"/>
              <w:rPr>
                <w:sz w:val="22"/>
                <w:szCs w:val="22"/>
                <w:lang w:val="el-GR"/>
              </w:rPr>
            </w:pPr>
            <w:r>
              <w:rPr>
                <w:sz w:val="22"/>
                <w:szCs w:val="22"/>
                <w:lang w:val="el-GR"/>
              </w:rPr>
              <w:t>6,9</w:t>
            </w:r>
          </w:p>
        </w:tc>
        <w:tc>
          <w:tcPr>
            <w:tcW w:w="824" w:type="pct"/>
          </w:tcPr>
          <w:p w14:paraId="4302E3FD" w14:textId="77777777" w:rsidR="00171824" w:rsidRDefault="006D258C">
            <w:pPr>
              <w:jc w:val="center"/>
              <w:rPr>
                <w:sz w:val="22"/>
                <w:szCs w:val="22"/>
                <w:lang w:val="el-GR"/>
              </w:rPr>
            </w:pPr>
            <w:r>
              <w:rPr>
                <w:sz w:val="22"/>
                <w:szCs w:val="22"/>
                <w:lang w:val="el-GR"/>
              </w:rPr>
              <w:t>48,9</w:t>
            </w:r>
            <w:r>
              <w:rPr>
                <w:sz w:val="22"/>
                <w:szCs w:val="22"/>
                <w:vertAlign w:val="superscript"/>
                <w:lang w:val="el-GR"/>
              </w:rPr>
              <w:t>a</w:t>
            </w:r>
          </w:p>
        </w:tc>
        <w:tc>
          <w:tcPr>
            <w:tcW w:w="958" w:type="pct"/>
          </w:tcPr>
          <w:p w14:paraId="60F1350E" w14:textId="77777777" w:rsidR="00171824" w:rsidRDefault="006D258C">
            <w:pPr>
              <w:pStyle w:val="gtctablespaceafter"/>
              <w:spacing w:after="0"/>
              <w:jc w:val="center"/>
              <w:rPr>
                <w:sz w:val="22"/>
                <w:szCs w:val="22"/>
                <w:lang w:val="el-GR"/>
              </w:rPr>
            </w:pPr>
            <w:r>
              <w:rPr>
                <w:sz w:val="22"/>
                <w:szCs w:val="22"/>
                <w:lang w:val="el-GR"/>
              </w:rPr>
              <w:t>61,3</w:t>
            </w:r>
          </w:p>
        </w:tc>
      </w:tr>
      <w:tr w:rsidR="00171824" w14:paraId="60815E69" w14:textId="77777777">
        <w:tc>
          <w:tcPr>
            <w:tcW w:w="1122" w:type="pct"/>
          </w:tcPr>
          <w:p w14:paraId="63F3FDEE" w14:textId="77777777" w:rsidR="00171824" w:rsidRDefault="006D258C">
            <w:pPr>
              <w:pStyle w:val="gtctablespaceafter"/>
              <w:spacing w:after="0"/>
              <w:rPr>
                <w:sz w:val="22"/>
                <w:szCs w:val="22"/>
                <w:lang w:val="el-GR"/>
              </w:rPr>
            </w:pPr>
            <w:r>
              <w:rPr>
                <w:sz w:val="22"/>
                <w:szCs w:val="22"/>
                <w:lang w:val="el-GR"/>
              </w:rPr>
              <w:t>Ποσοστιαία μεταβολή του δείκτη NAPSI για όλο το νύχι (%)</w:t>
            </w:r>
          </w:p>
        </w:tc>
        <w:tc>
          <w:tcPr>
            <w:tcW w:w="599" w:type="pct"/>
          </w:tcPr>
          <w:p w14:paraId="226191F1" w14:textId="77777777" w:rsidR="00171824" w:rsidRDefault="006D258C">
            <w:pPr>
              <w:pStyle w:val="gtctablespaceafter"/>
              <w:spacing w:after="0"/>
              <w:jc w:val="center"/>
              <w:rPr>
                <w:sz w:val="22"/>
                <w:szCs w:val="22"/>
                <w:lang w:val="el-GR"/>
              </w:rPr>
            </w:pPr>
            <w:r>
              <w:rPr>
                <w:sz w:val="22"/>
                <w:szCs w:val="22"/>
                <w:lang w:val="el-GR"/>
              </w:rPr>
              <w:t>-7,8</w:t>
            </w:r>
          </w:p>
        </w:tc>
        <w:tc>
          <w:tcPr>
            <w:tcW w:w="898" w:type="pct"/>
          </w:tcPr>
          <w:p w14:paraId="14289568" w14:textId="77777777" w:rsidR="00171824" w:rsidRDefault="006D258C">
            <w:pPr>
              <w:pStyle w:val="gtctablespaceafter"/>
              <w:spacing w:after="0"/>
              <w:jc w:val="center"/>
              <w:rPr>
                <w:sz w:val="22"/>
                <w:szCs w:val="22"/>
                <w:lang w:val="el-GR"/>
              </w:rPr>
            </w:pPr>
            <w:r>
              <w:rPr>
                <w:sz w:val="22"/>
                <w:szCs w:val="22"/>
                <w:lang w:val="el-GR"/>
              </w:rPr>
              <w:t>-44,2</w:t>
            </w:r>
            <w:r>
              <w:rPr>
                <w:sz w:val="22"/>
                <w:szCs w:val="22"/>
                <w:vertAlign w:val="superscript"/>
                <w:lang w:val="el-GR"/>
              </w:rPr>
              <w:t xml:space="preserve"> a</w:t>
            </w:r>
          </w:p>
        </w:tc>
        <w:tc>
          <w:tcPr>
            <w:tcW w:w="599" w:type="pct"/>
          </w:tcPr>
          <w:p w14:paraId="73F87BDD" w14:textId="77777777" w:rsidR="00171824" w:rsidRDefault="006D258C">
            <w:pPr>
              <w:jc w:val="center"/>
              <w:rPr>
                <w:sz w:val="22"/>
                <w:szCs w:val="22"/>
                <w:lang w:val="el-GR"/>
              </w:rPr>
            </w:pPr>
            <w:r>
              <w:rPr>
                <w:sz w:val="22"/>
                <w:szCs w:val="22"/>
                <w:lang w:val="el-GR"/>
              </w:rPr>
              <w:t>-11,5</w:t>
            </w:r>
          </w:p>
        </w:tc>
        <w:tc>
          <w:tcPr>
            <w:tcW w:w="824" w:type="pct"/>
          </w:tcPr>
          <w:p w14:paraId="1EB4B942" w14:textId="77777777" w:rsidR="00171824" w:rsidRDefault="006D258C">
            <w:pPr>
              <w:jc w:val="center"/>
              <w:rPr>
                <w:sz w:val="22"/>
                <w:szCs w:val="22"/>
                <w:lang w:val="el-GR"/>
              </w:rPr>
            </w:pPr>
            <w:r>
              <w:rPr>
                <w:sz w:val="22"/>
                <w:szCs w:val="22"/>
                <w:lang w:val="el-GR"/>
              </w:rPr>
              <w:t>-56,2</w:t>
            </w:r>
            <w:r>
              <w:rPr>
                <w:sz w:val="22"/>
                <w:szCs w:val="22"/>
                <w:vertAlign w:val="superscript"/>
                <w:lang w:val="el-GR"/>
              </w:rPr>
              <w:t>a</w:t>
            </w:r>
          </w:p>
        </w:tc>
        <w:tc>
          <w:tcPr>
            <w:tcW w:w="958" w:type="pct"/>
          </w:tcPr>
          <w:p w14:paraId="1633E914" w14:textId="77777777" w:rsidR="00171824" w:rsidRDefault="006D258C">
            <w:pPr>
              <w:pStyle w:val="gtctablespaceafter"/>
              <w:spacing w:after="0"/>
              <w:jc w:val="center"/>
              <w:rPr>
                <w:sz w:val="22"/>
                <w:szCs w:val="22"/>
                <w:lang w:val="el-GR"/>
              </w:rPr>
            </w:pPr>
            <w:r>
              <w:rPr>
                <w:sz w:val="22"/>
                <w:szCs w:val="22"/>
                <w:lang w:val="el-GR"/>
              </w:rPr>
              <w:t>-72,2</w:t>
            </w:r>
          </w:p>
        </w:tc>
      </w:tr>
      <w:tr w:rsidR="00171824" w:rsidRPr="00A07F46" w14:paraId="1C668753" w14:textId="77777777">
        <w:tc>
          <w:tcPr>
            <w:tcW w:w="5000" w:type="pct"/>
            <w:gridSpan w:val="6"/>
          </w:tcPr>
          <w:p w14:paraId="5E0FBA2F" w14:textId="77777777" w:rsidR="00171824" w:rsidRPr="00E10827" w:rsidRDefault="006D258C">
            <w:pPr>
              <w:pStyle w:val="gtctablespaceafter"/>
              <w:spacing w:after="0"/>
              <w:rPr>
                <w:sz w:val="22"/>
                <w:szCs w:val="22"/>
                <w:lang w:val="el-GR"/>
              </w:rPr>
            </w:pPr>
            <w:r>
              <w:rPr>
                <w:sz w:val="22"/>
                <w:szCs w:val="22"/>
                <w:vertAlign w:val="superscript"/>
              </w:rPr>
              <w:lastRenderedPageBreak/>
              <w:t>a</w:t>
            </w:r>
            <w:r w:rsidRPr="00E10827">
              <w:rPr>
                <w:sz w:val="22"/>
                <w:szCs w:val="22"/>
                <w:lang w:val="el-GR"/>
              </w:rPr>
              <w:t xml:space="preserve"> </w:t>
            </w:r>
            <w:r>
              <w:rPr>
                <w:sz w:val="22"/>
                <w:szCs w:val="22"/>
              </w:rPr>
              <w:t>p</w:t>
            </w:r>
            <w:r w:rsidRPr="00E10827">
              <w:rPr>
                <w:sz w:val="22"/>
                <w:szCs w:val="22"/>
                <w:lang w:val="el-GR"/>
              </w:rPr>
              <w:t xml:space="preserve"> &lt; 0,001, </w:t>
            </w:r>
            <w:r>
              <w:rPr>
                <w:sz w:val="22"/>
                <w:szCs w:val="20"/>
              </w:rPr>
              <w:t>Adalimumab</w:t>
            </w:r>
            <w:r w:rsidRPr="00E10827">
              <w:rPr>
                <w:i/>
                <w:sz w:val="22"/>
                <w:szCs w:val="22"/>
                <w:lang w:val="el-GR"/>
              </w:rPr>
              <w:t xml:space="preserve"> </w:t>
            </w:r>
            <w:r>
              <w:rPr>
                <w:sz w:val="22"/>
                <w:szCs w:val="22"/>
                <w:lang w:val="el-GR"/>
              </w:rPr>
              <w:t>έναντι</w:t>
            </w:r>
            <w:r w:rsidRPr="00E10827">
              <w:rPr>
                <w:i/>
                <w:sz w:val="22"/>
                <w:szCs w:val="22"/>
                <w:lang w:val="el-GR"/>
              </w:rPr>
              <w:t xml:space="preserve"> </w:t>
            </w:r>
            <w:r>
              <w:rPr>
                <w:sz w:val="22"/>
                <w:szCs w:val="22"/>
                <w:lang w:val="el-GR"/>
              </w:rPr>
              <w:t>εικονικού</w:t>
            </w:r>
            <w:r w:rsidRPr="00E10827">
              <w:rPr>
                <w:sz w:val="22"/>
                <w:szCs w:val="22"/>
                <w:lang w:val="el-GR"/>
              </w:rPr>
              <w:t xml:space="preserve"> </w:t>
            </w:r>
            <w:r>
              <w:rPr>
                <w:sz w:val="22"/>
                <w:szCs w:val="22"/>
                <w:lang w:val="el-GR"/>
              </w:rPr>
              <w:t>φαρμάκου</w:t>
            </w:r>
          </w:p>
        </w:tc>
      </w:tr>
    </w:tbl>
    <w:p w14:paraId="2462445C" w14:textId="77777777" w:rsidR="00171824" w:rsidRPr="00E10827" w:rsidRDefault="00171824">
      <w:pPr>
        <w:pStyle w:val="gtctablespaceafter"/>
        <w:spacing w:after="0"/>
        <w:rPr>
          <w:sz w:val="22"/>
          <w:szCs w:val="22"/>
          <w:lang w:val="el-GR"/>
        </w:rPr>
      </w:pPr>
    </w:p>
    <w:p w14:paraId="68E542A7" w14:textId="77777777" w:rsidR="00171824" w:rsidRDefault="006D258C">
      <w:pPr>
        <w:keepNext/>
        <w:widowControl/>
        <w:rPr>
          <w:sz w:val="22"/>
          <w:lang w:val="el-GR"/>
        </w:rPr>
      </w:pPr>
      <w:r>
        <w:rPr>
          <w:sz w:val="22"/>
          <w:szCs w:val="22"/>
          <w:lang w:val="el-GR"/>
        </w:rPr>
        <w:t>Οι ασθενείς που έλαβαν adalimumab έδειξαν στατιστικά σημαντικές βελτιώσεις στην εβδομάδα 26 συγκριτικά με το εικονικό φάρμακο στην DLQI.</w:t>
      </w:r>
    </w:p>
    <w:p w14:paraId="3E3AFA94" w14:textId="77777777" w:rsidR="00171824" w:rsidRDefault="00171824">
      <w:pPr>
        <w:widowControl/>
        <w:kinsoku w:val="0"/>
        <w:overflowPunct w:val="0"/>
        <w:rPr>
          <w:sz w:val="22"/>
          <w:szCs w:val="22"/>
          <w:lang w:val="el-GR"/>
        </w:rPr>
      </w:pPr>
    </w:p>
    <w:p w14:paraId="77ABC78B" w14:textId="77777777" w:rsidR="00171824" w:rsidRDefault="006D258C">
      <w:pPr>
        <w:keepNext/>
        <w:widowControl/>
        <w:kinsoku w:val="0"/>
        <w:overflowPunct w:val="0"/>
        <w:rPr>
          <w:sz w:val="22"/>
          <w:szCs w:val="22"/>
          <w:lang w:val="el-GR"/>
        </w:rPr>
      </w:pPr>
      <w:r>
        <w:rPr>
          <w:i/>
          <w:iCs/>
          <w:sz w:val="22"/>
          <w:szCs w:val="22"/>
          <w:lang w:val="el-GR"/>
        </w:rPr>
        <w:t>Διαπυητική ιδρωταδενίτιδα</w:t>
      </w:r>
    </w:p>
    <w:p w14:paraId="14132027" w14:textId="77777777" w:rsidR="00171824" w:rsidRDefault="00171824">
      <w:pPr>
        <w:keepNext/>
        <w:widowControl/>
        <w:kinsoku w:val="0"/>
        <w:overflowPunct w:val="0"/>
        <w:rPr>
          <w:sz w:val="22"/>
          <w:szCs w:val="22"/>
          <w:lang w:val="el-GR"/>
        </w:rPr>
      </w:pPr>
    </w:p>
    <w:p w14:paraId="3CC52700" w14:textId="77777777" w:rsidR="00171824" w:rsidRDefault="006D258C">
      <w:pPr>
        <w:pStyle w:val="BodyText"/>
        <w:keepNext/>
        <w:widowControl/>
        <w:kinsoku w:val="0"/>
        <w:overflowPunct w:val="0"/>
        <w:ind w:left="0"/>
        <w:rPr>
          <w:lang w:val="el-GR"/>
        </w:rPr>
      </w:pPr>
      <w:r>
        <w:rPr>
          <w:lang w:val="el-GR"/>
        </w:rPr>
        <w:t>Η ασφάλεια και η αποτελεσματικότητα του adalimumab αξιολογήθηκαν σε τυχαιοποιημένες, διπλά</w:t>
      </w:r>
      <w:r>
        <w:rPr>
          <w:lang w:val="el-GR"/>
        </w:rPr>
        <w:noBreakHyphen/>
        <w:t>τυφλές, ελεγχόμενες με εικονικό φάρμακο μελέτες και μία ανοιχτή μελέτη επέκτασης σε ενήλικες ασθενείς με μέτρια έως σοβαρή διαπυητική ιδρωταδενίτιδα (HS) που ήταν ανθεκτικοί, είχαν αντένδειξη ή εμφάνισαν ανεπαρκή ανταπόκριση σε τουλάχιστον μια 3-μηνη περίοδο συστηματικής αντιβιοτικής θεραπευτικής αγωγής. Οι ασθενείς στις μελέτες HS-I και HS-ΙΙ είχαν νόσο Hurley Σταδίου II ή III με τουλάχιστον 3 αποστήματα ή φλεγμονώδη οζίδια.</w:t>
      </w:r>
    </w:p>
    <w:p w14:paraId="7275F2A1" w14:textId="77777777" w:rsidR="00171824" w:rsidRDefault="00171824">
      <w:pPr>
        <w:widowControl/>
        <w:kinsoku w:val="0"/>
        <w:overflowPunct w:val="0"/>
        <w:rPr>
          <w:sz w:val="22"/>
          <w:szCs w:val="22"/>
          <w:lang w:val="el-GR"/>
        </w:rPr>
      </w:pPr>
    </w:p>
    <w:p w14:paraId="31E9FD34" w14:textId="77777777" w:rsidR="00171824" w:rsidRDefault="006D258C">
      <w:pPr>
        <w:pStyle w:val="BodyText"/>
        <w:widowControl/>
        <w:kinsoku w:val="0"/>
        <w:overflowPunct w:val="0"/>
        <w:ind w:left="0"/>
        <w:rPr>
          <w:lang w:val="el-GR"/>
        </w:rPr>
      </w:pPr>
      <w:r>
        <w:rPr>
          <w:lang w:val="el-GR"/>
        </w:rPr>
        <w:t>Η Μελέτη HS-Ι (PIONEER Ι) αξιολόγησε 307 ασθενείς σε δύο περιόδους θεραπείας. Στην περίοδο Α, οι ασθενείς έλαβαν εικονικό φάρμακο ή adalimumab σε αρχική δόση 160 mg την εβδομάδα 0, 80 mg την εβδομάδα 2 και 40 mg κάθε εβδομάδα ξεκινώντας από την εβδομάδα 4 έως την εβδομάδα 11. Κατά τη διάρκεια της μελέτης δεν επιτρεπόταν η ταυτόχρονη χρήση αντιβιοτικών. Μετά από 12 εβδομάδες θεραπείας, οι ασθενείς που είχαν λάβει adalimumab την περίοδο Α επανατυχαιοποιήθηκαν στην περίοδο Β σε 1 από τις 3 ομάδες θεραπείας (adalimumab 40 mg κάθε εβδομάδα, adalimumab 40 mg κάθε δεύτερη εβδομάδα, ή εικονικό φάρμακο από την εβδομάδα 12 έως την εβδομάδα 35). Οι ασθενείς που είχαν τυχαιοποιηθεί σε εικονικό φάρμακο την περίοδο Α, έλαβαν adalimumab 40 mg κάθε εβδομάδα στην περίοδο Β.</w:t>
      </w:r>
    </w:p>
    <w:p w14:paraId="78A39153" w14:textId="77777777" w:rsidR="00171824" w:rsidRDefault="00171824">
      <w:pPr>
        <w:widowControl/>
        <w:kinsoku w:val="0"/>
        <w:overflowPunct w:val="0"/>
        <w:rPr>
          <w:sz w:val="22"/>
          <w:szCs w:val="22"/>
          <w:lang w:val="el-GR"/>
        </w:rPr>
      </w:pPr>
    </w:p>
    <w:p w14:paraId="360B0A66" w14:textId="77777777" w:rsidR="00171824" w:rsidRDefault="006D258C">
      <w:pPr>
        <w:pStyle w:val="BodyText"/>
        <w:widowControl/>
        <w:kinsoku w:val="0"/>
        <w:overflowPunct w:val="0"/>
        <w:ind w:left="0"/>
        <w:rPr>
          <w:lang w:val="el-GR"/>
        </w:rPr>
      </w:pPr>
      <w:r>
        <w:rPr>
          <w:lang w:val="el-GR"/>
        </w:rPr>
        <w:t>Η Μελέτη HS-ΙΙ (PIONEER II) αξιολόγησε 326 ασθενείς σε δύο περιόδους θεραπείας. Στην περίοδο Α, οι ασθενείς έλαβαν εικονικό φάρμακο ή adalimumab σε αρχική δόση 160 mg την εβδομάδα 0 και 80 mg την εβδομάδα 2 και 40 mg κάθε εβδομάδα ξεκινώντας από την εβδομάδα 4 έως την εβδομάδα 11. Το 19,3% των ασθενών συνέχισε την από του στόματος αντιβιοτική θεραπεία που λάμβανε κατά την έναρξη της μελέτης. Μετά από 12 εβδομάδες θεραπείας, οι ασθενείς που είχαν λάβει adalimumab την περίοδο Α επανατυχαιοποιήθηκαν στην περίοδο Β σε 1 από τις 3 ομάδες θεραπείας (adalimumab 40 mg κάθε εβδομάδα, adalimumab 40 mg κάθε δεύτερη εβδομάδα, ή εικονικό φάρμακο από την εβδομάδα 12 έως την εβδομάδα 35). Οι ασθενείς που είχαν τυχαιοποιηθεί σε εικονικό φάρμακο την περίοδο Α, έλαβαν εικονικό φάρμακο στην περίοδο Β.</w:t>
      </w:r>
    </w:p>
    <w:p w14:paraId="609ABE99" w14:textId="77777777" w:rsidR="00171824" w:rsidRDefault="00171824">
      <w:pPr>
        <w:widowControl/>
        <w:kinsoku w:val="0"/>
        <w:overflowPunct w:val="0"/>
        <w:rPr>
          <w:sz w:val="22"/>
          <w:szCs w:val="22"/>
          <w:lang w:val="el-GR"/>
        </w:rPr>
      </w:pPr>
    </w:p>
    <w:p w14:paraId="2B8EE1BA" w14:textId="77777777" w:rsidR="00171824" w:rsidRDefault="006D258C">
      <w:pPr>
        <w:pStyle w:val="BodyText"/>
        <w:widowControl/>
        <w:kinsoku w:val="0"/>
        <w:overflowPunct w:val="0"/>
        <w:ind w:left="0"/>
        <w:rPr>
          <w:lang w:val="el-GR"/>
        </w:rPr>
      </w:pPr>
      <w:r>
        <w:rPr>
          <w:lang w:val="el-GR"/>
        </w:rPr>
        <w:t>Οι ασθενείς που συμμετείχαν στις μελέτες HS-I και HS-ΙΙ είχαν τη δυνατότητα να ενταχθούν σε μια ανοικτή μελέτη επέκτασης στην οποία χορηγούνταν adalimumab 40 mg κάθε εβδομάδα. Ο μέσος χρόνος έκθεσης στον adalimumab πληθυσμό ήταν 762 ημέρες. Και στις 3 μελέτες οι ασθενείς χρησιμοποιούσαν τοπικό αντισηπτικό σαπούνι καθημερινά.</w:t>
      </w:r>
    </w:p>
    <w:p w14:paraId="237676DC" w14:textId="77777777" w:rsidR="00171824" w:rsidRDefault="00171824">
      <w:pPr>
        <w:widowControl/>
        <w:kinsoku w:val="0"/>
        <w:overflowPunct w:val="0"/>
        <w:rPr>
          <w:sz w:val="22"/>
          <w:szCs w:val="22"/>
          <w:lang w:val="el-GR"/>
        </w:rPr>
      </w:pPr>
    </w:p>
    <w:p w14:paraId="12BAAB0B" w14:textId="77777777" w:rsidR="00171824" w:rsidRDefault="006D258C">
      <w:pPr>
        <w:keepNext/>
        <w:widowControl/>
        <w:kinsoku w:val="0"/>
        <w:overflowPunct w:val="0"/>
        <w:rPr>
          <w:sz w:val="22"/>
          <w:szCs w:val="22"/>
          <w:lang w:val="el-GR"/>
        </w:rPr>
      </w:pPr>
      <w:r>
        <w:rPr>
          <w:i/>
          <w:iCs/>
          <w:sz w:val="22"/>
          <w:szCs w:val="22"/>
          <w:u w:val="single"/>
          <w:lang w:val="el-GR"/>
        </w:rPr>
        <w:t>Κλινική Ανταπόκριση</w:t>
      </w:r>
    </w:p>
    <w:p w14:paraId="1E4085A9" w14:textId="77777777" w:rsidR="00171824" w:rsidRDefault="00171824">
      <w:pPr>
        <w:keepNext/>
        <w:widowControl/>
        <w:kinsoku w:val="0"/>
        <w:overflowPunct w:val="0"/>
        <w:rPr>
          <w:sz w:val="22"/>
          <w:szCs w:val="22"/>
          <w:lang w:val="el-GR"/>
        </w:rPr>
      </w:pPr>
    </w:p>
    <w:p w14:paraId="2C5474DE" w14:textId="77777777" w:rsidR="00171824" w:rsidRDefault="006D258C">
      <w:pPr>
        <w:pStyle w:val="BodyText"/>
        <w:widowControl/>
        <w:kinsoku w:val="0"/>
        <w:overflowPunct w:val="0"/>
        <w:ind w:left="0"/>
        <w:rPr>
          <w:lang w:val="el-GR"/>
        </w:rPr>
      </w:pPr>
      <w:r>
        <w:rPr>
          <w:lang w:val="el-GR"/>
        </w:rPr>
        <w:t xml:space="preserve">Η μείωση των φλεγμονωδών βλαβών και η αποφυγή της επιδείνωσης των αποστημάτων και των παραγωγικών συριγγίων αξιολογήθηκε χρησιμοποιώντας το Δείκτη Κλινικής Ανταπόκρισης στη Διαπυητική Ιδρωταδενίτιδα (HiSCR, μείωση τουλάχιστον κατά 50% του συνολικού αριθμού των αποστημάτων και των φλεγμονωδών οζιδίων χωρίς αύξηση του αριθμού των αποστημάτων και χωρίς αύξηση του αριθμού των παραγωγικών συριγγίων, σε σχέση με τον αριθμό τους στην έναρξη της μελέτης). Η μείωση του συνδεόμενου με τη διαπυητική ιδρωταδενίτιδα άλγους αξιολογήθηκε </w:t>
      </w:r>
      <w:r>
        <w:rPr>
          <w:lang w:val="el-GR"/>
        </w:rPr>
        <w:lastRenderedPageBreak/>
        <w:t>χρησιμοποιώντας μια Αριθμητική Κλίμακα Αξιολόγησης σε ασθενείς που εντάχθηκαν στη μελέτη με αρχική τιμή 3 ή μεγαλύτερη, σε μια 11-βάθμια κλίμακα.</w:t>
      </w:r>
    </w:p>
    <w:p w14:paraId="3F1445A3" w14:textId="77777777" w:rsidR="00171824" w:rsidRDefault="00171824">
      <w:pPr>
        <w:pStyle w:val="BodyText"/>
        <w:widowControl/>
        <w:kinsoku w:val="0"/>
        <w:overflowPunct w:val="0"/>
        <w:ind w:left="0"/>
        <w:rPr>
          <w:lang w:val="el-GR"/>
        </w:rPr>
      </w:pPr>
    </w:p>
    <w:p w14:paraId="07C041A7" w14:textId="77777777" w:rsidR="00171824" w:rsidRDefault="006D258C">
      <w:pPr>
        <w:pStyle w:val="BodyText"/>
        <w:widowControl/>
        <w:kinsoku w:val="0"/>
        <w:overflowPunct w:val="0"/>
        <w:ind w:left="0"/>
        <w:rPr>
          <w:lang w:val="el-GR"/>
        </w:rPr>
      </w:pPr>
      <w:r>
        <w:rPr>
          <w:lang w:val="el-GR"/>
        </w:rPr>
        <w:t>Την εβδομάδα 12, ένα σημαντικά υψηλότερο ποσοστό ασθενών που έλαβαν θεραπεία με adalimumab πέτυχε HiSCR έναντι αυτών που έλαβαν εικονικό φάρμακο. Την εβδομάδα 12, ένα σημαντικά υψηλότερο ποσοστό ασθενών της Μελέτης HS-ΙΙ παρουσίασαν κλινικά σημαντική μείωση του συνδεόμενου με τη διαπυητική ιδρωταδενίτιδα άλγους (βλέπε πίνακα 19). Οι ασθενείς που έλαβαν θεραπεία με adalimumab εμφάνισαν σημαντικά μικρότερο κίνδυνο έξαρσης της νόσου κατά τη διάρκεια των 12 πρώτων εβδομάδων της θεραπείας.</w:t>
      </w:r>
    </w:p>
    <w:p w14:paraId="75A3696C" w14:textId="77777777" w:rsidR="00171824" w:rsidRDefault="00171824">
      <w:pPr>
        <w:widowControl/>
        <w:kinsoku w:val="0"/>
        <w:overflowPunct w:val="0"/>
        <w:rPr>
          <w:sz w:val="22"/>
          <w:szCs w:val="22"/>
          <w:lang w:val="el-GR"/>
        </w:rPr>
      </w:pPr>
    </w:p>
    <w:p w14:paraId="1910588F" w14:textId="77777777" w:rsidR="00171824" w:rsidRDefault="006D258C">
      <w:pPr>
        <w:pStyle w:val="Heading1"/>
        <w:keepNext/>
        <w:keepLines/>
        <w:widowControl/>
        <w:kinsoku w:val="0"/>
        <w:overflowPunct w:val="0"/>
        <w:ind w:left="0"/>
        <w:rPr>
          <w:b w:val="0"/>
          <w:bCs w:val="0"/>
          <w:lang w:val="el-GR"/>
        </w:rPr>
      </w:pPr>
      <w:r>
        <w:rPr>
          <w:lang w:val="el-GR"/>
        </w:rPr>
        <w:t>Πίνακας 19. Αποτελεσματικότητα στις 12 εβδομάδες, Μελέτες HS I και II</w:t>
      </w:r>
    </w:p>
    <w:p w14:paraId="23223766" w14:textId="77777777" w:rsidR="00171824" w:rsidRDefault="00171824">
      <w:pPr>
        <w:keepNext/>
        <w:keepLines/>
        <w:widowControl/>
        <w:kinsoku w:val="0"/>
        <w:overflowPunct w:val="0"/>
        <w:rPr>
          <w:sz w:val="22"/>
          <w:szCs w:val="22"/>
          <w:lang w:val="el-GR"/>
        </w:rPr>
      </w:pPr>
    </w:p>
    <w:tbl>
      <w:tblPr>
        <w:tblW w:w="9459" w:type="dxa"/>
        <w:tblInd w:w="5" w:type="dxa"/>
        <w:tblLayout w:type="fixed"/>
        <w:tblLook w:val="04A0" w:firstRow="1" w:lastRow="0" w:firstColumn="1" w:lastColumn="0" w:noHBand="0" w:noVBand="1"/>
      </w:tblPr>
      <w:tblGrid>
        <w:gridCol w:w="3251"/>
        <w:gridCol w:w="1388"/>
        <w:gridCol w:w="1701"/>
        <w:gridCol w:w="1418"/>
        <w:gridCol w:w="1701"/>
      </w:tblGrid>
      <w:tr w:rsidR="00171824" w14:paraId="7ED94F3A" w14:textId="77777777">
        <w:trPr>
          <w:trHeight w:val="20"/>
        </w:trPr>
        <w:tc>
          <w:tcPr>
            <w:tcW w:w="3251" w:type="dxa"/>
            <w:vMerge w:val="restart"/>
            <w:tcBorders>
              <w:top w:val="single" w:sz="4" w:space="0" w:color="000000"/>
              <w:left w:val="single" w:sz="4" w:space="0" w:color="000000"/>
              <w:bottom w:val="single" w:sz="4" w:space="0" w:color="000000"/>
              <w:right w:val="single" w:sz="4" w:space="0" w:color="000000"/>
            </w:tcBorders>
          </w:tcPr>
          <w:p w14:paraId="72B40889" w14:textId="77777777" w:rsidR="00171824" w:rsidRDefault="00171824">
            <w:pPr>
              <w:keepNext/>
              <w:widowControl/>
              <w:rPr>
                <w:rFonts w:eastAsia="MS Mincho"/>
                <w:sz w:val="22"/>
                <w:szCs w:val="22"/>
                <w:lang w:val="el-GR"/>
              </w:rPr>
            </w:pPr>
          </w:p>
        </w:tc>
        <w:tc>
          <w:tcPr>
            <w:tcW w:w="3089" w:type="dxa"/>
            <w:gridSpan w:val="2"/>
            <w:tcBorders>
              <w:top w:val="single" w:sz="4" w:space="0" w:color="000000"/>
              <w:left w:val="single" w:sz="4" w:space="0" w:color="000000"/>
              <w:bottom w:val="single" w:sz="4" w:space="0" w:color="000000"/>
              <w:right w:val="single" w:sz="4" w:space="0" w:color="000000"/>
            </w:tcBorders>
          </w:tcPr>
          <w:p w14:paraId="7FB870B8"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Μελέτη HS I</w:t>
            </w:r>
          </w:p>
        </w:tc>
        <w:tc>
          <w:tcPr>
            <w:tcW w:w="3119" w:type="dxa"/>
            <w:gridSpan w:val="2"/>
            <w:tcBorders>
              <w:top w:val="single" w:sz="4" w:space="0" w:color="000000"/>
              <w:left w:val="single" w:sz="4" w:space="0" w:color="000000"/>
              <w:bottom w:val="single" w:sz="4" w:space="0" w:color="000000"/>
              <w:right w:val="single" w:sz="4" w:space="0" w:color="000000"/>
            </w:tcBorders>
          </w:tcPr>
          <w:p w14:paraId="61C933E9"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Μελέτη HS II</w:t>
            </w:r>
          </w:p>
        </w:tc>
      </w:tr>
      <w:tr w:rsidR="00171824" w14:paraId="3125FF48" w14:textId="77777777">
        <w:trPr>
          <w:trHeight w:val="20"/>
        </w:trPr>
        <w:tc>
          <w:tcPr>
            <w:tcW w:w="3251" w:type="dxa"/>
            <w:vMerge/>
            <w:tcBorders>
              <w:top w:val="single" w:sz="4" w:space="0" w:color="000000"/>
              <w:left w:val="single" w:sz="4" w:space="0" w:color="000000"/>
              <w:bottom w:val="single" w:sz="4" w:space="0" w:color="000000"/>
              <w:right w:val="single" w:sz="4" w:space="0" w:color="000000"/>
            </w:tcBorders>
          </w:tcPr>
          <w:p w14:paraId="71C15F40" w14:textId="77777777" w:rsidR="00171824" w:rsidRDefault="00171824">
            <w:pPr>
              <w:pStyle w:val="TableParagraph"/>
              <w:keepNext/>
              <w:widowControl/>
              <w:kinsoku w:val="0"/>
              <w:overflowPunct w:val="0"/>
              <w:rPr>
                <w:rFonts w:eastAsia="MS Mincho"/>
                <w:sz w:val="22"/>
                <w:szCs w:val="22"/>
                <w:lang w:val="el-GR"/>
              </w:rPr>
            </w:pPr>
          </w:p>
        </w:tc>
        <w:tc>
          <w:tcPr>
            <w:tcW w:w="1388" w:type="dxa"/>
            <w:tcBorders>
              <w:top w:val="single" w:sz="4" w:space="0" w:color="000000"/>
              <w:left w:val="single" w:sz="4" w:space="0" w:color="000000"/>
              <w:bottom w:val="single" w:sz="4" w:space="0" w:color="000000"/>
              <w:right w:val="single" w:sz="4" w:space="0" w:color="000000"/>
            </w:tcBorders>
          </w:tcPr>
          <w:p w14:paraId="22700BC5"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w:t>
            </w:r>
          </w:p>
        </w:tc>
        <w:tc>
          <w:tcPr>
            <w:tcW w:w="1701" w:type="dxa"/>
            <w:tcBorders>
              <w:top w:val="single" w:sz="4" w:space="0" w:color="000000"/>
              <w:left w:val="single" w:sz="4" w:space="0" w:color="000000"/>
              <w:bottom w:val="single" w:sz="4" w:space="0" w:color="000000"/>
              <w:right w:val="single" w:sz="4" w:space="0" w:color="000000"/>
            </w:tcBorders>
          </w:tcPr>
          <w:p w14:paraId="3F803F3C"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εβδομάδα</w:t>
            </w:r>
          </w:p>
        </w:tc>
        <w:tc>
          <w:tcPr>
            <w:tcW w:w="1418" w:type="dxa"/>
            <w:tcBorders>
              <w:top w:val="single" w:sz="4" w:space="0" w:color="000000"/>
              <w:left w:val="single" w:sz="4" w:space="0" w:color="000000"/>
              <w:bottom w:val="single" w:sz="4" w:space="0" w:color="000000"/>
              <w:right w:val="single" w:sz="4" w:space="0" w:color="000000"/>
            </w:tcBorders>
          </w:tcPr>
          <w:p w14:paraId="3606C341"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w:t>
            </w:r>
          </w:p>
        </w:tc>
        <w:tc>
          <w:tcPr>
            <w:tcW w:w="1701" w:type="dxa"/>
            <w:tcBorders>
              <w:top w:val="single" w:sz="4" w:space="0" w:color="000000"/>
              <w:left w:val="single" w:sz="4" w:space="0" w:color="000000"/>
              <w:bottom w:val="single" w:sz="4" w:space="0" w:color="000000"/>
              <w:right w:val="single" w:sz="4" w:space="0" w:color="000000"/>
            </w:tcBorders>
          </w:tcPr>
          <w:p w14:paraId="3C7D6204"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εβδομάδα</w:t>
            </w:r>
          </w:p>
        </w:tc>
      </w:tr>
      <w:tr w:rsidR="00171824" w14:paraId="221CD99B" w14:textId="77777777">
        <w:trPr>
          <w:trHeight w:val="20"/>
        </w:trPr>
        <w:tc>
          <w:tcPr>
            <w:tcW w:w="3251" w:type="dxa"/>
            <w:tcBorders>
              <w:top w:val="single" w:sz="4" w:space="0" w:color="000000"/>
              <w:left w:val="single" w:sz="4" w:space="0" w:color="000000"/>
              <w:bottom w:val="single" w:sz="4" w:space="0" w:color="000000"/>
              <w:right w:val="single" w:sz="4" w:space="0" w:color="000000"/>
            </w:tcBorders>
          </w:tcPr>
          <w:p w14:paraId="19BF401B"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Κλινική ανταπόκριση στη Διαπυητική Ιδρωταδενίτιδα (HiSCR)</w:t>
            </w:r>
            <w:r>
              <w:rPr>
                <w:rFonts w:eastAsia="MS Mincho"/>
                <w:sz w:val="22"/>
                <w:szCs w:val="22"/>
                <w:vertAlign w:val="superscript"/>
                <w:lang w:val="el-GR"/>
              </w:rPr>
              <w:t>a</w:t>
            </w:r>
          </w:p>
        </w:tc>
        <w:tc>
          <w:tcPr>
            <w:tcW w:w="1388" w:type="dxa"/>
            <w:tcBorders>
              <w:top w:val="single" w:sz="4" w:space="0" w:color="000000"/>
              <w:left w:val="single" w:sz="4" w:space="0" w:color="000000"/>
              <w:bottom w:val="single" w:sz="4" w:space="0" w:color="000000"/>
              <w:right w:val="single" w:sz="4" w:space="0" w:color="000000"/>
            </w:tcBorders>
          </w:tcPr>
          <w:p w14:paraId="590B0235" w14:textId="77777777" w:rsidR="00171824" w:rsidRDefault="006D258C">
            <w:pPr>
              <w:pStyle w:val="BodyText"/>
              <w:widowControl/>
              <w:ind w:left="0"/>
              <w:jc w:val="center"/>
              <w:rPr>
                <w:rFonts w:eastAsia="MS Mincho"/>
                <w:lang w:val="el-GR"/>
              </w:rPr>
            </w:pPr>
            <w:r>
              <w:rPr>
                <w:rFonts w:eastAsia="MS Mincho"/>
                <w:lang w:val="el-GR"/>
              </w:rPr>
              <w:t>N = 154</w:t>
            </w:r>
          </w:p>
          <w:p w14:paraId="16608027" w14:textId="77777777" w:rsidR="00171824" w:rsidRDefault="006D258C">
            <w:pPr>
              <w:pStyle w:val="BodyText"/>
              <w:widowControl/>
              <w:ind w:left="0"/>
              <w:jc w:val="center"/>
              <w:rPr>
                <w:rFonts w:eastAsia="MS Mincho"/>
                <w:lang w:val="el-GR"/>
              </w:rPr>
            </w:pPr>
            <w:r>
              <w:rPr>
                <w:rFonts w:eastAsia="MS Mincho"/>
                <w:lang w:val="el-GR"/>
              </w:rPr>
              <w:t>40 (26,0%)</w:t>
            </w:r>
          </w:p>
        </w:tc>
        <w:tc>
          <w:tcPr>
            <w:tcW w:w="1701" w:type="dxa"/>
            <w:tcBorders>
              <w:top w:val="single" w:sz="4" w:space="0" w:color="000000"/>
              <w:left w:val="single" w:sz="4" w:space="0" w:color="000000"/>
              <w:bottom w:val="single" w:sz="4" w:space="0" w:color="000000"/>
              <w:right w:val="single" w:sz="4" w:space="0" w:color="000000"/>
            </w:tcBorders>
          </w:tcPr>
          <w:p w14:paraId="0F2103EE" w14:textId="77777777" w:rsidR="00171824" w:rsidRDefault="006D258C">
            <w:pPr>
              <w:pStyle w:val="BodyText"/>
              <w:widowControl/>
              <w:ind w:left="0"/>
              <w:jc w:val="center"/>
              <w:rPr>
                <w:rFonts w:eastAsia="MS Mincho"/>
                <w:lang w:val="el-GR"/>
              </w:rPr>
            </w:pPr>
            <w:r>
              <w:rPr>
                <w:rFonts w:eastAsia="MS Mincho"/>
                <w:lang w:val="el-GR"/>
              </w:rPr>
              <w:t>N = 153</w:t>
            </w:r>
          </w:p>
          <w:p w14:paraId="00A077F0" w14:textId="77777777" w:rsidR="00171824" w:rsidRDefault="006D258C">
            <w:pPr>
              <w:pStyle w:val="BodyText"/>
              <w:widowControl/>
              <w:ind w:left="0"/>
              <w:jc w:val="center"/>
              <w:rPr>
                <w:rFonts w:eastAsia="MS Mincho"/>
                <w:lang w:val="el-GR"/>
              </w:rPr>
            </w:pPr>
            <w:r>
              <w:rPr>
                <w:rFonts w:eastAsia="MS Mincho"/>
                <w:lang w:val="el-GR"/>
              </w:rPr>
              <w:t>64 (41,8%) *</w:t>
            </w:r>
          </w:p>
        </w:tc>
        <w:tc>
          <w:tcPr>
            <w:tcW w:w="1418" w:type="dxa"/>
            <w:tcBorders>
              <w:top w:val="single" w:sz="4" w:space="0" w:color="000000"/>
              <w:left w:val="single" w:sz="4" w:space="0" w:color="000000"/>
              <w:bottom w:val="single" w:sz="4" w:space="0" w:color="000000"/>
              <w:right w:val="single" w:sz="4" w:space="0" w:color="000000"/>
            </w:tcBorders>
          </w:tcPr>
          <w:p w14:paraId="2725E7B0" w14:textId="77777777" w:rsidR="00171824" w:rsidRDefault="006D258C">
            <w:pPr>
              <w:pStyle w:val="BodyText"/>
              <w:widowControl/>
              <w:ind w:left="0"/>
              <w:jc w:val="center"/>
              <w:rPr>
                <w:rFonts w:eastAsia="MS Mincho"/>
                <w:lang w:val="el-GR"/>
              </w:rPr>
            </w:pPr>
            <w:r>
              <w:rPr>
                <w:rFonts w:eastAsia="MS Mincho"/>
                <w:lang w:val="el-GR"/>
              </w:rPr>
              <w:t>N=163</w:t>
            </w:r>
          </w:p>
          <w:p w14:paraId="743618F0" w14:textId="77777777" w:rsidR="00171824" w:rsidRDefault="006D258C">
            <w:pPr>
              <w:pStyle w:val="BodyText"/>
              <w:widowControl/>
              <w:ind w:left="0"/>
              <w:jc w:val="center"/>
              <w:rPr>
                <w:rFonts w:eastAsia="MS Mincho"/>
                <w:lang w:val="el-GR"/>
              </w:rPr>
            </w:pPr>
            <w:r>
              <w:rPr>
                <w:rFonts w:eastAsia="MS Mincho"/>
                <w:lang w:val="el-GR"/>
              </w:rPr>
              <w:t>45 (27,6%)</w:t>
            </w:r>
          </w:p>
        </w:tc>
        <w:tc>
          <w:tcPr>
            <w:tcW w:w="1701" w:type="dxa"/>
            <w:tcBorders>
              <w:top w:val="single" w:sz="4" w:space="0" w:color="000000"/>
              <w:left w:val="single" w:sz="4" w:space="0" w:color="000000"/>
              <w:bottom w:val="single" w:sz="4" w:space="0" w:color="000000"/>
              <w:right w:val="single" w:sz="4" w:space="0" w:color="000000"/>
            </w:tcBorders>
          </w:tcPr>
          <w:p w14:paraId="5A6797E6" w14:textId="77777777" w:rsidR="00171824" w:rsidRDefault="006D258C">
            <w:pPr>
              <w:pStyle w:val="BodyText"/>
              <w:widowControl/>
              <w:ind w:left="0"/>
              <w:jc w:val="center"/>
              <w:rPr>
                <w:rFonts w:eastAsia="MS Mincho"/>
                <w:lang w:val="el-GR"/>
              </w:rPr>
            </w:pPr>
            <w:r>
              <w:rPr>
                <w:rFonts w:eastAsia="MS Mincho"/>
                <w:lang w:val="el-GR"/>
              </w:rPr>
              <w:t>N=163</w:t>
            </w:r>
          </w:p>
          <w:p w14:paraId="533B3995" w14:textId="77777777" w:rsidR="00171824" w:rsidRDefault="006D258C">
            <w:pPr>
              <w:pStyle w:val="BodyText"/>
              <w:widowControl/>
              <w:ind w:left="0"/>
              <w:jc w:val="center"/>
              <w:rPr>
                <w:rFonts w:eastAsia="MS Mincho"/>
                <w:lang w:val="el-GR"/>
              </w:rPr>
            </w:pPr>
            <w:r>
              <w:rPr>
                <w:rFonts w:eastAsia="MS Mincho"/>
                <w:lang w:val="el-GR"/>
              </w:rPr>
              <w:t xml:space="preserve">96 (58,9%) </w:t>
            </w:r>
            <w:r>
              <w:rPr>
                <w:rFonts w:eastAsia="MS Mincho"/>
                <w:vertAlign w:val="superscript"/>
                <w:lang w:val="el-GR"/>
              </w:rPr>
              <w:t>***</w:t>
            </w:r>
          </w:p>
        </w:tc>
      </w:tr>
      <w:tr w:rsidR="00171824" w14:paraId="33BC2C28" w14:textId="77777777">
        <w:trPr>
          <w:trHeight w:val="20"/>
        </w:trPr>
        <w:tc>
          <w:tcPr>
            <w:tcW w:w="3251" w:type="dxa"/>
            <w:tcBorders>
              <w:top w:val="single" w:sz="4" w:space="0" w:color="000000"/>
              <w:left w:val="single" w:sz="4" w:space="0" w:color="000000"/>
              <w:bottom w:val="single" w:sz="4" w:space="0" w:color="auto"/>
              <w:right w:val="single" w:sz="4" w:space="0" w:color="000000"/>
            </w:tcBorders>
          </w:tcPr>
          <w:p w14:paraId="47D4C5EE"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 30% Μείωση του δερματικού άλγους</w:t>
            </w:r>
            <w:r>
              <w:rPr>
                <w:rFonts w:eastAsia="MS Mincho"/>
                <w:sz w:val="22"/>
                <w:szCs w:val="22"/>
                <w:vertAlign w:val="superscript"/>
                <w:lang w:val="el-GR"/>
              </w:rPr>
              <w:t>b</w:t>
            </w:r>
          </w:p>
        </w:tc>
        <w:tc>
          <w:tcPr>
            <w:tcW w:w="1388" w:type="dxa"/>
            <w:tcBorders>
              <w:top w:val="single" w:sz="4" w:space="0" w:color="000000"/>
              <w:left w:val="single" w:sz="4" w:space="0" w:color="000000"/>
              <w:bottom w:val="single" w:sz="4" w:space="0" w:color="auto"/>
              <w:right w:val="single" w:sz="4" w:space="0" w:color="000000"/>
            </w:tcBorders>
          </w:tcPr>
          <w:p w14:paraId="48BA2542" w14:textId="77777777" w:rsidR="00171824" w:rsidRDefault="006D258C">
            <w:pPr>
              <w:pStyle w:val="BodyText"/>
              <w:widowControl/>
              <w:ind w:left="0"/>
              <w:jc w:val="center"/>
              <w:rPr>
                <w:rFonts w:eastAsia="MS Mincho"/>
                <w:lang w:val="el-GR"/>
              </w:rPr>
            </w:pPr>
            <w:r>
              <w:rPr>
                <w:rFonts w:eastAsia="MS Mincho"/>
                <w:lang w:val="el-GR"/>
              </w:rPr>
              <w:t>N = 109</w:t>
            </w:r>
          </w:p>
          <w:p w14:paraId="2834411A" w14:textId="77777777" w:rsidR="00171824" w:rsidRDefault="006D258C">
            <w:pPr>
              <w:pStyle w:val="BodyText"/>
              <w:widowControl/>
              <w:ind w:left="0"/>
              <w:jc w:val="center"/>
              <w:rPr>
                <w:rFonts w:eastAsia="MS Mincho"/>
                <w:lang w:val="el-GR"/>
              </w:rPr>
            </w:pPr>
            <w:r>
              <w:rPr>
                <w:rFonts w:eastAsia="MS Mincho"/>
                <w:lang w:val="el-GR"/>
              </w:rPr>
              <w:t>27 (24,8%)</w:t>
            </w:r>
          </w:p>
        </w:tc>
        <w:tc>
          <w:tcPr>
            <w:tcW w:w="1701" w:type="dxa"/>
            <w:tcBorders>
              <w:top w:val="single" w:sz="4" w:space="0" w:color="000000"/>
              <w:left w:val="single" w:sz="4" w:space="0" w:color="000000"/>
              <w:bottom w:val="single" w:sz="4" w:space="0" w:color="auto"/>
              <w:right w:val="single" w:sz="4" w:space="0" w:color="000000"/>
            </w:tcBorders>
          </w:tcPr>
          <w:p w14:paraId="77B23A0A" w14:textId="77777777" w:rsidR="00171824" w:rsidRDefault="006D258C">
            <w:pPr>
              <w:pStyle w:val="BodyText"/>
              <w:widowControl/>
              <w:ind w:left="0"/>
              <w:jc w:val="center"/>
              <w:rPr>
                <w:rFonts w:eastAsia="MS Mincho"/>
                <w:lang w:val="el-GR"/>
              </w:rPr>
            </w:pPr>
            <w:r>
              <w:rPr>
                <w:rFonts w:eastAsia="MS Mincho"/>
                <w:lang w:val="el-GR"/>
              </w:rPr>
              <w:t>N = 122</w:t>
            </w:r>
          </w:p>
          <w:p w14:paraId="0B69894C" w14:textId="77777777" w:rsidR="00171824" w:rsidRDefault="006D258C">
            <w:pPr>
              <w:pStyle w:val="BodyText"/>
              <w:widowControl/>
              <w:ind w:left="0"/>
              <w:jc w:val="center"/>
              <w:rPr>
                <w:rFonts w:eastAsia="MS Mincho"/>
                <w:lang w:val="el-GR"/>
              </w:rPr>
            </w:pPr>
            <w:r>
              <w:rPr>
                <w:rFonts w:eastAsia="MS Mincho"/>
                <w:lang w:val="el-GR"/>
              </w:rPr>
              <w:t>34 (27,9%)</w:t>
            </w:r>
          </w:p>
        </w:tc>
        <w:tc>
          <w:tcPr>
            <w:tcW w:w="1418" w:type="dxa"/>
            <w:tcBorders>
              <w:top w:val="single" w:sz="4" w:space="0" w:color="000000"/>
              <w:left w:val="single" w:sz="4" w:space="0" w:color="000000"/>
              <w:bottom w:val="single" w:sz="4" w:space="0" w:color="auto"/>
              <w:right w:val="single" w:sz="4" w:space="0" w:color="000000"/>
            </w:tcBorders>
          </w:tcPr>
          <w:p w14:paraId="6AC4DF3B" w14:textId="77777777" w:rsidR="00171824" w:rsidRDefault="006D258C">
            <w:pPr>
              <w:pStyle w:val="BodyText"/>
              <w:widowControl/>
              <w:ind w:left="0"/>
              <w:jc w:val="center"/>
              <w:rPr>
                <w:rFonts w:eastAsia="MS Mincho"/>
                <w:lang w:val="el-GR"/>
              </w:rPr>
            </w:pPr>
            <w:r>
              <w:rPr>
                <w:rFonts w:eastAsia="MS Mincho"/>
                <w:lang w:val="el-GR"/>
              </w:rPr>
              <w:t>N=111</w:t>
            </w:r>
          </w:p>
          <w:p w14:paraId="1DB4C43C" w14:textId="77777777" w:rsidR="00171824" w:rsidRDefault="006D258C">
            <w:pPr>
              <w:pStyle w:val="BodyText"/>
              <w:widowControl/>
              <w:ind w:left="0"/>
              <w:jc w:val="center"/>
              <w:rPr>
                <w:rFonts w:eastAsia="MS Mincho"/>
                <w:lang w:val="el-GR"/>
              </w:rPr>
            </w:pPr>
            <w:r>
              <w:rPr>
                <w:rFonts w:eastAsia="MS Mincho"/>
                <w:lang w:val="el-GR"/>
              </w:rPr>
              <w:t>23 (20,7%)</w:t>
            </w:r>
          </w:p>
        </w:tc>
        <w:tc>
          <w:tcPr>
            <w:tcW w:w="1701" w:type="dxa"/>
            <w:tcBorders>
              <w:top w:val="single" w:sz="4" w:space="0" w:color="000000"/>
              <w:left w:val="single" w:sz="4" w:space="0" w:color="000000"/>
              <w:bottom w:val="single" w:sz="4" w:space="0" w:color="auto"/>
              <w:right w:val="single" w:sz="4" w:space="0" w:color="000000"/>
            </w:tcBorders>
          </w:tcPr>
          <w:p w14:paraId="3AD8F78E" w14:textId="77777777" w:rsidR="00171824" w:rsidRDefault="006D258C">
            <w:pPr>
              <w:pStyle w:val="BodyText"/>
              <w:widowControl/>
              <w:ind w:left="0"/>
              <w:jc w:val="center"/>
              <w:rPr>
                <w:rFonts w:eastAsia="MS Mincho"/>
                <w:lang w:val="el-GR"/>
              </w:rPr>
            </w:pPr>
            <w:r>
              <w:rPr>
                <w:rFonts w:eastAsia="MS Mincho"/>
                <w:lang w:val="el-GR"/>
              </w:rPr>
              <w:t>N=105</w:t>
            </w:r>
          </w:p>
          <w:p w14:paraId="309DE08C" w14:textId="77777777" w:rsidR="00171824" w:rsidRDefault="006D258C">
            <w:pPr>
              <w:pStyle w:val="BodyText"/>
              <w:widowControl/>
              <w:ind w:left="0"/>
              <w:jc w:val="center"/>
              <w:rPr>
                <w:rFonts w:eastAsia="MS Mincho"/>
                <w:lang w:val="el-GR"/>
              </w:rPr>
            </w:pPr>
            <w:r>
              <w:rPr>
                <w:rFonts w:eastAsia="MS Mincho"/>
                <w:lang w:val="el-GR"/>
              </w:rPr>
              <w:t xml:space="preserve">48 (45,7%) </w:t>
            </w:r>
            <w:r>
              <w:rPr>
                <w:rFonts w:eastAsia="MS Mincho"/>
                <w:vertAlign w:val="superscript"/>
                <w:lang w:val="el-GR"/>
              </w:rPr>
              <w:t>***</w:t>
            </w:r>
          </w:p>
        </w:tc>
      </w:tr>
      <w:tr w:rsidR="00171824" w:rsidRPr="00422380" w14:paraId="5A6F71C5" w14:textId="77777777">
        <w:trPr>
          <w:trHeight w:val="20"/>
        </w:trPr>
        <w:tc>
          <w:tcPr>
            <w:tcW w:w="9459" w:type="dxa"/>
            <w:gridSpan w:val="5"/>
            <w:tcBorders>
              <w:top w:val="single" w:sz="4" w:space="0" w:color="auto"/>
            </w:tcBorders>
          </w:tcPr>
          <w:p w14:paraId="54F6D771" w14:textId="77777777" w:rsidR="00171824" w:rsidRPr="00E10827" w:rsidRDefault="006D258C">
            <w:pPr>
              <w:pStyle w:val="TableParagraph"/>
              <w:widowControl/>
              <w:kinsoku w:val="0"/>
              <w:overflowPunct w:val="0"/>
              <w:rPr>
                <w:rFonts w:eastAsia="MS Mincho"/>
                <w:sz w:val="20"/>
                <w:szCs w:val="20"/>
                <w:lang w:val="el-GR"/>
              </w:rPr>
            </w:pPr>
            <w:r w:rsidRPr="00E10827">
              <w:rPr>
                <w:rFonts w:eastAsia="MS Mincho"/>
                <w:sz w:val="20"/>
                <w:szCs w:val="20"/>
                <w:lang w:val="el-GR"/>
              </w:rPr>
              <w:t xml:space="preserve">* </w:t>
            </w:r>
            <w:r>
              <w:rPr>
                <w:rFonts w:eastAsia="MS Mincho"/>
                <w:iCs/>
                <w:sz w:val="20"/>
                <w:szCs w:val="20"/>
              </w:rPr>
              <w:t>P</w:t>
            </w:r>
            <w:r w:rsidRPr="00E10827">
              <w:rPr>
                <w:rFonts w:eastAsia="MS Mincho"/>
                <w:iCs/>
                <w:sz w:val="20"/>
                <w:szCs w:val="20"/>
                <w:lang w:val="el-GR"/>
              </w:rPr>
              <w:t xml:space="preserve"> </w:t>
            </w:r>
            <w:r w:rsidRPr="00E10827">
              <w:rPr>
                <w:rFonts w:eastAsia="MS Mincho"/>
                <w:sz w:val="20"/>
                <w:szCs w:val="20"/>
                <w:lang w:val="el-GR"/>
              </w:rPr>
              <w:t>&lt; 0,05, ***</w:t>
            </w:r>
            <w:r>
              <w:rPr>
                <w:rFonts w:eastAsia="MS Mincho"/>
                <w:iCs/>
                <w:sz w:val="20"/>
                <w:szCs w:val="20"/>
              </w:rPr>
              <w:t>P</w:t>
            </w:r>
            <w:r w:rsidRPr="00E10827">
              <w:rPr>
                <w:rFonts w:eastAsia="MS Mincho"/>
                <w:iCs/>
                <w:sz w:val="20"/>
                <w:szCs w:val="20"/>
                <w:lang w:val="el-GR"/>
              </w:rPr>
              <w:t xml:space="preserve"> </w:t>
            </w:r>
            <w:r w:rsidRPr="00E10827">
              <w:rPr>
                <w:rFonts w:eastAsia="MS Mincho"/>
                <w:sz w:val="20"/>
                <w:szCs w:val="20"/>
                <w:lang w:val="el-GR"/>
              </w:rPr>
              <w:t xml:space="preserve">&lt; 0,001, </w:t>
            </w:r>
            <w:r>
              <w:rPr>
                <w:rFonts w:eastAsia="MS Mincho"/>
                <w:sz w:val="20"/>
                <w:szCs w:val="20"/>
              </w:rPr>
              <w:t>adalimumab</w:t>
            </w:r>
            <w:r w:rsidRPr="00E10827">
              <w:rPr>
                <w:rFonts w:eastAsia="MS Mincho"/>
                <w:sz w:val="20"/>
                <w:szCs w:val="20"/>
                <w:lang w:val="el-GR"/>
              </w:rPr>
              <w:t xml:space="preserve"> </w:t>
            </w:r>
            <w:r>
              <w:rPr>
                <w:rFonts w:eastAsia="MS Mincho"/>
                <w:sz w:val="20"/>
                <w:szCs w:val="20"/>
                <w:lang w:val="el-GR"/>
              </w:rPr>
              <w:t>έναντι</w:t>
            </w:r>
            <w:r w:rsidRPr="00E10827">
              <w:rPr>
                <w:rFonts w:eastAsia="MS Mincho"/>
                <w:sz w:val="20"/>
                <w:szCs w:val="20"/>
                <w:lang w:val="el-GR"/>
              </w:rPr>
              <w:t xml:space="preserve"> </w:t>
            </w:r>
            <w:r>
              <w:rPr>
                <w:rFonts w:eastAsia="MS Mincho"/>
                <w:sz w:val="20"/>
                <w:szCs w:val="20"/>
                <w:lang w:val="el-GR"/>
              </w:rPr>
              <w:t>εικονικού</w:t>
            </w:r>
            <w:r w:rsidRPr="00E10827">
              <w:rPr>
                <w:rFonts w:eastAsia="MS Mincho"/>
                <w:sz w:val="20"/>
                <w:szCs w:val="20"/>
                <w:lang w:val="el-GR"/>
              </w:rPr>
              <w:t xml:space="preserve"> </w:t>
            </w:r>
            <w:r>
              <w:rPr>
                <w:rFonts w:eastAsia="MS Mincho"/>
                <w:sz w:val="20"/>
                <w:szCs w:val="20"/>
                <w:lang w:val="el-GR"/>
              </w:rPr>
              <w:t>φαρμάκου</w:t>
            </w:r>
          </w:p>
          <w:p w14:paraId="1CB3ECE2" w14:textId="77777777" w:rsidR="00171824" w:rsidRDefault="006D258C">
            <w:pPr>
              <w:widowControl/>
              <w:tabs>
                <w:tab w:val="left" w:pos="288"/>
              </w:tabs>
              <w:kinsoku w:val="0"/>
              <w:overflowPunct w:val="0"/>
              <w:rPr>
                <w:rFonts w:eastAsia="MS Mincho"/>
                <w:sz w:val="20"/>
                <w:szCs w:val="20"/>
                <w:lang w:val="el-GR"/>
              </w:rPr>
            </w:pPr>
            <w:r>
              <w:rPr>
                <w:rFonts w:eastAsia="MS Mincho"/>
                <w:sz w:val="20"/>
                <w:szCs w:val="20"/>
                <w:vertAlign w:val="superscript"/>
                <w:lang w:val="el-GR"/>
              </w:rPr>
              <w:t>a</w:t>
            </w:r>
            <w:r>
              <w:rPr>
                <w:rFonts w:eastAsia="MS Mincho"/>
                <w:sz w:val="20"/>
                <w:szCs w:val="20"/>
                <w:lang w:val="el-GR"/>
              </w:rPr>
              <w:tab/>
              <w:t>Μεταξύ όλων των τυχαιοποιημένων ασθενών.</w:t>
            </w:r>
          </w:p>
          <w:p w14:paraId="3D9363FB" w14:textId="77777777" w:rsidR="00171824" w:rsidRDefault="006D258C">
            <w:pPr>
              <w:widowControl/>
              <w:tabs>
                <w:tab w:val="left" w:pos="288"/>
              </w:tabs>
              <w:kinsoku w:val="0"/>
              <w:overflowPunct w:val="0"/>
              <w:rPr>
                <w:rFonts w:eastAsia="MS Mincho"/>
                <w:sz w:val="22"/>
                <w:szCs w:val="22"/>
                <w:lang w:val="el-GR"/>
              </w:rPr>
            </w:pPr>
            <w:r>
              <w:rPr>
                <w:rFonts w:eastAsia="MS Mincho"/>
                <w:sz w:val="20"/>
                <w:szCs w:val="20"/>
                <w:vertAlign w:val="superscript"/>
                <w:lang w:val="el-GR"/>
              </w:rPr>
              <w:t>b</w:t>
            </w:r>
            <w:r>
              <w:rPr>
                <w:rFonts w:eastAsia="MS Mincho"/>
                <w:sz w:val="20"/>
                <w:szCs w:val="20"/>
                <w:lang w:val="el-GR"/>
              </w:rPr>
              <w:tab/>
              <w:t>Μεταξύ των ασθενών με αρχική τιμή αξιολόγησης του συνδεόμενου με τη διαπυητική ιδρωταδενίτιδα άλγους του δέρματος ≥ 3, με βάση την Αριθμητική Κλίμακα Αξιολόγησης 0</w:t>
            </w:r>
            <w:r>
              <w:rPr>
                <w:rFonts w:eastAsia="MS Mincho"/>
                <w:sz w:val="20"/>
                <w:szCs w:val="20"/>
                <w:lang w:val="el-GR"/>
              </w:rPr>
              <w:noBreakHyphen/>
              <w:t>10, όπου 0 =  χωρίς άλγος, 10 = αφόρητο άλγος στο δέρμα.</w:t>
            </w:r>
          </w:p>
        </w:tc>
      </w:tr>
    </w:tbl>
    <w:p w14:paraId="006C6764" w14:textId="77777777" w:rsidR="00171824" w:rsidRDefault="00171824">
      <w:pPr>
        <w:widowControl/>
        <w:kinsoku w:val="0"/>
        <w:overflowPunct w:val="0"/>
        <w:rPr>
          <w:sz w:val="22"/>
          <w:szCs w:val="22"/>
          <w:lang w:val="el-GR"/>
        </w:rPr>
      </w:pPr>
    </w:p>
    <w:p w14:paraId="59C70C1E" w14:textId="77777777" w:rsidR="00171824" w:rsidRDefault="006D258C">
      <w:pPr>
        <w:pStyle w:val="BodyText"/>
        <w:widowControl/>
        <w:kinsoku w:val="0"/>
        <w:overflowPunct w:val="0"/>
        <w:ind w:left="0"/>
        <w:rPr>
          <w:lang w:val="el-GR"/>
        </w:rPr>
      </w:pPr>
      <w:r>
        <w:rPr>
          <w:lang w:val="el-GR"/>
        </w:rPr>
        <w:t>Η θεραπεία με 40 mg adalimumab κάθε εβδομάδα μείωσε σημαντικά τον κίνδυνο επιδείνωσης των αποστημάτων και των παραγωγικών συριγγίων. Σχεδόν ο διπλάσιος αριθμός των ασθενών που έλαβαν εικονικό φάρμακο τις πρώτες 12 εβδομάδες των Μελετών HS-Ι και HS-ΙΙ, συγκριτικά με τους ασθενείς που μετείχαν στην ομάδα του adalimumab , παρουσίασαν επιδείνωση των αποστημάτων (23,0% έναντι 11,4%, αντίστοιχα) και των παραγωγικών συριγγίων (30,0 % έναντι 13,9%, αντίστοιχα).</w:t>
      </w:r>
    </w:p>
    <w:p w14:paraId="4428BBDB" w14:textId="77777777" w:rsidR="00171824" w:rsidRDefault="00171824">
      <w:pPr>
        <w:widowControl/>
        <w:kinsoku w:val="0"/>
        <w:overflowPunct w:val="0"/>
        <w:rPr>
          <w:sz w:val="22"/>
          <w:szCs w:val="22"/>
          <w:lang w:val="el-GR"/>
        </w:rPr>
      </w:pPr>
    </w:p>
    <w:p w14:paraId="69BBA782" w14:textId="77777777" w:rsidR="00171824" w:rsidRDefault="006D258C">
      <w:pPr>
        <w:pStyle w:val="BodyText"/>
        <w:widowControl/>
        <w:kinsoku w:val="0"/>
        <w:overflowPunct w:val="0"/>
        <w:ind w:left="0"/>
        <w:rPr>
          <w:lang w:val="el-GR"/>
        </w:rPr>
      </w:pPr>
      <w:r>
        <w:rPr>
          <w:lang w:val="el-GR"/>
        </w:rPr>
        <w:t>Μεγαλύτερη βελτίωση κατά την εβδομάδα 12 από την έναρξη της μελέτης σε σύγκριση με το εικονικό φάρμακο παρουσιάστηκε στην ειδική για το δέρμα σχετιζόμενη με την υγεία ποιότητα ζωής, όπως μετράται με το Δερματολογικό Δείκτη Ποιότητας Ζωής (DLQI, Μελέτες HS-I και HS-ΙΙ), στη γενική ικανοποίηση των ασθενών από τη φαρμακευτική αγωγή, όπως μετράται με το Ερωτηματολόγιο Ικανοποίησης από τη φαρμακευτική αγωγή (TSQM, Μελέτες HS-Ι και HS-II), και στη σωματική υγεία, όπως μετράται από τη συνολική βαθμολογία των συνιστωσών του SF-36 για τη σωματική υγεία (Μελέτη HS-I).</w:t>
      </w:r>
    </w:p>
    <w:p w14:paraId="5F161618" w14:textId="77777777" w:rsidR="00171824" w:rsidRDefault="00171824">
      <w:pPr>
        <w:widowControl/>
        <w:kinsoku w:val="0"/>
        <w:overflowPunct w:val="0"/>
        <w:rPr>
          <w:sz w:val="22"/>
          <w:szCs w:val="22"/>
          <w:lang w:val="el-GR"/>
        </w:rPr>
      </w:pPr>
    </w:p>
    <w:p w14:paraId="6D5A77D3" w14:textId="77777777" w:rsidR="00171824" w:rsidRDefault="006D258C">
      <w:pPr>
        <w:pStyle w:val="BodyText"/>
        <w:widowControl/>
        <w:kinsoku w:val="0"/>
        <w:overflowPunct w:val="0"/>
        <w:ind w:left="0"/>
        <w:rPr>
          <w:lang w:val="el-GR"/>
        </w:rPr>
      </w:pPr>
      <w:r>
        <w:rPr>
          <w:lang w:val="el-GR"/>
        </w:rPr>
        <w:t>Σε ασθενείς με τουλάχιστον μερική ανταπόκριση σε adalimumab 40 mg εβδομαδιαίως την εβδομάδα 12, το ποσοστό HiSCR την εβδομάδα 36 ήταν υψηλότερο στους ασθενείς που συνέχισαν την εβδομαδιαία λήψη adalimumab συγκριτικά με τους ασθενείς στους οποίους η συχνότητα της δόσης μειώθηκε σε κάθε δεύτερη εβδομάδα, ή σε ασθενείς που διέκοψαν τη θεραπεία adalimumab (βλέπε πίνακα 20).</w:t>
      </w:r>
    </w:p>
    <w:p w14:paraId="42B3C314" w14:textId="77777777" w:rsidR="00171824" w:rsidRDefault="00171824">
      <w:pPr>
        <w:pStyle w:val="BodyText"/>
        <w:widowControl/>
        <w:kinsoku w:val="0"/>
        <w:overflowPunct w:val="0"/>
        <w:ind w:left="0"/>
        <w:rPr>
          <w:lang w:val="el-GR"/>
        </w:rPr>
      </w:pPr>
    </w:p>
    <w:p w14:paraId="054F9FA0" w14:textId="77777777" w:rsidR="00171824" w:rsidRDefault="006D258C">
      <w:pPr>
        <w:pStyle w:val="BodyText"/>
        <w:keepNext/>
        <w:widowControl/>
        <w:ind w:left="0"/>
        <w:rPr>
          <w:b/>
          <w:bCs/>
          <w:lang w:val="el-GR"/>
        </w:rPr>
      </w:pPr>
      <w:r>
        <w:rPr>
          <w:b/>
          <w:lang w:val="el-GR"/>
        </w:rPr>
        <w:lastRenderedPageBreak/>
        <w:t>Πίνακας 20.</w:t>
      </w:r>
      <w:r>
        <w:rPr>
          <w:b/>
          <w:bCs/>
          <w:lang w:val="el-GR"/>
        </w:rPr>
        <w:t xml:space="preserve"> Ποσοστό Ασθενών</w:t>
      </w:r>
      <w:r>
        <w:rPr>
          <w:b/>
          <w:bCs/>
          <w:vertAlign w:val="superscript"/>
          <w:lang w:val="el-GR"/>
        </w:rPr>
        <w:t>a</w:t>
      </w:r>
      <w:r>
        <w:rPr>
          <w:b/>
          <w:bCs/>
          <w:lang w:val="el-GR"/>
        </w:rPr>
        <w:t xml:space="preserve"> που Πέτυχαν HiSCR</w:t>
      </w:r>
      <w:r>
        <w:rPr>
          <w:b/>
          <w:bCs/>
          <w:vertAlign w:val="superscript"/>
          <w:lang w:val="el-GR"/>
        </w:rPr>
        <w:t>b</w:t>
      </w:r>
      <w:r>
        <w:rPr>
          <w:b/>
          <w:bCs/>
          <w:lang w:val="el-GR"/>
        </w:rPr>
        <w:t xml:space="preserve"> τις εβδομάδες 24 και 36 αφού</w:t>
      </w:r>
    </w:p>
    <w:p w14:paraId="5AAB69EE" w14:textId="77777777" w:rsidR="00171824" w:rsidRDefault="006D258C">
      <w:pPr>
        <w:pStyle w:val="BodyText"/>
        <w:keepNext/>
        <w:widowControl/>
        <w:ind w:left="0"/>
        <w:rPr>
          <w:b/>
          <w:lang w:val="el-GR"/>
        </w:rPr>
      </w:pPr>
      <w:r>
        <w:rPr>
          <w:b/>
          <w:bCs/>
          <w:lang w:val="el-GR"/>
        </w:rPr>
        <w:t>τυχαιοποιήθηκαν πάλι σε θεραπεία μετά από εβδομαδιαία λήψη adalimumab έως την εβδομάδα 12</w:t>
      </w:r>
    </w:p>
    <w:p w14:paraId="7D0BC120" w14:textId="77777777" w:rsidR="00171824" w:rsidRDefault="00171824">
      <w:pPr>
        <w:keepNext/>
        <w:widowControl/>
        <w:kinsoku w:val="0"/>
        <w:overflowPunct w:val="0"/>
        <w:rPr>
          <w:sz w:val="22"/>
          <w:szCs w:val="22"/>
          <w:lang w:val="el-GR"/>
        </w:rPr>
      </w:pPr>
    </w:p>
    <w:tbl>
      <w:tblPr>
        <w:tblW w:w="5000" w:type="pct"/>
        <w:tblLook w:val="04A0" w:firstRow="1" w:lastRow="0" w:firstColumn="1" w:lastColumn="0" w:noHBand="0" w:noVBand="1"/>
      </w:tblPr>
      <w:tblGrid>
        <w:gridCol w:w="1797"/>
        <w:gridCol w:w="2474"/>
        <w:gridCol w:w="2474"/>
        <w:gridCol w:w="2316"/>
      </w:tblGrid>
      <w:tr w:rsidR="00171824" w:rsidRPr="00422380" w14:paraId="68A5584C" w14:textId="77777777">
        <w:trPr>
          <w:trHeight w:val="20"/>
        </w:trPr>
        <w:tc>
          <w:tcPr>
            <w:tcW w:w="992" w:type="pct"/>
            <w:tcBorders>
              <w:top w:val="single" w:sz="4" w:space="0" w:color="000000"/>
              <w:left w:val="single" w:sz="4" w:space="0" w:color="000000"/>
              <w:bottom w:val="single" w:sz="4" w:space="0" w:color="000000"/>
              <w:right w:val="single" w:sz="4" w:space="0" w:color="000000"/>
            </w:tcBorders>
          </w:tcPr>
          <w:p w14:paraId="46FCD785" w14:textId="77777777" w:rsidR="00171824" w:rsidRDefault="00171824">
            <w:pPr>
              <w:keepNext/>
              <w:widowControl/>
              <w:rPr>
                <w:rFonts w:eastAsia="MS Mincho"/>
                <w:sz w:val="22"/>
                <w:szCs w:val="22"/>
                <w:lang w:val="el-GR"/>
              </w:rPr>
            </w:pPr>
          </w:p>
        </w:tc>
        <w:tc>
          <w:tcPr>
            <w:tcW w:w="1365" w:type="pct"/>
            <w:tcBorders>
              <w:top w:val="single" w:sz="4" w:space="0" w:color="000000"/>
              <w:left w:val="single" w:sz="4" w:space="0" w:color="000000"/>
              <w:bottom w:val="single" w:sz="4" w:space="0" w:color="000000"/>
              <w:right w:val="single" w:sz="4" w:space="0" w:color="000000"/>
            </w:tcBorders>
          </w:tcPr>
          <w:p w14:paraId="6CE4DC8F"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 (διακοπή θεραπείας)</w:t>
            </w:r>
          </w:p>
          <w:p w14:paraId="22EE5296"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73</w:t>
            </w:r>
          </w:p>
        </w:tc>
        <w:tc>
          <w:tcPr>
            <w:tcW w:w="1365" w:type="pct"/>
            <w:tcBorders>
              <w:top w:val="single" w:sz="4" w:space="0" w:color="000000"/>
              <w:left w:val="single" w:sz="4" w:space="0" w:color="000000"/>
              <w:bottom w:val="single" w:sz="4" w:space="0" w:color="000000"/>
              <w:right w:val="single" w:sz="4" w:space="0" w:color="000000"/>
            </w:tcBorders>
          </w:tcPr>
          <w:p w14:paraId="2BE3090E"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δεύτερη εβδομάδα</w:t>
            </w:r>
          </w:p>
          <w:p w14:paraId="3FDF1948"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70</w:t>
            </w:r>
          </w:p>
        </w:tc>
        <w:tc>
          <w:tcPr>
            <w:tcW w:w="1278" w:type="pct"/>
            <w:tcBorders>
              <w:top w:val="single" w:sz="4" w:space="0" w:color="000000"/>
              <w:left w:val="single" w:sz="4" w:space="0" w:color="000000"/>
              <w:bottom w:val="single" w:sz="4" w:space="0" w:color="000000"/>
              <w:right w:val="single" w:sz="4" w:space="0" w:color="000000"/>
            </w:tcBorders>
          </w:tcPr>
          <w:p w14:paraId="6CD9A5A9"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εβδομάδα</w:t>
            </w:r>
          </w:p>
          <w:p w14:paraId="74B541AC"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70</w:t>
            </w:r>
          </w:p>
        </w:tc>
      </w:tr>
      <w:tr w:rsidR="00171824" w14:paraId="2F3A7C7B" w14:textId="77777777">
        <w:trPr>
          <w:trHeight w:val="20"/>
        </w:trPr>
        <w:tc>
          <w:tcPr>
            <w:tcW w:w="992" w:type="pct"/>
            <w:tcBorders>
              <w:top w:val="single" w:sz="4" w:space="0" w:color="000000"/>
              <w:left w:val="single" w:sz="4" w:space="0" w:color="000000"/>
              <w:bottom w:val="single" w:sz="4" w:space="0" w:color="000000"/>
              <w:right w:val="single" w:sz="4" w:space="0" w:color="000000"/>
            </w:tcBorders>
          </w:tcPr>
          <w:p w14:paraId="2A393C58"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Εβδομάδα 24</w:t>
            </w:r>
          </w:p>
        </w:tc>
        <w:tc>
          <w:tcPr>
            <w:tcW w:w="1365" w:type="pct"/>
            <w:tcBorders>
              <w:top w:val="single" w:sz="4" w:space="0" w:color="000000"/>
              <w:left w:val="single" w:sz="4" w:space="0" w:color="000000"/>
              <w:bottom w:val="single" w:sz="4" w:space="0" w:color="000000"/>
              <w:right w:val="single" w:sz="4" w:space="0" w:color="000000"/>
            </w:tcBorders>
          </w:tcPr>
          <w:p w14:paraId="70CCC28C"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24 (32,9%)</w:t>
            </w:r>
          </w:p>
        </w:tc>
        <w:tc>
          <w:tcPr>
            <w:tcW w:w="1365" w:type="pct"/>
            <w:tcBorders>
              <w:top w:val="single" w:sz="4" w:space="0" w:color="000000"/>
              <w:left w:val="single" w:sz="4" w:space="0" w:color="000000"/>
              <w:bottom w:val="single" w:sz="4" w:space="0" w:color="000000"/>
              <w:right w:val="single" w:sz="4" w:space="0" w:color="000000"/>
            </w:tcBorders>
          </w:tcPr>
          <w:p w14:paraId="7A50791B"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36 (51,4%)</w:t>
            </w:r>
          </w:p>
        </w:tc>
        <w:tc>
          <w:tcPr>
            <w:tcW w:w="1278" w:type="pct"/>
            <w:tcBorders>
              <w:top w:val="single" w:sz="4" w:space="0" w:color="000000"/>
              <w:left w:val="single" w:sz="4" w:space="0" w:color="000000"/>
              <w:bottom w:val="single" w:sz="4" w:space="0" w:color="000000"/>
              <w:right w:val="single" w:sz="4" w:space="0" w:color="000000"/>
            </w:tcBorders>
          </w:tcPr>
          <w:p w14:paraId="7C42F193"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40 (57,1%)</w:t>
            </w:r>
          </w:p>
        </w:tc>
      </w:tr>
      <w:tr w:rsidR="00171824" w14:paraId="6E140BFE" w14:textId="77777777">
        <w:trPr>
          <w:trHeight w:val="20"/>
        </w:trPr>
        <w:tc>
          <w:tcPr>
            <w:tcW w:w="992" w:type="pct"/>
            <w:tcBorders>
              <w:top w:val="single" w:sz="4" w:space="0" w:color="000000"/>
              <w:left w:val="single" w:sz="4" w:space="0" w:color="000000"/>
              <w:bottom w:val="single" w:sz="4" w:space="0" w:color="auto"/>
              <w:right w:val="single" w:sz="4" w:space="0" w:color="000000"/>
            </w:tcBorders>
          </w:tcPr>
          <w:p w14:paraId="71C639B2" w14:textId="77777777" w:rsidR="00171824" w:rsidRDefault="006D258C">
            <w:pPr>
              <w:pStyle w:val="TableParagraph"/>
              <w:keepNext/>
              <w:widowControl/>
              <w:kinsoku w:val="0"/>
              <w:overflowPunct w:val="0"/>
              <w:rPr>
                <w:rFonts w:eastAsia="MS Mincho"/>
                <w:sz w:val="22"/>
                <w:szCs w:val="22"/>
                <w:lang w:val="el-GR"/>
              </w:rPr>
            </w:pPr>
            <w:r>
              <w:rPr>
                <w:rFonts w:eastAsia="MS Mincho"/>
                <w:sz w:val="22"/>
                <w:szCs w:val="22"/>
                <w:lang w:val="el-GR"/>
              </w:rPr>
              <w:t>Εβδομάδα 36</w:t>
            </w:r>
          </w:p>
        </w:tc>
        <w:tc>
          <w:tcPr>
            <w:tcW w:w="1365" w:type="pct"/>
            <w:tcBorders>
              <w:top w:val="single" w:sz="4" w:space="0" w:color="000000"/>
              <w:left w:val="single" w:sz="4" w:space="0" w:color="000000"/>
              <w:bottom w:val="single" w:sz="4" w:space="0" w:color="auto"/>
              <w:right w:val="single" w:sz="4" w:space="0" w:color="000000"/>
            </w:tcBorders>
          </w:tcPr>
          <w:p w14:paraId="5CA058A6"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22 (30,1%)</w:t>
            </w:r>
          </w:p>
        </w:tc>
        <w:tc>
          <w:tcPr>
            <w:tcW w:w="1365" w:type="pct"/>
            <w:tcBorders>
              <w:top w:val="single" w:sz="4" w:space="0" w:color="000000"/>
              <w:left w:val="single" w:sz="4" w:space="0" w:color="000000"/>
              <w:bottom w:val="single" w:sz="4" w:space="0" w:color="auto"/>
              <w:right w:val="single" w:sz="4" w:space="0" w:color="000000"/>
            </w:tcBorders>
          </w:tcPr>
          <w:p w14:paraId="0E75C33B"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28 (40,0%)</w:t>
            </w:r>
          </w:p>
        </w:tc>
        <w:tc>
          <w:tcPr>
            <w:tcW w:w="1278" w:type="pct"/>
            <w:tcBorders>
              <w:top w:val="single" w:sz="4" w:space="0" w:color="000000"/>
              <w:left w:val="single" w:sz="4" w:space="0" w:color="000000"/>
              <w:bottom w:val="single" w:sz="4" w:space="0" w:color="auto"/>
              <w:right w:val="single" w:sz="4" w:space="0" w:color="000000"/>
            </w:tcBorders>
          </w:tcPr>
          <w:p w14:paraId="56CF69A0"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sz w:val="22"/>
                <w:szCs w:val="22"/>
                <w:lang w:val="el-GR"/>
              </w:rPr>
              <w:t>39 (55,7%)</w:t>
            </w:r>
          </w:p>
        </w:tc>
      </w:tr>
      <w:tr w:rsidR="00171824" w:rsidRPr="00422380" w14:paraId="245EA3EE" w14:textId="77777777">
        <w:trPr>
          <w:trHeight w:val="20"/>
        </w:trPr>
        <w:tc>
          <w:tcPr>
            <w:tcW w:w="5000" w:type="pct"/>
            <w:gridSpan w:val="4"/>
            <w:tcBorders>
              <w:top w:val="single" w:sz="4" w:space="0" w:color="auto"/>
            </w:tcBorders>
          </w:tcPr>
          <w:p w14:paraId="121D0C8F" w14:textId="77777777" w:rsidR="00171824" w:rsidRDefault="006D258C">
            <w:pPr>
              <w:keepNext/>
              <w:widowControl/>
              <w:tabs>
                <w:tab w:val="left" w:pos="293"/>
              </w:tabs>
              <w:kinsoku w:val="0"/>
              <w:overflowPunct w:val="0"/>
              <w:rPr>
                <w:rFonts w:eastAsia="MS Mincho"/>
                <w:sz w:val="20"/>
                <w:szCs w:val="20"/>
                <w:lang w:val="el-GR"/>
              </w:rPr>
            </w:pPr>
            <w:r>
              <w:rPr>
                <w:rFonts w:eastAsia="MS Mincho"/>
                <w:sz w:val="20"/>
                <w:szCs w:val="20"/>
                <w:vertAlign w:val="superscript"/>
                <w:lang w:val="el-GR"/>
              </w:rPr>
              <w:t>a</w:t>
            </w:r>
            <w:r>
              <w:rPr>
                <w:rFonts w:eastAsia="MS Mincho"/>
                <w:sz w:val="20"/>
                <w:szCs w:val="20"/>
                <w:lang w:val="el-GR"/>
              </w:rPr>
              <w:tab/>
              <w:t>Ασθενείς με τουλάχιστον μερική ανταπόκριση σε adalimumab</w:t>
            </w:r>
            <w:r>
              <w:rPr>
                <w:rFonts w:eastAsia="MS Mincho"/>
                <w:b/>
                <w:sz w:val="20"/>
                <w:szCs w:val="20"/>
                <w:lang w:val="el-GR"/>
              </w:rPr>
              <w:t xml:space="preserve"> </w:t>
            </w:r>
            <w:r>
              <w:rPr>
                <w:rFonts w:eastAsia="MS Mincho"/>
                <w:sz w:val="20"/>
                <w:szCs w:val="20"/>
                <w:lang w:val="el-GR"/>
              </w:rPr>
              <w:t>40 mg κάθε βδομάδα μετά από 12 εβδομάδες θεραπείας.</w:t>
            </w:r>
          </w:p>
          <w:p w14:paraId="7F777208" w14:textId="77777777" w:rsidR="00171824" w:rsidRDefault="006D258C">
            <w:pPr>
              <w:keepNext/>
              <w:widowControl/>
              <w:tabs>
                <w:tab w:val="left" w:pos="293"/>
              </w:tabs>
              <w:kinsoku w:val="0"/>
              <w:overflowPunct w:val="0"/>
              <w:rPr>
                <w:rFonts w:eastAsia="MS Mincho"/>
                <w:sz w:val="22"/>
                <w:szCs w:val="22"/>
                <w:lang w:val="el-GR"/>
              </w:rPr>
            </w:pPr>
            <w:r>
              <w:rPr>
                <w:rFonts w:eastAsia="MS Mincho"/>
                <w:sz w:val="20"/>
                <w:szCs w:val="20"/>
                <w:vertAlign w:val="superscript"/>
                <w:lang w:val="el-GR"/>
              </w:rPr>
              <w:t>b</w:t>
            </w:r>
            <w:r>
              <w:rPr>
                <w:rFonts w:eastAsia="MS Mincho"/>
                <w:sz w:val="20"/>
                <w:szCs w:val="20"/>
                <w:lang w:val="el-GR"/>
              </w:rPr>
              <w:tab/>
              <w:t>Οι ασθενείς που πληρούσαν τα κριτήρια που ορίζονται από το πρωτόκολλο για την απώλεια της ανταπόκρισης ή την απουσία βελτίωσης υποχρεώθηκαν να διακόψουν τη συμμετοχή τους στις μελέτες και συμπεριλήφθηκαν στους μη ανταποκρινόμενους.</w:t>
            </w:r>
          </w:p>
        </w:tc>
      </w:tr>
    </w:tbl>
    <w:p w14:paraId="5DC3A139" w14:textId="77777777" w:rsidR="00171824" w:rsidRDefault="00171824">
      <w:pPr>
        <w:widowControl/>
        <w:kinsoku w:val="0"/>
        <w:overflowPunct w:val="0"/>
        <w:rPr>
          <w:sz w:val="22"/>
          <w:szCs w:val="22"/>
          <w:lang w:val="el-GR"/>
        </w:rPr>
      </w:pPr>
    </w:p>
    <w:p w14:paraId="350CF7A7" w14:textId="77777777" w:rsidR="00171824" w:rsidRDefault="006D258C">
      <w:pPr>
        <w:pStyle w:val="BodyText"/>
        <w:widowControl/>
        <w:kinsoku w:val="0"/>
        <w:overflowPunct w:val="0"/>
        <w:ind w:left="0"/>
        <w:rPr>
          <w:lang w:val="el-GR"/>
        </w:rPr>
      </w:pPr>
      <w:r>
        <w:rPr>
          <w:lang w:val="el-GR"/>
        </w:rPr>
        <w:t>Μεταξύ των ασθενών που εμφάνισαν τουλάχιστον μερική ανταπόκριση κατά την εβδομάδα 12, και οι οποίοι έλαβαν συνεχή εβδομαδιαία θεραπεία με adalimumab, το ποσοστό HiSCR την εβδομάδα 48 ήταν 68,3% και την εβδομάδα 96 ήταν 65,1%. Η μακροπρόθεσμη θεραπεία με adalimumab 40 mg εβδομαδιαίως για 96 εβδομάδες δεν παρουσίασε καινούρια ευρήματα ασφαλείας.</w:t>
      </w:r>
    </w:p>
    <w:p w14:paraId="4D858361" w14:textId="77777777" w:rsidR="00171824" w:rsidRDefault="00171824">
      <w:pPr>
        <w:widowControl/>
        <w:kinsoku w:val="0"/>
        <w:overflowPunct w:val="0"/>
        <w:rPr>
          <w:sz w:val="22"/>
          <w:szCs w:val="22"/>
          <w:lang w:val="el-GR"/>
        </w:rPr>
      </w:pPr>
    </w:p>
    <w:p w14:paraId="160E058B" w14:textId="77777777" w:rsidR="00171824" w:rsidRDefault="006D258C">
      <w:pPr>
        <w:pStyle w:val="BodyText"/>
        <w:widowControl/>
        <w:kinsoku w:val="0"/>
        <w:overflowPunct w:val="0"/>
        <w:ind w:left="0"/>
        <w:rPr>
          <w:lang w:val="el-GR"/>
        </w:rPr>
      </w:pPr>
      <w:r>
        <w:rPr>
          <w:lang w:val="el-GR"/>
        </w:rPr>
        <w:t>Μεταξύ των ασθενών που διέκοψαν τη θεραπεία με adalimumab την εβδομάδα 12 στις Μελέτες HS-I και HS-ΙΙ, το ποσοστό HiSCR 12 εβδομάδες μετά τη χορήγηση adalimumab 40 mg την εβδομάδα επέστρεψε σε επίπεδα όμοια με αυτά που παρατηρήθηκαν πριν από τη λήψη του εικονικού φαρμάκου (56,0%).</w:t>
      </w:r>
    </w:p>
    <w:p w14:paraId="32F76F27" w14:textId="77777777" w:rsidR="00171824" w:rsidRDefault="00171824">
      <w:pPr>
        <w:pStyle w:val="BodyText"/>
        <w:widowControl/>
        <w:kinsoku w:val="0"/>
        <w:overflowPunct w:val="0"/>
        <w:ind w:left="0"/>
        <w:rPr>
          <w:lang w:val="el-GR"/>
        </w:rPr>
      </w:pPr>
    </w:p>
    <w:p w14:paraId="596FF3D9" w14:textId="77777777" w:rsidR="00171824" w:rsidRDefault="006D258C">
      <w:pPr>
        <w:keepNext/>
        <w:widowControl/>
        <w:kinsoku w:val="0"/>
        <w:overflowPunct w:val="0"/>
        <w:rPr>
          <w:i/>
          <w:sz w:val="22"/>
          <w:szCs w:val="22"/>
          <w:lang w:val="el-GR"/>
        </w:rPr>
      </w:pPr>
      <w:r>
        <w:rPr>
          <w:i/>
          <w:iCs/>
          <w:sz w:val="22"/>
          <w:szCs w:val="22"/>
          <w:lang w:val="el-GR"/>
        </w:rPr>
        <w:t>Νόσος του Crohn</w:t>
      </w:r>
    </w:p>
    <w:p w14:paraId="36EAAD04" w14:textId="77777777" w:rsidR="00171824" w:rsidRDefault="00171824">
      <w:pPr>
        <w:keepNext/>
        <w:widowControl/>
        <w:kinsoku w:val="0"/>
        <w:overflowPunct w:val="0"/>
        <w:rPr>
          <w:sz w:val="22"/>
          <w:szCs w:val="22"/>
          <w:lang w:val="el-GR"/>
        </w:rPr>
      </w:pPr>
    </w:p>
    <w:p w14:paraId="63FC3C7B" w14:textId="77777777" w:rsidR="00171824" w:rsidRDefault="006D258C">
      <w:pPr>
        <w:pStyle w:val="BodyText"/>
        <w:widowControl/>
        <w:kinsoku w:val="0"/>
        <w:overflowPunct w:val="0"/>
        <w:ind w:left="0"/>
        <w:rPr>
          <w:lang w:val="el-GR"/>
        </w:rPr>
      </w:pPr>
      <w:r>
        <w:rPr>
          <w:lang w:val="el-GR"/>
        </w:rPr>
        <w:t>H ασφάλεια και η αποτελεσματικότητα του adalimumab αξιολογήθηκαν σε πάνω από 1 500 ασθενείς με μέτρια έως σοβαρή ενεργό νόσο του Crohn (Crohn’s Disease Activity (CDAI) ≥ 220 και ≤ 450) σε τυχαιοποιημένες διπλά τυφλές, ελεγχόμενες με εικονικό φάρμακο μελέτες. Συγχορήγηση σταθερών δόσεων αμινοσαλικυλικών, κορτικοστεροειδών και/ή ανοσοτροποποιητικών παραγόντων επιτράπηκαν και το 80% των ασθενών συνέχισαν να λαμβάνουν τουλάχιστον μία από τις παραπάνω αγωγές.</w:t>
      </w:r>
    </w:p>
    <w:p w14:paraId="5EA92634" w14:textId="77777777" w:rsidR="00171824" w:rsidRDefault="00171824">
      <w:pPr>
        <w:widowControl/>
        <w:kinsoku w:val="0"/>
        <w:overflowPunct w:val="0"/>
        <w:rPr>
          <w:sz w:val="22"/>
          <w:szCs w:val="22"/>
          <w:lang w:val="el-GR"/>
        </w:rPr>
      </w:pPr>
    </w:p>
    <w:p w14:paraId="1A2B8BD5" w14:textId="77777777" w:rsidR="00171824" w:rsidRDefault="006D258C">
      <w:pPr>
        <w:pStyle w:val="BodyText"/>
        <w:widowControl/>
        <w:kinsoku w:val="0"/>
        <w:overflowPunct w:val="0"/>
        <w:ind w:left="0"/>
        <w:rPr>
          <w:lang w:val="el-GR"/>
        </w:rPr>
      </w:pPr>
      <w:r>
        <w:rPr>
          <w:lang w:val="el-GR"/>
        </w:rPr>
        <w:t>Η επαγωγή της κλινικής ύφεσης (οριζόμενη με CDAI &lt; 150) αξιολογήθηκε σε δύο μελέτες, τη μελέτη CD I (CLASSIC I) και τη μελέτη CD II (GAIN). Στην μελέτη CD I, 299 ασθενείς στους οποίους δεν είχε χορηγηθεί ξανά ΤNF-ανταγωνιστής τυχαιοποιήθηκαν σε μία από τέσσερις θεραπευτικές ομάδες: εικονικό φάρμακο τις εβδομάδες 0 και 2, 160 mg adalimumab την εβδομάδα 0 και 80 mg την εβδομάδα 2, 80 mg την Eβδομάδα 0 και 40 mg την εβδομάδα 2 και 40 mg την εβδομάδα 0 και 20 mg την εβδομάδα 2. Στην μελέτη CD II, 325 ασθενείς οι οποίοι δεν ανταποκρίνονταν ή εμφάνισαν δυσανεξία στο infliximab τυχαιοποιήθηκαν ώστε να λαμβάνουν είτε 160 mg adalimumab την εβδομάδα 0 και 80 mg την εβδομάδα 2 είτε εικονικό φάρμακο τις εβδομάδες 0 και 2. Οι ασθενείς που δεν είχαν πρωτογενή κλινική ανταπόκριση αποκλείστηκαν από τη μελέτη και επομένως αυτοί οι ασθενείς δεν αξιολογήθηκαν περαιτέρω.</w:t>
      </w:r>
    </w:p>
    <w:p w14:paraId="13A03649" w14:textId="77777777" w:rsidR="00171824" w:rsidRDefault="00171824">
      <w:pPr>
        <w:widowControl/>
        <w:kinsoku w:val="0"/>
        <w:overflowPunct w:val="0"/>
        <w:rPr>
          <w:sz w:val="22"/>
          <w:szCs w:val="22"/>
          <w:lang w:val="el-GR"/>
        </w:rPr>
      </w:pPr>
    </w:p>
    <w:p w14:paraId="044F4213" w14:textId="77777777" w:rsidR="00171824" w:rsidRDefault="006D258C">
      <w:pPr>
        <w:pStyle w:val="BodyText"/>
        <w:widowControl/>
        <w:kinsoku w:val="0"/>
        <w:overflowPunct w:val="0"/>
        <w:ind w:left="0"/>
        <w:rPr>
          <w:lang w:val="el-GR"/>
        </w:rPr>
      </w:pPr>
      <w:r>
        <w:rPr>
          <w:lang w:val="el-GR"/>
        </w:rPr>
        <w:t>Η διατήρηση της κλινικής ύφεσης αξιολογήθηκε στη μελέτη CD III (CHARM). Στη μελέτη CD III, 854 ασθενείς έλαβαν σε ανοιχτή χορήγηση 80 mg την Eβδομάδα 0 και 40 mg την εβδομάδα 2. Την εβδομάδα 4 οι ασθενείς τυχαιοποιήθηκαν σε 40 mg κάθε δεύτερη εβδομάδα, είτε σε 40 mg κάθε εβδομάδα, είτε σε εικονικό φάρμακο με συνολική διάρκεια μελέτης 56 εβδομάδων. Οι ασθενείς με κλινική ανταπόκριση (μείωση CDAI≥ 70) την εβδομάδα 4 κατηγοριοποιήθηκαν και αναλύθηκαν ξεχωριστά από αυτούς οι οποίοι δεν είχαν κλινική ανταπόκριση την εβδομάδα 4. Η σταδιακή μείωση των κορτικοστεροειδών επιτράπηκε μετά την εβδομάδα 8.</w:t>
      </w:r>
    </w:p>
    <w:p w14:paraId="6FA6852D" w14:textId="77777777" w:rsidR="00171824" w:rsidRDefault="00171824">
      <w:pPr>
        <w:pStyle w:val="BodyText"/>
        <w:widowControl/>
        <w:kinsoku w:val="0"/>
        <w:overflowPunct w:val="0"/>
        <w:ind w:left="0"/>
        <w:rPr>
          <w:lang w:val="el-GR"/>
        </w:rPr>
      </w:pPr>
    </w:p>
    <w:p w14:paraId="62500AFA" w14:textId="77777777" w:rsidR="00171824" w:rsidRDefault="006D258C">
      <w:pPr>
        <w:pStyle w:val="BodyText"/>
        <w:widowControl/>
        <w:kinsoku w:val="0"/>
        <w:overflowPunct w:val="0"/>
        <w:ind w:left="0"/>
        <w:rPr>
          <w:lang w:val="el-GR"/>
        </w:rPr>
      </w:pPr>
      <w:r>
        <w:rPr>
          <w:lang w:val="el-GR"/>
        </w:rPr>
        <w:t>Η επαγωγή της ύφεσης στη μελέτη CD Ι και την μελέτη CD II καθώς και τα ποσοστά ανταπόκρισης παρουσιάζονται στον pίνακα 21.</w:t>
      </w:r>
    </w:p>
    <w:p w14:paraId="33C20DEF" w14:textId="77777777" w:rsidR="00171824" w:rsidRDefault="00171824">
      <w:pPr>
        <w:widowControl/>
        <w:kinsoku w:val="0"/>
        <w:overflowPunct w:val="0"/>
        <w:ind w:right="-427"/>
        <w:rPr>
          <w:sz w:val="22"/>
          <w:szCs w:val="22"/>
          <w:lang w:val="el-GR"/>
        </w:rPr>
      </w:pPr>
    </w:p>
    <w:p w14:paraId="369D5FFE" w14:textId="77777777" w:rsidR="00171824" w:rsidRDefault="006D258C">
      <w:pPr>
        <w:pStyle w:val="BodyText"/>
        <w:keepNext/>
        <w:widowControl/>
        <w:ind w:left="0"/>
        <w:rPr>
          <w:b/>
          <w:lang w:val="el-GR"/>
        </w:rPr>
      </w:pPr>
      <w:r>
        <w:rPr>
          <w:b/>
          <w:lang w:val="el-GR"/>
        </w:rPr>
        <w:lastRenderedPageBreak/>
        <w:t>Πίνακας 21.</w:t>
      </w:r>
      <w:r>
        <w:rPr>
          <w:b/>
          <w:bCs/>
          <w:lang w:val="el-GR"/>
        </w:rPr>
        <w:t xml:space="preserve"> Έναρξη Κλινικής Ύφεσης και Κλινικής Ανταπόκρισης(Ποσοστό Ασθενών)</w:t>
      </w:r>
    </w:p>
    <w:p w14:paraId="4E7868C4" w14:textId="77777777" w:rsidR="00171824" w:rsidRDefault="00171824">
      <w:pPr>
        <w:keepNext/>
        <w:widowControl/>
        <w:kinsoku w:val="0"/>
        <w:overflowPunct w:val="0"/>
        <w:rPr>
          <w:sz w:val="22"/>
          <w:szCs w:val="22"/>
          <w:lang w:val="el-GR"/>
        </w:rPr>
      </w:pPr>
    </w:p>
    <w:tbl>
      <w:tblPr>
        <w:tblW w:w="9342" w:type="dxa"/>
        <w:tblInd w:w="5" w:type="dxa"/>
        <w:tblLayout w:type="fixed"/>
        <w:tblLook w:val="04A0" w:firstRow="1" w:lastRow="0" w:firstColumn="1" w:lastColumn="0" w:noHBand="0" w:noVBand="1"/>
      </w:tblPr>
      <w:tblGrid>
        <w:gridCol w:w="2258"/>
        <w:gridCol w:w="1134"/>
        <w:gridCol w:w="1560"/>
        <w:gridCol w:w="1559"/>
        <w:gridCol w:w="1276"/>
        <w:gridCol w:w="1555"/>
      </w:tblGrid>
      <w:tr w:rsidR="00171824" w:rsidRPr="00422380" w14:paraId="0E3E22D9" w14:textId="77777777">
        <w:trPr>
          <w:trHeight w:val="20"/>
        </w:trPr>
        <w:tc>
          <w:tcPr>
            <w:tcW w:w="2258" w:type="dxa"/>
            <w:tcBorders>
              <w:top w:val="single" w:sz="4" w:space="0" w:color="000000"/>
              <w:left w:val="single" w:sz="4" w:space="0" w:color="000000"/>
              <w:bottom w:val="single" w:sz="4" w:space="0" w:color="000000"/>
              <w:right w:val="single" w:sz="4" w:space="0" w:color="000000"/>
            </w:tcBorders>
          </w:tcPr>
          <w:p w14:paraId="7C580AB4" w14:textId="77777777" w:rsidR="00171824" w:rsidRDefault="00171824">
            <w:pPr>
              <w:keepNext/>
              <w:widowControl/>
              <w:rPr>
                <w:rFonts w:eastAsia="MS Mincho"/>
                <w:sz w:val="22"/>
                <w:szCs w:val="22"/>
                <w:lang w:val="el-GR"/>
              </w:rPr>
            </w:pPr>
          </w:p>
        </w:tc>
        <w:tc>
          <w:tcPr>
            <w:tcW w:w="4253" w:type="dxa"/>
            <w:gridSpan w:val="3"/>
            <w:tcBorders>
              <w:top w:val="single" w:sz="4" w:space="0" w:color="000000"/>
              <w:left w:val="single" w:sz="4" w:space="0" w:color="000000"/>
              <w:bottom w:val="single" w:sz="4" w:space="0" w:color="000000"/>
              <w:right w:val="single" w:sz="4" w:space="0" w:color="000000"/>
            </w:tcBorders>
          </w:tcPr>
          <w:p w14:paraId="589FA3FC" w14:textId="77777777" w:rsidR="00171824" w:rsidRDefault="006D258C">
            <w:pPr>
              <w:pStyle w:val="TableParagraph"/>
              <w:keepNext/>
              <w:widowControl/>
              <w:kinsoku w:val="0"/>
              <w:overflowPunct w:val="0"/>
              <w:rPr>
                <w:rFonts w:eastAsia="MS Mincho"/>
                <w:sz w:val="22"/>
                <w:szCs w:val="22"/>
                <w:lang w:val="el-GR"/>
              </w:rPr>
            </w:pPr>
            <w:r>
              <w:rPr>
                <w:rFonts w:eastAsia="MS Mincho"/>
                <w:b/>
                <w:bCs/>
                <w:sz w:val="22"/>
                <w:szCs w:val="22"/>
                <w:lang w:val="el-GR"/>
              </w:rPr>
              <w:t>Μελέτη CD I: Ασθενείς στους οποίους δεν έχει χορηγηθεί Infliximab</w:t>
            </w:r>
          </w:p>
        </w:tc>
        <w:tc>
          <w:tcPr>
            <w:tcW w:w="2831" w:type="dxa"/>
            <w:gridSpan w:val="2"/>
            <w:tcBorders>
              <w:top w:val="single" w:sz="4" w:space="0" w:color="000000"/>
              <w:left w:val="single" w:sz="4" w:space="0" w:color="000000"/>
              <w:bottom w:val="single" w:sz="4" w:space="0" w:color="000000"/>
              <w:right w:val="single" w:sz="4" w:space="0" w:color="000000"/>
            </w:tcBorders>
          </w:tcPr>
          <w:p w14:paraId="7F62D97A" w14:textId="77777777" w:rsidR="00171824" w:rsidRDefault="006D258C">
            <w:pPr>
              <w:pStyle w:val="TableParagraph"/>
              <w:keepNext/>
              <w:widowControl/>
              <w:kinsoku w:val="0"/>
              <w:overflowPunct w:val="0"/>
              <w:rPr>
                <w:rFonts w:eastAsia="MS Mincho"/>
                <w:sz w:val="22"/>
                <w:szCs w:val="22"/>
                <w:lang w:val="el-GR"/>
              </w:rPr>
            </w:pPr>
            <w:r>
              <w:rPr>
                <w:rFonts w:eastAsia="MS Mincho"/>
                <w:b/>
                <w:bCs/>
                <w:sz w:val="22"/>
                <w:szCs w:val="22"/>
                <w:lang w:val="el-GR"/>
              </w:rPr>
              <w:t>Μελέτη CD IΙ: Ασθενείς στους οποίους έχει χορηγηθεί Infliximab</w:t>
            </w:r>
          </w:p>
        </w:tc>
      </w:tr>
      <w:tr w:rsidR="00171824" w14:paraId="6AE98055" w14:textId="77777777">
        <w:trPr>
          <w:trHeight w:val="20"/>
        </w:trPr>
        <w:tc>
          <w:tcPr>
            <w:tcW w:w="2258" w:type="dxa"/>
            <w:tcBorders>
              <w:top w:val="single" w:sz="4" w:space="0" w:color="000000"/>
              <w:left w:val="single" w:sz="4" w:space="0" w:color="000000"/>
              <w:bottom w:val="single" w:sz="4" w:space="0" w:color="000000"/>
              <w:right w:val="single" w:sz="4" w:space="0" w:color="000000"/>
            </w:tcBorders>
          </w:tcPr>
          <w:p w14:paraId="00CB8653" w14:textId="77777777" w:rsidR="00171824" w:rsidRDefault="00171824">
            <w:pPr>
              <w:keepNext/>
              <w:widowControl/>
              <w:rPr>
                <w:rFonts w:eastAsia="MS Mincho"/>
                <w:sz w:val="22"/>
                <w:szCs w:val="22"/>
                <w:lang w:val="el-GR"/>
              </w:rPr>
            </w:pPr>
          </w:p>
        </w:tc>
        <w:tc>
          <w:tcPr>
            <w:tcW w:w="1134" w:type="dxa"/>
            <w:tcBorders>
              <w:top w:val="single" w:sz="4" w:space="0" w:color="000000"/>
              <w:left w:val="single" w:sz="4" w:space="0" w:color="000000"/>
              <w:bottom w:val="single" w:sz="4" w:space="0" w:color="000000"/>
              <w:right w:val="single" w:sz="4" w:space="0" w:color="000000"/>
            </w:tcBorders>
          </w:tcPr>
          <w:p w14:paraId="1AECC711"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 N=74</w:t>
            </w:r>
          </w:p>
        </w:tc>
        <w:tc>
          <w:tcPr>
            <w:tcW w:w="1560" w:type="dxa"/>
            <w:tcBorders>
              <w:top w:val="single" w:sz="4" w:space="0" w:color="000000"/>
              <w:left w:val="single" w:sz="4" w:space="0" w:color="000000"/>
              <w:bottom w:val="single" w:sz="4" w:space="0" w:color="000000"/>
              <w:right w:val="single" w:sz="4" w:space="0" w:color="000000"/>
            </w:tcBorders>
          </w:tcPr>
          <w:p w14:paraId="089D9166"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Adalimumab 80/40 mg N=75</w:t>
            </w:r>
          </w:p>
        </w:tc>
        <w:tc>
          <w:tcPr>
            <w:tcW w:w="1559" w:type="dxa"/>
            <w:tcBorders>
              <w:top w:val="single" w:sz="4" w:space="0" w:color="000000"/>
              <w:left w:val="single" w:sz="4" w:space="0" w:color="000000"/>
              <w:bottom w:val="single" w:sz="4" w:space="0" w:color="000000"/>
              <w:right w:val="single" w:sz="4" w:space="0" w:color="000000"/>
            </w:tcBorders>
          </w:tcPr>
          <w:p w14:paraId="1FDFBA34"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Adalimumab 160/80 mg N=76</w:t>
            </w:r>
          </w:p>
        </w:tc>
        <w:tc>
          <w:tcPr>
            <w:tcW w:w="1276" w:type="dxa"/>
            <w:tcBorders>
              <w:top w:val="single" w:sz="4" w:space="0" w:color="000000"/>
              <w:left w:val="single" w:sz="4" w:space="0" w:color="000000"/>
              <w:bottom w:val="single" w:sz="4" w:space="0" w:color="000000"/>
              <w:right w:val="single" w:sz="4" w:space="0" w:color="000000"/>
            </w:tcBorders>
          </w:tcPr>
          <w:p w14:paraId="64F72B4D"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 N=166</w:t>
            </w:r>
          </w:p>
        </w:tc>
        <w:tc>
          <w:tcPr>
            <w:tcW w:w="1555" w:type="dxa"/>
            <w:tcBorders>
              <w:top w:val="single" w:sz="4" w:space="0" w:color="000000"/>
              <w:left w:val="single" w:sz="4" w:space="0" w:color="000000"/>
              <w:bottom w:val="single" w:sz="4" w:space="0" w:color="000000"/>
              <w:right w:val="single" w:sz="4" w:space="0" w:color="000000"/>
            </w:tcBorders>
          </w:tcPr>
          <w:p w14:paraId="79451953"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Adalimumab 160/80 mg N=159</w:t>
            </w:r>
          </w:p>
        </w:tc>
      </w:tr>
      <w:tr w:rsidR="00171824" w14:paraId="1819B9BA" w14:textId="77777777">
        <w:trPr>
          <w:trHeight w:val="20"/>
        </w:trPr>
        <w:tc>
          <w:tcPr>
            <w:tcW w:w="9342" w:type="dxa"/>
            <w:gridSpan w:val="6"/>
            <w:tcBorders>
              <w:top w:val="single" w:sz="4" w:space="0" w:color="000000"/>
              <w:left w:val="single" w:sz="4" w:space="0" w:color="000000"/>
              <w:bottom w:val="single" w:sz="4" w:space="0" w:color="000000"/>
              <w:right w:val="single" w:sz="4" w:space="0" w:color="000000"/>
            </w:tcBorders>
          </w:tcPr>
          <w:p w14:paraId="1AED2E66" w14:textId="77777777" w:rsidR="00171824" w:rsidRDefault="006D258C">
            <w:pPr>
              <w:keepNext/>
              <w:widowControl/>
              <w:rPr>
                <w:rFonts w:eastAsia="MS Mincho"/>
                <w:sz w:val="22"/>
                <w:szCs w:val="22"/>
                <w:lang w:val="el-GR"/>
              </w:rPr>
            </w:pPr>
            <w:r>
              <w:rPr>
                <w:rFonts w:eastAsia="MS Mincho"/>
                <w:sz w:val="22"/>
                <w:szCs w:val="22"/>
                <w:lang w:val="el-GR"/>
              </w:rPr>
              <w:t>Εβδομάδα 4</w:t>
            </w:r>
          </w:p>
        </w:tc>
      </w:tr>
      <w:tr w:rsidR="00171824" w14:paraId="740A62EB" w14:textId="77777777">
        <w:trPr>
          <w:trHeight w:val="20"/>
        </w:trPr>
        <w:tc>
          <w:tcPr>
            <w:tcW w:w="2258" w:type="dxa"/>
            <w:tcBorders>
              <w:top w:val="single" w:sz="4" w:space="0" w:color="000000"/>
              <w:left w:val="single" w:sz="4" w:space="0" w:color="000000"/>
              <w:bottom w:val="single" w:sz="4" w:space="0" w:color="000000"/>
              <w:right w:val="single" w:sz="4" w:space="0" w:color="000000"/>
            </w:tcBorders>
          </w:tcPr>
          <w:p w14:paraId="2DF6D0AA"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Κλινική ύφεση</w:t>
            </w:r>
          </w:p>
        </w:tc>
        <w:tc>
          <w:tcPr>
            <w:tcW w:w="1134" w:type="dxa"/>
            <w:tcBorders>
              <w:top w:val="single" w:sz="4" w:space="0" w:color="000000"/>
              <w:left w:val="single" w:sz="4" w:space="0" w:color="000000"/>
              <w:bottom w:val="single" w:sz="4" w:space="0" w:color="000000"/>
              <w:right w:val="single" w:sz="4" w:space="0" w:color="000000"/>
            </w:tcBorders>
          </w:tcPr>
          <w:p w14:paraId="70AFD728" w14:textId="77777777" w:rsidR="00171824" w:rsidRDefault="006D258C">
            <w:pPr>
              <w:pStyle w:val="BodyText"/>
              <w:widowControl/>
              <w:ind w:left="0"/>
              <w:jc w:val="center"/>
              <w:rPr>
                <w:rFonts w:eastAsia="MS Mincho"/>
                <w:lang w:val="el-GR"/>
              </w:rPr>
            </w:pPr>
            <w:r>
              <w:rPr>
                <w:rFonts w:eastAsia="MS Mincho"/>
                <w:lang w:val="el-GR"/>
              </w:rPr>
              <w:t>12%</w:t>
            </w:r>
          </w:p>
        </w:tc>
        <w:tc>
          <w:tcPr>
            <w:tcW w:w="1560" w:type="dxa"/>
            <w:tcBorders>
              <w:top w:val="single" w:sz="4" w:space="0" w:color="000000"/>
              <w:left w:val="single" w:sz="4" w:space="0" w:color="000000"/>
              <w:bottom w:val="single" w:sz="4" w:space="0" w:color="000000"/>
              <w:right w:val="single" w:sz="4" w:space="0" w:color="000000"/>
            </w:tcBorders>
          </w:tcPr>
          <w:p w14:paraId="24DE0BB9" w14:textId="77777777" w:rsidR="00171824" w:rsidRDefault="006D258C">
            <w:pPr>
              <w:pStyle w:val="BodyText"/>
              <w:widowControl/>
              <w:ind w:left="0"/>
              <w:jc w:val="center"/>
              <w:rPr>
                <w:rFonts w:eastAsia="MS Mincho"/>
                <w:lang w:val="el-GR"/>
              </w:rPr>
            </w:pPr>
            <w:r>
              <w:rPr>
                <w:rFonts w:eastAsia="MS Mincho"/>
                <w:lang w:val="el-GR"/>
              </w:rPr>
              <w:t>24%</w:t>
            </w:r>
          </w:p>
        </w:tc>
        <w:tc>
          <w:tcPr>
            <w:tcW w:w="1559" w:type="dxa"/>
            <w:tcBorders>
              <w:top w:val="single" w:sz="4" w:space="0" w:color="000000"/>
              <w:left w:val="single" w:sz="4" w:space="0" w:color="000000"/>
              <w:bottom w:val="single" w:sz="4" w:space="0" w:color="000000"/>
              <w:right w:val="single" w:sz="4" w:space="0" w:color="000000"/>
            </w:tcBorders>
          </w:tcPr>
          <w:p w14:paraId="75748B26" w14:textId="77777777" w:rsidR="00171824" w:rsidRDefault="006D258C">
            <w:pPr>
              <w:pStyle w:val="BodyText"/>
              <w:widowControl/>
              <w:ind w:left="0"/>
              <w:jc w:val="center"/>
              <w:rPr>
                <w:rFonts w:eastAsia="MS Mincho"/>
                <w:lang w:val="el-GR"/>
              </w:rPr>
            </w:pPr>
            <w:r>
              <w:rPr>
                <w:rFonts w:eastAsia="MS Mincho"/>
                <w:lang w:val="el-GR"/>
              </w:rPr>
              <w:t>36%</w:t>
            </w:r>
            <w:r>
              <w:rPr>
                <w:rFonts w:eastAsia="MS Mincho"/>
                <w:vertAlign w:val="superscript"/>
                <w:lang w:val="el-GR"/>
              </w:rPr>
              <w:t>*</w:t>
            </w:r>
          </w:p>
        </w:tc>
        <w:tc>
          <w:tcPr>
            <w:tcW w:w="1276" w:type="dxa"/>
            <w:tcBorders>
              <w:top w:val="single" w:sz="4" w:space="0" w:color="000000"/>
              <w:left w:val="single" w:sz="4" w:space="0" w:color="000000"/>
              <w:bottom w:val="single" w:sz="4" w:space="0" w:color="000000"/>
              <w:right w:val="single" w:sz="4" w:space="0" w:color="000000"/>
            </w:tcBorders>
          </w:tcPr>
          <w:p w14:paraId="130B33EF" w14:textId="77777777" w:rsidR="00171824" w:rsidRDefault="006D258C">
            <w:pPr>
              <w:pStyle w:val="BodyText"/>
              <w:widowControl/>
              <w:ind w:left="0"/>
              <w:jc w:val="center"/>
              <w:rPr>
                <w:rFonts w:eastAsia="MS Mincho"/>
                <w:lang w:val="el-GR"/>
              </w:rPr>
            </w:pPr>
            <w:r>
              <w:rPr>
                <w:rFonts w:eastAsia="MS Mincho"/>
                <w:lang w:val="el-GR"/>
              </w:rPr>
              <w:t>7%</w:t>
            </w:r>
          </w:p>
        </w:tc>
        <w:tc>
          <w:tcPr>
            <w:tcW w:w="1555" w:type="dxa"/>
            <w:tcBorders>
              <w:top w:val="single" w:sz="4" w:space="0" w:color="000000"/>
              <w:left w:val="single" w:sz="4" w:space="0" w:color="000000"/>
              <w:bottom w:val="single" w:sz="4" w:space="0" w:color="000000"/>
              <w:right w:val="single" w:sz="4" w:space="0" w:color="000000"/>
            </w:tcBorders>
          </w:tcPr>
          <w:p w14:paraId="2FD40682" w14:textId="77777777" w:rsidR="00171824" w:rsidRDefault="006D258C">
            <w:pPr>
              <w:pStyle w:val="BodyText"/>
              <w:widowControl/>
              <w:ind w:left="0"/>
              <w:jc w:val="center"/>
              <w:rPr>
                <w:rFonts w:eastAsia="MS Mincho"/>
                <w:lang w:val="el-GR"/>
              </w:rPr>
            </w:pPr>
            <w:r>
              <w:rPr>
                <w:rFonts w:eastAsia="MS Mincho"/>
                <w:lang w:val="el-GR"/>
              </w:rPr>
              <w:t>21%</w:t>
            </w:r>
            <w:r>
              <w:rPr>
                <w:rFonts w:eastAsia="MS Mincho"/>
                <w:vertAlign w:val="superscript"/>
                <w:lang w:val="el-GR"/>
              </w:rPr>
              <w:t>*</w:t>
            </w:r>
          </w:p>
        </w:tc>
      </w:tr>
      <w:tr w:rsidR="00171824" w14:paraId="5DE6676F" w14:textId="77777777">
        <w:trPr>
          <w:trHeight w:val="20"/>
        </w:trPr>
        <w:tc>
          <w:tcPr>
            <w:tcW w:w="2258" w:type="dxa"/>
            <w:tcBorders>
              <w:top w:val="single" w:sz="4" w:space="0" w:color="000000"/>
              <w:left w:val="single" w:sz="4" w:space="0" w:color="000000"/>
              <w:bottom w:val="single" w:sz="4" w:space="0" w:color="000000"/>
              <w:right w:val="single" w:sz="4" w:space="0" w:color="000000"/>
            </w:tcBorders>
          </w:tcPr>
          <w:p w14:paraId="4D81CC54"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Κλινική ανταπόκριση (CR-100)</w:t>
            </w:r>
          </w:p>
        </w:tc>
        <w:tc>
          <w:tcPr>
            <w:tcW w:w="1134" w:type="dxa"/>
            <w:tcBorders>
              <w:top w:val="single" w:sz="4" w:space="0" w:color="000000"/>
              <w:left w:val="single" w:sz="4" w:space="0" w:color="000000"/>
              <w:bottom w:val="single" w:sz="4" w:space="0" w:color="000000"/>
              <w:right w:val="single" w:sz="4" w:space="0" w:color="000000"/>
            </w:tcBorders>
          </w:tcPr>
          <w:p w14:paraId="07888F35" w14:textId="77777777" w:rsidR="00171824" w:rsidRDefault="006D258C">
            <w:pPr>
              <w:pStyle w:val="BodyText"/>
              <w:widowControl/>
              <w:ind w:left="0"/>
              <w:jc w:val="center"/>
              <w:rPr>
                <w:rFonts w:eastAsia="MS Mincho"/>
                <w:lang w:val="el-GR"/>
              </w:rPr>
            </w:pPr>
            <w:r>
              <w:rPr>
                <w:rFonts w:eastAsia="MS Mincho"/>
                <w:lang w:val="el-GR"/>
              </w:rPr>
              <w:t>24%</w:t>
            </w:r>
          </w:p>
        </w:tc>
        <w:tc>
          <w:tcPr>
            <w:tcW w:w="1560" w:type="dxa"/>
            <w:tcBorders>
              <w:top w:val="single" w:sz="4" w:space="0" w:color="000000"/>
              <w:left w:val="single" w:sz="4" w:space="0" w:color="000000"/>
              <w:bottom w:val="single" w:sz="4" w:space="0" w:color="000000"/>
              <w:right w:val="single" w:sz="4" w:space="0" w:color="000000"/>
            </w:tcBorders>
          </w:tcPr>
          <w:p w14:paraId="1CEA8BD2" w14:textId="77777777" w:rsidR="00171824" w:rsidRDefault="006D258C">
            <w:pPr>
              <w:pStyle w:val="BodyText"/>
              <w:widowControl/>
              <w:ind w:left="0"/>
              <w:jc w:val="center"/>
              <w:rPr>
                <w:rFonts w:eastAsia="MS Mincho"/>
                <w:lang w:val="el-GR"/>
              </w:rPr>
            </w:pPr>
            <w:r>
              <w:rPr>
                <w:rFonts w:eastAsia="MS Mincho"/>
                <w:lang w:val="el-GR"/>
              </w:rPr>
              <w:t>37%</w:t>
            </w:r>
          </w:p>
        </w:tc>
        <w:tc>
          <w:tcPr>
            <w:tcW w:w="1559" w:type="dxa"/>
            <w:tcBorders>
              <w:top w:val="single" w:sz="4" w:space="0" w:color="000000"/>
              <w:left w:val="single" w:sz="4" w:space="0" w:color="000000"/>
              <w:bottom w:val="single" w:sz="4" w:space="0" w:color="000000"/>
              <w:right w:val="single" w:sz="4" w:space="0" w:color="000000"/>
            </w:tcBorders>
          </w:tcPr>
          <w:p w14:paraId="6D02A72A" w14:textId="77777777" w:rsidR="00171824" w:rsidRDefault="006D258C">
            <w:pPr>
              <w:pStyle w:val="BodyText"/>
              <w:widowControl/>
              <w:ind w:left="0"/>
              <w:jc w:val="center"/>
              <w:rPr>
                <w:rFonts w:eastAsia="MS Mincho"/>
                <w:lang w:val="el-GR"/>
              </w:rPr>
            </w:pPr>
            <w:r>
              <w:rPr>
                <w:rFonts w:eastAsia="MS Mincho"/>
                <w:lang w:val="el-GR"/>
              </w:rPr>
              <w:t>49%</w:t>
            </w:r>
            <w:r>
              <w:rPr>
                <w:rFonts w:eastAsia="MS Mincho"/>
                <w:vertAlign w:val="superscript"/>
                <w:lang w:val="el-GR"/>
              </w:rPr>
              <w:t>**</w:t>
            </w:r>
          </w:p>
        </w:tc>
        <w:tc>
          <w:tcPr>
            <w:tcW w:w="1276" w:type="dxa"/>
            <w:tcBorders>
              <w:top w:val="single" w:sz="4" w:space="0" w:color="000000"/>
              <w:left w:val="single" w:sz="4" w:space="0" w:color="000000"/>
              <w:bottom w:val="single" w:sz="4" w:space="0" w:color="000000"/>
              <w:right w:val="single" w:sz="4" w:space="0" w:color="000000"/>
            </w:tcBorders>
          </w:tcPr>
          <w:p w14:paraId="19D3F916" w14:textId="77777777" w:rsidR="00171824" w:rsidRDefault="006D258C">
            <w:pPr>
              <w:pStyle w:val="BodyText"/>
              <w:widowControl/>
              <w:ind w:left="0"/>
              <w:jc w:val="center"/>
              <w:rPr>
                <w:rFonts w:eastAsia="MS Mincho"/>
                <w:lang w:val="el-GR"/>
              </w:rPr>
            </w:pPr>
            <w:r>
              <w:rPr>
                <w:rFonts w:eastAsia="MS Mincho"/>
                <w:lang w:val="el-GR"/>
              </w:rPr>
              <w:t>25%</w:t>
            </w:r>
          </w:p>
        </w:tc>
        <w:tc>
          <w:tcPr>
            <w:tcW w:w="1555" w:type="dxa"/>
            <w:tcBorders>
              <w:top w:val="single" w:sz="4" w:space="0" w:color="000000"/>
              <w:left w:val="single" w:sz="4" w:space="0" w:color="000000"/>
              <w:bottom w:val="single" w:sz="4" w:space="0" w:color="000000"/>
              <w:right w:val="single" w:sz="4" w:space="0" w:color="000000"/>
            </w:tcBorders>
          </w:tcPr>
          <w:p w14:paraId="74077A29" w14:textId="77777777" w:rsidR="00171824" w:rsidRDefault="006D258C">
            <w:pPr>
              <w:pStyle w:val="BodyText"/>
              <w:widowControl/>
              <w:ind w:left="0"/>
              <w:jc w:val="center"/>
              <w:rPr>
                <w:rFonts w:eastAsia="MS Mincho"/>
                <w:lang w:val="el-GR"/>
              </w:rPr>
            </w:pPr>
            <w:r>
              <w:rPr>
                <w:rFonts w:eastAsia="MS Mincho"/>
                <w:lang w:val="el-GR"/>
              </w:rPr>
              <w:t>38%</w:t>
            </w:r>
            <w:r>
              <w:rPr>
                <w:rFonts w:eastAsia="MS Mincho"/>
                <w:vertAlign w:val="superscript"/>
                <w:lang w:val="el-GR"/>
              </w:rPr>
              <w:t>**</w:t>
            </w:r>
          </w:p>
        </w:tc>
      </w:tr>
    </w:tbl>
    <w:p w14:paraId="6B1B06EE" w14:textId="77777777" w:rsidR="00171824" w:rsidRDefault="006D258C">
      <w:pPr>
        <w:pStyle w:val="BodyText"/>
        <w:widowControl/>
        <w:kinsoku w:val="0"/>
        <w:overflowPunct w:val="0"/>
        <w:ind w:left="0"/>
        <w:rPr>
          <w:sz w:val="20"/>
          <w:szCs w:val="20"/>
          <w:lang w:val="el-GR"/>
        </w:rPr>
      </w:pPr>
      <w:r>
        <w:rPr>
          <w:sz w:val="20"/>
          <w:szCs w:val="20"/>
          <w:lang w:val="el-GR"/>
        </w:rPr>
        <w:t>Όλες οι p-τιμές είναι συγκρίσεις κατά ζεύγη των ποσοστών για το adalimumab</w:t>
      </w:r>
      <w:r>
        <w:rPr>
          <w:i/>
          <w:sz w:val="20"/>
          <w:szCs w:val="20"/>
          <w:lang w:val="el-GR"/>
        </w:rPr>
        <w:t xml:space="preserve"> </w:t>
      </w:r>
      <w:r>
        <w:rPr>
          <w:i/>
          <w:iCs/>
          <w:sz w:val="20"/>
          <w:szCs w:val="20"/>
          <w:lang w:val="el-GR"/>
        </w:rPr>
        <w:t xml:space="preserve">έναντι </w:t>
      </w:r>
      <w:r>
        <w:rPr>
          <w:sz w:val="20"/>
          <w:szCs w:val="20"/>
          <w:lang w:val="el-GR"/>
        </w:rPr>
        <w:t>εικονικού φαρμάκου</w:t>
      </w:r>
    </w:p>
    <w:p w14:paraId="06E5D119" w14:textId="77777777" w:rsidR="00171824" w:rsidRDefault="006D258C">
      <w:pPr>
        <w:pStyle w:val="BodyText"/>
        <w:widowControl/>
        <w:tabs>
          <w:tab w:val="left" w:pos="578"/>
        </w:tabs>
        <w:kinsoku w:val="0"/>
        <w:overflowPunct w:val="0"/>
        <w:ind w:left="284" w:hanging="284"/>
        <w:rPr>
          <w:sz w:val="20"/>
          <w:szCs w:val="20"/>
          <w:lang w:val="el-GR"/>
        </w:rPr>
      </w:pPr>
      <w:r>
        <w:rPr>
          <w:sz w:val="20"/>
          <w:szCs w:val="20"/>
          <w:lang w:val="el-GR"/>
        </w:rPr>
        <w:t>*</w:t>
      </w:r>
      <w:r>
        <w:rPr>
          <w:sz w:val="12"/>
          <w:szCs w:val="12"/>
          <w:lang w:val="el-GR"/>
        </w:rPr>
        <w:tab/>
      </w:r>
      <w:r>
        <w:rPr>
          <w:sz w:val="20"/>
          <w:szCs w:val="20"/>
          <w:lang w:val="el-GR"/>
        </w:rPr>
        <w:t>p &lt; 0,001</w:t>
      </w:r>
    </w:p>
    <w:p w14:paraId="399370A4" w14:textId="77777777" w:rsidR="00171824" w:rsidRDefault="006D258C">
      <w:pPr>
        <w:widowControl/>
        <w:tabs>
          <w:tab w:val="left" w:pos="578"/>
        </w:tabs>
        <w:kinsoku w:val="0"/>
        <w:overflowPunct w:val="0"/>
        <w:ind w:left="284" w:hanging="284"/>
        <w:rPr>
          <w:sz w:val="20"/>
          <w:szCs w:val="20"/>
          <w:lang w:val="el-GR"/>
        </w:rPr>
      </w:pPr>
      <w:r>
        <w:rPr>
          <w:sz w:val="20"/>
          <w:szCs w:val="20"/>
          <w:lang w:val="el-GR"/>
        </w:rPr>
        <w:t>**</w:t>
      </w:r>
      <w:r>
        <w:rPr>
          <w:sz w:val="20"/>
          <w:szCs w:val="20"/>
          <w:lang w:val="el-GR"/>
        </w:rPr>
        <w:tab/>
        <w:t>p &lt; 0,01</w:t>
      </w:r>
    </w:p>
    <w:p w14:paraId="68552522" w14:textId="77777777" w:rsidR="00171824" w:rsidRDefault="00171824">
      <w:pPr>
        <w:widowControl/>
        <w:kinsoku w:val="0"/>
        <w:overflowPunct w:val="0"/>
        <w:rPr>
          <w:sz w:val="22"/>
          <w:szCs w:val="22"/>
          <w:lang w:val="el-GR"/>
        </w:rPr>
      </w:pPr>
    </w:p>
    <w:p w14:paraId="257E7639" w14:textId="77777777" w:rsidR="00171824" w:rsidRDefault="006D258C">
      <w:pPr>
        <w:pStyle w:val="BodyText"/>
        <w:widowControl/>
        <w:kinsoku w:val="0"/>
        <w:overflowPunct w:val="0"/>
        <w:ind w:left="0"/>
        <w:rPr>
          <w:lang w:val="el-GR"/>
        </w:rPr>
      </w:pPr>
      <w:r>
        <w:rPr>
          <w:lang w:val="el-GR"/>
        </w:rPr>
        <w:t>Παρόμοια ποσοστά κλινικής ύφεσης παρατηρήθηκαν για τα 160/80 mg και 80/40 mg επαγωγικά σχήματα την εβδομάδα 8 και παρατηρήθηκαν πιο συχνά ανεπιθύμητες ενέργειες στην ομάδα που έλαβε 160/80 mg.</w:t>
      </w:r>
    </w:p>
    <w:p w14:paraId="7F8A3F9F" w14:textId="77777777" w:rsidR="00171824" w:rsidRDefault="00171824">
      <w:pPr>
        <w:widowControl/>
        <w:kinsoku w:val="0"/>
        <w:overflowPunct w:val="0"/>
        <w:rPr>
          <w:sz w:val="22"/>
          <w:szCs w:val="22"/>
          <w:lang w:val="el-GR"/>
        </w:rPr>
      </w:pPr>
    </w:p>
    <w:p w14:paraId="75B7AB92" w14:textId="77777777" w:rsidR="00171824" w:rsidRDefault="006D258C">
      <w:pPr>
        <w:pStyle w:val="BodyText"/>
        <w:widowControl/>
        <w:kinsoku w:val="0"/>
        <w:overflowPunct w:val="0"/>
        <w:ind w:left="0"/>
        <w:rPr>
          <w:lang w:val="el-GR"/>
        </w:rPr>
      </w:pPr>
      <w:r>
        <w:rPr>
          <w:lang w:val="el-GR"/>
        </w:rPr>
        <w:t>Στην μελέτη CD ΙΙΙ, την εβδομάδα 4 το 58% (499/854) των ασθενών είχαν κλινική ανταπόκριση και αξιολογήθηκαν στην πρωτεύουσα ανάλυση. Από τους ασθενείς που εμφάνισαν κλινική ανταπόκριση την εβδομάδα 4, το 48% είχαν λάβει στο παρελθόν άλλον TNF-ανταγωνιστή. Η διατήρηση της ύφεσης και τα ποσοστά ανταπόκρισης παρουσιάζονται στον πίνακα 22. Τα ποσοστά της κλινικής ύφεσης παρέμειναν σχετικά σταθερά ανεξαρτήτως προηγούμενης έκθεσης σε TNF-ανταγωνιστές.</w:t>
      </w:r>
    </w:p>
    <w:p w14:paraId="223E0723" w14:textId="77777777" w:rsidR="00171824" w:rsidRDefault="00171824">
      <w:pPr>
        <w:widowControl/>
        <w:kinsoku w:val="0"/>
        <w:overflowPunct w:val="0"/>
        <w:rPr>
          <w:sz w:val="22"/>
          <w:szCs w:val="22"/>
          <w:lang w:val="el-GR"/>
        </w:rPr>
      </w:pPr>
    </w:p>
    <w:p w14:paraId="40A4905F" w14:textId="77777777" w:rsidR="00171824" w:rsidRDefault="006D258C">
      <w:pPr>
        <w:pStyle w:val="BodyText"/>
        <w:widowControl/>
        <w:kinsoku w:val="0"/>
        <w:overflowPunct w:val="0"/>
        <w:ind w:left="0"/>
        <w:rPr>
          <w:lang w:val="el-GR"/>
        </w:rPr>
      </w:pPr>
      <w:r>
        <w:rPr>
          <w:lang w:val="el-GR"/>
        </w:rPr>
        <w:t>Νοσηλείες και χειρουργικές επεμβάσεις σχετιζόμενες με τη νόσο ήταν στατιστικά σημαντικά μειωμένες με το adalimumab συγκριτικά με το εικονικό φάρμακο στην εβδομάδα 56.</w:t>
      </w:r>
    </w:p>
    <w:p w14:paraId="0443715F" w14:textId="77777777" w:rsidR="00171824" w:rsidRDefault="00171824">
      <w:pPr>
        <w:widowControl/>
        <w:kinsoku w:val="0"/>
        <w:overflowPunct w:val="0"/>
        <w:rPr>
          <w:sz w:val="22"/>
          <w:szCs w:val="22"/>
          <w:lang w:val="el-GR"/>
        </w:rPr>
      </w:pPr>
    </w:p>
    <w:p w14:paraId="2A60E95C" w14:textId="77777777" w:rsidR="00171824" w:rsidRDefault="006D258C">
      <w:pPr>
        <w:pStyle w:val="BodyText"/>
        <w:keepNext/>
        <w:widowControl/>
        <w:ind w:left="0"/>
        <w:rPr>
          <w:b/>
          <w:lang w:val="el-GR"/>
        </w:rPr>
      </w:pPr>
      <w:r>
        <w:rPr>
          <w:b/>
          <w:lang w:val="el-GR"/>
        </w:rPr>
        <w:t>Πίνακας 22.</w:t>
      </w:r>
      <w:r>
        <w:rPr>
          <w:b/>
          <w:bCs/>
          <w:lang w:val="el-GR"/>
        </w:rPr>
        <w:t xml:space="preserve"> Διατήρηση Κλινικής Ύφεσης και Κλινικής Ανταπόκρισης(ποσοστό ασθενών)</w:t>
      </w:r>
    </w:p>
    <w:p w14:paraId="62E52977" w14:textId="77777777" w:rsidR="00171824" w:rsidRDefault="00171824">
      <w:pPr>
        <w:keepNext/>
        <w:widowControl/>
        <w:kinsoku w:val="0"/>
        <w:overflowPunct w:val="0"/>
        <w:rPr>
          <w:sz w:val="22"/>
          <w:szCs w:val="22"/>
          <w:lang w:val="el-GR"/>
        </w:rPr>
      </w:pPr>
    </w:p>
    <w:tbl>
      <w:tblPr>
        <w:tblW w:w="9062" w:type="dxa"/>
        <w:tblInd w:w="5" w:type="dxa"/>
        <w:tblLayout w:type="fixed"/>
        <w:tblLook w:val="04A0" w:firstRow="1" w:lastRow="0" w:firstColumn="1" w:lastColumn="0" w:noHBand="0" w:noVBand="1"/>
      </w:tblPr>
      <w:tblGrid>
        <w:gridCol w:w="3392"/>
        <w:gridCol w:w="1843"/>
        <w:gridCol w:w="1985"/>
        <w:gridCol w:w="1842"/>
      </w:tblGrid>
      <w:tr w:rsidR="00171824" w14:paraId="3110845B" w14:textId="77777777">
        <w:trPr>
          <w:trHeight w:val="20"/>
          <w:tblHeader/>
        </w:trPr>
        <w:tc>
          <w:tcPr>
            <w:tcW w:w="3392" w:type="dxa"/>
            <w:tcBorders>
              <w:top w:val="single" w:sz="4" w:space="0" w:color="000000"/>
              <w:left w:val="single" w:sz="4" w:space="0" w:color="000000"/>
              <w:bottom w:val="single" w:sz="4" w:space="0" w:color="000000"/>
              <w:right w:val="single" w:sz="4" w:space="0" w:color="000000"/>
            </w:tcBorders>
          </w:tcPr>
          <w:p w14:paraId="0C74992B" w14:textId="77777777" w:rsidR="00171824" w:rsidRDefault="00171824">
            <w:pPr>
              <w:keepNext/>
              <w:widowControl/>
              <w:rPr>
                <w:rFonts w:eastAsia="MS Mincho"/>
                <w:sz w:val="22"/>
                <w:szCs w:val="22"/>
                <w:lang w:val="el-GR"/>
              </w:rPr>
            </w:pPr>
          </w:p>
        </w:tc>
        <w:tc>
          <w:tcPr>
            <w:tcW w:w="1843" w:type="dxa"/>
            <w:tcBorders>
              <w:top w:val="single" w:sz="4" w:space="0" w:color="000000"/>
              <w:left w:val="single" w:sz="4" w:space="0" w:color="000000"/>
              <w:bottom w:val="single" w:sz="4" w:space="0" w:color="000000"/>
              <w:right w:val="single" w:sz="4" w:space="0" w:color="000000"/>
            </w:tcBorders>
          </w:tcPr>
          <w:p w14:paraId="7024BF6A"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Εικονικό φάρμακο</w:t>
            </w:r>
          </w:p>
        </w:tc>
        <w:tc>
          <w:tcPr>
            <w:tcW w:w="1985" w:type="dxa"/>
            <w:tcBorders>
              <w:top w:val="single" w:sz="4" w:space="0" w:color="000000"/>
              <w:left w:val="single" w:sz="4" w:space="0" w:color="000000"/>
              <w:bottom w:val="single" w:sz="4" w:space="0" w:color="000000"/>
              <w:right w:val="single" w:sz="4" w:space="0" w:color="000000"/>
            </w:tcBorders>
          </w:tcPr>
          <w:p w14:paraId="4CD03992"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δεύτερη εβδομάδα</w:t>
            </w:r>
          </w:p>
        </w:tc>
        <w:tc>
          <w:tcPr>
            <w:tcW w:w="1842" w:type="dxa"/>
            <w:tcBorders>
              <w:top w:val="single" w:sz="4" w:space="0" w:color="000000"/>
              <w:left w:val="single" w:sz="4" w:space="0" w:color="000000"/>
              <w:bottom w:val="single" w:sz="4" w:space="0" w:color="000000"/>
              <w:right w:val="single" w:sz="4" w:space="0" w:color="000000"/>
            </w:tcBorders>
          </w:tcPr>
          <w:p w14:paraId="6B3D7DD0"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40 mg Adalimumab κάθε εβδομάδα</w:t>
            </w:r>
          </w:p>
        </w:tc>
      </w:tr>
      <w:tr w:rsidR="00171824" w14:paraId="68B261F2" w14:textId="77777777">
        <w:trPr>
          <w:trHeight w:val="20"/>
        </w:trPr>
        <w:tc>
          <w:tcPr>
            <w:tcW w:w="3392" w:type="dxa"/>
            <w:tcBorders>
              <w:top w:val="single" w:sz="4" w:space="0" w:color="000000"/>
              <w:left w:val="single" w:sz="4" w:space="0" w:color="000000"/>
              <w:bottom w:val="single" w:sz="4" w:space="0" w:color="000000"/>
              <w:right w:val="single" w:sz="4" w:space="0" w:color="000000"/>
            </w:tcBorders>
          </w:tcPr>
          <w:p w14:paraId="61B27132" w14:textId="77777777" w:rsidR="00171824" w:rsidRDefault="006D258C">
            <w:pPr>
              <w:pStyle w:val="TableParagraph"/>
              <w:keepNext/>
              <w:widowControl/>
              <w:kinsoku w:val="0"/>
              <w:overflowPunct w:val="0"/>
              <w:rPr>
                <w:rFonts w:eastAsia="MS Mincho"/>
                <w:sz w:val="22"/>
                <w:szCs w:val="22"/>
                <w:lang w:val="el-GR"/>
              </w:rPr>
            </w:pPr>
            <w:r>
              <w:rPr>
                <w:rFonts w:eastAsia="MS Mincho"/>
                <w:b/>
                <w:bCs/>
                <w:sz w:val="22"/>
                <w:szCs w:val="22"/>
                <w:lang w:val="el-GR"/>
              </w:rPr>
              <w:t>Εβδομάδα 26</w:t>
            </w:r>
          </w:p>
        </w:tc>
        <w:tc>
          <w:tcPr>
            <w:tcW w:w="1843" w:type="dxa"/>
            <w:tcBorders>
              <w:top w:val="single" w:sz="4" w:space="0" w:color="000000"/>
              <w:left w:val="single" w:sz="4" w:space="0" w:color="000000"/>
              <w:bottom w:val="single" w:sz="4" w:space="0" w:color="000000"/>
              <w:right w:val="single" w:sz="4" w:space="0" w:color="000000"/>
            </w:tcBorders>
          </w:tcPr>
          <w:p w14:paraId="15AD78B6"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170</w:t>
            </w:r>
          </w:p>
        </w:tc>
        <w:tc>
          <w:tcPr>
            <w:tcW w:w="1985" w:type="dxa"/>
            <w:tcBorders>
              <w:top w:val="single" w:sz="4" w:space="0" w:color="000000"/>
              <w:left w:val="single" w:sz="4" w:space="0" w:color="000000"/>
              <w:bottom w:val="single" w:sz="4" w:space="0" w:color="000000"/>
              <w:right w:val="single" w:sz="4" w:space="0" w:color="000000"/>
            </w:tcBorders>
          </w:tcPr>
          <w:p w14:paraId="3AFCA706"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172</w:t>
            </w:r>
          </w:p>
        </w:tc>
        <w:tc>
          <w:tcPr>
            <w:tcW w:w="1842" w:type="dxa"/>
            <w:tcBorders>
              <w:top w:val="single" w:sz="4" w:space="0" w:color="000000"/>
              <w:left w:val="single" w:sz="4" w:space="0" w:color="000000"/>
              <w:bottom w:val="single" w:sz="4" w:space="0" w:color="000000"/>
              <w:right w:val="single" w:sz="4" w:space="0" w:color="000000"/>
            </w:tcBorders>
          </w:tcPr>
          <w:p w14:paraId="09A060E8" w14:textId="77777777" w:rsidR="00171824" w:rsidRDefault="006D258C">
            <w:pPr>
              <w:pStyle w:val="TableParagraph"/>
              <w:keepNext/>
              <w:widowControl/>
              <w:kinsoku w:val="0"/>
              <w:overflowPunct w:val="0"/>
              <w:jc w:val="center"/>
              <w:rPr>
                <w:rFonts w:eastAsia="MS Mincho"/>
                <w:sz w:val="22"/>
                <w:szCs w:val="22"/>
                <w:lang w:val="el-GR"/>
              </w:rPr>
            </w:pPr>
            <w:r>
              <w:rPr>
                <w:rFonts w:eastAsia="MS Mincho"/>
                <w:b/>
                <w:bCs/>
                <w:sz w:val="22"/>
                <w:szCs w:val="22"/>
                <w:lang w:val="el-GR"/>
              </w:rPr>
              <w:t>N = 157</w:t>
            </w:r>
          </w:p>
        </w:tc>
      </w:tr>
      <w:tr w:rsidR="00171824" w14:paraId="211936E2" w14:textId="77777777">
        <w:trPr>
          <w:trHeight w:val="20"/>
        </w:trPr>
        <w:tc>
          <w:tcPr>
            <w:tcW w:w="3392" w:type="dxa"/>
            <w:tcBorders>
              <w:top w:val="single" w:sz="4" w:space="0" w:color="000000"/>
              <w:left w:val="single" w:sz="4" w:space="0" w:color="000000"/>
              <w:bottom w:val="single" w:sz="4" w:space="0" w:color="000000"/>
              <w:right w:val="single" w:sz="4" w:space="0" w:color="000000"/>
            </w:tcBorders>
          </w:tcPr>
          <w:p w14:paraId="1E646D90"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Κλινική ύφεση</w:t>
            </w:r>
          </w:p>
        </w:tc>
        <w:tc>
          <w:tcPr>
            <w:tcW w:w="1843" w:type="dxa"/>
            <w:tcBorders>
              <w:top w:val="single" w:sz="4" w:space="0" w:color="000000"/>
              <w:left w:val="single" w:sz="4" w:space="0" w:color="000000"/>
              <w:bottom w:val="single" w:sz="4" w:space="0" w:color="000000"/>
              <w:right w:val="single" w:sz="4" w:space="0" w:color="000000"/>
            </w:tcBorders>
          </w:tcPr>
          <w:p w14:paraId="0DCBEF5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17%</w:t>
            </w:r>
          </w:p>
        </w:tc>
        <w:tc>
          <w:tcPr>
            <w:tcW w:w="1985" w:type="dxa"/>
            <w:tcBorders>
              <w:top w:val="single" w:sz="4" w:space="0" w:color="000000"/>
              <w:left w:val="single" w:sz="4" w:space="0" w:color="000000"/>
              <w:bottom w:val="single" w:sz="4" w:space="0" w:color="000000"/>
              <w:right w:val="single" w:sz="4" w:space="0" w:color="000000"/>
            </w:tcBorders>
          </w:tcPr>
          <w:p w14:paraId="63A91DF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40%*</w:t>
            </w:r>
          </w:p>
        </w:tc>
        <w:tc>
          <w:tcPr>
            <w:tcW w:w="1842" w:type="dxa"/>
            <w:tcBorders>
              <w:top w:val="single" w:sz="4" w:space="0" w:color="000000"/>
              <w:left w:val="single" w:sz="4" w:space="0" w:color="000000"/>
              <w:bottom w:val="single" w:sz="4" w:space="0" w:color="000000"/>
              <w:right w:val="single" w:sz="4" w:space="0" w:color="000000"/>
            </w:tcBorders>
          </w:tcPr>
          <w:p w14:paraId="69EF6C4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47%*</w:t>
            </w:r>
          </w:p>
        </w:tc>
      </w:tr>
      <w:tr w:rsidR="00171824" w14:paraId="338DB83E" w14:textId="77777777">
        <w:trPr>
          <w:trHeight w:val="20"/>
        </w:trPr>
        <w:tc>
          <w:tcPr>
            <w:tcW w:w="3392" w:type="dxa"/>
            <w:tcBorders>
              <w:top w:val="single" w:sz="4" w:space="0" w:color="000000"/>
              <w:left w:val="single" w:sz="4" w:space="0" w:color="000000"/>
              <w:bottom w:val="single" w:sz="4" w:space="0" w:color="000000"/>
              <w:right w:val="single" w:sz="4" w:space="0" w:color="000000"/>
            </w:tcBorders>
          </w:tcPr>
          <w:p w14:paraId="5F5B4F32"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Κλινική ανταπόκριση (CR-100)</w:t>
            </w:r>
          </w:p>
        </w:tc>
        <w:tc>
          <w:tcPr>
            <w:tcW w:w="1843" w:type="dxa"/>
            <w:tcBorders>
              <w:top w:val="single" w:sz="4" w:space="0" w:color="000000"/>
              <w:left w:val="single" w:sz="4" w:space="0" w:color="000000"/>
              <w:bottom w:val="single" w:sz="4" w:space="0" w:color="000000"/>
              <w:right w:val="single" w:sz="4" w:space="0" w:color="000000"/>
            </w:tcBorders>
          </w:tcPr>
          <w:p w14:paraId="4CFA1BDD"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27%</w:t>
            </w:r>
          </w:p>
        </w:tc>
        <w:tc>
          <w:tcPr>
            <w:tcW w:w="1985" w:type="dxa"/>
            <w:tcBorders>
              <w:top w:val="single" w:sz="4" w:space="0" w:color="000000"/>
              <w:left w:val="single" w:sz="4" w:space="0" w:color="000000"/>
              <w:bottom w:val="single" w:sz="4" w:space="0" w:color="000000"/>
              <w:right w:val="single" w:sz="4" w:space="0" w:color="000000"/>
            </w:tcBorders>
          </w:tcPr>
          <w:p w14:paraId="320BB9F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52%*</w:t>
            </w:r>
          </w:p>
        </w:tc>
        <w:tc>
          <w:tcPr>
            <w:tcW w:w="1842" w:type="dxa"/>
            <w:tcBorders>
              <w:top w:val="single" w:sz="4" w:space="0" w:color="000000"/>
              <w:left w:val="single" w:sz="4" w:space="0" w:color="000000"/>
              <w:bottom w:val="single" w:sz="4" w:space="0" w:color="000000"/>
              <w:right w:val="single" w:sz="4" w:space="0" w:color="000000"/>
            </w:tcBorders>
          </w:tcPr>
          <w:p w14:paraId="06E8FF10"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52%*</w:t>
            </w:r>
          </w:p>
        </w:tc>
      </w:tr>
      <w:tr w:rsidR="00171824" w14:paraId="2C938091" w14:textId="77777777">
        <w:trPr>
          <w:trHeight w:val="20"/>
        </w:trPr>
        <w:tc>
          <w:tcPr>
            <w:tcW w:w="3392" w:type="dxa"/>
            <w:tcBorders>
              <w:top w:val="single" w:sz="4" w:space="0" w:color="000000"/>
              <w:left w:val="single" w:sz="4" w:space="0" w:color="000000"/>
              <w:bottom w:val="single" w:sz="4" w:space="0" w:color="000000"/>
              <w:right w:val="single" w:sz="4" w:space="0" w:color="000000"/>
            </w:tcBorders>
          </w:tcPr>
          <w:p w14:paraId="5EE1FB89"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 xml:space="preserve">Ασθενείς σε ελεύθερη στεροειδών ύφεση για </w:t>
            </w:r>
            <w:r>
              <w:rPr>
                <w:sz w:val="22"/>
                <w:szCs w:val="22"/>
                <w:lang w:val="el-GR" w:eastAsia="en-GB"/>
              </w:rPr>
              <w:t>≥ </w:t>
            </w:r>
            <w:r>
              <w:rPr>
                <w:rFonts w:eastAsia="MS Mincho"/>
                <w:sz w:val="22"/>
                <w:szCs w:val="22"/>
                <w:lang w:val="el-GR"/>
              </w:rPr>
              <w:t>90 ημέρες</w:t>
            </w:r>
            <w:r>
              <w:rPr>
                <w:rFonts w:eastAsia="MS Mincho"/>
                <w:sz w:val="22"/>
                <w:szCs w:val="22"/>
                <w:vertAlign w:val="superscript"/>
                <w:lang w:val="el-GR"/>
              </w:rPr>
              <w:t>a</w:t>
            </w:r>
          </w:p>
        </w:tc>
        <w:tc>
          <w:tcPr>
            <w:tcW w:w="1843" w:type="dxa"/>
            <w:tcBorders>
              <w:top w:val="single" w:sz="4" w:space="0" w:color="000000"/>
              <w:left w:val="single" w:sz="4" w:space="0" w:color="000000"/>
              <w:bottom w:val="single" w:sz="4" w:space="0" w:color="000000"/>
              <w:right w:val="single" w:sz="4" w:space="0" w:color="000000"/>
            </w:tcBorders>
          </w:tcPr>
          <w:p w14:paraId="1E7BAEE2"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 (2/66)</w:t>
            </w:r>
          </w:p>
        </w:tc>
        <w:tc>
          <w:tcPr>
            <w:tcW w:w="1985" w:type="dxa"/>
            <w:tcBorders>
              <w:top w:val="single" w:sz="4" w:space="0" w:color="000000"/>
              <w:left w:val="single" w:sz="4" w:space="0" w:color="000000"/>
              <w:bottom w:val="single" w:sz="4" w:space="0" w:color="000000"/>
              <w:right w:val="single" w:sz="4" w:space="0" w:color="000000"/>
            </w:tcBorders>
          </w:tcPr>
          <w:p w14:paraId="09F0CE1A"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19% (11/58)**</w:t>
            </w:r>
          </w:p>
        </w:tc>
        <w:tc>
          <w:tcPr>
            <w:tcW w:w="1842" w:type="dxa"/>
            <w:tcBorders>
              <w:top w:val="single" w:sz="4" w:space="0" w:color="000000"/>
              <w:left w:val="single" w:sz="4" w:space="0" w:color="000000"/>
              <w:bottom w:val="single" w:sz="4" w:space="0" w:color="000000"/>
              <w:right w:val="single" w:sz="4" w:space="0" w:color="000000"/>
            </w:tcBorders>
          </w:tcPr>
          <w:p w14:paraId="761F5F2F"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15% (11/74)**</w:t>
            </w:r>
          </w:p>
        </w:tc>
      </w:tr>
      <w:tr w:rsidR="00171824" w14:paraId="789DDCB9" w14:textId="77777777">
        <w:trPr>
          <w:trHeight w:val="20"/>
        </w:trPr>
        <w:tc>
          <w:tcPr>
            <w:tcW w:w="3392" w:type="dxa"/>
            <w:tcBorders>
              <w:top w:val="single" w:sz="4" w:space="0" w:color="000000"/>
              <w:left w:val="single" w:sz="4" w:space="0" w:color="000000"/>
              <w:bottom w:val="single" w:sz="4" w:space="0" w:color="000000"/>
              <w:right w:val="single" w:sz="4" w:space="0" w:color="000000"/>
            </w:tcBorders>
          </w:tcPr>
          <w:p w14:paraId="31B80322" w14:textId="77777777" w:rsidR="00171824" w:rsidRDefault="006D258C">
            <w:pPr>
              <w:pStyle w:val="TableParagraph"/>
              <w:widowControl/>
              <w:kinsoku w:val="0"/>
              <w:overflowPunct w:val="0"/>
              <w:rPr>
                <w:rFonts w:eastAsia="MS Mincho"/>
                <w:sz w:val="22"/>
                <w:szCs w:val="22"/>
                <w:lang w:val="el-GR"/>
              </w:rPr>
            </w:pPr>
            <w:r>
              <w:rPr>
                <w:rFonts w:eastAsia="MS Mincho"/>
                <w:b/>
                <w:bCs/>
                <w:sz w:val="22"/>
                <w:szCs w:val="22"/>
                <w:lang w:val="el-GR"/>
              </w:rPr>
              <w:t>Εβδομάδα 56</w:t>
            </w:r>
          </w:p>
        </w:tc>
        <w:tc>
          <w:tcPr>
            <w:tcW w:w="1843" w:type="dxa"/>
            <w:tcBorders>
              <w:top w:val="single" w:sz="4" w:space="0" w:color="000000"/>
              <w:left w:val="single" w:sz="4" w:space="0" w:color="000000"/>
              <w:bottom w:val="single" w:sz="4" w:space="0" w:color="000000"/>
              <w:right w:val="single" w:sz="4" w:space="0" w:color="000000"/>
            </w:tcBorders>
          </w:tcPr>
          <w:p w14:paraId="7B5CFBA0"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N = 170</w:t>
            </w:r>
          </w:p>
        </w:tc>
        <w:tc>
          <w:tcPr>
            <w:tcW w:w="1985" w:type="dxa"/>
            <w:tcBorders>
              <w:top w:val="single" w:sz="4" w:space="0" w:color="000000"/>
              <w:left w:val="single" w:sz="4" w:space="0" w:color="000000"/>
              <w:bottom w:val="single" w:sz="4" w:space="0" w:color="000000"/>
              <w:right w:val="single" w:sz="4" w:space="0" w:color="000000"/>
            </w:tcBorders>
          </w:tcPr>
          <w:p w14:paraId="392E25E2"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N = 172</w:t>
            </w:r>
          </w:p>
        </w:tc>
        <w:tc>
          <w:tcPr>
            <w:tcW w:w="1842" w:type="dxa"/>
            <w:tcBorders>
              <w:top w:val="single" w:sz="4" w:space="0" w:color="000000"/>
              <w:left w:val="single" w:sz="4" w:space="0" w:color="000000"/>
              <w:bottom w:val="single" w:sz="4" w:space="0" w:color="000000"/>
              <w:right w:val="single" w:sz="4" w:space="0" w:color="000000"/>
            </w:tcBorders>
          </w:tcPr>
          <w:p w14:paraId="3A701336" w14:textId="77777777" w:rsidR="00171824" w:rsidRDefault="006D258C">
            <w:pPr>
              <w:pStyle w:val="TableParagraph"/>
              <w:widowControl/>
              <w:kinsoku w:val="0"/>
              <w:overflowPunct w:val="0"/>
              <w:jc w:val="center"/>
              <w:rPr>
                <w:rFonts w:eastAsia="MS Mincho"/>
                <w:sz w:val="22"/>
                <w:szCs w:val="22"/>
                <w:lang w:val="el-GR"/>
              </w:rPr>
            </w:pPr>
            <w:r>
              <w:rPr>
                <w:rFonts w:eastAsia="MS Mincho"/>
                <w:b/>
                <w:bCs/>
                <w:sz w:val="22"/>
                <w:szCs w:val="22"/>
                <w:lang w:val="el-GR"/>
              </w:rPr>
              <w:t>N = 157</w:t>
            </w:r>
          </w:p>
        </w:tc>
      </w:tr>
      <w:tr w:rsidR="00171824" w14:paraId="690A7B30" w14:textId="77777777">
        <w:trPr>
          <w:trHeight w:val="20"/>
        </w:trPr>
        <w:tc>
          <w:tcPr>
            <w:tcW w:w="3392" w:type="dxa"/>
            <w:tcBorders>
              <w:top w:val="single" w:sz="4" w:space="0" w:color="000000"/>
              <w:left w:val="single" w:sz="4" w:space="0" w:color="000000"/>
              <w:bottom w:val="single" w:sz="4" w:space="0" w:color="000000"/>
              <w:right w:val="single" w:sz="4" w:space="0" w:color="000000"/>
            </w:tcBorders>
          </w:tcPr>
          <w:p w14:paraId="5B29AACE"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Κλινική ύφεση</w:t>
            </w:r>
          </w:p>
        </w:tc>
        <w:tc>
          <w:tcPr>
            <w:tcW w:w="1843" w:type="dxa"/>
            <w:tcBorders>
              <w:top w:val="single" w:sz="4" w:space="0" w:color="000000"/>
              <w:left w:val="single" w:sz="4" w:space="0" w:color="000000"/>
              <w:bottom w:val="single" w:sz="4" w:space="0" w:color="000000"/>
              <w:right w:val="single" w:sz="4" w:space="0" w:color="000000"/>
            </w:tcBorders>
          </w:tcPr>
          <w:p w14:paraId="688A759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12%</w:t>
            </w:r>
          </w:p>
        </w:tc>
        <w:tc>
          <w:tcPr>
            <w:tcW w:w="1985" w:type="dxa"/>
            <w:tcBorders>
              <w:top w:val="single" w:sz="4" w:space="0" w:color="000000"/>
              <w:left w:val="single" w:sz="4" w:space="0" w:color="000000"/>
              <w:bottom w:val="single" w:sz="4" w:space="0" w:color="000000"/>
              <w:right w:val="single" w:sz="4" w:space="0" w:color="000000"/>
            </w:tcBorders>
          </w:tcPr>
          <w:p w14:paraId="22CD9951"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36%*</w:t>
            </w:r>
          </w:p>
        </w:tc>
        <w:tc>
          <w:tcPr>
            <w:tcW w:w="1842" w:type="dxa"/>
            <w:tcBorders>
              <w:top w:val="single" w:sz="4" w:space="0" w:color="000000"/>
              <w:left w:val="single" w:sz="4" w:space="0" w:color="000000"/>
              <w:bottom w:val="single" w:sz="4" w:space="0" w:color="000000"/>
              <w:right w:val="single" w:sz="4" w:space="0" w:color="000000"/>
            </w:tcBorders>
          </w:tcPr>
          <w:p w14:paraId="447F772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41%*</w:t>
            </w:r>
          </w:p>
        </w:tc>
      </w:tr>
      <w:tr w:rsidR="00171824" w14:paraId="251EB8D8" w14:textId="77777777">
        <w:trPr>
          <w:trHeight w:val="20"/>
        </w:trPr>
        <w:tc>
          <w:tcPr>
            <w:tcW w:w="3392" w:type="dxa"/>
            <w:tcBorders>
              <w:top w:val="single" w:sz="4" w:space="0" w:color="000000"/>
              <w:left w:val="single" w:sz="4" w:space="0" w:color="000000"/>
              <w:bottom w:val="single" w:sz="4" w:space="0" w:color="000000"/>
              <w:right w:val="single" w:sz="4" w:space="0" w:color="000000"/>
            </w:tcBorders>
          </w:tcPr>
          <w:p w14:paraId="5224DBD8"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Κλινική ανταπόκριση (CR-100)</w:t>
            </w:r>
          </w:p>
        </w:tc>
        <w:tc>
          <w:tcPr>
            <w:tcW w:w="1843" w:type="dxa"/>
            <w:tcBorders>
              <w:top w:val="single" w:sz="4" w:space="0" w:color="000000"/>
              <w:left w:val="single" w:sz="4" w:space="0" w:color="000000"/>
              <w:bottom w:val="single" w:sz="4" w:space="0" w:color="000000"/>
              <w:right w:val="single" w:sz="4" w:space="0" w:color="000000"/>
            </w:tcBorders>
          </w:tcPr>
          <w:p w14:paraId="6B12CD8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17%</w:t>
            </w:r>
          </w:p>
        </w:tc>
        <w:tc>
          <w:tcPr>
            <w:tcW w:w="1985" w:type="dxa"/>
            <w:tcBorders>
              <w:top w:val="single" w:sz="4" w:space="0" w:color="000000"/>
              <w:left w:val="single" w:sz="4" w:space="0" w:color="000000"/>
              <w:bottom w:val="single" w:sz="4" w:space="0" w:color="000000"/>
              <w:right w:val="single" w:sz="4" w:space="0" w:color="000000"/>
            </w:tcBorders>
          </w:tcPr>
          <w:p w14:paraId="4B6388A3"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41%*</w:t>
            </w:r>
          </w:p>
        </w:tc>
        <w:tc>
          <w:tcPr>
            <w:tcW w:w="1842" w:type="dxa"/>
            <w:tcBorders>
              <w:top w:val="single" w:sz="4" w:space="0" w:color="000000"/>
              <w:left w:val="single" w:sz="4" w:space="0" w:color="000000"/>
              <w:bottom w:val="single" w:sz="4" w:space="0" w:color="000000"/>
              <w:right w:val="single" w:sz="4" w:space="0" w:color="000000"/>
            </w:tcBorders>
          </w:tcPr>
          <w:p w14:paraId="447DB1E7"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48%*</w:t>
            </w:r>
          </w:p>
        </w:tc>
      </w:tr>
      <w:tr w:rsidR="00171824" w14:paraId="59AF067B" w14:textId="77777777">
        <w:trPr>
          <w:trHeight w:val="20"/>
        </w:trPr>
        <w:tc>
          <w:tcPr>
            <w:tcW w:w="3392" w:type="dxa"/>
            <w:tcBorders>
              <w:top w:val="single" w:sz="4" w:space="0" w:color="000000"/>
              <w:left w:val="single" w:sz="4" w:space="0" w:color="000000"/>
              <w:bottom w:val="single" w:sz="4" w:space="0" w:color="000000"/>
              <w:right w:val="single" w:sz="4" w:space="0" w:color="000000"/>
            </w:tcBorders>
          </w:tcPr>
          <w:p w14:paraId="26A60CB7" w14:textId="77777777" w:rsidR="00171824" w:rsidRDefault="006D258C">
            <w:pPr>
              <w:pStyle w:val="TableParagraph"/>
              <w:widowControl/>
              <w:kinsoku w:val="0"/>
              <w:overflowPunct w:val="0"/>
              <w:rPr>
                <w:rFonts w:eastAsia="MS Mincho"/>
                <w:sz w:val="22"/>
                <w:szCs w:val="22"/>
                <w:lang w:val="el-GR"/>
              </w:rPr>
            </w:pPr>
            <w:r>
              <w:rPr>
                <w:rFonts w:eastAsia="MS Mincho"/>
                <w:sz w:val="22"/>
                <w:szCs w:val="22"/>
                <w:lang w:val="el-GR"/>
              </w:rPr>
              <w:t xml:space="preserve">Ασθενείς σε ελεύθερη στεροειδών ύφεση για </w:t>
            </w:r>
            <w:r>
              <w:rPr>
                <w:sz w:val="22"/>
                <w:szCs w:val="22"/>
                <w:lang w:val="el-GR" w:eastAsia="en-GB"/>
              </w:rPr>
              <w:t>≥</w:t>
            </w:r>
            <w:r>
              <w:rPr>
                <w:rFonts w:eastAsia="MS Mincho"/>
                <w:sz w:val="22"/>
                <w:szCs w:val="22"/>
                <w:lang w:val="el-GR"/>
              </w:rPr>
              <w:t> 90 ημέρες</w:t>
            </w:r>
            <w:r>
              <w:rPr>
                <w:rFonts w:eastAsia="MS Mincho"/>
                <w:sz w:val="22"/>
                <w:szCs w:val="22"/>
                <w:vertAlign w:val="superscript"/>
                <w:lang w:val="el-GR"/>
              </w:rPr>
              <w:t>a</w:t>
            </w:r>
          </w:p>
        </w:tc>
        <w:tc>
          <w:tcPr>
            <w:tcW w:w="1843" w:type="dxa"/>
            <w:tcBorders>
              <w:top w:val="single" w:sz="4" w:space="0" w:color="000000"/>
              <w:left w:val="single" w:sz="4" w:space="0" w:color="000000"/>
              <w:bottom w:val="single" w:sz="4" w:space="0" w:color="000000"/>
              <w:right w:val="single" w:sz="4" w:space="0" w:color="000000"/>
            </w:tcBorders>
          </w:tcPr>
          <w:p w14:paraId="4B427E94"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5% (3/66)</w:t>
            </w:r>
          </w:p>
        </w:tc>
        <w:tc>
          <w:tcPr>
            <w:tcW w:w="1985" w:type="dxa"/>
            <w:tcBorders>
              <w:top w:val="single" w:sz="4" w:space="0" w:color="000000"/>
              <w:left w:val="single" w:sz="4" w:space="0" w:color="000000"/>
              <w:bottom w:val="single" w:sz="4" w:space="0" w:color="000000"/>
              <w:right w:val="single" w:sz="4" w:space="0" w:color="000000"/>
            </w:tcBorders>
          </w:tcPr>
          <w:p w14:paraId="50FED326"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29% (17/58)*</w:t>
            </w:r>
          </w:p>
        </w:tc>
        <w:tc>
          <w:tcPr>
            <w:tcW w:w="1842" w:type="dxa"/>
            <w:tcBorders>
              <w:top w:val="single" w:sz="4" w:space="0" w:color="000000"/>
              <w:left w:val="single" w:sz="4" w:space="0" w:color="000000"/>
              <w:bottom w:val="single" w:sz="4" w:space="0" w:color="000000"/>
              <w:right w:val="single" w:sz="4" w:space="0" w:color="000000"/>
            </w:tcBorders>
          </w:tcPr>
          <w:p w14:paraId="5AF73B69" w14:textId="77777777" w:rsidR="00171824" w:rsidRDefault="006D258C">
            <w:pPr>
              <w:pStyle w:val="TableParagraph"/>
              <w:widowControl/>
              <w:kinsoku w:val="0"/>
              <w:overflowPunct w:val="0"/>
              <w:jc w:val="center"/>
              <w:rPr>
                <w:rFonts w:eastAsia="MS Mincho"/>
                <w:sz w:val="22"/>
                <w:szCs w:val="22"/>
                <w:lang w:val="el-GR"/>
              </w:rPr>
            </w:pPr>
            <w:r>
              <w:rPr>
                <w:rFonts w:eastAsia="MS Mincho"/>
                <w:sz w:val="22"/>
                <w:szCs w:val="22"/>
                <w:lang w:val="el-GR"/>
              </w:rPr>
              <w:t>20% (15/74)**</w:t>
            </w:r>
          </w:p>
        </w:tc>
      </w:tr>
    </w:tbl>
    <w:p w14:paraId="2A9886A2" w14:textId="77777777" w:rsidR="00171824" w:rsidRDefault="006D258C">
      <w:pPr>
        <w:pStyle w:val="BodyText"/>
        <w:widowControl/>
        <w:tabs>
          <w:tab w:val="left" w:pos="784"/>
        </w:tabs>
        <w:kinsoku w:val="0"/>
        <w:overflowPunct w:val="0"/>
        <w:ind w:left="284" w:hanging="284"/>
        <w:rPr>
          <w:sz w:val="20"/>
          <w:szCs w:val="20"/>
          <w:lang w:val="el-GR"/>
        </w:rPr>
      </w:pPr>
      <w:r>
        <w:rPr>
          <w:sz w:val="20"/>
          <w:szCs w:val="20"/>
          <w:lang w:val="el-GR"/>
        </w:rPr>
        <w:t>*</w:t>
      </w:r>
      <w:r>
        <w:rPr>
          <w:sz w:val="20"/>
          <w:szCs w:val="20"/>
          <w:lang w:val="el-GR"/>
        </w:rPr>
        <w:tab/>
        <w:t>p &lt; 0,001 για συγκρίσεις κατά ζεύγη των ποσοστών για το adalimumab</w:t>
      </w:r>
      <w:r>
        <w:rPr>
          <w:i/>
          <w:sz w:val="20"/>
          <w:szCs w:val="20"/>
          <w:lang w:val="el-GR"/>
        </w:rPr>
        <w:t xml:space="preserve"> </w:t>
      </w:r>
      <w:r>
        <w:rPr>
          <w:i/>
          <w:iCs/>
          <w:sz w:val="20"/>
          <w:szCs w:val="20"/>
          <w:lang w:val="el-GR"/>
        </w:rPr>
        <w:t xml:space="preserve">έναντι </w:t>
      </w:r>
      <w:r>
        <w:rPr>
          <w:sz w:val="20"/>
          <w:szCs w:val="20"/>
          <w:lang w:val="el-GR"/>
        </w:rPr>
        <w:t>εικονικού φαρμάκου</w:t>
      </w:r>
    </w:p>
    <w:p w14:paraId="3871C88C" w14:textId="77777777" w:rsidR="00171824" w:rsidRDefault="006D258C">
      <w:pPr>
        <w:pStyle w:val="BodyText"/>
        <w:widowControl/>
        <w:tabs>
          <w:tab w:val="left" w:pos="784"/>
        </w:tabs>
        <w:kinsoku w:val="0"/>
        <w:overflowPunct w:val="0"/>
        <w:ind w:left="284" w:hanging="284"/>
        <w:rPr>
          <w:sz w:val="20"/>
          <w:szCs w:val="20"/>
          <w:lang w:val="el-GR"/>
        </w:rPr>
      </w:pPr>
      <w:r>
        <w:rPr>
          <w:sz w:val="20"/>
          <w:szCs w:val="20"/>
          <w:lang w:val="el-GR"/>
        </w:rPr>
        <w:t>**</w:t>
      </w:r>
      <w:r>
        <w:rPr>
          <w:sz w:val="20"/>
          <w:szCs w:val="20"/>
          <w:lang w:val="el-GR"/>
        </w:rPr>
        <w:tab/>
        <w:t>p &lt; 0,02 για συγκρίσεις κατά ζεύγη των ποσοστών για το adalimumab</w:t>
      </w:r>
      <w:r>
        <w:rPr>
          <w:i/>
          <w:sz w:val="20"/>
          <w:szCs w:val="20"/>
          <w:lang w:val="el-GR"/>
        </w:rPr>
        <w:t xml:space="preserve"> </w:t>
      </w:r>
      <w:r>
        <w:rPr>
          <w:i/>
          <w:iCs/>
          <w:sz w:val="20"/>
          <w:szCs w:val="20"/>
          <w:lang w:val="el-GR"/>
        </w:rPr>
        <w:t xml:space="preserve">έναντι </w:t>
      </w:r>
      <w:r>
        <w:rPr>
          <w:sz w:val="20"/>
          <w:szCs w:val="20"/>
          <w:lang w:val="el-GR"/>
        </w:rPr>
        <w:t>εικονικού φαρμάκου</w:t>
      </w:r>
    </w:p>
    <w:p w14:paraId="00277895" w14:textId="77777777" w:rsidR="00171824" w:rsidRDefault="006D258C">
      <w:pPr>
        <w:pStyle w:val="BodyText"/>
        <w:widowControl/>
        <w:tabs>
          <w:tab w:val="left" w:pos="784"/>
        </w:tabs>
        <w:kinsoku w:val="0"/>
        <w:overflowPunct w:val="0"/>
        <w:ind w:left="284" w:hanging="284"/>
        <w:rPr>
          <w:sz w:val="20"/>
          <w:szCs w:val="20"/>
          <w:lang w:val="el-GR"/>
        </w:rPr>
      </w:pPr>
      <w:r>
        <w:rPr>
          <w:sz w:val="20"/>
          <w:szCs w:val="20"/>
          <w:vertAlign w:val="superscript"/>
          <w:lang w:val="el-GR"/>
        </w:rPr>
        <w:t>a</w:t>
      </w:r>
      <w:r>
        <w:rPr>
          <w:position w:val="10"/>
          <w:sz w:val="20"/>
          <w:szCs w:val="20"/>
          <w:lang w:val="el-GR"/>
        </w:rPr>
        <w:tab/>
      </w:r>
      <w:r>
        <w:rPr>
          <w:sz w:val="20"/>
          <w:szCs w:val="20"/>
          <w:lang w:val="el-GR"/>
        </w:rPr>
        <w:t>Από αυτούς οι οποίοι λάμβαναν κορτικοστεροειδή στην έναρξη της μελέτης</w:t>
      </w:r>
    </w:p>
    <w:p w14:paraId="054997D1" w14:textId="77777777" w:rsidR="00171824" w:rsidRDefault="00171824">
      <w:pPr>
        <w:pStyle w:val="BodyText"/>
        <w:widowControl/>
        <w:tabs>
          <w:tab w:val="left" w:pos="784"/>
        </w:tabs>
        <w:kinsoku w:val="0"/>
        <w:overflowPunct w:val="0"/>
        <w:ind w:left="0"/>
        <w:rPr>
          <w:lang w:val="el-GR"/>
        </w:rPr>
      </w:pPr>
    </w:p>
    <w:p w14:paraId="7351DC6E" w14:textId="77777777" w:rsidR="00171824" w:rsidRDefault="006D258C">
      <w:pPr>
        <w:pStyle w:val="BodyText"/>
        <w:widowControl/>
        <w:tabs>
          <w:tab w:val="left" w:pos="784"/>
        </w:tabs>
        <w:kinsoku w:val="0"/>
        <w:overflowPunct w:val="0"/>
        <w:ind w:left="0"/>
        <w:rPr>
          <w:lang w:val="el-GR"/>
        </w:rPr>
      </w:pPr>
      <w:r>
        <w:rPr>
          <w:lang w:val="el-GR"/>
        </w:rPr>
        <w:t>Μεταξύ των ασθενών οι οποίοι δεν ανταποκρίθηκαν στην εβδομάδα 4, το 43% των ασθενών οι οποίοι έλαβαν δόση συντήρησης adalimumab</w:t>
      </w:r>
      <w:r>
        <w:rPr>
          <w:i/>
          <w:lang w:val="el-GR"/>
        </w:rPr>
        <w:t xml:space="preserve"> </w:t>
      </w:r>
      <w:r>
        <w:rPr>
          <w:lang w:val="el-GR"/>
        </w:rPr>
        <w:t>ανταποκρίθηκαν μέχρι την εβδομάδα 12 συγκριτικά με το 30% που έλαβαν δόση συντήρησης με εικονικό φάρμακο. Αυτά τα αποτελέσματα υποδεικνύουν ότι μερικοί ασθενείς οι οποίοι δεν έχουν ανταποκριθεί μέχρι την εβδομάδα 4, ωφελούνται από τη συνέχιση της θεραπείας συντήρησης μέχρι την εβδομάδα 12. Η θεραπεία που συνεχίστηκε μετά τις 12 εβδομάδες δεν οδήγησε σε σημαντικά περισσότερες ανταποκρίσεις (βλέπε παράγραφο 4.2).</w:t>
      </w:r>
    </w:p>
    <w:p w14:paraId="26825651" w14:textId="77777777" w:rsidR="00171824" w:rsidRDefault="00171824">
      <w:pPr>
        <w:widowControl/>
        <w:kinsoku w:val="0"/>
        <w:overflowPunct w:val="0"/>
        <w:rPr>
          <w:sz w:val="22"/>
          <w:szCs w:val="22"/>
          <w:lang w:val="el-GR"/>
        </w:rPr>
      </w:pPr>
    </w:p>
    <w:p w14:paraId="713639C3" w14:textId="77777777" w:rsidR="00171824" w:rsidRDefault="006D258C">
      <w:pPr>
        <w:pStyle w:val="BodyText"/>
        <w:widowControl/>
        <w:kinsoku w:val="0"/>
        <w:overflowPunct w:val="0"/>
        <w:ind w:left="0"/>
        <w:rPr>
          <w:lang w:val="el-GR"/>
        </w:rPr>
      </w:pPr>
      <w:r>
        <w:rPr>
          <w:lang w:val="el-GR"/>
        </w:rPr>
        <w:t xml:space="preserve">117/276 ασθενείς από τη μελέτη CD I και 272/777 ασθενείς από μελέτες CD ΙΙ και ΙΙΙ παρακολουθήθηκαν για τουλάχιστον 3 χρόνια της θεραπείας ανοικτής επέκτασης (open-label) με </w:t>
      </w:r>
      <w:r>
        <w:rPr>
          <w:lang w:val="el-GR"/>
        </w:rPr>
        <w:lastRenderedPageBreak/>
        <w:t>adalimumab. 88 και 189 ασθενείς αντίστοιχα, συνέχισαν να είναι σε κλινική ύφεση. Κλινική ανταπόκριση (CR-100) διατηρήθηκε σε 102 και 233 ασθενείς, αντίστοιχα.</w:t>
      </w:r>
    </w:p>
    <w:p w14:paraId="4852F3F6" w14:textId="77777777" w:rsidR="00171824" w:rsidRDefault="00171824">
      <w:pPr>
        <w:widowControl/>
        <w:kinsoku w:val="0"/>
        <w:overflowPunct w:val="0"/>
        <w:rPr>
          <w:sz w:val="22"/>
          <w:szCs w:val="22"/>
          <w:lang w:val="el-GR"/>
        </w:rPr>
      </w:pPr>
    </w:p>
    <w:p w14:paraId="3166039A" w14:textId="77777777" w:rsidR="00171824" w:rsidRDefault="006D258C">
      <w:pPr>
        <w:widowControl/>
        <w:kinsoku w:val="0"/>
        <w:overflowPunct w:val="0"/>
        <w:rPr>
          <w:sz w:val="22"/>
          <w:szCs w:val="22"/>
          <w:lang w:val="el-GR"/>
        </w:rPr>
      </w:pPr>
      <w:r>
        <w:rPr>
          <w:i/>
          <w:iCs/>
          <w:sz w:val="22"/>
          <w:szCs w:val="22"/>
          <w:u w:val="single"/>
          <w:lang w:val="el-GR"/>
        </w:rPr>
        <w:t>Ποιότητα ζωής</w:t>
      </w:r>
    </w:p>
    <w:p w14:paraId="31A4FF9E" w14:textId="77777777" w:rsidR="00171824" w:rsidRDefault="00171824">
      <w:pPr>
        <w:widowControl/>
        <w:kinsoku w:val="0"/>
        <w:overflowPunct w:val="0"/>
        <w:rPr>
          <w:sz w:val="22"/>
          <w:szCs w:val="22"/>
          <w:lang w:val="el-GR"/>
        </w:rPr>
      </w:pPr>
    </w:p>
    <w:p w14:paraId="21EF0D9E" w14:textId="77777777" w:rsidR="00171824" w:rsidRDefault="006D258C">
      <w:pPr>
        <w:pStyle w:val="BodyText"/>
        <w:widowControl/>
        <w:kinsoku w:val="0"/>
        <w:overflowPunct w:val="0"/>
        <w:ind w:left="0"/>
        <w:rPr>
          <w:lang w:val="el-GR"/>
        </w:rPr>
      </w:pPr>
      <w:r>
        <w:rPr>
          <w:lang w:val="el-GR"/>
        </w:rPr>
        <w:t>Στις μελέτες CD Ι και CD II για τη νόσο του Crohn, επιτεύχθηκε στατιστικά σημαντική βελτίωση στη συνολική βαθμολογία του ειδικού ερωτηματολογίου για τα φλεγμονώδη νοσήματα του εντέρου (ΙΒDQ) την εβδομάδα 4 σε ασθενείς τυχαιοποιημένους σε adalimumab</w:t>
      </w:r>
      <w:r>
        <w:rPr>
          <w:i/>
          <w:lang w:val="el-GR"/>
        </w:rPr>
        <w:t xml:space="preserve"> </w:t>
      </w:r>
      <w:r>
        <w:rPr>
          <w:lang w:val="el-GR"/>
        </w:rPr>
        <w:t>80/40 mg και 160/80 mg συγκριτικά με το εικονικό φάρμακο και επίσης παρατηρήθηκε στις εβδομάδες 26 και 56 στη μελέτη CD ΙII μεταξύ των θεραπευτικών ομάδων που έλαβαν adalimumab συγκριτικά με το εικονικό φάρμακο.</w:t>
      </w:r>
    </w:p>
    <w:p w14:paraId="6AEA293B" w14:textId="77777777" w:rsidR="00171824" w:rsidRDefault="00171824">
      <w:pPr>
        <w:widowControl/>
        <w:kinsoku w:val="0"/>
        <w:overflowPunct w:val="0"/>
        <w:rPr>
          <w:sz w:val="22"/>
          <w:szCs w:val="22"/>
          <w:lang w:val="el-GR"/>
        </w:rPr>
      </w:pPr>
    </w:p>
    <w:p w14:paraId="343CBD89" w14:textId="77777777" w:rsidR="00171824" w:rsidRDefault="006D258C">
      <w:pPr>
        <w:keepNext/>
        <w:keepLines/>
        <w:widowControl/>
        <w:kinsoku w:val="0"/>
        <w:overflowPunct w:val="0"/>
        <w:rPr>
          <w:sz w:val="22"/>
          <w:szCs w:val="22"/>
          <w:lang w:val="el-GR"/>
        </w:rPr>
      </w:pPr>
      <w:r>
        <w:rPr>
          <w:i/>
          <w:iCs/>
          <w:sz w:val="22"/>
          <w:szCs w:val="22"/>
          <w:lang w:val="el-GR"/>
        </w:rPr>
        <w:t>Ελκώδης κολίτιδα</w:t>
      </w:r>
    </w:p>
    <w:p w14:paraId="1940096A" w14:textId="77777777" w:rsidR="00171824" w:rsidRDefault="00171824">
      <w:pPr>
        <w:keepNext/>
        <w:keepLines/>
        <w:widowControl/>
        <w:kinsoku w:val="0"/>
        <w:overflowPunct w:val="0"/>
        <w:rPr>
          <w:sz w:val="22"/>
          <w:szCs w:val="22"/>
          <w:lang w:val="el-GR"/>
        </w:rPr>
      </w:pPr>
    </w:p>
    <w:p w14:paraId="48B5D66A" w14:textId="77777777" w:rsidR="00171824" w:rsidRDefault="006D258C">
      <w:pPr>
        <w:pStyle w:val="BodyText"/>
        <w:widowControl/>
        <w:kinsoku w:val="0"/>
        <w:overflowPunct w:val="0"/>
        <w:ind w:left="0"/>
        <w:rPr>
          <w:lang w:val="el-GR"/>
        </w:rPr>
      </w:pPr>
      <w:r>
        <w:rPr>
          <w:lang w:val="el-GR"/>
        </w:rPr>
        <w:t>Η ασφάλεια και αποτελεσματικότητα πολλαπλών δόσεων του adalimumab</w:t>
      </w:r>
      <w:r>
        <w:rPr>
          <w:i/>
          <w:lang w:val="el-GR"/>
        </w:rPr>
        <w:t xml:space="preserve"> </w:t>
      </w:r>
      <w:r>
        <w:rPr>
          <w:lang w:val="el-GR"/>
        </w:rPr>
        <w:t>αξιολογήθηκαν σε ενήλικες ασθενείς με μέτρια έως σοβαρή ενεργό ελκώδη κολίτιδα (βαθμολογία Mayo 6 έως 12 με υποβαθμολογία ενδοσκόπησης από 2 έως 3) σε τυχαιοποιημένες, διπλές-τυφλές, ελεγχόμενες με εικονικό φάρμακο μελέτες.</w:t>
      </w:r>
    </w:p>
    <w:p w14:paraId="02EF6F1D" w14:textId="77777777" w:rsidR="00171824" w:rsidRDefault="00171824">
      <w:pPr>
        <w:widowControl/>
        <w:kinsoku w:val="0"/>
        <w:overflowPunct w:val="0"/>
        <w:rPr>
          <w:sz w:val="22"/>
          <w:szCs w:val="22"/>
          <w:lang w:val="el-GR"/>
        </w:rPr>
      </w:pPr>
    </w:p>
    <w:p w14:paraId="36864D67" w14:textId="77777777" w:rsidR="00171824" w:rsidRDefault="006D258C">
      <w:pPr>
        <w:pStyle w:val="BodyText"/>
        <w:widowControl/>
        <w:kinsoku w:val="0"/>
        <w:overflowPunct w:val="0"/>
        <w:ind w:left="0"/>
        <w:rPr>
          <w:lang w:val="el-GR"/>
        </w:rPr>
      </w:pPr>
      <w:r>
        <w:rPr>
          <w:lang w:val="el-GR"/>
        </w:rPr>
        <w:t>Στη μελέτη UC-I, 390 ασθενείς που δεν είχαν λάβει θεραπεία με TNF-ανταγωνιστή τυχαιοποιήθηκαν να λάβουν είτε εικονικό φάρμακο τις εβδομάδες 0 και 2, 160 mg adalimumab</w:t>
      </w:r>
      <w:r>
        <w:rPr>
          <w:i/>
          <w:lang w:val="el-GR"/>
        </w:rPr>
        <w:t xml:space="preserve"> </w:t>
      </w:r>
      <w:r>
        <w:rPr>
          <w:lang w:val="el-GR"/>
        </w:rPr>
        <w:t>την εβδομάδα 0 ακολουθούμενο από 80 mg την εβδομάδα 2, ή 80 mg adalimumab</w:t>
      </w:r>
      <w:r>
        <w:rPr>
          <w:i/>
          <w:lang w:val="el-GR"/>
        </w:rPr>
        <w:t xml:space="preserve"> </w:t>
      </w:r>
      <w:r>
        <w:rPr>
          <w:lang w:val="el-GR"/>
        </w:rPr>
        <w:t>την εβδομάδα 0 ακολουθούμενο από 40 mg την εβδομάδα 2. Μετά από την εβδομάδα 2, οι ασθενείς και στα δύο σκέλη adalimumab έλαβαν 40 mg κάθε δεύτερη εβδομάδα. Η κλινική ύφεση (οριζόμενη ως βαθμολογία Mayo ≤ 2 χωρίς υποβαθμολογία&gt; 1) εκτιμήθηκε την εβδομάδα 8.</w:t>
      </w:r>
    </w:p>
    <w:p w14:paraId="59544628" w14:textId="77777777" w:rsidR="00171824" w:rsidRDefault="00171824">
      <w:pPr>
        <w:widowControl/>
        <w:kinsoku w:val="0"/>
        <w:overflowPunct w:val="0"/>
        <w:rPr>
          <w:sz w:val="22"/>
          <w:szCs w:val="22"/>
          <w:lang w:val="el-GR"/>
        </w:rPr>
      </w:pPr>
    </w:p>
    <w:p w14:paraId="11143FEE" w14:textId="77777777" w:rsidR="00171824" w:rsidRDefault="006D258C">
      <w:pPr>
        <w:pStyle w:val="BodyText"/>
        <w:widowControl/>
        <w:kinsoku w:val="0"/>
        <w:overflowPunct w:val="0"/>
        <w:ind w:left="0"/>
        <w:rPr>
          <w:lang w:val="el-GR"/>
        </w:rPr>
      </w:pPr>
      <w:r>
        <w:rPr>
          <w:lang w:val="el-GR"/>
        </w:rPr>
        <w:t>Στη μελέτη UC-ΙΙ, 248 ασθενείς έλαβαν 160 mg adalimumab</w:t>
      </w:r>
      <w:r>
        <w:rPr>
          <w:i/>
          <w:lang w:val="el-GR"/>
        </w:rPr>
        <w:t xml:space="preserve"> </w:t>
      </w:r>
      <w:r>
        <w:rPr>
          <w:lang w:val="el-GR"/>
        </w:rPr>
        <w:t>την εβδομάδα 0, 80 mg την εβδομάδα 2 και, εν συνεχεία, 40 mg κάθε δεύτερη εβδομάδα και 246 ασθενείς έλαβαν εικονικό φάρμακο. Τα κλινικά αποτελέσματα για επαγωγή της ύφεσης αξιολογήθηκαν την εβδομάδα 8 και για τη διατήρηση της ύφεσης την εβδομάδα 52.</w:t>
      </w:r>
    </w:p>
    <w:p w14:paraId="50E5474E" w14:textId="77777777" w:rsidR="00171824" w:rsidRDefault="00171824">
      <w:pPr>
        <w:widowControl/>
        <w:kinsoku w:val="0"/>
        <w:overflowPunct w:val="0"/>
        <w:rPr>
          <w:sz w:val="22"/>
          <w:szCs w:val="22"/>
          <w:lang w:val="el-GR"/>
        </w:rPr>
      </w:pPr>
    </w:p>
    <w:p w14:paraId="06ED5DDF" w14:textId="77777777" w:rsidR="00171824" w:rsidRDefault="006D258C">
      <w:pPr>
        <w:pStyle w:val="BodyText"/>
        <w:widowControl/>
        <w:kinsoku w:val="0"/>
        <w:overflowPunct w:val="0"/>
        <w:ind w:left="0"/>
        <w:rPr>
          <w:lang w:val="el-GR"/>
        </w:rPr>
      </w:pPr>
      <w:r>
        <w:rPr>
          <w:lang w:val="el-GR"/>
        </w:rPr>
        <w:t>Ασθενείς που άρχισαν τη θεραπεία με 160/80 mg adalimumab</w:t>
      </w:r>
      <w:r>
        <w:rPr>
          <w:i/>
          <w:lang w:val="el-GR"/>
        </w:rPr>
        <w:t xml:space="preserve"> </w:t>
      </w:r>
      <w:r>
        <w:rPr>
          <w:lang w:val="el-GR"/>
        </w:rPr>
        <w:t>πέτυχαν κλινική ύφεση έναντι του εικονικού φαρμάκου την εβδομάδα 8 σε στατιστικά σημαντικά μεγαλύτερα ποσοστά στη μελέτη UC-Ι (18% έναντι 9% αντίστοιχα, p = 0,031) και τη μελέτη UC-ΙΙ (17% έναντι 9 % αντίστοιχα, p = 0,019). Στη μελέτη UC-ΙΙ, μεταξύ εκείνων που έλαβαν adalimumab</w:t>
      </w:r>
      <w:r>
        <w:rPr>
          <w:i/>
          <w:lang w:val="el-GR"/>
        </w:rPr>
        <w:t xml:space="preserve"> </w:t>
      </w:r>
      <w:r>
        <w:rPr>
          <w:lang w:val="el-GR"/>
        </w:rPr>
        <w:t>και ήταν σε ύφεση την εβδομάδα 8, 21/41 (51%) ήταν σε ύφεση την εβδομάδα 52.</w:t>
      </w:r>
    </w:p>
    <w:p w14:paraId="5B36E204" w14:textId="77777777" w:rsidR="00171824" w:rsidRDefault="00171824">
      <w:pPr>
        <w:widowControl/>
        <w:kinsoku w:val="0"/>
        <w:overflowPunct w:val="0"/>
        <w:rPr>
          <w:sz w:val="22"/>
          <w:szCs w:val="22"/>
          <w:lang w:val="el-GR"/>
        </w:rPr>
      </w:pPr>
    </w:p>
    <w:p w14:paraId="6389A185" w14:textId="77777777" w:rsidR="00171824" w:rsidRDefault="006D258C">
      <w:pPr>
        <w:pStyle w:val="BodyText"/>
        <w:widowControl/>
        <w:kinsoku w:val="0"/>
        <w:overflowPunct w:val="0"/>
        <w:ind w:left="0"/>
        <w:rPr>
          <w:lang w:val="el-GR"/>
        </w:rPr>
      </w:pPr>
      <w:r>
        <w:rPr>
          <w:lang w:val="el-GR"/>
        </w:rPr>
        <w:t>Τα αποτελέσματα από το συνολικό πληθυσμό της μελέτης UC-ΙΙ παρουσιάζονται στον πίνακα 23.</w:t>
      </w:r>
    </w:p>
    <w:p w14:paraId="32066500" w14:textId="77777777" w:rsidR="00171824" w:rsidRDefault="00171824">
      <w:pPr>
        <w:widowControl/>
        <w:kinsoku w:val="0"/>
        <w:overflowPunct w:val="0"/>
        <w:rPr>
          <w:sz w:val="22"/>
          <w:szCs w:val="22"/>
          <w:lang w:val="el-GR"/>
        </w:rPr>
      </w:pPr>
    </w:p>
    <w:p w14:paraId="3A5D8A3E" w14:textId="77777777" w:rsidR="00171824" w:rsidRDefault="006D258C">
      <w:pPr>
        <w:pStyle w:val="BodyText"/>
        <w:keepNext/>
        <w:keepLines/>
        <w:widowControl/>
        <w:ind w:left="0"/>
        <w:rPr>
          <w:b/>
          <w:bCs/>
          <w:lang w:val="el-GR"/>
        </w:rPr>
      </w:pPr>
      <w:r>
        <w:rPr>
          <w:b/>
          <w:lang w:val="el-GR"/>
        </w:rPr>
        <w:t>Πίνακας 23.</w:t>
      </w:r>
      <w:r>
        <w:rPr>
          <w:b/>
          <w:bCs/>
          <w:lang w:val="el-GR"/>
        </w:rPr>
        <w:t xml:space="preserve"> Ανταπόκριση, Ύφεση και Επούλωση Βλεννογόνου στη μελέτη UC-ΙΙ (Ποσοστό Ασθενών)</w:t>
      </w:r>
    </w:p>
    <w:p w14:paraId="318D2CD0" w14:textId="77777777" w:rsidR="00171824" w:rsidRDefault="00171824">
      <w:pPr>
        <w:keepNext/>
        <w:keepLines/>
        <w:widowControl/>
        <w:kinsoku w:val="0"/>
        <w:overflowPunct w:val="0"/>
        <w:rPr>
          <w:sz w:val="22"/>
          <w:szCs w:val="22"/>
          <w:lang w:val="el-GR"/>
        </w:rPr>
      </w:pPr>
    </w:p>
    <w:tbl>
      <w:tblPr>
        <w:tblW w:w="894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3"/>
        <w:gridCol w:w="1560"/>
        <w:gridCol w:w="2976"/>
      </w:tblGrid>
      <w:tr w:rsidR="00171824" w:rsidRPr="00422380" w14:paraId="49DB4ADF" w14:textId="77777777">
        <w:trPr>
          <w:trHeight w:val="236"/>
          <w:tblHeader/>
        </w:trPr>
        <w:tc>
          <w:tcPr>
            <w:tcW w:w="4413" w:type="dxa"/>
          </w:tcPr>
          <w:p w14:paraId="0FFCFB8F" w14:textId="77777777" w:rsidR="00171824" w:rsidRDefault="00171824">
            <w:pPr>
              <w:pStyle w:val="BodyText"/>
              <w:keepNext/>
              <w:keepLines/>
              <w:widowControl/>
              <w:ind w:left="0"/>
              <w:rPr>
                <w:rFonts w:eastAsia="MS Mincho"/>
                <w:lang w:val="el-GR"/>
              </w:rPr>
            </w:pPr>
          </w:p>
        </w:tc>
        <w:tc>
          <w:tcPr>
            <w:tcW w:w="1560" w:type="dxa"/>
          </w:tcPr>
          <w:p w14:paraId="774B682D" w14:textId="77777777" w:rsidR="00171824" w:rsidRDefault="006D258C">
            <w:pPr>
              <w:pStyle w:val="BodyText"/>
              <w:keepNext/>
              <w:keepLines/>
              <w:widowControl/>
              <w:ind w:left="0"/>
              <w:jc w:val="center"/>
              <w:rPr>
                <w:rFonts w:eastAsia="MS Mincho"/>
                <w:lang w:val="el-GR"/>
              </w:rPr>
            </w:pPr>
            <w:r>
              <w:rPr>
                <w:rFonts w:eastAsia="MS Mincho"/>
                <w:b/>
                <w:lang w:val="el-GR"/>
              </w:rPr>
              <w:t>Εικονικό φάρμακο</w:t>
            </w:r>
          </w:p>
        </w:tc>
        <w:tc>
          <w:tcPr>
            <w:tcW w:w="2976" w:type="dxa"/>
          </w:tcPr>
          <w:p w14:paraId="22E86E46" w14:textId="77777777" w:rsidR="00171824" w:rsidRDefault="006D258C">
            <w:pPr>
              <w:pStyle w:val="BodyText"/>
              <w:keepNext/>
              <w:keepLines/>
              <w:widowControl/>
              <w:ind w:left="0"/>
              <w:jc w:val="center"/>
              <w:rPr>
                <w:rFonts w:eastAsia="MS Mincho"/>
                <w:lang w:val="el-GR"/>
              </w:rPr>
            </w:pPr>
            <w:r>
              <w:rPr>
                <w:rFonts w:eastAsia="MS Mincho"/>
                <w:b/>
                <w:bCs/>
                <w:lang w:val="el-GR"/>
              </w:rPr>
              <w:t xml:space="preserve">Adalimumab </w:t>
            </w:r>
            <w:r>
              <w:rPr>
                <w:rFonts w:eastAsia="MS Mincho"/>
                <w:b/>
                <w:lang w:val="el-GR"/>
              </w:rPr>
              <w:t>40 mg κάθε δεύτερη εβδομάδα</w:t>
            </w:r>
          </w:p>
        </w:tc>
      </w:tr>
      <w:tr w:rsidR="00171824" w14:paraId="177D1B2C" w14:textId="77777777">
        <w:tc>
          <w:tcPr>
            <w:tcW w:w="4413" w:type="dxa"/>
          </w:tcPr>
          <w:p w14:paraId="7CD425E0" w14:textId="77777777" w:rsidR="00171824" w:rsidRDefault="006D258C">
            <w:pPr>
              <w:pStyle w:val="BodyText"/>
              <w:keepNext/>
              <w:widowControl/>
              <w:ind w:left="0"/>
              <w:rPr>
                <w:rFonts w:eastAsia="MS Mincho"/>
                <w:lang w:val="el-GR"/>
              </w:rPr>
            </w:pPr>
            <w:r>
              <w:rPr>
                <w:rFonts w:eastAsia="MS Mincho"/>
                <w:lang w:val="el-GR"/>
              </w:rPr>
              <w:t>Εβδομάδα 52</w:t>
            </w:r>
          </w:p>
        </w:tc>
        <w:tc>
          <w:tcPr>
            <w:tcW w:w="1560" w:type="dxa"/>
          </w:tcPr>
          <w:p w14:paraId="71BDEC8C" w14:textId="77777777" w:rsidR="00171824" w:rsidRDefault="006D258C">
            <w:pPr>
              <w:pStyle w:val="BodyText"/>
              <w:widowControl/>
              <w:ind w:left="0"/>
              <w:jc w:val="center"/>
              <w:rPr>
                <w:rFonts w:eastAsia="MS Mincho"/>
                <w:lang w:val="el-GR"/>
              </w:rPr>
            </w:pPr>
            <w:r>
              <w:rPr>
                <w:rFonts w:eastAsia="MS Mincho"/>
                <w:b/>
                <w:lang w:val="el-GR"/>
              </w:rPr>
              <w:t>N = 246</w:t>
            </w:r>
          </w:p>
        </w:tc>
        <w:tc>
          <w:tcPr>
            <w:tcW w:w="2976" w:type="dxa"/>
          </w:tcPr>
          <w:p w14:paraId="1E289F89" w14:textId="77777777" w:rsidR="00171824" w:rsidRDefault="006D258C">
            <w:pPr>
              <w:pStyle w:val="BodyText"/>
              <w:widowControl/>
              <w:ind w:left="0"/>
              <w:jc w:val="center"/>
              <w:rPr>
                <w:rFonts w:eastAsia="MS Mincho"/>
                <w:lang w:val="el-GR"/>
              </w:rPr>
            </w:pPr>
            <w:r>
              <w:rPr>
                <w:rFonts w:eastAsia="MS Mincho"/>
                <w:b/>
                <w:lang w:val="el-GR"/>
              </w:rPr>
              <w:t>N = 248</w:t>
            </w:r>
          </w:p>
        </w:tc>
      </w:tr>
      <w:tr w:rsidR="00171824" w14:paraId="658FF590" w14:textId="77777777">
        <w:tc>
          <w:tcPr>
            <w:tcW w:w="4413" w:type="dxa"/>
          </w:tcPr>
          <w:p w14:paraId="358816A4" w14:textId="77777777" w:rsidR="00171824" w:rsidRDefault="006D258C">
            <w:pPr>
              <w:pStyle w:val="BodyText"/>
              <w:widowControl/>
              <w:ind w:left="0"/>
              <w:rPr>
                <w:rFonts w:eastAsia="MS Mincho"/>
                <w:lang w:val="el-GR"/>
              </w:rPr>
            </w:pPr>
            <w:r>
              <w:rPr>
                <w:rFonts w:eastAsia="MS Mincho"/>
                <w:lang w:val="el-GR"/>
              </w:rPr>
              <w:t>Κλινική ανταπόκριση</w:t>
            </w:r>
          </w:p>
        </w:tc>
        <w:tc>
          <w:tcPr>
            <w:tcW w:w="1560" w:type="dxa"/>
          </w:tcPr>
          <w:p w14:paraId="40D95923" w14:textId="77777777" w:rsidR="00171824" w:rsidRDefault="006D258C">
            <w:pPr>
              <w:pStyle w:val="BodyText"/>
              <w:widowControl/>
              <w:ind w:left="0"/>
              <w:jc w:val="center"/>
              <w:rPr>
                <w:rFonts w:eastAsia="MS Mincho"/>
                <w:lang w:val="el-GR"/>
              </w:rPr>
            </w:pPr>
            <w:r>
              <w:rPr>
                <w:rFonts w:eastAsia="MS Mincho"/>
                <w:lang w:val="el-GR"/>
              </w:rPr>
              <w:t>18%</w:t>
            </w:r>
          </w:p>
        </w:tc>
        <w:tc>
          <w:tcPr>
            <w:tcW w:w="2976" w:type="dxa"/>
          </w:tcPr>
          <w:p w14:paraId="6D3D5919" w14:textId="77777777" w:rsidR="00171824" w:rsidRDefault="006D258C">
            <w:pPr>
              <w:pStyle w:val="BodyText"/>
              <w:widowControl/>
              <w:ind w:left="0"/>
              <w:jc w:val="center"/>
              <w:rPr>
                <w:rFonts w:eastAsia="MS Mincho"/>
                <w:lang w:val="el-GR"/>
              </w:rPr>
            </w:pPr>
            <w:r>
              <w:rPr>
                <w:rFonts w:eastAsia="MS Mincho"/>
                <w:lang w:val="el-GR"/>
              </w:rPr>
              <w:t>30%*</w:t>
            </w:r>
          </w:p>
        </w:tc>
      </w:tr>
      <w:tr w:rsidR="00171824" w14:paraId="6E71A035" w14:textId="77777777">
        <w:tc>
          <w:tcPr>
            <w:tcW w:w="4413" w:type="dxa"/>
          </w:tcPr>
          <w:p w14:paraId="5ECC7B4A" w14:textId="77777777" w:rsidR="00171824" w:rsidRDefault="006D258C">
            <w:pPr>
              <w:pStyle w:val="BodyText"/>
              <w:widowControl/>
              <w:ind w:left="0"/>
              <w:rPr>
                <w:rFonts w:eastAsia="MS Mincho"/>
                <w:lang w:val="el-GR"/>
              </w:rPr>
            </w:pPr>
            <w:r>
              <w:rPr>
                <w:rFonts w:eastAsia="MS Mincho"/>
                <w:lang w:val="el-GR"/>
              </w:rPr>
              <w:t>Κλινική ύφεση</w:t>
            </w:r>
          </w:p>
        </w:tc>
        <w:tc>
          <w:tcPr>
            <w:tcW w:w="1560" w:type="dxa"/>
          </w:tcPr>
          <w:p w14:paraId="65A2A7E3" w14:textId="77777777" w:rsidR="00171824" w:rsidRDefault="006D258C">
            <w:pPr>
              <w:pStyle w:val="BodyText"/>
              <w:widowControl/>
              <w:ind w:left="0"/>
              <w:jc w:val="center"/>
              <w:rPr>
                <w:rFonts w:eastAsia="MS Mincho"/>
                <w:lang w:val="el-GR"/>
              </w:rPr>
            </w:pPr>
            <w:r>
              <w:rPr>
                <w:rFonts w:eastAsia="MS Mincho"/>
                <w:lang w:val="el-GR"/>
              </w:rPr>
              <w:t>9%</w:t>
            </w:r>
          </w:p>
        </w:tc>
        <w:tc>
          <w:tcPr>
            <w:tcW w:w="2976" w:type="dxa"/>
          </w:tcPr>
          <w:p w14:paraId="2C0F9FC9" w14:textId="77777777" w:rsidR="00171824" w:rsidRDefault="006D258C">
            <w:pPr>
              <w:pStyle w:val="BodyText"/>
              <w:widowControl/>
              <w:ind w:left="0"/>
              <w:jc w:val="center"/>
              <w:rPr>
                <w:rFonts w:eastAsia="MS Mincho"/>
                <w:lang w:val="el-GR"/>
              </w:rPr>
            </w:pPr>
            <w:r>
              <w:rPr>
                <w:rFonts w:eastAsia="MS Mincho"/>
                <w:lang w:val="el-GR"/>
              </w:rPr>
              <w:t>17%*</w:t>
            </w:r>
          </w:p>
        </w:tc>
      </w:tr>
      <w:tr w:rsidR="00171824" w14:paraId="77B42C09" w14:textId="77777777">
        <w:trPr>
          <w:trHeight w:val="106"/>
        </w:trPr>
        <w:tc>
          <w:tcPr>
            <w:tcW w:w="4413" w:type="dxa"/>
          </w:tcPr>
          <w:p w14:paraId="181C0851" w14:textId="77777777" w:rsidR="00171824" w:rsidRDefault="006D258C">
            <w:pPr>
              <w:pStyle w:val="BodyText"/>
              <w:widowControl/>
              <w:ind w:left="0"/>
              <w:rPr>
                <w:rFonts w:eastAsia="MS Mincho"/>
                <w:lang w:val="el-GR"/>
              </w:rPr>
            </w:pPr>
            <w:r>
              <w:rPr>
                <w:rFonts w:eastAsia="MS Mincho"/>
                <w:lang w:val="el-GR"/>
              </w:rPr>
              <w:t>Επούλωση Βλεννογόνου</w:t>
            </w:r>
          </w:p>
        </w:tc>
        <w:tc>
          <w:tcPr>
            <w:tcW w:w="1560" w:type="dxa"/>
          </w:tcPr>
          <w:p w14:paraId="0677D708" w14:textId="77777777" w:rsidR="00171824" w:rsidRDefault="006D258C">
            <w:pPr>
              <w:pStyle w:val="BodyText"/>
              <w:widowControl/>
              <w:ind w:left="0"/>
              <w:jc w:val="center"/>
              <w:rPr>
                <w:rFonts w:eastAsia="MS Mincho"/>
                <w:lang w:val="el-GR"/>
              </w:rPr>
            </w:pPr>
            <w:r>
              <w:rPr>
                <w:rFonts w:eastAsia="MS Mincho"/>
                <w:lang w:val="el-GR"/>
              </w:rPr>
              <w:t>15%</w:t>
            </w:r>
          </w:p>
        </w:tc>
        <w:tc>
          <w:tcPr>
            <w:tcW w:w="2976" w:type="dxa"/>
          </w:tcPr>
          <w:p w14:paraId="3E810BF3" w14:textId="77777777" w:rsidR="00171824" w:rsidRDefault="006D258C">
            <w:pPr>
              <w:pStyle w:val="BodyText"/>
              <w:widowControl/>
              <w:ind w:left="0"/>
              <w:jc w:val="center"/>
              <w:rPr>
                <w:rFonts w:eastAsia="MS Mincho"/>
                <w:lang w:val="el-GR"/>
              </w:rPr>
            </w:pPr>
            <w:r>
              <w:rPr>
                <w:rFonts w:eastAsia="MS Mincho"/>
                <w:lang w:val="el-GR"/>
              </w:rPr>
              <w:t>25%*</w:t>
            </w:r>
          </w:p>
        </w:tc>
      </w:tr>
      <w:tr w:rsidR="00171824" w14:paraId="11D67558" w14:textId="77777777">
        <w:trPr>
          <w:trHeight w:val="481"/>
        </w:trPr>
        <w:tc>
          <w:tcPr>
            <w:tcW w:w="4413" w:type="dxa"/>
          </w:tcPr>
          <w:p w14:paraId="560A4F67" w14:textId="77777777" w:rsidR="00171824" w:rsidRDefault="006D258C">
            <w:pPr>
              <w:pStyle w:val="BodyText"/>
              <w:widowControl/>
              <w:ind w:left="0"/>
              <w:rPr>
                <w:rFonts w:eastAsia="MS Mincho"/>
                <w:lang w:val="el-GR"/>
              </w:rPr>
            </w:pPr>
            <w:r>
              <w:rPr>
                <w:rFonts w:eastAsia="MS Mincho"/>
                <w:lang w:val="el-GR"/>
              </w:rPr>
              <w:t xml:space="preserve">Ύφεση χωρίς Στεροειδή για ≥ 90 ημέρες </w:t>
            </w:r>
            <w:r>
              <w:rPr>
                <w:rFonts w:eastAsia="MS Mincho"/>
                <w:vertAlign w:val="superscript"/>
                <w:lang w:val="el-GR"/>
              </w:rPr>
              <w:t>a</w:t>
            </w:r>
          </w:p>
        </w:tc>
        <w:tc>
          <w:tcPr>
            <w:tcW w:w="1560" w:type="dxa"/>
          </w:tcPr>
          <w:p w14:paraId="6494FF41" w14:textId="77777777" w:rsidR="00171824" w:rsidRDefault="006D258C">
            <w:pPr>
              <w:pStyle w:val="BodyText"/>
              <w:widowControl/>
              <w:ind w:left="0"/>
              <w:jc w:val="center"/>
              <w:rPr>
                <w:rFonts w:eastAsia="MS Mincho"/>
                <w:lang w:val="el-GR"/>
              </w:rPr>
            </w:pPr>
            <w:r>
              <w:rPr>
                <w:rFonts w:eastAsia="MS Mincho"/>
                <w:lang w:val="el-GR"/>
              </w:rPr>
              <w:t>6%</w:t>
            </w:r>
          </w:p>
          <w:p w14:paraId="43113C7A" w14:textId="77777777" w:rsidR="00171824" w:rsidRDefault="006D258C">
            <w:pPr>
              <w:pStyle w:val="BodyText"/>
              <w:ind w:left="0"/>
              <w:jc w:val="center"/>
              <w:rPr>
                <w:rFonts w:eastAsia="MS Mincho"/>
                <w:lang w:val="el-GR"/>
              </w:rPr>
            </w:pPr>
            <w:r>
              <w:rPr>
                <w:rFonts w:eastAsia="MS Mincho"/>
                <w:lang w:val="el-GR"/>
              </w:rPr>
              <w:t>(N = 140)</w:t>
            </w:r>
          </w:p>
        </w:tc>
        <w:tc>
          <w:tcPr>
            <w:tcW w:w="2976" w:type="dxa"/>
          </w:tcPr>
          <w:p w14:paraId="0749E253" w14:textId="77777777" w:rsidR="00171824" w:rsidRDefault="006D258C">
            <w:pPr>
              <w:pStyle w:val="BodyText"/>
              <w:widowControl/>
              <w:ind w:left="0"/>
              <w:jc w:val="center"/>
              <w:rPr>
                <w:rFonts w:eastAsia="MS Mincho"/>
                <w:lang w:val="el-GR"/>
              </w:rPr>
            </w:pPr>
            <w:r>
              <w:rPr>
                <w:rFonts w:eastAsia="MS Mincho"/>
                <w:lang w:val="el-GR"/>
              </w:rPr>
              <w:t>13%*</w:t>
            </w:r>
          </w:p>
          <w:p w14:paraId="387C4100" w14:textId="77777777" w:rsidR="00171824" w:rsidRDefault="006D258C">
            <w:pPr>
              <w:pStyle w:val="BodyText"/>
              <w:ind w:left="0"/>
              <w:jc w:val="center"/>
              <w:rPr>
                <w:rFonts w:eastAsia="MS Mincho"/>
                <w:lang w:val="el-GR"/>
              </w:rPr>
            </w:pPr>
            <w:r>
              <w:rPr>
                <w:rFonts w:eastAsia="MS Mincho"/>
                <w:lang w:val="el-GR"/>
              </w:rPr>
              <w:t>(N = 150)</w:t>
            </w:r>
          </w:p>
        </w:tc>
      </w:tr>
      <w:tr w:rsidR="00171824" w14:paraId="640DE1CA" w14:textId="77777777">
        <w:tc>
          <w:tcPr>
            <w:tcW w:w="4413" w:type="dxa"/>
          </w:tcPr>
          <w:p w14:paraId="6B606A5D" w14:textId="77777777" w:rsidR="00171824" w:rsidRDefault="006D258C">
            <w:pPr>
              <w:widowControl/>
              <w:tabs>
                <w:tab w:val="left" w:pos="3684"/>
                <w:tab w:val="left" w:pos="7961"/>
              </w:tabs>
              <w:kinsoku w:val="0"/>
              <w:overflowPunct w:val="0"/>
              <w:rPr>
                <w:rFonts w:eastAsia="MS Mincho"/>
                <w:bCs/>
                <w:sz w:val="22"/>
                <w:szCs w:val="22"/>
                <w:lang w:val="el-GR"/>
              </w:rPr>
            </w:pPr>
            <w:r>
              <w:rPr>
                <w:rFonts w:eastAsia="MS Mincho"/>
                <w:sz w:val="22"/>
                <w:szCs w:val="22"/>
                <w:lang w:val="el-GR"/>
              </w:rPr>
              <w:t>Εβδομάδα 8 και 52</w:t>
            </w:r>
          </w:p>
        </w:tc>
        <w:tc>
          <w:tcPr>
            <w:tcW w:w="1560" w:type="dxa"/>
          </w:tcPr>
          <w:p w14:paraId="6CDD50DE" w14:textId="77777777" w:rsidR="00171824" w:rsidRDefault="00171824">
            <w:pPr>
              <w:widowControl/>
              <w:tabs>
                <w:tab w:val="left" w:pos="3684"/>
                <w:tab w:val="left" w:pos="7961"/>
              </w:tabs>
              <w:kinsoku w:val="0"/>
              <w:overflowPunct w:val="0"/>
              <w:jc w:val="center"/>
              <w:rPr>
                <w:rFonts w:eastAsia="MS Mincho"/>
                <w:bCs/>
                <w:sz w:val="22"/>
                <w:szCs w:val="22"/>
                <w:lang w:val="el-GR"/>
              </w:rPr>
            </w:pPr>
          </w:p>
        </w:tc>
        <w:tc>
          <w:tcPr>
            <w:tcW w:w="2976" w:type="dxa"/>
          </w:tcPr>
          <w:p w14:paraId="017441D3" w14:textId="77777777" w:rsidR="00171824" w:rsidRDefault="00171824">
            <w:pPr>
              <w:widowControl/>
              <w:tabs>
                <w:tab w:val="left" w:pos="3684"/>
                <w:tab w:val="left" w:pos="7961"/>
              </w:tabs>
              <w:kinsoku w:val="0"/>
              <w:overflowPunct w:val="0"/>
              <w:jc w:val="center"/>
              <w:rPr>
                <w:rFonts w:eastAsia="MS Mincho"/>
                <w:bCs/>
                <w:sz w:val="22"/>
                <w:szCs w:val="22"/>
                <w:lang w:val="el-GR"/>
              </w:rPr>
            </w:pPr>
          </w:p>
        </w:tc>
      </w:tr>
      <w:tr w:rsidR="00171824" w14:paraId="43CA593B" w14:textId="77777777">
        <w:tc>
          <w:tcPr>
            <w:tcW w:w="4413" w:type="dxa"/>
          </w:tcPr>
          <w:p w14:paraId="039BEDAF" w14:textId="77777777" w:rsidR="00171824" w:rsidRDefault="006D258C">
            <w:pPr>
              <w:pStyle w:val="BodyText"/>
              <w:widowControl/>
              <w:ind w:left="0"/>
              <w:rPr>
                <w:rFonts w:eastAsia="MS Mincho"/>
                <w:lang w:val="el-GR"/>
              </w:rPr>
            </w:pPr>
            <w:r>
              <w:rPr>
                <w:rFonts w:eastAsia="MS Mincho"/>
                <w:lang w:val="el-GR"/>
              </w:rPr>
              <w:t>Παρατεταμένη ανταπόκριση</w:t>
            </w:r>
          </w:p>
        </w:tc>
        <w:tc>
          <w:tcPr>
            <w:tcW w:w="1560" w:type="dxa"/>
          </w:tcPr>
          <w:p w14:paraId="0FFA15B7" w14:textId="77777777" w:rsidR="00171824" w:rsidRDefault="006D258C">
            <w:pPr>
              <w:pStyle w:val="BodyText"/>
              <w:widowControl/>
              <w:ind w:left="0"/>
              <w:jc w:val="center"/>
              <w:rPr>
                <w:rFonts w:eastAsia="MS Mincho"/>
                <w:lang w:val="el-GR"/>
              </w:rPr>
            </w:pPr>
            <w:r>
              <w:rPr>
                <w:rFonts w:eastAsia="MS Mincho"/>
                <w:lang w:val="el-GR"/>
              </w:rPr>
              <w:t>12%</w:t>
            </w:r>
          </w:p>
        </w:tc>
        <w:tc>
          <w:tcPr>
            <w:tcW w:w="2976" w:type="dxa"/>
          </w:tcPr>
          <w:p w14:paraId="081FB75E" w14:textId="77777777" w:rsidR="00171824" w:rsidRDefault="006D258C">
            <w:pPr>
              <w:pStyle w:val="BodyText"/>
              <w:widowControl/>
              <w:ind w:left="0"/>
              <w:jc w:val="center"/>
              <w:rPr>
                <w:rFonts w:eastAsia="MS Mincho"/>
                <w:lang w:val="el-GR"/>
              </w:rPr>
            </w:pPr>
            <w:r>
              <w:rPr>
                <w:rFonts w:eastAsia="MS Mincho"/>
                <w:lang w:val="el-GR"/>
              </w:rPr>
              <w:t>24%**</w:t>
            </w:r>
          </w:p>
        </w:tc>
      </w:tr>
      <w:tr w:rsidR="00171824" w14:paraId="5CDA0FCC" w14:textId="77777777">
        <w:tc>
          <w:tcPr>
            <w:tcW w:w="4413" w:type="dxa"/>
          </w:tcPr>
          <w:p w14:paraId="44CDFC3B" w14:textId="77777777" w:rsidR="00171824" w:rsidRDefault="006D258C">
            <w:pPr>
              <w:pStyle w:val="BodyText"/>
              <w:widowControl/>
              <w:ind w:left="0"/>
              <w:rPr>
                <w:rFonts w:eastAsia="MS Mincho"/>
                <w:lang w:val="el-GR"/>
              </w:rPr>
            </w:pPr>
            <w:r>
              <w:rPr>
                <w:rFonts w:eastAsia="MS Mincho"/>
                <w:lang w:val="el-GR"/>
              </w:rPr>
              <w:t>Παρατεταμένη ύφεση</w:t>
            </w:r>
          </w:p>
        </w:tc>
        <w:tc>
          <w:tcPr>
            <w:tcW w:w="1560" w:type="dxa"/>
          </w:tcPr>
          <w:p w14:paraId="2D524E6F" w14:textId="77777777" w:rsidR="00171824" w:rsidRDefault="006D258C">
            <w:pPr>
              <w:pStyle w:val="BodyText"/>
              <w:widowControl/>
              <w:ind w:left="0"/>
              <w:jc w:val="center"/>
              <w:rPr>
                <w:rFonts w:eastAsia="MS Mincho"/>
                <w:lang w:val="el-GR"/>
              </w:rPr>
            </w:pPr>
            <w:r>
              <w:rPr>
                <w:rFonts w:eastAsia="MS Mincho"/>
                <w:lang w:val="el-GR"/>
              </w:rPr>
              <w:t>4%</w:t>
            </w:r>
          </w:p>
        </w:tc>
        <w:tc>
          <w:tcPr>
            <w:tcW w:w="2976" w:type="dxa"/>
          </w:tcPr>
          <w:p w14:paraId="4997BA7C" w14:textId="77777777" w:rsidR="00171824" w:rsidRDefault="006D258C">
            <w:pPr>
              <w:pStyle w:val="BodyText"/>
              <w:widowControl/>
              <w:ind w:left="0"/>
              <w:jc w:val="center"/>
              <w:rPr>
                <w:rFonts w:eastAsia="MS Mincho"/>
                <w:lang w:val="el-GR"/>
              </w:rPr>
            </w:pPr>
            <w:r>
              <w:rPr>
                <w:rFonts w:eastAsia="MS Mincho"/>
                <w:lang w:val="el-GR"/>
              </w:rPr>
              <w:t>8%*</w:t>
            </w:r>
          </w:p>
        </w:tc>
      </w:tr>
      <w:tr w:rsidR="00171824" w14:paraId="2191C775" w14:textId="77777777">
        <w:tc>
          <w:tcPr>
            <w:tcW w:w="4413" w:type="dxa"/>
          </w:tcPr>
          <w:p w14:paraId="349CDC67" w14:textId="77777777" w:rsidR="00171824" w:rsidRDefault="006D258C">
            <w:pPr>
              <w:pStyle w:val="BodyText"/>
              <w:widowControl/>
              <w:ind w:left="0"/>
              <w:rPr>
                <w:rFonts w:eastAsia="MS Mincho"/>
                <w:lang w:val="el-GR"/>
              </w:rPr>
            </w:pPr>
            <w:r>
              <w:rPr>
                <w:rFonts w:eastAsia="MS Mincho"/>
                <w:lang w:val="el-GR"/>
              </w:rPr>
              <w:t>Παρατεταμένη Επούλωση Βλεννογόνου</w:t>
            </w:r>
          </w:p>
        </w:tc>
        <w:tc>
          <w:tcPr>
            <w:tcW w:w="1560" w:type="dxa"/>
          </w:tcPr>
          <w:p w14:paraId="00C0265A" w14:textId="77777777" w:rsidR="00171824" w:rsidRDefault="006D258C">
            <w:pPr>
              <w:pStyle w:val="BodyText"/>
              <w:widowControl/>
              <w:ind w:left="0"/>
              <w:jc w:val="center"/>
              <w:rPr>
                <w:rFonts w:eastAsia="MS Mincho"/>
                <w:lang w:val="el-GR"/>
              </w:rPr>
            </w:pPr>
            <w:r>
              <w:rPr>
                <w:rFonts w:eastAsia="MS Mincho"/>
                <w:lang w:val="el-GR"/>
              </w:rPr>
              <w:t>11%</w:t>
            </w:r>
          </w:p>
        </w:tc>
        <w:tc>
          <w:tcPr>
            <w:tcW w:w="2976" w:type="dxa"/>
          </w:tcPr>
          <w:p w14:paraId="668BF062" w14:textId="77777777" w:rsidR="00171824" w:rsidRDefault="006D258C">
            <w:pPr>
              <w:pStyle w:val="BodyText"/>
              <w:widowControl/>
              <w:ind w:left="0"/>
              <w:jc w:val="center"/>
              <w:rPr>
                <w:rFonts w:eastAsia="MS Mincho"/>
                <w:lang w:val="el-GR"/>
              </w:rPr>
            </w:pPr>
            <w:r>
              <w:rPr>
                <w:rFonts w:eastAsia="MS Mincho"/>
                <w:lang w:val="el-GR"/>
              </w:rPr>
              <w:t>19%*</w:t>
            </w:r>
          </w:p>
        </w:tc>
      </w:tr>
    </w:tbl>
    <w:p w14:paraId="709D8900" w14:textId="77777777" w:rsidR="00171824" w:rsidRDefault="006D258C">
      <w:pPr>
        <w:pStyle w:val="BodyText"/>
        <w:widowControl/>
        <w:tabs>
          <w:tab w:val="left" w:pos="5710"/>
          <w:tab w:val="left" w:pos="7267"/>
        </w:tabs>
        <w:kinsoku w:val="0"/>
        <w:overflowPunct w:val="0"/>
        <w:ind w:left="0" w:right="1482"/>
        <w:rPr>
          <w:sz w:val="20"/>
          <w:szCs w:val="20"/>
          <w:lang w:val="el-GR"/>
        </w:rPr>
      </w:pPr>
      <w:r>
        <w:rPr>
          <w:sz w:val="20"/>
          <w:szCs w:val="20"/>
          <w:lang w:val="el-GR"/>
        </w:rPr>
        <w:t>Κλινική ύφεση είναι η βαθμολογία Mayo ≤ 2 χωρίς υποβαθμολογία&gt; 1.</w:t>
      </w:r>
    </w:p>
    <w:p w14:paraId="669DB95D" w14:textId="77777777" w:rsidR="00171824" w:rsidRDefault="006D258C">
      <w:pPr>
        <w:pStyle w:val="BodyText"/>
        <w:widowControl/>
        <w:tabs>
          <w:tab w:val="left" w:pos="8931"/>
        </w:tabs>
        <w:kinsoku w:val="0"/>
        <w:overflowPunct w:val="0"/>
        <w:ind w:left="0"/>
        <w:rPr>
          <w:sz w:val="20"/>
          <w:szCs w:val="20"/>
          <w:lang w:val="el-GR"/>
        </w:rPr>
      </w:pPr>
      <w:r>
        <w:rPr>
          <w:sz w:val="20"/>
          <w:szCs w:val="20"/>
          <w:lang w:val="el-GR"/>
        </w:rPr>
        <w:t>Κλινική ανταπόκριση είναι η μείωση, από την αρχική τιμή, της βαθμολογίας Mayo κατά</w:t>
      </w:r>
    </w:p>
    <w:p w14:paraId="4BDD0212" w14:textId="77777777" w:rsidR="00171824" w:rsidRDefault="006D258C">
      <w:pPr>
        <w:pStyle w:val="BodyText"/>
        <w:widowControl/>
        <w:tabs>
          <w:tab w:val="left" w:pos="8931"/>
        </w:tabs>
        <w:kinsoku w:val="0"/>
        <w:overflowPunct w:val="0"/>
        <w:ind w:left="0"/>
        <w:rPr>
          <w:sz w:val="20"/>
          <w:szCs w:val="20"/>
          <w:lang w:val="el-GR"/>
        </w:rPr>
      </w:pPr>
      <w:r>
        <w:rPr>
          <w:sz w:val="20"/>
          <w:szCs w:val="20"/>
          <w:lang w:val="el-GR"/>
        </w:rPr>
        <w:t>≥ 3 πόντους και ≥ 30%, συνοδευόμενη από μία μείωση της υποβαθμολογίας ορθικής</w:t>
      </w:r>
    </w:p>
    <w:p w14:paraId="78A54BD8" w14:textId="77777777" w:rsidR="00171824" w:rsidRDefault="006D258C">
      <w:pPr>
        <w:pStyle w:val="BodyText"/>
        <w:widowControl/>
        <w:tabs>
          <w:tab w:val="left" w:pos="8931"/>
        </w:tabs>
        <w:kinsoku w:val="0"/>
        <w:overflowPunct w:val="0"/>
        <w:ind w:left="0"/>
        <w:rPr>
          <w:sz w:val="20"/>
          <w:szCs w:val="20"/>
          <w:lang w:val="el-GR"/>
        </w:rPr>
      </w:pPr>
      <w:r>
        <w:rPr>
          <w:sz w:val="20"/>
          <w:szCs w:val="20"/>
          <w:lang w:val="el-GR"/>
        </w:rPr>
        <w:lastRenderedPageBreak/>
        <w:t>αιμορραγίας [RBS] κατά ≥ 1 ή από μια απόλυτη RBS 0 ή 1.</w:t>
      </w:r>
    </w:p>
    <w:p w14:paraId="785B9F77" w14:textId="77777777" w:rsidR="00171824" w:rsidRDefault="006D258C">
      <w:pPr>
        <w:pStyle w:val="BodyText"/>
        <w:widowControl/>
        <w:tabs>
          <w:tab w:val="left" w:pos="970"/>
        </w:tabs>
        <w:kinsoku w:val="0"/>
        <w:overflowPunct w:val="0"/>
        <w:ind w:left="284" w:right="1268" w:hanging="284"/>
        <w:rPr>
          <w:sz w:val="20"/>
          <w:szCs w:val="20"/>
          <w:lang w:val="el-GR"/>
        </w:rPr>
      </w:pPr>
      <w:r>
        <w:rPr>
          <w:sz w:val="20"/>
          <w:szCs w:val="20"/>
          <w:lang w:val="el-GR"/>
        </w:rPr>
        <w:t>*</w:t>
      </w:r>
      <w:r>
        <w:rPr>
          <w:sz w:val="20"/>
          <w:szCs w:val="20"/>
          <w:lang w:val="el-GR"/>
        </w:rPr>
        <w:tab/>
        <w:t>p &lt; 0,05 για το adalimumab</w:t>
      </w:r>
      <w:r>
        <w:rPr>
          <w:i/>
          <w:iCs/>
          <w:sz w:val="20"/>
          <w:szCs w:val="20"/>
          <w:lang w:val="el-GR"/>
        </w:rPr>
        <w:t xml:space="preserve"> </w:t>
      </w:r>
      <w:r>
        <w:rPr>
          <w:sz w:val="20"/>
          <w:szCs w:val="20"/>
          <w:lang w:val="el-GR"/>
        </w:rPr>
        <w:t>έναντι του εικονικού φαρμάκου σχετικά με τη σύγκριση αναλογιών σε ζεύγη</w:t>
      </w:r>
    </w:p>
    <w:p w14:paraId="6E019E20" w14:textId="77777777" w:rsidR="00171824" w:rsidRDefault="006D258C">
      <w:pPr>
        <w:pStyle w:val="BodyText"/>
        <w:widowControl/>
        <w:kinsoku w:val="0"/>
        <w:overflowPunct w:val="0"/>
        <w:ind w:left="284" w:right="276" w:hanging="284"/>
        <w:rPr>
          <w:sz w:val="20"/>
          <w:szCs w:val="20"/>
          <w:lang w:val="el-GR"/>
        </w:rPr>
      </w:pPr>
      <w:r>
        <w:rPr>
          <w:sz w:val="20"/>
          <w:szCs w:val="20"/>
          <w:lang w:val="el-GR"/>
        </w:rPr>
        <w:t>**</w:t>
      </w:r>
      <w:r>
        <w:rPr>
          <w:sz w:val="20"/>
          <w:szCs w:val="20"/>
          <w:lang w:val="el-GR"/>
        </w:rPr>
        <w:tab/>
        <w:t>p &lt; 0,001 για το adalimumab</w:t>
      </w:r>
      <w:r>
        <w:rPr>
          <w:i/>
          <w:iCs/>
          <w:sz w:val="20"/>
          <w:szCs w:val="20"/>
          <w:lang w:val="el-GR"/>
        </w:rPr>
        <w:t xml:space="preserve"> </w:t>
      </w:r>
      <w:r>
        <w:rPr>
          <w:sz w:val="20"/>
          <w:szCs w:val="20"/>
          <w:lang w:val="el-GR"/>
        </w:rPr>
        <w:t>έναντι του εικονικού φαρμάκου σχετικά με τη σύγκριση αναλογιών σε ζεύγη</w:t>
      </w:r>
    </w:p>
    <w:p w14:paraId="4F1C223E" w14:textId="77777777" w:rsidR="00171824" w:rsidRDefault="006D258C">
      <w:pPr>
        <w:pStyle w:val="BodyText"/>
        <w:widowControl/>
        <w:tabs>
          <w:tab w:val="left" w:pos="970"/>
        </w:tabs>
        <w:kinsoku w:val="0"/>
        <w:overflowPunct w:val="0"/>
        <w:ind w:left="284" w:right="1268" w:hanging="284"/>
        <w:rPr>
          <w:sz w:val="20"/>
          <w:szCs w:val="20"/>
          <w:lang w:val="el-GR"/>
        </w:rPr>
      </w:pPr>
      <w:r>
        <w:rPr>
          <w:sz w:val="20"/>
          <w:szCs w:val="20"/>
          <w:vertAlign w:val="superscript"/>
          <w:lang w:val="el-GR"/>
        </w:rPr>
        <w:t>a</w:t>
      </w:r>
      <w:r>
        <w:rPr>
          <w:sz w:val="20"/>
          <w:szCs w:val="20"/>
          <w:lang w:val="el-GR"/>
        </w:rPr>
        <w:tab/>
        <w:t>Από εκείνους που λαμβάνουν κορτικοστεροειδή στην έναρξη της θεραπείας</w:t>
      </w:r>
    </w:p>
    <w:p w14:paraId="055A7EAB" w14:textId="77777777" w:rsidR="00171824" w:rsidRDefault="00171824">
      <w:pPr>
        <w:widowControl/>
        <w:kinsoku w:val="0"/>
        <w:overflowPunct w:val="0"/>
        <w:rPr>
          <w:sz w:val="22"/>
          <w:szCs w:val="22"/>
          <w:lang w:val="el-GR"/>
        </w:rPr>
      </w:pPr>
    </w:p>
    <w:p w14:paraId="7BBA06F0" w14:textId="77777777" w:rsidR="00171824" w:rsidRDefault="006D258C">
      <w:pPr>
        <w:pStyle w:val="BodyText"/>
        <w:widowControl/>
        <w:kinsoku w:val="0"/>
        <w:overflowPunct w:val="0"/>
        <w:ind w:left="0"/>
        <w:rPr>
          <w:lang w:val="el-GR"/>
        </w:rPr>
      </w:pPr>
      <w:r>
        <w:rPr>
          <w:lang w:val="el-GR"/>
        </w:rPr>
        <w:t xml:space="preserve">Από εκείνους τους ασθενείς που εμφάνισαν ανταπόκριση την εβδομάδα 8, το 47% βρισκόταν σε κατάσταση ανταπόκρισης, το 29% ήταν σε ύφεση, το 41% είχε επούλωση του βλεννογόνου, και το 20% ήταν σε ελεύθερη στεροειδών ύφεση για ≥ 90 ημέρες την εβδομάδα 52. </w:t>
      </w:r>
    </w:p>
    <w:p w14:paraId="2AA91475" w14:textId="77777777" w:rsidR="00171824" w:rsidRDefault="00171824">
      <w:pPr>
        <w:pStyle w:val="BodyText"/>
        <w:widowControl/>
        <w:kinsoku w:val="0"/>
        <w:overflowPunct w:val="0"/>
        <w:ind w:left="0"/>
        <w:rPr>
          <w:lang w:val="el-GR"/>
        </w:rPr>
      </w:pPr>
    </w:p>
    <w:p w14:paraId="33829C4E" w14:textId="77777777" w:rsidR="00171824" w:rsidRDefault="006D258C">
      <w:pPr>
        <w:pStyle w:val="BodyText"/>
        <w:widowControl/>
        <w:kinsoku w:val="0"/>
        <w:overflowPunct w:val="0"/>
        <w:ind w:left="0"/>
        <w:rPr>
          <w:lang w:val="el-GR"/>
        </w:rPr>
      </w:pPr>
      <w:r>
        <w:rPr>
          <w:lang w:val="el-GR"/>
        </w:rPr>
        <w:t>Περίπου το 40% των ασθενών στη μελέτη UC-ΙΙ είχαν αποτύχει σε προηγούμενη αντι-TNF θεραπεία με infliximab. Η αποτελεσματικότητα του adalimumab σε αυτούς τους ασθενείς ήταν μειωμένη συγκριτικά με τους ασθενείς που δεν είχαν λάβει προηγουμένως αντι-TNF θεραπεία. Μεταξύ των ασθενών που είχαν αποτύχει σε προηγούμενη αντι-TNF θεραπεία, η ύφεση την εβδομάδα 52 επιτεύχθηκε στο 3% για το εικονικό φάρμακο και στο 10% για το adalimumab.</w:t>
      </w:r>
    </w:p>
    <w:p w14:paraId="34B320F9" w14:textId="77777777" w:rsidR="00171824" w:rsidRDefault="00171824">
      <w:pPr>
        <w:widowControl/>
        <w:kinsoku w:val="0"/>
        <w:overflowPunct w:val="0"/>
        <w:rPr>
          <w:sz w:val="22"/>
          <w:szCs w:val="22"/>
          <w:lang w:val="el-GR"/>
        </w:rPr>
      </w:pPr>
    </w:p>
    <w:p w14:paraId="5704B29E" w14:textId="77777777" w:rsidR="00171824" w:rsidRDefault="006D258C">
      <w:pPr>
        <w:pStyle w:val="BodyText"/>
        <w:widowControl/>
        <w:kinsoku w:val="0"/>
        <w:overflowPunct w:val="0"/>
        <w:ind w:left="0"/>
        <w:rPr>
          <w:lang w:val="el-GR"/>
        </w:rPr>
      </w:pPr>
      <w:r>
        <w:rPr>
          <w:lang w:val="el-GR"/>
        </w:rPr>
        <w:t>Ασθενείς από τις μελέτες UC-Ι και UC-ΙΙ είχαν τη δυνατότητα να μεταβούν σε μια ανοικτή μακροχρόνια μελέτη επέκτασης (UC-ΙΙΙ). Μετά από 3 χρόνια θεραπείας με adalimumab, το 75% (301/402) συνέχισε να βρίσκεται σε κλινική ύφεση κατά την επιμέρους βαθμολογία Mayo.</w:t>
      </w:r>
    </w:p>
    <w:p w14:paraId="6A454025" w14:textId="77777777" w:rsidR="00171824" w:rsidRDefault="00171824">
      <w:pPr>
        <w:widowControl/>
        <w:kinsoku w:val="0"/>
        <w:overflowPunct w:val="0"/>
        <w:rPr>
          <w:sz w:val="22"/>
          <w:szCs w:val="22"/>
          <w:lang w:val="el-GR"/>
        </w:rPr>
      </w:pPr>
    </w:p>
    <w:p w14:paraId="7DBAC918" w14:textId="77777777" w:rsidR="00171824" w:rsidRDefault="006D258C">
      <w:pPr>
        <w:widowControl/>
        <w:kinsoku w:val="0"/>
        <w:overflowPunct w:val="0"/>
        <w:rPr>
          <w:sz w:val="22"/>
          <w:szCs w:val="22"/>
          <w:lang w:val="el-GR"/>
        </w:rPr>
      </w:pPr>
      <w:r>
        <w:rPr>
          <w:i/>
          <w:iCs/>
          <w:sz w:val="22"/>
          <w:szCs w:val="22"/>
          <w:u w:val="single"/>
          <w:lang w:val="el-GR"/>
        </w:rPr>
        <w:t>Ποσοστά νοσηλειών</w:t>
      </w:r>
    </w:p>
    <w:p w14:paraId="01C18F04" w14:textId="77777777" w:rsidR="00171824" w:rsidRDefault="00171824">
      <w:pPr>
        <w:widowControl/>
        <w:kinsoku w:val="0"/>
        <w:overflowPunct w:val="0"/>
        <w:rPr>
          <w:sz w:val="22"/>
          <w:szCs w:val="22"/>
          <w:lang w:val="el-GR"/>
        </w:rPr>
      </w:pPr>
    </w:p>
    <w:p w14:paraId="79983224" w14:textId="77777777" w:rsidR="00171824" w:rsidRDefault="006D258C">
      <w:pPr>
        <w:pStyle w:val="BodyText"/>
        <w:widowControl/>
        <w:kinsoku w:val="0"/>
        <w:overflowPunct w:val="0"/>
        <w:ind w:left="0"/>
        <w:rPr>
          <w:lang w:val="el-GR"/>
        </w:rPr>
      </w:pPr>
      <w:r>
        <w:rPr>
          <w:lang w:val="el-GR"/>
        </w:rPr>
        <w:t>Κατά τη διάρκεια των 52 εβδομάδων των μελετών UC-I και UC-II, παρατηρήθηκαν χαμηλότερα ποσοστά νοσηλειών από όλα τα αίτια και από αίτια σχετιζόμενα με UC για το σκέλος θεραπείας με adalimumab σε σύγκριση με το σκέλος θεραπείας με εικονικό φάρμακο. Ο αριθμός των νοσηλειών από όλα τα αίτια στην ομάδα θεραπείας με adalimumab ήταν 0,18 ανά έτος ασθενή έναντι 0,26 ανά έτος ασθενή στην ομάδα του εικονικού φαρμάκου και οι αντίστοιχοι αριθμοί για τις UC-σχετιζόμενες νοσηλείες ήταν 0,12 ανά έτος ασθενή έναντι 0,22 ανά έτος ασθενή.</w:t>
      </w:r>
    </w:p>
    <w:p w14:paraId="5EC876EE" w14:textId="77777777" w:rsidR="00171824" w:rsidRDefault="00171824">
      <w:pPr>
        <w:widowControl/>
        <w:kinsoku w:val="0"/>
        <w:overflowPunct w:val="0"/>
        <w:rPr>
          <w:sz w:val="22"/>
          <w:szCs w:val="22"/>
          <w:lang w:val="el-GR"/>
        </w:rPr>
      </w:pPr>
    </w:p>
    <w:p w14:paraId="4B876FF0" w14:textId="77777777" w:rsidR="00171824" w:rsidRDefault="006D258C">
      <w:pPr>
        <w:keepNext/>
        <w:widowControl/>
        <w:kinsoku w:val="0"/>
        <w:overflowPunct w:val="0"/>
        <w:rPr>
          <w:sz w:val="22"/>
          <w:szCs w:val="22"/>
          <w:lang w:val="el-GR"/>
        </w:rPr>
      </w:pPr>
      <w:r>
        <w:rPr>
          <w:i/>
          <w:iCs/>
          <w:sz w:val="22"/>
          <w:szCs w:val="22"/>
          <w:u w:val="single"/>
          <w:lang w:val="el-GR"/>
        </w:rPr>
        <w:t>Ποιότητα ζωής</w:t>
      </w:r>
    </w:p>
    <w:p w14:paraId="25DE1E1C" w14:textId="77777777" w:rsidR="00171824" w:rsidRDefault="00171824">
      <w:pPr>
        <w:keepNext/>
        <w:widowControl/>
        <w:kinsoku w:val="0"/>
        <w:overflowPunct w:val="0"/>
        <w:rPr>
          <w:sz w:val="22"/>
          <w:szCs w:val="22"/>
          <w:lang w:val="el-GR"/>
        </w:rPr>
      </w:pPr>
    </w:p>
    <w:p w14:paraId="5535DC6E" w14:textId="77777777" w:rsidR="00171824" w:rsidRDefault="006D258C">
      <w:pPr>
        <w:pStyle w:val="BodyText"/>
        <w:keepNext/>
        <w:widowControl/>
        <w:kinsoku w:val="0"/>
        <w:overflowPunct w:val="0"/>
        <w:ind w:left="0"/>
        <w:rPr>
          <w:lang w:val="el-GR"/>
        </w:rPr>
      </w:pPr>
      <w:r>
        <w:rPr>
          <w:lang w:val="el-GR"/>
        </w:rPr>
        <w:t>Στη μελέτη UC-ΙΙ, η θεραπεία με adalimumab οδήγησε σε βελτίωση της βαθμολογίας στο Ερωτηματολόγιο για τη Φλεγμονώδη Νόσο του Εντέρου (IBDQ).</w:t>
      </w:r>
    </w:p>
    <w:p w14:paraId="0E565403" w14:textId="77777777" w:rsidR="00171824" w:rsidRDefault="00171824">
      <w:pPr>
        <w:widowControl/>
        <w:kinsoku w:val="0"/>
        <w:overflowPunct w:val="0"/>
        <w:rPr>
          <w:sz w:val="22"/>
          <w:szCs w:val="22"/>
          <w:lang w:val="el-GR"/>
        </w:rPr>
      </w:pPr>
    </w:p>
    <w:p w14:paraId="20E1A7B8" w14:textId="77777777" w:rsidR="00171824" w:rsidRDefault="006D258C">
      <w:pPr>
        <w:keepNext/>
        <w:widowControl/>
        <w:kinsoku w:val="0"/>
        <w:overflowPunct w:val="0"/>
        <w:rPr>
          <w:sz w:val="22"/>
          <w:szCs w:val="22"/>
          <w:lang w:val="el-GR"/>
        </w:rPr>
      </w:pPr>
      <w:r>
        <w:rPr>
          <w:i/>
          <w:iCs/>
          <w:sz w:val="22"/>
          <w:szCs w:val="22"/>
          <w:lang w:val="el-GR"/>
        </w:rPr>
        <w:t>Ραγοειδίτιδα</w:t>
      </w:r>
    </w:p>
    <w:p w14:paraId="0BEC1344" w14:textId="77777777" w:rsidR="00171824" w:rsidRDefault="00171824">
      <w:pPr>
        <w:keepNext/>
        <w:widowControl/>
        <w:kinsoku w:val="0"/>
        <w:overflowPunct w:val="0"/>
        <w:rPr>
          <w:sz w:val="22"/>
          <w:szCs w:val="22"/>
          <w:lang w:val="el-GR"/>
        </w:rPr>
      </w:pPr>
    </w:p>
    <w:p w14:paraId="7AABCDDF" w14:textId="77777777" w:rsidR="00171824" w:rsidRDefault="006D258C">
      <w:pPr>
        <w:pStyle w:val="BodyText"/>
        <w:widowControl/>
        <w:kinsoku w:val="0"/>
        <w:overflowPunct w:val="0"/>
        <w:ind w:left="0"/>
        <w:rPr>
          <w:lang w:val="el-GR"/>
        </w:rPr>
      </w:pPr>
      <w:r>
        <w:rPr>
          <w:lang w:val="el-GR"/>
        </w:rPr>
        <w:t>Η ασφάλεια και η αποτελεσματικότητα του adalimumab αξιολογήθηκαν σε ενήλικες ασθενείς με μη</w:t>
      </w:r>
      <w:r>
        <w:rPr>
          <w:lang w:val="el-GR"/>
        </w:rPr>
        <w:noBreakHyphen/>
        <w:t>λοιμώδη ενδιάμεση, οπίσθια, και πανραγοειδίτιδα, με εξαίρεση τους ασθενείς με μεμονωμένη πρόσθια ραγοειδίτιδα, σε δύο τυχαιοποιημένες, διπλά τυφλές, ελεγχόμενες με εικονικό φάρμακο μελέτες (UV Ι και ΙΙ). Οι ασθενείς έλαβαν εικονικό φάρμακο ή adalimumab σε αρχική δόση 80 mg, ακολουθούμενη από 40 mg κάθε δεύτερη εβδομάδα, αρχίζοντας μία εβδομάδα μετά την αρχική δόση. Επιτρέπονταν ταυτόχρονες σταθερές δόσεις ενός μη-βιολογικού ανοσοκατασταλτικού.</w:t>
      </w:r>
    </w:p>
    <w:p w14:paraId="2C05F0BB" w14:textId="77777777" w:rsidR="00171824" w:rsidRDefault="00171824">
      <w:pPr>
        <w:widowControl/>
        <w:kinsoku w:val="0"/>
        <w:overflowPunct w:val="0"/>
        <w:rPr>
          <w:sz w:val="22"/>
          <w:szCs w:val="22"/>
          <w:lang w:val="el-GR"/>
        </w:rPr>
      </w:pPr>
    </w:p>
    <w:p w14:paraId="7AF0EE34" w14:textId="77777777" w:rsidR="00171824" w:rsidRDefault="006D258C">
      <w:pPr>
        <w:pStyle w:val="BodyText"/>
        <w:widowControl/>
        <w:kinsoku w:val="0"/>
        <w:overflowPunct w:val="0"/>
        <w:ind w:left="0"/>
        <w:rPr>
          <w:lang w:val="el-GR"/>
        </w:rPr>
      </w:pPr>
      <w:r>
        <w:rPr>
          <w:lang w:val="el-GR"/>
        </w:rPr>
        <w:t>Η Μελέτη UV Ι αξιολόγησε 217 ασθενείς με ενεργό ραγοειδίτιδα παρά τη θεραπεία με κορτικοστεροειδή (από στόματος πρεδνιζόνη σε δόση 10 έως 60 mg/ημέρα). Όλοι οι ασθενείς έλαβαν για 2 εβδομάδες τυποποιημένη δόση πρεδνιζόνης 60 mg/ημέρα κατά την έναρξη της μελέτης ακολουθούμενη από ένα υποχρεωτικό πρόγραμμα σταδιακής μείωσης, με πλήρη διακοπή των κορτικοστεροειδών μέχρι την εβδομάδα 15.</w:t>
      </w:r>
    </w:p>
    <w:p w14:paraId="07EF2A8B" w14:textId="77777777" w:rsidR="00171824" w:rsidRDefault="00171824">
      <w:pPr>
        <w:widowControl/>
        <w:kinsoku w:val="0"/>
        <w:overflowPunct w:val="0"/>
        <w:rPr>
          <w:sz w:val="22"/>
          <w:szCs w:val="22"/>
          <w:lang w:val="el-GR"/>
        </w:rPr>
      </w:pPr>
    </w:p>
    <w:p w14:paraId="7D3FCE77" w14:textId="77777777" w:rsidR="00171824" w:rsidRDefault="006D258C">
      <w:pPr>
        <w:pStyle w:val="BodyText"/>
        <w:widowControl/>
        <w:kinsoku w:val="0"/>
        <w:overflowPunct w:val="0"/>
        <w:ind w:left="0"/>
        <w:rPr>
          <w:lang w:val="el-GR"/>
        </w:rPr>
      </w:pPr>
      <w:r>
        <w:rPr>
          <w:lang w:val="el-GR"/>
        </w:rPr>
        <w:t>Η Μελέτη UV ΙΙ αξιολόγησε 226 ασθενείς με ανενεργό ραγοειδίτιδα που απαιτούν χρόνια θεραπεία με κορτικοστεροειδή (10</w:t>
      </w:r>
      <w:r>
        <w:rPr>
          <w:lang w:val="el-GR"/>
        </w:rPr>
        <w:noBreakHyphen/>
        <w:t>35 mg/ημέρα από στόματος πρεδνιζόνη) κατά την έναρξη για τον έλεγχο της νόσου τους. Οι ασθενείς στη συνέχεια υποβλήθηκαν σε ένα υποχρεωτικό πρόγραμμα σταδιακής μείωσης, με πλήρη διακοπή των κορτικοστεροειδών μέχρι την εβδομάδα 19.</w:t>
      </w:r>
    </w:p>
    <w:p w14:paraId="13E09F5F" w14:textId="77777777" w:rsidR="00171824" w:rsidRDefault="00171824">
      <w:pPr>
        <w:widowControl/>
        <w:kinsoku w:val="0"/>
        <w:overflowPunct w:val="0"/>
        <w:rPr>
          <w:sz w:val="22"/>
          <w:szCs w:val="22"/>
          <w:lang w:val="el-GR"/>
        </w:rPr>
      </w:pPr>
    </w:p>
    <w:p w14:paraId="2B4EC7F8" w14:textId="77777777" w:rsidR="00171824" w:rsidRDefault="006D258C">
      <w:pPr>
        <w:pStyle w:val="BodyText"/>
        <w:widowControl/>
        <w:kinsoku w:val="0"/>
        <w:overflowPunct w:val="0"/>
        <w:ind w:left="0"/>
        <w:rPr>
          <w:lang w:val="el-GR"/>
        </w:rPr>
      </w:pPr>
      <w:r>
        <w:rPr>
          <w:lang w:val="el-GR"/>
        </w:rPr>
        <w:t xml:space="preserve">Το πρωτεύον καταληκτικό σημείο αποτελεσματικότητας και στις δύο μελέτες ήταν ο “χρόνος έως την αποτυχία της θεραπείας”. Η αποτυχία της θεραπείας ορίσθηκε από το αποτέλεσμα πολλών συνιστωσών που βασίζεται στις φλεγμονώδεις χοριοαμφιβληστροειδικές και/ή φλεγμονώδεις </w:t>
      </w:r>
      <w:r>
        <w:rPr>
          <w:lang w:val="el-GR"/>
        </w:rPr>
        <w:lastRenderedPageBreak/>
        <w:t>αγγειακές βλάβες του αμφιβληστροειδούς, στη βαθμολογία κυττάρων στον πρόσθιο θάλαμο (AC), στη θόλωση του υαλοειδούς σώματος (VH) και την καλύτερα διορθωμένη οπτική οξύτητα (BCVA).</w:t>
      </w:r>
    </w:p>
    <w:p w14:paraId="085A4160" w14:textId="77777777" w:rsidR="00171824" w:rsidRDefault="00171824">
      <w:pPr>
        <w:widowControl/>
        <w:kinsoku w:val="0"/>
        <w:overflowPunct w:val="0"/>
        <w:rPr>
          <w:sz w:val="22"/>
          <w:szCs w:val="22"/>
          <w:lang w:val="el-GR"/>
        </w:rPr>
      </w:pPr>
    </w:p>
    <w:p w14:paraId="098AAFE8" w14:textId="77777777" w:rsidR="00171824" w:rsidRDefault="006D258C">
      <w:pPr>
        <w:widowControl/>
        <w:rPr>
          <w:sz w:val="22"/>
          <w:szCs w:val="22"/>
          <w:lang w:val="el-GR"/>
        </w:rPr>
      </w:pPr>
      <w:r>
        <w:rPr>
          <w:sz w:val="22"/>
          <w:szCs w:val="22"/>
          <w:lang w:val="el-GR"/>
        </w:rPr>
        <w:t>Οι ασθενείς οι οποίοι ολοκλήρωσαν τις Μελέτες UV I και UV II ήταν κατάλληλοι για να ενταχθούν σε μια μη-ελεγχόμενη μακροχρόνια μελέτη επέκτασης με αρχικά σχεδιασμένη διάρκεια 78 εβδομάδων. Στους ασθενείς επιτράπηκε να συνεχίσουν τη φαρμακευτική αγωγή της μελέτης πέραν της εβδομάδας 78 έως ότου είχαν πρόσβαση στο adalimumab.</w:t>
      </w:r>
    </w:p>
    <w:p w14:paraId="288B1B51" w14:textId="77777777" w:rsidR="00171824" w:rsidRDefault="00171824">
      <w:pPr>
        <w:widowControl/>
        <w:rPr>
          <w:sz w:val="22"/>
          <w:szCs w:val="22"/>
          <w:lang w:val="el-GR"/>
        </w:rPr>
      </w:pPr>
    </w:p>
    <w:p w14:paraId="7BA3C990" w14:textId="77777777" w:rsidR="00171824" w:rsidRDefault="006D258C">
      <w:pPr>
        <w:keepNext/>
        <w:widowControl/>
        <w:kinsoku w:val="0"/>
        <w:overflowPunct w:val="0"/>
        <w:rPr>
          <w:sz w:val="22"/>
          <w:szCs w:val="22"/>
          <w:lang w:val="el-GR"/>
        </w:rPr>
      </w:pPr>
      <w:r>
        <w:rPr>
          <w:i/>
          <w:iCs/>
          <w:sz w:val="22"/>
          <w:szCs w:val="22"/>
          <w:u w:val="single"/>
          <w:lang w:val="el-GR"/>
        </w:rPr>
        <w:t>Κλινική Ανταπόκριση</w:t>
      </w:r>
    </w:p>
    <w:p w14:paraId="5578A308" w14:textId="77777777" w:rsidR="00171824" w:rsidRDefault="00171824">
      <w:pPr>
        <w:keepNext/>
        <w:widowControl/>
        <w:kinsoku w:val="0"/>
        <w:overflowPunct w:val="0"/>
        <w:rPr>
          <w:sz w:val="22"/>
          <w:szCs w:val="22"/>
          <w:lang w:val="el-GR"/>
        </w:rPr>
      </w:pPr>
    </w:p>
    <w:p w14:paraId="10133E5B" w14:textId="77777777" w:rsidR="00171824" w:rsidRDefault="006D258C">
      <w:pPr>
        <w:pStyle w:val="BodyText"/>
        <w:widowControl/>
        <w:kinsoku w:val="0"/>
        <w:overflowPunct w:val="0"/>
        <w:ind w:left="0"/>
        <w:rPr>
          <w:lang w:val="el-GR"/>
        </w:rPr>
      </w:pPr>
      <w:r>
        <w:rPr>
          <w:lang w:val="el-GR"/>
        </w:rPr>
        <w:t>Τα αποτελέσματα και από τις δύο μελέτες έδειξαν στατιστικά σημαντική μείωση του κινδύνου αποτυχίας της θεραπείας σε ασθενείς που έλαβαν adalimumab έναντι των ασθενών που έλαβαν εικονικό φάρμακο (βλέπε πίνακα 24). Και οι δύο μελέτες έδειξαν μια πρώιμη και παρατεταμένη επίδραση του adalimumab επί του ποσοστού αποτυχίας της θεραπείας έναντι του εικονικού φαρμάκου (βλέπε Σχήμα 2).</w:t>
      </w:r>
    </w:p>
    <w:p w14:paraId="4D4BD15F" w14:textId="77777777" w:rsidR="00171824" w:rsidRDefault="00171824">
      <w:pPr>
        <w:widowControl/>
        <w:kinsoku w:val="0"/>
        <w:overflowPunct w:val="0"/>
        <w:rPr>
          <w:sz w:val="22"/>
          <w:szCs w:val="22"/>
          <w:lang w:val="el-GR"/>
        </w:rPr>
      </w:pPr>
    </w:p>
    <w:p w14:paraId="70ABF8B5" w14:textId="77777777" w:rsidR="00171824" w:rsidRDefault="006D258C">
      <w:pPr>
        <w:pStyle w:val="BodyText"/>
        <w:keepNext/>
        <w:widowControl/>
        <w:ind w:left="0"/>
        <w:rPr>
          <w:b/>
          <w:bCs/>
          <w:lang w:val="el-GR"/>
        </w:rPr>
      </w:pPr>
      <w:r>
        <w:rPr>
          <w:b/>
          <w:lang w:val="el-GR"/>
        </w:rPr>
        <w:t>Πίνακας 24.</w:t>
      </w:r>
      <w:r>
        <w:rPr>
          <w:b/>
          <w:bCs/>
          <w:lang w:val="el-GR"/>
        </w:rPr>
        <w:t xml:space="preserve"> Χρόνος έως την Αποτυχία της Θεραπείας στις Μελέτες UV I και UV II</w:t>
      </w:r>
    </w:p>
    <w:p w14:paraId="107137BC" w14:textId="77777777" w:rsidR="00171824" w:rsidRDefault="00171824">
      <w:pPr>
        <w:keepNext/>
        <w:widowControl/>
        <w:kinsoku w:val="0"/>
        <w:overflowPunct w:val="0"/>
        <w:rPr>
          <w:sz w:val="22"/>
          <w:szCs w:val="22"/>
          <w:lang w:val="el-GR"/>
        </w:rPr>
      </w:pPr>
    </w:p>
    <w:tbl>
      <w:tblPr>
        <w:tblW w:w="92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1"/>
        <w:gridCol w:w="806"/>
        <w:gridCol w:w="1250"/>
        <w:gridCol w:w="1950"/>
        <w:gridCol w:w="709"/>
        <w:gridCol w:w="1134"/>
        <w:gridCol w:w="1174"/>
      </w:tblGrid>
      <w:tr w:rsidR="00171824" w14:paraId="112937AC" w14:textId="77777777">
        <w:tc>
          <w:tcPr>
            <w:tcW w:w="2231" w:type="dxa"/>
          </w:tcPr>
          <w:p w14:paraId="6273E410" w14:textId="77777777" w:rsidR="00171824" w:rsidRDefault="006D258C">
            <w:pPr>
              <w:keepNext/>
              <w:widowControl/>
              <w:kinsoku w:val="0"/>
              <w:overflowPunct w:val="0"/>
              <w:rPr>
                <w:rFonts w:eastAsia="MS Mincho"/>
                <w:b/>
                <w:bCs/>
                <w:sz w:val="22"/>
                <w:szCs w:val="22"/>
                <w:lang w:val="el-GR"/>
              </w:rPr>
            </w:pPr>
            <w:r>
              <w:rPr>
                <w:rFonts w:eastAsia="MS Mincho"/>
                <w:b/>
                <w:bCs/>
                <w:sz w:val="22"/>
                <w:szCs w:val="22"/>
                <w:lang w:val="el-GR"/>
              </w:rPr>
              <w:t>Ανάλυση</w:t>
            </w:r>
          </w:p>
          <w:p w14:paraId="13011F91"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Θεραπεία</w:t>
            </w:r>
          </w:p>
        </w:tc>
        <w:tc>
          <w:tcPr>
            <w:tcW w:w="806" w:type="dxa"/>
          </w:tcPr>
          <w:p w14:paraId="2D24CAC7"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N</w:t>
            </w:r>
          </w:p>
        </w:tc>
        <w:tc>
          <w:tcPr>
            <w:tcW w:w="1250" w:type="dxa"/>
          </w:tcPr>
          <w:p w14:paraId="77840A9B" w14:textId="77777777" w:rsidR="00171824" w:rsidRDefault="006D258C">
            <w:pPr>
              <w:widowControl/>
              <w:rPr>
                <w:rFonts w:eastAsia="MS Mincho"/>
                <w:b/>
                <w:bCs/>
                <w:sz w:val="22"/>
                <w:szCs w:val="22"/>
                <w:lang w:val="el-GR"/>
              </w:rPr>
            </w:pPr>
            <w:r>
              <w:rPr>
                <w:rFonts w:eastAsia="MS Mincho"/>
                <w:b/>
                <w:bCs/>
                <w:sz w:val="22"/>
                <w:szCs w:val="22"/>
                <w:lang w:val="el-GR"/>
              </w:rPr>
              <w:t>Αποτυχία</w:t>
            </w:r>
          </w:p>
          <w:p w14:paraId="1F97E61B"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N (%)</w:t>
            </w:r>
          </w:p>
        </w:tc>
        <w:tc>
          <w:tcPr>
            <w:tcW w:w="1950" w:type="dxa"/>
          </w:tcPr>
          <w:p w14:paraId="21634EC9" w14:textId="77777777" w:rsidR="00171824" w:rsidRDefault="006D258C">
            <w:pPr>
              <w:widowControl/>
              <w:rPr>
                <w:rFonts w:eastAsia="MS Mincho"/>
                <w:b/>
                <w:bCs/>
                <w:sz w:val="22"/>
                <w:szCs w:val="22"/>
                <w:lang w:val="el-GR"/>
              </w:rPr>
            </w:pPr>
            <w:r>
              <w:rPr>
                <w:rFonts w:eastAsia="MS Mincho"/>
                <w:b/>
                <w:bCs/>
                <w:sz w:val="22"/>
                <w:szCs w:val="22"/>
                <w:lang w:val="el-GR"/>
              </w:rPr>
              <w:t>Διάμεσος Χρόνος</w:t>
            </w:r>
          </w:p>
          <w:p w14:paraId="79D2389A"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Αποτυχίας (months)</w:t>
            </w:r>
          </w:p>
        </w:tc>
        <w:tc>
          <w:tcPr>
            <w:tcW w:w="709" w:type="dxa"/>
          </w:tcPr>
          <w:p w14:paraId="10D26602"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HR</w:t>
            </w:r>
            <w:r>
              <w:rPr>
                <w:rFonts w:eastAsia="MS Mincho"/>
                <w:b/>
                <w:sz w:val="22"/>
                <w:szCs w:val="22"/>
                <w:vertAlign w:val="superscript"/>
                <w:lang w:val="el-GR"/>
              </w:rPr>
              <w:t>a</w:t>
            </w:r>
          </w:p>
        </w:tc>
        <w:tc>
          <w:tcPr>
            <w:tcW w:w="1134" w:type="dxa"/>
          </w:tcPr>
          <w:p w14:paraId="72A00A27" w14:textId="77777777" w:rsidR="00171824" w:rsidRDefault="006D258C">
            <w:pPr>
              <w:widowControl/>
              <w:rPr>
                <w:rFonts w:eastAsia="MS Mincho"/>
                <w:b/>
                <w:bCs/>
                <w:sz w:val="22"/>
                <w:szCs w:val="22"/>
                <w:lang w:val="el-GR"/>
              </w:rPr>
            </w:pPr>
            <w:r>
              <w:rPr>
                <w:rFonts w:eastAsia="MS Mincho"/>
                <w:b/>
                <w:bCs/>
                <w:sz w:val="22"/>
                <w:szCs w:val="22"/>
                <w:lang w:val="el-GR"/>
              </w:rPr>
              <w:t>CI 95%</w:t>
            </w:r>
          </w:p>
          <w:p w14:paraId="00B2798D"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για HR</w:t>
            </w:r>
            <w:r>
              <w:rPr>
                <w:rFonts w:eastAsia="MS Mincho"/>
                <w:b/>
                <w:sz w:val="22"/>
                <w:szCs w:val="22"/>
                <w:vertAlign w:val="superscript"/>
                <w:lang w:val="el-GR"/>
              </w:rPr>
              <w:t>a</w:t>
            </w:r>
          </w:p>
        </w:tc>
        <w:tc>
          <w:tcPr>
            <w:tcW w:w="1174" w:type="dxa"/>
          </w:tcPr>
          <w:p w14:paraId="59EDC19B" w14:textId="77777777" w:rsidR="00171824" w:rsidRDefault="006D258C">
            <w:pPr>
              <w:widowControl/>
              <w:kinsoku w:val="0"/>
              <w:overflowPunct w:val="0"/>
              <w:rPr>
                <w:rFonts w:eastAsia="MS Mincho"/>
                <w:sz w:val="22"/>
                <w:szCs w:val="22"/>
                <w:lang w:val="el-GR"/>
              </w:rPr>
            </w:pPr>
            <w:r>
              <w:rPr>
                <w:rFonts w:eastAsia="MS Mincho"/>
                <w:b/>
                <w:bCs/>
                <w:i/>
                <w:iCs/>
                <w:sz w:val="22"/>
                <w:szCs w:val="22"/>
                <w:lang w:val="el-GR"/>
              </w:rPr>
              <w:t xml:space="preserve">P </w:t>
            </w:r>
            <w:r>
              <w:rPr>
                <w:rFonts w:eastAsia="MS Mincho"/>
                <w:b/>
                <w:bCs/>
                <w:sz w:val="22"/>
                <w:szCs w:val="22"/>
                <w:lang w:val="el-GR"/>
              </w:rPr>
              <w:t>Value</w:t>
            </w:r>
            <w:r>
              <w:rPr>
                <w:rFonts w:eastAsia="MS Mincho"/>
                <w:b/>
                <w:bCs/>
                <w:sz w:val="22"/>
                <w:szCs w:val="22"/>
                <w:vertAlign w:val="superscript"/>
                <w:lang w:val="el-GR"/>
              </w:rPr>
              <w:t>b</w:t>
            </w:r>
          </w:p>
        </w:tc>
      </w:tr>
      <w:tr w:rsidR="00171824" w14:paraId="36C3B8B8" w14:textId="77777777">
        <w:trPr>
          <w:trHeight w:val="475"/>
        </w:trPr>
        <w:tc>
          <w:tcPr>
            <w:tcW w:w="9254" w:type="dxa"/>
            <w:gridSpan w:val="7"/>
          </w:tcPr>
          <w:p w14:paraId="754970B0"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Χρόνος έως την Αποτυχία της Θεραπείας Στην ή Μετά την εβδομάδα 6 στη Μελέτη UV I</w:t>
            </w:r>
          </w:p>
          <w:p w14:paraId="1D74FA6A" w14:textId="77777777" w:rsidR="00171824" w:rsidRDefault="006D258C">
            <w:pPr>
              <w:kinsoku w:val="0"/>
              <w:overflowPunct w:val="0"/>
              <w:rPr>
                <w:rFonts w:eastAsia="MS Mincho"/>
                <w:sz w:val="22"/>
                <w:szCs w:val="22"/>
                <w:lang w:val="el-GR"/>
              </w:rPr>
            </w:pPr>
            <w:r>
              <w:rPr>
                <w:rFonts w:eastAsia="MS Mincho"/>
                <w:sz w:val="22"/>
                <w:szCs w:val="22"/>
                <w:lang w:val="el-GR"/>
              </w:rPr>
              <w:t>Κύρια ανάλυση (ITT)</w:t>
            </w:r>
          </w:p>
          <w:p w14:paraId="2BB76C55" w14:textId="77777777" w:rsidR="00171824" w:rsidRDefault="00171824">
            <w:pPr>
              <w:kinsoku w:val="0"/>
              <w:overflowPunct w:val="0"/>
              <w:rPr>
                <w:rFonts w:eastAsia="MS Mincho"/>
                <w:sz w:val="22"/>
                <w:szCs w:val="22"/>
                <w:lang w:val="el-GR"/>
              </w:rPr>
            </w:pPr>
          </w:p>
        </w:tc>
      </w:tr>
      <w:tr w:rsidR="00171824" w14:paraId="1D0A0E4D" w14:textId="77777777">
        <w:tc>
          <w:tcPr>
            <w:tcW w:w="2231" w:type="dxa"/>
          </w:tcPr>
          <w:p w14:paraId="0D923B65" w14:textId="77777777" w:rsidR="00171824" w:rsidRDefault="006D258C">
            <w:pPr>
              <w:pStyle w:val="BodyText"/>
              <w:widowControl/>
              <w:ind w:left="0"/>
              <w:rPr>
                <w:rFonts w:eastAsia="MS Mincho"/>
                <w:lang w:val="el-GR"/>
              </w:rPr>
            </w:pPr>
            <w:r>
              <w:rPr>
                <w:rFonts w:eastAsia="MS Mincho"/>
                <w:lang w:val="el-GR"/>
              </w:rPr>
              <w:t>Εικονικό φάρμακο</w:t>
            </w:r>
          </w:p>
        </w:tc>
        <w:tc>
          <w:tcPr>
            <w:tcW w:w="806" w:type="dxa"/>
          </w:tcPr>
          <w:p w14:paraId="3DFD4F48" w14:textId="77777777" w:rsidR="00171824" w:rsidRDefault="006D258C">
            <w:pPr>
              <w:widowControl/>
              <w:kinsoku w:val="0"/>
              <w:overflowPunct w:val="0"/>
              <w:rPr>
                <w:rFonts w:eastAsia="MS Mincho"/>
                <w:sz w:val="22"/>
                <w:szCs w:val="22"/>
                <w:lang w:val="el-GR"/>
              </w:rPr>
            </w:pPr>
            <w:r>
              <w:rPr>
                <w:rFonts w:eastAsia="MS Mincho"/>
                <w:sz w:val="22"/>
                <w:szCs w:val="22"/>
                <w:lang w:val="el-GR"/>
              </w:rPr>
              <w:t>107</w:t>
            </w:r>
          </w:p>
        </w:tc>
        <w:tc>
          <w:tcPr>
            <w:tcW w:w="1250" w:type="dxa"/>
          </w:tcPr>
          <w:p w14:paraId="39D762D6" w14:textId="77777777" w:rsidR="00171824" w:rsidRDefault="006D258C">
            <w:pPr>
              <w:widowControl/>
              <w:kinsoku w:val="0"/>
              <w:overflowPunct w:val="0"/>
              <w:rPr>
                <w:rFonts w:eastAsia="MS Mincho"/>
                <w:sz w:val="22"/>
                <w:szCs w:val="22"/>
                <w:lang w:val="el-GR"/>
              </w:rPr>
            </w:pPr>
            <w:r>
              <w:rPr>
                <w:rFonts w:eastAsia="MS Mincho"/>
                <w:sz w:val="22"/>
                <w:szCs w:val="22"/>
                <w:lang w:val="el-GR"/>
              </w:rPr>
              <w:t>84 (78,5)</w:t>
            </w:r>
          </w:p>
        </w:tc>
        <w:tc>
          <w:tcPr>
            <w:tcW w:w="1950" w:type="dxa"/>
          </w:tcPr>
          <w:p w14:paraId="16F771E1" w14:textId="77777777" w:rsidR="00171824" w:rsidRDefault="006D258C">
            <w:pPr>
              <w:widowControl/>
              <w:kinsoku w:val="0"/>
              <w:overflowPunct w:val="0"/>
              <w:rPr>
                <w:rFonts w:eastAsia="MS Mincho"/>
                <w:sz w:val="22"/>
                <w:szCs w:val="22"/>
                <w:lang w:val="el-GR"/>
              </w:rPr>
            </w:pPr>
            <w:r>
              <w:rPr>
                <w:rFonts w:eastAsia="MS Mincho"/>
                <w:sz w:val="22"/>
                <w:szCs w:val="22"/>
                <w:lang w:val="el-GR"/>
              </w:rPr>
              <w:t>3,0</w:t>
            </w:r>
          </w:p>
        </w:tc>
        <w:tc>
          <w:tcPr>
            <w:tcW w:w="709" w:type="dxa"/>
          </w:tcPr>
          <w:p w14:paraId="2DD878D1"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c>
          <w:tcPr>
            <w:tcW w:w="1134" w:type="dxa"/>
          </w:tcPr>
          <w:p w14:paraId="649FA69E"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c>
          <w:tcPr>
            <w:tcW w:w="1174" w:type="dxa"/>
          </w:tcPr>
          <w:p w14:paraId="5BC7DA2E"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r>
      <w:tr w:rsidR="00171824" w14:paraId="105762D7" w14:textId="77777777">
        <w:tc>
          <w:tcPr>
            <w:tcW w:w="2231" w:type="dxa"/>
          </w:tcPr>
          <w:p w14:paraId="25D34F8E" w14:textId="77777777" w:rsidR="00171824" w:rsidRDefault="006D258C">
            <w:pPr>
              <w:pStyle w:val="BodyText"/>
              <w:widowControl/>
              <w:ind w:left="0"/>
              <w:rPr>
                <w:rFonts w:eastAsia="MS Mincho"/>
                <w:lang w:val="el-GR"/>
              </w:rPr>
            </w:pPr>
            <w:r>
              <w:rPr>
                <w:rFonts w:eastAsia="MS Mincho"/>
                <w:lang w:val="el-GR"/>
              </w:rPr>
              <w:t>Adalimumab</w:t>
            </w:r>
          </w:p>
        </w:tc>
        <w:tc>
          <w:tcPr>
            <w:tcW w:w="806" w:type="dxa"/>
          </w:tcPr>
          <w:p w14:paraId="369FBB2D" w14:textId="77777777" w:rsidR="00171824" w:rsidRDefault="006D258C">
            <w:pPr>
              <w:widowControl/>
              <w:kinsoku w:val="0"/>
              <w:overflowPunct w:val="0"/>
              <w:rPr>
                <w:rFonts w:eastAsia="MS Mincho"/>
                <w:sz w:val="22"/>
                <w:szCs w:val="22"/>
                <w:lang w:val="el-GR"/>
              </w:rPr>
            </w:pPr>
            <w:r>
              <w:rPr>
                <w:rFonts w:eastAsia="MS Mincho"/>
                <w:sz w:val="22"/>
                <w:szCs w:val="22"/>
                <w:lang w:val="el-GR"/>
              </w:rPr>
              <w:t>110</w:t>
            </w:r>
          </w:p>
        </w:tc>
        <w:tc>
          <w:tcPr>
            <w:tcW w:w="1250" w:type="dxa"/>
          </w:tcPr>
          <w:p w14:paraId="28DC76DB" w14:textId="77777777" w:rsidR="00171824" w:rsidRDefault="006D258C">
            <w:pPr>
              <w:widowControl/>
              <w:kinsoku w:val="0"/>
              <w:overflowPunct w:val="0"/>
              <w:rPr>
                <w:rFonts w:eastAsia="MS Mincho"/>
                <w:sz w:val="22"/>
                <w:szCs w:val="22"/>
                <w:lang w:val="el-GR"/>
              </w:rPr>
            </w:pPr>
            <w:r>
              <w:rPr>
                <w:rFonts w:eastAsia="MS Mincho"/>
                <w:sz w:val="22"/>
                <w:szCs w:val="22"/>
                <w:lang w:val="el-GR"/>
              </w:rPr>
              <w:t>60 (54,5)</w:t>
            </w:r>
          </w:p>
        </w:tc>
        <w:tc>
          <w:tcPr>
            <w:tcW w:w="1950" w:type="dxa"/>
          </w:tcPr>
          <w:p w14:paraId="2CC86A4E" w14:textId="77777777" w:rsidR="00171824" w:rsidRDefault="006D258C">
            <w:pPr>
              <w:widowControl/>
              <w:kinsoku w:val="0"/>
              <w:overflowPunct w:val="0"/>
              <w:rPr>
                <w:rFonts w:eastAsia="MS Mincho"/>
                <w:sz w:val="22"/>
                <w:szCs w:val="22"/>
                <w:lang w:val="el-GR"/>
              </w:rPr>
            </w:pPr>
            <w:r>
              <w:rPr>
                <w:rFonts w:eastAsia="MS Mincho"/>
                <w:sz w:val="22"/>
                <w:szCs w:val="22"/>
                <w:lang w:val="el-GR"/>
              </w:rPr>
              <w:t>5,6</w:t>
            </w:r>
          </w:p>
        </w:tc>
        <w:tc>
          <w:tcPr>
            <w:tcW w:w="709" w:type="dxa"/>
          </w:tcPr>
          <w:p w14:paraId="1FA2F566" w14:textId="77777777" w:rsidR="00171824" w:rsidRDefault="006D258C">
            <w:pPr>
              <w:widowControl/>
              <w:kinsoku w:val="0"/>
              <w:overflowPunct w:val="0"/>
              <w:rPr>
                <w:rFonts w:eastAsia="MS Mincho"/>
                <w:sz w:val="22"/>
                <w:szCs w:val="22"/>
                <w:lang w:val="el-GR"/>
              </w:rPr>
            </w:pPr>
            <w:r>
              <w:rPr>
                <w:rFonts w:eastAsia="MS Mincho"/>
                <w:sz w:val="22"/>
                <w:szCs w:val="22"/>
                <w:lang w:val="el-GR"/>
              </w:rPr>
              <w:t>0,50</w:t>
            </w:r>
          </w:p>
        </w:tc>
        <w:tc>
          <w:tcPr>
            <w:tcW w:w="1134" w:type="dxa"/>
          </w:tcPr>
          <w:p w14:paraId="49AD1356" w14:textId="77777777" w:rsidR="00171824" w:rsidRDefault="006D258C">
            <w:pPr>
              <w:widowControl/>
              <w:kinsoku w:val="0"/>
              <w:overflowPunct w:val="0"/>
              <w:rPr>
                <w:rFonts w:eastAsia="MS Mincho"/>
                <w:sz w:val="22"/>
                <w:szCs w:val="22"/>
                <w:lang w:val="el-GR"/>
              </w:rPr>
            </w:pPr>
            <w:r>
              <w:rPr>
                <w:rFonts w:eastAsia="MS Mincho"/>
                <w:sz w:val="22"/>
                <w:szCs w:val="22"/>
                <w:lang w:val="el-GR"/>
              </w:rPr>
              <w:t>0,36, 0,70</w:t>
            </w:r>
          </w:p>
        </w:tc>
        <w:tc>
          <w:tcPr>
            <w:tcW w:w="1174" w:type="dxa"/>
          </w:tcPr>
          <w:p w14:paraId="0FCB9673" w14:textId="77777777" w:rsidR="00171824" w:rsidRDefault="006D258C">
            <w:pPr>
              <w:widowControl/>
              <w:kinsoku w:val="0"/>
              <w:overflowPunct w:val="0"/>
              <w:rPr>
                <w:rFonts w:eastAsia="MS Mincho"/>
                <w:sz w:val="22"/>
                <w:szCs w:val="22"/>
                <w:lang w:val="el-GR"/>
              </w:rPr>
            </w:pPr>
            <w:r>
              <w:rPr>
                <w:rFonts w:eastAsia="MS Mincho"/>
                <w:sz w:val="22"/>
                <w:szCs w:val="22"/>
                <w:lang w:val="el-GR"/>
              </w:rPr>
              <w:t>&lt; 0,001</w:t>
            </w:r>
          </w:p>
        </w:tc>
      </w:tr>
      <w:tr w:rsidR="00171824" w14:paraId="6BF4B779" w14:textId="77777777">
        <w:trPr>
          <w:trHeight w:val="335"/>
        </w:trPr>
        <w:tc>
          <w:tcPr>
            <w:tcW w:w="9254" w:type="dxa"/>
            <w:gridSpan w:val="7"/>
          </w:tcPr>
          <w:p w14:paraId="03779A44" w14:textId="77777777" w:rsidR="00171824" w:rsidRDefault="006D258C">
            <w:pPr>
              <w:widowControl/>
              <w:kinsoku w:val="0"/>
              <w:overflowPunct w:val="0"/>
              <w:rPr>
                <w:rFonts w:eastAsia="MS Mincho"/>
                <w:sz w:val="22"/>
                <w:szCs w:val="22"/>
                <w:lang w:val="el-GR"/>
              </w:rPr>
            </w:pPr>
            <w:r>
              <w:rPr>
                <w:rFonts w:eastAsia="MS Mincho"/>
                <w:b/>
                <w:bCs/>
                <w:sz w:val="22"/>
                <w:szCs w:val="22"/>
                <w:lang w:val="el-GR"/>
              </w:rPr>
              <w:t>Χρόνος έως την Αποτυχία της Θεραπείας Στην ή Μετά την εβδομάδα 2 στη Μελέτη UV II</w:t>
            </w:r>
          </w:p>
          <w:p w14:paraId="1E65D31C" w14:textId="77777777" w:rsidR="00171824" w:rsidRDefault="006D258C">
            <w:pPr>
              <w:kinsoku w:val="0"/>
              <w:overflowPunct w:val="0"/>
              <w:rPr>
                <w:rFonts w:eastAsia="MS Mincho"/>
                <w:sz w:val="22"/>
                <w:szCs w:val="22"/>
                <w:lang w:val="el-GR"/>
              </w:rPr>
            </w:pPr>
            <w:r>
              <w:rPr>
                <w:rFonts w:eastAsia="MS Mincho"/>
                <w:sz w:val="22"/>
                <w:szCs w:val="22"/>
                <w:lang w:val="el-GR"/>
              </w:rPr>
              <w:t>Κύρια ανάλυση (ITT)</w:t>
            </w:r>
          </w:p>
          <w:p w14:paraId="436099AF" w14:textId="77777777" w:rsidR="00171824" w:rsidRDefault="00171824">
            <w:pPr>
              <w:kinsoku w:val="0"/>
              <w:overflowPunct w:val="0"/>
              <w:rPr>
                <w:rFonts w:eastAsia="MS Mincho"/>
                <w:sz w:val="22"/>
                <w:szCs w:val="22"/>
                <w:lang w:val="el-GR"/>
              </w:rPr>
            </w:pPr>
          </w:p>
        </w:tc>
      </w:tr>
      <w:tr w:rsidR="00171824" w14:paraId="432D9CCF" w14:textId="77777777">
        <w:tc>
          <w:tcPr>
            <w:tcW w:w="2231" w:type="dxa"/>
          </w:tcPr>
          <w:p w14:paraId="262F8230" w14:textId="77777777" w:rsidR="00171824" w:rsidRDefault="006D258C">
            <w:pPr>
              <w:pStyle w:val="BodyText"/>
              <w:widowControl/>
              <w:ind w:left="0"/>
              <w:rPr>
                <w:rFonts w:eastAsia="MS Mincho"/>
                <w:lang w:val="el-GR"/>
              </w:rPr>
            </w:pPr>
            <w:r>
              <w:rPr>
                <w:rFonts w:eastAsia="MS Mincho"/>
                <w:lang w:val="el-GR"/>
              </w:rPr>
              <w:t>Εικονικό φάρμακο</w:t>
            </w:r>
          </w:p>
        </w:tc>
        <w:tc>
          <w:tcPr>
            <w:tcW w:w="806" w:type="dxa"/>
          </w:tcPr>
          <w:p w14:paraId="07A22E34" w14:textId="77777777" w:rsidR="00171824" w:rsidRDefault="006D258C">
            <w:pPr>
              <w:widowControl/>
              <w:kinsoku w:val="0"/>
              <w:overflowPunct w:val="0"/>
              <w:rPr>
                <w:rFonts w:eastAsia="MS Mincho"/>
                <w:sz w:val="22"/>
                <w:szCs w:val="22"/>
                <w:lang w:val="el-GR"/>
              </w:rPr>
            </w:pPr>
            <w:r>
              <w:rPr>
                <w:rFonts w:eastAsia="MS Mincho"/>
                <w:sz w:val="22"/>
                <w:szCs w:val="22"/>
                <w:lang w:val="el-GR"/>
              </w:rPr>
              <w:t>111</w:t>
            </w:r>
          </w:p>
        </w:tc>
        <w:tc>
          <w:tcPr>
            <w:tcW w:w="1250" w:type="dxa"/>
          </w:tcPr>
          <w:p w14:paraId="73D32E4B" w14:textId="77777777" w:rsidR="00171824" w:rsidRDefault="006D258C">
            <w:pPr>
              <w:widowControl/>
              <w:kinsoku w:val="0"/>
              <w:overflowPunct w:val="0"/>
              <w:rPr>
                <w:rFonts w:eastAsia="MS Mincho"/>
                <w:sz w:val="22"/>
                <w:szCs w:val="22"/>
                <w:lang w:val="el-GR"/>
              </w:rPr>
            </w:pPr>
            <w:r>
              <w:rPr>
                <w:rFonts w:eastAsia="MS Mincho"/>
                <w:sz w:val="22"/>
                <w:szCs w:val="22"/>
                <w:lang w:val="el-GR"/>
              </w:rPr>
              <w:t>61 (55,0)</w:t>
            </w:r>
          </w:p>
        </w:tc>
        <w:tc>
          <w:tcPr>
            <w:tcW w:w="1950" w:type="dxa"/>
          </w:tcPr>
          <w:p w14:paraId="07A3F64D" w14:textId="77777777" w:rsidR="00171824" w:rsidRDefault="006D258C">
            <w:pPr>
              <w:widowControl/>
              <w:kinsoku w:val="0"/>
              <w:overflowPunct w:val="0"/>
              <w:rPr>
                <w:rFonts w:eastAsia="MS Mincho"/>
                <w:sz w:val="22"/>
                <w:szCs w:val="22"/>
                <w:lang w:val="el-GR"/>
              </w:rPr>
            </w:pPr>
            <w:r>
              <w:rPr>
                <w:rFonts w:eastAsia="MS Mincho"/>
                <w:sz w:val="22"/>
                <w:szCs w:val="22"/>
                <w:lang w:val="el-GR"/>
              </w:rPr>
              <w:t>8,3</w:t>
            </w:r>
          </w:p>
        </w:tc>
        <w:tc>
          <w:tcPr>
            <w:tcW w:w="709" w:type="dxa"/>
          </w:tcPr>
          <w:p w14:paraId="382C8F9C"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c>
          <w:tcPr>
            <w:tcW w:w="1134" w:type="dxa"/>
          </w:tcPr>
          <w:p w14:paraId="208E30E3"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c>
          <w:tcPr>
            <w:tcW w:w="1174" w:type="dxa"/>
          </w:tcPr>
          <w:p w14:paraId="09F62672" w14:textId="77777777" w:rsidR="00171824" w:rsidRDefault="006D258C">
            <w:pPr>
              <w:widowControl/>
              <w:kinsoku w:val="0"/>
              <w:overflowPunct w:val="0"/>
              <w:rPr>
                <w:rFonts w:eastAsia="MS Mincho"/>
                <w:sz w:val="22"/>
                <w:szCs w:val="22"/>
                <w:lang w:val="el-GR"/>
              </w:rPr>
            </w:pPr>
            <w:r>
              <w:rPr>
                <w:rFonts w:eastAsia="MS Mincho"/>
                <w:sz w:val="22"/>
                <w:szCs w:val="22"/>
                <w:lang w:val="el-GR"/>
              </w:rPr>
              <w:t>--</w:t>
            </w:r>
          </w:p>
        </w:tc>
      </w:tr>
      <w:tr w:rsidR="00171824" w14:paraId="3AF5F3D8" w14:textId="77777777">
        <w:tc>
          <w:tcPr>
            <w:tcW w:w="2231" w:type="dxa"/>
          </w:tcPr>
          <w:p w14:paraId="47E59048" w14:textId="77777777" w:rsidR="00171824" w:rsidRDefault="006D258C">
            <w:pPr>
              <w:pStyle w:val="BodyText"/>
              <w:widowControl/>
              <w:ind w:left="0"/>
              <w:rPr>
                <w:rFonts w:eastAsia="MS Mincho"/>
                <w:lang w:val="el-GR"/>
              </w:rPr>
            </w:pPr>
            <w:r>
              <w:rPr>
                <w:rFonts w:eastAsia="MS Mincho"/>
                <w:lang w:val="el-GR"/>
              </w:rPr>
              <w:t>Adalimumab</w:t>
            </w:r>
          </w:p>
        </w:tc>
        <w:tc>
          <w:tcPr>
            <w:tcW w:w="806" w:type="dxa"/>
          </w:tcPr>
          <w:p w14:paraId="4CDD0740" w14:textId="77777777" w:rsidR="00171824" w:rsidRDefault="006D258C">
            <w:pPr>
              <w:widowControl/>
              <w:kinsoku w:val="0"/>
              <w:overflowPunct w:val="0"/>
              <w:rPr>
                <w:rFonts w:eastAsia="MS Mincho"/>
                <w:sz w:val="22"/>
                <w:szCs w:val="22"/>
                <w:lang w:val="el-GR"/>
              </w:rPr>
            </w:pPr>
            <w:r>
              <w:rPr>
                <w:rFonts w:eastAsia="MS Mincho"/>
                <w:sz w:val="22"/>
                <w:szCs w:val="22"/>
                <w:lang w:val="el-GR"/>
              </w:rPr>
              <w:t>115</w:t>
            </w:r>
          </w:p>
        </w:tc>
        <w:tc>
          <w:tcPr>
            <w:tcW w:w="1250" w:type="dxa"/>
          </w:tcPr>
          <w:p w14:paraId="566C0E12" w14:textId="77777777" w:rsidR="00171824" w:rsidRDefault="006D258C">
            <w:pPr>
              <w:widowControl/>
              <w:kinsoku w:val="0"/>
              <w:overflowPunct w:val="0"/>
              <w:rPr>
                <w:rFonts w:eastAsia="MS Mincho"/>
                <w:sz w:val="22"/>
                <w:szCs w:val="22"/>
                <w:lang w:val="el-GR"/>
              </w:rPr>
            </w:pPr>
            <w:r>
              <w:rPr>
                <w:rFonts w:eastAsia="MS Mincho"/>
                <w:sz w:val="22"/>
                <w:szCs w:val="22"/>
                <w:lang w:val="el-GR"/>
              </w:rPr>
              <w:t>45 (39,1)</w:t>
            </w:r>
          </w:p>
        </w:tc>
        <w:tc>
          <w:tcPr>
            <w:tcW w:w="1950" w:type="dxa"/>
          </w:tcPr>
          <w:p w14:paraId="0A64B0FE" w14:textId="77777777" w:rsidR="00171824" w:rsidRDefault="006D258C">
            <w:pPr>
              <w:widowControl/>
              <w:kinsoku w:val="0"/>
              <w:overflowPunct w:val="0"/>
              <w:rPr>
                <w:rFonts w:eastAsia="MS Mincho"/>
                <w:sz w:val="22"/>
                <w:szCs w:val="22"/>
                <w:lang w:val="el-GR"/>
              </w:rPr>
            </w:pPr>
            <w:r>
              <w:rPr>
                <w:rFonts w:eastAsia="MS Mincho"/>
                <w:sz w:val="22"/>
                <w:szCs w:val="22"/>
                <w:lang w:val="el-GR"/>
              </w:rPr>
              <w:t>NE</w:t>
            </w:r>
            <w:r>
              <w:rPr>
                <w:rFonts w:eastAsia="MS Mincho"/>
                <w:sz w:val="22"/>
                <w:szCs w:val="22"/>
                <w:vertAlign w:val="superscript"/>
                <w:lang w:val="el-GR"/>
              </w:rPr>
              <w:t>c</w:t>
            </w:r>
          </w:p>
        </w:tc>
        <w:tc>
          <w:tcPr>
            <w:tcW w:w="709" w:type="dxa"/>
          </w:tcPr>
          <w:p w14:paraId="53E6BBB1" w14:textId="77777777" w:rsidR="00171824" w:rsidRDefault="006D258C">
            <w:pPr>
              <w:widowControl/>
              <w:kinsoku w:val="0"/>
              <w:overflowPunct w:val="0"/>
              <w:rPr>
                <w:rFonts w:eastAsia="MS Mincho"/>
                <w:sz w:val="22"/>
                <w:szCs w:val="22"/>
                <w:lang w:val="el-GR"/>
              </w:rPr>
            </w:pPr>
            <w:r>
              <w:rPr>
                <w:rFonts w:eastAsia="MS Mincho"/>
                <w:sz w:val="22"/>
                <w:szCs w:val="22"/>
                <w:lang w:val="el-GR"/>
              </w:rPr>
              <w:t>0,57</w:t>
            </w:r>
          </w:p>
        </w:tc>
        <w:tc>
          <w:tcPr>
            <w:tcW w:w="1134" w:type="dxa"/>
          </w:tcPr>
          <w:p w14:paraId="55BB50B6" w14:textId="77777777" w:rsidR="00171824" w:rsidRDefault="006D258C">
            <w:pPr>
              <w:widowControl/>
              <w:kinsoku w:val="0"/>
              <w:overflowPunct w:val="0"/>
              <w:rPr>
                <w:rFonts w:eastAsia="MS Mincho"/>
                <w:sz w:val="22"/>
                <w:szCs w:val="22"/>
                <w:lang w:val="el-GR"/>
              </w:rPr>
            </w:pPr>
            <w:r>
              <w:rPr>
                <w:rFonts w:eastAsia="MS Mincho"/>
                <w:sz w:val="22"/>
                <w:szCs w:val="22"/>
                <w:lang w:val="el-GR"/>
              </w:rPr>
              <w:t>0,39, 0,84</w:t>
            </w:r>
          </w:p>
        </w:tc>
        <w:tc>
          <w:tcPr>
            <w:tcW w:w="1174" w:type="dxa"/>
          </w:tcPr>
          <w:p w14:paraId="0E14470A" w14:textId="77777777" w:rsidR="00171824" w:rsidRDefault="006D258C">
            <w:pPr>
              <w:widowControl/>
              <w:kinsoku w:val="0"/>
              <w:overflowPunct w:val="0"/>
              <w:rPr>
                <w:rFonts w:eastAsia="MS Mincho"/>
                <w:sz w:val="22"/>
                <w:szCs w:val="22"/>
                <w:lang w:val="el-GR"/>
              </w:rPr>
            </w:pPr>
            <w:r>
              <w:rPr>
                <w:rFonts w:eastAsia="MS Mincho"/>
                <w:sz w:val="22"/>
                <w:szCs w:val="22"/>
                <w:lang w:val="el-GR"/>
              </w:rPr>
              <w:t>0,004</w:t>
            </w:r>
          </w:p>
        </w:tc>
      </w:tr>
    </w:tbl>
    <w:p w14:paraId="08987B91" w14:textId="77777777" w:rsidR="00171824" w:rsidRDefault="006D258C">
      <w:pPr>
        <w:pStyle w:val="BodyText"/>
        <w:widowControl/>
        <w:kinsoku w:val="0"/>
        <w:overflowPunct w:val="0"/>
        <w:ind w:left="0"/>
        <w:rPr>
          <w:sz w:val="20"/>
          <w:szCs w:val="20"/>
          <w:lang w:val="el-GR"/>
        </w:rPr>
      </w:pPr>
      <w:r>
        <w:rPr>
          <w:sz w:val="20"/>
          <w:szCs w:val="20"/>
          <w:lang w:val="el-GR"/>
        </w:rPr>
        <w:t>Σημείωση: Η Αποτυχία της Θεραπείας στην ή μετά την εβδομάδα 6 (Μελέτη UV I), ή στην ή μετά</w:t>
      </w:r>
    </w:p>
    <w:p w14:paraId="5CC911D6" w14:textId="77777777" w:rsidR="00171824" w:rsidRDefault="006D258C">
      <w:pPr>
        <w:pStyle w:val="BodyText"/>
        <w:widowControl/>
        <w:kinsoku w:val="0"/>
        <w:overflowPunct w:val="0"/>
        <w:ind w:left="0"/>
        <w:rPr>
          <w:sz w:val="20"/>
          <w:szCs w:val="20"/>
          <w:lang w:val="el-GR"/>
        </w:rPr>
      </w:pPr>
      <w:r>
        <w:rPr>
          <w:sz w:val="20"/>
          <w:szCs w:val="20"/>
          <w:lang w:val="el-GR"/>
        </w:rPr>
        <w:t>την εβδομάδα 2 (Μελέτη UV II), μετρήθηκε ως γεγονός. Οι ασθενείς που δεν ολοκλήρωσαν τη θεραπεία για λόγους άλλους εκτός από την αποτυχία της θεραπείας, δεν υπολογίστηκαν κατά το χρόνο που εγκατέλειψαν τη μελέτη.</w:t>
      </w:r>
    </w:p>
    <w:p w14:paraId="28BE265F"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a</w:t>
      </w:r>
      <w:r>
        <w:rPr>
          <w:sz w:val="20"/>
          <w:szCs w:val="20"/>
          <w:vertAlign w:val="superscript"/>
          <w:lang w:val="el-GR"/>
        </w:rPr>
        <w:tab/>
      </w:r>
      <w:r>
        <w:rPr>
          <w:sz w:val="20"/>
          <w:szCs w:val="20"/>
          <w:lang w:val="el-GR"/>
        </w:rPr>
        <w:t>HR του adalimumab έναντι του εικονικού φαρμάκου από αναλογική παλινδρόμηση κινδύνου με τη θεραπεία ως παράγοντα.</w:t>
      </w:r>
    </w:p>
    <w:p w14:paraId="21D2C602"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b</w:t>
      </w:r>
      <w:r>
        <w:rPr>
          <w:sz w:val="20"/>
          <w:szCs w:val="20"/>
          <w:vertAlign w:val="superscript"/>
          <w:lang w:val="el-GR"/>
        </w:rPr>
        <w:tab/>
      </w:r>
      <w:r>
        <w:rPr>
          <w:sz w:val="20"/>
          <w:szCs w:val="20"/>
          <w:lang w:val="el-GR"/>
        </w:rPr>
        <w:t xml:space="preserve">2-όψεων τιμή </w:t>
      </w:r>
      <w:r>
        <w:rPr>
          <w:i/>
          <w:iCs/>
          <w:sz w:val="20"/>
          <w:szCs w:val="20"/>
          <w:lang w:val="el-GR"/>
        </w:rPr>
        <w:t xml:space="preserve">P </w:t>
      </w:r>
      <w:r>
        <w:rPr>
          <w:sz w:val="20"/>
          <w:szCs w:val="20"/>
          <w:lang w:val="el-GR"/>
        </w:rPr>
        <w:t>από τη δοκιμασία log rank.</w:t>
      </w:r>
    </w:p>
    <w:p w14:paraId="2E02F6BF" w14:textId="77777777" w:rsidR="00171824" w:rsidRDefault="006D258C">
      <w:pPr>
        <w:pStyle w:val="BodyText"/>
        <w:widowControl/>
        <w:tabs>
          <w:tab w:val="left" w:pos="284"/>
        </w:tabs>
        <w:kinsoku w:val="0"/>
        <w:overflowPunct w:val="0"/>
        <w:ind w:left="0"/>
        <w:rPr>
          <w:sz w:val="20"/>
          <w:szCs w:val="20"/>
          <w:lang w:val="el-GR"/>
        </w:rPr>
      </w:pPr>
      <w:r>
        <w:rPr>
          <w:sz w:val="20"/>
          <w:szCs w:val="20"/>
          <w:vertAlign w:val="superscript"/>
          <w:lang w:val="el-GR"/>
        </w:rPr>
        <w:t>c</w:t>
      </w:r>
      <w:r>
        <w:rPr>
          <w:sz w:val="20"/>
          <w:szCs w:val="20"/>
          <w:vertAlign w:val="superscript"/>
          <w:lang w:val="el-GR"/>
        </w:rPr>
        <w:tab/>
      </w:r>
      <w:r>
        <w:rPr>
          <w:sz w:val="20"/>
          <w:szCs w:val="20"/>
          <w:lang w:val="el-GR"/>
        </w:rPr>
        <w:t>NE = δεν μπορεί να εκτιμηθεί. Λιγότεροι από τους μισούς ασθενείς που διέτρεχαν κίνδυνο είχαν ένα συμβάν.</w:t>
      </w:r>
    </w:p>
    <w:p w14:paraId="42C0C3D2" w14:textId="77777777" w:rsidR="00171824" w:rsidRDefault="00171824">
      <w:pPr>
        <w:pStyle w:val="BodyText"/>
        <w:widowControl/>
        <w:tabs>
          <w:tab w:val="left" w:pos="684"/>
        </w:tabs>
        <w:kinsoku w:val="0"/>
        <w:overflowPunct w:val="0"/>
        <w:ind w:left="0"/>
        <w:rPr>
          <w:lang w:val="el-GR"/>
        </w:rPr>
      </w:pPr>
    </w:p>
    <w:p w14:paraId="78251F3C" w14:textId="77777777" w:rsidR="00171824" w:rsidRDefault="006D258C">
      <w:pPr>
        <w:pStyle w:val="BodyText"/>
        <w:widowControl/>
        <w:ind w:left="907" w:hanging="907"/>
        <w:rPr>
          <w:b/>
          <w:bCs/>
          <w:lang w:val="el-GR"/>
        </w:rPr>
      </w:pPr>
      <w:r>
        <w:rPr>
          <w:b/>
          <w:lang w:val="el-GR"/>
        </w:rPr>
        <w:t>Σχήμα 2. Καμπύλες Kaplan-Meier που Συνοψίζουν το Χρόνο έως την Αποτυχία της Θεραπείας στην ή μετά την εβδομάδα 6 (Μελέτη UV I) ή εβδομάδα 2 (Μελέτη UV II)</w:t>
      </w:r>
    </w:p>
    <w:p w14:paraId="432C39BB" w14:textId="77777777" w:rsidR="00171824" w:rsidRDefault="00171824">
      <w:pPr>
        <w:pStyle w:val="BodyText"/>
        <w:widowControl/>
        <w:ind w:left="0"/>
        <w:rPr>
          <w:b/>
          <w:lang w:val="el-GR"/>
        </w:rPr>
      </w:pPr>
    </w:p>
    <w:p w14:paraId="12AF9B5F" w14:textId="742242BE" w:rsidR="00171824" w:rsidRDefault="009039B7">
      <w:pPr>
        <w:pStyle w:val="BodyText"/>
        <w:widowControl/>
        <w:kinsoku w:val="0"/>
        <w:overflowPunct w:val="0"/>
        <w:ind w:left="0"/>
        <w:rPr>
          <w:lang w:val="el-GR"/>
        </w:rPr>
      </w:pPr>
      <w:r>
        <w:rPr>
          <w:noProof/>
          <w:lang w:val="el-GR" w:eastAsia="zh-CN"/>
        </w:rPr>
        <w:lastRenderedPageBreak/>
        <w:drawing>
          <wp:inline distT="0" distB="0" distL="0" distR="0" wp14:anchorId="30DDFCF9" wp14:editId="1DA8E9E9">
            <wp:extent cx="5852160" cy="2646045"/>
            <wp:effectExtent l="0" t="0" r="0" b="0"/>
            <wp:docPr id="1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2160" cy="2646045"/>
                    </a:xfrm>
                    <a:prstGeom prst="rect">
                      <a:avLst/>
                    </a:prstGeom>
                    <a:noFill/>
                    <a:ln>
                      <a:noFill/>
                    </a:ln>
                  </pic:spPr>
                </pic:pic>
              </a:graphicData>
            </a:graphic>
          </wp:inline>
        </w:drawing>
      </w:r>
    </w:p>
    <w:p w14:paraId="6874F0B6" w14:textId="701DB3C0" w:rsidR="00171824" w:rsidRDefault="009039B7">
      <w:pPr>
        <w:pStyle w:val="BodyText"/>
        <w:widowControl/>
        <w:kinsoku w:val="0"/>
        <w:overflowPunct w:val="0"/>
        <w:ind w:left="0"/>
        <w:rPr>
          <w:lang w:val="el-GR"/>
        </w:rPr>
      </w:pPr>
      <w:r>
        <w:rPr>
          <w:noProof/>
          <w:lang w:val="el-GR" w:eastAsia="zh-CN"/>
        </w:rPr>
        <w:drawing>
          <wp:inline distT="0" distB="0" distL="0" distR="0" wp14:anchorId="11014270" wp14:editId="4BB81580">
            <wp:extent cx="5857875" cy="2651760"/>
            <wp:effectExtent l="0" t="0" r="0" b="0"/>
            <wp:docPr id="1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57875" cy="2651760"/>
                    </a:xfrm>
                    <a:prstGeom prst="rect">
                      <a:avLst/>
                    </a:prstGeom>
                    <a:noFill/>
                    <a:ln>
                      <a:noFill/>
                    </a:ln>
                  </pic:spPr>
                </pic:pic>
              </a:graphicData>
            </a:graphic>
          </wp:inline>
        </w:drawing>
      </w:r>
    </w:p>
    <w:p w14:paraId="69436562" w14:textId="77777777" w:rsidR="00171824" w:rsidRDefault="006D258C">
      <w:pPr>
        <w:pStyle w:val="BodyText"/>
        <w:widowControl/>
        <w:kinsoku w:val="0"/>
        <w:overflowPunct w:val="0"/>
        <w:ind w:left="0"/>
        <w:rPr>
          <w:sz w:val="20"/>
          <w:szCs w:val="20"/>
          <w:lang w:val="el-GR"/>
        </w:rPr>
      </w:pPr>
      <w:r>
        <w:rPr>
          <w:sz w:val="20"/>
          <w:szCs w:val="20"/>
          <w:lang w:val="el-GR"/>
        </w:rPr>
        <w:t>Σημείωση: P# = Εικονικό φάρμακο (Αριθμός Συμβάντων/Αριθμός ασθενών που διατρέχουν κίνδυνο).</w:t>
      </w:r>
    </w:p>
    <w:p w14:paraId="599556B0" w14:textId="77777777" w:rsidR="00171824" w:rsidRDefault="006D258C">
      <w:pPr>
        <w:pStyle w:val="BodyText"/>
        <w:widowControl/>
        <w:kinsoku w:val="0"/>
        <w:overflowPunct w:val="0"/>
        <w:ind w:left="0"/>
        <w:rPr>
          <w:sz w:val="20"/>
          <w:szCs w:val="20"/>
          <w:lang w:val="el-GR"/>
        </w:rPr>
      </w:pPr>
      <w:r>
        <w:rPr>
          <w:sz w:val="20"/>
          <w:szCs w:val="20"/>
          <w:lang w:val="el-GR"/>
        </w:rPr>
        <w:t>A# = Adalimumab (Αριθμός Συμβάντων/Αριθμός ασθενών που διατρέχουν κίνδυνο).</w:t>
      </w:r>
    </w:p>
    <w:p w14:paraId="512B81F7" w14:textId="77777777" w:rsidR="00171824" w:rsidRDefault="00171824">
      <w:pPr>
        <w:pStyle w:val="BodyText"/>
        <w:widowControl/>
        <w:tabs>
          <w:tab w:val="left" w:pos="684"/>
        </w:tabs>
        <w:kinsoku w:val="0"/>
        <w:overflowPunct w:val="0"/>
        <w:ind w:left="0"/>
        <w:rPr>
          <w:lang w:val="el-GR"/>
        </w:rPr>
      </w:pPr>
    </w:p>
    <w:p w14:paraId="0D25CD61" w14:textId="77777777" w:rsidR="00171824" w:rsidRDefault="006D258C">
      <w:pPr>
        <w:pStyle w:val="BodyText"/>
        <w:widowControl/>
        <w:kinsoku w:val="0"/>
        <w:overflowPunct w:val="0"/>
        <w:ind w:left="0"/>
        <w:rPr>
          <w:lang w:val="el-GR"/>
        </w:rPr>
      </w:pPr>
      <w:r>
        <w:rPr>
          <w:lang w:val="el-GR"/>
        </w:rPr>
        <w:t xml:space="preserve">Στη Μελέτη UV I παρατηρήθηκαν στατιστικά σημαντικές διαφορές υπέρ του adalimumab </w:t>
      </w:r>
      <w:r>
        <w:rPr>
          <w:i/>
          <w:iCs/>
          <w:lang w:val="el-GR"/>
        </w:rPr>
        <w:t xml:space="preserve">έναντι </w:t>
      </w:r>
      <w:r>
        <w:rPr>
          <w:lang w:val="el-GR"/>
        </w:rPr>
        <w:t>του εικονικού φαρμάκου για κάθε συνιστώσα ορισμού της αποτυχίας της θεραπείας. Στη Μελέτη UV II, παρατηρήθηκαν στατιστικά σημαντικές διαφορές μόνο για την οπτική οξύτητα, αλλά οι άλλες συνιστώσες ήταν αριθμητικά υπέρ του adalimumab.</w:t>
      </w:r>
    </w:p>
    <w:p w14:paraId="7E44C43F" w14:textId="77777777" w:rsidR="00171824" w:rsidRDefault="00171824">
      <w:pPr>
        <w:widowControl/>
        <w:kinsoku w:val="0"/>
        <w:overflowPunct w:val="0"/>
        <w:rPr>
          <w:sz w:val="22"/>
          <w:szCs w:val="22"/>
          <w:lang w:val="el-GR"/>
        </w:rPr>
      </w:pPr>
    </w:p>
    <w:p w14:paraId="2F29A610" w14:textId="77777777" w:rsidR="00171824" w:rsidRDefault="006D258C">
      <w:pPr>
        <w:widowControl/>
        <w:kinsoku w:val="0"/>
        <w:overflowPunct w:val="0"/>
        <w:rPr>
          <w:sz w:val="22"/>
          <w:szCs w:val="22"/>
          <w:lang w:val="el-GR"/>
        </w:rPr>
      </w:pPr>
      <w:r>
        <w:rPr>
          <w:sz w:val="22"/>
          <w:szCs w:val="22"/>
          <w:lang w:val="el-GR"/>
        </w:rPr>
        <w:t>Από τους 424 ασθενείς που συμπεριλήφθηκαν στη μη ελεγχόμενη μακροχρόνια επέκταση των Μελετών UV I και UV II, 60 ασθενείς θεωρήθηκαν μη επιλέξιμοι (π.χ. λόγω αποκλίσεων ή λόγω δευτερογενών επιπλοκών διαβητικής αμφιβληστροειδοπάθειας, λόγω της χειρουργικής επέμβασης καταρράκτη ή υαλοειδεκτομής) και αποκλείστηκαν από την αρχική ανάλυση της αποτελεσματικότητας. Από τους υπόλοιπους 364 ασθενείς, 269 αξιολογήσιμοι ασθενείς (74%) έφτασαν τις 78 εβδομάδες ανοικτής θεραπείας με adalimumab. Με βάση την προσέγγιση των παρατηρηθέντων δεδομένων, 216 (80,3 %) βρίσκονταν σε αδράνεια (δεν υπήρξαν ενεργές φλεγμονώδεις αλλοιώσεις, βαθμός AC κυττάρων ≤ 0,5+, βαθμός VH ≤ 0,5+) με ταυτόχρονη δόση στεροειδών ≤ 7,5 mg ημερησίως, και οι 178 (66,2 %) ήταν σε αδράνεια χωρίς στεροειδή. Η καλύτερη οπτική οξύτητα (BCVA) είτε βελτιώθηκε είτε διατηρήθηκε (&lt; 5 επιδείνωση της αντίληψης των γραμμάτων) στο 88,6 % των οφθαλμών την εβδομάδα 78. Τα δεδομένα πέραν της Εβδομάδας 78 γενικώς συμβάδιζαν με αυτά τα αποτελέσματα αλλά ο αριθμός των εντεταγμένων ασθενών μειώθηκε ύστερα από αυτό το χρονικό διάστημα. Συνολικά, μεταξύ των ασθενών που διέκοψαν τη μελέτη, το 18 % διέκοψε λόγω ανεπιθύμητων ενεργειών, και το 8 % λόγω ανεπαρκούς ανταπόκρισης θεραπεία με adalimumab.</w:t>
      </w:r>
    </w:p>
    <w:p w14:paraId="6BD49358" w14:textId="77777777" w:rsidR="00171824" w:rsidRDefault="00171824">
      <w:pPr>
        <w:widowControl/>
        <w:kinsoku w:val="0"/>
        <w:overflowPunct w:val="0"/>
        <w:rPr>
          <w:sz w:val="22"/>
          <w:szCs w:val="22"/>
          <w:lang w:val="el-GR"/>
        </w:rPr>
      </w:pPr>
    </w:p>
    <w:p w14:paraId="55258783" w14:textId="77777777" w:rsidR="00171824" w:rsidRDefault="006D258C">
      <w:pPr>
        <w:keepNext/>
        <w:widowControl/>
        <w:kinsoku w:val="0"/>
        <w:overflowPunct w:val="0"/>
        <w:rPr>
          <w:sz w:val="22"/>
          <w:szCs w:val="22"/>
          <w:lang w:val="el-GR"/>
        </w:rPr>
      </w:pPr>
      <w:r>
        <w:rPr>
          <w:i/>
          <w:iCs/>
          <w:sz w:val="22"/>
          <w:szCs w:val="22"/>
          <w:u w:val="single"/>
          <w:lang w:val="el-GR"/>
        </w:rPr>
        <w:lastRenderedPageBreak/>
        <w:t>Ποιότητα ζωής</w:t>
      </w:r>
    </w:p>
    <w:p w14:paraId="1BCC7FD6" w14:textId="77777777" w:rsidR="00171824" w:rsidRDefault="00171824">
      <w:pPr>
        <w:keepNext/>
        <w:widowControl/>
        <w:kinsoku w:val="0"/>
        <w:overflowPunct w:val="0"/>
        <w:rPr>
          <w:sz w:val="22"/>
          <w:szCs w:val="22"/>
          <w:lang w:val="el-GR"/>
        </w:rPr>
      </w:pPr>
    </w:p>
    <w:p w14:paraId="0F510704" w14:textId="77777777" w:rsidR="00171824" w:rsidRDefault="006D258C">
      <w:pPr>
        <w:pStyle w:val="BodyText"/>
        <w:keepNext/>
        <w:widowControl/>
        <w:kinsoku w:val="0"/>
        <w:overflowPunct w:val="0"/>
        <w:ind w:left="0"/>
        <w:rPr>
          <w:lang w:val="el-GR"/>
        </w:rPr>
      </w:pPr>
      <w:r>
        <w:rPr>
          <w:lang w:val="el-GR"/>
        </w:rPr>
        <w:t>Οι παράμετροι αυτοαξιολόγησης των ασθενών σχετικά με τη λειτουργία της όρασης μετρήθηκαν και στις δύο κλινικές μελέτες χρησιμοποιώντας το NEI VFQ-25. Το adalimumab υπερίσχυσε αριθμητικά στην πλειονότητα των επιμέρους βαθμολογιών με στατιστικά σημαντικές μέσες διαφορές για τη γενική όραση, το οφθαλμικό άλγος, την κοντινή όραση, την ψυχική υγεία και τη συνολική βαθμολογία στη Μελέτη UV Ι, και για τη γενική όραση και την ψυχική υγεία στη Μελέτη UV II. Το adalimumab δεν υπερίσχυσε αριθμητικά στις επιδράσεις που σχετίζονταν με την όραση για την αντίληψη των χρωμάτων στη Μελέτη UV I και για την αντίληψη των χρωμάτων, την περιφερική όραση και την κοντινή όραση στη Μελέτη UV II.</w:t>
      </w:r>
    </w:p>
    <w:p w14:paraId="3286E8DD" w14:textId="77777777" w:rsidR="00171824" w:rsidRDefault="00171824">
      <w:pPr>
        <w:widowControl/>
        <w:kinsoku w:val="0"/>
        <w:overflowPunct w:val="0"/>
        <w:rPr>
          <w:sz w:val="22"/>
          <w:szCs w:val="22"/>
          <w:lang w:val="el-GR"/>
        </w:rPr>
      </w:pPr>
    </w:p>
    <w:p w14:paraId="7CA039E7" w14:textId="77777777" w:rsidR="00171824" w:rsidRDefault="006D258C">
      <w:pPr>
        <w:pStyle w:val="BodyText"/>
        <w:keepNext/>
        <w:keepLines/>
        <w:widowControl/>
        <w:kinsoku w:val="0"/>
        <w:overflowPunct w:val="0"/>
        <w:ind w:left="0"/>
        <w:rPr>
          <w:lang w:val="el-GR"/>
        </w:rPr>
      </w:pPr>
      <w:r>
        <w:rPr>
          <w:u w:val="single"/>
          <w:lang w:val="el-GR"/>
        </w:rPr>
        <w:t>Ανοσογονικότητα</w:t>
      </w:r>
    </w:p>
    <w:p w14:paraId="29DA4808" w14:textId="77777777" w:rsidR="00171824" w:rsidRDefault="00171824">
      <w:pPr>
        <w:pStyle w:val="BodyText"/>
        <w:keepNext/>
        <w:keepLines/>
        <w:widowControl/>
        <w:kinsoku w:val="0"/>
        <w:overflowPunct w:val="0"/>
        <w:ind w:left="0"/>
        <w:rPr>
          <w:lang w:val="el-GR"/>
        </w:rPr>
      </w:pPr>
    </w:p>
    <w:p w14:paraId="360A3126" w14:textId="77777777" w:rsidR="00171824" w:rsidRDefault="006D258C">
      <w:pPr>
        <w:pStyle w:val="BodyText"/>
        <w:keepNext/>
        <w:keepLines/>
        <w:widowControl/>
        <w:kinsoku w:val="0"/>
        <w:overflowPunct w:val="0"/>
        <w:ind w:left="0"/>
        <w:rPr>
          <w:lang w:val="el-GR"/>
        </w:rPr>
      </w:pPr>
      <w:r>
        <w:rPr>
          <w:lang w:val="el-GR"/>
        </w:rPr>
        <w:t xml:space="preserve">Κατά τη διάρκεια της θεραπείας με adalimumab ενδέχεται να αναπτυχθούν αντισώματα έναντι του adalimumab. Ο σχηματισμός αντισωμάτων έναντι του adalimumab συνδέεται με αυξημένη κάθαρση και μειωμένη αποτελεσματικότητα του adalimumab. Δεν υπάρχει εμφανής συσχετισμός μεταξύ της παρουσίας των αντισωμάτων έναντι του adalimumab και της εμφάνισης ανεπιθύμητων ενεργειών. </w:t>
      </w:r>
    </w:p>
    <w:p w14:paraId="400C5B44" w14:textId="77777777" w:rsidR="00171824" w:rsidRDefault="00171824">
      <w:pPr>
        <w:pStyle w:val="BodyText"/>
        <w:widowControl/>
        <w:kinsoku w:val="0"/>
        <w:overflowPunct w:val="0"/>
        <w:ind w:left="0"/>
        <w:rPr>
          <w:u w:val="single"/>
          <w:lang w:val="el-GR"/>
        </w:rPr>
      </w:pPr>
    </w:p>
    <w:p w14:paraId="35161F16" w14:textId="77777777" w:rsidR="00171824" w:rsidRDefault="006D258C">
      <w:pPr>
        <w:pStyle w:val="BodyText"/>
        <w:keepNext/>
        <w:widowControl/>
        <w:kinsoku w:val="0"/>
        <w:overflowPunct w:val="0"/>
        <w:ind w:left="0"/>
        <w:rPr>
          <w:u w:val="single"/>
          <w:lang w:val="el-GR"/>
        </w:rPr>
      </w:pPr>
      <w:r>
        <w:rPr>
          <w:u w:val="single"/>
          <w:lang w:val="el-GR"/>
        </w:rPr>
        <w:t>Παιδιατρικός πληθυσμός</w:t>
      </w:r>
    </w:p>
    <w:p w14:paraId="2CB37199" w14:textId="77777777" w:rsidR="00171824" w:rsidRDefault="00171824">
      <w:pPr>
        <w:pStyle w:val="BodyText"/>
        <w:keepNext/>
        <w:widowControl/>
        <w:kinsoku w:val="0"/>
        <w:overflowPunct w:val="0"/>
        <w:ind w:left="0"/>
        <w:rPr>
          <w:u w:val="single"/>
          <w:lang w:val="el-GR"/>
        </w:rPr>
      </w:pPr>
    </w:p>
    <w:p w14:paraId="7B19D5EB" w14:textId="77777777" w:rsidR="00171824" w:rsidRDefault="006D258C">
      <w:pPr>
        <w:keepNext/>
        <w:widowControl/>
        <w:rPr>
          <w:i/>
          <w:iCs/>
          <w:color w:val="000000"/>
          <w:sz w:val="22"/>
          <w:szCs w:val="22"/>
          <w:lang w:val="el-GR" w:eastAsia="ja-JP"/>
        </w:rPr>
      </w:pPr>
      <w:r>
        <w:rPr>
          <w:i/>
          <w:iCs/>
          <w:color w:val="000000"/>
          <w:sz w:val="22"/>
          <w:szCs w:val="22"/>
          <w:lang w:val="el-GR" w:eastAsia="ja-JP"/>
        </w:rPr>
        <w:t xml:space="preserve">Νεανική ιδιοπαθής αρθρίτιδα (JΙΑ) </w:t>
      </w:r>
    </w:p>
    <w:p w14:paraId="29308252" w14:textId="77777777" w:rsidR="00171824" w:rsidRDefault="00171824">
      <w:pPr>
        <w:keepNext/>
        <w:widowControl/>
        <w:rPr>
          <w:color w:val="000000"/>
          <w:sz w:val="22"/>
          <w:szCs w:val="22"/>
          <w:lang w:val="el-GR" w:eastAsia="ja-JP"/>
        </w:rPr>
      </w:pPr>
    </w:p>
    <w:p w14:paraId="450457A2" w14:textId="77777777" w:rsidR="00171824" w:rsidRDefault="006D258C">
      <w:pPr>
        <w:keepNext/>
        <w:widowControl/>
        <w:rPr>
          <w:i/>
          <w:iCs/>
          <w:color w:val="000000"/>
          <w:sz w:val="22"/>
          <w:szCs w:val="22"/>
          <w:u w:val="single"/>
          <w:lang w:val="el-GR" w:eastAsia="ja-JP"/>
        </w:rPr>
      </w:pPr>
      <w:r>
        <w:rPr>
          <w:i/>
          <w:iCs/>
          <w:color w:val="000000"/>
          <w:sz w:val="22"/>
          <w:szCs w:val="22"/>
          <w:u w:val="single"/>
          <w:lang w:val="el-GR" w:eastAsia="ja-JP"/>
        </w:rPr>
        <w:t xml:space="preserve">Πολυαρθρική νεανική ιδιοπαθής αρθρίτιδα (pJIA) </w:t>
      </w:r>
    </w:p>
    <w:p w14:paraId="52A2C581" w14:textId="77777777" w:rsidR="00171824" w:rsidRDefault="00171824">
      <w:pPr>
        <w:keepNext/>
        <w:widowControl/>
        <w:rPr>
          <w:color w:val="000000"/>
          <w:sz w:val="22"/>
          <w:szCs w:val="22"/>
          <w:lang w:val="el-GR" w:eastAsia="ja-JP"/>
        </w:rPr>
      </w:pPr>
    </w:p>
    <w:p w14:paraId="497FD608" w14:textId="77777777" w:rsidR="00171824" w:rsidRDefault="006D258C">
      <w:pPr>
        <w:widowControl/>
        <w:rPr>
          <w:color w:val="000000"/>
          <w:sz w:val="22"/>
          <w:szCs w:val="22"/>
          <w:lang w:val="el-GR" w:eastAsia="ja-JP"/>
        </w:rPr>
      </w:pPr>
      <w:r>
        <w:rPr>
          <w:color w:val="000000"/>
          <w:sz w:val="22"/>
          <w:szCs w:val="22"/>
          <w:lang w:val="el-GR" w:eastAsia="ja-JP"/>
        </w:rPr>
        <w:t xml:space="preserve">Η ασφάλεια και η αποτελεσματικότητα του </w:t>
      </w:r>
      <w:r>
        <w:rPr>
          <w:sz w:val="22"/>
          <w:lang w:val="el-GR"/>
        </w:rPr>
        <w:t>adalimumab</w:t>
      </w:r>
      <w:r>
        <w:rPr>
          <w:i/>
          <w:iCs/>
          <w:sz w:val="22"/>
          <w:lang w:val="el-GR"/>
        </w:rPr>
        <w:t xml:space="preserve"> </w:t>
      </w:r>
      <w:r>
        <w:rPr>
          <w:color w:val="000000"/>
          <w:sz w:val="22"/>
          <w:szCs w:val="22"/>
          <w:lang w:val="el-GR" w:eastAsia="ja-JP"/>
        </w:rPr>
        <w:t xml:space="preserve">αξιολογήθηκαν σε δύο μελέτες (pJIA I και II) σε παιδιά με ενεργό πολυαρθρική ή πολυαρθρικής μορφής νεανική ιδιοπαθή αρθρίτιδα, τα οποία είχαν μια ποικιλία τύπων εμφάνισης νεανικής ιδιοπαθούς αρθρίτιδας (JΙΑ) (πιο συχνά πολυαρθρίτιδα με αρνητικό ή θετικό ρευματοειδή παράγοντα και εκτεταμένη ολιγοαρθρίτιδα). </w:t>
      </w:r>
    </w:p>
    <w:p w14:paraId="4842C786" w14:textId="77777777" w:rsidR="00171824" w:rsidRDefault="00171824">
      <w:pPr>
        <w:widowControl/>
        <w:rPr>
          <w:color w:val="000000"/>
          <w:sz w:val="22"/>
          <w:szCs w:val="22"/>
          <w:lang w:val="el-GR" w:eastAsia="ja-JP"/>
        </w:rPr>
      </w:pPr>
    </w:p>
    <w:p w14:paraId="44ED389F" w14:textId="77777777" w:rsidR="00171824" w:rsidRDefault="006D258C">
      <w:pPr>
        <w:widowControl/>
        <w:rPr>
          <w:color w:val="000000"/>
          <w:sz w:val="22"/>
          <w:szCs w:val="22"/>
          <w:lang w:val="el-GR" w:eastAsia="ja-JP"/>
        </w:rPr>
      </w:pPr>
      <w:r>
        <w:rPr>
          <w:color w:val="000000"/>
          <w:sz w:val="22"/>
          <w:szCs w:val="22"/>
          <w:lang w:val="el-GR" w:eastAsia="ja-JP"/>
        </w:rPr>
        <w:t xml:space="preserve">pJIA I </w:t>
      </w:r>
    </w:p>
    <w:p w14:paraId="5BA1F68A" w14:textId="77777777" w:rsidR="00171824" w:rsidRDefault="00171824">
      <w:pPr>
        <w:widowControl/>
        <w:rPr>
          <w:color w:val="000000"/>
          <w:sz w:val="22"/>
          <w:szCs w:val="22"/>
          <w:lang w:val="el-GR" w:eastAsia="ja-JP"/>
        </w:rPr>
      </w:pPr>
    </w:p>
    <w:p w14:paraId="6F7BF09C" w14:textId="77777777" w:rsidR="00171824" w:rsidRDefault="006D258C">
      <w:pPr>
        <w:pStyle w:val="BodyText"/>
        <w:keepNext/>
        <w:widowControl/>
        <w:kinsoku w:val="0"/>
        <w:overflowPunct w:val="0"/>
        <w:ind w:left="0"/>
        <w:rPr>
          <w:color w:val="000000"/>
          <w:lang w:val="el-GR" w:eastAsia="ja-JP"/>
        </w:rPr>
      </w:pPr>
      <w:r>
        <w:rPr>
          <w:color w:val="000000"/>
          <w:lang w:val="el-GR" w:eastAsia="ja-JP"/>
        </w:rPr>
        <w:t xml:space="preserve">Η ασφάλεια και η αποτελεσματικότητα του </w:t>
      </w:r>
      <w:r>
        <w:rPr>
          <w:lang w:val="el-GR"/>
        </w:rPr>
        <w:t>adalimumab</w:t>
      </w:r>
      <w:r>
        <w:rPr>
          <w:i/>
          <w:iCs/>
          <w:lang w:val="el-GR"/>
        </w:rPr>
        <w:t xml:space="preserve"> </w:t>
      </w:r>
      <w:r>
        <w:rPr>
          <w:color w:val="000000"/>
          <w:lang w:val="el-GR" w:eastAsia="ja-JP"/>
        </w:rPr>
        <w:t>αξιολογήθηκαν σε μία πολυκεντρική, τυχαιοποιημένη, διπλά-τυφλή, παραλλήλων ομάδων μελέτη σε 171 παιδιά (4-17 ετών) με πολυαρθρική JΙΑ. Στην αρχική φάση ανοικτής επέκτασης (OL LI) οι ασθενείς κατηγοριοποιήθηκαν σε δύο ομάδες, θεραπεία με MTX (μεθοτρεξάτη) ή θεραπεία χωρίς ΜΤΧ. Οι ασθενείς που ήταν στο σκέλος χωρίς MTX είτε δεν είχαν λάβει στο παρελθόν ΜΤΧ είτε είχαν αποσυρθεί από τη MTX τουλάχιστον δύο εβδομάδες πριν από τη χορήγηση του φαρμάκου μελέτης. Οι ασθενείς παρέμειναν σε σταθερές δόσεις μη στεροειδών αντιφλεγμονωδών φαρμάκων (ΜΣΑΦ) και / ή πρεδνιζόνης (≤ 0,2 mg/kg /ημέρα ή 10 mg/ημέρα κατ' ανώτατο όριο). Στη φάση OL LI όλοι οι ασθενείς έλαβαν 24 mg / m</w:t>
      </w:r>
      <w:r>
        <w:rPr>
          <w:vertAlign w:val="superscript"/>
          <w:lang w:val="el-GR"/>
        </w:rPr>
        <w:t>2</w:t>
      </w:r>
      <w:r>
        <w:rPr>
          <w:lang w:val="el-GR"/>
        </w:rPr>
        <w:t xml:space="preserve"> </w:t>
      </w:r>
      <w:r>
        <w:rPr>
          <w:color w:val="000000"/>
          <w:lang w:val="el-GR" w:eastAsia="ja-JP"/>
        </w:rPr>
        <w:t xml:space="preserve">μέχρι μέγιστης δόσης 40 mg </w:t>
      </w:r>
      <w:r>
        <w:rPr>
          <w:lang w:val="el-GR"/>
        </w:rPr>
        <w:t>adalimumab</w:t>
      </w:r>
      <w:r>
        <w:rPr>
          <w:i/>
          <w:iCs/>
          <w:lang w:val="el-GR"/>
        </w:rPr>
        <w:t xml:space="preserve"> </w:t>
      </w:r>
      <w:r>
        <w:rPr>
          <w:color w:val="000000"/>
          <w:lang w:val="el-GR" w:eastAsia="ja-JP"/>
        </w:rPr>
        <w:t>κάθε δεύτερη εβδομάδα για 16 εβδομάδες. Η κατανομή των ασθενών ανά ηλικία και ελάχιστη, μέση και μέγιστη δόση που έλαβαν κατά τη φάση OL LI παρουσιάζεται στον Πίνακα 25.</w:t>
      </w:r>
    </w:p>
    <w:p w14:paraId="00CA80C5" w14:textId="77777777" w:rsidR="00171824" w:rsidRDefault="00171824">
      <w:pPr>
        <w:pStyle w:val="BodyText"/>
        <w:keepNext/>
        <w:widowControl/>
        <w:kinsoku w:val="0"/>
        <w:overflowPunct w:val="0"/>
        <w:ind w:left="0"/>
        <w:rPr>
          <w:color w:val="000000"/>
          <w:lang w:val="el-GR" w:eastAsia="ja-JP"/>
        </w:rPr>
      </w:pPr>
    </w:p>
    <w:p w14:paraId="73BAAED9" w14:textId="77777777" w:rsidR="00171824" w:rsidRDefault="006D258C">
      <w:pPr>
        <w:widowControl/>
        <w:rPr>
          <w:b/>
          <w:bCs/>
          <w:color w:val="000000"/>
          <w:sz w:val="22"/>
          <w:lang w:val="el-GR" w:eastAsia="ja-JP"/>
        </w:rPr>
      </w:pPr>
      <w:r>
        <w:rPr>
          <w:b/>
          <w:bCs/>
          <w:color w:val="000000"/>
          <w:sz w:val="22"/>
          <w:szCs w:val="22"/>
          <w:lang w:val="el-GR" w:eastAsia="ja-JP"/>
        </w:rPr>
        <w:t xml:space="preserve">Πίνακας 25. </w:t>
      </w:r>
      <w:r>
        <w:rPr>
          <w:b/>
          <w:bCs/>
          <w:color w:val="000000"/>
          <w:sz w:val="22"/>
          <w:lang w:val="el-GR" w:eastAsia="ja-JP"/>
        </w:rPr>
        <w:t>Κατανομή ασθενών ανά ηλικία και δόση adalimumab που έλαβαν στη φάση OL LI</w:t>
      </w:r>
    </w:p>
    <w:p w14:paraId="5BD2BE42" w14:textId="77777777" w:rsidR="00171824" w:rsidRDefault="00171824">
      <w:pPr>
        <w:pStyle w:val="BodyTextIndent"/>
        <w:keepNext/>
        <w:spacing w:after="0"/>
        <w:ind w:left="0"/>
        <w:rPr>
          <w:b/>
          <w:bCs/>
          <w:sz w:val="22"/>
          <w:lang w:val="el-GR"/>
        </w:rPr>
      </w:pPr>
    </w:p>
    <w:tbl>
      <w:tblPr>
        <w:tblW w:w="91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4"/>
        <w:gridCol w:w="3926"/>
        <w:gridCol w:w="3239"/>
      </w:tblGrid>
      <w:tr w:rsidR="00171824" w:rsidRPr="00422380" w14:paraId="372C0C24" w14:textId="77777777">
        <w:trPr>
          <w:cantSplit/>
        </w:trPr>
        <w:tc>
          <w:tcPr>
            <w:tcW w:w="2014" w:type="dxa"/>
          </w:tcPr>
          <w:p w14:paraId="3ED9BFEB" w14:textId="77777777" w:rsidR="00171824" w:rsidRDefault="006D258C">
            <w:pPr>
              <w:pStyle w:val="BodyTextIndent"/>
              <w:keepNext/>
              <w:spacing w:after="0"/>
              <w:ind w:left="0"/>
              <w:rPr>
                <w:b/>
                <w:bCs/>
                <w:sz w:val="22"/>
                <w:szCs w:val="22"/>
                <w:lang w:val="el-GR"/>
              </w:rPr>
            </w:pPr>
            <w:r>
              <w:rPr>
                <w:b/>
                <w:bCs/>
                <w:sz w:val="22"/>
                <w:szCs w:val="22"/>
                <w:lang w:val="el-GR"/>
              </w:rPr>
              <w:t xml:space="preserve">Ηλικιακή Ομάδα </w:t>
            </w:r>
          </w:p>
        </w:tc>
        <w:tc>
          <w:tcPr>
            <w:tcW w:w="3926" w:type="dxa"/>
          </w:tcPr>
          <w:p w14:paraId="42A48153" w14:textId="77777777" w:rsidR="00171824" w:rsidRDefault="006D258C">
            <w:pPr>
              <w:pStyle w:val="BodyTextIndent"/>
              <w:keepNext/>
              <w:spacing w:after="0"/>
              <w:ind w:left="0"/>
              <w:jc w:val="center"/>
              <w:rPr>
                <w:b/>
                <w:bCs/>
                <w:sz w:val="22"/>
                <w:szCs w:val="22"/>
                <w:lang w:val="el-GR"/>
              </w:rPr>
            </w:pPr>
            <w:r>
              <w:rPr>
                <w:b/>
                <w:bCs/>
                <w:sz w:val="22"/>
                <w:szCs w:val="22"/>
                <w:lang w:val="el-GR"/>
              </w:rPr>
              <w:t>Αριθμός Ασθενών στη Έναρξη n (%)</w:t>
            </w:r>
          </w:p>
        </w:tc>
        <w:tc>
          <w:tcPr>
            <w:tcW w:w="3239" w:type="dxa"/>
          </w:tcPr>
          <w:p w14:paraId="3C0216A8" w14:textId="77777777" w:rsidR="00171824" w:rsidRDefault="006D258C">
            <w:pPr>
              <w:pStyle w:val="BodyTextIndent"/>
              <w:keepNext/>
              <w:spacing w:after="0"/>
              <w:ind w:left="0"/>
              <w:jc w:val="center"/>
              <w:rPr>
                <w:b/>
                <w:bCs/>
                <w:sz w:val="22"/>
                <w:szCs w:val="22"/>
                <w:lang w:val="el-GR"/>
              </w:rPr>
            </w:pPr>
            <w:r>
              <w:rPr>
                <w:b/>
                <w:sz w:val="22"/>
                <w:szCs w:val="22"/>
                <w:lang w:val="el-GR"/>
              </w:rPr>
              <w:t>Ελάχιστη, μέση και μέγιστη δόση</w:t>
            </w:r>
          </w:p>
        </w:tc>
      </w:tr>
      <w:tr w:rsidR="00171824" w14:paraId="578B9C9F" w14:textId="77777777">
        <w:trPr>
          <w:cantSplit/>
        </w:trPr>
        <w:tc>
          <w:tcPr>
            <w:tcW w:w="2014" w:type="dxa"/>
          </w:tcPr>
          <w:p w14:paraId="2FDA8424" w14:textId="77777777" w:rsidR="00171824" w:rsidRDefault="006D258C">
            <w:pPr>
              <w:pStyle w:val="BodyTextIndent"/>
              <w:keepNext/>
              <w:spacing w:after="0"/>
              <w:ind w:left="0"/>
              <w:rPr>
                <w:bCs/>
                <w:sz w:val="22"/>
                <w:szCs w:val="22"/>
                <w:lang w:val="el-GR"/>
              </w:rPr>
            </w:pPr>
            <w:r>
              <w:rPr>
                <w:bCs/>
                <w:sz w:val="22"/>
                <w:szCs w:val="22"/>
                <w:lang w:val="el-GR"/>
              </w:rPr>
              <w:t>4 έως 7 έτη</w:t>
            </w:r>
          </w:p>
        </w:tc>
        <w:tc>
          <w:tcPr>
            <w:tcW w:w="3926" w:type="dxa"/>
          </w:tcPr>
          <w:p w14:paraId="6D0C225B" w14:textId="77777777" w:rsidR="00171824" w:rsidRDefault="006D258C">
            <w:pPr>
              <w:pStyle w:val="BodyTextIndent"/>
              <w:keepNext/>
              <w:spacing w:after="0"/>
              <w:ind w:left="0"/>
              <w:jc w:val="center"/>
              <w:rPr>
                <w:bCs/>
                <w:sz w:val="22"/>
                <w:szCs w:val="22"/>
                <w:lang w:val="el-GR"/>
              </w:rPr>
            </w:pPr>
            <w:r>
              <w:rPr>
                <w:bCs/>
                <w:sz w:val="22"/>
                <w:szCs w:val="22"/>
                <w:lang w:val="el-GR"/>
              </w:rPr>
              <w:t>31 (18,1)</w:t>
            </w:r>
          </w:p>
        </w:tc>
        <w:tc>
          <w:tcPr>
            <w:tcW w:w="3239" w:type="dxa"/>
          </w:tcPr>
          <w:p w14:paraId="058EEFA1" w14:textId="77777777" w:rsidR="00171824" w:rsidRDefault="006D258C">
            <w:pPr>
              <w:pStyle w:val="BodyTextIndent"/>
              <w:keepNext/>
              <w:spacing w:after="0"/>
              <w:ind w:left="0"/>
              <w:jc w:val="center"/>
              <w:rPr>
                <w:bCs/>
                <w:sz w:val="22"/>
                <w:szCs w:val="22"/>
                <w:lang w:val="el-GR"/>
              </w:rPr>
            </w:pPr>
            <w:r>
              <w:rPr>
                <w:bCs/>
                <w:sz w:val="22"/>
                <w:szCs w:val="22"/>
                <w:lang w:val="el-GR"/>
              </w:rPr>
              <w:t>10, 20 και 25 mg</w:t>
            </w:r>
          </w:p>
        </w:tc>
      </w:tr>
      <w:tr w:rsidR="00171824" w14:paraId="3930E66E" w14:textId="77777777">
        <w:trPr>
          <w:cantSplit/>
        </w:trPr>
        <w:tc>
          <w:tcPr>
            <w:tcW w:w="2014" w:type="dxa"/>
          </w:tcPr>
          <w:p w14:paraId="22047540" w14:textId="77777777" w:rsidR="00171824" w:rsidRDefault="006D258C">
            <w:pPr>
              <w:pStyle w:val="BodyTextIndent"/>
              <w:keepNext/>
              <w:spacing w:after="0"/>
              <w:ind w:left="0"/>
              <w:rPr>
                <w:bCs/>
                <w:sz w:val="22"/>
                <w:szCs w:val="22"/>
                <w:lang w:val="el-GR"/>
              </w:rPr>
            </w:pPr>
            <w:r>
              <w:rPr>
                <w:bCs/>
                <w:sz w:val="22"/>
                <w:szCs w:val="22"/>
                <w:lang w:val="el-GR"/>
              </w:rPr>
              <w:t>8 έως 12 έτη</w:t>
            </w:r>
          </w:p>
        </w:tc>
        <w:tc>
          <w:tcPr>
            <w:tcW w:w="3926" w:type="dxa"/>
          </w:tcPr>
          <w:p w14:paraId="2012EAE6" w14:textId="77777777" w:rsidR="00171824" w:rsidRDefault="006D258C">
            <w:pPr>
              <w:pStyle w:val="BodyTextIndent"/>
              <w:keepNext/>
              <w:spacing w:after="0"/>
              <w:ind w:left="0"/>
              <w:jc w:val="center"/>
              <w:rPr>
                <w:bCs/>
                <w:sz w:val="22"/>
                <w:szCs w:val="22"/>
                <w:lang w:val="el-GR"/>
              </w:rPr>
            </w:pPr>
            <w:r>
              <w:rPr>
                <w:bCs/>
                <w:sz w:val="22"/>
                <w:szCs w:val="22"/>
                <w:lang w:val="el-GR"/>
              </w:rPr>
              <w:t>71 (41,5)</w:t>
            </w:r>
          </w:p>
        </w:tc>
        <w:tc>
          <w:tcPr>
            <w:tcW w:w="3239" w:type="dxa"/>
          </w:tcPr>
          <w:p w14:paraId="10CA3A72" w14:textId="77777777" w:rsidR="00171824" w:rsidRDefault="006D258C">
            <w:pPr>
              <w:pStyle w:val="BodyTextIndent"/>
              <w:keepNext/>
              <w:spacing w:after="0"/>
              <w:ind w:left="0"/>
              <w:jc w:val="center"/>
              <w:rPr>
                <w:bCs/>
                <w:sz w:val="22"/>
                <w:szCs w:val="22"/>
                <w:lang w:val="el-GR"/>
              </w:rPr>
            </w:pPr>
            <w:r>
              <w:rPr>
                <w:bCs/>
                <w:sz w:val="22"/>
                <w:szCs w:val="22"/>
                <w:lang w:val="el-GR"/>
              </w:rPr>
              <w:t>20, 25 και 40 mg</w:t>
            </w:r>
          </w:p>
        </w:tc>
      </w:tr>
      <w:tr w:rsidR="00171824" w14:paraId="248A4DAA" w14:textId="77777777">
        <w:trPr>
          <w:cantSplit/>
        </w:trPr>
        <w:tc>
          <w:tcPr>
            <w:tcW w:w="2014" w:type="dxa"/>
          </w:tcPr>
          <w:p w14:paraId="2404DA96" w14:textId="77777777" w:rsidR="00171824" w:rsidRDefault="006D258C">
            <w:pPr>
              <w:pStyle w:val="BodyTextIndent"/>
              <w:keepNext/>
              <w:spacing w:after="0"/>
              <w:ind w:left="0"/>
              <w:rPr>
                <w:bCs/>
                <w:sz w:val="22"/>
                <w:szCs w:val="22"/>
                <w:lang w:val="el-GR"/>
              </w:rPr>
            </w:pPr>
            <w:r>
              <w:rPr>
                <w:bCs/>
                <w:sz w:val="22"/>
                <w:szCs w:val="22"/>
                <w:lang w:val="el-GR"/>
              </w:rPr>
              <w:t>13 έως 17 έτη</w:t>
            </w:r>
          </w:p>
        </w:tc>
        <w:tc>
          <w:tcPr>
            <w:tcW w:w="3926" w:type="dxa"/>
          </w:tcPr>
          <w:p w14:paraId="6942710D" w14:textId="77777777" w:rsidR="00171824" w:rsidRDefault="006D258C">
            <w:pPr>
              <w:pStyle w:val="BodyTextIndent"/>
              <w:keepNext/>
              <w:spacing w:after="0"/>
              <w:ind w:left="0"/>
              <w:jc w:val="center"/>
              <w:rPr>
                <w:bCs/>
                <w:sz w:val="22"/>
                <w:szCs w:val="22"/>
                <w:lang w:val="el-GR"/>
              </w:rPr>
            </w:pPr>
            <w:r>
              <w:rPr>
                <w:bCs/>
                <w:sz w:val="22"/>
                <w:szCs w:val="22"/>
                <w:lang w:val="el-GR"/>
              </w:rPr>
              <w:t>69 (40,4)</w:t>
            </w:r>
          </w:p>
        </w:tc>
        <w:tc>
          <w:tcPr>
            <w:tcW w:w="3239" w:type="dxa"/>
          </w:tcPr>
          <w:p w14:paraId="34F7E148" w14:textId="77777777" w:rsidR="00171824" w:rsidRDefault="006D258C">
            <w:pPr>
              <w:pStyle w:val="BodyTextIndent"/>
              <w:keepNext/>
              <w:spacing w:after="0"/>
              <w:ind w:left="0"/>
              <w:jc w:val="center"/>
              <w:rPr>
                <w:bCs/>
                <w:sz w:val="22"/>
                <w:szCs w:val="22"/>
                <w:lang w:val="el-GR"/>
              </w:rPr>
            </w:pPr>
            <w:r>
              <w:rPr>
                <w:bCs/>
                <w:sz w:val="22"/>
                <w:szCs w:val="22"/>
                <w:lang w:val="el-GR"/>
              </w:rPr>
              <w:t>25, 40 και 40 mg</w:t>
            </w:r>
          </w:p>
        </w:tc>
      </w:tr>
    </w:tbl>
    <w:p w14:paraId="68D249AC" w14:textId="77777777" w:rsidR="00171824" w:rsidRDefault="00171824">
      <w:pPr>
        <w:widowControl/>
        <w:rPr>
          <w:sz w:val="22"/>
          <w:szCs w:val="22"/>
          <w:lang w:val="el-GR"/>
        </w:rPr>
      </w:pPr>
    </w:p>
    <w:p w14:paraId="6661404C" w14:textId="77777777" w:rsidR="00171824" w:rsidRDefault="006D258C">
      <w:pPr>
        <w:keepNext/>
        <w:keepLines/>
        <w:widowControl/>
        <w:rPr>
          <w:sz w:val="22"/>
          <w:szCs w:val="22"/>
          <w:lang w:val="el-GR"/>
        </w:rPr>
      </w:pPr>
      <w:r>
        <w:rPr>
          <w:sz w:val="22"/>
          <w:szCs w:val="22"/>
          <w:lang w:val="el-GR"/>
        </w:rPr>
        <w:lastRenderedPageBreak/>
        <w:t xml:space="preserve">Οι ασθενείς που κατέδειξαν μια ανταπόκριση κατά Paediatric ACR 30 την εβδομάδα 16 ήταν επιλέξιμοι προς τυχαιοποίηση στη διπλά τυφλή (DB) φάση και έλαβαν είτε </w:t>
      </w:r>
      <w:r>
        <w:rPr>
          <w:sz w:val="22"/>
          <w:lang w:val="el-GR"/>
        </w:rPr>
        <w:t>adalimumab</w:t>
      </w:r>
      <w:r>
        <w:rPr>
          <w:i/>
          <w:iCs/>
          <w:sz w:val="22"/>
          <w:lang w:val="el-GR"/>
        </w:rPr>
        <w:t xml:space="preserve"> </w:t>
      </w:r>
      <w:r>
        <w:rPr>
          <w:sz w:val="22"/>
          <w:szCs w:val="22"/>
          <w:lang w:val="el-GR"/>
        </w:rPr>
        <w:t>24 mg/ m</w:t>
      </w:r>
      <w:r>
        <w:rPr>
          <w:sz w:val="22"/>
          <w:szCs w:val="22"/>
          <w:vertAlign w:val="superscript"/>
          <w:lang w:val="el-GR"/>
        </w:rPr>
        <w:t>2</w:t>
      </w:r>
      <w:r>
        <w:rPr>
          <w:sz w:val="14"/>
          <w:szCs w:val="14"/>
          <w:lang w:val="el-GR"/>
        </w:rPr>
        <w:t xml:space="preserve"> </w:t>
      </w:r>
      <w:r>
        <w:rPr>
          <w:sz w:val="22"/>
          <w:szCs w:val="22"/>
          <w:lang w:val="el-GR"/>
        </w:rPr>
        <w:t>μέχρι μέγιστης δόσης 40 mg ή εικονικό φαρμάκου κάθε δεύτερη εβδομάδα για επιπλέον 32 εβδομάδες ή μέχρι την έξαρση της νόσου. Τα κριτήρια έξαρσης της νόσου ορίστηκαν ως επιδείνωση ≥ 30% από την έναρξη σε ≥ 3 από 6 Paediatric ACR βασικά κριτήρια, ≥ 2 ενεργές αρθρώσεις και βελτίωση &gt; 30% σε όχι περισσότερα του 1 από τα 6 κριτήρια. Μετά από 32 εβδομάδες ή στην έξαρση της νόσου, οι ασθενείς ήταν επιλέξιμοι να εισαχθούν στην ανοικτή φάση επέκτασης.</w:t>
      </w:r>
    </w:p>
    <w:p w14:paraId="3BEC8444" w14:textId="77777777" w:rsidR="00171824" w:rsidRDefault="00171824">
      <w:pPr>
        <w:widowControl/>
        <w:rPr>
          <w:sz w:val="22"/>
          <w:szCs w:val="22"/>
          <w:lang w:val="el-GR"/>
        </w:rPr>
      </w:pPr>
    </w:p>
    <w:p w14:paraId="7B9B0AAD" w14:textId="77777777" w:rsidR="00171824" w:rsidRDefault="006D258C">
      <w:pPr>
        <w:keepNext/>
        <w:widowControl/>
        <w:rPr>
          <w:b/>
          <w:bCs/>
          <w:color w:val="000000"/>
          <w:sz w:val="22"/>
          <w:szCs w:val="22"/>
          <w:lang w:val="el-GR" w:eastAsia="ja-JP"/>
        </w:rPr>
      </w:pPr>
      <w:r>
        <w:rPr>
          <w:b/>
          <w:bCs/>
          <w:color w:val="000000"/>
          <w:sz w:val="22"/>
          <w:szCs w:val="22"/>
          <w:lang w:val="el-GR" w:eastAsia="ja-JP"/>
        </w:rPr>
        <w:t>Πίνακας 26. Ανταποκρίσεις κατά Ped ACR 30 στη μελέτη JIA</w:t>
      </w:r>
    </w:p>
    <w:p w14:paraId="05F59739" w14:textId="77777777" w:rsidR="00171824" w:rsidRDefault="00171824">
      <w:pPr>
        <w:keepNext/>
        <w:widowControl/>
        <w:rPr>
          <w:b/>
          <w:bCs/>
          <w:color w:val="000000"/>
          <w:sz w:val="22"/>
          <w:szCs w:val="22"/>
          <w:lang w:val="el-GR" w:eastAsia="ja-JP"/>
        </w:rPr>
      </w:pPr>
    </w:p>
    <w:tbl>
      <w:tblPr>
        <w:tblW w:w="91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9"/>
        <w:gridCol w:w="1736"/>
        <w:gridCol w:w="1736"/>
        <w:gridCol w:w="1631"/>
        <w:gridCol w:w="1572"/>
      </w:tblGrid>
      <w:tr w:rsidR="00171824" w14:paraId="3CF80688" w14:textId="77777777">
        <w:trPr>
          <w:cantSplit/>
        </w:trPr>
        <w:tc>
          <w:tcPr>
            <w:tcW w:w="2429" w:type="dxa"/>
          </w:tcPr>
          <w:p w14:paraId="39B7094C" w14:textId="77777777" w:rsidR="00171824" w:rsidRDefault="006D258C">
            <w:pPr>
              <w:keepNext/>
              <w:rPr>
                <w:b/>
                <w:sz w:val="22"/>
                <w:szCs w:val="22"/>
                <w:lang w:val="el-GR"/>
              </w:rPr>
            </w:pPr>
            <w:r>
              <w:rPr>
                <w:b/>
                <w:sz w:val="22"/>
                <w:szCs w:val="22"/>
                <w:lang w:val="el-GR"/>
              </w:rPr>
              <w:t>Σκέλος</w:t>
            </w:r>
          </w:p>
        </w:tc>
        <w:tc>
          <w:tcPr>
            <w:tcW w:w="3472" w:type="dxa"/>
            <w:gridSpan w:val="2"/>
          </w:tcPr>
          <w:p w14:paraId="3DEC8D2A" w14:textId="77777777" w:rsidR="00171824" w:rsidRDefault="006D258C">
            <w:pPr>
              <w:pStyle w:val="BodyTextIndent"/>
              <w:keepNext/>
              <w:spacing w:after="0"/>
              <w:ind w:left="0"/>
              <w:jc w:val="center"/>
              <w:rPr>
                <w:b/>
                <w:bCs/>
                <w:sz w:val="22"/>
                <w:szCs w:val="22"/>
                <w:lang w:val="el-GR"/>
              </w:rPr>
            </w:pPr>
            <w:r>
              <w:rPr>
                <w:b/>
                <w:bCs/>
                <w:sz w:val="22"/>
                <w:szCs w:val="22"/>
                <w:lang w:val="el-GR"/>
              </w:rPr>
              <w:t>MTX</w:t>
            </w:r>
          </w:p>
        </w:tc>
        <w:tc>
          <w:tcPr>
            <w:tcW w:w="3203" w:type="dxa"/>
            <w:gridSpan w:val="2"/>
          </w:tcPr>
          <w:p w14:paraId="36F054F5" w14:textId="77777777" w:rsidR="00171824" w:rsidRDefault="006D258C">
            <w:pPr>
              <w:pStyle w:val="BodyTextIndent"/>
              <w:keepNext/>
              <w:spacing w:after="0"/>
              <w:ind w:left="0"/>
              <w:jc w:val="center"/>
              <w:rPr>
                <w:b/>
                <w:bCs/>
                <w:sz w:val="22"/>
                <w:szCs w:val="22"/>
                <w:lang w:val="el-GR"/>
              </w:rPr>
            </w:pPr>
            <w:r>
              <w:rPr>
                <w:b/>
                <w:bCs/>
                <w:sz w:val="22"/>
                <w:szCs w:val="22"/>
                <w:lang w:val="el-GR"/>
              </w:rPr>
              <w:t>Χωρίς MTX</w:t>
            </w:r>
          </w:p>
        </w:tc>
      </w:tr>
      <w:tr w:rsidR="00171824" w14:paraId="5A9F615A" w14:textId="77777777">
        <w:trPr>
          <w:cantSplit/>
        </w:trPr>
        <w:tc>
          <w:tcPr>
            <w:tcW w:w="9104" w:type="dxa"/>
            <w:gridSpan w:val="5"/>
          </w:tcPr>
          <w:p w14:paraId="121F6CD8" w14:textId="77777777" w:rsidR="00171824" w:rsidRDefault="006D258C">
            <w:pPr>
              <w:pStyle w:val="BodyTextIndent"/>
              <w:keepNext/>
              <w:spacing w:after="0"/>
              <w:ind w:left="0"/>
              <w:rPr>
                <w:bCs/>
                <w:sz w:val="22"/>
                <w:szCs w:val="22"/>
                <w:lang w:val="el-GR"/>
              </w:rPr>
            </w:pPr>
            <w:r>
              <w:rPr>
                <w:b/>
                <w:sz w:val="22"/>
                <w:szCs w:val="22"/>
                <w:lang w:val="el-GR"/>
              </w:rPr>
              <w:t>Φάση</w:t>
            </w:r>
          </w:p>
        </w:tc>
      </w:tr>
      <w:tr w:rsidR="00171824" w14:paraId="50B933D6" w14:textId="77777777">
        <w:trPr>
          <w:cantSplit/>
        </w:trPr>
        <w:tc>
          <w:tcPr>
            <w:tcW w:w="2429" w:type="dxa"/>
          </w:tcPr>
          <w:p w14:paraId="2F668D18" w14:textId="77777777" w:rsidR="00171824" w:rsidRDefault="006D258C">
            <w:pPr>
              <w:keepNext/>
              <w:rPr>
                <w:sz w:val="22"/>
                <w:szCs w:val="22"/>
                <w:lang w:val="el-GR"/>
              </w:rPr>
            </w:pPr>
            <w:r>
              <w:rPr>
                <w:sz w:val="22"/>
                <w:szCs w:val="22"/>
                <w:lang w:val="el-GR"/>
              </w:rPr>
              <w:t xml:space="preserve">OL-LI 16 εβδομάδες </w:t>
            </w:r>
          </w:p>
        </w:tc>
        <w:tc>
          <w:tcPr>
            <w:tcW w:w="3472" w:type="dxa"/>
            <w:gridSpan w:val="2"/>
          </w:tcPr>
          <w:p w14:paraId="0C3F8B91" w14:textId="77777777" w:rsidR="00171824" w:rsidRDefault="00171824">
            <w:pPr>
              <w:pStyle w:val="BodyTextIndent"/>
              <w:keepNext/>
              <w:spacing w:after="0"/>
              <w:ind w:left="0"/>
              <w:jc w:val="center"/>
              <w:rPr>
                <w:bCs/>
                <w:sz w:val="22"/>
                <w:szCs w:val="22"/>
                <w:lang w:val="el-GR"/>
              </w:rPr>
            </w:pPr>
          </w:p>
        </w:tc>
        <w:tc>
          <w:tcPr>
            <w:tcW w:w="3203" w:type="dxa"/>
            <w:gridSpan w:val="2"/>
          </w:tcPr>
          <w:p w14:paraId="7CD9F5D7" w14:textId="77777777" w:rsidR="00171824" w:rsidRDefault="00171824">
            <w:pPr>
              <w:pStyle w:val="BodyTextIndent"/>
              <w:keepNext/>
              <w:spacing w:after="0"/>
              <w:ind w:left="0"/>
              <w:jc w:val="center"/>
              <w:rPr>
                <w:bCs/>
                <w:sz w:val="22"/>
                <w:szCs w:val="22"/>
                <w:lang w:val="el-GR"/>
              </w:rPr>
            </w:pPr>
          </w:p>
        </w:tc>
      </w:tr>
      <w:tr w:rsidR="00171824" w14:paraId="69BBD767" w14:textId="77777777">
        <w:trPr>
          <w:cantSplit/>
        </w:trPr>
        <w:tc>
          <w:tcPr>
            <w:tcW w:w="2429" w:type="dxa"/>
          </w:tcPr>
          <w:p w14:paraId="6C0686F6" w14:textId="77777777" w:rsidR="00171824" w:rsidRDefault="006D258C">
            <w:pPr>
              <w:pStyle w:val="BodyTextIndent"/>
              <w:keepNext/>
              <w:suppressAutoHyphens/>
              <w:spacing w:after="0"/>
              <w:ind w:left="0"/>
              <w:rPr>
                <w:bCs/>
                <w:sz w:val="22"/>
                <w:szCs w:val="22"/>
                <w:lang w:val="el-GR"/>
              </w:rPr>
            </w:pPr>
            <w:r>
              <w:rPr>
                <w:bCs/>
                <w:sz w:val="22"/>
                <w:szCs w:val="22"/>
                <w:lang w:val="el-GR"/>
              </w:rPr>
              <w:t>Aνταποκρίσεις κατά Ped ACR 30 (n/N)</w:t>
            </w:r>
          </w:p>
        </w:tc>
        <w:tc>
          <w:tcPr>
            <w:tcW w:w="3472" w:type="dxa"/>
            <w:gridSpan w:val="2"/>
          </w:tcPr>
          <w:p w14:paraId="51746CA0" w14:textId="77777777" w:rsidR="00171824" w:rsidRDefault="006D258C">
            <w:pPr>
              <w:pStyle w:val="BodyTextIndent"/>
              <w:keepNext/>
              <w:spacing w:after="0"/>
              <w:ind w:left="0"/>
              <w:jc w:val="center"/>
              <w:rPr>
                <w:bCs/>
                <w:sz w:val="22"/>
                <w:szCs w:val="22"/>
                <w:lang w:val="el-GR"/>
              </w:rPr>
            </w:pPr>
            <w:r>
              <w:rPr>
                <w:bCs/>
                <w:sz w:val="22"/>
                <w:szCs w:val="22"/>
                <w:lang w:val="el-GR"/>
              </w:rPr>
              <w:t>94,1% (80/85)</w:t>
            </w:r>
          </w:p>
        </w:tc>
        <w:tc>
          <w:tcPr>
            <w:tcW w:w="3203" w:type="dxa"/>
            <w:gridSpan w:val="2"/>
          </w:tcPr>
          <w:p w14:paraId="7A780745" w14:textId="77777777" w:rsidR="00171824" w:rsidRDefault="006D258C">
            <w:pPr>
              <w:pStyle w:val="BodyTextIndent"/>
              <w:keepNext/>
              <w:spacing w:after="0"/>
              <w:ind w:left="0"/>
              <w:jc w:val="center"/>
              <w:rPr>
                <w:bCs/>
                <w:sz w:val="22"/>
                <w:szCs w:val="22"/>
                <w:lang w:val="el-GR"/>
              </w:rPr>
            </w:pPr>
            <w:r>
              <w:rPr>
                <w:bCs/>
                <w:sz w:val="22"/>
                <w:szCs w:val="22"/>
                <w:lang w:val="el-GR"/>
              </w:rPr>
              <w:t>74,4% (64/86)</w:t>
            </w:r>
          </w:p>
        </w:tc>
      </w:tr>
      <w:tr w:rsidR="00171824" w14:paraId="4504EBA5" w14:textId="77777777">
        <w:trPr>
          <w:cantSplit/>
        </w:trPr>
        <w:tc>
          <w:tcPr>
            <w:tcW w:w="9104" w:type="dxa"/>
            <w:gridSpan w:val="5"/>
          </w:tcPr>
          <w:p w14:paraId="664375A3" w14:textId="77777777" w:rsidR="00171824" w:rsidRDefault="006D258C">
            <w:pPr>
              <w:keepNext/>
              <w:rPr>
                <w:bCs/>
                <w:sz w:val="22"/>
                <w:szCs w:val="22"/>
                <w:lang w:val="el-GR"/>
              </w:rPr>
            </w:pPr>
            <w:r>
              <w:rPr>
                <w:bCs/>
                <w:sz w:val="22"/>
                <w:szCs w:val="22"/>
                <w:lang w:val="el-GR"/>
              </w:rPr>
              <w:t>Αποτελεσματικότητα</w:t>
            </w:r>
          </w:p>
        </w:tc>
      </w:tr>
      <w:tr w:rsidR="00171824" w14:paraId="3C14C87F" w14:textId="77777777">
        <w:trPr>
          <w:cantSplit/>
          <w:trHeight w:val="777"/>
        </w:trPr>
        <w:tc>
          <w:tcPr>
            <w:tcW w:w="2429" w:type="dxa"/>
          </w:tcPr>
          <w:p w14:paraId="68D0F553" w14:textId="77777777" w:rsidR="00171824" w:rsidRDefault="006D258C">
            <w:pPr>
              <w:keepNext/>
              <w:rPr>
                <w:sz w:val="22"/>
                <w:szCs w:val="22"/>
                <w:lang w:val="el-GR"/>
              </w:rPr>
            </w:pPr>
            <w:r>
              <w:rPr>
                <w:sz w:val="22"/>
                <w:szCs w:val="22"/>
                <w:lang w:val="el-GR"/>
              </w:rPr>
              <w:t>Διπλά τυφλή 32 εβδομάδες</w:t>
            </w:r>
          </w:p>
        </w:tc>
        <w:tc>
          <w:tcPr>
            <w:tcW w:w="1736" w:type="dxa"/>
          </w:tcPr>
          <w:p w14:paraId="33606FEF" w14:textId="77777777" w:rsidR="00171824" w:rsidRDefault="006D258C">
            <w:pPr>
              <w:pStyle w:val="BodyTextIndent"/>
              <w:keepNext/>
              <w:spacing w:after="0"/>
              <w:ind w:left="0"/>
              <w:jc w:val="center"/>
              <w:rPr>
                <w:bCs/>
                <w:sz w:val="22"/>
                <w:szCs w:val="22"/>
                <w:lang w:val="el-GR"/>
              </w:rPr>
            </w:pPr>
            <w:r>
              <w:rPr>
                <w:color w:val="000000"/>
                <w:sz w:val="22"/>
                <w:szCs w:val="22"/>
                <w:lang w:val="el-GR"/>
              </w:rPr>
              <w:t>Adalimumab</w:t>
            </w:r>
            <w:r>
              <w:rPr>
                <w:bCs/>
                <w:sz w:val="22"/>
                <w:szCs w:val="22"/>
                <w:lang w:val="el-GR"/>
              </w:rPr>
              <w:t xml:space="preserve"> / MTX</w:t>
            </w:r>
          </w:p>
          <w:p w14:paraId="15B2E431" w14:textId="77777777" w:rsidR="00171824" w:rsidRDefault="006D258C">
            <w:pPr>
              <w:pStyle w:val="BodyTextIndent"/>
              <w:keepNext/>
              <w:spacing w:after="0"/>
              <w:ind w:left="0"/>
              <w:jc w:val="center"/>
              <w:rPr>
                <w:bCs/>
                <w:sz w:val="22"/>
                <w:szCs w:val="22"/>
                <w:lang w:val="el-GR"/>
              </w:rPr>
            </w:pPr>
            <w:r>
              <w:rPr>
                <w:bCs/>
                <w:sz w:val="22"/>
                <w:szCs w:val="22"/>
                <w:lang w:val="el-GR"/>
              </w:rPr>
              <w:t>(N = 38)</w:t>
            </w:r>
          </w:p>
        </w:tc>
        <w:tc>
          <w:tcPr>
            <w:tcW w:w="1736" w:type="dxa"/>
          </w:tcPr>
          <w:p w14:paraId="0AE8E067" w14:textId="77777777" w:rsidR="00171824" w:rsidRDefault="006D258C">
            <w:pPr>
              <w:pStyle w:val="BodyTextIndent"/>
              <w:keepNext/>
              <w:spacing w:after="0"/>
              <w:ind w:left="0"/>
              <w:jc w:val="center"/>
              <w:rPr>
                <w:bCs/>
                <w:sz w:val="22"/>
                <w:szCs w:val="22"/>
                <w:lang w:val="el-GR"/>
              </w:rPr>
            </w:pPr>
            <w:r>
              <w:rPr>
                <w:bCs/>
                <w:sz w:val="22"/>
                <w:szCs w:val="22"/>
                <w:lang w:val="el-GR"/>
              </w:rPr>
              <w:t>Εικονικό φάρμακο / MTX</w:t>
            </w:r>
          </w:p>
          <w:p w14:paraId="22F59687" w14:textId="77777777" w:rsidR="00171824" w:rsidRDefault="006D258C">
            <w:pPr>
              <w:pStyle w:val="BodyTextIndent"/>
              <w:keepNext/>
              <w:spacing w:after="0"/>
              <w:ind w:left="0"/>
              <w:jc w:val="center"/>
              <w:rPr>
                <w:bCs/>
                <w:sz w:val="22"/>
                <w:szCs w:val="22"/>
                <w:lang w:val="el-GR"/>
              </w:rPr>
            </w:pPr>
            <w:r>
              <w:rPr>
                <w:bCs/>
                <w:sz w:val="22"/>
                <w:szCs w:val="22"/>
                <w:lang w:val="el-GR"/>
              </w:rPr>
              <w:t>(N = 37)</w:t>
            </w:r>
          </w:p>
        </w:tc>
        <w:tc>
          <w:tcPr>
            <w:tcW w:w="1631" w:type="dxa"/>
          </w:tcPr>
          <w:p w14:paraId="429C7AFB" w14:textId="77777777" w:rsidR="00171824" w:rsidRDefault="006D258C">
            <w:pPr>
              <w:pStyle w:val="BodyTextIndent"/>
              <w:keepNext/>
              <w:spacing w:after="0"/>
              <w:ind w:left="0"/>
              <w:jc w:val="center"/>
              <w:rPr>
                <w:bCs/>
                <w:sz w:val="22"/>
                <w:szCs w:val="22"/>
                <w:lang w:val="el-GR"/>
              </w:rPr>
            </w:pPr>
            <w:r>
              <w:rPr>
                <w:color w:val="000000"/>
                <w:sz w:val="22"/>
                <w:szCs w:val="22"/>
                <w:lang w:val="el-GR"/>
              </w:rPr>
              <w:t>Adalimumab</w:t>
            </w:r>
          </w:p>
          <w:p w14:paraId="0826C308" w14:textId="77777777" w:rsidR="00171824" w:rsidRDefault="006D258C">
            <w:pPr>
              <w:pStyle w:val="BodyTextIndent"/>
              <w:keepNext/>
              <w:spacing w:after="0"/>
              <w:ind w:left="0"/>
              <w:jc w:val="center"/>
              <w:rPr>
                <w:bCs/>
                <w:sz w:val="22"/>
                <w:szCs w:val="22"/>
                <w:lang w:val="el-GR"/>
              </w:rPr>
            </w:pPr>
            <w:r>
              <w:rPr>
                <w:bCs/>
                <w:sz w:val="22"/>
                <w:szCs w:val="22"/>
                <w:lang w:val="el-GR"/>
              </w:rPr>
              <w:t>(N = 30)</w:t>
            </w:r>
          </w:p>
        </w:tc>
        <w:tc>
          <w:tcPr>
            <w:tcW w:w="1572" w:type="dxa"/>
          </w:tcPr>
          <w:p w14:paraId="5214C732" w14:textId="77777777" w:rsidR="00171824" w:rsidRDefault="006D258C">
            <w:pPr>
              <w:pStyle w:val="BodyTextIndent"/>
              <w:keepNext/>
              <w:spacing w:after="0"/>
              <w:ind w:left="0"/>
              <w:jc w:val="center"/>
              <w:rPr>
                <w:bCs/>
                <w:sz w:val="22"/>
                <w:szCs w:val="22"/>
                <w:lang w:val="el-GR"/>
              </w:rPr>
            </w:pPr>
            <w:r>
              <w:rPr>
                <w:bCs/>
                <w:sz w:val="22"/>
                <w:szCs w:val="22"/>
                <w:lang w:val="el-GR"/>
              </w:rPr>
              <w:t>Εικονικό Φάρμακο</w:t>
            </w:r>
          </w:p>
          <w:p w14:paraId="022AB956" w14:textId="77777777" w:rsidR="00171824" w:rsidRDefault="006D258C">
            <w:pPr>
              <w:pStyle w:val="BodyTextIndent"/>
              <w:keepNext/>
              <w:spacing w:after="0"/>
              <w:ind w:left="0"/>
              <w:jc w:val="center"/>
              <w:rPr>
                <w:bCs/>
                <w:sz w:val="22"/>
                <w:szCs w:val="22"/>
                <w:lang w:val="el-GR"/>
              </w:rPr>
            </w:pPr>
            <w:r>
              <w:rPr>
                <w:bCs/>
                <w:sz w:val="22"/>
                <w:szCs w:val="22"/>
                <w:lang w:val="el-GR"/>
              </w:rPr>
              <w:t>(N = 28)</w:t>
            </w:r>
          </w:p>
        </w:tc>
      </w:tr>
      <w:tr w:rsidR="00171824" w14:paraId="2C5E6CDB" w14:textId="77777777">
        <w:trPr>
          <w:cantSplit/>
          <w:trHeight w:val="778"/>
        </w:trPr>
        <w:tc>
          <w:tcPr>
            <w:tcW w:w="2429" w:type="dxa"/>
          </w:tcPr>
          <w:p w14:paraId="045C8915" w14:textId="77777777" w:rsidR="00171824" w:rsidRDefault="006D258C">
            <w:pPr>
              <w:pStyle w:val="BodyTextIndent"/>
              <w:keepNext/>
              <w:suppressAutoHyphens/>
              <w:spacing w:after="0"/>
              <w:ind w:left="0"/>
              <w:rPr>
                <w:bCs/>
                <w:sz w:val="22"/>
                <w:szCs w:val="22"/>
                <w:lang w:val="el-GR"/>
              </w:rPr>
            </w:pPr>
            <w:r>
              <w:rPr>
                <w:bCs/>
                <w:sz w:val="22"/>
                <w:szCs w:val="22"/>
                <w:lang w:val="el-GR"/>
              </w:rPr>
              <w:t>Εξάρσεις της νόσου στο τέλος των 32 εβδομάδων</w:t>
            </w:r>
            <w:r>
              <w:rPr>
                <w:bCs/>
                <w:sz w:val="22"/>
                <w:szCs w:val="22"/>
                <w:vertAlign w:val="superscript"/>
                <w:lang w:val="el-GR"/>
              </w:rPr>
              <w:t>α</w:t>
            </w:r>
            <w:r>
              <w:rPr>
                <w:bCs/>
                <w:sz w:val="22"/>
                <w:szCs w:val="22"/>
                <w:lang w:val="el-GR"/>
              </w:rPr>
              <w:t xml:space="preserve"> (n/N)</w:t>
            </w:r>
          </w:p>
        </w:tc>
        <w:tc>
          <w:tcPr>
            <w:tcW w:w="1736" w:type="dxa"/>
          </w:tcPr>
          <w:p w14:paraId="6D03A60B" w14:textId="77777777" w:rsidR="00171824" w:rsidRDefault="006D258C">
            <w:pPr>
              <w:pStyle w:val="BodyTextIndent"/>
              <w:keepNext/>
              <w:spacing w:after="0"/>
              <w:ind w:left="0"/>
              <w:jc w:val="center"/>
              <w:rPr>
                <w:bCs/>
                <w:sz w:val="22"/>
                <w:szCs w:val="22"/>
                <w:lang w:val="el-GR"/>
              </w:rPr>
            </w:pPr>
            <w:r>
              <w:rPr>
                <w:bCs/>
                <w:sz w:val="22"/>
                <w:szCs w:val="22"/>
                <w:lang w:val="el-GR"/>
              </w:rPr>
              <w:t>36,8% (14/38)</w:t>
            </w:r>
          </w:p>
        </w:tc>
        <w:tc>
          <w:tcPr>
            <w:tcW w:w="1736" w:type="dxa"/>
          </w:tcPr>
          <w:p w14:paraId="4005F5C6" w14:textId="77777777" w:rsidR="00171824" w:rsidRDefault="006D258C">
            <w:pPr>
              <w:pStyle w:val="BodyTextIndent"/>
              <w:keepNext/>
              <w:spacing w:after="0"/>
              <w:ind w:left="0"/>
              <w:jc w:val="center"/>
              <w:rPr>
                <w:bCs/>
                <w:sz w:val="22"/>
                <w:szCs w:val="22"/>
                <w:lang w:val="el-GR"/>
              </w:rPr>
            </w:pPr>
            <w:r>
              <w:rPr>
                <w:bCs/>
                <w:sz w:val="22"/>
                <w:szCs w:val="22"/>
                <w:lang w:val="el-GR"/>
              </w:rPr>
              <w:t>64,9% (24/37)</w:t>
            </w:r>
            <w:r>
              <w:rPr>
                <w:bCs/>
                <w:sz w:val="22"/>
                <w:szCs w:val="22"/>
                <w:vertAlign w:val="superscript"/>
                <w:lang w:val="el-GR"/>
              </w:rPr>
              <w:t>β</w:t>
            </w:r>
          </w:p>
        </w:tc>
        <w:tc>
          <w:tcPr>
            <w:tcW w:w="1631" w:type="dxa"/>
          </w:tcPr>
          <w:p w14:paraId="3FB2777C" w14:textId="77777777" w:rsidR="00171824" w:rsidRDefault="006D258C">
            <w:pPr>
              <w:pStyle w:val="BodyTextIndent"/>
              <w:keepNext/>
              <w:spacing w:after="0"/>
              <w:ind w:left="0"/>
              <w:jc w:val="center"/>
              <w:rPr>
                <w:bCs/>
                <w:sz w:val="22"/>
                <w:szCs w:val="22"/>
                <w:lang w:val="el-GR"/>
              </w:rPr>
            </w:pPr>
            <w:r>
              <w:rPr>
                <w:bCs/>
                <w:sz w:val="22"/>
                <w:szCs w:val="22"/>
                <w:lang w:val="el-GR"/>
              </w:rPr>
              <w:t>43,3% (13/30)</w:t>
            </w:r>
          </w:p>
        </w:tc>
        <w:tc>
          <w:tcPr>
            <w:tcW w:w="1572" w:type="dxa"/>
          </w:tcPr>
          <w:p w14:paraId="3C9E9F9F" w14:textId="77777777" w:rsidR="00171824" w:rsidRDefault="006D258C">
            <w:pPr>
              <w:pStyle w:val="BodyTextIndent"/>
              <w:keepNext/>
              <w:spacing w:after="0"/>
              <w:ind w:left="0"/>
              <w:jc w:val="center"/>
              <w:rPr>
                <w:bCs/>
                <w:sz w:val="22"/>
                <w:szCs w:val="22"/>
                <w:lang w:val="el-GR"/>
              </w:rPr>
            </w:pPr>
            <w:r>
              <w:rPr>
                <w:bCs/>
                <w:sz w:val="22"/>
                <w:szCs w:val="22"/>
                <w:lang w:val="el-GR"/>
              </w:rPr>
              <w:t>71,4% (20/28)</w:t>
            </w:r>
            <w:r>
              <w:rPr>
                <w:bCs/>
                <w:sz w:val="22"/>
                <w:szCs w:val="22"/>
                <w:vertAlign w:val="superscript"/>
                <w:lang w:val="el-GR"/>
              </w:rPr>
              <w:t>γ</w:t>
            </w:r>
          </w:p>
        </w:tc>
      </w:tr>
      <w:tr w:rsidR="00171824" w14:paraId="6A7D9F8F" w14:textId="77777777">
        <w:trPr>
          <w:cantSplit/>
          <w:trHeight w:val="593"/>
        </w:trPr>
        <w:tc>
          <w:tcPr>
            <w:tcW w:w="2429" w:type="dxa"/>
          </w:tcPr>
          <w:p w14:paraId="3D82DC15" w14:textId="77777777" w:rsidR="00171824" w:rsidRDefault="006D258C">
            <w:pPr>
              <w:pStyle w:val="BodyTextIndent"/>
              <w:keepNext/>
              <w:suppressAutoHyphens/>
              <w:spacing w:after="0"/>
              <w:ind w:left="0"/>
              <w:rPr>
                <w:bCs/>
                <w:sz w:val="22"/>
                <w:szCs w:val="22"/>
                <w:lang w:val="el-GR"/>
              </w:rPr>
            </w:pPr>
            <w:r>
              <w:rPr>
                <w:bCs/>
                <w:sz w:val="22"/>
                <w:szCs w:val="22"/>
                <w:lang w:val="el-GR"/>
              </w:rPr>
              <w:t>Μέσος χρόνος ως την έξαρση της νόσου</w:t>
            </w:r>
          </w:p>
        </w:tc>
        <w:tc>
          <w:tcPr>
            <w:tcW w:w="1736" w:type="dxa"/>
          </w:tcPr>
          <w:p w14:paraId="6041F941" w14:textId="77777777" w:rsidR="00171824" w:rsidRDefault="006D258C">
            <w:pPr>
              <w:pStyle w:val="BodyTextIndent"/>
              <w:keepNext/>
              <w:spacing w:after="0"/>
              <w:ind w:left="0"/>
              <w:jc w:val="center"/>
              <w:rPr>
                <w:bCs/>
                <w:sz w:val="22"/>
                <w:szCs w:val="22"/>
                <w:lang w:val="el-GR"/>
              </w:rPr>
            </w:pPr>
            <w:r>
              <w:rPr>
                <w:bCs/>
                <w:sz w:val="22"/>
                <w:szCs w:val="22"/>
                <w:lang w:val="el-GR"/>
              </w:rPr>
              <w:t>&gt;32 εβδομάδες</w:t>
            </w:r>
          </w:p>
        </w:tc>
        <w:tc>
          <w:tcPr>
            <w:tcW w:w="1736" w:type="dxa"/>
          </w:tcPr>
          <w:p w14:paraId="5E041478" w14:textId="77777777" w:rsidR="00171824" w:rsidRDefault="006D258C">
            <w:pPr>
              <w:pStyle w:val="BodyTextIndent"/>
              <w:keepNext/>
              <w:spacing w:after="0"/>
              <w:ind w:left="0"/>
              <w:jc w:val="center"/>
              <w:rPr>
                <w:bCs/>
                <w:sz w:val="22"/>
                <w:szCs w:val="22"/>
                <w:lang w:val="el-GR"/>
              </w:rPr>
            </w:pPr>
            <w:r>
              <w:rPr>
                <w:bCs/>
                <w:sz w:val="22"/>
                <w:szCs w:val="22"/>
                <w:lang w:val="el-GR"/>
              </w:rPr>
              <w:t>20 εβδομάδες</w:t>
            </w:r>
          </w:p>
        </w:tc>
        <w:tc>
          <w:tcPr>
            <w:tcW w:w="1631" w:type="dxa"/>
          </w:tcPr>
          <w:p w14:paraId="5D9221F9" w14:textId="77777777" w:rsidR="00171824" w:rsidRDefault="006D258C">
            <w:pPr>
              <w:pStyle w:val="BodyTextIndent"/>
              <w:keepNext/>
              <w:spacing w:after="0"/>
              <w:ind w:left="0"/>
              <w:jc w:val="center"/>
              <w:rPr>
                <w:bCs/>
                <w:sz w:val="22"/>
                <w:szCs w:val="22"/>
                <w:lang w:val="el-GR"/>
              </w:rPr>
            </w:pPr>
            <w:r>
              <w:rPr>
                <w:bCs/>
                <w:sz w:val="22"/>
                <w:szCs w:val="22"/>
                <w:lang w:val="el-GR"/>
              </w:rPr>
              <w:t>&gt;32 εβδομάδες</w:t>
            </w:r>
          </w:p>
        </w:tc>
        <w:tc>
          <w:tcPr>
            <w:tcW w:w="1572" w:type="dxa"/>
          </w:tcPr>
          <w:p w14:paraId="4A2E3A41" w14:textId="77777777" w:rsidR="00171824" w:rsidRDefault="006D258C">
            <w:pPr>
              <w:pStyle w:val="BodyTextIndent"/>
              <w:keepNext/>
              <w:spacing w:after="0"/>
              <w:ind w:left="0"/>
              <w:jc w:val="center"/>
              <w:rPr>
                <w:bCs/>
                <w:sz w:val="22"/>
                <w:szCs w:val="22"/>
                <w:lang w:val="el-GR"/>
              </w:rPr>
            </w:pPr>
            <w:r>
              <w:rPr>
                <w:bCs/>
                <w:sz w:val="22"/>
                <w:szCs w:val="22"/>
                <w:lang w:val="el-GR"/>
              </w:rPr>
              <w:t>14 εβδομάδες</w:t>
            </w:r>
          </w:p>
        </w:tc>
      </w:tr>
    </w:tbl>
    <w:p w14:paraId="705F29E1" w14:textId="77777777" w:rsidR="00171824" w:rsidRDefault="006D258C">
      <w:pPr>
        <w:widowControl/>
        <w:rPr>
          <w:color w:val="000000"/>
          <w:sz w:val="20"/>
          <w:szCs w:val="20"/>
          <w:lang w:val="el-GR" w:eastAsia="ja-JP"/>
        </w:rPr>
      </w:pPr>
      <w:r>
        <w:rPr>
          <w:color w:val="000000"/>
          <w:sz w:val="20"/>
          <w:szCs w:val="20"/>
          <w:vertAlign w:val="superscript"/>
          <w:lang w:val="el-GR" w:eastAsia="ja-JP"/>
        </w:rPr>
        <w:t xml:space="preserve">α </w:t>
      </w:r>
      <w:r>
        <w:rPr>
          <w:color w:val="000000"/>
          <w:sz w:val="20"/>
          <w:szCs w:val="20"/>
          <w:lang w:val="el-GR" w:eastAsia="ja-JP"/>
        </w:rPr>
        <w:t xml:space="preserve">Aνταποκρίσεις κατά Ped ACR 30/50/70 την Εβδομάδα 48 σημαντικά μεγαλύτερες από εκείνες των ασθενών που έλαβαν εικονικό φάρμακο </w:t>
      </w:r>
    </w:p>
    <w:p w14:paraId="0DD6A363" w14:textId="77777777" w:rsidR="00171824" w:rsidRDefault="006D258C">
      <w:pPr>
        <w:widowControl/>
        <w:rPr>
          <w:color w:val="000000"/>
          <w:sz w:val="20"/>
          <w:szCs w:val="20"/>
          <w:lang w:val="el-GR" w:eastAsia="ja-JP"/>
        </w:rPr>
      </w:pPr>
      <w:r>
        <w:rPr>
          <w:color w:val="000000"/>
          <w:sz w:val="20"/>
          <w:szCs w:val="20"/>
          <w:vertAlign w:val="superscript"/>
          <w:lang w:val="el-GR" w:eastAsia="ja-JP"/>
        </w:rPr>
        <w:t>β</w:t>
      </w:r>
      <w:r>
        <w:rPr>
          <w:color w:val="000000"/>
          <w:sz w:val="20"/>
          <w:szCs w:val="20"/>
          <w:lang w:val="el-GR" w:eastAsia="ja-JP"/>
        </w:rPr>
        <w:t xml:space="preserve"> p = 0,015</w:t>
      </w:r>
    </w:p>
    <w:p w14:paraId="7E46D02C" w14:textId="77777777" w:rsidR="00171824" w:rsidRDefault="006D258C">
      <w:pPr>
        <w:widowControl/>
        <w:rPr>
          <w:color w:val="000000"/>
          <w:sz w:val="20"/>
          <w:szCs w:val="20"/>
          <w:lang w:val="el-GR" w:eastAsia="ja-JP"/>
        </w:rPr>
      </w:pPr>
      <w:r>
        <w:rPr>
          <w:color w:val="000000"/>
          <w:sz w:val="20"/>
          <w:szCs w:val="20"/>
          <w:vertAlign w:val="superscript"/>
          <w:lang w:val="el-GR" w:eastAsia="ja-JP"/>
        </w:rPr>
        <w:t>γ</w:t>
      </w:r>
      <w:r>
        <w:rPr>
          <w:color w:val="000000"/>
          <w:sz w:val="20"/>
          <w:szCs w:val="20"/>
          <w:lang w:val="el-GR" w:eastAsia="ja-JP"/>
        </w:rPr>
        <w:t xml:space="preserve"> p = 0,031</w:t>
      </w:r>
    </w:p>
    <w:p w14:paraId="7DAD2590" w14:textId="77777777" w:rsidR="00171824" w:rsidRDefault="00171824">
      <w:pPr>
        <w:widowControl/>
        <w:rPr>
          <w:sz w:val="22"/>
          <w:lang w:val="el-GR"/>
        </w:rPr>
      </w:pPr>
    </w:p>
    <w:p w14:paraId="7686EFA2" w14:textId="77777777" w:rsidR="00171824" w:rsidRDefault="006D258C">
      <w:pPr>
        <w:widowControl/>
        <w:rPr>
          <w:color w:val="000000"/>
          <w:sz w:val="22"/>
          <w:szCs w:val="22"/>
          <w:lang w:val="el-GR" w:eastAsia="ja-JP"/>
        </w:rPr>
      </w:pPr>
      <w:r>
        <w:rPr>
          <w:color w:val="000000"/>
          <w:sz w:val="22"/>
          <w:szCs w:val="22"/>
          <w:lang w:val="el-GR" w:eastAsia="ja-JP"/>
        </w:rPr>
        <w:t xml:space="preserve">Μεταξύ εκείνων που ανταποκρίθηκαν στην εβδομάδα 16 (n = 144), οι ανταποκρίσεις κατά Paediatric ACR 30/50/70/90 διατηρήθηκαν μέχρι και έξι χρόνια στη φάση OLE σε ασθενείς που έλαβαν </w:t>
      </w:r>
      <w:r>
        <w:rPr>
          <w:sz w:val="22"/>
          <w:szCs w:val="22"/>
          <w:lang w:val="el-GR"/>
        </w:rPr>
        <w:t>adalimumab</w:t>
      </w:r>
      <w:r>
        <w:rPr>
          <w:i/>
          <w:iCs/>
          <w:sz w:val="22"/>
          <w:lang w:val="el-GR"/>
        </w:rPr>
        <w:t xml:space="preserve"> </w:t>
      </w:r>
      <w:r>
        <w:rPr>
          <w:color w:val="000000"/>
          <w:sz w:val="22"/>
          <w:szCs w:val="22"/>
          <w:lang w:val="el-GR" w:eastAsia="ja-JP"/>
        </w:rPr>
        <w:t xml:space="preserve">καθ΄όλη τη διάρκεια της μελέτης. Συνολικά 19 άτομα έλαβαν θεραπεία 6 ετών ή περισσότερο, 11 εκ των οποίων από την ηλικιακή ομάδα αναφοράς 4 έως 12 ετών και 8 της ηλικιακής ομάδας αναφοράς 13 έως 17 ετών. </w:t>
      </w:r>
    </w:p>
    <w:p w14:paraId="31A41077" w14:textId="77777777" w:rsidR="00171824" w:rsidRDefault="00171824">
      <w:pPr>
        <w:widowControl/>
        <w:rPr>
          <w:color w:val="000000"/>
          <w:sz w:val="22"/>
          <w:szCs w:val="22"/>
          <w:lang w:val="el-GR" w:eastAsia="ja-JP"/>
        </w:rPr>
      </w:pPr>
    </w:p>
    <w:p w14:paraId="7E186D62" w14:textId="77777777" w:rsidR="00171824" w:rsidRDefault="006D258C">
      <w:pPr>
        <w:widowControl/>
        <w:kinsoku w:val="0"/>
        <w:overflowPunct w:val="0"/>
        <w:rPr>
          <w:color w:val="000000"/>
          <w:sz w:val="22"/>
          <w:szCs w:val="22"/>
          <w:lang w:val="el-GR" w:eastAsia="ja-JP"/>
        </w:rPr>
      </w:pPr>
      <w:r>
        <w:rPr>
          <w:color w:val="000000"/>
          <w:sz w:val="22"/>
          <w:szCs w:val="22"/>
          <w:lang w:val="el-GR" w:eastAsia="ja-JP"/>
        </w:rPr>
        <w:t xml:space="preserve">Οι ανταποκρίσεις στο σύνολό τους ήταν γενικά καλύτερες και λιγότεροι ασθενείς ανέπτυξαν αντισώματα όταν έλαβαν θεραπεία συνδυασμού </w:t>
      </w:r>
      <w:r>
        <w:rPr>
          <w:sz w:val="22"/>
          <w:szCs w:val="22"/>
          <w:lang w:val="el-GR"/>
        </w:rPr>
        <w:t>adalimumab</w:t>
      </w:r>
      <w:r>
        <w:rPr>
          <w:i/>
          <w:iCs/>
          <w:sz w:val="22"/>
          <w:lang w:val="el-GR"/>
        </w:rPr>
        <w:t xml:space="preserve"> </w:t>
      </w:r>
      <w:r>
        <w:rPr>
          <w:color w:val="000000"/>
          <w:sz w:val="22"/>
          <w:szCs w:val="22"/>
          <w:lang w:val="el-GR" w:eastAsia="ja-JP"/>
        </w:rPr>
        <w:t xml:space="preserve">και μεθοτρεξάτης συγκριτικά με το </w:t>
      </w:r>
      <w:r>
        <w:rPr>
          <w:sz w:val="22"/>
          <w:szCs w:val="22"/>
          <w:lang w:val="el-GR"/>
        </w:rPr>
        <w:t>adalimumab</w:t>
      </w:r>
      <w:r>
        <w:rPr>
          <w:i/>
          <w:iCs/>
          <w:sz w:val="22"/>
          <w:lang w:val="el-GR"/>
        </w:rPr>
        <w:t xml:space="preserve"> </w:t>
      </w:r>
      <w:r>
        <w:rPr>
          <w:color w:val="000000"/>
          <w:sz w:val="22"/>
          <w:szCs w:val="22"/>
          <w:lang w:val="el-GR" w:eastAsia="ja-JP"/>
        </w:rPr>
        <w:t xml:space="preserve">σε μονοθεραπεία. Λαμβάνοντας υπόψη τα αποτελέσματα αυτά, το </w:t>
      </w:r>
      <w:r>
        <w:rPr>
          <w:sz w:val="22"/>
          <w:szCs w:val="22"/>
          <w:lang w:val="el-GR"/>
        </w:rPr>
        <w:t>adalimumab</w:t>
      </w:r>
      <w:r>
        <w:rPr>
          <w:i/>
          <w:iCs/>
          <w:sz w:val="22"/>
          <w:lang w:val="el-GR"/>
        </w:rPr>
        <w:t xml:space="preserve"> </w:t>
      </w:r>
      <w:r>
        <w:rPr>
          <w:color w:val="000000"/>
          <w:sz w:val="22"/>
          <w:szCs w:val="22"/>
          <w:lang w:val="el-GR" w:eastAsia="ja-JP"/>
        </w:rPr>
        <w:t>συνιστάται για χρήση σε συνδυασμό με MTX και για χρήση ως μονοθεραπεία σε ασθενείς στους οποίους η χρήση της ΜΤΧ κρίνεται ακατάλληλη (βλέπε παράγραφο 4.2).</w:t>
      </w:r>
    </w:p>
    <w:p w14:paraId="0A2945BC" w14:textId="77777777" w:rsidR="00171824" w:rsidRDefault="00171824">
      <w:pPr>
        <w:keepNext/>
        <w:widowControl/>
        <w:kinsoku w:val="0"/>
        <w:overflowPunct w:val="0"/>
        <w:rPr>
          <w:color w:val="000000"/>
          <w:sz w:val="22"/>
          <w:szCs w:val="22"/>
          <w:lang w:val="el-GR" w:eastAsia="ja-JP"/>
        </w:rPr>
      </w:pPr>
    </w:p>
    <w:p w14:paraId="6C64FDF5" w14:textId="77777777" w:rsidR="00171824" w:rsidRDefault="006D258C">
      <w:pPr>
        <w:keepNext/>
        <w:widowControl/>
        <w:kinsoku w:val="0"/>
        <w:overflowPunct w:val="0"/>
        <w:rPr>
          <w:color w:val="000000"/>
          <w:sz w:val="22"/>
          <w:szCs w:val="22"/>
          <w:lang w:val="el-GR" w:eastAsia="ja-JP"/>
        </w:rPr>
      </w:pPr>
      <w:r>
        <w:rPr>
          <w:sz w:val="22"/>
          <w:szCs w:val="22"/>
          <w:lang w:val="el-GR"/>
        </w:rPr>
        <w:t>pJIA II</w:t>
      </w:r>
    </w:p>
    <w:p w14:paraId="796F96D6" w14:textId="77777777" w:rsidR="00171824" w:rsidRDefault="00171824">
      <w:pPr>
        <w:keepNext/>
        <w:widowControl/>
        <w:kinsoku w:val="0"/>
        <w:overflowPunct w:val="0"/>
        <w:rPr>
          <w:color w:val="000000"/>
          <w:sz w:val="22"/>
          <w:szCs w:val="22"/>
          <w:lang w:val="el-GR" w:eastAsia="ja-JP"/>
        </w:rPr>
      </w:pPr>
    </w:p>
    <w:p w14:paraId="48FA933E" w14:textId="77777777" w:rsidR="00171824" w:rsidRDefault="006D258C">
      <w:pPr>
        <w:keepNext/>
        <w:widowControl/>
        <w:kinsoku w:val="0"/>
        <w:overflowPunct w:val="0"/>
        <w:rPr>
          <w:sz w:val="22"/>
          <w:szCs w:val="22"/>
          <w:lang w:val="el-GR"/>
        </w:rPr>
      </w:pPr>
      <w:r>
        <w:rPr>
          <w:sz w:val="22"/>
          <w:szCs w:val="22"/>
          <w:lang w:val="el-GR"/>
        </w:rPr>
        <w:t>Η ασφάλεια και η αποτελεσματικότητα του adalimumab</w:t>
      </w:r>
      <w:r>
        <w:rPr>
          <w:i/>
          <w:iCs/>
          <w:sz w:val="22"/>
          <w:lang w:val="el-GR"/>
        </w:rPr>
        <w:t xml:space="preserve"> </w:t>
      </w:r>
      <w:r>
        <w:rPr>
          <w:sz w:val="22"/>
          <w:szCs w:val="22"/>
          <w:lang w:val="el-GR"/>
        </w:rPr>
        <w:t>αξιολογήθηκαν σε μια ανοικτή, πολυκεντρική μελέτη σε 32 παιδιά (2 - &lt;4 ετών ή ηλικίας 4 ετών και άνω με βάρος &lt;15 kg) με μέτρια έως σοβαρή ενεργό πολυαρθρική νεανική ιδιοπαθή αρθρίτιδα. Οι ασθενείς έλαβαν adalimumab</w:t>
      </w:r>
      <w:r>
        <w:rPr>
          <w:i/>
          <w:iCs/>
          <w:sz w:val="22"/>
          <w:lang w:val="el-GR"/>
        </w:rPr>
        <w:t xml:space="preserve"> </w:t>
      </w:r>
      <w:r>
        <w:rPr>
          <w:sz w:val="22"/>
          <w:szCs w:val="22"/>
          <w:lang w:val="el-GR"/>
        </w:rPr>
        <w:t>24 mg/m</w:t>
      </w:r>
      <w:r>
        <w:rPr>
          <w:sz w:val="22"/>
          <w:szCs w:val="22"/>
          <w:vertAlign w:val="superscript"/>
          <w:lang w:val="el-GR" w:eastAsia="en-GB"/>
        </w:rPr>
        <w:t>2</w:t>
      </w:r>
      <w:r>
        <w:rPr>
          <w:sz w:val="22"/>
          <w:szCs w:val="22"/>
          <w:lang w:val="el-GR" w:eastAsia="en-GB"/>
        </w:rPr>
        <w:t xml:space="preserve"> </w:t>
      </w:r>
      <w:r>
        <w:rPr>
          <w:sz w:val="22"/>
          <w:szCs w:val="22"/>
          <w:lang w:val="el-GR"/>
        </w:rPr>
        <w:t>επιφάνειας σώματος (BSA, body surface area) με μέγιστη δόση τα 20 mg κάθε δεύτερη εβδομάδα, ως μία δόση χορηγούμενη με υποδόρια έγχυση για τουλάχιστον 24 εβδομάδες. Κατά τη διάρκεια της μελέτης, τα περισσότερα άτομα έλαβαν ταυτόχρονα μεθοτρεξάτη (MTX), ενώ λιγότερα ανέφεραν χρήση κορτικοστεροειδών ή ΜΣΑΦ.</w:t>
      </w:r>
    </w:p>
    <w:p w14:paraId="4FEF82F8" w14:textId="77777777" w:rsidR="00171824" w:rsidRDefault="00171824">
      <w:pPr>
        <w:keepNext/>
        <w:widowControl/>
        <w:kinsoku w:val="0"/>
        <w:overflowPunct w:val="0"/>
        <w:rPr>
          <w:sz w:val="22"/>
          <w:szCs w:val="22"/>
          <w:lang w:val="el-GR"/>
        </w:rPr>
      </w:pPr>
    </w:p>
    <w:p w14:paraId="32804EF1" w14:textId="77777777" w:rsidR="00171824" w:rsidRDefault="006D258C">
      <w:pPr>
        <w:widowControl/>
        <w:kinsoku w:val="0"/>
        <w:overflowPunct w:val="0"/>
        <w:rPr>
          <w:color w:val="000000"/>
          <w:sz w:val="22"/>
          <w:szCs w:val="22"/>
          <w:lang w:val="el-GR" w:eastAsia="ja-JP"/>
        </w:rPr>
      </w:pPr>
      <w:r>
        <w:rPr>
          <w:sz w:val="22"/>
          <w:szCs w:val="22"/>
          <w:lang w:val="el-GR"/>
        </w:rPr>
        <w:t xml:space="preserve">Στην εβδομάδα 12 και στην εβδομάδα 24, η ανταπόκριση PedACR30 ήταν 93,5% και 90,0%, αντίστοιχα, με τη χρήση της προσέγγισης των παρατηρούμενων δεδομένων. Τα ποσοστά των ασθενών με PedACR50/70/90 την εβδομάδα 12 και την εβδομάδα 24 ήταν 90,3% / 61,3% / 38,7% και 83,3% / 73,3% / 36,7%, αντίστοιχα. Μεταξύ εκείνων που ανταποκρίθηκαν (PedACR30) την εβδομάδα 24 (n = 27 από 30 ασθενείς), οι ανταποκρίσεις στο Paediatric ACR30 διατηρήθηκαν για διάστημα έως 60 </w:t>
      </w:r>
      <w:r>
        <w:rPr>
          <w:sz w:val="22"/>
          <w:szCs w:val="22"/>
          <w:lang w:val="el-GR"/>
        </w:rPr>
        <w:lastRenderedPageBreak/>
        <w:t>εβδομάδες στη φάση OLE σε ασθενείς που έλαβαν adalimumab</w:t>
      </w:r>
      <w:r>
        <w:rPr>
          <w:i/>
          <w:iCs/>
          <w:sz w:val="22"/>
          <w:lang w:val="el-GR"/>
        </w:rPr>
        <w:t xml:space="preserve"> </w:t>
      </w:r>
      <w:r>
        <w:rPr>
          <w:sz w:val="22"/>
          <w:szCs w:val="22"/>
          <w:lang w:val="el-GR"/>
        </w:rPr>
        <w:t>καθ’ όλη τη χρονική αυτή περίοδο. Συνολικά, 20 ασθενείς υποβλήθηκαν σε θεραπεία για 60 εβδομάδες ή περισσότερο.</w:t>
      </w:r>
    </w:p>
    <w:p w14:paraId="7F614E23" w14:textId="77777777" w:rsidR="00171824" w:rsidRDefault="00171824">
      <w:pPr>
        <w:keepNext/>
        <w:widowControl/>
        <w:kinsoku w:val="0"/>
        <w:overflowPunct w:val="0"/>
        <w:rPr>
          <w:sz w:val="22"/>
          <w:szCs w:val="22"/>
          <w:lang w:val="el-GR"/>
        </w:rPr>
      </w:pPr>
    </w:p>
    <w:p w14:paraId="52FF85B5" w14:textId="77777777" w:rsidR="00171824" w:rsidRDefault="006D258C">
      <w:pPr>
        <w:keepNext/>
        <w:widowControl/>
        <w:kinsoku w:val="0"/>
        <w:overflowPunct w:val="0"/>
        <w:rPr>
          <w:sz w:val="22"/>
          <w:szCs w:val="22"/>
          <w:u w:val="single"/>
          <w:lang w:val="el-GR"/>
        </w:rPr>
      </w:pPr>
      <w:r>
        <w:rPr>
          <w:i/>
          <w:iCs/>
          <w:sz w:val="22"/>
          <w:szCs w:val="22"/>
          <w:u w:val="single"/>
          <w:lang w:val="el-GR"/>
        </w:rPr>
        <w:t>Αρθρίτιδα σχετιζόμενη με ενθεσίτιδα</w:t>
      </w:r>
    </w:p>
    <w:p w14:paraId="2FB9474C" w14:textId="77777777" w:rsidR="00171824" w:rsidRDefault="00171824">
      <w:pPr>
        <w:keepNext/>
        <w:widowControl/>
        <w:kinsoku w:val="0"/>
        <w:overflowPunct w:val="0"/>
        <w:rPr>
          <w:sz w:val="22"/>
          <w:szCs w:val="22"/>
          <w:lang w:val="el-GR"/>
        </w:rPr>
      </w:pPr>
    </w:p>
    <w:p w14:paraId="71F10094" w14:textId="77777777" w:rsidR="00171824" w:rsidRDefault="006D258C">
      <w:pPr>
        <w:keepNext/>
        <w:widowControl/>
        <w:kinsoku w:val="0"/>
        <w:overflowPunct w:val="0"/>
        <w:rPr>
          <w:rFonts w:eastAsia="TimesNewRomanPSMT"/>
          <w:sz w:val="22"/>
          <w:szCs w:val="22"/>
          <w:lang w:val="el-GR" w:eastAsia="ja-JP"/>
        </w:rPr>
      </w:pPr>
      <w:r>
        <w:rPr>
          <w:sz w:val="22"/>
          <w:szCs w:val="22"/>
          <w:lang w:val="el-GR"/>
        </w:rPr>
        <w:t xml:space="preserve">Η ασφάλεια και η αποτελεσματικότητα του adalimumab αξιολογήθηκαν σε μία πολυκεντρική, </w:t>
      </w:r>
      <w:r>
        <w:rPr>
          <w:rFonts w:eastAsia="TimesNewRomanPSMT"/>
          <w:sz w:val="22"/>
          <w:szCs w:val="22"/>
          <w:lang w:val="el-GR" w:eastAsia="ja-JP"/>
        </w:rPr>
        <w:t xml:space="preserve">τυχαιοποιημένη διπλά τυφλή μελέτη, σε 46 παιδιατρικούς ασθενείς (ηλικίας 6 έως 17 ετών) με μέτρια αρθρίτιδα σχετιζόμενη με ενθεσίτιδα. Οι ασθενείς τυχαιοποιήθηκαν και έλαβαν είτε </w:t>
      </w:r>
      <w:r>
        <w:rPr>
          <w:sz w:val="22"/>
          <w:szCs w:val="22"/>
          <w:lang w:val="el-GR"/>
        </w:rPr>
        <w:t>adalimumab</w:t>
      </w:r>
      <w:r>
        <w:rPr>
          <w:rFonts w:eastAsia="TimesNewRomanPSMT"/>
          <w:sz w:val="22"/>
          <w:szCs w:val="22"/>
          <w:lang w:val="el-GR" w:eastAsia="ja-JP"/>
        </w:rPr>
        <w:t xml:space="preserve"> 24 mg/m</w:t>
      </w:r>
      <w:r>
        <w:rPr>
          <w:sz w:val="22"/>
          <w:szCs w:val="22"/>
          <w:vertAlign w:val="superscript"/>
          <w:lang w:val="el-GR" w:eastAsia="en-GB"/>
        </w:rPr>
        <w:t>2</w:t>
      </w:r>
      <w:r>
        <w:rPr>
          <w:rFonts w:eastAsia="TimesNewRomanPSMT"/>
          <w:sz w:val="22"/>
          <w:szCs w:val="22"/>
          <w:lang w:val="el-GR" w:eastAsia="ja-JP"/>
        </w:rPr>
        <w:t xml:space="preserve"> επιφάνειας σώματος (BSA), με μέγιστη δόση τα 40 mg, ή εικονικό φάρμακο κάθε δεύτερη εβδομάδα για 12 εβδομάδες. Η διπλά-τυφλή περίοδος ακολουθήθηκε από μια περίοδο ανοιχτής θεραπείας (OL, open-label), κατά την οποία οι ασθενείς έλαβαν </w:t>
      </w:r>
      <w:r>
        <w:rPr>
          <w:sz w:val="22"/>
          <w:szCs w:val="22"/>
          <w:lang w:val="el-GR"/>
        </w:rPr>
        <w:t>adalimumab</w:t>
      </w:r>
      <w:r>
        <w:rPr>
          <w:i/>
          <w:iCs/>
          <w:sz w:val="22"/>
          <w:szCs w:val="22"/>
          <w:lang w:val="el-GR"/>
        </w:rPr>
        <w:t xml:space="preserve"> </w:t>
      </w:r>
      <w:r>
        <w:rPr>
          <w:rFonts w:eastAsia="TimesNewRomanPSMT"/>
          <w:sz w:val="22"/>
          <w:szCs w:val="22"/>
          <w:lang w:val="el-GR" w:eastAsia="ja-JP"/>
        </w:rPr>
        <w:t>24 mg/m</w:t>
      </w:r>
      <w:r>
        <w:rPr>
          <w:sz w:val="22"/>
          <w:szCs w:val="22"/>
          <w:vertAlign w:val="superscript"/>
          <w:lang w:val="el-GR" w:eastAsia="en-GB"/>
        </w:rPr>
        <w:t>2</w:t>
      </w:r>
      <w:r>
        <w:rPr>
          <w:rFonts w:eastAsia="TimesNewRomanPSMT"/>
          <w:sz w:val="22"/>
          <w:szCs w:val="22"/>
          <w:lang w:val="el-GR" w:eastAsia="ja-JP"/>
        </w:rPr>
        <w:t xml:space="preserve"> επιφάνειας σώματος, με μέγιστη δόση τα 40 mg κάθε δεύτερη εβδομάδα, χορηγούμενο μέσω υποδόριας έγχυσης, για 192 επιπλέον εβδομάδες. Το πρωτεύον καταληκτικό σημείο ήταν η ποσοστιαία μεταβολή από την αρχική τιμή έως την εβδομάδα 12 στον αριθμό των ενεργών αρθρώσεων με αρθρίτιδα (οίδημα που δεν οφείλεται σε δυσμορφία ή αρθρώσεις με απώλεια κίνησης και πόνο και/ή ευαισθησία), η οποία επιτεύχθηκε με μέση ποσοστιαία μείωση -62,6% (διάμεση ποσοστιαία μεταβολή </w:t>
      </w:r>
      <w:r>
        <w:rPr>
          <w:rFonts w:eastAsia="TimesNewRomanPSMT"/>
          <w:sz w:val="22"/>
          <w:szCs w:val="22"/>
          <w:lang w:val="el-GR" w:eastAsia="ja-JP"/>
        </w:rPr>
        <w:noBreakHyphen/>
        <w:t xml:space="preserve">88,9%) στους ασθενείς της ομάδας που έλαβε </w:t>
      </w:r>
      <w:r>
        <w:rPr>
          <w:sz w:val="22"/>
          <w:szCs w:val="22"/>
          <w:lang w:val="el-GR"/>
        </w:rPr>
        <w:t>adalimumab</w:t>
      </w:r>
      <w:r>
        <w:rPr>
          <w:i/>
          <w:iCs/>
          <w:sz w:val="22"/>
          <w:szCs w:val="22"/>
          <w:lang w:val="el-GR"/>
        </w:rPr>
        <w:t xml:space="preserve"> </w:t>
      </w:r>
      <w:r>
        <w:rPr>
          <w:sz w:val="22"/>
          <w:szCs w:val="22"/>
          <w:lang w:val="el-GR"/>
        </w:rPr>
        <w:t>σε σύγκριση με - 11,6% (διάμεση ποσοστιαία μεταβολή -50,0%) στους ασθενείς της ομάδας που</w:t>
      </w:r>
      <w:r>
        <w:rPr>
          <w:rFonts w:eastAsia="TimesNewRomanPSMT"/>
          <w:sz w:val="20"/>
          <w:szCs w:val="20"/>
          <w:lang w:val="el-GR" w:eastAsia="ja-JP"/>
        </w:rPr>
        <w:t xml:space="preserve"> </w:t>
      </w:r>
      <w:r>
        <w:rPr>
          <w:rFonts w:eastAsia="TimesNewRomanPSMT"/>
          <w:sz w:val="22"/>
          <w:szCs w:val="22"/>
          <w:lang w:val="el-GR" w:eastAsia="ja-JP"/>
        </w:rPr>
        <w:t xml:space="preserve">έλαβε εικονικό φάρμακο. Η βελτίωση του αριθμού των ενεργών αρθρώσεων με αρθρίτιδα διατηρήθηκε κατά τη διάρκεια της περιόδου ανοιχτής θεραπείας έως την Εβδομάδα 156 για τους 26 από τους 31 (84%) ασθενείς της ομάδας του </w:t>
      </w:r>
      <w:r>
        <w:rPr>
          <w:sz w:val="22"/>
          <w:szCs w:val="22"/>
          <w:lang w:val="el-GR"/>
        </w:rPr>
        <w:t>adalimumab</w:t>
      </w:r>
      <w:r>
        <w:rPr>
          <w:rFonts w:eastAsia="TimesNewRomanPSMT"/>
          <w:sz w:val="22"/>
          <w:szCs w:val="22"/>
          <w:lang w:val="el-GR" w:eastAsia="ja-JP"/>
        </w:rPr>
        <w:t xml:space="preserve"> </w:t>
      </w:r>
      <w:r>
        <w:rPr>
          <w:sz w:val="22"/>
          <w:szCs w:val="22"/>
          <w:lang w:val="el-GR"/>
        </w:rPr>
        <w:t>που παρέμειναν στη μελέτη.</w:t>
      </w:r>
      <w:r>
        <w:rPr>
          <w:rFonts w:eastAsia="TimesNewRomanPSMT"/>
          <w:sz w:val="20"/>
          <w:szCs w:val="20"/>
          <w:lang w:val="el-GR" w:eastAsia="ja-JP"/>
        </w:rPr>
        <w:t xml:space="preserve"> </w:t>
      </w:r>
      <w:r>
        <w:rPr>
          <w:rFonts w:eastAsia="TimesNewRomanPSMT"/>
          <w:sz w:val="22"/>
          <w:szCs w:val="22"/>
          <w:lang w:val="el-GR" w:eastAsia="ja-JP"/>
        </w:rPr>
        <w:t>Αν και δεν είναι στατιστικά σημαντικό, η πλειοψηφία των ασθενών παρουσίασε βελτίωση της κλινικής τους εικόνας σε δευτερεύοντα καταληκτικά σημεία, όπως ο αριθμός των θέσεων με ενθεσίτιδα, ο αριθμός των επώδυνων αρθρώσεων (TJC), ο αριθμός των διογκωμένων αρθρώσεων (SJC), η ανταπόκριση κατά Paediatric ACR 50 και η ανταπόκριση κατά Paediatric ACR 70.</w:t>
      </w:r>
    </w:p>
    <w:p w14:paraId="45B02307" w14:textId="77777777" w:rsidR="00171824" w:rsidRDefault="00171824">
      <w:pPr>
        <w:keepNext/>
        <w:widowControl/>
        <w:kinsoku w:val="0"/>
        <w:overflowPunct w:val="0"/>
        <w:rPr>
          <w:rFonts w:ascii="Calibri" w:eastAsia="TimesNewRomanPSMT" w:hAnsi="Calibri" w:cs="TimesNewRomanPSMT"/>
          <w:sz w:val="22"/>
          <w:szCs w:val="22"/>
          <w:lang w:val="el-GR" w:eastAsia="ja-JP"/>
        </w:rPr>
      </w:pPr>
    </w:p>
    <w:p w14:paraId="113CA7BA" w14:textId="77777777" w:rsidR="00171824" w:rsidRDefault="006D258C">
      <w:pPr>
        <w:keepNext/>
        <w:widowControl/>
        <w:kinsoku w:val="0"/>
        <w:overflowPunct w:val="0"/>
        <w:rPr>
          <w:i/>
          <w:iCs/>
          <w:sz w:val="22"/>
          <w:szCs w:val="22"/>
          <w:lang w:val="el-GR"/>
        </w:rPr>
      </w:pPr>
      <w:r>
        <w:rPr>
          <w:i/>
          <w:iCs/>
          <w:sz w:val="22"/>
          <w:szCs w:val="22"/>
          <w:lang w:val="el-GR"/>
        </w:rPr>
        <w:t>Παιδιατρική ψωρίαση κατά πλάκας</w:t>
      </w:r>
    </w:p>
    <w:p w14:paraId="5EFB386D" w14:textId="77777777" w:rsidR="00171824" w:rsidRDefault="00171824">
      <w:pPr>
        <w:keepNext/>
        <w:widowControl/>
        <w:kinsoku w:val="0"/>
        <w:overflowPunct w:val="0"/>
        <w:rPr>
          <w:i/>
          <w:iCs/>
          <w:sz w:val="22"/>
          <w:szCs w:val="22"/>
          <w:lang w:val="el-GR"/>
        </w:rPr>
      </w:pPr>
    </w:p>
    <w:p w14:paraId="66B08DBB" w14:textId="77777777" w:rsidR="00171824" w:rsidRDefault="006D258C">
      <w:pPr>
        <w:keepNext/>
        <w:widowControl/>
        <w:kinsoku w:val="0"/>
        <w:overflowPunct w:val="0"/>
        <w:rPr>
          <w:sz w:val="22"/>
          <w:szCs w:val="22"/>
          <w:lang w:val="el-GR"/>
        </w:rPr>
      </w:pPr>
      <w:r>
        <w:rPr>
          <w:sz w:val="22"/>
          <w:szCs w:val="22"/>
          <w:lang w:val="el-GR"/>
        </w:rPr>
        <w:t>Η αποτελεσματικότητα του adalimumab αξιολογήθηκε σε μια τυχαιοποιημένη, διπλά-τυφλή, ελεγχόμενη μελέτη σε 114 παιδιατρικούς ασθενείς, ηλικίας άνω των 4 ετών, με σοβαρή χρόνια ψωρίαση κατά πλάκας (όπως ορίζεται από PGA ≥</w:t>
      </w:r>
      <w:r>
        <w:rPr>
          <w:rFonts w:eastAsia="TimesNewRomanPSMT"/>
          <w:sz w:val="22"/>
          <w:szCs w:val="22"/>
          <w:lang w:val="el-GR" w:eastAsia="ja-JP"/>
        </w:rPr>
        <w:t> </w:t>
      </w:r>
      <w:r>
        <w:rPr>
          <w:sz w:val="22"/>
          <w:szCs w:val="22"/>
          <w:lang w:val="el-GR"/>
        </w:rPr>
        <w:t>4 ή &gt;</w:t>
      </w:r>
      <w:r>
        <w:rPr>
          <w:rFonts w:eastAsia="TimesNewRomanPSMT"/>
          <w:sz w:val="22"/>
          <w:szCs w:val="22"/>
          <w:lang w:val="el-GR" w:eastAsia="ja-JP"/>
        </w:rPr>
        <w:t> </w:t>
      </w:r>
      <w:r>
        <w:rPr>
          <w:sz w:val="22"/>
          <w:szCs w:val="22"/>
          <w:lang w:val="el-GR"/>
        </w:rPr>
        <w:t>20% BSA ή &gt;</w:t>
      </w:r>
      <w:r>
        <w:rPr>
          <w:rFonts w:eastAsia="TimesNewRomanPSMT"/>
          <w:sz w:val="22"/>
          <w:szCs w:val="22"/>
          <w:lang w:val="el-GR" w:eastAsia="ja-JP"/>
        </w:rPr>
        <w:t> </w:t>
      </w:r>
      <w:r>
        <w:rPr>
          <w:sz w:val="22"/>
          <w:szCs w:val="22"/>
          <w:lang w:val="el-GR"/>
        </w:rPr>
        <w:t>10% BSA με πολύ παχιές βλάβες ή PASI ≥</w:t>
      </w:r>
      <w:r>
        <w:rPr>
          <w:rFonts w:eastAsia="TimesNewRomanPSMT"/>
          <w:sz w:val="22"/>
          <w:szCs w:val="22"/>
          <w:lang w:val="el-GR" w:eastAsia="ja-JP"/>
        </w:rPr>
        <w:t> </w:t>
      </w:r>
      <w:r>
        <w:rPr>
          <w:sz w:val="22"/>
          <w:szCs w:val="22"/>
          <w:lang w:val="el-GR"/>
        </w:rPr>
        <w:t>20 ή ≥</w:t>
      </w:r>
      <w:r>
        <w:rPr>
          <w:rFonts w:eastAsia="TimesNewRomanPSMT"/>
          <w:sz w:val="22"/>
          <w:szCs w:val="22"/>
          <w:lang w:val="el-GR" w:eastAsia="ja-JP"/>
        </w:rPr>
        <w:t> </w:t>
      </w:r>
      <w:r>
        <w:rPr>
          <w:sz w:val="22"/>
          <w:szCs w:val="22"/>
          <w:lang w:val="el-GR"/>
        </w:rPr>
        <w:t>10 με προσβολή κλινικά του προσώπου, της γεννητικής χώρας ή των παλαμών/πελμάτων), οι οποίοι δεν ελέγχονταν επαρκώς με τοπική θεραπεία και ηλιοθεραπεία ή φωτοθεραπεία.</w:t>
      </w:r>
    </w:p>
    <w:p w14:paraId="1E3A1A80" w14:textId="77777777" w:rsidR="00171824" w:rsidRDefault="00171824">
      <w:pPr>
        <w:keepNext/>
        <w:widowControl/>
        <w:kinsoku w:val="0"/>
        <w:overflowPunct w:val="0"/>
        <w:rPr>
          <w:sz w:val="22"/>
          <w:szCs w:val="22"/>
          <w:lang w:val="el-GR"/>
        </w:rPr>
      </w:pPr>
    </w:p>
    <w:p w14:paraId="361752A1" w14:textId="77777777" w:rsidR="00171824" w:rsidRDefault="006D258C">
      <w:pPr>
        <w:keepNext/>
        <w:widowControl/>
        <w:kinsoku w:val="0"/>
        <w:overflowPunct w:val="0"/>
        <w:rPr>
          <w:sz w:val="22"/>
          <w:szCs w:val="22"/>
          <w:lang w:val="el-GR"/>
        </w:rPr>
      </w:pPr>
      <w:r>
        <w:rPr>
          <w:sz w:val="22"/>
          <w:szCs w:val="22"/>
          <w:lang w:val="el-GR"/>
        </w:rPr>
        <w:t>Οι ασθενείς λάμβαναν adalimumab 0,8</w:t>
      </w:r>
      <w:r>
        <w:rPr>
          <w:rFonts w:eastAsia="TimesNewRomanPSMT"/>
          <w:sz w:val="22"/>
          <w:szCs w:val="22"/>
          <w:lang w:val="el-GR" w:eastAsia="ja-JP"/>
        </w:rPr>
        <w:t> </w:t>
      </w:r>
      <w:r>
        <w:rPr>
          <w:sz w:val="22"/>
          <w:szCs w:val="22"/>
          <w:lang w:val="el-GR"/>
        </w:rPr>
        <w:t>mg/kg κάθε δεύτερη εβδομάδα (έως 40 mg), 0,4 mg/kg κάθε δεύτερη εβδομάδα (έως 20</w:t>
      </w:r>
      <w:r>
        <w:rPr>
          <w:rFonts w:eastAsia="TimesNewRomanPSMT"/>
          <w:sz w:val="22"/>
          <w:szCs w:val="22"/>
          <w:lang w:val="el-GR" w:eastAsia="ja-JP"/>
        </w:rPr>
        <w:t> </w:t>
      </w:r>
      <w:r>
        <w:rPr>
          <w:sz w:val="22"/>
          <w:szCs w:val="22"/>
          <w:lang w:val="el-GR"/>
        </w:rPr>
        <w:t>mg) ή μεθοτρεξάτη 0,1-0,4</w:t>
      </w:r>
      <w:r>
        <w:rPr>
          <w:rFonts w:eastAsia="TimesNewRomanPSMT"/>
          <w:sz w:val="22"/>
          <w:szCs w:val="22"/>
          <w:lang w:val="el-GR" w:eastAsia="ja-JP"/>
        </w:rPr>
        <w:t> </w:t>
      </w:r>
      <w:r>
        <w:rPr>
          <w:sz w:val="22"/>
          <w:szCs w:val="22"/>
          <w:lang w:val="el-GR"/>
        </w:rPr>
        <w:t>mg/kg την εβδομάδα (έως 25</w:t>
      </w:r>
      <w:r>
        <w:rPr>
          <w:rFonts w:eastAsia="TimesNewRomanPSMT"/>
          <w:sz w:val="22"/>
          <w:szCs w:val="22"/>
          <w:lang w:val="el-GR" w:eastAsia="ja-JP"/>
        </w:rPr>
        <w:t> </w:t>
      </w:r>
      <w:r>
        <w:rPr>
          <w:sz w:val="22"/>
          <w:szCs w:val="22"/>
          <w:lang w:val="el-GR"/>
        </w:rPr>
        <w:t>mg). Την εβδομάδα 16, περισσότεροι ασθενείς που τυχαιοποιήθηκαν σε adalimumab 0,8</w:t>
      </w:r>
      <w:r>
        <w:rPr>
          <w:rFonts w:eastAsia="TimesNewRomanPSMT"/>
          <w:sz w:val="22"/>
          <w:szCs w:val="22"/>
          <w:lang w:val="el-GR" w:eastAsia="ja-JP"/>
        </w:rPr>
        <w:t> </w:t>
      </w:r>
      <w:r>
        <w:rPr>
          <w:sz w:val="22"/>
          <w:szCs w:val="22"/>
          <w:lang w:val="el-GR"/>
        </w:rPr>
        <w:t>mg/kg εμφάνισαν ανταπόκριση (π.χ., PASI 75) σε σχέση με εκείνους που τυχαιοποιήθηκαν σε 0,4</w:t>
      </w:r>
      <w:r>
        <w:rPr>
          <w:rFonts w:eastAsia="TimesNewRomanPSMT"/>
          <w:sz w:val="22"/>
          <w:szCs w:val="22"/>
          <w:lang w:val="el-GR" w:eastAsia="ja-JP"/>
        </w:rPr>
        <w:t> </w:t>
      </w:r>
      <w:r>
        <w:rPr>
          <w:sz w:val="22"/>
          <w:szCs w:val="22"/>
          <w:lang w:val="el-GR"/>
        </w:rPr>
        <w:t>mg/kg κάθε δεύτερη εβδομάδα ή σε ΜΤΧ.</w:t>
      </w:r>
    </w:p>
    <w:p w14:paraId="37C9B1D2" w14:textId="77777777" w:rsidR="00171824" w:rsidRDefault="00171824">
      <w:pPr>
        <w:pStyle w:val="BodyText"/>
        <w:widowControl/>
        <w:kinsoku w:val="0"/>
        <w:overflowPunct w:val="0"/>
        <w:ind w:left="0"/>
        <w:rPr>
          <w:lang w:val="el-GR"/>
        </w:rPr>
      </w:pPr>
    </w:p>
    <w:p w14:paraId="4FB79C21" w14:textId="77777777" w:rsidR="00171824" w:rsidRDefault="006D258C">
      <w:pPr>
        <w:widowControl/>
        <w:rPr>
          <w:b/>
          <w:bCs/>
          <w:color w:val="000000"/>
          <w:sz w:val="22"/>
          <w:szCs w:val="22"/>
          <w:lang w:val="el-GR" w:eastAsia="ja-JP"/>
        </w:rPr>
      </w:pPr>
      <w:r>
        <w:rPr>
          <w:b/>
          <w:bCs/>
          <w:color w:val="000000"/>
          <w:sz w:val="22"/>
          <w:szCs w:val="22"/>
          <w:lang w:val="el-GR" w:eastAsia="ja-JP"/>
        </w:rPr>
        <w:t xml:space="preserve">Πίνακας 27. Παιδιατρική ψωρίαση κατά πλάκας Αποτελεσματικότητα στις 16 Εβδομάδες </w:t>
      </w:r>
    </w:p>
    <w:p w14:paraId="51ED8BD5" w14:textId="77777777" w:rsidR="00171824" w:rsidRDefault="00171824">
      <w:pPr>
        <w:widowControl/>
        <w:rPr>
          <w:b/>
          <w:bCs/>
          <w:color w:val="000000"/>
          <w:sz w:val="22"/>
          <w:szCs w:val="22"/>
          <w:lang w:val="el-GR" w:eastAsia="ja-JP"/>
        </w:rPr>
      </w:pPr>
    </w:p>
    <w:tbl>
      <w:tblPr>
        <w:tblW w:w="4949" w:type="pct"/>
        <w:tblInd w:w="-8"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3119"/>
        <w:gridCol w:w="2693"/>
        <w:gridCol w:w="3151"/>
      </w:tblGrid>
      <w:tr w:rsidR="00171824" w14:paraId="2D286531" w14:textId="77777777">
        <w:trPr>
          <w:cantSplit/>
        </w:trPr>
        <w:tc>
          <w:tcPr>
            <w:tcW w:w="3119" w:type="dxa"/>
            <w:tcBorders>
              <w:top w:val="single" w:sz="6" w:space="0" w:color="000000"/>
              <w:left w:val="single" w:sz="6" w:space="0" w:color="000000"/>
              <w:bottom w:val="outset" w:sz="6" w:space="0" w:color="auto"/>
              <w:right w:val="outset" w:sz="6" w:space="0" w:color="auto"/>
            </w:tcBorders>
            <w:vAlign w:val="center"/>
          </w:tcPr>
          <w:p w14:paraId="211A4F29" w14:textId="77777777" w:rsidR="00171824" w:rsidRDefault="00171824">
            <w:pPr>
              <w:keepNext/>
              <w:tabs>
                <w:tab w:val="left" w:pos="567"/>
              </w:tabs>
              <w:autoSpaceDE/>
              <w:autoSpaceDN/>
              <w:adjustRightInd/>
              <w:rPr>
                <w:b/>
                <w:bCs/>
                <w:sz w:val="22"/>
                <w:szCs w:val="22"/>
                <w:lang w:val="el-GR"/>
              </w:rPr>
            </w:pPr>
          </w:p>
        </w:tc>
        <w:tc>
          <w:tcPr>
            <w:tcW w:w="2693" w:type="dxa"/>
            <w:tcBorders>
              <w:top w:val="single" w:sz="6" w:space="0" w:color="000000"/>
              <w:left w:val="single" w:sz="6" w:space="0" w:color="000000"/>
              <w:bottom w:val="outset" w:sz="6" w:space="0" w:color="auto"/>
              <w:right w:val="outset" w:sz="6" w:space="0" w:color="auto"/>
            </w:tcBorders>
          </w:tcPr>
          <w:p w14:paraId="095B9723" w14:textId="77777777" w:rsidR="00171824" w:rsidRDefault="006D258C">
            <w:pPr>
              <w:keepNext/>
              <w:tabs>
                <w:tab w:val="left" w:pos="567"/>
              </w:tabs>
              <w:autoSpaceDE/>
              <w:autoSpaceDN/>
              <w:adjustRightInd/>
              <w:jc w:val="center"/>
              <w:rPr>
                <w:b/>
                <w:bCs/>
                <w:sz w:val="22"/>
                <w:szCs w:val="22"/>
                <w:lang w:val="el-GR"/>
              </w:rPr>
            </w:pPr>
            <w:r>
              <w:rPr>
                <w:b/>
                <w:bCs/>
                <w:sz w:val="22"/>
                <w:szCs w:val="22"/>
                <w:lang w:val="el-GR"/>
              </w:rPr>
              <w:t>MTX</w:t>
            </w:r>
            <w:r>
              <w:rPr>
                <w:b/>
                <w:bCs/>
                <w:sz w:val="22"/>
                <w:szCs w:val="22"/>
                <w:vertAlign w:val="superscript"/>
                <w:lang w:val="el-GR"/>
              </w:rPr>
              <w:t>α</w:t>
            </w:r>
          </w:p>
          <w:p w14:paraId="19C1D8E2" w14:textId="77777777" w:rsidR="00171824" w:rsidRDefault="006D258C">
            <w:pPr>
              <w:keepNext/>
              <w:tabs>
                <w:tab w:val="left" w:pos="567"/>
              </w:tabs>
              <w:autoSpaceDE/>
              <w:autoSpaceDN/>
              <w:adjustRightInd/>
              <w:jc w:val="center"/>
              <w:rPr>
                <w:b/>
                <w:bCs/>
                <w:sz w:val="22"/>
                <w:szCs w:val="22"/>
                <w:lang w:val="el-GR"/>
              </w:rPr>
            </w:pPr>
            <w:r>
              <w:rPr>
                <w:b/>
                <w:bCs/>
                <w:sz w:val="22"/>
                <w:szCs w:val="22"/>
                <w:lang w:val="el-GR"/>
              </w:rPr>
              <w:t>N=37</w:t>
            </w:r>
          </w:p>
        </w:tc>
        <w:tc>
          <w:tcPr>
            <w:tcW w:w="3151" w:type="dxa"/>
            <w:tcBorders>
              <w:top w:val="single" w:sz="6" w:space="0" w:color="000000"/>
              <w:left w:val="single" w:sz="6" w:space="0" w:color="000000"/>
              <w:bottom w:val="outset" w:sz="6" w:space="0" w:color="auto"/>
              <w:right w:val="single" w:sz="6" w:space="0" w:color="000000"/>
            </w:tcBorders>
          </w:tcPr>
          <w:p w14:paraId="3CAA0E4C" w14:textId="77777777" w:rsidR="00171824" w:rsidRDefault="006D258C">
            <w:pPr>
              <w:keepNext/>
              <w:tabs>
                <w:tab w:val="left" w:pos="567"/>
              </w:tabs>
              <w:autoSpaceDE/>
              <w:autoSpaceDN/>
              <w:adjustRightInd/>
              <w:jc w:val="center"/>
              <w:rPr>
                <w:b/>
                <w:bCs/>
                <w:sz w:val="22"/>
                <w:szCs w:val="22"/>
                <w:lang w:val="el-GR"/>
              </w:rPr>
            </w:pPr>
            <w:r>
              <w:rPr>
                <w:b/>
                <w:color w:val="000000"/>
                <w:sz w:val="22"/>
                <w:szCs w:val="22"/>
                <w:lang w:val="el-GR"/>
              </w:rPr>
              <w:t>Adalimumab</w:t>
            </w:r>
            <w:r>
              <w:rPr>
                <w:b/>
                <w:bCs/>
                <w:sz w:val="22"/>
                <w:szCs w:val="22"/>
                <w:lang w:val="el-GR"/>
              </w:rPr>
              <w:t xml:space="preserve"> 0,8 mg/kg κάθε δεύτερη εβδομάδα</w:t>
            </w:r>
          </w:p>
          <w:p w14:paraId="62F35C4A" w14:textId="77777777" w:rsidR="00171824" w:rsidRDefault="006D258C">
            <w:pPr>
              <w:keepNext/>
              <w:tabs>
                <w:tab w:val="left" w:pos="567"/>
              </w:tabs>
              <w:autoSpaceDE/>
              <w:autoSpaceDN/>
              <w:adjustRightInd/>
              <w:jc w:val="center"/>
              <w:rPr>
                <w:b/>
                <w:bCs/>
                <w:sz w:val="22"/>
                <w:szCs w:val="22"/>
                <w:lang w:val="el-GR"/>
              </w:rPr>
            </w:pPr>
            <w:r>
              <w:rPr>
                <w:b/>
                <w:bCs/>
                <w:sz w:val="22"/>
                <w:szCs w:val="22"/>
                <w:lang w:val="el-GR"/>
              </w:rPr>
              <w:t>N=38</w:t>
            </w:r>
          </w:p>
        </w:tc>
      </w:tr>
      <w:tr w:rsidR="00171824" w14:paraId="7435986E" w14:textId="77777777">
        <w:trPr>
          <w:cantSplit/>
        </w:trPr>
        <w:tc>
          <w:tcPr>
            <w:tcW w:w="3119" w:type="dxa"/>
            <w:tcBorders>
              <w:top w:val="single" w:sz="6" w:space="0" w:color="000000"/>
              <w:left w:val="single" w:sz="6" w:space="0" w:color="000000"/>
              <w:bottom w:val="outset" w:sz="6" w:space="0" w:color="auto"/>
              <w:right w:val="outset" w:sz="6" w:space="0" w:color="auto"/>
            </w:tcBorders>
          </w:tcPr>
          <w:p w14:paraId="01BEC845" w14:textId="77777777" w:rsidR="00171824" w:rsidRDefault="006D258C">
            <w:pPr>
              <w:keepNext/>
              <w:tabs>
                <w:tab w:val="left" w:pos="567"/>
              </w:tabs>
              <w:autoSpaceDE/>
              <w:autoSpaceDN/>
              <w:adjustRightInd/>
              <w:rPr>
                <w:sz w:val="22"/>
                <w:szCs w:val="22"/>
                <w:lang w:val="el-GR"/>
              </w:rPr>
            </w:pPr>
            <w:r>
              <w:rPr>
                <w:sz w:val="22"/>
                <w:szCs w:val="22"/>
                <w:lang w:val="el-GR"/>
              </w:rPr>
              <w:t>PASI 75</w:t>
            </w:r>
            <w:r>
              <w:rPr>
                <w:sz w:val="22"/>
                <w:szCs w:val="22"/>
                <w:vertAlign w:val="superscript"/>
                <w:lang w:val="el-GR"/>
              </w:rPr>
              <w:t>β</w:t>
            </w:r>
          </w:p>
        </w:tc>
        <w:tc>
          <w:tcPr>
            <w:tcW w:w="2693" w:type="dxa"/>
            <w:tcBorders>
              <w:top w:val="single" w:sz="6" w:space="0" w:color="000000"/>
              <w:left w:val="single" w:sz="6" w:space="0" w:color="000000"/>
              <w:bottom w:val="outset" w:sz="6" w:space="0" w:color="auto"/>
              <w:right w:val="outset" w:sz="6" w:space="0" w:color="auto"/>
            </w:tcBorders>
          </w:tcPr>
          <w:p w14:paraId="0F15ACC7" w14:textId="77777777" w:rsidR="00171824" w:rsidRDefault="006D258C">
            <w:pPr>
              <w:keepNext/>
              <w:tabs>
                <w:tab w:val="left" w:pos="567"/>
              </w:tabs>
              <w:autoSpaceDE/>
              <w:autoSpaceDN/>
              <w:adjustRightInd/>
              <w:jc w:val="center"/>
              <w:rPr>
                <w:sz w:val="22"/>
                <w:szCs w:val="22"/>
                <w:lang w:val="el-GR"/>
              </w:rPr>
            </w:pPr>
            <w:r>
              <w:rPr>
                <w:sz w:val="22"/>
                <w:szCs w:val="22"/>
                <w:lang w:val="el-GR"/>
              </w:rPr>
              <w:t>12 (32,4%)</w:t>
            </w:r>
          </w:p>
        </w:tc>
        <w:tc>
          <w:tcPr>
            <w:tcW w:w="3151" w:type="dxa"/>
            <w:tcBorders>
              <w:top w:val="single" w:sz="6" w:space="0" w:color="000000"/>
              <w:left w:val="single" w:sz="6" w:space="0" w:color="000000"/>
              <w:bottom w:val="outset" w:sz="6" w:space="0" w:color="auto"/>
              <w:right w:val="single" w:sz="6" w:space="0" w:color="000000"/>
            </w:tcBorders>
          </w:tcPr>
          <w:p w14:paraId="4D91FA21" w14:textId="77777777" w:rsidR="00171824" w:rsidRDefault="006D258C">
            <w:pPr>
              <w:keepNext/>
              <w:tabs>
                <w:tab w:val="left" w:pos="567"/>
              </w:tabs>
              <w:autoSpaceDE/>
              <w:autoSpaceDN/>
              <w:adjustRightInd/>
              <w:jc w:val="center"/>
              <w:rPr>
                <w:sz w:val="22"/>
                <w:szCs w:val="22"/>
                <w:lang w:val="el-GR"/>
              </w:rPr>
            </w:pPr>
            <w:r>
              <w:rPr>
                <w:sz w:val="22"/>
                <w:szCs w:val="22"/>
                <w:lang w:val="el-GR"/>
              </w:rPr>
              <w:t>22 (57,9%)</w:t>
            </w:r>
          </w:p>
        </w:tc>
      </w:tr>
      <w:tr w:rsidR="00171824" w14:paraId="166AB5FE" w14:textId="77777777">
        <w:trPr>
          <w:cantSplit/>
        </w:trPr>
        <w:tc>
          <w:tcPr>
            <w:tcW w:w="3119" w:type="dxa"/>
            <w:tcBorders>
              <w:top w:val="single" w:sz="6" w:space="0" w:color="000000"/>
              <w:left w:val="single" w:sz="6" w:space="0" w:color="000000"/>
              <w:bottom w:val="single" w:sz="6" w:space="0" w:color="000000"/>
              <w:right w:val="outset" w:sz="6" w:space="0" w:color="auto"/>
            </w:tcBorders>
          </w:tcPr>
          <w:p w14:paraId="4725A900" w14:textId="77777777" w:rsidR="00171824" w:rsidRDefault="006D258C">
            <w:pPr>
              <w:keepNext/>
              <w:tabs>
                <w:tab w:val="left" w:pos="567"/>
              </w:tabs>
              <w:autoSpaceDE/>
              <w:autoSpaceDN/>
              <w:adjustRightInd/>
              <w:rPr>
                <w:sz w:val="22"/>
                <w:szCs w:val="22"/>
                <w:lang w:val="el-GR"/>
              </w:rPr>
            </w:pPr>
            <w:r>
              <w:rPr>
                <w:sz w:val="22"/>
                <w:szCs w:val="22"/>
                <w:lang w:val="el-GR"/>
              </w:rPr>
              <w:t>PGA: Καθαρό /ελάχιστο</w:t>
            </w:r>
            <w:r>
              <w:rPr>
                <w:sz w:val="22"/>
                <w:szCs w:val="22"/>
                <w:vertAlign w:val="superscript"/>
                <w:lang w:val="el-GR"/>
              </w:rPr>
              <w:t>γ</w:t>
            </w:r>
          </w:p>
        </w:tc>
        <w:tc>
          <w:tcPr>
            <w:tcW w:w="2693" w:type="dxa"/>
            <w:tcBorders>
              <w:top w:val="single" w:sz="6" w:space="0" w:color="000000"/>
              <w:left w:val="single" w:sz="6" w:space="0" w:color="000000"/>
              <w:bottom w:val="single" w:sz="6" w:space="0" w:color="000000"/>
              <w:right w:val="outset" w:sz="6" w:space="0" w:color="auto"/>
            </w:tcBorders>
          </w:tcPr>
          <w:p w14:paraId="0AD1345A" w14:textId="77777777" w:rsidR="00171824" w:rsidRDefault="006D258C">
            <w:pPr>
              <w:keepNext/>
              <w:tabs>
                <w:tab w:val="left" w:pos="567"/>
              </w:tabs>
              <w:autoSpaceDE/>
              <w:autoSpaceDN/>
              <w:adjustRightInd/>
              <w:jc w:val="center"/>
              <w:rPr>
                <w:sz w:val="22"/>
                <w:szCs w:val="22"/>
                <w:lang w:val="el-GR"/>
              </w:rPr>
            </w:pPr>
            <w:r>
              <w:rPr>
                <w:sz w:val="22"/>
                <w:szCs w:val="22"/>
                <w:lang w:val="el-GR"/>
              </w:rPr>
              <w:t>15 (40,5%)</w:t>
            </w:r>
          </w:p>
        </w:tc>
        <w:tc>
          <w:tcPr>
            <w:tcW w:w="3151" w:type="dxa"/>
            <w:tcBorders>
              <w:top w:val="single" w:sz="6" w:space="0" w:color="000000"/>
              <w:left w:val="single" w:sz="6" w:space="0" w:color="000000"/>
              <w:bottom w:val="single" w:sz="6" w:space="0" w:color="000000"/>
              <w:right w:val="single" w:sz="6" w:space="0" w:color="000000"/>
            </w:tcBorders>
          </w:tcPr>
          <w:p w14:paraId="16D221E3" w14:textId="77777777" w:rsidR="00171824" w:rsidRDefault="006D258C">
            <w:pPr>
              <w:keepNext/>
              <w:tabs>
                <w:tab w:val="left" w:pos="567"/>
              </w:tabs>
              <w:autoSpaceDE/>
              <w:autoSpaceDN/>
              <w:adjustRightInd/>
              <w:jc w:val="center"/>
              <w:rPr>
                <w:sz w:val="22"/>
                <w:szCs w:val="22"/>
                <w:lang w:val="el-GR"/>
              </w:rPr>
            </w:pPr>
            <w:r>
              <w:rPr>
                <w:sz w:val="22"/>
                <w:szCs w:val="22"/>
                <w:lang w:val="el-GR"/>
              </w:rPr>
              <w:t>23 (60,5%)</w:t>
            </w:r>
          </w:p>
        </w:tc>
      </w:tr>
    </w:tbl>
    <w:p w14:paraId="16D4916A" w14:textId="77777777" w:rsidR="00171824" w:rsidRDefault="006D258C">
      <w:pPr>
        <w:keepNext/>
        <w:tabs>
          <w:tab w:val="left" w:pos="567"/>
        </w:tabs>
        <w:autoSpaceDE/>
        <w:autoSpaceDN/>
        <w:adjustRightInd/>
        <w:rPr>
          <w:sz w:val="20"/>
          <w:szCs w:val="20"/>
          <w:lang w:val="el-GR"/>
        </w:rPr>
      </w:pPr>
      <w:r>
        <w:rPr>
          <w:sz w:val="20"/>
          <w:szCs w:val="20"/>
          <w:vertAlign w:val="superscript"/>
          <w:lang w:val="el-GR"/>
        </w:rPr>
        <w:t>α</w:t>
      </w:r>
      <w:r>
        <w:rPr>
          <w:sz w:val="20"/>
          <w:szCs w:val="20"/>
          <w:lang w:val="el-GR"/>
        </w:rPr>
        <w:t xml:space="preserve"> MTX = μεθοτρεξάτη</w:t>
      </w:r>
    </w:p>
    <w:p w14:paraId="73DB5590" w14:textId="77777777" w:rsidR="00171824" w:rsidRDefault="006D258C">
      <w:pPr>
        <w:keepNext/>
        <w:tabs>
          <w:tab w:val="left" w:pos="567"/>
        </w:tabs>
        <w:autoSpaceDE/>
        <w:autoSpaceDN/>
        <w:adjustRightInd/>
        <w:rPr>
          <w:sz w:val="20"/>
          <w:szCs w:val="20"/>
          <w:lang w:val="el-GR"/>
        </w:rPr>
      </w:pPr>
      <w:r>
        <w:rPr>
          <w:sz w:val="20"/>
          <w:szCs w:val="20"/>
          <w:vertAlign w:val="superscript"/>
          <w:lang w:val="el-GR"/>
        </w:rPr>
        <w:t>β</w:t>
      </w:r>
      <w:r>
        <w:rPr>
          <w:sz w:val="20"/>
          <w:szCs w:val="20"/>
          <w:lang w:val="el-GR"/>
        </w:rPr>
        <w:t xml:space="preserve"> P=0,027, adalimumab 0,8 mg/kg έναντι MTX</w:t>
      </w:r>
    </w:p>
    <w:p w14:paraId="406E6F25" w14:textId="77777777" w:rsidR="00171824" w:rsidRDefault="006D258C">
      <w:pPr>
        <w:tabs>
          <w:tab w:val="left" w:pos="567"/>
          <w:tab w:val="left" w:pos="1294"/>
        </w:tabs>
        <w:rPr>
          <w:sz w:val="22"/>
          <w:szCs w:val="20"/>
          <w:lang w:val="el-GR"/>
        </w:rPr>
      </w:pPr>
      <w:r>
        <w:rPr>
          <w:sz w:val="20"/>
          <w:szCs w:val="20"/>
          <w:vertAlign w:val="superscript"/>
          <w:lang w:val="el-GR"/>
        </w:rPr>
        <w:t>γ</w:t>
      </w:r>
      <w:r>
        <w:rPr>
          <w:sz w:val="20"/>
          <w:szCs w:val="20"/>
          <w:lang w:val="el-GR"/>
        </w:rPr>
        <w:t xml:space="preserve"> P=0,083, adalimumab 0,8 mg/kg έναντι MTX</w:t>
      </w:r>
    </w:p>
    <w:p w14:paraId="67AAC5C4" w14:textId="77777777" w:rsidR="00171824" w:rsidRDefault="00171824">
      <w:pPr>
        <w:widowControl/>
        <w:rPr>
          <w:sz w:val="22"/>
          <w:szCs w:val="22"/>
          <w:lang w:val="el-GR"/>
        </w:rPr>
      </w:pPr>
    </w:p>
    <w:p w14:paraId="1D71DC8D" w14:textId="77777777" w:rsidR="00171824" w:rsidRDefault="006D258C">
      <w:pPr>
        <w:widowControl/>
        <w:rPr>
          <w:sz w:val="22"/>
          <w:szCs w:val="22"/>
          <w:lang w:val="el-GR"/>
        </w:rPr>
      </w:pPr>
      <w:r>
        <w:rPr>
          <w:sz w:val="22"/>
          <w:szCs w:val="22"/>
          <w:lang w:val="el-GR"/>
        </w:rPr>
        <w:t>Οι ασθενείς που πέτυχαν PASI 75 και PGA καθαρό ή ελάχιστο αποσύρθηκαν από τη θεραπεία για έως και 36 εβδομάδες και παρακολουθήθηκαν για απώλεια του ελέγχου της νόσου (δηλαδή επιδείνωση του PGA κατά 2 βαθμούς τουλάχιστον). Οι ασθενείς στη συνέχεια έλαβαν και πάλι αγωγή με adalimumab 0,8</w:t>
      </w:r>
      <w:r>
        <w:rPr>
          <w:rFonts w:eastAsia="TimesNewRomanPSMT"/>
          <w:sz w:val="22"/>
          <w:szCs w:val="22"/>
          <w:lang w:val="el-GR" w:eastAsia="ja-JP"/>
        </w:rPr>
        <w:t> </w:t>
      </w:r>
      <w:r>
        <w:rPr>
          <w:sz w:val="22"/>
          <w:szCs w:val="22"/>
          <w:lang w:val="el-GR"/>
        </w:rPr>
        <w:t xml:space="preserve">mg/kg κάθε δεύτερη εβδομάδα για 16 επιπλέον εβδομάδες και τα ποσοστά ανταπόκρισης που παρατηρήθηκαν κατά τη διάρκεια της επαναθεραπείας ήταν παρόμοια με αυτά της </w:t>
      </w:r>
      <w:r>
        <w:rPr>
          <w:sz w:val="22"/>
          <w:szCs w:val="22"/>
          <w:lang w:val="el-GR"/>
        </w:rPr>
        <w:lastRenderedPageBreak/>
        <w:t>προηγούμενης διπλά-τυφλής περιόδου: ανταπόκριση PASI 75 78,9% (15 από τους 19 ασθενείς) και PGA καθαρό ή ελάχιστο 52,6% (10 από τους 19 ασθενείς).</w:t>
      </w:r>
    </w:p>
    <w:p w14:paraId="3426D9BA" w14:textId="77777777" w:rsidR="00171824" w:rsidRDefault="00171824">
      <w:pPr>
        <w:widowControl/>
        <w:rPr>
          <w:sz w:val="22"/>
          <w:szCs w:val="22"/>
          <w:lang w:val="el-GR"/>
        </w:rPr>
      </w:pPr>
    </w:p>
    <w:p w14:paraId="517B7981" w14:textId="77777777" w:rsidR="00171824" w:rsidRDefault="006D258C">
      <w:pPr>
        <w:widowControl/>
        <w:rPr>
          <w:b/>
          <w:bCs/>
          <w:color w:val="000000"/>
          <w:sz w:val="22"/>
          <w:szCs w:val="22"/>
          <w:lang w:val="el-GR" w:eastAsia="ja-JP"/>
        </w:rPr>
      </w:pPr>
      <w:r>
        <w:rPr>
          <w:sz w:val="22"/>
          <w:szCs w:val="22"/>
          <w:lang w:val="el-GR"/>
        </w:rPr>
        <w:t>Κατά τη διάρκεια της περιόδου ανοιχτής επισήμανσης της μελέτης, διατηρήθηκε η ανταπόκριση PASI 75 και το PGA καθαρό ή ελάχιστο για έως και 52 επιπλέον εβδομάδες χωρίς νέα δεδομένα ασφάλειας.</w:t>
      </w:r>
    </w:p>
    <w:p w14:paraId="08F127E7" w14:textId="77777777" w:rsidR="00171824" w:rsidRDefault="00171824">
      <w:pPr>
        <w:pStyle w:val="BodyText"/>
        <w:widowControl/>
        <w:kinsoku w:val="0"/>
        <w:overflowPunct w:val="0"/>
        <w:ind w:left="0"/>
        <w:rPr>
          <w:lang w:val="el-GR"/>
        </w:rPr>
      </w:pPr>
    </w:p>
    <w:p w14:paraId="26947AD2" w14:textId="77777777" w:rsidR="00171824" w:rsidRDefault="006D258C">
      <w:pPr>
        <w:pStyle w:val="BodyText"/>
        <w:keepNext/>
        <w:keepLines/>
        <w:widowControl/>
        <w:kinsoku w:val="0"/>
        <w:overflowPunct w:val="0"/>
        <w:ind w:left="0"/>
        <w:rPr>
          <w:lang w:val="el-GR"/>
        </w:rPr>
      </w:pPr>
      <w:r>
        <w:rPr>
          <w:i/>
          <w:iCs/>
          <w:lang w:val="el-GR"/>
        </w:rPr>
        <w:t>Εφηβική διαπυητική ιδρωταδενίτιδα</w:t>
      </w:r>
    </w:p>
    <w:p w14:paraId="2938A315" w14:textId="77777777" w:rsidR="00171824" w:rsidRDefault="00171824">
      <w:pPr>
        <w:pStyle w:val="BodyText"/>
        <w:keepNext/>
        <w:keepLines/>
        <w:widowControl/>
        <w:kinsoku w:val="0"/>
        <w:overflowPunct w:val="0"/>
        <w:ind w:left="0"/>
        <w:rPr>
          <w:lang w:val="el-GR"/>
        </w:rPr>
      </w:pPr>
    </w:p>
    <w:p w14:paraId="7CD51978" w14:textId="77777777" w:rsidR="00171824" w:rsidRDefault="006D258C">
      <w:pPr>
        <w:pStyle w:val="BodyText"/>
        <w:keepNext/>
        <w:keepLines/>
        <w:widowControl/>
        <w:kinsoku w:val="0"/>
        <w:overflowPunct w:val="0"/>
        <w:ind w:left="0"/>
        <w:rPr>
          <w:lang w:val="el-GR"/>
        </w:rPr>
      </w:pPr>
      <w:r>
        <w:rPr>
          <w:lang w:val="el-GR"/>
        </w:rPr>
        <w:t>Δεν υπάρχουν κλινικές μελέτες με το adalimumab σε έφηβους ασθενείς με HS. Η αποτελεσματικότητα του adalimumab για τη θεραπεία των εφήβων ασθενών με HS προβλέπεται με βάση την αποδεδειγμένη αποτελεσματικότητα και τη σχέση έκθεσης-ανταπόκρισης σε ενήλικες ασθενείς με HS και την πιθανότητα η πορεία της νόσου, η παθοφυσιολογία, και οι επιδράσεις του φαρμάκου να παρουσιάζουν ουσιαστικές ομοιότητες με εκείνες των ενηλίκων στα ίδια επίπεδα έκθεσης. Η ασφάλεια της συνιστώμενης δόσης adalimumab στον πληθυσμό των εφήβων ασθενών με HS βασίζεται στο προφίλ ασφάλειας στις διάφορες ενδείξεις του adalimumab σε ενήλικες και παιδιατρικούς ασθενείς που λαμβάνουν παρόμοιες ή πιο συχνές δόσεις (βλέπε παράγραφο 5.2).</w:t>
      </w:r>
    </w:p>
    <w:p w14:paraId="163EFD51" w14:textId="77777777" w:rsidR="00171824" w:rsidRDefault="00171824">
      <w:pPr>
        <w:pStyle w:val="BodyText"/>
        <w:widowControl/>
        <w:kinsoku w:val="0"/>
        <w:overflowPunct w:val="0"/>
        <w:ind w:left="0"/>
        <w:rPr>
          <w:lang w:val="el-GR"/>
        </w:rPr>
      </w:pPr>
    </w:p>
    <w:p w14:paraId="0988D57C" w14:textId="77777777" w:rsidR="00171824" w:rsidRDefault="006D258C">
      <w:pPr>
        <w:pStyle w:val="BodyText"/>
        <w:widowControl/>
        <w:kinsoku w:val="0"/>
        <w:overflowPunct w:val="0"/>
        <w:ind w:left="0"/>
        <w:rPr>
          <w:lang w:val="el-GR"/>
        </w:rPr>
      </w:pPr>
      <w:r>
        <w:rPr>
          <w:i/>
          <w:iCs/>
          <w:lang w:val="el-GR"/>
        </w:rPr>
        <w:t>Παιδιατρική νόσος του Crohn</w:t>
      </w:r>
    </w:p>
    <w:p w14:paraId="6172AD58" w14:textId="77777777" w:rsidR="00171824" w:rsidRDefault="00171824">
      <w:pPr>
        <w:pStyle w:val="BodyText"/>
        <w:widowControl/>
        <w:kinsoku w:val="0"/>
        <w:overflowPunct w:val="0"/>
        <w:ind w:left="0"/>
        <w:rPr>
          <w:lang w:val="el-GR"/>
        </w:rPr>
      </w:pPr>
    </w:p>
    <w:p w14:paraId="0770E4C2" w14:textId="77777777" w:rsidR="00171824" w:rsidRDefault="006D258C">
      <w:pPr>
        <w:pStyle w:val="BodyText"/>
        <w:widowControl/>
        <w:kinsoku w:val="0"/>
        <w:overflowPunct w:val="0"/>
        <w:ind w:left="0"/>
        <w:rPr>
          <w:lang w:val="el-GR"/>
        </w:rPr>
      </w:pPr>
      <w:r>
        <w:rPr>
          <w:lang w:val="el-GR"/>
        </w:rPr>
        <w:t>Το adalimumab αξιολογήθηκε σε μια πολυκεντρική, τυχαιοποιημένη, διπλά-τυφλή κλινική μελέτη που σχεδιάστηκε για να αξιολογήσει την αποτελεσματικότητα και ασφάλεια της θεραπείας επαγωγής και συντήρησης με δόσεις ανάλογα με το σωματικό βάρος (&lt;</w:t>
      </w:r>
      <w:r>
        <w:rPr>
          <w:rFonts w:eastAsia="TimesNewRomanPSMT"/>
          <w:lang w:val="el-GR" w:eastAsia="ja-JP"/>
        </w:rPr>
        <w:t> </w:t>
      </w:r>
      <w:r>
        <w:rPr>
          <w:lang w:val="el-GR"/>
        </w:rPr>
        <w:t>40</w:t>
      </w:r>
      <w:r>
        <w:rPr>
          <w:rFonts w:eastAsia="TimesNewRomanPSMT"/>
          <w:lang w:val="el-GR" w:eastAsia="ja-JP"/>
        </w:rPr>
        <w:t> </w:t>
      </w:r>
      <w:r>
        <w:rPr>
          <w:lang w:val="el-GR"/>
        </w:rPr>
        <w:t>kg ή ≥</w:t>
      </w:r>
      <w:r>
        <w:rPr>
          <w:rFonts w:eastAsia="TimesNewRomanPSMT"/>
          <w:lang w:val="el-GR" w:eastAsia="ja-JP"/>
        </w:rPr>
        <w:t> </w:t>
      </w:r>
      <w:r>
        <w:rPr>
          <w:lang w:val="el-GR"/>
        </w:rPr>
        <w:t>40</w:t>
      </w:r>
      <w:r>
        <w:rPr>
          <w:rFonts w:eastAsia="TimesNewRomanPSMT"/>
          <w:lang w:val="el-GR" w:eastAsia="ja-JP"/>
        </w:rPr>
        <w:t> </w:t>
      </w:r>
      <w:r>
        <w:rPr>
          <w:lang w:val="el-GR"/>
        </w:rPr>
        <w:t>kg) σε 192 παιδιατρικούς ασθενείς μεταξύ 6 και 17 (συμπεριλαμβανομένου) ετών, με μέτρια έως σοβαρή νόσο του Crohn (CD), που ορίζεται ως PCDAI &gt; 30. Οι ασθενείς έπρεπε να έχουν αποτύχει στη συμβατική θεραπεία (συμπεριλαμβανομένου ενός κορτικοστεροειδούς και/ή ενός ανοσοτροποποιητικού) για CD. Οι ασθενείς μπορεί επίσης να είχαν προηγουμένως χάσει την ανταπόκριση ή να είχαν δυσανεξία στο infliximab.</w:t>
      </w:r>
    </w:p>
    <w:p w14:paraId="1104AD83" w14:textId="77777777" w:rsidR="00171824" w:rsidRDefault="00171824">
      <w:pPr>
        <w:pStyle w:val="BodyText"/>
        <w:widowControl/>
        <w:kinsoku w:val="0"/>
        <w:overflowPunct w:val="0"/>
        <w:ind w:left="0"/>
        <w:rPr>
          <w:lang w:val="el-GR"/>
        </w:rPr>
      </w:pPr>
    </w:p>
    <w:p w14:paraId="7B81358E" w14:textId="77777777" w:rsidR="00171824" w:rsidRDefault="006D258C">
      <w:pPr>
        <w:pStyle w:val="BodyText"/>
        <w:widowControl/>
        <w:kinsoku w:val="0"/>
        <w:overflowPunct w:val="0"/>
        <w:ind w:left="0"/>
        <w:rPr>
          <w:lang w:val="el-GR"/>
        </w:rPr>
      </w:pPr>
      <w:r>
        <w:rPr>
          <w:lang w:val="el-GR"/>
        </w:rPr>
        <w:t>Όλοι οι ασθενείς έλαβαν αρχική θεραπεία ανοιχτής χορήγησης σε δόση με βάση το σωματικό βάρος τους στην έναρξη: 160</w:t>
      </w:r>
      <w:r>
        <w:rPr>
          <w:rFonts w:eastAsia="TimesNewRomanPSMT"/>
          <w:lang w:val="el-GR" w:eastAsia="ja-JP"/>
        </w:rPr>
        <w:t> </w:t>
      </w:r>
      <w:r>
        <w:rPr>
          <w:lang w:val="el-GR"/>
        </w:rPr>
        <w:t>mg την εβδομάδα 0 και 80</w:t>
      </w:r>
      <w:r>
        <w:rPr>
          <w:rFonts w:eastAsia="TimesNewRomanPSMT"/>
          <w:lang w:val="el-GR" w:eastAsia="ja-JP"/>
        </w:rPr>
        <w:t> </w:t>
      </w:r>
      <w:r>
        <w:rPr>
          <w:lang w:val="el-GR"/>
        </w:rPr>
        <w:t>mg την εβδομάδα 2 για ασθενείς ≥</w:t>
      </w:r>
      <w:r>
        <w:rPr>
          <w:rFonts w:eastAsia="TimesNewRomanPSMT"/>
          <w:lang w:val="el-GR" w:eastAsia="ja-JP"/>
        </w:rPr>
        <w:t> </w:t>
      </w:r>
      <w:r>
        <w:rPr>
          <w:lang w:val="el-GR"/>
        </w:rPr>
        <w:t>40</w:t>
      </w:r>
      <w:r>
        <w:rPr>
          <w:rFonts w:eastAsia="TimesNewRomanPSMT"/>
          <w:lang w:val="el-GR" w:eastAsia="ja-JP"/>
        </w:rPr>
        <w:t> </w:t>
      </w:r>
      <w:r>
        <w:rPr>
          <w:lang w:val="el-GR"/>
        </w:rPr>
        <w:t>kg, και 80</w:t>
      </w:r>
      <w:r>
        <w:rPr>
          <w:rFonts w:eastAsia="TimesNewRomanPSMT"/>
          <w:lang w:val="el-GR" w:eastAsia="ja-JP"/>
        </w:rPr>
        <w:t> </w:t>
      </w:r>
      <w:r>
        <w:rPr>
          <w:lang w:val="el-GR"/>
        </w:rPr>
        <w:t>mg και 40</w:t>
      </w:r>
      <w:r>
        <w:rPr>
          <w:rFonts w:eastAsia="TimesNewRomanPSMT"/>
          <w:lang w:val="el-GR" w:eastAsia="ja-JP"/>
        </w:rPr>
        <w:t> </w:t>
      </w:r>
      <w:r>
        <w:rPr>
          <w:lang w:val="el-GR"/>
        </w:rPr>
        <w:t>mg, αντίστοιχα, για ασθενείς &lt;40</w:t>
      </w:r>
      <w:r>
        <w:rPr>
          <w:rFonts w:eastAsia="TimesNewRomanPSMT"/>
          <w:lang w:val="el-GR" w:eastAsia="ja-JP"/>
        </w:rPr>
        <w:t> </w:t>
      </w:r>
      <w:r>
        <w:rPr>
          <w:lang w:val="el-GR"/>
        </w:rPr>
        <w:t>kg.</w:t>
      </w:r>
    </w:p>
    <w:p w14:paraId="26F086EB" w14:textId="77777777" w:rsidR="00171824" w:rsidRDefault="00171824">
      <w:pPr>
        <w:pStyle w:val="BodyText"/>
        <w:widowControl/>
        <w:kinsoku w:val="0"/>
        <w:overflowPunct w:val="0"/>
        <w:ind w:left="0"/>
        <w:rPr>
          <w:lang w:val="el-GR"/>
        </w:rPr>
      </w:pPr>
    </w:p>
    <w:p w14:paraId="7474A26F" w14:textId="77777777" w:rsidR="00171824" w:rsidRDefault="006D258C">
      <w:pPr>
        <w:pStyle w:val="BodyText"/>
        <w:widowControl/>
        <w:kinsoku w:val="0"/>
        <w:overflowPunct w:val="0"/>
        <w:ind w:left="0"/>
        <w:rPr>
          <w:lang w:val="el-GR"/>
        </w:rPr>
      </w:pPr>
      <w:r>
        <w:rPr>
          <w:lang w:val="el-GR"/>
        </w:rPr>
        <w:t>Την εβδομάδα 4, οι ασθενείς τυχαιοποιήθηκαν 1:1 με βάση το σωματικό τους βάρος εκείνη τη στιγμή είτε στη χαμηλή δόση ή στην τυπική δόση θεραπείας συντήρησης όπως φαίνεται στον Πίνακα 28.</w:t>
      </w:r>
    </w:p>
    <w:p w14:paraId="39887DF3" w14:textId="77777777" w:rsidR="00171824" w:rsidRDefault="00171824">
      <w:pPr>
        <w:pStyle w:val="BodyText"/>
        <w:widowControl/>
        <w:kinsoku w:val="0"/>
        <w:overflowPunct w:val="0"/>
        <w:ind w:left="0"/>
        <w:rPr>
          <w:lang w:val="el-GR"/>
        </w:rPr>
      </w:pPr>
    </w:p>
    <w:p w14:paraId="4454B668" w14:textId="77777777" w:rsidR="00171824" w:rsidRDefault="006D258C">
      <w:pPr>
        <w:widowControl/>
        <w:rPr>
          <w:b/>
          <w:bCs/>
          <w:color w:val="000000"/>
          <w:sz w:val="22"/>
          <w:szCs w:val="22"/>
          <w:lang w:val="el-GR" w:eastAsia="ja-JP"/>
        </w:rPr>
      </w:pPr>
      <w:r>
        <w:rPr>
          <w:b/>
          <w:bCs/>
          <w:color w:val="000000"/>
          <w:sz w:val="22"/>
          <w:szCs w:val="22"/>
          <w:lang w:val="el-GR" w:eastAsia="ja-JP"/>
        </w:rPr>
        <w:t xml:space="preserve">Πίνακας 28. Δόση Συντήρησης </w:t>
      </w:r>
    </w:p>
    <w:p w14:paraId="00E6998A" w14:textId="77777777" w:rsidR="00171824" w:rsidRDefault="00171824">
      <w:pPr>
        <w:widowControl/>
        <w:rPr>
          <w:sz w:val="22"/>
          <w:lang w:val="el-G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119"/>
        <w:gridCol w:w="3969"/>
      </w:tblGrid>
      <w:tr w:rsidR="00171824" w14:paraId="2A87E654" w14:textId="77777777">
        <w:trPr>
          <w:cantSplit/>
        </w:trPr>
        <w:tc>
          <w:tcPr>
            <w:tcW w:w="1843" w:type="dxa"/>
          </w:tcPr>
          <w:p w14:paraId="299CE9DF" w14:textId="77777777" w:rsidR="00171824" w:rsidRDefault="006D258C">
            <w:pPr>
              <w:keepNext/>
              <w:tabs>
                <w:tab w:val="left" w:pos="562"/>
              </w:tabs>
              <w:autoSpaceDE/>
              <w:autoSpaceDN/>
              <w:adjustRightInd/>
              <w:rPr>
                <w:b/>
                <w:sz w:val="22"/>
                <w:lang w:val="el-GR"/>
              </w:rPr>
            </w:pPr>
            <w:r>
              <w:rPr>
                <w:b/>
                <w:sz w:val="22"/>
                <w:lang w:val="el-GR"/>
              </w:rPr>
              <w:t>Βάρος Ασθενούς</w:t>
            </w:r>
          </w:p>
        </w:tc>
        <w:tc>
          <w:tcPr>
            <w:tcW w:w="3119" w:type="dxa"/>
          </w:tcPr>
          <w:p w14:paraId="03C4E656" w14:textId="77777777" w:rsidR="00171824" w:rsidRDefault="006D258C">
            <w:pPr>
              <w:keepNext/>
              <w:tabs>
                <w:tab w:val="left" w:pos="562"/>
              </w:tabs>
              <w:autoSpaceDE/>
              <w:autoSpaceDN/>
              <w:adjustRightInd/>
              <w:rPr>
                <w:b/>
                <w:sz w:val="22"/>
                <w:lang w:val="el-GR"/>
              </w:rPr>
            </w:pPr>
            <w:r>
              <w:rPr>
                <w:b/>
                <w:sz w:val="22"/>
                <w:lang w:val="el-GR"/>
              </w:rPr>
              <w:t>Χαμηλή δόση</w:t>
            </w:r>
          </w:p>
        </w:tc>
        <w:tc>
          <w:tcPr>
            <w:tcW w:w="3969" w:type="dxa"/>
          </w:tcPr>
          <w:p w14:paraId="33C51373" w14:textId="77777777" w:rsidR="00171824" w:rsidRDefault="006D258C">
            <w:pPr>
              <w:keepNext/>
              <w:tabs>
                <w:tab w:val="left" w:pos="562"/>
              </w:tabs>
              <w:autoSpaceDE/>
              <w:autoSpaceDN/>
              <w:adjustRightInd/>
              <w:rPr>
                <w:b/>
                <w:sz w:val="22"/>
                <w:lang w:val="el-GR"/>
              </w:rPr>
            </w:pPr>
            <w:r>
              <w:rPr>
                <w:b/>
                <w:sz w:val="22"/>
                <w:szCs w:val="22"/>
                <w:lang w:val="el-GR"/>
              </w:rPr>
              <w:t>Τυπική</w:t>
            </w:r>
            <w:r>
              <w:rPr>
                <w:sz w:val="22"/>
                <w:szCs w:val="22"/>
                <w:lang w:val="el-GR"/>
              </w:rPr>
              <w:t xml:space="preserve"> </w:t>
            </w:r>
            <w:r>
              <w:rPr>
                <w:b/>
                <w:sz w:val="22"/>
                <w:szCs w:val="20"/>
                <w:lang w:val="el-GR"/>
              </w:rPr>
              <w:t>Δόση</w:t>
            </w:r>
          </w:p>
        </w:tc>
      </w:tr>
      <w:tr w:rsidR="00171824" w14:paraId="0ED1657B" w14:textId="77777777">
        <w:trPr>
          <w:cantSplit/>
        </w:trPr>
        <w:tc>
          <w:tcPr>
            <w:tcW w:w="1843" w:type="dxa"/>
          </w:tcPr>
          <w:p w14:paraId="3A9BE18C" w14:textId="77777777" w:rsidR="00171824" w:rsidRDefault="006D258C">
            <w:pPr>
              <w:keepNext/>
              <w:tabs>
                <w:tab w:val="left" w:pos="562"/>
              </w:tabs>
              <w:autoSpaceDE/>
              <w:autoSpaceDN/>
              <w:adjustRightInd/>
              <w:rPr>
                <w:sz w:val="22"/>
                <w:lang w:val="el-GR"/>
              </w:rPr>
            </w:pPr>
            <w:r>
              <w:rPr>
                <w:sz w:val="22"/>
                <w:lang w:val="el-GR"/>
              </w:rPr>
              <w:t>&lt; 40 kg</w:t>
            </w:r>
          </w:p>
        </w:tc>
        <w:tc>
          <w:tcPr>
            <w:tcW w:w="3119" w:type="dxa"/>
          </w:tcPr>
          <w:p w14:paraId="09287C76" w14:textId="77777777" w:rsidR="00171824" w:rsidRDefault="006D258C">
            <w:pPr>
              <w:keepNext/>
              <w:tabs>
                <w:tab w:val="left" w:pos="562"/>
              </w:tabs>
              <w:autoSpaceDE/>
              <w:autoSpaceDN/>
              <w:adjustRightInd/>
              <w:rPr>
                <w:sz w:val="22"/>
                <w:lang w:val="el-GR"/>
              </w:rPr>
            </w:pPr>
            <w:r>
              <w:rPr>
                <w:sz w:val="22"/>
                <w:lang w:val="el-GR"/>
              </w:rPr>
              <w:t xml:space="preserve">10 mg κάθε </w:t>
            </w:r>
            <w:r>
              <w:rPr>
                <w:sz w:val="22"/>
                <w:szCs w:val="20"/>
                <w:lang w:val="el-GR"/>
              </w:rPr>
              <w:t xml:space="preserve">δεύτερη </w:t>
            </w:r>
            <w:r>
              <w:rPr>
                <w:sz w:val="22"/>
                <w:lang w:val="el-GR"/>
              </w:rPr>
              <w:t>εβδομάδα</w:t>
            </w:r>
          </w:p>
        </w:tc>
        <w:tc>
          <w:tcPr>
            <w:tcW w:w="3969" w:type="dxa"/>
          </w:tcPr>
          <w:p w14:paraId="713B6653" w14:textId="77777777" w:rsidR="00171824" w:rsidRDefault="006D258C">
            <w:pPr>
              <w:keepNext/>
              <w:tabs>
                <w:tab w:val="left" w:pos="562"/>
              </w:tabs>
              <w:autoSpaceDE/>
              <w:autoSpaceDN/>
              <w:adjustRightInd/>
              <w:rPr>
                <w:sz w:val="22"/>
                <w:lang w:val="el-GR"/>
              </w:rPr>
            </w:pPr>
            <w:r>
              <w:rPr>
                <w:sz w:val="22"/>
                <w:lang w:val="el-GR"/>
              </w:rPr>
              <w:t xml:space="preserve">20 mg κάθε </w:t>
            </w:r>
            <w:r>
              <w:rPr>
                <w:sz w:val="22"/>
                <w:szCs w:val="20"/>
                <w:lang w:val="el-GR"/>
              </w:rPr>
              <w:t xml:space="preserve">δεύτερη </w:t>
            </w:r>
            <w:r>
              <w:rPr>
                <w:sz w:val="22"/>
                <w:lang w:val="el-GR"/>
              </w:rPr>
              <w:t>εβδομάδα</w:t>
            </w:r>
          </w:p>
        </w:tc>
      </w:tr>
      <w:tr w:rsidR="00171824" w14:paraId="6EC815AF" w14:textId="77777777">
        <w:trPr>
          <w:cantSplit/>
        </w:trPr>
        <w:tc>
          <w:tcPr>
            <w:tcW w:w="1843" w:type="dxa"/>
          </w:tcPr>
          <w:p w14:paraId="122EE5BF" w14:textId="77777777" w:rsidR="00171824" w:rsidRDefault="006D258C">
            <w:pPr>
              <w:keepNext/>
              <w:tabs>
                <w:tab w:val="left" w:pos="562"/>
              </w:tabs>
              <w:autoSpaceDE/>
              <w:autoSpaceDN/>
              <w:adjustRightInd/>
              <w:rPr>
                <w:sz w:val="22"/>
                <w:lang w:val="el-GR"/>
              </w:rPr>
            </w:pPr>
            <w:r>
              <w:rPr>
                <w:sz w:val="22"/>
                <w:lang w:val="el-GR"/>
              </w:rPr>
              <w:t>≥ 40 kg</w:t>
            </w:r>
          </w:p>
        </w:tc>
        <w:tc>
          <w:tcPr>
            <w:tcW w:w="3119" w:type="dxa"/>
          </w:tcPr>
          <w:p w14:paraId="2C307D7F" w14:textId="77777777" w:rsidR="00171824" w:rsidRDefault="006D258C">
            <w:pPr>
              <w:keepNext/>
              <w:tabs>
                <w:tab w:val="left" w:pos="562"/>
              </w:tabs>
              <w:autoSpaceDE/>
              <w:autoSpaceDN/>
              <w:adjustRightInd/>
              <w:rPr>
                <w:sz w:val="22"/>
                <w:lang w:val="el-GR"/>
              </w:rPr>
            </w:pPr>
            <w:r>
              <w:rPr>
                <w:sz w:val="22"/>
                <w:lang w:val="el-GR"/>
              </w:rPr>
              <w:t xml:space="preserve">20 mg κάθε </w:t>
            </w:r>
            <w:r>
              <w:rPr>
                <w:sz w:val="22"/>
                <w:szCs w:val="20"/>
                <w:lang w:val="el-GR"/>
              </w:rPr>
              <w:t xml:space="preserve">δεύτερη </w:t>
            </w:r>
            <w:r>
              <w:rPr>
                <w:sz w:val="22"/>
                <w:lang w:val="el-GR"/>
              </w:rPr>
              <w:t>εβδομάδα</w:t>
            </w:r>
          </w:p>
        </w:tc>
        <w:tc>
          <w:tcPr>
            <w:tcW w:w="3969" w:type="dxa"/>
          </w:tcPr>
          <w:p w14:paraId="5B4B31F3" w14:textId="77777777" w:rsidR="00171824" w:rsidRDefault="006D258C">
            <w:pPr>
              <w:keepNext/>
              <w:tabs>
                <w:tab w:val="left" w:pos="562"/>
              </w:tabs>
              <w:autoSpaceDE/>
              <w:autoSpaceDN/>
              <w:adjustRightInd/>
              <w:rPr>
                <w:sz w:val="22"/>
                <w:lang w:val="el-GR"/>
              </w:rPr>
            </w:pPr>
            <w:r>
              <w:rPr>
                <w:sz w:val="22"/>
                <w:lang w:val="el-GR"/>
              </w:rPr>
              <w:t xml:space="preserve">40 mg κάθε </w:t>
            </w:r>
            <w:r>
              <w:rPr>
                <w:sz w:val="22"/>
                <w:szCs w:val="20"/>
                <w:lang w:val="el-GR"/>
              </w:rPr>
              <w:t xml:space="preserve">δεύτερη </w:t>
            </w:r>
            <w:r>
              <w:rPr>
                <w:sz w:val="22"/>
                <w:lang w:val="el-GR"/>
              </w:rPr>
              <w:t>εβδομάδα</w:t>
            </w:r>
          </w:p>
        </w:tc>
      </w:tr>
    </w:tbl>
    <w:p w14:paraId="0CF4D5AF" w14:textId="77777777" w:rsidR="00171824" w:rsidRDefault="00171824">
      <w:pPr>
        <w:pStyle w:val="BodyText"/>
        <w:widowControl/>
        <w:kinsoku w:val="0"/>
        <w:overflowPunct w:val="0"/>
        <w:ind w:left="0"/>
        <w:rPr>
          <w:lang w:val="el-GR"/>
        </w:rPr>
      </w:pPr>
    </w:p>
    <w:p w14:paraId="27B65ED6" w14:textId="77777777" w:rsidR="00171824" w:rsidRDefault="006D258C">
      <w:pPr>
        <w:widowControl/>
        <w:rPr>
          <w:color w:val="000000"/>
          <w:sz w:val="22"/>
          <w:szCs w:val="22"/>
          <w:u w:val="single"/>
          <w:lang w:val="el-GR" w:eastAsia="ja-JP"/>
        </w:rPr>
      </w:pPr>
      <w:r>
        <w:rPr>
          <w:i/>
          <w:iCs/>
          <w:color w:val="000000"/>
          <w:sz w:val="22"/>
          <w:szCs w:val="22"/>
          <w:u w:val="single"/>
          <w:lang w:val="el-GR" w:eastAsia="ja-JP"/>
        </w:rPr>
        <w:t xml:space="preserve">Αποτελεσματικότητα </w:t>
      </w:r>
    </w:p>
    <w:p w14:paraId="1A60FD6E" w14:textId="77777777" w:rsidR="00171824" w:rsidRDefault="00171824">
      <w:pPr>
        <w:pStyle w:val="BodyText"/>
        <w:widowControl/>
        <w:kinsoku w:val="0"/>
        <w:overflowPunct w:val="0"/>
        <w:ind w:left="0"/>
        <w:rPr>
          <w:color w:val="000000"/>
          <w:lang w:val="el-GR" w:eastAsia="ja-JP"/>
        </w:rPr>
      </w:pPr>
    </w:p>
    <w:p w14:paraId="15E71598" w14:textId="77777777" w:rsidR="00171824" w:rsidRDefault="006D258C">
      <w:pPr>
        <w:pStyle w:val="BodyText"/>
        <w:widowControl/>
        <w:kinsoku w:val="0"/>
        <w:overflowPunct w:val="0"/>
        <w:ind w:left="0"/>
        <w:rPr>
          <w:lang w:val="el-GR"/>
        </w:rPr>
      </w:pPr>
      <w:r>
        <w:rPr>
          <w:color w:val="000000"/>
          <w:lang w:val="el-GR" w:eastAsia="ja-JP"/>
        </w:rPr>
        <w:t>Το κύριο καταληκτικό σημείο της μελέτης ήταν η κλινική ύφεση την εβδομάδα 26, όπως ορίζεται ως PCDAI ≤ 10.</w:t>
      </w:r>
    </w:p>
    <w:p w14:paraId="5D341746" w14:textId="77777777" w:rsidR="00171824" w:rsidRDefault="00171824">
      <w:pPr>
        <w:pStyle w:val="BodyText"/>
        <w:widowControl/>
        <w:kinsoku w:val="0"/>
        <w:overflowPunct w:val="0"/>
        <w:ind w:left="0"/>
        <w:rPr>
          <w:lang w:val="el-GR"/>
        </w:rPr>
      </w:pPr>
    </w:p>
    <w:p w14:paraId="326DB4F8" w14:textId="77777777" w:rsidR="00171824" w:rsidRDefault="006D258C">
      <w:pPr>
        <w:pStyle w:val="BodyText"/>
        <w:widowControl/>
        <w:kinsoku w:val="0"/>
        <w:overflowPunct w:val="0"/>
        <w:ind w:left="0"/>
        <w:rPr>
          <w:lang w:val="el-GR"/>
        </w:rPr>
      </w:pPr>
      <w:r>
        <w:rPr>
          <w:lang w:val="el-GR"/>
        </w:rPr>
        <w:t>Τα ποσοστά κλινικής ύφεσης και κλινικής ανταπόκρισης (που ορίζονται ως μείωση του PCDAI κατά τουλάχιστον 15 βαθμούς από την τιμή Έναρξης) παρουσιάζονται στον Πίνακα 29. Τα ποσοστά διακοπής των κορτικοστεροειδών ή των ανοσοτροποποιητικών παρουσιάζονται στον Πίνακα 30.</w:t>
      </w:r>
    </w:p>
    <w:p w14:paraId="35C44E15" w14:textId="77777777" w:rsidR="00171824" w:rsidRDefault="00171824">
      <w:pPr>
        <w:widowControl/>
        <w:rPr>
          <w:b/>
          <w:bCs/>
          <w:color w:val="000000"/>
          <w:sz w:val="22"/>
          <w:szCs w:val="22"/>
          <w:lang w:val="el-GR" w:eastAsia="ja-JP"/>
        </w:rPr>
      </w:pPr>
    </w:p>
    <w:p w14:paraId="46F45A1D" w14:textId="77777777" w:rsidR="00171824" w:rsidRDefault="006D258C">
      <w:pPr>
        <w:keepNext/>
        <w:widowControl/>
        <w:rPr>
          <w:sz w:val="22"/>
          <w:lang w:val="el-GR"/>
        </w:rPr>
      </w:pPr>
      <w:r>
        <w:rPr>
          <w:b/>
          <w:bCs/>
          <w:color w:val="000000"/>
          <w:sz w:val="22"/>
          <w:szCs w:val="22"/>
          <w:lang w:val="el-GR" w:eastAsia="ja-JP"/>
        </w:rPr>
        <w:lastRenderedPageBreak/>
        <w:t xml:space="preserve">Πίνακας 29. Μελέτη Παιδιατρικής CD PCDAI Κλινική Ύφεση και Κλινική Ανταπόκριση </w:t>
      </w:r>
    </w:p>
    <w:p w14:paraId="2731E640" w14:textId="77777777" w:rsidR="00171824" w:rsidRDefault="00171824">
      <w:pPr>
        <w:pStyle w:val="BodyText"/>
        <w:keepNext/>
        <w:widowControl/>
        <w:kinsoku w:val="0"/>
        <w:overflowPunct w:val="0"/>
        <w:ind w:left="0"/>
        <w:rPr>
          <w:lang w:val="el-GR"/>
        </w:rPr>
      </w:pPr>
    </w:p>
    <w:tbl>
      <w:tblPr>
        <w:tblW w:w="9072" w:type="dxa"/>
        <w:tblInd w:w="-8" w:type="dxa"/>
        <w:tblLayout w:type="fixed"/>
        <w:tblLook w:val="04A0" w:firstRow="1" w:lastRow="0" w:firstColumn="1" w:lastColumn="0" w:noHBand="0" w:noVBand="1"/>
      </w:tblPr>
      <w:tblGrid>
        <w:gridCol w:w="2694"/>
        <w:gridCol w:w="2268"/>
        <w:gridCol w:w="2126"/>
        <w:gridCol w:w="1984"/>
      </w:tblGrid>
      <w:tr w:rsidR="00171824" w14:paraId="1A328CFD" w14:textId="77777777">
        <w:trPr>
          <w:cantSplit/>
        </w:trPr>
        <w:tc>
          <w:tcPr>
            <w:tcW w:w="2694" w:type="dxa"/>
            <w:tcBorders>
              <w:top w:val="single" w:sz="4" w:space="0" w:color="auto"/>
              <w:left w:val="single" w:sz="6" w:space="0" w:color="000000"/>
              <w:bottom w:val="single" w:sz="6" w:space="0" w:color="000000"/>
              <w:right w:val="single" w:sz="6" w:space="0" w:color="000000"/>
            </w:tcBorders>
          </w:tcPr>
          <w:p w14:paraId="405AE550" w14:textId="77777777" w:rsidR="00171824" w:rsidRDefault="00171824">
            <w:pPr>
              <w:keepNext/>
              <w:tabs>
                <w:tab w:val="left" w:pos="-1080"/>
              </w:tabs>
              <w:rPr>
                <w:b/>
                <w:bCs/>
                <w:sz w:val="22"/>
                <w:szCs w:val="22"/>
                <w:lang w:val="el-GR"/>
              </w:rPr>
            </w:pPr>
          </w:p>
        </w:tc>
        <w:tc>
          <w:tcPr>
            <w:tcW w:w="2268" w:type="dxa"/>
            <w:tcBorders>
              <w:top w:val="single" w:sz="4" w:space="0" w:color="auto"/>
              <w:left w:val="single" w:sz="6" w:space="0" w:color="000000"/>
              <w:bottom w:val="single" w:sz="6" w:space="0" w:color="000000"/>
              <w:right w:val="single" w:sz="6" w:space="0" w:color="000000"/>
            </w:tcBorders>
          </w:tcPr>
          <w:p w14:paraId="7A1C1383" w14:textId="77777777" w:rsidR="00171824" w:rsidRDefault="006D258C">
            <w:pPr>
              <w:keepNext/>
              <w:tabs>
                <w:tab w:val="left" w:pos="-1080"/>
              </w:tabs>
              <w:jc w:val="center"/>
              <w:rPr>
                <w:b/>
                <w:bCs/>
                <w:sz w:val="22"/>
                <w:szCs w:val="22"/>
                <w:lang w:val="el-GR"/>
              </w:rPr>
            </w:pPr>
            <w:r>
              <w:rPr>
                <w:b/>
                <w:sz w:val="22"/>
                <w:szCs w:val="22"/>
                <w:lang w:val="el-GR"/>
              </w:rPr>
              <w:t xml:space="preserve">Τυπική </w:t>
            </w:r>
            <w:r>
              <w:rPr>
                <w:b/>
                <w:sz w:val="22"/>
                <w:szCs w:val="20"/>
                <w:lang w:val="el-GR"/>
              </w:rPr>
              <w:t>Δόση</w:t>
            </w:r>
            <w:r>
              <w:rPr>
                <w:b/>
                <w:bCs/>
                <w:sz w:val="22"/>
                <w:szCs w:val="22"/>
                <w:lang w:val="el-GR"/>
              </w:rPr>
              <w:t xml:space="preserve"> </w:t>
            </w:r>
          </w:p>
          <w:p w14:paraId="2225868C" w14:textId="77777777" w:rsidR="00171824" w:rsidRDefault="006D258C">
            <w:pPr>
              <w:keepNext/>
              <w:tabs>
                <w:tab w:val="left" w:pos="-1080"/>
              </w:tabs>
              <w:jc w:val="center"/>
              <w:rPr>
                <w:b/>
                <w:bCs/>
                <w:sz w:val="22"/>
                <w:szCs w:val="22"/>
                <w:lang w:val="el-GR"/>
              </w:rPr>
            </w:pPr>
            <w:r>
              <w:rPr>
                <w:b/>
                <w:bCs/>
                <w:sz w:val="22"/>
                <w:szCs w:val="22"/>
                <w:lang w:val="el-GR"/>
              </w:rPr>
              <w:t>40/20 mg</w:t>
            </w:r>
            <w:r>
              <w:rPr>
                <w:b/>
                <w:sz w:val="22"/>
                <w:lang w:val="el-GR"/>
              </w:rPr>
              <w:t xml:space="preserve"> κάθε </w:t>
            </w:r>
            <w:r>
              <w:rPr>
                <w:b/>
                <w:sz w:val="22"/>
                <w:szCs w:val="20"/>
                <w:lang w:val="el-GR"/>
              </w:rPr>
              <w:t xml:space="preserve">δεύτερη </w:t>
            </w:r>
            <w:r>
              <w:rPr>
                <w:b/>
                <w:sz w:val="22"/>
                <w:lang w:val="el-GR"/>
              </w:rPr>
              <w:t>εβδομάδα</w:t>
            </w:r>
            <w:r>
              <w:rPr>
                <w:b/>
                <w:bCs/>
                <w:sz w:val="22"/>
                <w:szCs w:val="22"/>
                <w:lang w:val="el-GR"/>
              </w:rPr>
              <w:t xml:space="preserve"> </w:t>
            </w:r>
          </w:p>
          <w:p w14:paraId="14A76960" w14:textId="77777777" w:rsidR="00171824" w:rsidRDefault="006D258C">
            <w:pPr>
              <w:keepNext/>
              <w:tabs>
                <w:tab w:val="left" w:pos="-1080"/>
              </w:tabs>
              <w:jc w:val="center"/>
              <w:rPr>
                <w:b/>
                <w:bCs/>
                <w:sz w:val="22"/>
                <w:szCs w:val="22"/>
                <w:lang w:val="el-GR"/>
              </w:rPr>
            </w:pPr>
            <w:r>
              <w:rPr>
                <w:b/>
                <w:bCs/>
                <w:sz w:val="22"/>
                <w:szCs w:val="22"/>
                <w:lang w:val="el-GR"/>
              </w:rPr>
              <w:t>N = 93</w:t>
            </w:r>
          </w:p>
        </w:tc>
        <w:tc>
          <w:tcPr>
            <w:tcW w:w="2126" w:type="dxa"/>
            <w:tcBorders>
              <w:top w:val="single" w:sz="4" w:space="0" w:color="auto"/>
              <w:left w:val="single" w:sz="6" w:space="0" w:color="000000"/>
              <w:bottom w:val="single" w:sz="6" w:space="0" w:color="000000"/>
              <w:right w:val="single" w:sz="6" w:space="0" w:color="000000"/>
            </w:tcBorders>
          </w:tcPr>
          <w:p w14:paraId="75824A69" w14:textId="77777777" w:rsidR="00171824" w:rsidRDefault="006D258C">
            <w:pPr>
              <w:keepNext/>
              <w:tabs>
                <w:tab w:val="left" w:pos="-1080"/>
              </w:tabs>
              <w:jc w:val="center"/>
              <w:rPr>
                <w:b/>
                <w:bCs/>
                <w:sz w:val="22"/>
                <w:szCs w:val="22"/>
                <w:lang w:val="el-GR"/>
              </w:rPr>
            </w:pPr>
            <w:r>
              <w:rPr>
                <w:b/>
                <w:sz w:val="22"/>
                <w:lang w:val="el-GR"/>
              </w:rPr>
              <w:t>Χαμηλή δόση</w:t>
            </w:r>
            <w:r>
              <w:rPr>
                <w:b/>
                <w:bCs/>
                <w:sz w:val="22"/>
                <w:szCs w:val="22"/>
                <w:lang w:val="el-GR"/>
              </w:rPr>
              <w:t xml:space="preserve"> 20/10 mg </w:t>
            </w:r>
            <w:r>
              <w:rPr>
                <w:b/>
                <w:sz w:val="22"/>
                <w:lang w:val="el-GR"/>
              </w:rPr>
              <w:t xml:space="preserve">κάθε </w:t>
            </w:r>
            <w:r>
              <w:rPr>
                <w:b/>
                <w:sz w:val="22"/>
                <w:szCs w:val="20"/>
                <w:lang w:val="el-GR"/>
              </w:rPr>
              <w:t xml:space="preserve">δεύτερη </w:t>
            </w:r>
            <w:r>
              <w:rPr>
                <w:b/>
                <w:sz w:val="22"/>
                <w:lang w:val="el-GR"/>
              </w:rPr>
              <w:t>εβδομάδα</w:t>
            </w:r>
            <w:r>
              <w:rPr>
                <w:b/>
                <w:bCs/>
                <w:sz w:val="22"/>
                <w:szCs w:val="22"/>
                <w:lang w:val="el-GR"/>
              </w:rPr>
              <w:t xml:space="preserve"> </w:t>
            </w:r>
          </w:p>
          <w:p w14:paraId="226D8360" w14:textId="77777777" w:rsidR="00171824" w:rsidRDefault="006D258C">
            <w:pPr>
              <w:keepNext/>
              <w:tabs>
                <w:tab w:val="left" w:pos="-1080"/>
              </w:tabs>
              <w:jc w:val="center"/>
              <w:rPr>
                <w:b/>
                <w:bCs/>
                <w:sz w:val="22"/>
                <w:szCs w:val="22"/>
                <w:lang w:val="el-GR"/>
              </w:rPr>
            </w:pPr>
            <w:r>
              <w:rPr>
                <w:b/>
                <w:bCs/>
                <w:sz w:val="22"/>
                <w:szCs w:val="22"/>
                <w:lang w:val="el-GR"/>
              </w:rPr>
              <w:t>N = 95</w:t>
            </w:r>
          </w:p>
        </w:tc>
        <w:tc>
          <w:tcPr>
            <w:tcW w:w="1984" w:type="dxa"/>
            <w:tcBorders>
              <w:top w:val="single" w:sz="4" w:space="0" w:color="auto"/>
              <w:left w:val="single" w:sz="6" w:space="0" w:color="000000"/>
              <w:bottom w:val="single" w:sz="6" w:space="0" w:color="000000"/>
              <w:right w:val="single" w:sz="6" w:space="0" w:color="000000"/>
            </w:tcBorders>
          </w:tcPr>
          <w:p w14:paraId="5E55BCA2" w14:textId="77777777" w:rsidR="00171824" w:rsidRDefault="006D258C">
            <w:pPr>
              <w:keepNext/>
              <w:tabs>
                <w:tab w:val="left" w:pos="-1080"/>
              </w:tabs>
              <w:jc w:val="center"/>
              <w:rPr>
                <w:sz w:val="22"/>
                <w:szCs w:val="22"/>
                <w:lang w:val="el-GR"/>
              </w:rPr>
            </w:pPr>
            <w:r>
              <w:rPr>
                <w:b/>
                <w:bCs/>
                <w:sz w:val="22"/>
                <w:szCs w:val="22"/>
                <w:lang w:val="el-GR"/>
              </w:rPr>
              <w:t>Τιμή P</w:t>
            </w:r>
            <w:r>
              <w:rPr>
                <w:sz w:val="22"/>
                <w:szCs w:val="22"/>
                <w:lang w:val="el-GR"/>
              </w:rPr>
              <w:t>*</w:t>
            </w:r>
          </w:p>
        </w:tc>
      </w:tr>
      <w:tr w:rsidR="00171824" w14:paraId="5745D7B9" w14:textId="77777777">
        <w:trPr>
          <w:cantSplit/>
        </w:trPr>
        <w:tc>
          <w:tcPr>
            <w:tcW w:w="9072" w:type="dxa"/>
            <w:gridSpan w:val="4"/>
            <w:tcBorders>
              <w:top w:val="single" w:sz="6" w:space="0" w:color="000000"/>
              <w:left w:val="single" w:sz="6" w:space="0" w:color="000000"/>
              <w:bottom w:val="single" w:sz="6" w:space="0" w:color="000000"/>
              <w:right w:val="single" w:sz="6" w:space="0" w:color="000000"/>
            </w:tcBorders>
          </w:tcPr>
          <w:p w14:paraId="20577C3C" w14:textId="77777777" w:rsidR="00171824" w:rsidRDefault="006D258C">
            <w:pPr>
              <w:keepNext/>
              <w:rPr>
                <w:b/>
                <w:bCs/>
                <w:sz w:val="22"/>
                <w:szCs w:val="22"/>
                <w:lang w:val="el-GR"/>
              </w:rPr>
            </w:pPr>
            <w:r>
              <w:rPr>
                <w:b/>
                <w:bCs/>
                <w:sz w:val="22"/>
                <w:szCs w:val="22"/>
                <w:lang w:val="el-GR"/>
              </w:rPr>
              <w:t>Εβδομάδα 26</w:t>
            </w:r>
          </w:p>
        </w:tc>
      </w:tr>
      <w:tr w:rsidR="00171824" w14:paraId="2084B8A8" w14:textId="77777777">
        <w:trPr>
          <w:cantSplit/>
        </w:trPr>
        <w:tc>
          <w:tcPr>
            <w:tcW w:w="2694" w:type="dxa"/>
            <w:tcBorders>
              <w:top w:val="single" w:sz="6" w:space="0" w:color="000000"/>
              <w:left w:val="single" w:sz="6" w:space="0" w:color="000000"/>
              <w:bottom w:val="single" w:sz="6" w:space="0" w:color="000000"/>
              <w:right w:val="single" w:sz="6" w:space="0" w:color="000000"/>
            </w:tcBorders>
          </w:tcPr>
          <w:p w14:paraId="2D71AA73" w14:textId="77777777" w:rsidR="00171824" w:rsidRDefault="006D258C">
            <w:pPr>
              <w:keepNext/>
              <w:tabs>
                <w:tab w:val="left" w:pos="-1080"/>
              </w:tabs>
              <w:jc w:val="center"/>
              <w:rPr>
                <w:sz w:val="22"/>
                <w:szCs w:val="22"/>
                <w:lang w:val="el-GR"/>
              </w:rPr>
            </w:pPr>
            <w:r>
              <w:rPr>
                <w:sz w:val="22"/>
                <w:lang w:val="el-GR"/>
              </w:rPr>
              <w:t>Κλινική ύφεση</w:t>
            </w:r>
          </w:p>
        </w:tc>
        <w:tc>
          <w:tcPr>
            <w:tcW w:w="2268" w:type="dxa"/>
            <w:tcBorders>
              <w:top w:val="single" w:sz="6" w:space="0" w:color="000000"/>
              <w:left w:val="single" w:sz="6" w:space="0" w:color="000000"/>
              <w:bottom w:val="single" w:sz="6" w:space="0" w:color="000000"/>
              <w:right w:val="single" w:sz="6" w:space="0" w:color="000000"/>
            </w:tcBorders>
            <w:vAlign w:val="bottom"/>
          </w:tcPr>
          <w:p w14:paraId="7CA4DA3C" w14:textId="77777777" w:rsidR="00171824" w:rsidRDefault="006D258C">
            <w:pPr>
              <w:keepNext/>
              <w:tabs>
                <w:tab w:val="left" w:pos="-1080"/>
              </w:tabs>
              <w:jc w:val="center"/>
              <w:rPr>
                <w:sz w:val="22"/>
                <w:szCs w:val="22"/>
                <w:lang w:val="el-GR"/>
              </w:rPr>
            </w:pPr>
            <w:r>
              <w:rPr>
                <w:sz w:val="22"/>
                <w:szCs w:val="22"/>
                <w:lang w:val="el-GR"/>
              </w:rPr>
              <w:t>38,7%</w:t>
            </w:r>
          </w:p>
        </w:tc>
        <w:tc>
          <w:tcPr>
            <w:tcW w:w="2126" w:type="dxa"/>
            <w:tcBorders>
              <w:top w:val="single" w:sz="6" w:space="0" w:color="000000"/>
              <w:left w:val="single" w:sz="6" w:space="0" w:color="000000"/>
              <w:bottom w:val="single" w:sz="6" w:space="0" w:color="000000"/>
              <w:right w:val="single" w:sz="6" w:space="0" w:color="000000"/>
            </w:tcBorders>
            <w:vAlign w:val="bottom"/>
          </w:tcPr>
          <w:p w14:paraId="5B55358B" w14:textId="77777777" w:rsidR="00171824" w:rsidRDefault="006D258C">
            <w:pPr>
              <w:keepNext/>
              <w:tabs>
                <w:tab w:val="left" w:pos="-1080"/>
              </w:tabs>
              <w:jc w:val="center"/>
              <w:rPr>
                <w:sz w:val="22"/>
                <w:szCs w:val="22"/>
                <w:lang w:val="el-GR"/>
              </w:rPr>
            </w:pPr>
            <w:r>
              <w:rPr>
                <w:sz w:val="22"/>
                <w:szCs w:val="22"/>
                <w:lang w:val="el-GR"/>
              </w:rPr>
              <w:t>28,4%</w:t>
            </w:r>
          </w:p>
        </w:tc>
        <w:tc>
          <w:tcPr>
            <w:tcW w:w="1984" w:type="dxa"/>
            <w:tcBorders>
              <w:top w:val="single" w:sz="6" w:space="0" w:color="000000"/>
              <w:left w:val="single" w:sz="6" w:space="0" w:color="000000"/>
              <w:bottom w:val="single" w:sz="6" w:space="0" w:color="000000"/>
              <w:right w:val="single" w:sz="6" w:space="0" w:color="000000"/>
            </w:tcBorders>
            <w:vAlign w:val="bottom"/>
          </w:tcPr>
          <w:p w14:paraId="6EF3F82D" w14:textId="77777777" w:rsidR="00171824" w:rsidRDefault="006D258C">
            <w:pPr>
              <w:keepNext/>
              <w:tabs>
                <w:tab w:val="left" w:pos="-1080"/>
              </w:tabs>
              <w:jc w:val="center"/>
              <w:rPr>
                <w:sz w:val="22"/>
                <w:szCs w:val="22"/>
                <w:lang w:val="el-GR"/>
              </w:rPr>
            </w:pPr>
            <w:r>
              <w:rPr>
                <w:sz w:val="22"/>
                <w:szCs w:val="22"/>
                <w:lang w:val="el-GR"/>
              </w:rPr>
              <w:t>0,075</w:t>
            </w:r>
          </w:p>
        </w:tc>
      </w:tr>
      <w:tr w:rsidR="00171824" w14:paraId="4F59D9DF" w14:textId="77777777">
        <w:trPr>
          <w:cantSplit/>
        </w:trPr>
        <w:tc>
          <w:tcPr>
            <w:tcW w:w="2694" w:type="dxa"/>
            <w:tcBorders>
              <w:top w:val="single" w:sz="6" w:space="0" w:color="000000"/>
              <w:left w:val="single" w:sz="6" w:space="0" w:color="000000"/>
              <w:bottom w:val="single" w:sz="6" w:space="0" w:color="000000"/>
              <w:right w:val="single" w:sz="6" w:space="0" w:color="000000"/>
            </w:tcBorders>
          </w:tcPr>
          <w:p w14:paraId="1EACC47F" w14:textId="77777777" w:rsidR="00171824" w:rsidRDefault="006D258C">
            <w:pPr>
              <w:keepNext/>
              <w:tabs>
                <w:tab w:val="left" w:pos="-1080"/>
              </w:tabs>
              <w:jc w:val="center"/>
              <w:rPr>
                <w:sz w:val="22"/>
                <w:szCs w:val="22"/>
                <w:lang w:val="el-GR"/>
              </w:rPr>
            </w:pPr>
            <w:r>
              <w:rPr>
                <w:sz w:val="22"/>
                <w:lang w:val="el-GR"/>
              </w:rPr>
              <w:t>Κλινική α</w:t>
            </w:r>
            <w:r>
              <w:rPr>
                <w:sz w:val="22"/>
                <w:szCs w:val="20"/>
                <w:lang w:val="el-GR"/>
              </w:rPr>
              <w:t>ντα</w:t>
            </w:r>
            <w:r>
              <w:rPr>
                <w:sz w:val="22"/>
                <w:lang w:val="el-GR"/>
              </w:rPr>
              <w:t>πόκριση</w:t>
            </w:r>
          </w:p>
        </w:tc>
        <w:tc>
          <w:tcPr>
            <w:tcW w:w="2268" w:type="dxa"/>
            <w:tcBorders>
              <w:top w:val="single" w:sz="6" w:space="0" w:color="000000"/>
              <w:left w:val="single" w:sz="6" w:space="0" w:color="000000"/>
              <w:bottom w:val="single" w:sz="6" w:space="0" w:color="000000"/>
              <w:right w:val="single" w:sz="6" w:space="0" w:color="000000"/>
            </w:tcBorders>
          </w:tcPr>
          <w:p w14:paraId="64FB1034" w14:textId="77777777" w:rsidR="00171824" w:rsidRDefault="006D258C">
            <w:pPr>
              <w:keepNext/>
              <w:tabs>
                <w:tab w:val="left" w:pos="-1080"/>
              </w:tabs>
              <w:jc w:val="center"/>
              <w:rPr>
                <w:sz w:val="22"/>
                <w:szCs w:val="22"/>
                <w:lang w:val="el-GR"/>
              </w:rPr>
            </w:pPr>
            <w:r>
              <w:rPr>
                <w:sz w:val="22"/>
                <w:szCs w:val="22"/>
                <w:lang w:val="el-GR"/>
              </w:rPr>
              <w:t>59,1%</w:t>
            </w:r>
          </w:p>
        </w:tc>
        <w:tc>
          <w:tcPr>
            <w:tcW w:w="2126" w:type="dxa"/>
            <w:tcBorders>
              <w:top w:val="single" w:sz="6" w:space="0" w:color="000000"/>
              <w:left w:val="single" w:sz="6" w:space="0" w:color="000000"/>
              <w:bottom w:val="single" w:sz="6" w:space="0" w:color="000000"/>
              <w:right w:val="single" w:sz="6" w:space="0" w:color="000000"/>
            </w:tcBorders>
          </w:tcPr>
          <w:p w14:paraId="0EA99374" w14:textId="77777777" w:rsidR="00171824" w:rsidRDefault="006D258C">
            <w:pPr>
              <w:keepNext/>
              <w:tabs>
                <w:tab w:val="left" w:pos="-1080"/>
              </w:tabs>
              <w:jc w:val="center"/>
              <w:rPr>
                <w:sz w:val="22"/>
                <w:szCs w:val="22"/>
                <w:lang w:val="el-GR"/>
              </w:rPr>
            </w:pPr>
            <w:r>
              <w:rPr>
                <w:sz w:val="22"/>
                <w:szCs w:val="22"/>
                <w:lang w:val="el-GR"/>
              </w:rPr>
              <w:t>48,4%</w:t>
            </w:r>
          </w:p>
        </w:tc>
        <w:tc>
          <w:tcPr>
            <w:tcW w:w="1984" w:type="dxa"/>
            <w:tcBorders>
              <w:top w:val="single" w:sz="6" w:space="0" w:color="000000"/>
              <w:left w:val="single" w:sz="6" w:space="0" w:color="000000"/>
              <w:bottom w:val="single" w:sz="6" w:space="0" w:color="000000"/>
              <w:right w:val="single" w:sz="6" w:space="0" w:color="000000"/>
            </w:tcBorders>
          </w:tcPr>
          <w:p w14:paraId="1A8A8696" w14:textId="77777777" w:rsidR="00171824" w:rsidRDefault="006D258C">
            <w:pPr>
              <w:keepNext/>
              <w:tabs>
                <w:tab w:val="left" w:pos="-1080"/>
              </w:tabs>
              <w:jc w:val="center"/>
              <w:rPr>
                <w:sz w:val="22"/>
                <w:szCs w:val="22"/>
                <w:lang w:val="el-GR"/>
              </w:rPr>
            </w:pPr>
            <w:r>
              <w:rPr>
                <w:sz w:val="22"/>
                <w:szCs w:val="22"/>
                <w:lang w:val="el-GR"/>
              </w:rPr>
              <w:t>0,073</w:t>
            </w:r>
          </w:p>
        </w:tc>
      </w:tr>
      <w:tr w:rsidR="00171824" w14:paraId="611CC5A7" w14:textId="77777777">
        <w:trPr>
          <w:cantSplit/>
        </w:trPr>
        <w:tc>
          <w:tcPr>
            <w:tcW w:w="9072" w:type="dxa"/>
            <w:gridSpan w:val="4"/>
            <w:tcBorders>
              <w:top w:val="single" w:sz="6" w:space="0" w:color="000000"/>
              <w:left w:val="single" w:sz="6" w:space="0" w:color="000000"/>
              <w:bottom w:val="single" w:sz="6" w:space="0" w:color="000000"/>
              <w:right w:val="single" w:sz="6" w:space="0" w:color="000000"/>
            </w:tcBorders>
          </w:tcPr>
          <w:p w14:paraId="45080E63" w14:textId="77777777" w:rsidR="00171824" w:rsidRDefault="006D258C">
            <w:pPr>
              <w:keepNext/>
              <w:rPr>
                <w:b/>
                <w:bCs/>
                <w:sz w:val="22"/>
                <w:szCs w:val="22"/>
                <w:lang w:val="el-GR"/>
              </w:rPr>
            </w:pPr>
            <w:r>
              <w:rPr>
                <w:b/>
                <w:bCs/>
                <w:sz w:val="22"/>
                <w:szCs w:val="22"/>
                <w:lang w:val="el-GR"/>
              </w:rPr>
              <w:t>Εβδομάδα 52</w:t>
            </w:r>
          </w:p>
        </w:tc>
      </w:tr>
      <w:tr w:rsidR="00171824" w14:paraId="1579D6E8" w14:textId="77777777">
        <w:trPr>
          <w:cantSplit/>
        </w:trPr>
        <w:tc>
          <w:tcPr>
            <w:tcW w:w="2694" w:type="dxa"/>
            <w:tcBorders>
              <w:top w:val="single" w:sz="6" w:space="0" w:color="000000"/>
              <w:left w:val="single" w:sz="6" w:space="0" w:color="000000"/>
              <w:bottom w:val="single" w:sz="6" w:space="0" w:color="000000"/>
              <w:right w:val="single" w:sz="6" w:space="0" w:color="000000"/>
            </w:tcBorders>
          </w:tcPr>
          <w:p w14:paraId="27D781C5" w14:textId="77777777" w:rsidR="00171824" w:rsidRDefault="006D258C">
            <w:pPr>
              <w:keepNext/>
              <w:tabs>
                <w:tab w:val="left" w:pos="-1080"/>
              </w:tabs>
              <w:jc w:val="center"/>
              <w:rPr>
                <w:sz w:val="22"/>
                <w:szCs w:val="22"/>
                <w:lang w:val="el-GR"/>
              </w:rPr>
            </w:pPr>
            <w:r>
              <w:rPr>
                <w:sz w:val="22"/>
                <w:lang w:val="el-GR"/>
              </w:rPr>
              <w:t>Κλινική ύφεση</w:t>
            </w:r>
          </w:p>
        </w:tc>
        <w:tc>
          <w:tcPr>
            <w:tcW w:w="2268" w:type="dxa"/>
            <w:tcBorders>
              <w:top w:val="single" w:sz="6" w:space="0" w:color="000000"/>
              <w:left w:val="single" w:sz="6" w:space="0" w:color="000000"/>
              <w:bottom w:val="single" w:sz="6" w:space="0" w:color="000000"/>
              <w:right w:val="single" w:sz="6" w:space="0" w:color="000000"/>
            </w:tcBorders>
            <w:vAlign w:val="bottom"/>
          </w:tcPr>
          <w:p w14:paraId="119A1DD6" w14:textId="77777777" w:rsidR="00171824" w:rsidRDefault="006D258C">
            <w:pPr>
              <w:keepNext/>
              <w:tabs>
                <w:tab w:val="left" w:pos="-1080"/>
              </w:tabs>
              <w:jc w:val="center"/>
              <w:rPr>
                <w:sz w:val="22"/>
                <w:szCs w:val="22"/>
                <w:lang w:val="el-GR"/>
              </w:rPr>
            </w:pPr>
            <w:r>
              <w:rPr>
                <w:sz w:val="22"/>
                <w:szCs w:val="22"/>
                <w:lang w:val="el-GR"/>
              </w:rPr>
              <w:t>33,3%</w:t>
            </w:r>
          </w:p>
        </w:tc>
        <w:tc>
          <w:tcPr>
            <w:tcW w:w="2126" w:type="dxa"/>
            <w:tcBorders>
              <w:top w:val="single" w:sz="6" w:space="0" w:color="000000"/>
              <w:left w:val="single" w:sz="6" w:space="0" w:color="000000"/>
              <w:bottom w:val="single" w:sz="6" w:space="0" w:color="000000"/>
              <w:right w:val="single" w:sz="6" w:space="0" w:color="000000"/>
            </w:tcBorders>
            <w:vAlign w:val="bottom"/>
          </w:tcPr>
          <w:p w14:paraId="60776837" w14:textId="77777777" w:rsidR="00171824" w:rsidRDefault="006D258C">
            <w:pPr>
              <w:keepNext/>
              <w:tabs>
                <w:tab w:val="left" w:pos="-1080"/>
              </w:tabs>
              <w:jc w:val="center"/>
              <w:rPr>
                <w:sz w:val="22"/>
                <w:szCs w:val="22"/>
                <w:lang w:val="el-GR"/>
              </w:rPr>
            </w:pPr>
            <w:r>
              <w:rPr>
                <w:sz w:val="22"/>
                <w:szCs w:val="22"/>
                <w:lang w:val="el-GR"/>
              </w:rPr>
              <w:t>23,2%</w:t>
            </w:r>
          </w:p>
        </w:tc>
        <w:tc>
          <w:tcPr>
            <w:tcW w:w="1984" w:type="dxa"/>
            <w:tcBorders>
              <w:top w:val="single" w:sz="6" w:space="0" w:color="000000"/>
              <w:left w:val="single" w:sz="6" w:space="0" w:color="000000"/>
              <w:bottom w:val="single" w:sz="6" w:space="0" w:color="000000"/>
              <w:right w:val="single" w:sz="6" w:space="0" w:color="000000"/>
            </w:tcBorders>
            <w:vAlign w:val="bottom"/>
          </w:tcPr>
          <w:p w14:paraId="5FE5FF23" w14:textId="77777777" w:rsidR="00171824" w:rsidRDefault="006D258C">
            <w:pPr>
              <w:keepNext/>
              <w:tabs>
                <w:tab w:val="left" w:pos="-1080"/>
              </w:tabs>
              <w:jc w:val="center"/>
              <w:rPr>
                <w:sz w:val="22"/>
                <w:szCs w:val="22"/>
                <w:lang w:val="el-GR"/>
              </w:rPr>
            </w:pPr>
            <w:r>
              <w:rPr>
                <w:sz w:val="22"/>
                <w:szCs w:val="22"/>
                <w:lang w:val="el-GR"/>
              </w:rPr>
              <w:t>0,100</w:t>
            </w:r>
          </w:p>
        </w:tc>
      </w:tr>
      <w:tr w:rsidR="00171824" w14:paraId="43A92390" w14:textId="77777777">
        <w:trPr>
          <w:cantSplit/>
        </w:trPr>
        <w:tc>
          <w:tcPr>
            <w:tcW w:w="2694" w:type="dxa"/>
            <w:tcBorders>
              <w:top w:val="single" w:sz="6" w:space="0" w:color="000000"/>
              <w:left w:val="single" w:sz="6" w:space="0" w:color="000000"/>
              <w:bottom w:val="single" w:sz="6" w:space="0" w:color="000000"/>
              <w:right w:val="single" w:sz="6" w:space="0" w:color="000000"/>
            </w:tcBorders>
          </w:tcPr>
          <w:p w14:paraId="7E36390D" w14:textId="77777777" w:rsidR="00171824" w:rsidRDefault="006D258C">
            <w:pPr>
              <w:keepNext/>
              <w:tabs>
                <w:tab w:val="left" w:pos="-1080"/>
              </w:tabs>
              <w:jc w:val="center"/>
              <w:rPr>
                <w:sz w:val="22"/>
                <w:szCs w:val="22"/>
                <w:lang w:val="el-GR"/>
              </w:rPr>
            </w:pPr>
            <w:r>
              <w:rPr>
                <w:sz w:val="22"/>
                <w:lang w:val="el-GR"/>
              </w:rPr>
              <w:t>Κλινική α</w:t>
            </w:r>
            <w:r>
              <w:rPr>
                <w:sz w:val="22"/>
                <w:szCs w:val="20"/>
                <w:lang w:val="el-GR"/>
              </w:rPr>
              <w:t>ντα</w:t>
            </w:r>
            <w:r>
              <w:rPr>
                <w:sz w:val="22"/>
                <w:lang w:val="el-GR"/>
              </w:rPr>
              <w:t>πόκριση</w:t>
            </w:r>
          </w:p>
        </w:tc>
        <w:tc>
          <w:tcPr>
            <w:tcW w:w="2268" w:type="dxa"/>
            <w:tcBorders>
              <w:top w:val="single" w:sz="6" w:space="0" w:color="000000"/>
              <w:left w:val="single" w:sz="6" w:space="0" w:color="000000"/>
              <w:bottom w:val="single" w:sz="6" w:space="0" w:color="000000"/>
              <w:right w:val="single" w:sz="6" w:space="0" w:color="000000"/>
            </w:tcBorders>
          </w:tcPr>
          <w:p w14:paraId="01379F76" w14:textId="77777777" w:rsidR="00171824" w:rsidRDefault="006D258C">
            <w:pPr>
              <w:keepNext/>
              <w:tabs>
                <w:tab w:val="left" w:pos="-1080"/>
              </w:tabs>
              <w:jc w:val="center"/>
              <w:rPr>
                <w:sz w:val="22"/>
                <w:szCs w:val="22"/>
                <w:lang w:val="el-GR"/>
              </w:rPr>
            </w:pPr>
            <w:r>
              <w:rPr>
                <w:sz w:val="22"/>
                <w:szCs w:val="22"/>
                <w:lang w:val="el-GR"/>
              </w:rPr>
              <w:t>41,9%</w:t>
            </w:r>
          </w:p>
        </w:tc>
        <w:tc>
          <w:tcPr>
            <w:tcW w:w="2126" w:type="dxa"/>
            <w:tcBorders>
              <w:top w:val="single" w:sz="6" w:space="0" w:color="000000"/>
              <w:left w:val="single" w:sz="6" w:space="0" w:color="000000"/>
              <w:bottom w:val="single" w:sz="6" w:space="0" w:color="000000"/>
              <w:right w:val="single" w:sz="6" w:space="0" w:color="000000"/>
            </w:tcBorders>
          </w:tcPr>
          <w:p w14:paraId="4DED2F88" w14:textId="77777777" w:rsidR="00171824" w:rsidRDefault="006D258C">
            <w:pPr>
              <w:keepNext/>
              <w:tabs>
                <w:tab w:val="left" w:pos="-1080"/>
              </w:tabs>
              <w:jc w:val="center"/>
              <w:rPr>
                <w:sz w:val="22"/>
                <w:szCs w:val="22"/>
                <w:lang w:val="el-GR"/>
              </w:rPr>
            </w:pPr>
            <w:r>
              <w:rPr>
                <w:sz w:val="22"/>
                <w:szCs w:val="22"/>
                <w:lang w:val="el-GR"/>
              </w:rPr>
              <w:t>28,4%</w:t>
            </w:r>
          </w:p>
        </w:tc>
        <w:tc>
          <w:tcPr>
            <w:tcW w:w="1984" w:type="dxa"/>
            <w:tcBorders>
              <w:top w:val="single" w:sz="6" w:space="0" w:color="000000"/>
              <w:left w:val="single" w:sz="6" w:space="0" w:color="000000"/>
              <w:bottom w:val="single" w:sz="6" w:space="0" w:color="000000"/>
              <w:right w:val="single" w:sz="6" w:space="0" w:color="000000"/>
            </w:tcBorders>
          </w:tcPr>
          <w:p w14:paraId="1F45610E" w14:textId="77777777" w:rsidR="00171824" w:rsidRDefault="006D258C">
            <w:pPr>
              <w:keepNext/>
              <w:tabs>
                <w:tab w:val="left" w:pos="-1080"/>
              </w:tabs>
              <w:jc w:val="center"/>
              <w:rPr>
                <w:sz w:val="22"/>
                <w:szCs w:val="22"/>
                <w:lang w:val="el-GR"/>
              </w:rPr>
            </w:pPr>
            <w:r>
              <w:rPr>
                <w:sz w:val="22"/>
                <w:szCs w:val="22"/>
                <w:lang w:val="el-GR"/>
              </w:rPr>
              <w:t>0,038</w:t>
            </w:r>
          </w:p>
        </w:tc>
      </w:tr>
    </w:tbl>
    <w:p w14:paraId="4AC61E1C" w14:textId="77777777" w:rsidR="00171824" w:rsidRDefault="006D258C">
      <w:pPr>
        <w:pStyle w:val="BodyText"/>
        <w:widowControl/>
        <w:kinsoku w:val="0"/>
        <w:overflowPunct w:val="0"/>
        <w:ind w:left="0"/>
        <w:rPr>
          <w:sz w:val="20"/>
          <w:szCs w:val="20"/>
          <w:lang w:val="el-GR"/>
        </w:rPr>
      </w:pPr>
      <w:r>
        <w:rPr>
          <w:sz w:val="20"/>
          <w:szCs w:val="20"/>
          <w:lang w:val="el-GR"/>
        </w:rPr>
        <w:t xml:space="preserve">* τιμή p για την σύγκριση της Τυπικής δόσης </w:t>
      </w:r>
      <w:r>
        <w:rPr>
          <w:i/>
          <w:sz w:val="20"/>
          <w:szCs w:val="20"/>
          <w:lang w:val="el-GR"/>
        </w:rPr>
        <w:t>έναντι</w:t>
      </w:r>
      <w:r>
        <w:rPr>
          <w:sz w:val="20"/>
          <w:szCs w:val="20"/>
          <w:lang w:val="el-GR"/>
        </w:rPr>
        <w:t xml:space="preserve"> της Χαμηλής δόσης</w:t>
      </w:r>
    </w:p>
    <w:p w14:paraId="2D7DE6FF" w14:textId="77777777" w:rsidR="00171824" w:rsidRDefault="00171824">
      <w:pPr>
        <w:pStyle w:val="BodyText"/>
        <w:widowControl/>
        <w:kinsoku w:val="0"/>
        <w:overflowPunct w:val="0"/>
        <w:ind w:left="0"/>
        <w:rPr>
          <w:lang w:val="el-GR"/>
        </w:rPr>
      </w:pPr>
    </w:p>
    <w:p w14:paraId="5213A1C6" w14:textId="77777777" w:rsidR="00171824" w:rsidRDefault="006D258C">
      <w:pPr>
        <w:keepNext/>
        <w:widowControl/>
        <w:rPr>
          <w:sz w:val="22"/>
          <w:lang w:val="el-GR"/>
        </w:rPr>
      </w:pPr>
      <w:r>
        <w:rPr>
          <w:b/>
          <w:bCs/>
          <w:color w:val="000000"/>
          <w:sz w:val="22"/>
          <w:szCs w:val="22"/>
          <w:lang w:val="el-GR" w:eastAsia="ja-JP"/>
        </w:rPr>
        <w:t xml:space="preserve">Πίνακας 30. Μελέτη Παιδιατρικής CD Διακοπή Κορτικοστεροειδών ή Ανοσοτροποποιητικών και Σύγκλιση Συριγγίων </w:t>
      </w:r>
    </w:p>
    <w:p w14:paraId="5631FA4D" w14:textId="77777777" w:rsidR="00171824" w:rsidRDefault="00171824">
      <w:pPr>
        <w:pStyle w:val="BodyText"/>
        <w:keepNext/>
        <w:widowControl/>
        <w:kinsoku w:val="0"/>
        <w:overflowPunct w:val="0"/>
        <w:ind w:left="0"/>
        <w:rPr>
          <w:lang w:val="el-GR"/>
        </w:rPr>
      </w:pPr>
    </w:p>
    <w:tbl>
      <w:tblPr>
        <w:tblW w:w="9072" w:type="dxa"/>
        <w:tblInd w:w="-8" w:type="dxa"/>
        <w:tblLayout w:type="fixed"/>
        <w:tblLook w:val="04A0" w:firstRow="1" w:lastRow="0" w:firstColumn="1" w:lastColumn="0" w:noHBand="0" w:noVBand="1"/>
      </w:tblPr>
      <w:tblGrid>
        <w:gridCol w:w="3377"/>
        <w:gridCol w:w="2126"/>
        <w:gridCol w:w="2126"/>
        <w:gridCol w:w="1443"/>
      </w:tblGrid>
      <w:tr w:rsidR="00171824" w14:paraId="2879DE42" w14:textId="77777777">
        <w:trPr>
          <w:cantSplit/>
        </w:trPr>
        <w:tc>
          <w:tcPr>
            <w:tcW w:w="3377" w:type="dxa"/>
            <w:tcBorders>
              <w:top w:val="single" w:sz="4" w:space="0" w:color="auto"/>
              <w:left w:val="single" w:sz="6" w:space="0" w:color="000000"/>
              <w:bottom w:val="single" w:sz="6" w:space="0" w:color="000000"/>
              <w:right w:val="single" w:sz="6" w:space="0" w:color="000000"/>
            </w:tcBorders>
          </w:tcPr>
          <w:p w14:paraId="565C3FDA" w14:textId="77777777" w:rsidR="00171824" w:rsidRDefault="00171824">
            <w:pPr>
              <w:keepNext/>
              <w:tabs>
                <w:tab w:val="left" w:pos="-1080"/>
              </w:tabs>
              <w:rPr>
                <w:b/>
                <w:bCs/>
                <w:sz w:val="22"/>
                <w:szCs w:val="22"/>
                <w:lang w:val="el-GR"/>
              </w:rPr>
            </w:pPr>
          </w:p>
        </w:tc>
        <w:tc>
          <w:tcPr>
            <w:tcW w:w="2126" w:type="dxa"/>
            <w:tcBorders>
              <w:top w:val="single" w:sz="4" w:space="0" w:color="auto"/>
              <w:left w:val="single" w:sz="6" w:space="0" w:color="000000"/>
              <w:bottom w:val="single" w:sz="6" w:space="0" w:color="000000"/>
              <w:right w:val="single" w:sz="6" w:space="0" w:color="000000"/>
            </w:tcBorders>
          </w:tcPr>
          <w:p w14:paraId="2C0A6CE8" w14:textId="77777777" w:rsidR="00171824" w:rsidRDefault="006D258C">
            <w:pPr>
              <w:keepNext/>
              <w:tabs>
                <w:tab w:val="left" w:pos="-1080"/>
              </w:tabs>
              <w:jc w:val="center"/>
              <w:rPr>
                <w:b/>
                <w:bCs/>
                <w:sz w:val="22"/>
                <w:szCs w:val="22"/>
                <w:lang w:val="el-GR"/>
              </w:rPr>
            </w:pPr>
            <w:r>
              <w:rPr>
                <w:b/>
                <w:bCs/>
                <w:sz w:val="22"/>
                <w:szCs w:val="22"/>
                <w:lang w:val="el-GR"/>
              </w:rPr>
              <w:t xml:space="preserve">Τυπική </w:t>
            </w:r>
            <w:r>
              <w:rPr>
                <w:b/>
                <w:bCs/>
                <w:sz w:val="22"/>
                <w:szCs w:val="20"/>
                <w:lang w:val="el-GR"/>
              </w:rPr>
              <w:t>Δόση</w:t>
            </w:r>
          </w:p>
          <w:p w14:paraId="2700CA89" w14:textId="77777777" w:rsidR="00171824" w:rsidRDefault="006D258C">
            <w:pPr>
              <w:keepNext/>
              <w:tabs>
                <w:tab w:val="left" w:pos="-1080"/>
              </w:tabs>
              <w:jc w:val="center"/>
              <w:rPr>
                <w:b/>
                <w:bCs/>
                <w:sz w:val="22"/>
                <w:szCs w:val="22"/>
                <w:lang w:val="el-GR"/>
              </w:rPr>
            </w:pPr>
            <w:r>
              <w:rPr>
                <w:b/>
                <w:bCs/>
                <w:sz w:val="22"/>
                <w:szCs w:val="22"/>
                <w:lang w:val="el-GR"/>
              </w:rPr>
              <w:t xml:space="preserve">40/20 mg </w:t>
            </w:r>
            <w:r>
              <w:rPr>
                <w:b/>
                <w:bCs/>
                <w:sz w:val="22"/>
                <w:lang w:val="el-GR"/>
              </w:rPr>
              <w:t xml:space="preserve">κάθε </w:t>
            </w:r>
            <w:r>
              <w:rPr>
                <w:b/>
                <w:bCs/>
                <w:sz w:val="22"/>
                <w:szCs w:val="20"/>
                <w:lang w:val="el-GR"/>
              </w:rPr>
              <w:t xml:space="preserve">δεύτερη </w:t>
            </w:r>
            <w:r>
              <w:rPr>
                <w:b/>
                <w:bCs/>
                <w:sz w:val="22"/>
                <w:lang w:val="el-GR"/>
              </w:rPr>
              <w:t>εβδομάδα</w:t>
            </w:r>
          </w:p>
        </w:tc>
        <w:tc>
          <w:tcPr>
            <w:tcW w:w="2126" w:type="dxa"/>
            <w:tcBorders>
              <w:top w:val="single" w:sz="4" w:space="0" w:color="auto"/>
              <w:left w:val="single" w:sz="6" w:space="0" w:color="000000"/>
              <w:bottom w:val="single" w:sz="6" w:space="0" w:color="000000"/>
              <w:right w:val="single" w:sz="6" w:space="0" w:color="000000"/>
            </w:tcBorders>
          </w:tcPr>
          <w:p w14:paraId="6466C3D5" w14:textId="77777777" w:rsidR="00171824" w:rsidRDefault="006D258C">
            <w:pPr>
              <w:keepNext/>
              <w:tabs>
                <w:tab w:val="left" w:pos="-1080"/>
              </w:tabs>
              <w:jc w:val="center"/>
              <w:rPr>
                <w:b/>
                <w:bCs/>
                <w:sz w:val="22"/>
                <w:lang w:val="el-GR"/>
              </w:rPr>
            </w:pPr>
            <w:r>
              <w:rPr>
                <w:b/>
                <w:bCs/>
                <w:sz w:val="22"/>
                <w:lang w:val="el-GR"/>
              </w:rPr>
              <w:t>Χαμηλή δόση</w:t>
            </w:r>
          </w:p>
          <w:p w14:paraId="5573A8F4" w14:textId="77777777" w:rsidR="00171824" w:rsidRDefault="006D258C">
            <w:pPr>
              <w:keepNext/>
              <w:tabs>
                <w:tab w:val="left" w:pos="-1080"/>
              </w:tabs>
              <w:jc w:val="center"/>
              <w:rPr>
                <w:b/>
                <w:bCs/>
                <w:sz w:val="22"/>
                <w:szCs w:val="22"/>
                <w:lang w:val="el-GR"/>
              </w:rPr>
            </w:pPr>
            <w:r>
              <w:rPr>
                <w:b/>
                <w:bCs/>
                <w:sz w:val="22"/>
                <w:szCs w:val="22"/>
                <w:lang w:val="el-GR"/>
              </w:rPr>
              <w:t xml:space="preserve">20/10 mg </w:t>
            </w:r>
            <w:r>
              <w:rPr>
                <w:b/>
                <w:bCs/>
                <w:sz w:val="22"/>
                <w:lang w:val="el-GR"/>
              </w:rPr>
              <w:t xml:space="preserve">κάθε </w:t>
            </w:r>
            <w:r>
              <w:rPr>
                <w:b/>
                <w:bCs/>
                <w:sz w:val="22"/>
                <w:szCs w:val="20"/>
                <w:lang w:val="el-GR"/>
              </w:rPr>
              <w:t xml:space="preserve">δεύτερη </w:t>
            </w:r>
            <w:r>
              <w:rPr>
                <w:b/>
                <w:bCs/>
                <w:sz w:val="22"/>
                <w:lang w:val="el-GR"/>
              </w:rPr>
              <w:t>εβδομάδα</w:t>
            </w:r>
          </w:p>
        </w:tc>
        <w:tc>
          <w:tcPr>
            <w:tcW w:w="1443" w:type="dxa"/>
            <w:tcBorders>
              <w:top w:val="single" w:sz="4" w:space="0" w:color="auto"/>
              <w:left w:val="single" w:sz="6" w:space="0" w:color="000000"/>
              <w:bottom w:val="single" w:sz="6" w:space="0" w:color="000000"/>
              <w:right w:val="single" w:sz="6" w:space="0" w:color="000000"/>
            </w:tcBorders>
          </w:tcPr>
          <w:p w14:paraId="51258C08" w14:textId="77777777" w:rsidR="00171824" w:rsidRDefault="006D258C">
            <w:pPr>
              <w:keepNext/>
              <w:tabs>
                <w:tab w:val="left" w:pos="-1080"/>
              </w:tabs>
              <w:jc w:val="center"/>
              <w:rPr>
                <w:b/>
                <w:bCs/>
                <w:sz w:val="22"/>
                <w:szCs w:val="22"/>
                <w:lang w:val="el-GR"/>
              </w:rPr>
            </w:pPr>
            <w:r>
              <w:rPr>
                <w:b/>
                <w:bCs/>
                <w:sz w:val="22"/>
                <w:szCs w:val="22"/>
                <w:lang w:val="el-GR"/>
              </w:rPr>
              <w:t>Τιμή P</w:t>
            </w:r>
            <w:r>
              <w:rPr>
                <w:b/>
                <w:bCs/>
                <w:sz w:val="22"/>
                <w:szCs w:val="22"/>
                <w:vertAlign w:val="superscript"/>
                <w:lang w:val="el-GR"/>
              </w:rPr>
              <w:t>1</w:t>
            </w:r>
          </w:p>
        </w:tc>
      </w:tr>
      <w:tr w:rsidR="00171824" w14:paraId="760A1AED" w14:textId="77777777">
        <w:trPr>
          <w:cantSplit/>
        </w:trPr>
        <w:tc>
          <w:tcPr>
            <w:tcW w:w="3377" w:type="dxa"/>
            <w:tcBorders>
              <w:top w:val="single" w:sz="6" w:space="0" w:color="000000"/>
              <w:left w:val="single" w:sz="6" w:space="0" w:color="000000"/>
              <w:bottom w:val="single" w:sz="6" w:space="0" w:color="000000"/>
              <w:right w:val="single" w:sz="6" w:space="0" w:color="000000"/>
            </w:tcBorders>
          </w:tcPr>
          <w:p w14:paraId="66504B2A" w14:textId="77777777" w:rsidR="00171824" w:rsidRDefault="006D258C">
            <w:pPr>
              <w:keepNext/>
              <w:tabs>
                <w:tab w:val="left" w:pos="-1080"/>
              </w:tabs>
              <w:rPr>
                <w:b/>
                <w:sz w:val="22"/>
                <w:szCs w:val="22"/>
                <w:lang w:val="el-GR"/>
              </w:rPr>
            </w:pPr>
            <w:r>
              <w:rPr>
                <w:b/>
                <w:sz w:val="22"/>
                <w:lang w:val="el-GR"/>
              </w:rPr>
              <w:t>Διακοπή κορτικοστεροειδών</w:t>
            </w:r>
          </w:p>
        </w:tc>
        <w:tc>
          <w:tcPr>
            <w:tcW w:w="2126" w:type="dxa"/>
            <w:tcBorders>
              <w:top w:val="single" w:sz="6" w:space="0" w:color="000000"/>
              <w:left w:val="single" w:sz="6" w:space="0" w:color="000000"/>
              <w:bottom w:val="single" w:sz="6" w:space="0" w:color="000000"/>
              <w:right w:val="single" w:sz="6" w:space="0" w:color="000000"/>
            </w:tcBorders>
          </w:tcPr>
          <w:p w14:paraId="31606526" w14:textId="77777777" w:rsidR="00171824" w:rsidRDefault="006D258C">
            <w:pPr>
              <w:keepNext/>
              <w:tabs>
                <w:tab w:val="left" w:pos="-1080"/>
              </w:tabs>
              <w:jc w:val="center"/>
              <w:rPr>
                <w:b/>
                <w:sz w:val="22"/>
                <w:szCs w:val="22"/>
                <w:lang w:val="el-GR"/>
              </w:rPr>
            </w:pPr>
            <w:r>
              <w:rPr>
                <w:b/>
                <w:sz w:val="22"/>
                <w:szCs w:val="22"/>
                <w:lang w:val="el-GR"/>
              </w:rPr>
              <w:t>N=33</w:t>
            </w:r>
          </w:p>
        </w:tc>
        <w:tc>
          <w:tcPr>
            <w:tcW w:w="2126" w:type="dxa"/>
            <w:tcBorders>
              <w:top w:val="single" w:sz="6" w:space="0" w:color="000000"/>
              <w:left w:val="single" w:sz="6" w:space="0" w:color="000000"/>
              <w:bottom w:val="single" w:sz="6" w:space="0" w:color="000000"/>
              <w:right w:val="single" w:sz="6" w:space="0" w:color="000000"/>
            </w:tcBorders>
          </w:tcPr>
          <w:p w14:paraId="5A1522F1" w14:textId="77777777" w:rsidR="00171824" w:rsidRDefault="006D258C">
            <w:pPr>
              <w:keepNext/>
              <w:tabs>
                <w:tab w:val="left" w:pos="-1080"/>
              </w:tabs>
              <w:jc w:val="center"/>
              <w:rPr>
                <w:b/>
                <w:sz w:val="22"/>
                <w:szCs w:val="22"/>
                <w:lang w:val="el-GR"/>
              </w:rPr>
            </w:pPr>
            <w:r>
              <w:rPr>
                <w:b/>
                <w:sz w:val="22"/>
                <w:szCs w:val="22"/>
                <w:lang w:val="el-GR"/>
              </w:rPr>
              <w:t>N=38</w:t>
            </w:r>
          </w:p>
        </w:tc>
        <w:tc>
          <w:tcPr>
            <w:tcW w:w="1443" w:type="dxa"/>
            <w:tcBorders>
              <w:top w:val="single" w:sz="6" w:space="0" w:color="000000"/>
              <w:left w:val="single" w:sz="6" w:space="0" w:color="000000"/>
              <w:bottom w:val="single" w:sz="6" w:space="0" w:color="000000"/>
              <w:right w:val="single" w:sz="6" w:space="0" w:color="000000"/>
            </w:tcBorders>
          </w:tcPr>
          <w:p w14:paraId="77EA63F8" w14:textId="77777777" w:rsidR="00171824" w:rsidRDefault="00171824">
            <w:pPr>
              <w:keepNext/>
              <w:jc w:val="center"/>
              <w:rPr>
                <w:b/>
                <w:sz w:val="22"/>
                <w:szCs w:val="22"/>
                <w:lang w:val="el-GR"/>
              </w:rPr>
            </w:pPr>
          </w:p>
        </w:tc>
      </w:tr>
      <w:tr w:rsidR="00171824" w14:paraId="77B8CA25" w14:textId="77777777">
        <w:trPr>
          <w:cantSplit/>
        </w:trPr>
        <w:tc>
          <w:tcPr>
            <w:tcW w:w="3377" w:type="dxa"/>
            <w:tcBorders>
              <w:top w:val="single" w:sz="6" w:space="0" w:color="000000"/>
              <w:left w:val="single" w:sz="6" w:space="0" w:color="000000"/>
              <w:bottom w:val="single" w:sz="6" w:space="0" w:color="000000"/>
              <w:right w:val="single" w:sz="6" w:space="0" w:color="000000"/>
            </w:tcBorders>
          </w:tcPr>
          <w:p w14:paraId="7CB7DD6C"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bCs/>
                <w:sz w:val="22"/>
                <w:szCs w:val="22"/>
                <w:lang w:val="el-GR"/>
              </w:rPr>
              <w:t>26</w:t>
            </w:r>
          </w:p>
        </w:tc>
        <w:tc>
          <w:tcPr>
            <w:tcW w:w="2126" w:type="dxa"/>
            <w:tcBorders>
              <w:top w:val="single" w:sz="6" w:space="0" w:color="000000"/>
              <w:left w:val="single" w:sz="6" w:space="0" w:color="000000"/>
              <w:bottom w:val="single" w:sz="6" w:space="0" w:color="000000"/>
              <w:right w:val="single" w:sz="6" w:space="0" w:color="000000"/>
            </w:tcBorders>
          </w:tcPr>
          <w:p w14:paraId="34B664A8" w14:textId="77777777" w:rsidR="00171824" w:rsidRDefault="006D258C">
            <w:pPr>
              <w:keepNext/>
              <w:tabs>
                <w:tab w:val="left" w:pos="-1080"/>
              </w:tabs>
              <w:jc w:val="center"/>
              <w:rPr>
                <w:sz w:val="22"/>
                <w:szCs w:val="22"/>
                <w:lang w:val="el-GR"/>
              </w:rPr>
            </w:pPr>
            <w:r>
              <w:rPr>
                <w:sz w:val="22"/>
                <w:szCs w:val="22"/>
                <w:lang w:val="el-GR"/>
              </w:rPr>
              <w:t>84,8%</w:t>
            </w:r>
          </w:p>
        </w:tc>
        <w:tc>
          <w:tcPr>
            <w:tcW w:w="2126" w:type="dxa"/>
            <w:tcBorders>
              <w:top w:val="single" w:sz="6" w:space="0" w:color="000000"/>
              <w:left w:val="single" w:sz="6" w:space="0" w:color="000000"/>
              <w:bottom w:val="single" w:sz="6" w:space="0" w:color="000000"/>
              <w:right w:val="single" w:sz="6" w:space="0" w:color="000000"/>
            </w:tcBorders>
          </w:tcPr>
          <w:p w14:paraId="54405493" w14:textId="77777777" w:rsidR="00171824" w:rsidRDefault="006D258C">
            <w:pPr>
              <w:keepNext/>
              <w:tabs>
                <w:tab w:val="left" w:pos="-1080"/>
              </w:tabs>
              <w:jc w:val="center"/>
              <w:rPr>
                <w:sz w:val="22"/>
                <w:szCs w:val="22"/>
                <w:lang w:val="el-GR"/>
              </w:rPr>
            </w:pPr>
            <w:r>
              <w:rPr>
                <w:sz w:val="22"/>
                <w:szCs w:val="22"/>
                <w:lang w:val="el-GR"/>
              </w:rPr>
              <w:t>65,8%</w:t>
            </w:r>
          </w:p>
        </w:tc>
        <w:tc>
          <w:tcPr>
            <w:tcW w:w="1443" w:type="dxa"/>
            <w:tcBorders>
              <w:top w:val="single" w:sz="6" w:space="0" w:color="000000"/>
              <w:left w:val="single" w:sz="6" w:space="0" w:color="000000"/>
              <w:bottom w:val="single" w:sz="6" w:space="0" w:color="000000"/>
              <w:right w:val="single" w:sz="6" w:space="0" w:color="000000"/>
            </w:tcBorders>
          </w:tcPr>
          <w:p w14:paraId="42F9798C" w14:textId="77777777" w:rsidR="00171824" w:rsidRDefault="006D258C">
            <w:pPr>
              <w:keepNext/>
              <w:tabs>
                <w:tab w:val="left" w:pos="-1080"/>
              </w:tabs>
              <w:jc w:val="center"/>
              <w:rPr>
                <w:sz w:val="22"/>
                <w:szCs w:val="22"/>
                <w:lang w:val="el-GR"/>
              </w:rPr>
            </w:pPr>
            <w:r>
              <w:rPr>
                <w:sz w:val="22"/>
                <w:szCs w:val="22"/>
                <w:lang w:val="el-GR"/>
              </w:rPr>
              <w:t>0,066</w:t>
            </w:r>
          </w:p>
        </w:tc>
      </w:tr>
      <w:tr w:rsidR="00171824" w14:paraId="249DB529" w14:textId="77777777">
        <w:trPr>
          <w:cantSplit/>
        </w:trPr>
        <w:tc>
          <w:tcPr>
            <w:tcW w:w="3377" w:type="dxa"/>
            <w:tcBorders>
              <w:top w:val="single" w:sz="6" w:space="0" w:color="000000"/>
              <w:left w:val="single" w:sz="6" w:space="0" w:color="000000"/>
              <w:bottom w:val="single" w:sz="6" w:space="0" w:color="000000"/>
              <w:right w:val="single" w:sz="6" w:space="0" w:color="000000"/>
            </w:tcBorders>
          </w:tcPr>
          <w:p w14:paraId="072FE8ED"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bCs/>
                <w:sz w:val="22"/>
                <w:szCs w:val="22"/>
                <w:lang w:val="el-GR"/>
              </w:rPr>
              <w:t>52</w:t>
            </w:r>
          </w:p>
        </w:tc>
        <w:tc>
          <w:tcPr>
            <w:tcW w:w="2126" w:type="dxa"/>
            <w:tcBorders>
              <w:top w:val="single" w:sz="6" w:space="0" w:color="000000"/>
              <w:left w:val="single" w:sz="6" w:space="0" w:color="000000"/>
              <w:bottom w:val="single" w:sz="6" w:space="0" w:color="000000"/>
              <w:right w:val="single" w:sz="6" w:space="0" w:color="000000"/>
            </w:tcBorders>
          </w:tcPr>
          <w:p w14:paraId="54078CC3" w14:textId="77777777" w:rsidR="00171824" w:rsidRDefault="006D258C">
            <w:pPr>
              <w:keepNext/>
              <w:tabs>
                <w:tab w:val="left" w:pos="-1080"/>
              </w:tabs>
              <w:jc w:val="center"/>
              <w:rPr>
                <w:sz w:val="22"/>
                <w:szCs w:val="22"/>
                <w:lang w:val="el-GR"/>
              </w:rPr>
            </w:pPr>
            <w:r>
              <w:rPr>
                <w:sz w:val="22"/>
                <w:szCs w:val="22"/>
                <w:lang w:val="el-GR"/>
              </w:rPr>
              <w:t>69,7%</w:t>
            </w:r>
          </w:p>
        </w:tc>
        <w:tc>
          <w:tcPr>
            <w:tcW w:w="2126" w:type="dxa"/>
            <w:tcBorders>
              <w:top w:val="single" w:sz="6" w:space="0" w:color="000000"/>
              <w:left w:val="single" w:sz="6" w:space="0" w:color="000000"/>
              <w:bottom w:val="single" w:sz="6" w:space="0" w:color="000000"/>
              <w:right w:val="single" w:sz="6" w:space="0" w:color="000000"/>
            </w:tcBorders>
          </w:tcPr>
          <w:p w14:paraId="40AFE550" w14:textId="77777777" w:rsidR="00171824" w:rsidRDefault="006D258C">
            <w:pPr>
              <w:keepNext/>
              <w:tabs>
                <w:tab w:val="left" w:pos="-1080"/>
              </w:tabs>
              <w:jc w:val="center"/>
              <w:rPr>
                <w:sz w:val="22"/>
                <w:szCs w:val="22"/>
                <w:lang w:val="el-GR"/>
              </w:rPr>
            </w:pPr>
            <w:r>
              <w:rPr>
                <w:sz w:val="22"/>
                <w:szCs w:val="22"/>
                <w:lang w:val="el-GR"/>
              </w:rPr>
              <w:t>60,5%</w:t>
            </w:r>
          </w:p>
        </w:tc>
        <w:tc>
          <w:tcPr>
            <w:tcW w:w="1443" w:type="dxa"/>
            <w:tcBorders>
              <w:top w:val="single" w:sz="6" w:space="0" w:color="000000"/>
              <w:left w:val="single" w:sz="6" w:space="0" w:color="000000"/>
              <w:bottom w:val="single" w:sz="6" w:space="0" w:color="000000"/>
              <w:right w:val="single" w:sz="6" w:space="0" w:color="000000"/>
            </w:tcBorders>
          </w:tcPr>
          <w:p w14:paraId="36FD0B0D" w14:textId="77777777" w:rsidR="00171824" w:rsidRDefault="006D258C">
            <w:pPr>
              <w:keepNext/>
              <w:tabs>
                <w:tab w:val="left" w:pos="-1080"/>
              </w:tabs>
              <w:jc w:val="center"/>
              <w:rPr>
                <w:sz w:val="22"/>
                <w:szCs w:val="22"/>
                <w:lang w:val="el-GR"/>
              </w:rPr>
            </w:pPr>
            <w:r>
              <w:rPr>
                <w:sz w:val="22"/>
                <w:szCs w:val="22"/>
                <w:lang w:val="el-GR"/>
              </w:rPr>
              <w:t>0,420</w:t>
            </w:r>
          </w:p>
        </w:tc>
      </w:tr>
      <w:tr w:rsidR="00171824" w14:paraId="0161E42B" w14:textId="77777777">
        <w:trPr>
          <w:cantSplit/>
        </w:trPr>
        <w:tc>
          <w:tcPr>
            <w:tcW w:w="3377" w:type="dxa"/>
            <w:tcBorders>
              <w:top w:val="single" w:sz="6" w:space="0" w:color="000000"/>
              <w:left w:val="single" w:sz="6" w:space="0" w:color="000000"/>
              <w:bottom w:val="single" w:sz="6" w:space="0" w:color="000000"/>
              <w:right w:val="single" w:sz="6" w:space="0" w:color="000000"/>
            </w:tcBorders>
          </w:tcPr>
          <w:p w14:paraId="513BABA7" w14:textId="77777777" w:rsidR="00171824" w:rsidRDefault="006D258C">
            <w:pPr>
              <w:keepNext/>
              <w:tabs>
                <w:tab w:val="left" w:pos="-1080"/>
              </w:tabs>
              <w:rPr>
                <w:b/>
                <w:sz w:val="22"/>
                <w:szCs w:val="22"/>
                <w:lang w:val="el-GR"/>
              </w:rPr>
            </w:pPr>
            <w:r>
              <w:rPr>
                <w:b/>
                <w:sz w:val="22"/>
                <w:lang w:val="el-GR"/>
              </w:rPr>
              <w:t>Διακοπή α</w:t>
            </w:r>
            <w:r>
              <w:rPr>
                <w:b/>
                <w:sz w:val="22"/>
                <w:szCs w:val="20"/>
                <w:lang w:val="el-GR"/>
              </w:rPr>
              <w:t>νοσοτροποποιητικών</w:t>
            </w:r>
            <w:r>
              <w:rPr>
                <w:b/>
                <w:sz w:val="22"/>
                <w:szCs w:val="22"/>
                <w:vertAlign w:val="superscript"/>
                <w:lang w:val="el-GR"/>
              </w:rPr>
              <w:t>2</w:t>
            </w:r>
          </w:p>
        </w:tc>
        <w:tc>
          <w:tcPr>
            <w:tcW w:w="2126" w:type="dxa"/>
            <w:tcBorders>
              <w:top w:val="single" w:sz="6" w:space="0" w:color="000000"/>
              <w:left w:val="single" w:sz="6" w:space="0" w:color="000000"/>
              <w:bottom w:val="single" w:sz="6" w:space="0" w:color="000000"/>
              <w:right w:val="single" w:sz="6" w:space="0" w:color="000000"/>
            </w:tcBorders>
          </w:tcPr>
          <w:p w14:paraId="793503A0" w14:textId="77777777" w:rsidR="00171824" w:rsidRDefault="006D258C">
            <w:pPr>
              <w:keepNext/>
              <w:tabs>
                <w:tab w:val="left" w:pos="-1080"/>
              </w:tabs>
              <w:jc w:val="center"/>
              <w:rPr>
                <w:b/>
                <w:sz w:val="22"/>
                <w:szCs w:val="22"/>
                <w:lang w:val="el-GR"/>
              </w:rPr>
            </w:pPr>
            <w:r>
              <w:rPr>
                <w:b/>
                <w:sz w:val="22"/>
                <w:szCs w:val="22"/>
                <w:lang w:val="el-GR"/>
              </w:rPr>
              <w:t>N=60</w:t>
            </w:r>
          </w:p>
        </w:tc>
        <w:tc>
          <w:tcPr>
            <w:tcW w:w="2126" w:type="dxa"/>
            <w:tcBorders>
              <w:top w:val="single" w:sz="6" w:space="0" w:color="000000"/>
              <w:left w:val="single" w:sz="6" w:space="0" w:color="000000"/>
              <w:bottom w:val="single" w:sz="6" w:space="0" w:color="000000"/>
              <w:right w:val="single" w:sz="6" w:space="0" w:color="000000"/>
            </w:tcBorders>
          </w:tcPr>
          <w:p w14:paraId="01D908CA" w14:textId="77777777" w:rsidR="00171824" w:rsidRDefault="006D258C">
            <w:pPr>
              <w:keepNext/>
              <w:tabs>
                <w:tab w:val="left" w:pos="-1080"/>
              </w:tabs>
              <w:jc w:val="center"/>
              <w:rPr>
                <w:b/>
                <w:sz w:val="22"/>
                <w:szCs w:val="22"/>
                <w:lang w:val="el-GR"/>
              </w:rPr>
            </w:pPr>
            <w:r>
              <w:rPr>
                <w:b/>
                <w:sz w:val="22"/>
                <w:szCs w:val="22"/>
                <w:lang w:val="el-GR"/>
              </w:rPr>
              <w:t>N=57</w:t>
            </w:r>
          </w:p>
        </w:tc>
        <w:tc>
          <w:tcPr>
            <w:tcW w:w="1443" w:type="dxa"/>
            <w:tcBorders>
              <w:top w:val="single" w:sz="6" w:space="0" w:color="000000"/>
              <w:left w:val="single" w:sz="6" w:space="0" w:color="000000"/>
              <w:bottom w:val="single" w:sz="6" w:space="0" w:color="000000"/>
              <w:right w:val="single" w:sz="6" w:space="0" w:color="000000"/>
            </w:tcBorders>
          </w:tcPr>
          <w:p w14:paraId="7E32E401" w14:textId="77777777" w:rsidR="00171824" w:rsidRDefault="00171824">
            <w:pPr>
              <w:keepNext/>
              <w:jc w:val="center"/>
              <w:rPr>
                <w:b/>
                <w:sz w:val="22"/>
                <w:szCs w:val="22"/>
                <w:lang w:val="el-GR"/>
              </w:rPr>
            </w:pPr>
          </w:p>
        </w:tc>
      </w:tr>
      <w:tr w:rsidR="00171824" w14:paraId="41EE5005" w14:textId="77777777">
        <w:trPr>
          <w:cantSplit/>
        </w:trPr>
        <w:tc>
          <w:tcPr>
            <w:tcW w:w="3377" w:type="dxa"/>
            <w:tcBorders>
              <w:top w:val="single" w:sz="6" w:space="0" w:color="000000"/>
              <w:left w:val="single" w:sz="6" w:space="0" w:color="000000"/>
              <w:bottom w:val="single" w:sz="6" w:space="0" w:color="000000"/>
              <w:right w:val="single" w:sz="6" w:space="0" w:color="000000"/>
            </w:tcBorders>
          </w:tcPr>
          <w:p w14:paraId="237AFC19"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bCs/>
                <w:sz w:val="22"/>
                <w:szCs w:val="22"/>
                <w:lang w:val="el-GR"/>
              </w:rPr>
              <w:t>52</w:t>
            </w:r>
          </w:p>
        </w:tc>
        <w:tc>
          <w:tcPr>
            <w:tcW w:w="2126" w:type="dxa"/>
            <w:tcBorders>
              <w:top w:val="single" w:sz="6" w:space="0" w:color="000000"/>
              <w:left w:val="single" w:sz="6" w:space="0" w:color="000000"/>
              <w:bottom w:val="single" w:sz="6" w:space="0" w:color="000000"/>
              <w:right w:val="single" w:sz="6" w:space="0" w:color="000000"/>
            </w:tcBorders>
          </w:tcPr>
          <w:p w14:paraId="40260095" w14:textId="77777777" w:rsidR="00171824" w:rsidRDefault="006D258C">
            <w:pPr>
              <w:keepNext/>
              <w:tabs>
                <w:tab w:val="left" w:pos="-1080"/>
              </w:tabs>
              <w:jc w:val="center"/>
              <w:rPr>
                <w:sz w:val="22"/>
                <w:szCs w:val="22"/>
                <w:lang w:val="el-GR"/>
              </w:rPr>
            </w:pPr>
            <w:r>
              <w:rPr>
                <w:sz w:val="22"/>
                <w:szCs w:val="22"/>
                <w:lang w:val="el-GR"/>
              </w:rPr>
              <w:t>30,0%</w:t>
            </w:r>
          </w:p>
        </w:tc>
        <w:tc>
          <w:tcPr>
            <w:tcW w:w="2126" w:type="dxa"/>
            <w:tcBorders>
              <w:top w:val="single" w:sz="6" w:space="0" w:color="000000"/>
              <w:left w:val="single" w:sz="6" w:space="0" w:color="000000"/>
              <w:bottom w:val="single" w:sz="6" w:space="0" w:color="000000"/>
              <w:right w:val="single" w:sz="6" w:space="0" w:color="000000"/>
            </w:tcBorders>
          </w:tcPr>
          <w:p w14:paraId="0CF12DA2" w14:textId="77777777" w:rsidR="00171824" w:rsidRDefault="006D258C">
            <w:pPr>
              <w:keepNext/>
              <w:tabs>
                <w:tab w:val="left" w:pos="-1080"/>
              </w:tabs>
              <w:jc w:val="center"/>
              <w:rPr>
                <w:sz w:val="22"/>
                <w:szCs w:val="22"/>
                <w:lang w:val="el-GR"/>
              </w:rPr>
            </w:pPr>
            <w:r>
              <w:rPr>
                <w:sz w:val="22"/>
                <w:szCs w:val="22"/>
                <w:lang w:val="el-GR"/>
              </w:rPr>
              <w:t>29,8%</w:t>
            </w:r>
          </w:p>
        </w:tc>
        <w:tc>
          <w:tcPr>
            <w:tcW w:w="1443" w:type="dxa"/>
            <w:tcBorders>
              <w:top w:val="single" w:sz="6" w:space="0" w:color="000000"/>
              <w:left w:val="single" w:sz="6" w:space="0" w:color="000000"/>
              <w:bottom w:val="single" w:sz="6" w:space="0" w:color="000000"/>
              <w:right w:val="single" w:sz="6" w:space="0" w:color="000000"/>
            </w:tcBorders>
          </w:tcPr>
          <w:p w14:paraId="1B706563" w14:textId="77777777" w:rsidR="00171824" w:rsidRDefault="006D258C">
            <w:pPr>
              <w:keepNext/>
              <w:tabs>
                <w:tab w:val="left" w:pos="-1080"/>
              </w:tabs>
              <w:jc w:val="center"/>
              <w:rPr>
                <w:sz w:val="22"/>
                <w:szCs w:val="22"/>
                <w:lang w:val="el-GR"/>
              </w:rPr>
            </w:pPr>
            <w:r>
              <w:rPr>
                <w:sz w:val="22"/>
                <w:szCs w:val="22"/>
                <w:lang w:val="el-GR"/>
              </w:rPr>
              <w:t>0,983</w:t>
            </w:r>
          </w:p>
        </w:tc>
      </w:tr>
      <w:tr w:rsidR="00171824" w14:paraId="24F2BA91" w14:textId="77777777">
        <w:trPr>
          <w:cantSplit/>
        </w:trPr>
        <w:tc>
          <w:tcPr>
            <w:tcW w:w="3377" w:type="dxa"/>
            <w:tcBorders>
              <w:top w:val="single" w:sz="6" w:space="0" w:color="000000"/>
              <w:left w:val="single" w:sz="6" w:space="0" w:color="000000"/>
              <w:bottom w:val="single" w:sz="6" w:space="0" w:color="000000"/>
              <w:right w:val="single" w:sz="6" w:space="0" w:color="000000"/>
            </w:tcBorders>
          </w:tcPr>
          <w:p w14:paraId="6E80AD79" w14:textId="77777777" w:rsidR="00171824" w:rsidRDefault="006D258C">
            <w:pPr>
              <w:keepNext/>
              <w:tabs>
                <w:tab w:val="left" w:pos="-1080"/>
              </w:tabs>
              <w:rPr>
                <w:b/>
                <w:bCs/>
                <w:sz w:val="22"/>
                <w:szCs w:val="22"/>
                <w:lang w:val="el-GR"/>
              </w:rPr>
            </w:pPr>
            <w:r>
              <w:rPr>
                <w:b/>
                <w:bCs/>
                <w:sz w:val="22"/>
                <w:szCs w:val="22"/>
                <w:lang w:val="el-GR"/>
              </w:rPr>
              <w:t>Σύγκλιση Συριγγίων</w:t>
            </w:r>
            <w:r>
              <w:rPr>
                <w:b/>
                <w:sz w:val="22"/>
                <w:szCs w:val="20"/>
                <w:vertAlign w:val="superscript"/>
                <w:lang w:val="el-GR"/>
              </w:rPr>
              <w:t>3</w:t>
            </w:r>
          </w:p>
        </w:tc>
        <w:tc>
          <w:tcPr>
            <w:tcW w:w="2126" w:type="dxa"/>
            <w:tcBorders>
              <w:top w:val="single" w:sz="6" w:space="0" w:color="000000"/>
              <w:left w:val="single" w:sz="6" w:space="0" w:color="000000"/>
              <w:bottom w:val="single" w:sz="6" w:space="0" w:color="000000"/>
              <w:right w:val="single" w:sz="6" w:space="0" w:color="000000"/>
            </w:tcBorders>
          </w:tcPr>
          <w:p w14:paraId="598BFD1B" w14:textId="77777777" w:rsidR="00171824" w:rsidRDefault="006D258C">
            <w:pPr>
              <w:keepNext/>
              <w:tabs>
                <w:tab w:val="left" w:pos="-1080"/>
              </w:tabs>
              <w:jc w:val="center"/>
              <w:rPr>
                <w:b/>
                <w:sz w:val="22"/>
                <w:szCs w:val="22"/>
                <w:lang w:val="el-GR"/>
              </w:rPr>
            </w:pPr>
            <w:r>
              <w:rPr>
                <w:b/>
                <w:sz w:val="22"/>
                <w:szCs w:val="22"/>
                <w:lang w:val="el-GR"/>
              </w:rPr>
              <w:t>N=15</w:t>
            </w:r>
          </w:p>
        </w:tc>
        <w:tc>
          <w:tcPr>
            <w:tcW w:w="2126" w:type="dxa"/>
            <w:tcBorders>
              <w:top w:val="single" w:sz="6" w:space="0" w:color="000000"/>
              <w:left w:val="single" w:sz="6" w:space="0" w:color="000000"/>
              <w:bottom w:val="single" w:sz="6" w:space="0" w:color="000000"/>
              <w:right w:val="single" w:sz="6" w:space="0" w:color="000000"/>
            </w:tcBorders>
          </w:tcPr>
          <w:p w14:paraId="6A79E247" w14:textId="77777777" w:rsidR="00171824" w:rsidRDefault="006D258C">
            <w:pPr>
              <w:keepNext/>
              <w:tabs>
                <w:tab w:val="left" w:pos="-1080"/>
              </w:tabs>
              <w:jc w:val="center"/>
              <w:rPr>
                <w:b/>
                <w:sz w:val="22"/>
                <w:szCs w:val="22"/>
                <w:lang w:val="el-GR"/>
              </w:rPr>
            </w:pPr>
            <w:r>
              <w:rPr>
                <w:b/>
                <w:sz w:val="22"/>
                <w:szCs w:val="22"/>
                <w:lang w:val="el-GR"/>
              </w:rPr>
              <w:t>N=21</w:t>
            </w:r>
          </w:p>
        </w:tc>
        <w:tc>
          <w:tcPr>
            <w:tcW w:w="1443" w:type="dxa"/>
            <w:tcBorders>
              <w:top w:val="single" w:sz="6" w:space="0" w:color="000000"/>
              <w:left w:val="single" w:sz="6" w:space="0" w:color="000000"/>
              <w:bottom w:val="single" w:sz="6" w:space="0" w:color="000000"/>
              <w:right w:val="single" w:sz="6" w:space="0" w:color="000000"/>
            </w:tcBorders>
          </w:tcPr>
          <w:p w14:paraId="60EAA617" w14:textId="77777777" w:rsidR="00171824" w:rsidRDefault="00171824">
            <w:pPr>
              <w:keepNext/>
              <w:tabs>
                <w:tab w:val="left" w:pos="-1080"/>
              </w:tabs>
              <w:jc w:val="center"/>
              <w:rPr>
                <w:sz w:val="22"/>
                <w:szCs w:val="22"/>
                <w:lang w:val="el-GR"/>
              </w:rPr>
            </w:pPr>
          </w:p>
        </w:tc>
      </w:tr>
      <w:tr w:rsidR="00171824" w14:paraId="67BE54E0" w14:textId="77777777">
        <w:trPr>
          <w:cantSplit/>
        </w:trPr>
        <w:tc>
          <w:tcPr>
            <w:tcW w:w="3377" w:type="dxa"/>
            <w:tcBorders>
              <w:top w:val="single" w:sz="6" w:space="0" w:color="000000"/>
              <w:left w:val="single" w:sz="6" w:space="0" w:color="000000"/>
              <w:bottom w:val="single" w:sz="6" w:space="0" w:color="000000"/>
              <w:right w:val="single" w:sz="6" w:space="0" w:color="000000"/>
            </w:tcBorders>
          </w:tcPr>
          <w:p w14:paraId="0EEC09F8"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bCs/>
                <w:sz w:val="22"/>
                <w:szCs w:val="22"/>
                <w:lang w:val="el-GR"/>
              </w:rPr>
              <w:t>26</w:t>
            </w:r>
          </w:p>
        </w:tc>
        <w:tc>
          <w:tcPr>
            <w:tcW w:w="2126" w:type="dxa"/>
            <w:tcBorders>
              <w:top w:val="single" w:sz="6" w:space="0" w:color="000000"/>
              <w:left w:val="single" w:sz="6" w:space="0" w:color="000000"/>
              <w:bottom w:val="single" w:sz="6" w:space="0" w:color="000000"/>
              <w:right w:val="single" w:sz="6" w:space="0" w:color="000000"/>
            </w:tcBorders>
          </w:tcPr>
          <w:p w14:paraId="104738E7" w14:textId="77777777" w:rsidR="00171824" w:rsidRDefault="006D258C">
            <w:pPr>
              <w:keepNext/>
              <w:tabs>
                <w:tab w:val="left" w:pos="-1080"/>
              </w:tabs>
              <w:jc w:val="center"/>
              <w:rPr>
                <w:sz w:val="22"/>
                <w:szCs w:val="22"/>
                <w:lang w:val="el-GR"/>
              </w:rPr>
            </w:pPr>
            <w:r>
              <w:rPr>
                <w:sz w:val="22"/>
                <w:szCs w:val="20"/>
                <w:lang w:val="el-GR"/>
              </w:rPr>
              <w:t>46,7%</w:t>
            </w:r>
          </w:p>
        </w:tc>
        <w:tc>
          <w:tcPr>
            <w:tcW w:w="2126" w:type="dxa"/>
            <w:tcBorders>
              <w:top w:val="single" w:sz="6" w:space="0" w:color="000000"/>
              <w:left w:val="single" w:sz="6" w:space="0" w:color="000000"/>
              <w:bottom w:val="single" w:sz="6" w:space="0" w:color="000000"/>
              <w:right w:val="single" w:sz="6" w:space="0" w:color="000000"/>
            </w:tcBorders>
          </w:tcPr>
          <w:p w14:paraId="175EA62D" w14:textId="77777777" w:rsidR="00171824" w:rsidRDefault="006D258C">
            <w:pPr>
              <w:keepNext/>
              <w:tabs>
                <w:tab w:val="left" w:pos="-1080"/>
              </w:tabs>
              <w:jc w:val="center"/>
              <w:rPr>
                <w:sz w:val="22"/>
                <w:szCs w:val="22"/>
                <w:lang w:val="el-GR"/>
              </w:rPr>
            </w:pPr>
            <w:r>
              <w:rPr>
                <w:sz w:val="22"/>
                <w:szCs w:val="20"/>
                <w:lang w:val="el-GR"/>
              </w:rPr>
              <w:t>38,1%</w:t>
            </w:r>
          </w:p>
        </w:tc>
        <w:tc>
          <w:tcPr>
            <w:tcW w:w="1443" w:type="dxa"/>
            <w:tcBorders>
              <w:top w:val="single" w:sz="6" w:space="0" w:color="000000"/>
              <w:left w:val="single" w:sz="6" w:space="0" w:color="000000"/>
              <w:bottom w:val="single" w:sz="6" w:space="0" w:color="000000"/>
              <w:right w:val="single" w:sz="6" w:space="0" w:color="000000"/>
            </w:tcBorders>
          </w:tcPr>
          <w:p w14:paraId="2519BEED" w14:textId="77777777" w:rsidR="00171824" w:rsidRDefault="006D258C">
            <w:pPr>
              <w:keepNext/>
              <w:tabs>
                <w:tab w:val="left" w:pos="-1080"/>
              </w:tabs>
              <w:jc w:val="center"/>
              <w:rPr>
                <w:sz w:val="22"/>
                <w:szCs w:val="22"/>
                <w:lang w:val="el-GR"/>
              </w:rPr>
            </w:pPr>
            <w:r>
              <w:rPr>
                <w:sz w:val="22"/>
                <w:szCs w:val="20"/>
                <w:lang w:val="el-GR"/>
              </w:rPr>
              <w:t>0,608</w:t>
            </w:r>
          </w:p>
        </w:tc>
      </w:tr>
      <w:tr w:rsidR="00171824" w14:paraId="3ED831FF" w14:textId="77777777">
        <w:trPr>
          <w:cantSplit/>
        </w:trPr>
        <w:tc>
          <w:tcPr>
            <w:tcW w:w="3377" w:type="dxa"/>
            <w:tcBorders>
              <w:top w:val="single" w:sz="6" w:space="0" w:color="000000"/>
              <w:left w:val="single" w:sz="6" w:space="0" w:color="000000"/>
              <w:bottom w:val="single" w:sz="4" w:space="0" w:color="auto"/>
              <w:right w:val="single" w:sz="6" w:space="0" w:color="000000"/>
            </w:tcBorders>
          </w:tcPr>
          <w:p w14:paraId="0BCAF9DB" w14:textId="77777777" w:rsidR="00171824" w:rsidRDefault="006D258C">
            <w:pPr>
              <w:keepNext/>
              <w:tabs>
                <w:tab w:val="left" w:pos="-1080"/>
              </w:tabs>
              <w:rPr>
                <w:bCs/>
                <w:sz w:val="22"/>
                <w:szCs w:val="22"/>
                <w:lang w:val="el-GR"/>
              </w:rPr>
            </w:pPr>
            <w:r>
              <w:rPr>
                <w:bCs/>
                <w:sz w:val="22"/>
                <w:szCs w:val="22"/>
                <w:lang w:val="el-GR"/>
              </w:rPr>
              <w:t>Εβδομάδα</w:t>
            </w:r>
            <w:r>
              <w:rPr>
                <w:b/>
                <w:bCs/>
                <w:sz w:val="22"/>
                <w:szCs w:val="22"/>
                <w:lang w:val="el-GR"/>
              </w:rPr>
              <w:t xml:space="preserve"> </w:t>
            </w:r>
            <w:r>
              <w:rPr>
                <w:sz w:val="22"/>
                <w:szCs w:val="20"/>
                <w:lang w:val="el-GR"/>
              </w:rPr>
              <w:t>52</w:t>
            </w:r>
          </w:p>
        </w:tc>
        <w:tc>
          <w:tcPr>
            <w:tcW w:w="2126" w:type="dxa"/>
            <w:tcBorders>
              <w:top w:val="single" w:sz="6" w:space="0" w:color="000000"/>
              <w:left w:val="single" w:sz="6" w:space="0" w:color="000000"/>
              <w:bottom w:val="single" w:sz="4" w:space="0" w:color="auto"/>
              <w:right w:val="single" w:sz="6" w:space="0" w:color="000000"/>
            </w:tcBorders>
          </w:tcPr>
          <w:p w14:paraId="04E0104B" w14:textId="77777777" w:rsidR="00171824" w:rsidRDefault="006D258C">
            <w:pPr>
              <w:keepNext/>
              <w:tabs>
                <w:tab w:val="left" w:pos="-1080"/>
              </w:tabs>
              <w:jc w:val="center"/>
              <w:rPr>
                <w:sz w:val="22"/>
                <w:szCs w:val="20"/>
                <w:lang w:val="el-GR"/>
              </w:rPr>
            </w:pPr>
            <w:r>
              <w:rPr>
                <w:sz w:val="22"/>
                <w:szCs w:val="20"/>
                <w:lang w:val="el-GR"/>
              </w:rPr>
              <w:t>40,0%</w:t>
            </w:r>
          </w:p>
        </w:tc>
        <w:tc>
          <w:tcPr>
            <w:tcW w:w="2126" w:type="dxa"/>
            <w:tcBorders>
              <w:top w:val="single" w:sz="6" w:space="0" w:color="000000"/>
              <w:left w:val="single" w:sz="6" w:space="0" w:color="000000"/>
              <w:bottom w:val="single" w:sz="4" w:space="0" w:color="auto"/>
              <w:right w:val="single" w:sz="6" w:space="0" w:color="000000"/>
            </w:tcBorders>
          </w:tcPr>
          <w:p w14:paraId="22DDB689" w14:textId="77777777" w:rsidR="00171824" w:rsidRDefault="006D258C">
            <w:pPr>
              <w:keepNext/>
              <w:tabs>
                <w:tab w:val="left" w:pos="-1080"/>
              </w:tabs>
              <w:jc w:val="center"/>
              <w:rPr>
                <w:sz w:val="22"/>
                <w:szCs w:val="20"/>
                <w:lang w:val="el-GR"/>
              </w:rPr>
            </w:pPr>
            <w:r>
              <w:rPr>
                <w:sz w:val="22"/>
                <w:szCs w:val="20"/>
                <w:lang w:val="el-GR"/>
              </w:rPr>
              <w:t>23,8%</w:t>
            </w:r>
          </w:p>
        </w:tc>
        <w:tc>
          <w:tcPr>
            <w:tcW w:w="1443" w:type="dxa"/>
            <w:tcBorders>
              <w:top w:val="single" w:sz="6" w:space="0" w:color="000000"/>
              <w:left w:val="single" w:sz="6" w:space="0" w:color="000000"/>
              <w:bottom w:val="single" w:sz="4" w:space="0" w:color="auto"/>
              <w:right w:val="single" w:sz="6" w:space="0" w:color="000000"/>
            </w:tcBorders>
          </w:tcPr>
          <w:p w14:paraId="2EB05C78" w14:textId="77777777" w:rsidR="00171824" w:rsidRDefault="006D258C">
            <w:pPr>
              <w:keepNext/>
              <w:tabs>
                <w:tab w:val="left" w:pos="-1080"/>
              </w:tabs>
              <w:jc w:val="center"/>
              <w:rPr>
                <w:sz w:val="22"/>
                <w:szCs w:val="20"/>
                <w:lang w:val="el-GR"/>
              </w:rPr>
            </w:pPr>
            <w:r>
              <w:rPr>
                <w:sz w:val="22"/>
                <w:szCs w:val="20"/>
                <w:lang w:val="el-GR"/>
              </w:rPr>
              <w:t>0,303</w:t>
            </w:r>
          </w:p>
        </w:tc>
      </w:tr>
    </w:tbl>
    <w:p w14:paraId="0702EBA4" w14:textId="77777777" w:rsidR="00171824" w:rsidRDefault="006D258C">
      <w:pPr>
        <w:widowControl/>
        <w:rPr>
          <w:color w:val="000000"/>
          <w:sz w:val="20"/>
          <w:szCs w:val="20"/>
          <w:lang w:val="el-GR" w:eastAsia="ja-JP"/>
        </w:rPr>
      </w:pPr>
      <w:r>
        <w:rPr>
          <w:color w:val="000000"/>
          <w:sz w:val="20"/>
          <w:szCs w:val="20"/>
          <w:vertAlign w:val="superscript"/>
          <w:lang w:val="el-GR" w:eastAsia="ja-JP"/>
        </w:rPr>
        <w:t>1</w:t>
      </w:r>
      <w:r>
        <w:rPr>
          <w:color w:val="000000"/>
          <w:sz w:val="20"/>
          <w:szCs w:val="20"/>
          <w:lang w:val="el-GR" w:eastAsia="ja-JP"/>
        </w:rPr>
        <w:t xml:space="preserve"> τιμή p για την σύγκριση της Τυπικής δόσης </w:t>
      </w:r>
      <w:r>
        <w:rPr>
          <w:i/>
          <w:iCs/>
          <w:color w:val="000000"/>
          <w:sz w:val="20"/>
          <w:szCs w:val="20"/>
          <w:lang w:val="el-GR" w:eastAsia="ja-JP"/>
        </w:rPr>
        <w:t xml:space="preserve">έναντι </w:t>
      </w:r>
      <w:r>
        <w:rPr>
          <w:color w:val="000000"/>
          <w:sz w:val="20"/>
          <w:szCs w:val="20"/>
          <w:lang w:val="el-GR" w:eastAsia="ja-JP"/>
        </w:rPr>
        <w:t xml:space="preserve">της Χαμηλής δόσης </w:t>
      </w:r>
    </w:p>
    <w:p w14:paraId="1616AA8D" w14:textId="77777777" w:rsidR="00171824" w:rsidRDefault="006D258C">
      <w:pPr>
        <w:widowControl/>
        <w:rPr>
          <w:color w:val="000000"/>
          <w:sz w:val="20"/>
          <w:szCs w:val="20"/>
          <w:lang w:val="el-GR" w:eastAsia="ja-JP"/>
        </w:rPr>
      </w:pPr>
      <w:r>
        <w:rPr>
          <w:color w:val="000000"/>
          <w:sz w:val="20"/>
          <w:szCs w:val="20"/>
          <w:vertAlign w:val="superscript"/>
          <w:lang w:val="el-GR" w:eastAsia="ja-JP"/>
        </w:rPr>
        <w:t>2</w:t>
      </w:r>
      <w:r>
        <w:rPr>
          <w:color w:val="000000"/>
          <w:sz w:val="20"/>
          <w:szCs w:val="20"/>
          <w:lang w:val="el-GR" w:eastAsia="ja-JP"/>
        </w:rPr>
        <w:t xml:space="preserve"> η ανοσοκατασταλτική θεραπεία μπορεί να διακοπεί μόνο κατά ή μετά την εβδομάδα 26, κατά την κρίση του ερευνητή, αν ο ασθενής πέτυχε το κριτήριο κλινικής ανταπόκρισης </w:t>
      </w:r>
    </w:p>
    <w:p w14:paraId="7E99B0FF" w14:textId="77777777" w:rsidR="00171824" w:rsidRDefault="006D258C">
      <w:pPr>
        <w:pStyle w:val="BodyText"/>
        <w:widowControl/>
        <w:kinsoku w:val="0"/>
        <w:overflowPunct w:val="0"/>
        <w:ind w:left="0"/>
        <w:rPr>
          <w:sz w:val="20"/>
          <w:szCs w:val="20"/>
          <w:lang w:val="el-GR"/>
        </w:rPr>
      </w:pPr>
      <w:r>
        <w:rPr>
          <w:color w:val="000000"/>
          <w:sz w:val="20"/>
          <w:szCs w:val="20"/>
          <w:vertAlign w:val="superscript"/>
          <w:lang w:val="el-GR" w:eastAsia="ja-JP"/>
        </w:rPr>
        <w:t>3</w:t>
      </w:r>
      <w:r>
        <w:rPr>
          <w:color w:val="000000"/>
          <w:sz w:val="20"/>
          <w:szCs w:val="20"/>
          <w:lang w:val="el-GR" w:eastAsia="ja-JP"/>
        </w:rPr>
        <w:t xml:space="preserve"> ορίζεται ως το κλείσιμο όλων των συριγγίων που παροχέτευαν στην Έναρξη, για τουλάχιστον 2 συνεχείς επισκέψεις μετά την Έναρξη </w:t>
      </w:r>
    </w:p>
    <w:p w14:paraId="6928154E" w14:textId="77777777" w:rsidR="00171824" w:rsidRDefault="00171824">
      <w:pPr>
        <w:pStyle w:val="BodyText"/>
        <w:widowControl/>
        <w:kinsoku w:val="0"/>
        <w:overflowPunct w:val="0"/>
        <w:ind w:left="0"/>
        <w:rPr>
          <w:lang w:val="el-GR"/>
        </w:rPr>
      </w:pPr>
    </w:p>
    <w:p w14:paraId="41C6361D" w14:textId="77777777" w:rsidR="00171824" w:rsidRDefault="006D258C">
      <w:pPr>
        <w:pStyle w:val="BodyText"/>
        <w:widowControl/>
        <w:kinsoku w:val="0"/>
        <w:overflowPunct w:val="0"/>
        <w:ind w:left="0"/>
        <w:rPr>
          <w:lang w:val="el-GR"/>
        </w:rPr>
      </w:pPr>
      <w:r>
        <w:rPr>
          <w:lang w:val="el-GR"/>
        </w:rPr>
        <w:t>Στατιστικά σημαντικές αυξήσεις (βελτίωση) από την Έναρξη του Δείκτη Μάζας Σώματος και της ταχύτητας ύψους παρατηρήθηκαν και για τις δύο ομάδες θεραπείας την εβδομάδα 26 και 52.</w:t>
      </w:r>
    </w:p>
    <w:p w14:paraId="6C16DC23" w14:textId="77777777" w:rsidR="00171824" w:rsidRDefault="00171824">
      <w:pPr>
        <w:pStyle w:val="BodyText"/>
        <w:widowControl/>
        <w:kinsoku w:val="0"/>
        <w:overflowPunct w:val="0"/>
        <w:ind w:left="0"/>
        <w:rPr>
          <w:lang w:val="el-GR"/>
        </w:rPr>
      </w:pPr>
    </w:p>
    <w:p w14:paraId="4408103E" w14:textId="77777777" w:rsidR="00171824" w:rsidRDefault="006D258C">
      <w:pPr>
        <w:pStyle w:val="BodyText"/>
        <w:widowControl/>
        <w:kinsoku w:val="0"/>
        <w:overflowPunct w:val="0"/>
        <w:ind w:left="0"/>
        <w:rPr>
          <w:lang w:val="el-GR"/>
        </w:rPr>
      </w:pPr>
      <w:r>
        <w:rPr>
          <w:lang w:val="el-GR"/>
        </w:rPr>
        <w:t>Στατιστικά και κλινικά σημαντικές βελτιώσεις από την Έναρξη παρατηρήθηκαν επίσης και στις δύο ομάδες θεραπείας για παραμέτρους ποιότητας ζωής (συμπεριλαμβανομένης της IMPACT III).</w:t>
      </w:r>
    </w:p>
    <w:p w14:paraId="0463F929" w14:textId="77777777" w:rsidR="00171824" w:rsidRDefault="00171824">
      <w:pPr>
        <w:pStyle w:val="BodyText"/>
        <w:widowControl/>
        <w:kinsoku w:val="0"/>
        <w:overflowPunct w:val="0"/>
        <w:ind w:left="0"/>
        <w:rPr>
          <w:lang w:val="el-GR"/>
        </w:rPr>
      </w:pPr>
    </w:p>
    <w:p w14:paraId="0A5A5D2F" w14:textId="77777777" w:rsidR="00171824" w:rsidRDefault="006D258C">
      <w:pPr>
        <w:pStyle w:val="BodyText"/>
        <w:widowControl/>
        <w:kinsoku w:val="0"/>
        <w:overflowPunct w:val="0"/>
        <w:ind w:left="0"/>
        <w:rPr>
          <w:lang w:val="el-GR"/>
        </w:rPr>
      </w:pPr>
      <w:r>
        <w:rPr>
          <w:lang w:val="el-GR"/>
        </w:rPr>
        <w:t>Εκατό ασθενείς (n = 100) από τη Μελέτη Παιδιατρικής CD συνέχισαν σε μια ανοικτή μακροχρόνια μελέτη επέκτασης. Έπειτα από 5 χρόνια θεραπείας με adalimumab, 74,0% (37/50) των 50 ασθενών που παρέμειναν στη μελέτη συνέχισαν να είναι σε κλινική ύφεση και 92,0% (46/50) των ασθενών συνέχισαν να έχουν κλινική ανταπόκριση κατά PCDAI.</w:t>
      </w:r>
    </w:p>
    <w:p w14:paraId="47B58BE5" w14:textId="77777777" w:rsidR="00171824" w:rsidRDefault="00171824">
      <w:pPr>
        <w:pStyle w:val="BodyText"/>
        <w:widowControl/>
        <w:kinsoku w:val="0"/>
        <w:overflowPunct w:val="0"/>
        <w:ind w:left="0"/>
        <w:rPr>
          <w:lang w:val="el-GR"/>
        </w:rPr>
      </w:pPr>
    </w:p>
    <w:p w14:paraId="1AC4B665" w14:textId="77777777" w:rsidR="00171824" w:rsidRDefault="006D258C">
      <w:pPr>
        <w:pStyle w:val="BodyText"/>
        <w:widowControl/>
        <w:kinsoku w:val="0"/>
        <w:overflowPunct w:val="0"/>
        <w:ind w:left="0"/>
        <w:rPr>
          <w:lang w:val="el-GR"/>
        </w:rPr>
      </w:pPr>
      <w:r>
        <w:rPr>
          <w:i/>
          <w:iCs/>
          <w:lang w:val="el-GR"/>
        </w:rPr>
        <w:t>Παιδιατρική ελκώδης κολίτιδα</w:t>
      </w:r>
    </w:p>
    <w:p w14:paraId="0796113E" w14:textId="77777777" w:rsidR="00171824" w:rsidRDefault="00171824">
      <w:pPr>
        <w:pStyle w:val="BodyText"/>
        <w:widowControl/>
        <w:kinsoku w:val="0"/>
        <w:overflowPunct w:val="0"/>
        <w:ind w:left="0"/>
        <w:rPr>
          <w:lang w:val="el-GR"/>
        </w:rPr>
      </w:pPr>
    </w:p>
    <w:p w14:paraId="2320351E" w14:textId="77777777" w:rsidR="00171824" w:rsidRDefault="006D258C">
      <w:pPr>
        <w:pStyle w:val="BodyText"/>
        <w:widowControl/>
        <w:kinsoku w:val="0"/>
        <w:overflowPunct w:val="0"/>
        <w:ind w:left="0"/>
        <w:rPr>
          <w:lang w:val="el-GR"/>
        </w:rPr>
      </w:pPr>
      <w:r>
        <w:rPr>
          <w:lang w:val="el-GR"/>
        </w:rPr>
        <w:t xml:space="preserve">Η ασφάλεια και η αποτελεσματικότητα του adalimumab αξιολογήθηκαν σε μια πολυκεντρική, τυχαιοποιημένη, διπλά τυφλή δοκιμή σε 93 παιδιατρικούς ασθενείς ηλικίας από 5 έως 17 ετών με μέτρια έως σοβαρή ενεργό ελκώδη κολίτιδα (βαθμολογία Mayo 6 έως 12 με υποβαθμολογία ενδοσκόπησης από 2 έως 3 βαθμούς, επιβεβαιωμένη μέσω κεντρικής ερμηνείας της ενδοσκόπησης), οι οποίοι είχαν ανεπαρκή ανταπόκριση ή δυσανεξία στη συμβατική θεραπεία. Περίπου το 16% των ασθενών στη μελέτη είχαν αποτύχει σε προηγούμενη αντι-TNF θεραπεία. Στους ασθενείς που λάμβαναν κορτικοστεροειδή κατά την εισαγωγή στη μελέτη, επιτράπηκε η σταδιακή μείωση της θεραπείας με κορτικοστεροειδή μετά την εβδομάδα 4. </w:t>
      </w:r>
    </w:p>
    <w:p w14:paraId="25A27F37" w14:textId="77777777" w:rsidR="00171824" w:rsidRDefault="00171824">
      <w:pPr>
        <w:pStyle w:val="BodyText"/>
        <w:keepNext/>
        <w:widowControl/>
        <w:kinsoku w:val="0"/>
        <w:overflowPunct w:val="0"/>
        <w:ind w:left="0"/>
        <w:rPr>
          <w:lang w:val="el-GR"/>
        </w:rPr>
      </w:pPr>
    </w:p>
    <w:p w14:paraId="65F7271D" w14:textId="77777777" w:rsidR="00171824" w:rsidRDefault="006D258C">
      <w:pPr>
        <w:pStyle w:val="BodyText"/>
        <w:widowControl/>
        <w:kinsoku w:val="0"/>
        <w:overflowPunct w:val="0"/>
        <w:ind w:left="0"/>
        <w:rPr>
          <w:lang w:val="el-GR"/>
        </w:rPr>
      </w:pPr>
      <w:r>
        <w:rPr>
          <w:lang w:val="el-GR"/>
        </w:rPr>
        <w:t>Στην περίοδο αρχικής δόσης της μελέτης, 77 ασθενείς τυχαιοποιήθηκαν με αναλογία 3:2 στη λήψη διπλά τυφλής θεραπείας με adalimumab σε αρχική δόση 2,4 mg/kg (μέγιστη δόση 160 mg) την εβδομάδα 0 και την εβδομάδα 1, και 1,2 mg/kg (μέγιστη δόση 80 mg) την εβδομάδα 2, ή αρχική δόση 2,4 mg/kg (μέγιστη δόση 160 mg) την εβδομάδα 0, εικονικό φάρμακο την εβδομάδα 1 και 1,2 mg/kg (μέγιστη δόση 80 mg) την εβδομάδα 2. Αμφότερες οι ομάδες έλαβαν 0,6 mg/kg (μέγιστη δόση 40 mg) την εβδομάδα 4 και την εβδομάδα 6. Μετά από τροποποίηση στον σχεδιασμό της μελέτης, οι υπόλοιποι 16 ασθενείς που εγγράφηκαν στην αρχική περίοδο έλαβαν ανοικτή θεραπεία με adalimumab στην αρχική δόση των 2,4 mg/kg (μέγιστη δόση 160 mg) την εβδομάδα 0 και την εβδομάδα 1, και 1,2 mg/kg (μέγιστη δόση 80 mg) την εβδομάδα 2.</w:t>
      </w:r>
    </w:p>
    <w:p w14:paraId="55A45DF9" w14:textId="77777777" w:rsidR="00171824" w:rsidRDefault="00171824">
      <w:pPr>
        <w:pStyle w:val="BodyText"/>
        <w:widowControl/>
        <w:kinsoku w:val="0"/>
        <w:overflowPunct w:val="0"/>
        <w:ind w:left="0"/>
        <w:rPr>
          <w:lang w:val="el-GR"/>
        </w:rPr>
      </w:pPr>
    </w:p>
    <w:p w14:paraId="1DB5FC84" w14:textId="77777777" w:rsidR="00171824" w:rsidRDefault="006D258C">
      <w:pPr>
        <w:pStyle w:val="BodyText"/>
        <w:widowControl/>
        <w:kinsoku w:val="0"/>
        <w:overflowPunct w:val="0"/>
        <w:ind w:left="0"/>
        <w:rPr>
          <w:lang w:val="el-GR"/>
        </w:rPr>
      </w:pPr>
      <w:r>
        <w:rPr>
          <w:lang w:val="el-GR"/>
        </w:rPr>
        <w:t>Την εβδομάδα 8, 62 ασθενείς που επέδειξαν κλινική ανταπόκριση κατά την επιμέρους βαθμολογία Mayo (PMS, οριζόμενη ως μείωση της PMS ≥ 2 βαθμούς και ≥ 30% σε σχέση με τα αρχικά επίπεδα) τυχαιοποιήθηκαν ισομερώς στη λήψη διπλά τυφλής θεραπείας συντήρησης με adalimumab σε δόση 0,6 mg/kg (μέγιστη δόση 40 mg) κάθε εβδομάδα ή δόσης συντήρησης 0,6 mg/kg (μέγιστη δόση 40 mg) κάθε δεύτερη εβδομάδα. Πριν από την τροποποίηση στον σχεδιασμό της μελέτης, 12 ακόμα ασθενείς που επέδειξαν κλινική ανταπόκριση κατά PMS τυχαιοποιήθηκαν στη λήψη εικονικού φαρμάκου, αλλά δεν συμπεριλήφθηκαν στην επιβεβαιωτική ανάλυση αποτελεσματικότητας.</w:t>
      </w:r>
    </w:p>
    <w:p w14:paraId="69A50C5F" w14:textId="77777777" w:rsidR="00171824" w:rsidRDefault="00171824">
      <w:pPr>
        <w:pStyle w:val="BodyText"/>
        <w:widowControl/>
        <w:kinsoku w:val="0"/>
        <w:overflowPunct w:val="0"/>
        <w:ind w:left="0"/>
        <w:rPr>
          <w:lang w:val="el-GR"/>
        </w:rPr>
      </w:pPr>
    </w:p>
    <w:p w14:paraId="7BD89018" w14:textId="77777777" w:rsidR="00171824" w:rsidRDefault="006D258C">
      <w:pPr>
        <w:pStyle w:val="BodyText"/>
        <w:widowControl/>
        <w:kinsoku w:val="0"/>
        <w:overflowPunct w:val="0"/>
        <w:ind w:left="0"/>
        <w:rPr>
          <w:lang w:val="el-GR"/>
        </w:rPr>
      </w:pPr>
      <w:r>
        <w:rPr>
          <w:lang w:val="el-GR"/>
        </w:rPr>
        <w:t>Ως έξαρση της νόσου ορίστηκε αύξηση στην PMS τουλάχιστον 3 βαθμών (για ασθενείς με PMS 0 έως 2 την εβδομάδα 8), τουλάχιστον 2 βαθμών (για ασθενείς με PMS 3 έως 4 την εβδομάδα 8) ή τουλάχιστον 1 βαθμού (για ασθενείς με PMS 5 έως 6 την εβδομάδα 8).</w:t>
      </w:r>
    </w:p>
    <w:p w14:paraId="3E1CE506" w14:textId="77777777" w:rsidR="00171824" w:rsidRDefault="00171824">
      <w:pPr>
        <w:pStyle w:val="BodyText"/>
        <w:widowControl/>
        <w:kinsoku w:val="0"/>
        <w:overflowPunct w:val="0"/>
        <w:ind w:left="0"/>
        <w:rPr>
          <w:lang w:val="el-GR"/>
        </w:rPr>
      </w:pPr>
    </w:p>
    <w:p w14:paraId="758AFE34" w14:textId="77777777" w:rsidR="00171824" w:rsidRDefault="006D258C">
      <w:pPr>
        <w:pStyle w:val="BodyText"/>
        <w:widowControl/>
        <w:kinsoku w:val="0"/>
        <w:overflowPunct w:val="0"/>
        <w:ind w:left="0"/>
        <w:rPr>
          <w:lang w:val="el-GR"/>
        </w:rPr>
      </w:pPr>
      <w:r>
        <w:rPr>
          <w:lang w:val="el-GR"/>
        </w:rPr>
        <w:t>Οι ασθενείς που πληρούσαν τα κριτήρια για την έξαρση της νόσου από την εβδομάδα 12 και μετά τυχαιοποιήθηκαν στη λήψη νέας αρχικής δόσης 2,4 mg/kg (μέγιστη δόση 160 mg) ή δόσης 0,6 mg/kg (μέγιστη δόση 40 mg) και συνέχισαν να λαμβάνουν το αντίστοιχο σχήμα δόσης συντήρησης εφεξής.</w:t>
      </w:r>
    </w:p>
    <w:p w14:paraId="704707B9" w14:textId="77777777" w:rsidR="00171824" w:rsidRDefault="00171824">
      <w:pPr>
        <w:pStyle w:val="BodyText"/>
        <w:widowControl/>
        <w:kinsoku w:val="0"/>
        <w:overflowPunct w:val="0"/>
        <w:ind w:left="0"/>
        <w:rPr>
          <w:lang w:val="el-GR"/>
        </w:rPr>
      </w:pPr>
    </w:p>
    <w:p w14:paraId="700047B4" w14:textId="77777777" w:rsidR="00171824" w:rsidRDefault="006D258C">
      <w:pPr>
        <w:pStyle w:val="BodyText"/>
        <w:widowControl/>
        <w:kinsoku w:val="0"/>
        <w:overflowPunct w:val="0"/>
        <w:ind w:left="0"/>
        <w:rPr>
          <w:lang w:val="el-GR"/>
        </w:rPr>
      </w:pPr>
      <w:r>
        <w:rPr>
          <w:i/>
          <w:iCs/>
          <w:lang w:val="el-GR"/>
        </w:rPr>
        <w:t>Αποτελέσματα αναφορικά με την αποτελεσματικότητα</w:t>
      </w:r>
    </w:p>
    <w:p w14:paraId="55CBBC33" w14:textId="77777777" w:rsidR="00171824" w:rsidRDefault="00171824">
      <w:pPr>
        <w:pStyle w:val="BodyText"/>
        <w:widowControl/>
        <w:kinsoku w:val="0"/>
        <w:overflowPunct w:val="0"/>
        <w:ind w:left="0"/>
        <w:rPr>
          <w:lang w:val="el-GR"/>
        </w:rPr>
      </w:pPr>
    </w:p>
    <w:p w14:paraId="03FFDB74" w14:textId="77777777" w:rsidR="00171824" w:rsidRDefault="006D258C">
      <w:pPr>
        <w:pStyle w:val="BodyText"/>
        <w:widowControl/>
        <w:kinsoku w:val="0"/>
        <w:overflowPunct w:val="0"/>
        <w:ind w:left="0"/>
        <w:rPr>
          <w:lang w:val="el-GR"/>
        </w:rPr>
      </w:pPr>
      <w:r>
        <w:rPr>
          <w:lang w:val="el-GR"/>
        </w:rPr>
        <w:t>Τα πρωτεύοντα καταληκτικά σημεία της μελέτης ήταν η κλινική ύφεση κατά PMS (οριζόμενη ως PMS ≤ 2 και χωρίς επιμέρους υποβαθμολογία &gt; 1) την εβδομάδα 8 και η κλινική ύφεση κατά FMS (πλήρης βαθμολογία Mayo) (οριζόμενη ως βαθμολογία Mayo ≤ 2 και χωρίς επιμέρους υποβαθμολογία &gt; 1) την εβδομάδα 52 στους ασθενείς που επέτυχαν κλινική ανταπόκριση κατά PMS την εβδομάδα 8.</w:t>
      </w:r>
    </w:p>
    <w:p w14:paraId="0992AC56" w14:textId="77777777" w:rsidR="00171824" w:rsidRDefault="00171824">
      <w:pPr>
        <w:pStyle w:val="BodyText"/>
        <w:widowControl/>
        <w:kinsoku w:val="0"/>
        <w:overflowPunct w:val="0"/>
        <w:ind w:left="0"/>
        <w:rPr>
          <w:lang w:val="el-GR"/>
        </w:rPr>
      </w:pPr>
    </w:p>
    <w:p w14:paraId="5AEA25C0" w14:textId="77777777" w:rsidR="00171824" w:rsidRDefault="006D258C">
      <w:pPr>
        <w:pStyle w:val="BodyText"/>
        <w:widowControl/>
        <w:kinsoku w:val="0"/>
        <w:overflowPunct w:val="0"/>
        <w:ind w:left="0"/>
        <w:rPr>
          <w:lang w:val="el-GR"/>
        </w:rPr>
      </w:pPr>
      <w:r>
        <w:rPr>
          <w:lang w:val="el-GR"/>
        </w:rPr>
        <w:t xml:space="preserve">Τα ποσοστά κλινικής ύφεσης κατά PMS την εβδομάδα 8 για τους ασθενείς σε έκαστη των δύο διπλά τυφλών ομάδων αρχικής δόσης του </w:t>
      </w:r>
      <w:r>
        <w:rPr>
          <w:color w:val="000000"/>
          <w:lang w:val="el-GR" w:eastAsia="en-GB"/>
        </w:rPr>
        <w:t>adalimumab</w:t>
      </w:r>
      <w:r>
        <w:rPr>
          <w:lang w:val="el-GR" w:eastAsia="en-GB"/>
        </w:rPr>
        <w:t xml:space="preserve"> </w:t>
      </w:r>
      <w:r>
        <w:rPr>
          <w:lang w:val="el-GR"/>
        </w:rPr>
        <w:t>παρέχονται στον Πίνακα 31.</w:t>
      </w:r>
    </w:p>
    <w:p w14:paraId="63B70DAA" w14:textId="77777777" w:rsidR="00171824" w:rsidRDefault="00171824">
      <w:pPr>
        <w:pStyle w:val="BodyText"/>
        <w:widowControl/>
        <w:kinsoku w:val="0"/>
        <w:overflowPunct w:val="0"/>
        <w:ind w:left="0"/>
        <w:rPr>
          <w:lang w:val="el-GR"/>
        </w:rPr>
      </w:pPr>
    </w:p>
    <w:p w14:paraId="00942793" w14:textId="77777777" w:rsidR="00171824" w:rsidRDefault="006D258C">
      <w:pPr>
        <w:pStyle w:val="BodyText"/>
        <w:keepNext/>
        <w:widowControl/>
        <w:kinsoku w:val="0"/>
        <w:overflowPunct w:val="0"/>
        <w:ind w:left="0"/>
        <w:rPr>
          <w:lang w:val="el-GR"/>
        </w:rPr>
      </w:pPr>
      <w:r>
        <w:rPr>
          <w:b/>
          <w:bCs/>
          <w:lang w:val="el-GR"/>
        </w:rPr>
        <w:t>Πίνακας 31. Κλινική ύφεση κατά PMS στις 8 εβδομάδες</w:t>
      </w:r>
    </w:p>
    <w:p w14:paraId="4EBEECB2" w14:textId="77777777" w:rsidR="00171824" w:rsidRDefault="00171824">
      <w:pPr>
        <w:pStyle w:val="BodyText"/>
        <w:keepNext/>
        <w:widowControl/>
        <w:kinsoku w:val="0"/>
        <w:overflowPunct w:val="0"/>
        <w:ind w:left="0"/>
        <w:rPr>
          <w:i/>
          <w:iCs/>
          <w:lang w:val="el-GR"/>
        </w:rPr>
      </w:pPr>
    </w:p>
    <w:tbl>
      <w:tblPr>
        <w:tblW w:w="4904" w:type="pct"/>
        <w:tblInd w:w="15" w:type="dxa"/>
        <w:tblLayout w:type="fixed"/>
        <w:tblLook w:val="04A0" w:firstRow="1" w:lastRow="0" w:firstColumn="1" w:lastColumn="0" w:noHBand="0" w:noVBand="1"/>
      </w:tblPr>
      <w:tblGrid>
        <w:gridCol w:w="1692"/>
        <w:gridCol w:w="3949"/>
        <w:gridCol w:w="3240"/>
      </w:tblGrid>
      <w:tr w:rsidR="00171824" w14:paraId="68B4B629" w14:textId="77777777">
        <w:trPr>
          <w:cantSplit/>
        </w:trPr>
        <w:tc>
          <w:tcPr>
            <w:tcW w:w="1701"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D8B4EA5" w14:textId="77777777" w:rsidR="00171824" w:rsidRDefault="00171824">
            <w:pPr>
              <w:keepNext/>
              <w:widowControl/>
              <w:tabs>
                <w:tab w:val="left" w:pos="567"/>
              </w:tabs>
              <w:autoSpaceDE/>
              <w:autoSpaceDN/>
              <w:adjustRightInd/>
              <w:rPr>
                <w:sz w:val="22"/>
                <w:szCs w:val="22"/>
                <w:lang w:val="el-GR"/>
              </w:rPr>
            </w:pPr>
          </w:p>
        </w:tc>
        <w:tc>
          <w:tcPr>
            <w:tcW w:w="3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3454D70D" w14:textId="77777777" w:rsidR="00171824" w:rsidRDefault="006D258C">
            <w:pPr>
              <w:keepNext/>
              <w:widowControl/>
              <w:autoSpaceDE/>
              <w:autoSpaceDN/>
              <w:adjustRightInd/>
              <w:jc w:val="center"/>
              <w:textAlignment w:val="baseline"/>
              <w:rPr>
                <w:b/>
                <w:bCs/>
                <w:sz w:val="22"/>
                <w:szCs w:val="22"/>
                <w:lang w:val="el-GR"/>
              </w:rPr>
            </w:pPr>
            <w:r>
              <w:rPr>
                <w:b/>
                <w:bCs/>
                <w:color w:val="000000"/>
                <w:sz w:val="22"/>
                <w:szCs w:val="22"/>
                <w:lang w:val="el-GR" w:eastAsia="en-GB"/>
              </w:rPr>
              <w:t>Adalimumab</w:t>
            </w:r>
            <w:r>
              <w:rPr>
                <w:b/>
                <w:bCs/>
                <w:sz w:val="22"/>
                <w:szCs w:val="22"/>
                <w:vertAlign w:val="superscript"/>
                <w:lang w:val="el-GR"/>
              </w:rPr>
              <w:t>α</w:t>
            </w:r>
          </w:p>
          <w:p w14:paraId="35CACFA9" w14:textId="77777777" w:rsidR="00171824" w:rsidRDefault="006D258C">
            <w:pPr>
              <w:keepNext/>
              <w:widowControl/>
              <w:tabs>
                <w:tab w:val="left" w:pos="567"/>
              </w:tabs>
              <w:autoSpaceDE/>
              <w:autoSpaceDN/>
              <w:adjustRightInd/>
              <w:jc w:val="center"/>
              <w:rPr>
                <w:b/>
                <w:bCs/>
                <w:sz w:val="22"/>
                <w:szCs w:val="22"/>
                <w:lang w:val="el-GR"/>
              </w:rPr>
            </w:pPr>
            <w:r>
              <w:rPr>
                <w:b/>
                <w:bCs/>
                <w:sz w:val="22"/>
                <w:szCs w:val="22"/>
                <w:lang w:val="el-GR"/>
              </w:rPr>
              <w:t>Μέγιστη δόση 160 mg την εβδομάδα 0/Εικονικό φάρμακο την εβδομάδα 1</w:t>
            </w:r>
          </w:p>
          <w:p w14:paraId="408D5A3D" w14:textId="77777777" w:rsidR="00171824" w:rsidRDefault="006D258C">
            <w:pPr>
              <w:keepNext/>
              <w:widowControl/>
              <w:tabs>
                <w:tab w:val="left" w:pos="567"/>
              </w:tabs>
              <w:autoSpaceDE/>
              <w:autoSpaceDN/>
              <w:adjustRightInd/>
              <w:jc w:val="center"/>
              <w:rPr>
                <w:b/>
                <w:bCs/>
                <w:sz w:val="22"/>
                <w:szCs w:val="22"/>
                <w:lang w:val="el-GR"/>
              </w:rPr>
            </w:pPr>
            <w:r>
              <w:rPr>
                <w:b/>
                <w:bCs/>
                <w:sz w:val="22"/>
                <w:szCs w:val="22"/>
                <w:lang w:val="el-GR"/>
              </w:rPr>
              <w:t>N = 30</w:t>
            </w:r>
          </w:p>
        </w:tc>
        <w:tc>
          <w:tcPr>
            <w:tcW w:w="325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09CBB9D2" w14:textId="77777777" w:rsidR="00171824" w:rsidRDefault="006D258C">
            <w:pPr>
              <w:keepNext/>
              <w:widowControl/>
              <w:autoSpaceDE/>
              <w:autoSpaceDN/>
              <w:adjustRightInd/>
              <w:jc w:val="center"/>
              <w:textAlignment w:val="baseline"/>
              <w:rPr>
                <w:b/>
                <w:bCs/>
                <w:sz w:val="22"/>
                <w:szCs w:val="22"/>
                <w:lang w:val="el-GR"/>
              </w:rPr>
            </w:pPr>
            <w:r>
              <w:rPr>
                <w:b/>
                <w:bCs/>
                <w:color w:val="000000"/>
                <w:sz w:val="22"/>
                <w:szCs w:val="22"/>
                <w:lang w:val="el-GR" w:eastAsia="en-GB"/>
              </w:rPr>
              <w:t>Adalimumab</w:t>
            </w:r>
            <w:r>
              <w:rPr>
                <w:b/>
                <w:bCs/>
                <w:sz w:val="22"/>
                <w:szCs w:val="22"/>
                <w:vertAlign w:val="superscript"/>
                <w:lang w:val="el-GR"/>
              </w:rPr>
              <w:t>β, γ</w:t>
            </w:r>
          </w:p>
          <w:p w14:paraId="67A450BA" w14:textId="77777777" w:rsidR="00171824" w:rsidRDefault="006D258C">
            <w:pPr>
              <w:keepNext/>
              <w:widowControl/>
              <w:tabs>
                <w:tab w:val="left" w:pos="567"/>
              </w:tabs>
              <w:autoSpaceDE/>
              <w:autoSpaceDN/>
              <w:adjustRightInd/>
              <w:jc w:val="center"/>
              <w:rPr>
                <w:b/>
                <w:bCs/>
                <w:sz w:val="22"/>
                <w:szCs w:val="22"/>
                <w:lang w:val="el-GR"/>
              </w:rPr>
            </w:pPr>
            <w:r>
              <w:rPr>
                <w:b/>
                <w:bCs/>
                <w:sz w:val="22"/>
                <w:szCs w:val="22"/>
                <w:lang w:val="el-GR"/>
              </w:rPr>
              <w:t>Μέγιστη δόση 160 mg την εβδομάδα 0 και την εβδομάδα 1</w:t>
            </w:r>
          </w:p>
          <w:p w14:paraId="25B9EC8D" w14:textId="77777777" w:rsidR="00171824" w:rsidRDefault="006D258C">
            <w:pPr>
              <w:keepNext/>
              <w:widowControl/>
              <w:tabs>
                <w:tab w:val="left" w:pos="567"/>
              </w:tabs>
              <w:autoSpaceDE/>
              <w:autoSpaceDN/>
              <w:adjustRightInd/>
              <w:jc w:val="center"/>
              <w:rPr>
                <w:b/>
                <w:bCs/>
                <w:sz w:val="22"/>
                <w:szCs w:val="22"/>
                <w:lang w:val="el-GR"/>
              </w:rPr>
            </w:pPr>
            <w:r>
              <w:rPr>
                <w:b/>
                <w:bCs/>
                <w:sz w:val="22"/>
                <w:szCs w:val="22"/>
                <w:lang w:val="el-GR"/>
              </w:rPr>
              <w:t>N = 47</w:t>
            </w:r>
          </w:p>
        </w:tc>
      </w:tr>
      <w:tr w:rsidR="00171824" w14:paraId="6BFDFA33" w14:textId="77777777">
        <w:trPr>
          <w:cantSplit/>
        </w:trPr>
        <w:tc>
          <w:tcPr>
            <w:tcW w:w="1701"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77BD3408" w14:textId="77777777" w:rsidR="00171824" w:rsidRDefault="006D258C">
            <w:pPr>
              <w:keepNext/>
              <w:widowControl/>
              <w:autoSpaceDE/>
              <w:autoSpaceDN/>
              <w:adjustRightInd/>
              <w:rPr>
                <w:sz w:val="22"/>
                <w:szCs w:val="22"/>
                <w:lang w:val="el-GR"/>
              </w:rPr>
            </w:pPr>
            <w:r>
              <w:rPr>
                <w:sz w:val="22"/>
                <w:szCs w:val="22"/>
                <w:lang w:val="el-GR"/>
              </w:rPr>
              <w:t>Κλινική ύφεση</w:t>
            </w:r>
          </w:p>
        </w:tc>
        <w:tc>
          <w:tcPr>
            <w:tcW w:w="396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308221C0" w14:textId="77777777" w:rsidR="00171824" w:rsidRDefault="006D258C">
            <w:pPr>
              <w:keepNext/>
              <w:widowControl/>
              <w:tabs>
                <w:tab w:val="left" w:pos="567"/>
              </w:tabs>
              <w:autoSpaceDE/>
              <w:autoSpaceDN/>
              <w:adjustRightInd/>
              <w:jc w:val="center"/>
              <w:rPr>
                <w:sz w:val="22"/>
                <w:szCs w:val="22"/>
                <w:lang w:val="el-GR"/>
              </w:rPr>
            </w:pPr>
            <w:r>
              <w:rPr>
                <w:sz w:val="22"/>
                <w:szCs w:val="22"/>
                <w:lang w:val="el-GR"/>
              </w:rPr>
              <w:t>13/30 (43,3%)</w:t>
            </w:r>
          </w:p>
        </w:tc>
        <w:tc>
          <w:tcPr>
            <w:tcW w:w="325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0B558C8F" w14:textId="77777777" w:rsidR="00171824" w:rsidRDefault="006D258C">
            <w:pPr>
              <w:keepNext/>
              <w:widowControl/>
              <w:tabs>
                <w:tab w:val="left" w:pos="567"/>
              </w:tabs>
              <w:autoSpaceDE/>
              <w:autoSpaceDN/>
              <w:adjustRightInd/>
              <w:jc w:val="center"/>
              <w:rPr>
                <w:sz w:val="22"/>
                <w:szCs w:val="22"/>
                <w:vertAlign w:val="superscript"/>
                <w:lang w:val="el-GR"/>
              </w:rPr>
            </w:pPr>
            <w:r>
              <w:rPr>
                <w:sz w:val="22"/>
                <w:szCs w:val="22"/>
                <w:lang w:val="el-GR"/>
              </w:rPr>
              <w:t>28/47 (59,6%)</w:t>
            </w:r>
          </w:p>
        </w:tc>
      </w:tr>
      <w:tr w:rsidR="00171824" w:rsidRPr="00422380" w14:paraId="754EE89D" w14:textId="77777777">
        <w:trPr>
          <w:cantSplit/>
        </w:trPr>
        <w:tc>
          <w:tcPr>
            <w:tcW w:w="8926" w:type="dxa"/>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097475D6" w14:textId="77777777" w:rsidR="00171824" w:rsidRDefault="006D258C">
            <w:pPr>
              <w:keepNext/>
              <w:widowControl/>
              <w:autoSpaceDE/>
              <w:autoSpaceDN/>
              <w:adjustRightInd/>
              <w:textAlignment w:val="baseline"/>
              <w:rPr>
                <w:sz w:val="20"/>
                <w:szCs w:val="20"/>
                <w:lang w:val="el-GR"/>
              </w:rPr>
            </w:pPr>
            <w:r>
              <w:rPr>
                <w:sz w:val="20"/>
                <w:szCs w:val="20"/>
                <w:vertAlign w:val="superscript"/>
                <w:lang w:val="el-GR"/>
              </w:rPr>
              <w:t>α </w:t>
            </w:r>
            <w:r>
              <w:rPr>
                <w:color w:val="000000"/>
                <w:sz w:val="20"/>
                <w:szCs w:val="20"/>
                <w:lang w:val="el-GR" w:eastAsia="en-GB"/>
              </w:rPr>
              <w:t>Adalimumab</w:t>
            </w:r>
            <w:r>
              <w:rPr>
                <w:sz w:val="20"/>
                <w:szCs w:val="20"/>
                <w:lang w:val="el-GR"/>
              </w:rPr>
              <w:t> 2,4 mg/kg (μέγιστη δόση 160 mg) την εβδομάδα 0, εικονικό φάρμακο την εβδομάδα 1 και 1,2 mg/kg (μέγιστη δόση 80 mg) την εβδομάδα 2 </w:t>
            </w:r>
          </w:p>
          <w:p w14:paraId="53D9373B" w14:textId="77777777" w:rsidR="00171824" w:rsidRDefault="006D258C">
            <w:pPr>
              <w:keepNext/>
              <w:widowControl/>
              <w:autoSpaceDE/>
              <w:autoSpaceDN/>
              <w:adjustRightInd/>
              <w:textAlignment w:val="baseline"/>
              <w:rPr>
                <w:sz w:val="20"/>
                <w:szCs w:val="20"/>
                <w:lang w:val="el-GR"/>
              </w:rPr>
            </w:pPr>
            <w:r>
              <w:rPr>
                <w:sz w:val="20"/>
                <w:szCs w:val="20"/>
                <w:vertAlign w:val="superscript"/>
                <w:lang w:val="el-GR"/>
              </w:rPr>
              <w:t>β </w:t>
            </w:r>
            <w:r>
              <w:rPr>
                <w:color w:val="000000"/>
                <w:sz w:val="20"/>
                <w:szCs w:val="20"/>
                <w:lang w:val="el-GR" w:eastAsia="en-GB"/>
              </w:rPr>
              <w:t>Adalimumab</w:t>
            </w:r>
            <w:r>
              <w:rPr>
                <w:sz w:val="20"/>
                <w:szCs w:val="20"/>
                <w:lang w:val="el-GR"/>
              </w:rPr>
              <w:t> 2,4 mg/kg (μέγιστη δόση 160 mg) την εβδομάδα 0 και την εβδομάδα 1, και 1,2 mg/kg (μέγιστη δόση 80 mg) την εβδομάδα 2 </w:t>
            </w:r>
          </w:p>
          <w:p w14:paraId="4F28BDE1" w14:textId="77777777" w:rsidR="00171824" w:rsidRDefault="006D258C">
            <w:pPr>
              <w:keepNext/>
              <w:widowControl/>
              <w:autoSpaceDE/>
              <w:autoSpaceDN/>
              <w:adjustRightInd/>
              <w:textAlignment w:val="baseline"/>
              <w:rPr>
                <w:sz w:val="20"/>
                <w:szCs w:val="20"/>
                <w:lang w:val="el-GR"/>
              </w:rPr>
            </w:pPr>
            <w:r>
              <w:rPr>
                <w:sz w:val="20"/>
                <w:szCs w:val="20"/>
                <w:vertAlign w:val="superscript"/>
                <w:lang w:val="el-GR"/>
              </w:rPr>
              <w:t>γ </w:t>
            </w:r>
            <w:r>
              <w:rPr>
                <w:sz w:val="20"/>
                <w:szCs w:val="20"/>
                <w:lang w:val="el-GR"/>
              </w:rPr>
              <w:t xml:space="preserve">Μη συμπεριλαμβανομένης της ανοικτής αρχικής δόσης </w:t>
            </w:r>
            <w:r>
              <w:rPr>
                <w:color w:val="000000"/>
                <w:sz w:val="20"/>
                <w:szCs w:val="20"/>
                <w:lang w:val="el-GR" w:eastAsia="en-GB"/>
              </w:rPr>
              <w:t>adalimumab</w:t>
            </w:r>
            <w:r>
              <w:rPr>
                <w:sz w:val="20"/>
                <w:szCs w:val="20"/>
                <w:lang w:val="el-GR"/>
              </w:rPr>
              <w:t> 2,4 mg/kg (μέγιστη δόση 160 mg) την εβδομάδα 0 και την εβδομάδα 1 και 1,2 mg/kg (μέγιστη δόση 80 mg) την εβδομάδα 2</w:t>
            </w:r>
          </w:p>
          <w:p w14:paraId="69094CB5" w14:textId="77777777" w:rsidR="00171824" w:rsidRDefault="006D258C">
            <w:pPr>
              <w:keepNext/>
              <w:widowControl/>
              <w:autoSpaceDE/>
              <w:autoSpaceDN/>
              <w:adjustRightInd/>
              <w:textAlignment w:val="baseline"/>
              <w:rPr>
                <w:sz w:val="20"/>
                <w:szCs w:val="20"/>
                <w:lang w:val="el-GR"/>
              </w:rPr>
            </w:pPr>
            <w:r>
              <w:rPr>
                <w:sz w:val="20"/>
                <w:szCs w:val="20"/>
                <w:lang w:val="el-GR"/>
              </w:rPr>
              <w:t>Σημείωση 1: Αμφότερες οι ομάδες αρχικής δόσης έλαβαν 0,6 mg/kg (μέγιστη δόση 40 mg) την εβδομάδα 4 και την εβδομάδα 6 </w:t>
            </w:r>
          </w:p>
          <w:p w14:paraId="24D0B225" w14:textId="77777777" w:rsidR="00171824" w:rsidRDefault="006D258C">
            <w:pPr>
              <w:keepNext/>
              <w:widowControl/>
              <w:tabs>
                <w:tab w:val="left" w:pos="567"/>
              </w:tabs>
              <w:autoSpaceDE/>
              <w:autoSpaceDN/>
              <w:adjustRightInd/>
              <w:rPr>
                <w:sz w:val="20"/>
                <w:szCs w:val="20"/>
                <w:lang w:val="el-GR"/>
              </w:rPr>
            </w:pPr>
            <w:r>
              <w:rPr>
                <w:sz w:val="20"/>
                <w:szCs w:val="20"/>
                <w:lang w:val="el-GR"/>
              </w:rPr>
              <w:t>Σημείωση 2: Οι ασθενείς με ελλείπουσες τιμές την εβδομάδα 8 θεωρήθηκε ότι δεν πληρούσαν το καταληκτικό σημείο</w:t>
            </w:r>
          </w:p>
        </w:tc>
      </w:tr>
    </w:tbl>
    <w:p w14:paraId="6F3ED18F" w14:textId="77777777" w:rsidR="00171824" w:rsidRDefault="00171824">
      <w:pPr>
        <w:pStyle w:val="BodyText"/>
        <w:widowControl/>
        <w:kinsoku w:val="0"/>
        <w:overflowPunct w:val="0"/>
        <w:ind w:left="0"/>
        <w:rPr>
          <w:lang w:val="el-GR"/>
        </w:rPr>
      </w:pPr>
    </w:p>
    <w:p w14:paraId="57FA44F9" w14:textId="77777777" w:rsidR="00171824" w:rsidRDefault="006D258C">
      <w:pPr>
        <w:pStyle w:val="BodyText"/>
        <w:keepNext/>
        <w:keepLines/>
        <w:widowControl/>
        <w:kinsoku w:val="0"/>
        <w:overflowPunct w:val="0"/>
        <w:ind w:left="0"/>
        <w:rPr>
          <w:lang w:val="el-GR"/>
        </w:rPr>
      </w:pPr>
      <w:r>
        <w:rPr>
          <w:lang w:val="el-GR"/>
        </w:rPr>
        <w:lastRenderedPageBreak/>
        <w:t>Την εβδομάδα 52, αξιολογήθηκε η κλινική ύφεση κατά FMS στους ασθενείς που είχαν ανταπόκριση την εβδομάδα 8, η κλινική ύφεση κατά FMS (οριζόμενη ως μείωση στη βαθμολογία Mayo ≥ 3 βαθμούς και ≥ 30% από τις αρχικές τιμές) στους ασθενείς που είχαν ανταπόκριση την εβδομάδα 8, η επούλωση του βλεννογόνου κατά FMS (οριζόμενη ως βαθμολογία ενδοσκόπησης Mayo ≤ 1) στους ασθενείς που είχαν ανταπόκριση την εβδομάδα 8, η κλινική ύφεση κατά FMS στους ασθενείς που παρουσίαζαν ύφεση την εβδομάδα 8 και το ποσοστό ασθενών σε ύφεση χωρίς κορτικοστεροειδή κατά FMS στους ασθενείς που είχαν ανταπόκριση την εβδομάδα 8, σε ασθενείς που έλαβαν adalimumab στις διπλά τυφλές μέγιστες δόσεις συντήρησης των 40 mg κάθε δεύτερη εβδομάδα (0,6 mg/kg) και των 40 mg κάθε εβδομάδα (0,6 mg/kg) (Πίνακας 32).</w:t>
      </w:r>
    </w:p>
    <w:p w14:paraId="3734DF32" w14:textId="77777777" w:rsidR="00171824" w:rsidRDefault="00171824">
      <w:pPr>
        <w:pStyle w:val="BodyText"/>
        <w:widowControl/>
        <w:kinsoku w:val="0"/>
        <w:overflowPunct w:val="0"/>
        <w:ind w:left="0"/>
        <w:rPr>
          <w:lang w:val="el-GR"/>
        </w:rPr>
      </w:pPr>
    </w:p>
    <w:p w14:paraId="026359BC" w14:textId="77777777" w:rsidR="00171824" w:rsidRDefault="006D258C">
      <w:pPr>
        <w:pStyle w:val="BodyText"/>
        <w:keepNext/>
        <w:widowControl/>
        <w:kinsoku w:val="0"/>
        <w:overflowPunct w:val="0"/>
        <w:ind w:left="0"/>
        <w:rPr>
          <w:lang w:val="el-GR"/>
        </w:rPr>
      </w:pPr>
      <w:r>
        <w:rPr>
          <w:b/>
          <w:bCs/>
          <w:lang w:val="el-GR"/>
        </w:rPr>
        <w:t>Πίνακας 32. Αποτελέσματα αναφορικά με την αποτελεσματικότητα στις 52 εβδομάδες</w:t>
      </w:r>
    </w:p>
    <w:p w14:paraId="3876293C" w14:textId="77777777" w:rsidR="00171824" w:rsidRDefault="00171824">
      <w:pPr>
        <w:pStyle w:val="BodyText"/>
        <w:keepNext/>
        <w:widowControl/>
        <w:kinsoku w:val="0"/>
        <w:overflowPunct w:val="0"/>
        <w:ind w:left="0"/>
        <w:rPr>
          <w:lang w:val="el-GR"/>
        </w:rPr>
      </w:pPr>
    </w:p>
    <w:tbl>
      <w:tblPr>
        <w:tblW w:w="9072" w:type="dxa"/>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3402"/>
        <w:gridCol w:w="2835"/>
        <w:gridCol w:w="2835"/>
      </w:tblGrid>
      <w:tr w:rsidR="00171824" w14:paraId="71C4F73D" w14:textId="77777777">
        <w:trPr>
          <w:cantSplit/>
          <w:trHeight w:val="912"/>
        </w:trPr>
        <w:tc>
          <w:tcPr>
            <w:tcW w:w="3402" w:type="dxa"/>
            <w:tcBorders>
              <w:top w:val="single" w:sz="6" w:space="0" w:color="auto"/>
              <w:left w:val="single" w:sz="6" w:space="0" w:color="auto"/>
              <w:bottom w:val="single" w:sz="6" w:space="0" w:color="auto"/>
              <w:right w:val="single" w:sz="6" w:space="0" w:color="auto"/>
            </w:tcBorders>
          </w:tcPr>
          <w:p w14:paraId="2818B586" w14:textId="77777777" w:rsidR="00171824" w:rsidRDefault="00171824">
            <w:pPr>
              <w:keepNext/>
              <w:widowControl/>
              <w:tabs>
                <w:tab w:val="left" w:pos="567"/>
              </w:tabs>
              <w:autoSpaceDE/>
              <w:autoSpaceDN/>
              <w:adjustRightInd/>
              <w:textAlignment w:val="baseline"/>
              <w:rPr>
                <w:sz w:val="22"/>
                <w:szCs w:val="20"/>
                <w:lang w:val="el-GR" w:eastAsia="en-GB"/>
              </w:rPr>
            </w:pPr>
          </w:p>
        </w:tc>
        <w:tc>
          <w:tcPr>
            <w:tcW w:w="2835" w:type="dxa"/>
            <w:tcBorders>
              <w:top w:val="single" w:sz="6" w:space="0" w:color="auto"/>
              <w:left w:val="nil"/>
              <w:bottom w:val="single" w:sz="6" w:space="0" w:color="auto"/>
              <w:right w:val="single" w:sz="6" w:space="0" w:color="auto"/>
            </w:tcBorders>
          </w:tcPr>
          <w:p w14:paraId="56F88E2D" w14:textId="77777777" w:rsidR="00171824" w:rsidRDefault="006D258C">
            <w:pPr>
              <w:widowControl/>
              <w:tabs>
                <w:tab w:val="left" w:pos="567"/>
              </w:tabs>
              <w:autoSpaceDE/>
              <w:autoSpaceDN/>
              <w:adjustRightInd/>
              <w:jc w:val="center"/>
              <w:textAlignment w:val="baseline"/>
              <w:rPr>
                <w:b/>
                <w:bCs/>
                <w:sz w:val="22"/>
                <w:szCs w:val="20"/>
                <w:lang w:val="el-GR"/>
              </w:rPr>
            </w:pPr>
            <w:r>
              <w:rPr>
                <w:b/>
                <w:bCs/>
                <w:color w:val="000000"/>
                <w:sz w:val="22"/>
                <w:szCs w:val="22"/>
                <w:lang w:val="el-GR" w:eastAsia="en-GB"/>
              </w:rPr>
              <w:t>Adalimumab</w:t>
            </w:r>
            <w:r>
              <w:rPr>
                <w:b/>
                <w:bCs/>
                <w:sz w:val="22"/>
                <w:szCs w:val="20"/>
                <w:vertAlign w:val="superscript"/>
                <w:lang w:val="el-GR"/>
              </w:rPr>
              <w:t>α</w:t>
            </w:r>
          </w:p>
          <w:p w14:paraId="18732C8A" w14:textId="77777777" w:rsidR="00171824" w:rsidRDefault="006D258C">
            <w:pPr>
              <w:widowControl/>
              <w:tabs>
                <w:tab w:val="left" w:pos="567"/>
              </w:tabs>
              <w:autoSpaceDE/>
              <w:autoSpaceDN/>
              <w:adjustRightInd/>
              <w:jc w:val="center"/>
              <w:textAlignment w:val="baseline"/>
              <w:rPr>
                <w:b/>
                <w:bCs/>
                <w:sz w:val="22"/>
                <w:szCs w:val="20"/>
                <w:lang w:val="el-GR"/>
              </w:rPr>
            </w:pPr>
            <w:r>
              <w:rPr>
                <w:b/>
                <w:bCs/>
                <w:sz w:val="22"/>
                <w:szCs w:val="20"/>
                <w:lang w:val="el-GR"/>
              </w:rPr>
              <w:t>Μέγιστη δόση 40 mg κάθε δεύτερη εβδομάδα</w:t>
            </w:r>
          </w:p>
          <w:p w14:paraId="15807BF5" w14:textId="77777777" w:rsidR="00171824" w:rsidRDefault="006D258C">
            <w:pPr>
              <w:widowControl/>
              <w:tabs>
                <w:tab w:val="left" w:pos="567"/>
              </w:tabs>
              <w:autoSpaceDE/>
              <w:autoSpaceDN/>
              <w:adjustRightInd/>
              <w:jc w:val="center"/>
              <w:textAlignment w:val="baseline"/>
              <w:rPr>
                <w:b/>
                <w:bCs/>
                <w:sz w:val="22"/>
                <w:szCs w:val="20"/>
                <w:lang w:val="el-GR"/>
              </w:rPr>
            </w:pPr>
            <w:r>
              <w:rPr>
                <w:b/>
                <w:bCs/>
                <w:sz w:val="22"/>
                <w:szCs w:val="20"/>
                <w:lang w:val="el-GR"/>
              </w:rPr>
              <w:t>N = 31</w:t>
            </w:r>
          </w:p>
        </w:tc>
        <w:tc>
          <w:tcPr>
            <w:tcW w:w="2835" w:type="dxa"/>
            <w:tcBorders>
              <w:top w:val="single" w:sz="6" w:space="0" w:color="auto"/>
              <w:left w:val="nil"/>
              <w:bottom w:val="single" w:sz="6" w:space="0" w:color="auto"/>
              <w:right w:val="single" w:sz="6" w:space="0" w:color="auto"/>
            </w:tcBorders>
          </w:tcPr>
          <w:p w14:paraId="7D2026F7" w14:textId="77777777" w:rsidR="00171824" w:rsidRDefault="006D258C">
            <w:pPr>
              <w:widowControl/>
              <w:tabs>
                <w:tab w:val="left" w:pos="567"/>
              </w:tabs>
              <w:autoSpaceDE/>
              <w:autoSpaceDN/>
              <w:adjustRightInd/>
              <w:jc w:val="center"/>
              <w:textAlignment w:val="baseline"/>
              <w:rPr>
                <w:b/>
                <w:bCs/>
                <w:sz w:val="22"/>
                <w:szCs w:val="20"/>
                <w:lang w:val="el-GR"/>
              </w:rPr>
            </w:pPr>
            <w:r>
              <w:rPr>
                <w:b/>
                <w:bCs/>
                <w:color w:val="000000"/>
                <w:sz w:val="22"/>
                <w:szCs w:val="22"/>
                <w:lang w:val="el-GR" w:eastAsia="en-GB"/>
              </w:rPr>
              <w:t>Adalimumab</w:t>
            </w:r>
            <w:r>
              <w:rPr>
                <w:b/>
                <w:bCs/>
                <w:sz w:val="22"/>
                <w:szCs w:val="20"/>
                <w:vertAlign w:val="superscript"/>
                <w:lang w:val="el-GR"/>
              </w:rPr>
              <w:t>β</w:t>
            </w:r>
          </w:p>
          <w:p w14:paraId="5583BE13" w14:textId="77777777" w:rsidR="00171824" w:rsidRDefault="006D258C">
            <w:pPr>
              <w:widowControl/>
              <w:tabs>
                <w:tab w:val="left" w:pos="567"/>
              </w:tabs>
              <w:autoSpaceDE/>
              <w:autoSpaceDN/>
              <w:adjustRightInd/>
              <w:jc w:val="center"/>
              <w:textAlignment w:val="baseline"/>
              <w:rPr>
                <w:b/>
                <w:bCs/>
                <w:sz w:val="22"/>
                <w:szCs w:val="20"/>
                <w:lang w:val="el-GR"/>
              </w:rPr>
            </w:pPr>
            <w:r>
              <w:rPr>
                <w:b/>
                <w:bCs/>
                <w:sz w:val="22"/>
                <w:szCs w:val="20"/>
                <w:lang w:val="el-GR"/>
              </w:rPr>
              <w:t>Μέγιστη δόση 40 mg κάθε εβδομάδα</w:t>
            </w:r>
          </w:p>
          <w:p w14:paraId="3A1FD1EB" w14:textId="77777777" w:rsidR="00171824" w:rsidRDefault="006D258C">
            <w:pPr>
              <w:widowControl/>
              <w:tabs>
                <w:tab w:val="left" w:pos="567"/>
              </w:tabs>
              <w:autoSpaceDE/>
              <w:autoSpaceDN/>
              <w:adjustRightInd/>
              <w:jc w:val="center"/>
              <w:textAlignment w:val="baseline"/>
              <w:rPr>
                <w:b/>
                <w:bCs/>
                <w:sz w:val="22"/>
                <w:szCs w:val="20"/>
                <w:lang w:val="el-GR"/>
              </w:rPr>
            </w:pPr>
            <w:r>
              <w:rPr>
                <w:b/>
                <w:bCs/>
                <w:sz w:val="22"/>
                <w:szCs w:val="20"/>
                <w:lang w:val="el-GR"/>
              </w:rPr>
              <w:t>N = 31</w:t>
            </w:r>
          </w:p>
        </w:tc>
      </w:tr>
      <w:tr w:rsidR="00171824" w14:paraId="3C07BF5C" w14:textId="77777777">
        <w:trPr>
          <w:cantSplit/>
          <w:trHeight w:val="570"/>
        </w:trPr>
        <w:tc>
          <w:tcPr>
            <w:tcW w:w="3402" w:type="dxa"/>
            <w:tcBorders>
              <w:top w:val="nil"/>
              <w:left w:val="single" w:sz="6" w:space="0" w:color="auto"/>
              <w:bottom w:val="single" w:sz="6" w:space="0" w:color="auto"/>
              <w:right w:val="single" w:sz="6" w:space="0" w:color="auto"/>
            </w:tcBorders>
          </w:tcPr>
          <w:p w14:paraId="2C4DDB51" w14:textId="77777777" w:rsidR="00171824" w:rsidRDefault="006D258C">
            <w:pPr>
              <w:widowControl/>
              <w:tabs>
                <w:tab w:val="left" w:pos="567"/>
              </w:tabs>
              <w:autoSpaceDE/>
              <w:autoSpaceDN/>
              <w:adjustRightInd/>
              <w:textAlignment w:val="baseline"/>
              <w:rPr>
                <w:sz w:val="22"/>
                <w:szCs w:val="20"/>
                <w:lang w:val="el-GR"/>
              </w:rPr>
            </w:pPr>
            <w:r>
              <w:rPr>
                <w:sz w:val="22"/>
                <w:szCs w:val="20"/>
                <w:lang w:val="el-GR"/>
              </w:rPr>
              <w:t>Κλινική ύφεση στους ασθενείς που είχαν ανταπόκριση κατά PMS την εβδομάδα 8 </w:t>
            </w:r>
          </w:p>
        </w:tc>
        <w:tc>
          <w:tcPr>
            <w:tcW w:w="2835" w:type="dxa"/>
            <w:tcBorders>
              <w:top w:val="nil"/>
              <w:left w:val="nil"/>
              <w:bottom w:val="single" w:sz="6" w:space="0" w:color="auto"/>
              <w:right w:val="single" w:sz="6" w:space="0" w:color="auto"/>
            </w:tcBorders>
          </w:tcPr>
          <w:p w14:paraId="41E38B84"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9/31 (29,0%)</w:t>
            </w:r>
          </w:p>
        </w:tc>
        <w:tc>
          <w:tcPr>
            <w:tcW w:w="2835" w:type="dxa"/>
            <w:tcBorders>
              <w:top w:val="nil"/>
              <w:left w:val="nil"/>
              <w:bottom w:val="single" w:sz="6" w:space="0" w:color="auto"/>
              <w:right w:val="single" w:sz="6" w:space="0" w:color="auto"/>
            </w:tcBorders>
          </w:tcPr>
          <w:p w14:paraId="516C1FAB"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14/31 (45,2%)</w:t>
            </w:r>
          </w:p>
        </w:tc>
      </w:tr>
      <w:tr w:rsidR="00171824" w14:paraId="3D877958" w14:textId="77777777">
        <w:trPr>
          <w:cantSplit/>
          <w:trHeight w:val="555"/>
        </w:trPr>
        <w:tc>
          <w:tcPr>
            <w:tcW w:w="3402" w:type="dxa"/>
            <w:tcBorders>
              <w:top w:val="nil"/>
              <w:left w:val="single" w:sz="6" w:space="0" w:color="auto"/>
              <w:bottom w:val="single" w:sz="6" w:space="0" w:color="auto"/>
              <w:right w:val="single" w:sz="6" w:space="0" w:color="auto"/>
            </w:tcBorders>
          </w:tcPr>
          <w:p w14:paraId="1044F6E7" w14:textId="77777777" w:rsidR="00171824" w:rsidRDefault="006D258C">
            <w:pPr>
              <w:widowControl/>
              <w:tabs>
                <w:tab w:val="left" w:pos="567"/>
              </w:tabs>
              <w:autoSpaceDE/>
              <w:autoSpaceDN/>
              <w:adjustRightInd/>
              <w:textAlignment w:val="baseline"/>
              <w:rPr>
                <w:sz w:val="22"/>
                <w:szCs w:val="20"/>
                <w:lang w:val="el-GR"/>
              </w:rPr>
            </w:pPr>
            <w:r>
              <w:rPr>
                <w:sz w:val="22"/>
                <w:szCs w:val="20"/>
                <w:lang w:val="el-GR"/>
              </w:rPr>
              <w:t>Κλινική ανταπόκριση στους ασθενείς που είχαν ανταπόκριση κατά PMS την εβδομάδα 8 </w:t>
            </w:r>
          </w:p>
        </w:tc>
        <w:tc>
          <w:tcPr>
            <w:tcW w:w="2835" w:type="dxa"/>
            <w:tcBorders>
              <w:top w:val="nil"/>
              <w:left w:val="nil"/>
              <w:bottom w:val="single" w:sz="6" w:space="0" w:color="auto"/>
              <w:right w:val="single" w:sz="6" w:space="0" w:color="auto"/>
            </w:tcBorders>
          </w:tcPr>
          <w:p w14:paraId="40C0C486"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19/31 (61,3%)</w:t>
            </w:r>
          </w:p>
        </w:tc>
        <w:tc>
          <w:tcPr>
            <w:tcW w:w="2835" w:type="dxa"/>
            <w:tcBorders>
              <w:top w:val="nil"/>
              <w:left w:val="nil"/>
              <w:bottom w:val="single" w:sz="6" w:space="0" w:color="auto"/>
              <w:right w:val="single" w:sz="6" w:space="0" w:color="auto"/>
            </w:tcBorders>
          </w:tcPr>
          <w:p w14:paraId="3E4022E5"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21/31 (67,7%)</w:t>
            </w:r>
          </w:p>
        </w:tc>
      </w:tr>
      <w:tr w:rsidR="00171824" w14:paraId="3D7AE4AB" w14:textId="77777777">
        <w:trPr>
          <w:cantSplit/>
        </w:trPr>
        <w:tc>
          <w:tcPr>
            <w:tcW w:w="3402" w:type="dxa"/>
            <w:tcBorders>
              <w:top w:val="nil"/>
              <w:left w:val="single" w:sz="6" w:space="0" w:color="auto"/>
              <w:bottom w:val="single" w:sz="6" w:space="0" w:color="auto"/>
              <w:right w:val="single" w:sz="6" w:space="0" w:color="auto"/>
            </w:tcBorders>
          </w:tcPr>
          <w:p w14:paraId="1146E9C2" w14:textId="77777777" w:rsidR="00171824" w:rsidRDefault="006D258C">
            <w:pPr>
              <w:widowControl/>
              <w:tabs>
                <w:tab w:val="left" w:pos="567"/>
              </w:tabs>
              <w:autoSpaceDE/>
              <w:autoSpaceDN/>
              <w:adjustRightInd/>
              <w:textAlignment w:val="baseline"/>
              <w:rPr>
                <w:sz w:val="22"/>
                <w:szCs w:val="20"/>
                <w:lang w:val="el-GR"/>
              </w:rPr>
            </w:pPr>
            <w:r>
              <w:rPr>
                <w:sz w:val="22"/>
                <w:szCs w:val="20"/>
                <w:lang w:val="el-GR"/>
              </w:rPr>
              <w:t>Επούλωση του βλεννογόνου στους ασθενείς που είχαν ανταπόκριση κατά PMS την εβδομάδα 8 </w:t>
            </w:r>
          </w:p>
        </w:tc>
        <w:tc>
          <w:tcPr>
            <w:tcW w:w="2835" w:type="dxa"/>
            <w:tcBorders>
              <w:top w:val="nil"/>
              <w:left w:val="nil"/>
              <w:bottom w:val="single" w:sz="6" w:space="0" w:color="auto"/>
              <w:right w:val="single" w:sz="6" w:space="0" w:color="auto"/>
            </w:tcBorders>
          </w:tcPr>
          <w:p w14:paraId="68826136"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12/31 (38,7%)</w:t>
            </w:r>
          </w:p>
        </w:tc>
        <w:tc>
          <w:tcPr>
            <w:tcW w:w="2835" w:type="dxa"/>
            <w:tcBorders>
              <w:top w:val="nil"/>
              <w:left w:val="nil"/>
              <w:bottom w:val="single" w:sz="6" w:space="0" w:color="auto"/>
              <w:right w:val="single" w:sz="6" w:space="0" w:color="auto"/>
            </w:tcBorders>
          </w:tcPr>
          <w:p w14:paraId="6CD8351F"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16/31 (51,6%)</w:t>
            </w:r>
          </w:p>
        </w:tc>
      </w:tr>
      <w:tr w:rsidR="00171824" w14:paraId="5AFC7632" w14:textId="77777777">
        <w:trPr>
          <w:cantSplit/>
        </w:trPr>
        <w:tc>
          <w:tcPr>
            <w:tcW w:w="3402" w:type="dxa"/>
            <w:tcBorders>
              <w:top w:val="nil"/>
              <w:left w:val="single" w:sz="6" w:space="0" w:color="auto"/>
              <w:bottom w:val="single" w:sz="6" w:space="0" w:color="auto"/>
              <w:right w:val="single" w:sz="6" w:space="0" w:color="auto"/>
            </w:tcBorders>
          </w:tcPr>
          <w:p w14:paraId="2EA33815" w14:textId="77777777" w:rsidR="00171824" w:rsidRDefault="006D258C">
            <w:pPr>
              <w:widowControl/>
              <w:tabs>
                <w:tab w:val="left" w:pos="567"/>
              </w:tabs>
              <w:autoSpaceDE/>
              <w:autoSpaceDN/>
              <w:adjustRightInd/>
              <w:textAlignment w:val="baseline"/>
              <w:rPr>
                <w:sz w:val="22"/>
                <w:szCs w:val="20"/>
                <w:lang w:val="el-GR"/>
              </w:rPr>
            </w:pPr>
            <w:r>
              <w:rPr>
                <w:sz w:val="22"/>
                <w:szCs w:val="20"/>
                <w:lang w:val="el-GR"/>
              </w:rPr>
              <w:t>Κλινική ύφεση στους ασθενείς που παρουσίαζαν ύφεση κατά PMS την εβδομάδα 8 </w:t>
            </w:r>
          </w:p>
        </w:tc>
        <w:tc>
          <w:tcPr>
            <w:tcW w:w="2835" w:type="dxa"/>
            <w:tcBorders>
              <w:top w:val="nil"/>
              <w:left w:val="nil"/>
              <w:bottom w:val="single" w:sz="6" w:space="0" w:color="auto"/>
              <w:right w:val="single" w:sz="6" w:space="0" w:color="auto"/>
            </w:tcBorders>
          </w:tcPr>
          <w:p w14:paraId="46AB4DCD"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9/21 (42,9%)</w:t>
            </w:r>
          </w:p>
        </w:tc>
        <w:tc>
          <w:tcPr>
            <w:tcW w:w="2835" w:type="dxa"/>
            <w:tcBorders>
              <w:top w:val="nil"/>
              <w:left w:val="nil"/>
              <w:bottom w:val="single" w:sz="6" w:space="0" w:color="auto"/>
              <w:right w:val="single" w:sz="6" w:space="0" w:color="auto"/>
            </w:tcBorders>
          </w:tcPr>
          <w:p w14:paraId="34D498F3"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10/22 (45,5%)</w:t>
            </w:r>
          </w:p>
        </w:tc>
      </w:tr>
      <w:tr w:rsidR="00171824" w14:paraId="55833F0A" w14:textId="77777777">
        <w:trPr>
          <w:cantSplit/>
        </w:trPr>
        <w:tc>
          <w:tcPr>
            <w:tcW w:w="3402" w:type="dxa"/>
            <w:tcBorders>
              <w:top w:val="nil"/>
              <w:left w:val="single" w:sz="6" w:space="0" w:color="auto"/>
              <w:bottom w:val="single" w:sz="4" w:space="0" w:color="auto"/>
              <w:right w:val="single" w:sz="6" w:space="0" w:color="auto"/>
            </w:tcBorders>
          </w:tcPr>
          <w:p w14:paraId="224F46CA" w14:textId="77777777" w:rsidR="00171824" w:rsidRDefault="006D258C">
            <w:pPr>
              <w:keepNext/>
              <w:widowControl/>
              <w:tabs>
                <w:tab w:val="left" w:pos="567"/>
              </w:tabs>
              <w:autoSpaceDE/>
              <w:autoSpaceDN/>
              <w:adjustRightInd/>
              <w:textAlignment w:val="baseline"/>
              <w:rPr>
                <w:sz w:val="22"/>
                <w:szCs w:val="20"/>
                <w:lang w:val="el-GR"/>
              </w:rPr>
            </w:pPr>
            <w:r>
              <w:rPr>
                <w:sz w:val="22"/>
                <w:szCs w:val="20"/>
                <w:lang w:val="el-GR"/>
              </w:rPr>
              <w:t>Ύφεση χωρίς κορτικοστεροειδή στους ασθενείς που είχαν ανταπόκριση κατά PMS την εβδομάδα 8</w:t>
            </w:r>
            <w:r>
              <w:rPr>
                <w:sz w:val="22"/>
                <w:szCs w:val="20"/>
                <w:vertAlign w:val="superscript"/>
                <w:lang w:val="el-GR"/>
              </w:rPr>
              <w:t>γ</w:t>
            </w:r>
            <w:r>
              <w:rPr>
                <w:sz w:val="22"/>
                <w:szCs w:val="20"/>
                <w:lang w:val="el-GR"/>
              </w:rPr>
              <w:t> </w:t>
            </w:r>
          </w:p>
        </w:tc>
        <w:tc>
          <w:tcPr>
            <w:tcW w:w="2835" w:type="dxa"/>
            <w:tcBorders>
              <w:top w:val="nil"/>
              <w:left w:val="nil"/>
              <w:bottom w:val="single" w:sz="4" w:space="0" w:color="auto"/>
              <w:right w:val="single" w:sz="6" w:space="0" w:color="auto"/>
            </w:tcBorders>
          </w:tcPr>
          <w:p w14:paraId="565B7911"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4/13 (30,8%)</w:t>
            </w:r>
          </w:p>
        </w:tc>
        <w:tc>
          <w:tcPr>
            <w:tcW w:w="2835" w:type="dxa"/>
            <w:tcBorders>
              <w:top w:val="nil"/>
              <w:left w:val="nil"/>
              <w:bottom w:val="single" w:sz="4" w:space="0" w:color="auto"/>
              <w:right w:val="single" w:sz="6" w:space="0" w:color="auto"/>
            </w:tcBorders>
          </w:tcPr>
          <w:p w14:paraId="0E40582C" w14:textId="77777777" w:rsidR="00171824" w:rsidRDefault="006D258C">
            <w:pPr>
              <w:widowControl/>
              <w:tabs>
                <w:tab w:val="left" w:pos="567"/>
              </w:tabs>
              <w:autoSpaceDE/>
              <w:autoSpaceDN/>
              <w:adjustRightInd/>
              <w:jc w:val="center"/>
              <w:textAlignment w:val="baseline"/>
              <w:rPr>
                <w:sz w:val="22"/>
                <w:szCs w:val="20"/>
                <w:lang w:val="el-GR"/>
              </w:rPr>
            </w:pPr>
            <w:r>
              <w:rPr>
                <w:sz w:val="22"/>
                <w:szCs w:val="20"/>
                <w:lang w:val="el-GR"/>
              </w:rPr>
              <w:t>5/16 (31,3%)</w:t>
            </w:r>
          </w:p>
        </w:tc>
      </w:tr>
      <w:tr w:rsidR="00171824" w:rsidRPr="00422380" w14:paraId="0E0EA5C5" w14:textId="77777777">
        <w:trPr>
          <w:cantSplit/>
        </w:trPr>
        <w:tc>
          <w:tcPr>
            <w:tcW w:w="9072" w:type="dxa"/>
            <w:gridSpan w:val="3"/>
            <w:tcBorders>
              <w:top w:val="single" w:sz="4" w:space="0" w:color="auto"/>
              <w:left w:val="single" w:sz="6" w:space="0" w:color="auto"/>
              <w:bottom w:val="single" w:sz="4" w:space="0" w:color="auto"/>
              <w:right w:val="single" w:sz="6" w:space="0" w:color="auto"/>
            </w:tcBorders>
            <w:vAlign w:val="center"/>
          </w:tcPr>
          <w:p w14:paraId="27163F2C" w14:textId="77777777" w:rsidR="00171824" w:rsidRDefault="006D258C">
            <w:pPr>
              <w:widowControl/>
              <w:tabs>
                <w:tab w:val="left" w:pos="567"/>
              </w:tabs>
              <w:autoSpaceDE/>
              <w:autoSpaceDN/>
              <w:adjustRightInd/>
              <w:textAlignment w:val="baseline"/>
              <w:rPr>
                <w:sz w:val="20"/>
                <w:szCs w:val="20"/>
                <w:lang w:val="el-GR"/>
              </w:rPr>
            </w:pPr>
            <w:r>
              <w:rPr>
                <w:sz w:val="20"/>
                <w:szCs w:val="20"/>
                <w:vertAlign w:val="superscript"/>
                <w:lang w:val="el-GR"/>
              </w:rPr>
              <w:t>α </w:t>
            </w:r>
            <w:r>
              <w:rPr>
                <w:color w:val="000000"/>
                <w:sz w:val="20"/>
                <w:szCs w:val="20"/>
                <w:lang w:val="el-GR" w:eastAsia="en-GB"/>
              </w:rPr>
              <w:t>Adalimumab</w:t>
            </w:r>
            <w:r>
              <w:rPr>
                <w:sz w:val="20"/>
                <w:szCs w:val="20"/>
                <w:lang w:val="el-GR"/>
              </w:rPr>
              <w:t xml:space="preserve"> 0,6 mg/kg (μέγιστη δόση 40 mg) κάθε δεύτερη εβδομάδα </w:t>
            </w:r>
          </w:p>
          <w:p w14:paraId="1B823AFA" w14:textId="77777777" w:rsidR="00171824" w:rsidRDefault="006D258C">
            <w:pPr>
              <w:widowControl/>
              <w:tabs>
                <w:tab w:val="left" w:pos="567"/>
              </w:tabs>
              <w:autoSpaceDE/>
              <w:autoSpaceDN/>
              <w:adjustRightInd/>
              <w:textAlignment w:val="baseline"/>
              <w:rPr>
                <w:sz w:val="20"/>
                <w:szCs w:val="20"/>
                <w:lang w:val="el-GR"/>
              </w:rPr>
            </w:pPr>
            <w:r>
              <w:rPr>
                <w:sz w:val="20"/>
                <w:szCs w:val="20"/>
                <w:vertAlign w:val="superscript"/>
                <w:lang w:val="el-GR"/>
              </w:rPr>
              <w:t>β </w:t>
            </w:r>
            <w:r>
              <w:rPr>
                <w:color w:val="000000"/>
                <w:sz w:val="20"/>
                <w:szCs w:val="20"/>
                <w:lang w:val="el-GR" w:eastAsia="en-GB"/>
              </w:rPr>
              <w:t>Adalimumab</w:t>
            </w:r>
            <w:r>
              <w:rPr>
                <w:sz w:val="20"/>
                <w:szCs w:val="20"/>
                <w:lang w:val="el-GR"/>
              </w:rPr>
              <w:t xml:space="preserve"> 0,6 mg/kg (μέγιστη δόση 40 mg) κάθε εβδομάδα </w:t>
            </w:r>
          </w:p>
          <w:p w14:paraId="6E1D40F0" w14:textId="77777777" w:rsidR="00171824" w:rsidRDefault="006D258C">
            <w:pPr>
              <w:keepNext/>
              <w:widowControl/>
              <w:tabs>
                <w:tab w:val="left" w:pos="567"/>
              </w:tabs>
              <w:autoSpaceDE/>
              <w:autoSpaceDN/>
              <w:adjustRightInd/>
              <w:textAlignment w:val="baseline"/>
              <w:rPr>
                <w:sz w:val="20"/>
                <w:szCs w:val="20"/>
                <w:lang w:val="el-GR"/>
              </w:rPr>
            </w:pPr>
            <w:r>
              <w:rPr>
                <w:sz w:val="20"/>
                <w:szCs w:val="20"/>
                <w:vertAlign w:val="superscript"/>
                <w:lang w:val="el-GR"/>
              </w:rPr>
              <w:t>γ</w:t>
            </w:r>
            <w:r>
              <w:rPr>
                <w:sz w:val="20"/>
                <w:szCs w:val="20"/>
                <w:lang w:val="el-GR"/>
              </w:rPr>
              <w:t> Σε ασθενείς που λάμβαναν συγχορηγούμενα κορτικοστεροειδή κατά την έναρξη </w:t>
            </w:r>
          </w:p>
          <w:p w14:paraId="73513943" w14:textId="77777777" w:rsidR="00171824" w:rsidRDefault="006D258C">
            <w:pPr>
              <w:widowControl/>
              <w:tabs>
                <w:tab w:val="left" w:pos="567"/>
              </w:tabs>
              <w:autoSpaceDE/>
              <w:autoSpaceDN/>
              <w:adjustRightInd/>
              <w:textAlignment w:val="baseline"/>
              <w:rPr>
                <w:sz w:val="22"/>
                <w:szCs w:val="20"/>
                <w:lang w:val="el-GR"/>
              </w:rPr>
            </w:pPr>
            <w:r>
              <w:rPr>
                <w:sz w:val="20"/>
                <w:szCs w:val="20"/>
                <w:lang w:val="el-GR"/>
              </w:rPr>
              <w:t>Σημείωση: Οι ασθενείς με ελλείπουσες τιμές την εβδομάδα 52 ή εκείνοι που τυχαιοποιήθηκαν ώστε να λάβουν θεραπεία νέας αρχικής δόσης ή θεραπεία συντήρησης θεωρήθηκαν ως μη ανταποκριθέντες για τα καταληκτικά σημεία της εβδομάδας 52</w:t>
            </w:r>
          </w:p>
        </w:tc>
      </w:tr>
    </w:tbl>
    <w:p w14:paraId="62FA35BB" w14:textId="77777777" w:rsidR="00171824" w:rsidRDefault="00171824">
      <w:pPr>
        <w:pStyle w:val="BodyText"/>
        <w:widowControl/>
        <w:kinsoku w:val="0"/>
        <w:overflowPunct w:val="0"/>
        <w:ind w:left="0"/>
        <w:rPr>
          <w:lang w:val="el-GR"/>
        </w:rPr>
      </w:pPr>
    </w:p>
    <w:p w14:paraId="33EC257F" w14:textId="77777777" w:rsidR="00171824" w:rsidRDefault="006D258C">
      <w:pPr>
        <w:pStyle w:val="BodyText"/>
        <w:widowControl/>
        <w:kinsoku w:val="0"/>
        <w:overflowPunct w:val="0"/>
        <w:ind w:left="0"/>
        <w:rPr>
          <w:lang w:val="el-GR"/>
        </w:rPr>
      </w:pPr>
      <w:r>
        <w:rPr>
          <w:lang w:val="el-GR"/>
        </w:rPr>
        <w:t>Τα επιπρόσθετα διερευνητικά καταληκτικά σημεία περιλάμβαναν την κλινική ανταπόκριση κατά τον δείκτη ενεργότητας παιδιατρικής ελκώδους κολίτιδας (PUCAI) (οριζόμενη ως μείωση στον PUCAI ≥ 20 βαθμούς από τις αρχικές τιμές) και κλινική ύφεση κατά PUCAI (οριζόμενη ως PUCAI &lt; 10) την εβδομάδα 8 και την εβδομάδα 52 (Πίνακας 33).</w:t>
      </w:r>
    </w:p>
    <w:p w14:paraId="05673575" w14:textId="77777777" w:rsidR="00171824" w:rsidRDefault="00171824">
      <w:pPr>
        <w:pStyle w:val="BodyText"/>
        <w:widowControl/>
        <w:kinsoku w:val="0"/>
        <w:overflowPunct w:val="0"/>
        <w:ind w:left="0"/>
        <w:rPr>
          <w:lang w:val="el-GR"/>
        </w:rPr>
      </w:pPr>
    </w:p>
    <w:p w14:paraId="637A8572" w14:textId="77777777" w:rsidR="00171824" w:rsidRDefault="006D258C">
      <w:pPr>
        <w:keepNext/>
        <w:widowControl/>
        <w:rPr>
          <w:color w:val="000000"/>
          <w:sz w:val="22"/>
          <w:szCs w:val="22"/>
          <w:lang w:val="el-GR" w:eastAsia="ja-JP"/>
        </w:rPr>
      </w:pPr>
      <w:r>
        <w:rPr>
          <w:b/>
          <w:bCs/>
          <w:color w:val="000000"/>
          <w:sz w:val="22"/>
          <w:szCs w:val="22"/>
          <w:lang w:val="el-GR" w:eastAsia="ja-JP"/>
        </w:rPr>
        <w:t xml:space="preserve">Πίνακας 33. Αποτελέσματα διερευνητικών καταληκτικών σημείων κατά PUCAI </w:t>
      </w:r>
    </w:p>
    <w:p w14:paraId="6E5E4C3D" w14:textId="77777777" w:rsidR="00171824" w:rsidRDefault="00171824">
      <w:pPr>
        <w:pStyle w:val="BodyText"/>
        <w:keepNext/>
        <w:widowControl/>
        <w:kinsoku w:val="0"/>
        <w:overflowPunct w:val="0"/>
        <w:ind w:left="0"/>
        <w:rPr>
          <w:lang w:val="el-GR"/>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8"/>
        <w:gridCol w:w="2693"/>
        <w:gridCol w:w="2811"/>
      </w:tblGrid>
      <w:tr w:rsidR="00171824" w14:paraId="3182250E" w14:textId="77777777">
        <w:trPr>
          <w:cantSplit/>
          <w:trHeight w:val="265"/>
        </w:trPr>
        <w:tc>
          <w:tcPr>
            <w:tcW w:w="3568" w:type="dxa"/>
            <w:vMerge w:val="restart"/>
            <w:tcMar>
              <w:top w:w="0" w:type="dxa"/>
              <w:left w:w="108" w:type="dxa"/>
              <w:bottom w:w="0" w:type="dxa"/>
              <w:right w:w="108" w:type="dxa"/>
            </w:tcMar>
          </w:tcPr>
          <w:p w14:paraId="329FBA98" w14:textId="77777777" w:rsidR="00171824" w:rsidRDefault="00171824">
            <w:pPr>
              <w:widowControl/>
              <w:tabs>
                <w:tab w:val="left" w:pos="567"/>
              </w:tabs>
              <w:autoSpaceDE/>
              <w:autoSpaceDN/>
              <w:adjustRightInd/>
              <w:rPr>
                <w:sz w:val="22"/>
                <w:szCs w:val="22"/>
                <w:lang w:val="el-GR"/>
              </w:rPr>
            </w:pPr>
          </w:p>
        </w:tc>
        <w:tc>
          <w:tcPr>
            <w:tcW w:w="5504" w:type="dxa"/>
            <w:gridSpan w:val="2"/>
            <w:tcMar>
              <w:top w:w="0" w:type="dxa"/>
              <w:left w:w="108" w:type="dxa"/>
              <w:bottom w:w="0" w:type="dxa"/>
              <w:right w:w="108" w:type="dxa"/>
            </w:tcMar>
          </w:tcPr>
          <w:p w14:paraId="34C62B91" w14:textId="77777777" w:rsidR="00171824" w:rsidRDefault="006D258C">
            <w:pPr>
              <w:widowControl/>
              <w:tabs>
                <w:tab w:val="left" w:pos="567"/>
              </w:tabs>
              <w:autoSpaceDE/>
              <w:autoSpaceDN/>
              <w:adjustRightInd/>
              <w:jc w:val="center"/>
              <w:rPr>
                <w:b/>
                <w:bCs/>
                <w:sz w:val="22"/>
                <w:szCs w:val="22"/>
                <w:lang w:val="el-GR"/>
              </w:rPr>
            </w:pPr>
            <w:r>
              <w:rPr>
                <w:b/>
                <w:sz w:val="22"/>
                <w:szCs w:val="22"/>
                <w:lang w:val="el-GR"/>
              </w:rPr>
              <w:t>Εβδομάδα 8</w:t>
            </w:r>
          </w:p>
        </w:tc>
      </w:tr>
      <w:tr w:rsidR="00171824" w14:paraId="74F717AB" w14:textId="77777777">
        <w:trPr>
          <w:cantSplit/>
          <w:trHeight w:val="1042"/>
        </w:trPr>
        <w:tc>
          <w:tcPr>
            <w:tcW w:w="3568" w:type="dxa"/>
            <w:vMerge/>
            <w:vAlign w:val="center"/>
          </w:tcPr>
          <w:p w14:paraId="68D45995" w14:textId="77777777" w:rsidR="00171824" w:rsidRDefault="00171824">
            <w:pPr>
              <w:widowControl/>
              <w:tabs>
                <w:tab w:val="left" w:pos="567"/>
              </w:tabs>
              <w:autoSpaceDE/>
              <w:autoSpaceDN/>
              <w:adjustRightInd/>
              <w:rPr>
                <w:sz w:val="22"/>
                <w:szCs w:val="22"/>
                <w:lang w:val="el-GR"/>
              </w:rPr>
            </w:pPr>
          </w:p>
        </w:tc>
        <w:tc>
          <w:tcPr>
            <w:tcW w:w="2693" w:type="dxa"/>
            <w:tcMar>
              <w:top w:w="0" w:type="dxa"/>
              <w:left w:w="108" w:type="dxa"/>
              <w:bottom w:w="0" w:type="dxa"/>
              <w:right w:w="108" w:type="dxa"/>
            </w:tcMar>
          </w:tcPr>
          <w:p w14:paraId="357D9E9E" w14:textId="77777777" w:rsidR="00171824" w:rsidRDefault="006D258C">
            <w:pPr>
              <w:widowControl/>
              <w:tabs>
                <w:tab w:val="left" w:pos="567"/>
              </w:tabs>
              <w:autoSpaceDE/>
              <w:autoSpaceDN/>
              <w:adjustRightInd/>
              <w:jc w:val="center"/>
              <w:rPr>
                <w:b/>
                <w:bCs/>
                <w:sz w:val="22"/>
                <w:szCs w:val="22"/>
                <w:vertAlign w:val="superscript"/>
                <w:lang w:val="el-GR"/>
              </w:rPr>
            </w:pPr>
            <w:r>
              <w:rPr>
                <w:b/>
                <w:bCs/>
                <w:color w:val="000000"/>
                <w:sz w:val="22"/>
                <w:szCs w:val="22"/>
                <w:lang w:val="el-GR" w:eastAsia="en-GB"/>
              </w:rPr>
              <w:t>Adalimumab</w:t>
            </w:r>
            <w:r>
              <w:rPr>
                <w:b/>
                <w:bCs/>
                <w:sz w:val="22"/>
                <w:szCs w:val="22"/>
                <w:vertAlign w:val="superscript"/>
                <w:lang w:val="el-GR"/>
              </w:rPr>
              <w:t>α</w:t>
            </w:r>
          </w:p>
          <w:p w14:paraId="2F3AE60C" w14:textId="77777777" w:rsidR="00171824" w:rsidRDefault="006D258C">
            <w:pPr>
              <w:widowControl/>
              <w:tabs>
                <w:tab w:val="left" w:pos="567"/>
              </w:tabs>
              <w:autoSpaceDE/>
              <w:autoSpaceDN/>
              <w:adjustRightInd/>
              <w:jc w:val="center"/>
              <w:rPr>
                <w:b/>
                <w:bCs/>
                <w:sz w:val="22"/>
                <w:szCs w:val="22"/>
                <w:lang w:val="el-GR"/>
              </w:rPr>
            </w:pPr>
            <w:r>
              <w:rPr>
                <w:b/>
                <w:bCs/>
                <w:sz w:val="22"/>
                <w:szCs w:val="22"/>
                <w:lang w:val="el-GR"/>
              </w:rPr>
              <w:t>Μέγιστη δόση 160 mg την εβδομάδα 0/Εικονικό φάρμακο την εβδομάδα 1</w:t>
            </w:r>
          </w:p>
          <w:p w14:paraId="01981B40" w14:textId="77777777" w:rsidR="00171824" w:rsidRDefault="006D258C">
            <w:pPr>
              <w:widowControl/>
              <w:tabs>
                <w:tab w:val="left" w:pos="567"/>
              </w:tabs>
              <w:autoSpaceDE/>
              <w:autoSpaceDN/>
              <w:adjustRightInd/>
              <w:jc w:val="center"/>
              <w:rPr>
                <w:b/>
                <w:bCs/>
                <w:sz w:val="22"/>
                <w:szCs w:val="22"/>
                <w:lang w:val="el-GR"/>
              </w:rPr>
            </w:pPr>
            <w:r>
              <w:rPr>
                <w:b/>
                <w:bCs/>
                <w:sz w:val="22"/>
                <w:szCs w:val="22"/>
                <w:lang w:val="el-GR"/>
              </w:rPr>
              <w:t>N = 30</w:t>
            </w:r>
          </w:p>
        </w:tc>
        <w:tc>
          <w:tcPr>
            <w:tcW w:w="2811" w:type="dxa"/>
            <w:tcMar>
              <w:top w:w="0" w:type="dxa"/>
              <w:left w:w="108" w:type="dxa"/>
              <w:bottom w:w="0" w:type="dxa"/>
              <w:right w:w="108" w:type="dxa"/>
            </w:tcMar>
          </w:tcPr>
          <w:p w14:paraId="435A2544" w14:textId="77777777" w:rsidR="00171824" w:rsidRDefault="006D258C">
            <w:pPr>
              <w:widowControl/>
              <w:tabs>
                <w:tab w:val="left" w:pos="567"/>
              </w:tabs>
              <w:autoSpaceDE/>
              <w:autoSpaceDN/>
              <w:adjustRightInd/>
              <w:jc w:val="center"/>
              <w:rPr>
                <w:b/>
                <w:bCs/>
                <w:sz w:val="22"/>
                <w:szCs w:val="22"/>
                <w:vertAlign w:val="superscript"/>
                <w:lang w:val="el-GR"/>
              </w:rPr>
            </w:pPr>
            <w:r>
              <w:rPr>
                <w:b/>
                <w:bCs/>
                <w:color w:val="000000"/>
                <w:sz w:val="22"/>
                <w:szCs w:val="22"/>
                <w:lang w:val="el-GR" w:eastAsia="en-GB"/>
              </w:rPr>
              <w:t>Adalimumab</w:t>
            </w:r>
            <w:r>
              <w:rPr>
                <w:b/>
                <w:bCs/>
                <w:sz w:val="22"/>
                <w:szCs w:val="22"/>
                <w:vertAlign w:val="superscript"/>
                <w:lang w:val="el-GR"/>
              </w:rPr>
              <w:t>β,γ</w:t>
            </w:r>
          </w:p>
          <w:p w14:paraId="74547253" w14:textId="77777777" w:rsidR="00171824" w:rsidRDefault="006D258C">
            <w:pPr>
              <w:widowControl/>
              <w:tabs>
                <w:tab w:val="left" w:pos="567"/>
              </w:tabs>
              <w:autoSpaceDE/>
              <w:autoSpaceDN/>
              <w:adjustRightInd/>
              <w:jc w:val="center"/>
              <w:rPr>
                <w:b/>
                <w:bCs/>
                <w:sz w:val="22"/>
                <w:szCs w:val="22"/>
                <w:lang w:val="el-GR"/>
              </w:rPr>
            </w:pPr>
            <w:r>
              <w:rPr>
                <w:b/>
                <w:bCs/>
                <w:sz w:val="22"/>
                <w:szCs w:val="22"/>
                <w:lang w:val="el-GR"/>
              </w:rPr>
              <w:t>Μέγιστη δόση 160 mg την εβδομάδα 0 και την εβδομάδα 1</w:t>
            </w:r>
          </w:p>
          <w:p w14:paraId="66B2D089" w14:textId="77777777" w:rsidR="00171824" w:rsidRDefault="006D258C">
            <w:pPr>
              <w:widowControl/>
              <w:tabs>
                <w:tab w:val="left" w:pos="567"/>
              </w:tabs>
              <w:autoSpaceDE/>
              <w:autoSpaceDN/>
              <w:adjustRightInd/>
              <w:jc w:val="center"/>
              <w:rPr>
                <w:b/>
                <w:bCs/>
                <w:sz w:val="22"/>
                <w:szCs w:val="22"/>
                <w:lang w:val="el-GR"/>
              </w:rPr>
            </w:pPr>
            <w:r>
              <w:rPr>
                <w:b/>
                <w:bCs/>
                <w:sz w:val="22"/>
                <w:szCs w:val="22"/>
                <w:lang w:val="el-GR"/>
              </w:rPr>
              <w:t>N = 47</w:t>
            </w:r>
          </w:p>
        </w:tc>
      </w:tr>
      <w:tr w:rsidR="00171824" w14:paraId="1E5D864A" w14:textId="77777777">
        <w:trPr>
          <w:cantSplit/>
          <w:trHeight w:val="202"/>
        </w:trPr>
        <w:tc>
          <w:tcPr>
            <w:tcW w:w="3568" w:type="dxa"/>
            <w:tcMar>
              <w:top w:w="0" w:type="dxa"/>
              <w:left w:w="108" w:type="dxa"/>
              <w:bottom w:w="0" w:type="dxa"/>
              <w:right w:w="108" w:type="dxa"/>
            </w:tcMar>
          </w:tcPr>
          <w:p w14:paraId="4653FDA5" w14:textId="77777777" w:rsidR="00171824" w:rsidRDefault="006D258C">
            <w:pPr>
              <w:widowControl/>
              <w:tabs>
                <w:tab w:val="left" w:pos="567"/>
              </w:tabs>
              <w:autoSpaceDE/>
              <w:autoSpaceDN/>
              <w:adjustRightInd/>
              <w:rPr>
                <w:sz w:val="22"/>
                <w:szCs w:val="22"/>
                <w:lang w:val="el-GR"/>
              </w:rPr>
            </w:pPr>
            <w:r>
              <w:rPr>
                <w:sz w:val="22"/>
                <w:szCs w:val="22"/>
                <w:lang w:val="el-GR"/>
              </w:rPr>
              <w:t>Κλινική ύφεση κατά PUCAI</w:t>
            </w:r>
          </w:p>
        </w:tc>
        <w:tc>
          <w:tcPr>
            <w:tcW w:w="2693" w:type="dxa"/>
            <w:tcMar>
              <w:top w:w="0" w:type="dxa"/>
              <w:left w:w="108" w:type="dxa"/>
              <w:bottom w:w="0" w:type="dxa"/>
              <w:right w:w="108" w:type="dxa"/>
            </w:tcMar>
          </w:tcPr>
          <w:p w14:paraId="1F368CF8" w14:textId="77777777" w:rsidR="00171824" w:rsidRDefault="006D258C">
            <w:pPr>
              <w:widowControl/>
              <w:tabs>
                <w:tab w:val="left" w:pos="567"/>
              </w:tabs>
              <w:autoSpaceDE/>
              <w:autoSpaceDN/>
              <w:adjustRightInd/>
              <w:jc w:val="center"/>
              <w:rPr>
                <w:sz w:val="22"/>
                <w:szCs w:val="22"/>
                <w:lang w:val="el-GR"/>
              </w:rPr>
            </w:pPr>
            <w:r>
              <w:rPr>
                <w:sz w:val="22"/>
                <w:szCs w:val="22"/>
                <w:lang w:val="el-GR"/>
              </w:rPr>
              <w:t>10/30 (33,3%)</w:t>
            </w:r>
          </w:p>
        </w:tc>
        <w:tc>
          <w:tcPr>
            <w:tcW w:w="2811" w:type="dxa"/>
            <w:tcMar>
              <w:top w:w="0" w:type="dxa"/>
              <w:left w:w="108" w:type="dxa"/>
              <w:bottom w:w="0" w:type="dxa"/>
              <w:right w:w="108" w:type="dxa"/>
            </w:tcMar>
          </w:tcPr>
          <w:p w14:paraId="0ACABA66" w14:textId="77777777" w:rsidR="00171824" w:rsidRDefault="006D258C">
            <w:pPr>
              <w:widowControl/>
              <w:tabs>
                <w:tab w:val="left" w:pos="567"/>
              </w:tabs>
              <w:autoSpaceDE/>
              <w:autoSpaceDN/>
              <w:adjustRightInd/>
              <w:jc w:val="center"/>
              <w:rPr>
                <w:sz w:val="22"/>
                <w:szCs w:val="22"/>
                <w:lang w:val="el-GR"/>
              </w:rPr>
            </w:pPr>
            <w:r>
              <w:rPr>
                <w:sz w:val="22"/>
                <w:szCs w:val="22"/>
                <w:lang w:val="el-GR"/>
              </w:rPr>
              <w:t>22/47 (46,8%)</w:t>
            </w:r>
          </w:p>
        </w:tc>
      </w:tr>
      <w:tr w:rsidR="00171824" w14:paraId="0AF1D925" w14:textId="77777777">
        <w:trPr>
          <w:cantSplit/>
          <w:trHeight w:val="238"/>
        </w:trPr>
        <w:tc>
          <w:tcPr>
            <w:tcW w:w="3568" w:type="dxa"/>
            <w:tcMar>
              <w:top w:w="0" w:type="dxa"/>
              <w:left w:w="108" w:type="dxa"/>
              <w:bottom w:w="0" w:type="dxa"/>
              <w:right w:w="108" w:type="dxa"/>
            </w:tcMar>
          </w:tcPr>
          <w:p w14:paraId="04F5974F" w14:textId="77777777" w:rsidR="00171824" w:rsidRDefault="006D258C">
            <w:pPr>
              <w:widowControl/>
              <w:tabs>
                <w:tab w:val="left" w:pos="567"/>
              </w:tabs>
              <w:autoSpaceDE/>
              <w:autoSpaceDN/>
              <w:adjustRightInd/>
              <w:rPr>
                <w:sz w:val="22"/>
                <w:szCs w:val="22"/>
                <w:lang w:val="el-GR"/>
              </w:rPr>
            </w:pPr>
            <w:r>
              <w:rPr>
                <w:sz w:val="22"/>
                <w:szCs w:val="22"/>
                <w:lang w:val="el-GR"/>
              </w:rPr>
              <w:t>Κλινική ανταπόκριση κατά PUCAI</w:t>
            </w:r>
          </w:p>
        </w:tc>
        <w:tc>
          <w:tcPr>
            <w:tcW w:w="2693" w:type="dxa"/>
            <w:tcMar>
              <w:top w:w="0" w:type="dxa"/>
              <w:left w:w="108" w:type="dxa"/>
              <w:bottom w:w="0" w:type="dxa"/>
              <w:right w:w="108" w:type="dxa"/>
            </w:tcMar>
          </w:tcPr>
          <w:p w14:paraId="5CBA5DAE" w14:textId="77777777" w:rsidR="00171824" w:rsidRDefault="006D258C">
            <w:pPr>
              <w:widowControl/>
              <w:tabs>
                <w:tab w:val="left" w:pos="567"/>
              </w:tabs>
              <w:autoSpaceDE/>
              <w:autoSpaceDN/>
              <w:adjustRightInd/>
              <w:jc w:val="center"/>
              <w:rPr>
                <w:sz w:val="22"/>
                <w:szCs w:val="22"/>
                <w:lang w:val="el-GR"/>
              </w:rPr>
            </w:pPr>
            <w:r>
              <w:rPr>
                <w:sz w:val="22"/>
                <w:szCs w:val="22"/>
                <w:lang w:val="el-GR"/>
              </w:rPr>
              <w:t>15/30 (50,0%)</w:t>
            </w:r>
          </w:p>
        </w:tc>
        <w:tc>
          <w:tcPr>
            <w:tcW w:w="2811" w:type="dxa"/>
            <w:tcMar>
              <w:top w:w="0" w:type="dxa"/>
              <w:left w:w="108" w:type="dxa"/>
              <w:bottom w:w="0" w:type="dxa"/>
              <w:right w:w="108" w:type="dxa"/>
            </w:tcMar>
          </w:tcPr>
          <w:p w14:paraId="74A8CDF3" w14:textId="77777777" w:rsidR="00171824" w:rsidRDefault="006D258C">
            <w:pPr>
              <w:widowControl/>
              <w:tabs>
                <w:tab w:val="left" w:pos="567"/>
              </w:tabs>
              <w:autoSpaceDE/>
              <w:autoSpaceDN/>
              <w:adjustRightInd/>
              <w:jc w:val="center"/>
              <w:rPr>
                <w:sz w:val="22"/>
                <w:szCs w:val="22"/>
                <w:lang w:val="el-GR"/>
              </w:rPr>
            </w:pPr>
            <w:r>
              <w:rPr>
                <w:sz w:val="22"/>
                <w:szCs w:val="22"/>
                <w:lang w:val="el-GR"/>
              </w:rPr>
              <w:t>32/47 (68,1%)</w:t>
            </w:r>
          </w:p>
        </w:tc>
      </w:tr>
      <w:tr w:rsidR="00171824" w14:paraId="7022F2E9" w14:textId="77777777">
        <w:trPr>
          <w:cantSplit/>
          <w:trHeight w:val="238"/>
        </w:trPr>
        <w:tc>
          <w:tcPr>
            <w:tcW w:w="3568" w:type="dxa"/>
            <w:vMerge w:val="restart"/>
            <w:tcMar>
              <w:top w:w="0" w:type="dxa"/>
              <w:left w:w="108" w:type="dxa"/>
              <w:bottom w:w="0" w:type="dxa"/>
              <w:right w:w="108" w:type="dxa"/>
            </w:tcMar>
          </w:tcPr>
          <w:p w14:paraId="7B240946" w14:textId="77777777" w:rsidR="00171824" w:rsidRDefault="00171824">
            <w:pPr>
              <w:keepNext/>
              <w:keepLines/>
              <w:widowControl/>
              <w:tabs>
                <w:tab w:val="left" w:pos="567"/>
              </w:tabs>
              <w:autoSpaceDE/>
              <w:autoSpaceDN/>
              <w:adjustRightInd/>
              <w:rPr>
                <w:sz w:val="22"/>
                <w:szCs w:val="22"/>
                <w:lang w:val="el-GR"/>
              </w:rPr>
            </w:pPr>
          </w:p>
        </w:tc>
        <w:tc>
          <w:tcPr>
            <w:tcW w:w="5504" w:type="dxa"/>
            <w:gridSpan w:val="2"/>
            <w:tcMar>
              <w:top w:w="0" w:type="dxa"/>
              <w:left w:w="108" w:type="dxa"/>
              <w:bottom w:w="0" w:type="dxa"/>
              <w:right w:w="108" w:type="dxa"/>
            </w:tcMar>
          </w:tcPr>
          <w:p w14:paraId="3084C269" w14:textId="77777777" w:rsidR="00171824" w:rsidRDefault="006D258C">
            <w:pPr>
              <w:keepNext/>
              <w:keepLines/>
              <w:widowControl/>
              <w:tabs>
                <w:tab w:val="left" w:pos="567"/>
              </w:tabs>
              <w:autoSpaceDE/>
              <w:autoSpaceDN/>
              <w:adjustRightInd/>
              <w:jc w:val="center"/>
              <w:rPr>
                <w:b/>
                <w:bCs/>
                <w:sz w:val="22"/>
                <w:szCs w:val="22"/>
                <w:lang w:val="el-GR"/>
              </w:rPr>
            </w:pPr>
            <w:r>
              <w:rPr>
                <w:b/>
                <w:sz w:val="22"/>
                <w:szCs w:val="22"/>
                <w:lang w:val="el-GR"/>
              </w:rPr>
              <w:t>Εβδομάδα 52</w:t>
            </w:r>
          </w:p>
        </w:tc>
      </w:tr>
      <w:tr w:rsidR="00171824" w14:paraId="32CF5766" w14:textId="77777777">
        <w:trPr>
          <w:cantSplit/>
          <w:trHeight w:val="238"/>
        </w:trPr>
        <w:tc>
          <w:tcPr>
            <w:tcW w:w="3568" w:type="dxa"/>
            <w:vMerge/>
            <w:vAlign w:val="center"/>
          </w:tcPr>
          <w:p w14:paraId="07CDBA67" w14:textId="77777777" w:rsidR="00171824" w:rsidRDefault="00171824">
            <w:pPr>
              <w:keepNext/>
              <w:keepLines/>
              <w:widowControl/>
              <w:tabs>
                <w:tab w:val="left" w:pos="567"/>
              </w:tabs>
              <w:autoSpaceDE/>
              <w:autoSpaceDN/>
              <w:adjustRightInd/>
              <w:rPr>
                <w:sz w:val="22"/>
                <w:szCs w:val="22"/>
                <w:lang w:val="el-GR"/>
              </w:rPr>
            </w:pPr>
          </w:p>
        </w:tc>
        <w:tc>
          <w:tcPr>
            <w:tcW w:w="2693" w:type="dxa"/>
            <w:tcMar>
              <w:top w:w="0" w:type="dxa"/>
              <w:left w:w="108" w:type="dxa"/>
              <w:bottom w:w="0" w:type="dxa"/>
              <w:right w:w="108" w:type="dxa"/>
            </w:tcMar>
          </w:tcPr>
          <w:p w14:paraId="7A74A84D" w14:textId="77777777" w:rsidR="00171824" w:rsidRDefault="006D258C">
            <w:pPr>
              <w:keepNext/>
              <w:keepLines/>
              <w:widowControl/>
              <w:tabs>
                <w:tab w:val="left" w:pos="567"/>
              </w:tabs>
              <w:autoSpaceDE/>
              <w:autoSpaceDN/>
              <w:adjustRightInd/>
              <w:jc w:val="center"/>
              <w:rPr>
                <w:b/>
                <w:bCs/>
                <w:sz w:val="22"/>
                <w:szCs w:val="22"/>
                <w:vertAlign w:val="superscript"/>
                <w:lang w:val="el-GR"/>
              </w:rPr>
            </w:pPr>
            <w:r>
              <w:rPr>
                <w:b/>
                <w:bCs/>
                <w:color w:val="000000"/>
                <w:sz w:val="22"/>
                <w:szCs w:val="22"/>
                <w:lang w:val="el-GR" w:eastAsia="en-GB"/>
              </w:rPr>
              <w:t>Adalimumab</w:t>
            </w:r>
            <w:r>
              <w:rPr>
                <w:b/>
                <w:sz w:val="22"/>
                <w:szCs w:val="22"/>
                <w:vertAlign w:val="superscript"/>
                <w:lang w:val="el-GR"/>
              </w:rPr>
              <w:t>δ</w:t>
            </w:r>
          </w:p>
          <w:p w14:paraId="68699C96" w14:textId="77777777" w:rsidR="00171824" w:rsidRDefault="006D258C">
            <w:pPr>
              <w:keepNext/>
              <w:keepLines/>
              <w:widowControl/>
              <w:tabs>
                <w:tab w:val="left" w:pos="567"/>
              </w:tabs>
              <w:autoSpaceDE/>
              <w:autoSpaceDN/>
              <w:adjustRightInd/>
              <w:jc w:val="center"/>
              <w:rPr>
                <w:b/>
                <w:bCs/>
                <w:sz w:val="22"/>
                <w:szCs w:val="22"/>
                <w:lang w:val="el-GR"/>
              </w:rPr>
            </w:pPr>
            <w:r>
              <w:rPr>
                <w:b/>
                <w:sz w:val="22"/>
                <w:szCs w:val="22"/>
                <w:lang w:val="el-GR"/>
              </w:rPr>
              <w:t>Μέγιστη δόση 40 mg κάθε δεύτερη εβδομάδα</w:t>
            </w:r>
          </w:p>
          <w:p w14:paraId="36A92832" w14:textId="77777777" w:rsidR="00171824" w:rsidRDefault="006D258C">
            <w:pPr>
              <w:keepNext/>
              <w:keepLines/>
              <w:widowControl/>
              <w:tabs>
                <w:tab w:val="left" w:pos="567"/>
              </w:tabs>
              <w:autoSpaceDE/>
              <w:autoSpaceDN/>
              <w:adjustRightInd/>
              <w:jc w:val="center"/>
              <w:rPr>
                <w:sz w:val="22"/>
                <w:szCs w:val="22"/>
                <w:lang w:val="el-GR"/>
              </w:rPr>
            </w:pPr>
            <w:r>
              <w:rPr>
                <w:sz w:val="22"/>
                <w:szCs w:val="22"/>
                <w:lang w:val="el-GR"/>
              </w:rPr>
              <w:t>N = 31</w:t>
            </w:r>
          </w:p>
        </w:tc>
        <w:tc>
          <w:tcPr>
            <w:tcW w:w="2811" w:type="dxa"/>
            <w:tcMar>
              <w:top w:w="0" w:type="dxa"/>
              <w:left w:w="108" w:type="dxa"/>
              <w:bottom w:w="0" w:type="dxa"/>
              <w:right w:w="108" w:type="dxa"/>
            </w:tcMar>
          </w:tcPr>
          <w:p w14:paraId="1277C9C1" w14:textId="77777777" w:rsidR="00171824" w:rsidRDefault="006D258C">
            <w:pPr>
              <w:keepNext/>
              <w:keepLines/>
              <w:widowControl/>
              <w:tabs>
                <w:tab w:val="left" w:pos="567"/>
              </w:tabs>
              <w:autoSpaceDE/>
              <w:autoSpaceDN/>
              <w:adjustRightInd/>
              <w:jc w:val="center"/>
              <w:rPr>
                <w:b/>
                <w:bCs/>
                <w:sz w:val="22"/>
                <w:szCs w:val="22"/>
                <w:vertAlign w:val="superscript"/>
                <w:lang w:val="el-GR"/>
              </w:rPr>
            </w:pPr>
            <w:r>
              <w:rPr>
                <w:b/>
                <w:bCs/>
                <w:color w:val="000000"/>
                <w:sz w:val="22"/>
                <w:szCs w:val="22"/>
                <w:lang w:val="el-GR" w:eastAsia="en-GB"/>
              </w:rPr>
              <w:t>Adalimumab</w:t>
            </w:r>
            <w:r>
              <w:rPr>
                <w:b/>
                <w:sz w:val="22"/>
                <w:szCs w:val="22"/>
                <w:vertAlign w:val="superscript"/>
                <w:lang w:val="el-GR"/>
              </w:rPr>
              <w:t>ε</w:t>
            </w:r>
          </w:p>
          <w:p w14:paraId="18839E73" w14:textId="77777777" w:rsidR="00171824" w:rsidRDefault="006D258C">
            <w:pPr>
              <w:keepNext/>
              <w:keepLines/>
              <w:widowControl/>
              <w:tabs>
                <w:tab w:val="left" w:pos="567"/>
              </w:tabs>
              <w:autoSpaceDE/>
              <w:autoSpaceDN/>
              <w:adjustRightInd/>
              <w:jc w:val="center"/>
              <w:rPr>
                <w:b/>
                <w:bCs/>
                <w:sz w:val="22"/>
                <w:szCs w:val="22"/>
                <w:lang w:val="el-GR"/>
              </w:rPr>
            </w:pPr>
            <w:r>
              <w:rPr>
                <w:b/>
                <w:sz w:val="22"/>
                <w:szCs w:val="22"/>
                <w:lang w:val="el-GR"/>
              </w:rPr>
              <w:t>Μέγιστη δόση 40 mg κάθε εβδομάδα</w:t>
            </w:r>
          </w:p>
          <w:p w14:paraId="0C625123" w14:textId="77777777" w:rsidR="00171824" w:rsidRDefault="006D258C">
            <w:pPr>
              <w:keepNext/>
              <w:keepLines/>
              <w:widowControl/>
              <w:tabs>
                <w:tab w:val="left" w:pos="567"/>
              </w:tabs>
              <w:autoSpaceDE/>
              <w:autoSpaceDN/>
              <w:adjustRightInd/>
              <w:jc w:val="center"/>
              <w:rPr>
                <w:sz w:val="22"/>
                <w:szCs w:val="22"/>
                <w:lang w:val="el-GR"/>
              </w:rPr>
            </w:pPr>
            <w:r>
              <w:rPr>
                <w:sz w:val="22"/>
                <w:szCs w:val="22"/>
                <w:lang w:val="el-GR"/>
              </w:rPr>
              <w:t>N = 31</w:t>
            </w:r>
          </w:p>
        </w:tc>
      </w:tr>
      <w:tr w:rsidR="00171824" w14:paraId="70363E53" w14:textId="77777777">
        <w:trPr>
          <w:cantSplit/>
          <w:trHeight w:val="238"/>
        </w:trPr>
        <w:tc>
          <w:tcPr>
            <w:tcW w:w="3568" w:type="dxa"/>
            <w:tcMar>
              <w:top w:w="0" w:type="dxa"/>
              <w:left w:w="108" w:type="dxa"/>
              <w:bottom w:w="0" w:type="dxa"/>
              <w:right w:w="108" w:type="dxa"/>
            </w:tcMar>
          </w:tcPr>
          <w:p w14:paraId="5758B9EC" w14:textId="77777777" w:rsidR="00171824" w:rsidRDefault="006D258C" w:rsidP="00A07F46">
            <w:pPr>
              <w:widowControl/>
              <w:tabs>
                <w:tab w:val="left" w:pos="567"/>
              </w:tabs>
              <w:autoSpaceDE/>
              <w:autoSpaceDN/>
              <w:adjustRightInd/>
              <w:rPr>
                <w:sz w:val="22"/>
                <w:szCs w:val="22"/>
                <w:lang w:val="el-GR"/>
              </w:rPr>
            </w:pPr>
            <w:r>
              <w:rPr>
                <w:sz w:val="22"/>
                <w:szCs w:val="22"/>
                <w:lang w:val="el-GR"/>
              </w:rPr>
              <w:t>Κλινική ύφεση κατά PUCAI στους ασθενείς που είχαν ανταπόκριση κατά PMS την εβδομάδα 8</w:t>
            </w:r>
          </w:p>
        </w:tc>
        <w:tc>
          <w:tcPr>
            <w:tcW w:w="2693" w:type="dxa"/>
            <w:tcMar>
              <w:top w:w="0" w:type="dxa"/>
              <w:left w:w="108" w:type="dxa"/>
              <w:bottom w:w="0" w:type="dxa"/>
              <w:right w:w="108" w:type="dxa"/>
            </w:tcMar>
          </w:tcPr>
          <w:p w14:paraId="01E172B9" w14:textId="77777777" w:rsidR="00171824" w:rsidRDefault="006D258C" w:rsidP="00A07F46">
            <w:pPr>
              <w:widowControl/>
              <w:tabs>
                <w:tab w:val="left" w:pos="567"/>
              </w:tabs>
              <w:autoSpaceDE/>
              <w:autoSpaceDN/>
              <w:adjustRightInd/>
              <w:jc w:val="center"/>
              <w:rPr>
                <w:sz w:val="22"/>
                <w:szCs w:val="22"/>
                <w:lang w:val="el-GR"/>
              </w:rPr>
            </w:pPr>
            <w:r>
              <w:rPr>
                <w:sz w:val="22"/>
                <w:szCs w:val="22"/>
                <w:lang w:val="el-GR"/>
              </w:rPr>
              <w:t>14/31 (45,2%)</w:t>
            </w:r>
          </w:p>
        </w:tc>
        <w:tc>
          <w:tcPr>
            <w:tcW w:w="2811" w:type="dxa"/>
            <w:tcMar>
              <w:top w:w="0" w:type="dxa"/>
              <w:left w:w="108" w:type="dxa"/>
              <w:bottom w:w="0" w:type="dxa"/>
              <w:right w:w="108" w:type="dxa"/>
            </w:tcMar>
          </w:tcPr>
          <w:p w14:paraId="40FACA78" w14:textId="77777777" w:rsidR="00171824" w:rsidRDefault="006D258C" w:rsidP="00A07F46">
            <w:pPr>
              <w:widowControl/>
              <w:tabs>
                <w:tab w:val="left" w:pos="567"/>
              </w:tabs>
              <w:autoSpaceDE/>
              <w:autoSpaceDN/>
              <w:adjustRightInd/>
              <w:jc w:val="center"/>
              <w:rPr>
                <w:sz w:val="22"/>
                <w:szCs w:val="22"/>
                <w:lang w:val="el-GR"/>
              </w:rPr>
            </w:pPr>
            <w:r>
              <w:rPr>
                <w:sz w:val="22"/>
                <w:szCs w:val="22"/>
                <w:lang w:val="el-GR"/>
              </w:rPr>
              <w:t>18/31 (58,1%)</w:t>
            </w:r>
          </w:p>
        </w:tc>
      </w:tr>
      <w:tr w:rsidR="00171824" w14:paraId="5EE01747" w14:textId="77777777">
        <w:trPr>
          <w:cantSplit/>
          <w:trHeight w:val="238"/>
        </w:trPr>
        <w:tc>
          <w:tcPr>
            <w:tcW w:w="3568" w:type="dxa"/>
            <w:tcMar>
              <w:top w:w="0" w:type="dxa"/>
              <w:left w:w="108" w:type="dxa"/>
              <w:bottom w:w="0" w:type="dxa"/>
              <w:right w:w="108" w:type="dxa"/>
            </w:tcMar>
          </w:tcPr>
          <w:p w14:paraId="6C01FA19" w14:textId="77777777" w:rsidR="00171824" w:rsidRDefault="006D258C" w:rsidP="00A07F46">
            <w:pPr>
              <w:widowControl/>
              <w:tabs>
                <w:tab w:val="left" w:pos="567"/>
              </w:tabs>
              <w:autoSpaceDE/>
              <w:autoSpaceDN/>
              <w:adjustRightInd/>
              <w:rPr>
                <w:sz w:val="22"/>
                <w:szCs w:val="22"/>
                <w:lang w:val="el-GR"/>
              </w:rPr>
            </w:pPr>
            <w:r>
              <w:rPr>
                <w:sz w:val="22"/>
                <w:szCs w:val="22"/>
                <w:lang w:val="el-GR"/>
              </w:rPr>
              <w:t>Κλινική ανταπόκριση κατά PUCAI στους ασθενείς που είχαν ανταπόκριση κατά PMS την εβδομάδα 8</w:t>
            </w:r>
          </w:p>
        </w:tc>
        <w:tc>
          <w:tcPr>
            <w:tcW w:w="2693" w:type="dxa"/>
            <w:tcMar>
              <w:top w:w="0" w:type="dxa"/>
              <w:left w:w="108" w:type="dxa"/>
              <w:bottom w:w="0" w:type="dxa"/>
              <w:right w:w="108" w:type="dxa"/>
            </w:tcMar>
          </w:tcPr>
          <w:p w14:paraId="22E48C57" w14:textId="77777777" w:rsidR="00171824" w:rsidRDefault="006D258C" w:rsidP="00A07F46">
            <w:pPr>
              <w:widowControl/>
              <w:tabs>
                <w:tab w:val="left" w:pos="567"/>
              </w:tabs>
              <w:autoSpaceDE/>
              <w:autoSpaceDN/>
              <w:adjustRightInd/>
              <w:jc w:val="center"/>
              <w:rPr>
                <w:sz w:val="22"/>
                <w:szCs w:val="22"/>
                <w:lang w:val="el-GR"/>
              </w:rPr>
            </w:pPr>
            <w:r>
              <w:rPr>
                <w:sz w:val="22"/>
                <w:szCs w:val="22"/>
                <w:lang w:val="el-GR"/>
              </w:rPr>
              <w:t>18/31 (58,1%)</w:t>
            </w:r>
          </w:p>
        </w:tc>
        <w:tc>
          <w:tcPr>
            <w:tcW w:w="2811" w:type="dxa"/>
            <w:tcMar>
              <w:top w:w="0" w:type="dxa"/>
              <w:left w:w="108" w:type="dxa"/>
              <w:bottom w:w="0" w:type="dxa"/>
              <w:right w:w="108" w:type="dxa"/>
            </w:tcMar>
          </w:tcPr>
          <w:p w14:paraId="34E8B7CE" w14:textId="77777777" w:rsidR="00171824" w:rsidRDefault="006D258C" w:rsidP="00A07F46">
            <w:pPr>
              <w:widowControl/>
              <w:tabs>
                <w:tab w:val="left" w:pos="567"/>
              </w:tabs>
              <w:autoSpaceDE/>
              <w:autoSpaceDN/>
              <w:adjustRightInd/>
              <w:jc w:val="center"/>
              <w:rPr>
                <w:sz w:val="22"/>
                <w:szCs w:val="22"/>
                <w:lang w:val="el-GR"/>
              </w:rPr>
            </w:pPr>
            <w:r>
              <w:rPr>
                <w:sz w:val="22"/>
                <w:szCs w:val="22"/>
                <w:lang w:val="el-GR"/>
              </w:rPr>
              <w:t>16/31 (51,6%)</w:t>
            </w:r>
          </w:p>
        </w:tc>
      </w:tr>
      <w:tr w:rsidR="00171824" w:rsidRPr="00422380" w14:paraId="0C59E02D" w14:textId="77777777">
        <w:trPr>
          <w:cantSplit/>
          <w:trHeight w:val="238"/>
        </w:trPr>
        <w:tc>
          <w:tcPr>
            <w:tcW w:w="9072" w:type="dxa"/>
            <w:gridSpan w:val="3"/>
            <w:tcMar>
              <w:top w:w="0" w:type="dxa"/>
              <w:left w:w="108" w:type="dxa"/>
              <w:bottom w:w="0" w:type="dxa"/>
              <w:right w:w="108" w:type="dxa"/>
            </w:tcMar>
          </w:tcPr>
          <w:p w14:paraId="55E9D688" w14:textId="77777777" w:rsidR="00171824" w:rsidRDefault="006D258C">
            <w:pPr>
              <w:keepNext/>
              <w:keepLines/>
              <w:widowControl/>
              <w:tabs>
                <w:tab w:val="left" w:pos="567"/>
              </w:tabs>
              <w:autoSpaceDE/>
              <w:autoSpaceDN/>
              <w:adjustRightInd/>
              <w:rPr>
                <w:sz w:val="20"/>
                <w:szCs w:val="20"/>
                <w:lang w:val="el-GR"/>
              </w:rPr>
            </w:pPr>
            <w:r>
              <w:rPr>
                <w:sz w:val="20"/>
                <w:szCs w:val="20"/>
                <w:vertAlign w:val="superscript"/>
                <w:lang w:val="el-GR"/>
              </w:rPr>
              <w:t>α </w:t>
            </w:r>
            <w:r>
              <w:rPr>
                <w:color w:val="000000"/>
                <w:sz w:val="20"/>
                <w:szCs w:val="20"/>
                <w:lang w:val="el-GR" w:eastAsia="en-GB"/>
              </w:rPr>
              <w:t>Adalimumab</w:t>
            </w:r>
            <w:r>
              <w:rPr>
                <w:sz w:val="20"/>
                <w:szCs w:val="20"/>
                <w:lang w:val="el-GR"/>
              </w:rPr>
              <w:t> 2,4 mg/kg (μέγιστη δόση 160 mg) την εβδομάδα 0, εικονικό φάρμακο την εβδομάδα 1 και 1,2 mg/kg (μέγιστη δόση 80 mg) την εβδομάδα 2</w:t>
            </w:r>
          </w:p>
          <w:p w14:paraId="06D81426" w14:textId="77777777" w:rsidR="00171824" w:rsidRDefault="006D258C">
            <w:pPr>
              <w:keepNext/>
              <w:keepLines/>
              <w:widowControl/>
              <w:autoSpaceDE/>
              <w:autoSpaceDN/>
              <w:adjustRightInd/>
              <w:textAlignment w:val="baseline"/>
              <w:rPr>
                <w:sz w:val="20"/>
                <w:szCs w:val="20"/>
                <w:lang w:val="el-GR"/>
              </w:rPr>
            </w:pPr>
            <w:r>
              <w:rPr>
                <w:sz w:val="20"/>
                <w:szCs w:val="20"/>
                <w:vertAlign w:val="superscript"/>
                <w:lang w:val="el-GR"/>
              </w:rPr>
              <w:t>β </w:t>
            </w:r>
            <w:r>
              <w:rPr>
                <w:color w:val="000000"/>
                <w:sz w:val="20"/>
                <w:szCs w:val="20"/>
                <w:lang w:val="el-GR" w:eastAsia="en-GB"/>
              </w:rPr>
              <w:t>Adalimumab</w:t>
            </w:r>
            <w:r>
              <w:rPr>
                <w:sz w:val="20"/>
                <w:szCs w:val="20"/>
                <w:lang w:val="el-GR"/>
              </w:rPr>
              <w:t> 2,4 mg/kg (μέγιστη δόση 160 mg) την εβδομάδα 0 και την εβδομάδα 1, και 1,2 mg/kg (μέγιστη δόση 80 mg) την εβδομάδα 2</w:t>
            </w:r>
          </w:p>
          <w:p w14:paraId="2A89A922" w14:textId="77777777" w:rsidR="00171824" w:rsidRDefault="006D258C">
            <w:pPr>
              <w:keepNext/>
              <w:keepLines/>
              <w:widowControl/>
              <w:autoSpaceDE/>
              <w:autoSpaceDN/>
              <w:adjustRightInd/>
              <w:textAlignment w:val="baseline"/>
              <w:rPr>
                <w:sz w:val="20"/>
                <w:szCs w:val="20"/>
                <w:lang w:val="el-GR"/>
              </w:rPr>
            </w:pPr>
            <w:r>
              <w:rPr>
                <w:sz w:val="20"/>
                <w:szCs w:val="20"/>
                <w:vertAlign w:val="superscript"/>
                <w:lang w:val="el-GR"/>
              </w:rPr>
              <w:t>γ </w:t>
            </w:r>
            <w:r>
              <w:rPr>
                <w:sz w:val="20"/>
                <w:szCs w:val="20"/>
                <w:lang w:val="el-GR"/>
              </w:rPr>
              <w:t>Μη συμπεριλαμβανομένης της ανοικτής αρχικής δόσης a</w:t>
            </w:r>
            <w:r>
              <w:rPr>
                <w:color w:val="000000"/>
                <w:sz w:val="20"/>
                <w:szCs w:val="20"/>
                <w:lang w:val="el-GR" w:eastAsia="en-GB"/>
              </w:rPr>
              <w:t>dalimumab</w:t>
            </w:r>
            <w:r>
              <w:rPr>
                <w:sz w:val="20"/>
                <w:szCs w:val="20"/>
                <w:lang w:val="el-GR"/>
              </w:rPr>
              <w:t> 2,4 mg/kg (μέγιστη δόση 160 mg) την εβδομάδα 0 και την εβδομάδα 1 και 1,2 mg/kg (μέγιστη δόση 80 mg) την εβδομάδα 2</w:t>
            </w:r>
          </w:p>
          <w:p w14:paraId="7E2A4115" w14:textId="77777777" w:rsidR="00171824" w:rsidRDefault="006D258C">
            <w:pPr>
              <w:keepNext/>
              <w:keepLines/>
              <w:widowControl/>
              <w:autoSpaceDE/>
              <w:autoSpaceDN/>
              <w:adjustRightInd/>
              <w:textAlignment w:val="baseline"/>
              <w:rPr>
                <w:sz w:val="20"/>
                <w:szCs w:val="20"/>
                <w:lang w:val="el-GR"/>
              </w:rPr>
            </w:pPr>
            <w:r>
              <w:rPr>
                <w:sz w:val="20"/>
                <w:szCs w:val="20"/>
                <w:vertAlign w:val="superscript"/>
                <w:lang w:val="el-GR"/>
              </w:rPr>
              <w:t>δ</w:t>
            </w:r>
            <w:r>
              <w:rPr>
                <w:sz w:val="20"/>
                <w:szCs w:val="20"/>
                <w:lang w:val="el-GR"/>
              </w:rPr>
              <w:t xml:space="preserve"> </w:t>
            </w:r>
            <w:r>
              <w:rPr>
                <w:color w:val="000000"/>
                <w:sz w:val="20"/>
                <w:szCs w:val="20"/>
                <w:lang w:val="el-GR" w:eastAsia="en-GB"/>
              </w:rPr>
              <w:t>Adalimumab</w:t>
            </w:r>
            <w:r>
              <w:rPr>
                <w:sz w:val="20"/>
                <w:szCs w:val="20"/>
                <w:lang w:val="el-GR"/>
              </w:rPr>
              <w:t xml:space="preserve"> 0,6 mg/kg (μέγιστη δόση 40 mg) κάθε δεύτερη εβδομάδα</w:t>
            </w:r>
          </w:p>
          <w:p w14:paraId="360FCAA0" w14:textId="77777777" w:rsidR="00171824" w:rsidRDefault="006D258C">
            <w:pPr>
              <w:keepNext/>
              <w:keepLines/>
              <w:widowControl/>
              <w:tabs>
                <w:tab w:val="left" w:pos="567"/>
              </w:tabs>
              <w:autoSpaceDE/>
              <w:autoSpaceDN/>
              <w:adjustRightInd/>
              <w:rPr>
                <w:sz w:val="20"/>
                <w:szCs w:val="20"/>
                <w:lang w:val="el-GR"/>
              </w:rPr>
            </w:pPr>
            <w:r>
              <w:rPr>
                <w:sz w:val="20"/>
                <w:szCs w:val="20"/>
                <w:vertAlign w:val="superscript"/>
                <w:lang w:val="el-GR"/>
              </w:rPr>
              <w:t>ε </w:t>
            </w:r>
            <w:r>
              <w:rPr>
                <w:color w:val="000000"/>
                <w:sz w:val="20"/>
                <w:szCs w:val="20"/>
                <w:lang w:val="el-GR" w:eastAsia="en-GB"/>
              </w:rPr>
              <w:t>Adalimumab</w:t>
            </w:r>
            <w:r>
              <w:rPr>
                <w:sz w:val="20"/>
                <w:szCs w:val="20"/>
                <w:lang w:val="el-GR"/>
              </w:rPr>
              <w:t xml:space="preserve"> 0,6 mg/kg (μέγιστη δόση 40 mg) κάθε εβδομάδα</w:t>
            </w:r>
          </w:p>
          <w:p w14:paraId="16DD29AE" w14:textId="77777777" w:rsidR="00171824" w:rsidRDefault="006D258C">
            <w:pPr>
              <w:keepNext/>
              <w:keepLines/>
              <w:widowControl/>
              <w:autoSpaceDE/>
              <w:autoSpaceDN/>
              <w:adjustRightInd/>
              <w:textAlignment w:val="baseline"/>
              <w:rPr>
                <w:sz w:val="20"/>
                <w:szCs w:val="20"/>
                <w:lang w:val="el-GR"/>
              </w:rPr>
            </w:pPr>
            <w:r>
              <w:rPr>
                <w:sz w:val="20"/>
                <w:szCs w:val="20"/>
                <w:lang w:val="el-GR"/>
              </w:rPr>
              <w:t>Σημείωση 1: Αμφότερες οι ομάδες αρχικής δόσης έλαβαν 0,6 mg/kg (μέγιστη δόση 40 mg) την εβδομάδα 4 και την εβδομάδα 6</w:t>
            </w:r>
          </w:p>
          <w:p w14:paraId="3D94AB9D" w14:textId="77777777" w:rsidR="00171824" w:rsidRDefault="006D258C">
            <w:pPr>
              <w:keepNext/>
              <w:keepLines/>
              <w:widowControl/>
              <w:autoSpaceDE/>
              <w:autoSpaceDN/>
              <w:adjustRightInd/>
              <w:textAlignment w:val="baseline"/>
              <w:rPr>
                <w:sz w:val="20"/>
                <w:szCs w:val="20"/>
                <w:lang w:val="el-GR"/>
              </w:rPr>
            </w:pPr>
            <w:r>
              <w:rPr>
                <w:sz w:val="20"/>
                <w:szCs w:val="20"/>
                <w:lang w:val="el-GR"/>
              </w:rPr>
              <w:t>Σημείωση 2: Οι ασθενείς με ελλείπουσες τιμές την εβδομάδα 8 θεωρήθηκε ότι δεν πληρούσαν τα καταληκτικά σημεία</w:t>
            </w:r>
          </w:p>
          <w:p w14:paraId="0B8870BE" w14:textId="77777777" w:rsidR="00171824" w:rsidRDefault="006D258C">
            <w:pPr>
              <w:keepNext/>
              <w:keepLines/>
              <w:widowControl/>
              <w:tabs>
                <w:tab w:val="left" w:pos="567"/>
              </w:tabs>
              <w:autoSpaceDE/>
              <w:autoSpaceDN/>
              <w:adjustRightInd/>
              <w:rPr>
                <w:sz w:val="22"/>
                <w:szCs w:val="22"/>
                <w:lang w:val="el-GR"/>
              </w:rPr>
            </w:pPr>
            <w:r>
              <w:rPr>
                <w:sz w:val="20"/>
                <w:szCs w:val="20"/>
                <w:lang w:val="el-GR"/>
              </w:rPr>
              <w:t>Σημείωση 3: Οι ασθενείς με ελλείπουσες τιμές την εβδομάδα 52 ή εκείνοι που τυχαιοποιήθηκαν ώστε να λάβουν θεραπεία νέας αρχικής δόσης ή θεραπεία συντήρησης θεωρήθηκαν ως μη ανταποκριθέντες για τα καταληκτικά σημεία της εβδομάδας 52</w:t>
            </w:r>
          </w:p>
        </w:tc>
      </w:tr>
    </w:tbl>
    <w:p w14:paraId="6EF9C5D5" w14:textId="77777777" w:rsidR="00171824" w:rsidRDefault="00171824">
      <w:pPr>
        <w:widowControl/>
        <w:tabs>
          <w:tab w:val="left" w:pos="567"/>
        </w:tabs>
        <w:autoSpaceDE/>
        <w:autoSpaceDN/>
        <w:adjustRightInd/>
        <w:rPr>
          <w:sz w:val="22"/>
          <w:szCs w:val="20"/>
          <w:lang w:val="el-GR"/>
        </w:rPr>
      </w:pPr>
    </w:p>
    <w:p w14:paraId="7F277203" w14:textId="77777777" w:rsidR="00171824" w:rsidRDefault="006D258C">
      <w:pPr>
        <w:pStyle w:val="BodyText"/>
        <w:widowControl/>
        <w:kinsoku w:val="0"/>
        <w:overflowPunct w:val="0"/>
        <w:ind w:left="0"/>
        <w:rPr>
          <w:lang w:val="el-GR"/>
        </w:rPr>
      </w:pPr>
      <w:r>
        <w:rPr>
          <w:lang w:val="el-GR"/>
        </w:rPr>
        <w:t>Από τους ασθενείς υπό θεραπεία με adalimumab που έλαβαν θεραπεία νέας αρχικής δόσης κατά τη διάρκεια της περιόδου συντήρησης, 2/6 (33%) επέτυχαν κλινική ανταπόκριση κατά FMS την εβδομάδα 52.</w:t>
      </w:r>
    </w:p>
    <w:p w14:paraId="274DE430" w14:textId="77777777" w:rsidR="00171824" w:rsidRDefault="00171824">
      <w:pPr>
        <w:pStyle w:val="BodyText"/>
        <w:widowControl/>
        <w:kinsoku w:val="0"/>
        <w:overflowPunct w:val="0"/>
        <w:ind w:left="0"/>
        <w:rPr>
          <w:lang w:val="el-GR"/>
        </w:rPr>
      </w:pPr>
    </w:p>
    <w:p w14:paraId="7237CC18" w14:textId="77777777" w:rsidR="00171824" w:rsidRDefault="006D258C">
      <w:pPr>
        <w:pStyle w:val="BodyText"/>
        <w:keepNext/>
        <w:widowControl/>
        <w:kinsoku w:val="0"/>
        <w:overflowPunct w:val="0"/>
        <w:ind w:left="0"/>
        <w:rPr>
          <w:u w:val="single"/>
          <w:lang w:val="el-GR"/>
        </w:rPr>
      </w:pPr>
      <w:r>
        <w:rPr>
          <w:i/>
          <w:iCs/>
          <w:u w:val="single"/>
          <w:lang w:val="el-GR"/>
        </w:rPr>
        <w:t>Ποιότητα ζωής</w:t>
      </w:r>
    </w:p>
    <w:p w14:paraId="619D9992" w14:textId="77777777" w:rsidR="00171824" w:rsidRDefault="00171824">
      <w:pPr>
        <w:pStyle w:val="BodyText"/>
        <w:keepNext/>
        <w:widowControl/>
        <w:kinsoku w:val="0"/>
        <w:overflowPunct w:val="0"/>
        <w:ind w:left="0"/>
        <w:rPr>
          <w:lang w:val="el-GR"/>
        </w:rPr>
      </w:pPr>
    </w:p>
    <w:p w14:paraId="761962C2" w14:textId="77777777" w:rsidR="00171824" w:rsidRDefault="006D258C">
      <w:pPr>
        <w:pStyle w:val="BodyText"/>
        <w:widowControl/>
        <w:kinsoku w:val="0"/>
        <w:overflowPunct w:val="0"/>
        <w:ind w:left="0"/>
        <w:rPr>
          <w:lang w:val="el-GR"/>
        </w:rPr>
      </w:pPr>
      <w:r>
        <w:rPr>
          <w:lang w:val="el-GR"/>
        </w:rPr>
        <w:t>Για τις ομάδες που λάμβαναν θεραπεία με adalimumab, παρατηρήθηκαν κλινικά σημαντικές βελτιώσεις από τις αρχικές τιμές όσον αφορά την IMPACT III και τις βαθμολογίες παραγωγικότητας στην εργασία και αδυναμίας διεκπεραίωσης δραστηριοτήτων (WPAI) κατά τον φροντιστή.</w:t>
      </w:r>
    </w:p>
    <w:p w14:paraId="46EE9BD2" w14:textId="77777777" w:rsidR="00171824" w:rsidRDefault="00171824">
      <w:pPr>
        <w:pStyle w:val="BodyText"/>
        <w:widowControl/>
        <w:kinsoku w:val="0"/>
        <w:overflowPunct w:val="0"/>
        <w:ind w:left="0"/>
        <w:rPr>
          <w:lang w:val="el-GR"/>
        </w:rPr>
      </w:pPr>
    </w:p>
    <w:p w14:paraId="4ADC9E21" w14:textId="77777777" w:rsidR="00171824" w:rsidRDefault="006D258C">
      <w:pPr>
        <w:pStyle w:val="BodyText"/>
        <w:widowControl/>
        <w:kinsoku w:val="0"/>
        <w:overflowPunct w:val="0"/>
        <w:ind w:left="0"/>
        <w:rPr>
          <w:lang w:val="el-GR"/>
        </w:rPr>
      </w:pPr>
      <w:r>
        <w:rPr>
          <w:lang w:val="el-GR"/>
        </w:rPr>
        <w:t>Για τις ομάδες που λάμβαναν adalimumab, παρατηρήθηκαν κλινικά σημαντικές αυξήσεις (βελτίωση) στην ταχύτητα ύψους σε σχέση με τις αρχικές τιμές και για τους ασθενείς που λάμβαναν την υψηλή δόση συντήρησης με μέγιστη τιμή τα 40 mg (0,6 mg/kg) κάθε εβδομάδα, παρατηρήθηκαν κλινικά σημαντικές αυξήσεις (βελτίωση) στον δείκτη μάζας σώματος σε σχέση με τις αρχικές τιμές.</w:t>
      </w:r>
    </w:p>
    <w:p w14:paraId="0CAB45D6" w14:textId="77777777" w:rsidR="00171824" w:rsidRDefault="00171824">
      <w:pPr>
        <w:pStyle w:val="BodyText"/>
        <w:widowControl/>
        <w:kinsoku w:val="0"/>
        <w:overflowPunct w:val="0"/>
        <w:ind w:left="0"/>
        <w:rPr>
          <w:lang w:val="el-GR"/>
        </w:rPr>
      </w:pPr>
    </w:p>
    <w:p w14:paraId="21A2E129" w14:textId="77777777" w:rsidR="00171824" w:rsidRDefault="006D258C">
      <w:pPr>
        <w:widowControl/>
        <w:rPr>
          <w:color w:val="000000"/>
          <w:sz w:val="22"/>
          <w:szCs w:val="22"/>
          <w:lang w:val="el-GR" w:eastAsia="ja-JP"/>
        </w:rPr>
      </w:pPr>
      <w:r>
        <w:rPr>
          <w:i/>
          <w:iCs/>
          <w:color w:val="000000"/>
          <w:sz w:val="22"/>
          <w:szCs w:val="22"/>
          <w:lang w:val="el-GR" w:eastAsia="ja-JP"/>
        </w:rPr>
        <w:t xml:space="preserve">Παιδιατρική Ραγοειδίτιδα </w:t>
      </w:r>
    </w:p>
    <w:p w14:paraId="00A4A123" w14:textId="77777777" w:rsidR="00171824" w:rsidRDefault="00171824">
      <w:pPr>
        <w:widowControl/>
        <w:rPr>
          <w:color w:val="000000"/>
          <w:sz w:val="22"/>
          <w:szCs w:val="22"/>
          <w:lang w:val="el-GR" w:eastAsia="ja-JP"/>
        </w:rPr>
      </w:pPr>
    </w:p>
    <w:p w14:paraId="46C67AE1" w14:textId="77777777" w:rsidR="00171824" w:rsidRDefault="006D258C">
      <w:pPr>
        <w:widowControl/>
        <w:rPr>
          <w:color w:val="000000"/>
          <w:sz w:val="22"/>
          <w:szCs w:val="22"/>
          <w:lang w:val="el-GR" w:eastAsia="ja-JP"/>
        </w:rPr>
      </w:pPr>
      <w:r>
        <w:rPr>
          <w:color w:val="000000"/>
          <w:sz w:val="22"/>
          <w:szCs w:val="22"/>
          <w:lang w:val="el-GR" w:eastAsia="ja-JP"/>
        </w:rPr>
        <w:t xml:space="preserve">Η ασφάλεια και η αποτελεσματικότητα του </w:t>
      </w:r>
      <w:r>
        <w:rPr>
          <w:sz w:val="22"/>
          <w:szCs w:val="22"/>
          <w:lang w:val="el-GR"/>
        </w:rPr>
        <w:t>adalimumab</w:t>
      </w:r>
      <w:r>
        <w:rPr>
          <w:color w:val="000000"/>
          <w:sz w:val="22"/>
          <w:szCs w:val="22"/>
          <w:lang w:val="el-GR" w:eastAsia="ja-JP"/>
        </w:rPr>
        <w:t xml:space="preserve"> αξιολογήθηκαν σε μια τυχαιοποιημένη, διπλά συγκαλυμμένη, ελεγχόμενη μελέτη 90 παιδιατρικών ασθενών ηλικίας 2 έως &lt;</w:t>
      </w:r>
      <w:r>
        <w:rPr>
          <w:sz w:val="22"/>
          <w:lang w:val="el-GR"/>
        </w:rPr>
        <w:t> </w:t>
      </w:r>
      <w:r>
        <w:rPr>
          <w:color w:val="000000"/>
          <w:sz w:val="22"/>
          <w:szCs w:val="22"/>
          <w:lang w:val="el-GR" w:eastAsia="ja-JP"/>
        </w:rPr>
        <w:t>18 ετών με ενεργή μη-λοιμώδη πρόσθια ραγοειδίτιδα που σχετίζονταν με JIA, οι οποίοι δεν ανταποκρίθηκαν σε θεραπεία με μεθοτρεξάτη τουλάχιστον 12 εβδομάδων. Οι ασθενείς έλαβαν είτε εικονικό φάρμακο ή 20</w:t>
      </w:r>
      <w:r>
        <w:rPr>
          <w:sz w:val="22"/>
          <w:lang w:val="el-GR"/>
        </w:rPr>
        <w:t> </w:t>
      </w:r>
      <w:r>
        <w:rPr>
          <w:color w:val="000000"/>
          <w:sz w:val="22"/>
          <w:szCs w:val="22"/>
          <w:lang w:val="el-GR" w:eastAsia="ja-JP"/>
        </w:rPr>
        <w:t>mg adalimumab (εάν &lt;</w:t>
      </w:r>
      <w:r>
        <w:rPr>
          <w:sz w:val="22"/>
          <w:lang w:val="el-GR"/>
        </w:rPr>
        <w:t> </w:t>
      </w:r>
      <w:r>
        <w:rPr>
          <w:color w:val="000000"/>
          <w:sz w:val="22"/>
          <w:szCs w:val="22"/>
          <w:lang w:val="el-GR" w:eastAsia="ja-JP"/>
        </w:rPr>
        <w:t>30</w:t>
      </w:r>
      <w:r>
        <w:rPr>
          <w:sz w:val="22"/>
          <w:lang w:val="el-GR"/>
        </w:rPr>
        <w:t> </w:t>
      </w:r>
      <w:r>
        <w:rPr>
          <w:color w:val="000000"/>
          <w:sz w:val="22"/>
          <w:szCs w:val="22"/>
          <w:lang w:val="el-GR" w:eastAsia="ja-JP"/>
        </w:rPr>
        <w:t>kg) ή 40 mg adalimumab (εάν ≥</w:t>
      </w:r>
      <w:r>
        <w:rPr>
          <w:sz w:val="22"/>
          <w:lang w:val="el-GR"/>
        </w:rPr>
        <w:t> </w:t>
      </w:r>
      <w:r>
        <w:rPr>
          <w:color w:val="000000"/>
          <w:sz w:val="22"/>
          <w:szCs w:val="22"/>
          <w:lang w:val="el-GR" w:eastAsia="ja-JP"/>
        </w:rPr>
        <w:t>30</w:t>
      </w:r>
      <w:r>
        <w:rPr>
          <w:sz w:val="22"/>
          <w:lang w:val="el-GR"/>
        </w:rPr>
        <w:t> </w:t>
      </w:r>
      <w:r>
        <w:rPr>
          <w:color w:val="000000"/>
          <w:sz w:val="22"/>
          <w:szCs w:val="22"/>
          <w:lang w:val="el-GR" w:eastAsia="ja-JP"/>
        </w:rPr>
        <w:t>kg) κάθε δεύτερη εβδομάδα σε συνδυασμό με την αρχική δόση μεθοτρεξάτης.</w:t>
      </w:r>
    </w:p>
    <w:p w14:paraId="4764E84C" w14:textId="77777777" w:rsidR="00171824" w:rsidRDefault="00171824">
      <w:pPr>
        <w:pStyle w:val="BodyText"/>
        <w:widowControl/>
        <w:kinsoku w:val="0"/>
        <w:overflowPunct w:val="0"/>
        <w:ind w:left="0"/>
        <w:rPr>
          <w:color w:val="000000"/>
          <w:lang w:val="el-GR" w:eastAsia="ja-JP"/>
        </w:rPr>
      </w:pPr>
    </w:p>
    <w:p w14:paraId="053099C2" w14:textId="77777777" w:rsidR="00171824" w:rsidRDefault="006D258C">
      <w:pPr>
        <w:pStyle w:val="BodyText"/>
        <w:widowControl/>
        <w:kinsoku w:val="0"/>
        <w:overflowPunct w:val="0"/>
        <w:ind w:left="0"/>
        <w:rPr>
          <w:lang w:val="el-GR"/>
        </w:rPr>
      </w:pPr>
      <w:r>
        <w:rPr>
          <w:color w:val="000000"/>
          <w:lang w:val="el-GR" w:eastAsia="ja-JP"/>
        </w:rPr>
        <w:t>Το πρωτεύον καταληκτικό σημείο ήταν ο «χρόνος έως την αποτυχία της θεραπείας». Τα κριτήρια που καθορίζουν την αποτυχία της θεραπείας ήταν η επιδείνωση ή η παρατεταμένη μη βελτίωση της οφθαλμικής φλεγμονής, η μερική βελτίωση με ανάπτυξη συνεχών οφθαλμικών συννοσηρότητων ή η επιδείνωση οφθαλμικών συννοσηρότητων, η μη επιτρεπόμενη χρήση συγχορηγούμενων φαρμάκων και η αναστολή της θεραπείας για παρατεταμένη χρονική περίοδο.</w:t>
      </w:r>
    </w:p>
    <w:p w14:paraId="34875B67" w14:textId="77777777" w:rsidR="00171824" w:rsidRDefault="00171824">
      <w:pPr>
        <w:pStyle w:val="BodyText"/>
        <w:widowControl/>
        <w:kinsoku w:val="0"/>
        <w:overflowPunct w:val="0"/>
        <w:ind w:left="0"/>
        <w:rPr>
          <w:lang w:val="el-GR"/>
        </w:rPr>
      </w:pPr>
    </w:p>
    <w:p w14:paraId="47CA5389" w14:textId="77777777" w:rsidR="00171824" w:rsidRDefault="006D258C">
      <w:pPr>
        <w:keepNext/>
        <w:widowControl/>
        <w:rPr>
          <w:color w:val="000000"/>
          <w:sz w:val="22"/>
          <w:szCs w:val="22"/>
          <w:lang w:val="el-GR" w:eastAsia="ja-JP"/>
        </w:rPr>
      </w:pPr>
      <w:r>
        <w:rPr>
          <w:i/>
          <w:iCs/>
          <w:color w:val="000000"/>
          <w:sz w:val="22"/>
          <w:szCs w:val="22"/>
          <w:lang w:val="el-GR" w:eastAsia="ja-JP"/>
        </w:rPr>
        <w:lastRenderedPageBreak/>
        <w:t xml:space="preserve">Κλινική Ανταπόκριση </w:t>
      </w:r>
    </w:p>
    <w:p w14:paraId="37F395CC" w14:textId="77777777" w:rsidR="00171824" w:rsidRDefault="00171824">
      <w:pPr>
        <w:pStyle w:val="BodyText"/>
        <w:keepNext/>
        <w:widowControl/>
        <w:kinsoku w:val="0"/>
        <w:overflowPunct w:val="0"/>
        <w:ind w:left="0"/>
        <w:rPr>
          <w:color w:val="000000"/>
          <w:lang w:val="el-GR" w:eastAsia="ja-JP"/>
        </w:rPr>
      </w:pPr>
    </w:p>
    <w:p w14:paraId="16C68396" w14:textId="77777777" w:rsidR="00171824" w:rsidRDefault="006D258C">
      <w:pPr>
        <w:pStyle w:val="BodyText"/>
        <w:widowControl/>
        <w:kinsoku w:val="0"/>
        <w:overflowPunct w:val="0"/>
        <w:ind w:left="0"/>
        <w:rPr>
          <w:lang w:val="el-GR"/>
        </w:rPr>
      </w:pPr>
      <w:r>
        <w:rPr>
          <w:color w:val="000000"/>
          <w:lang w:val="el-GR" w:eastAsia="ja-JP"/>
        </w:rPr>
        <w:t>Το adalimumab μείωσε σημαντικά τον χρόνο έως την αποτυχία της θεραπείας συγκριτικά με το εικονικό φάρμακο (βλέπε Σχήμα 3, P &lt;</w:t>
      </w:r>
      <w:r>
        <w:rPr>
          <w:lang w:val="el-GR"/>
        </w:rPr>
        <w:t> </w:t>
      </w:r>
      <w:r>
        <w:rPr>
          <w:color w:val="000000"/>
          <w:lang w:val="el-GR" w:eastAsia="ja-JP"/>
        </w:rPr>
        <w:t>0.0001 από τη δοκιμασία log rank). Ο διάμεσος χρόνος έως την αποτυχία της θεραπείας ήταν 24,1 εβδομάδες για ασθενείς που έλαβαν θεραπεία με εικονικό φάρμακο, ενώ ο διάμεσος χρόνος έως την αποτυχία της θεραπείας για ασθενείς που έλαβαν θεραπεία με adalimumab δεν μπορεί να εκτιμηθεί, επειδή λιγότερο από τους μισούς ασθενείς εμφάνισαν αποτυχία στη θεραπεία. Το adalimumab μείωσε σημαντικά τον κίνδυνο αποτυχίας της θεραπείας κατά 75% συγκριτικά με το εικονικό φάρμακο, όπως φαίνεται από τον λόγο κινδύνου (HR = 0,25 [95% CI 0,12, 0,49]).</w:t>
      </w:r>
    </w:p>
    <w:p w14:paraId="58B2C81D" w14:textId="77777777" w:rsidR="00171824" w:rsidRDefault="00171824">
      <w:pPr>
        <w:pStyle w:val="BodyText"/>
        <w:widowControl/>
        <w:kinsoku w:val="0"/>
        <w:overflowPunct w:val="0"/>
        <w:ind w:left="0"/>
        <w:rPr>
          <w:b/>
          <w:bCs/>
          <w:lang w:val="el-GR"/>
        </w:rPr>
      </w:pPr>
    </w:p>
    <w:p w14:paraId="5DB3EA55" w14:textId="77777777" w:rsidR="00171824" w:rsidRDefault="006D258C">
      <w:pPr>
        <w:pStyle w:val="BodyText"/>
        <w:keepNext/>
        <w:widowControl/>
        <w:kinsoku w:val="0"/>
        <w:overflowPunct w:val="0"/>
        <w:ind w:left="0"/>
        <w:rPr>
          <w:lang w:val="el-GR"/>
        </w:rPr>
      </w:pPr>
      <w:r>
        <w:rPr>
          <w:b/>
          <w:bCs/>
          <w:lang w:val="el-GR"/>
        </w:rPr>
        <w:t>Σχήμα 3. Καμπύλες Kaplan-Meier που Συνοψίζουν το Χρόνο έως την Αποτυχία της Θεραπείας στην Παιδιατρική Μελέτη για τη Ραγοειδίτιδα</w:t>
      </w:r>
    </w:p>
    <w:p w14:paraId="5A31AB00" w14:textId="77777777" w:rsidR="00171824" w:rsidRDefault="00171824">
      <w:pPr>
        <w:keepNext/>
        <w:widowControl/>
        <w:autoSpaceDE/>
        <w:autoSpaceDN/>
        <w:adjustRightInd/>
        <w:rPr>
          <w:b/>
          <w:sz w:val="22"/>
          <w:szCs w:val="22"/>
          <w:lang w:val="el-GR"/>
        </w:rPr>
      </w:pPr>
    </w:p>
    <w:tbl>
      <w:tblPr>
        <w:tblW w:w="9288" w:type="dxa"/>
        <w:tblLayout w:type="fixed"/>
        <w:tblLook w:val="04A0" w:firstRow="1" w:lastRow="0" w:firstColumn="1" w:lastColumn="0" w:noHBand="0" w:noVBand="1"/>
      </w:tblPr>
      <w:tblGrid>
        <w:gridCol w:w="468"/>
        <w:gridCol w:w="2475"/>
        <w:gridCol w:w="1560"/>
        <w:gridCol w:w="1995"/>
        <w:gridCol w:w="900"/>
        <w:gridCol w:w="1890"/>
      </w:tblGrid>
      <w:tr w:rsidR="00171824" w14:paraId="7CD968AA" w14:textId="77777777">
        <w:trPr>
          <w:cantSplit/>
          <w:trHeight w:val="1134"/>
        </w:trPr>
        <w:tc>
          <w:tcPr>
            <w:tcW w:w="468" w:type="dxa"/>
            <w:textDirection w:val="btLr"/>
            <w:vAlign w:val="center"/>
          </w:tcPr>
          <w:p w14:paraId="3E79FCF6" w14:textId="77777777" w:rsidR="00171824" w:rsidRDefault="006D258C">
            <w:pPr>
              <w:widowControl/>
              <w:tabs>
                <w:tab w:val="left" w:pos="562"/>
              </w:tabs>
              <w:suppressAutoHyphens/>
              <w:autoSpaceDE/>
              <w:autoSpaceDN/>
              <w:adjustRightInd/>
              <w:ind w:left="113" w:right="113"/>
              <w:jc w:val="center"/>
              <w:rPr>
                <w:sz w:val="22"/>
                <w:szCs w:val="22"/>
                <w:lang w:val="el-GR"/>
              </w:rPr>
            </w:pPr>
            <w:r>
              <w:rPr>
                <w:b/>
                <w:sz w:val="22"/>
                <w:szCs w:val="22"/>
                <w:lang w:val="el-GR"/>
              </w:rPr>
              <w:t>ΠΙΘΑΝΌΤΗΤΑ ΑΠΟΤΥΧΙΑΣ ΤΗΣ ΘΕΡΑΠΕΊΑΣ</w:t>
            </w:r>
          </w:p>
        </w:tc>
        <w:tc>
          <w:tcPr>
            <w:tcW w:w="8820" w:type="dxa"/>
            <w:gridSpan w:val="5"/>
          </w:tcPr>
          <w:p w14:paraId="68EA3AAA" w14:textId="14DD1A8A" w:rsidR="00171824" w:rsidRDefault="009039B7">
            <w:pPr>
              <w:widowControl/>
              <w:tabs>
                <w:tab w:val="left" w:pos="562"/>
              </w:tabs>
              <w:autoSpaceDE/>
              <w:autoSpaceDN/>
              <w:adjustRightInd/>
              <w:jc w:val="center"/>
              <w:rPr>
                <w:b/>
                <w:sz w:val="22"/>
                <w:szCs w:val="22"/>
                <w:lang w:val="el-GR"/>
              </w:rPr>
            </w:pPr>
            <w:r>
              <w:rPr>
                <w:noProof/>
                <w:szCs w:val="22"/>
                <w:lang w:val="el-GR" w:eastAsia="zh-CN"/>
              </w:rPr>
              <w:drawing>
                <wp:inline distT="0" distB="0" distL="0" distR="0" wp14:anchorId="3D33B561" wp14:editId="0D0F091B">
                  <wp:extent cx="5486400" cy="4572000"/>
                  <wp:effectExtent l="0" t="0" r="0" b="0"/>
                  <wp:docPr id="12" name="Picture 113"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umira PED UV KM Curve REVISED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r w:rsidR="006D258C">
              <w:rPr>
                <w:b/>
                <w:sz w:val="22"/>
                <w:szCs w:val="22"/>
                <w:lang w:val="el-GR"/>
              </w:rPr>
              <w:t>ΧΡΟΝΟΣ (ΕΒΔΟΜΑΔΕΣ)</w:t>
            </w:r>
          </w:p>
        </w:tc>
      </w:tr>
      <w:tr w:rsidR="00171824" w14:paraId="4988AEB6" w14:textId="77777777">
        <w:tc>
          <w:tcPr>
            <w:tcW w:w="468" w:type="dxa"/>
          </w:tcPr>
          <w:p w14:paraId="3B914AF4" w14:textId="77777777" w:rsidR="00171824" w:rsidRDefault="00171824">
            <w:pPr>
              <w:widowControl/>
              <w:tabs>
                <w:tab w:val="left" w:pos="562"/>
              </w:tabs>
              <w:suppressAutoHyphens/>
              <w:autoSpaceDE/>
              <w:autoSpaceDN/>
              <w:adjustRightInd/>
              <w:rPr>
                <w:sz w:val="22"/>
                <w:szCs w:val="22"/>
                <w:lang w:val="el-GR"/>
              </w:rPr>
            </w:pPr>
          </w:p>
        </w:tc>
        <w:tc>
          <w:tcPr>
            <w:tcW w:w="2475" w:type="dxa"/>
          </w:tcPr>
          <w:p w14:paraId="4FF53C98" w14:textId="77777777" w:rsidR="00171824" w:rsidRDefault="006D258C">
            <w:pPr>
              <w:widowControl/>
              <w:tabs>
                <w:tab w:val="left" w:pos="562"/>
              </w:tabs>
              <w:autoSpaceDE/>
              <w:autoSpaceDN/>
              <w:adjustRightInd/>
              <w:rPr>
                <w:sz w:val="22"/>
                <w:szCs w:val="22"/>
                <w:lang w:val="el-GR"/>
              </w:rPr>
            </w:pPr>
            <w:r>
              <w:rPr>
                <w:sz w:val="22"/>
                <w:szCs w:val="22"/>
                <w:lang w:val="el-GR"/>
              </w:rPr>
              <w:t>Θεραπεία</w:t>
            </w:r>
          </w:p>
        </w:tc>
        <w:tc>
          <w:tcPr>
            <w:tcW w:w="1560" w:type="dxa"/>
            <w:vAlign w:val="bottom"/>
          </w:tcPr>
          <w:p w14:paraId="0E2277C7" w14:textId="19957590" w:rsidR="00171824" w:rsidRDefault="009039B7">
            <w:pPr>
              <w:widowControl/>
              <w:tabs>
                <w:tab w:val="left" w:pos="562"/>
              </w:tabs>
              <w:autoSpaceDE/>
              <w:autoSpaceDN/>
              <w:adjustRightInd/>
              <w:jc w:val="center"/>
              <w:rPr>
                <w:sz w:val="22"/>
                <w:szCs w:val="22"/>
                <w:lang w:val="el-GR"/>
              </w:rPr>
            </w:pPr>
            <w:r>
              <w:rPr>
                <w:noProof/>
                <w:sz w:val="22"/>
                <w:szCs w:val="22"/>
                <w:lang w:val="el-GR" w:eastAsia="zh-CN"/>
              </w:rPr>
              <w:drawing>
                <wp:inline distT="0" distB="0" distL="0" distR="0" wp14:anchorId="5C35A404" wp14:editId="01AB096E">
                  <wp:extent cx="457200" cy="97155"/>
                  <wp:effectExtent l="0" t="0" r="0" b="0"/>
                  <wp:docPr id="13" name="Picture 20"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umira PED UV KM Curv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 cy="97155"/>
                          </a:xfrm>
                          <a:prstGeom prst="rect">
                            <a:avLst/>
                          </a:prstGeom>
                          <a:noFill/>
                          <a:ln>
                            <a:noFill/>
                          </a:ln>
                        </pic:spPr>
                      </pic:pic>
                    </a:graphicData>
                  </a:graphic>
                </wp:inline>
              </w:drawing>
            </w:r>
          </w:p>
        </w:tc>
        <w:tc>
          <w:tcPr>
            <w:tcW w:w="1995" w:type="dxa"/>
          </w:tcPr>
          <w:p w14:paraId="5B59B7A0" w14:textId="77777777" w:rsidR="00171824" w:rsidRDefault="006D258C">
            <w:pPr>
              <w:widowControl/>
              <w:tabs>
                <w:tab w:val="left" w:pos="562"/>
              </w:tabs>
              <w:autoSpaceDE/>
              <w:autoSpaceDN/>
              <w:adjustRightInd/>
              <w:rPr>
                <w:sz w:val="22"/>
                <w:szCs w:val="22"/>
                <w:lang w:val="el-GR"/>
              </w:rPr>
            </w:pPr>
            <w:r>
              <w:rPr>
                <w:sz w:val="22"/>
                <w:szCs w:val="22"/>
                <w:lang w:val="el-GR"/>
              </w:rPr>
              <w:t>Εικονικό φάρμακο</w:t>
            </w:r>
          </w:p>
        </w:tc>
        <w:tc>
          <w:tcPr>
            <w:tcW w:w="900" w:type="dxa"/>
            <w:vAlign w:val="center"/>
          </w:tcPr>
          <w:p w14:paraId="1BE66705" w14:textId="4141E351" w:rsidR="00171824" w:rsidRDefault="009039B7">
            <w:pPr>
              <w:widowControl/>
              <w:tabs>
                <w:tab w:val="left" w:pos="562"/>
              </w:tabs>
              <w:autoSpaceDE/>
              <w:autoSpaceDN/>
              <w:adjustRightInd/>
              <w:rPr>
                <w:sz w:val="22"/>
                <w:szCs w:val="22"/>
                <w:lang w:val="el-GR"/>
              </w:rPr>
            </w:pPr>
            <w:r>
              <w:rPr>
                <w:noProof/>
                <w:sz w:val="22"/>
                <w:szCs w:val="22"/>
                <w:lang w:val="el-GR" w:eastAsia="zh-CN"/>
              </w:rPr>
              <w:drawing>
                <wp:inline distT="0" distB="0" distL="0" distR="0" wp14:anchorId="0D42F54C" wp14:editId="1FF626F9">
                  <wp:extent cx="457200" cy="97155"/>
                  <wp:effectExtent l="0" t="0" r="0" b="0"/>
                  <wp:docPr id="14" name="Picture 19"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 cy="97155"/>
                          </a:xfrm>
                          <a:prstGeom prst="rect">
                            <a:avLst/>
                          </a:prstGeom>
                          <a:noFill/>
                          <a:ln>
                            <a:noFill/>
                          </a:ln>
                        </pic:spPr>
                      </pic:pic>
                    </a:graphicData>
                  </a:graphic>
                </wp:inline>
              </w:drawing>
            </w:r>
          </w:p>
        </w:tc>
        <w:tc>
          <w:tcPr>
            <w:tcW w:w="1890" w:type="dxa"/>
          </w:tcPr>
          <w:p w14:paraId="710AE1E3" w14:textId="77777777" w:rsidR="00171824" w:rsidRDefault="006D258C">
            <w:pPr>
              <w:widowControl/>
              <w:tabs>
                <w:tab w:val="left" w:pos="562"/>
              </w:tabs>
              <w:autoSpaceDE/>
              <w:autoSpaceDN/>
              <w:adjustRightInd/>
              <w:rPr>
                <w:sz w:val="22"/>
                <w:szCs w:val="22"/>
                <w:lang w:val="el-GR"/>
              </w:rPr>
            </w:pPr>
            <w:r>
              <w:rPr>
                <w:sz w:val="22"/>
                <w:szCs w:val="22"/>
                <w:lang w:val="el-GR"/>
              </w:rPr>
              <w:t>Adalimumab</w:t>
            </w:r>
          </w:p>
        </w:tc>
      </w:tr>
      <w:tr w:rsidR="00171824" w:rsidRPr="00422380" w14:paraId="5B392C6C" w14:textId="77777777">
        <w:tc>
          <w:tcPr>
            <w:tcW w:w="468" w:type="dxa"/>
          </w:tcPr>
          <w:p w14:paraId="1BA34FAA" w14:textId="77777777" w:rsidR="00171824" w:rsidRDefault="00171824">
            <w:pPr>
              <w:widowControl/>
              <w:tabs>
                <w:tab w:val="left" w:pos="562"/>
              </w:tabs>
              <w:suppressAutoHyphens/>
              <w:autoSpaceDE/>
              <w:autoSpaceDN/>
              <w:adjustRightInd/>
              <w:rPr>
                <w:sz w:val="22"/>
                <w:szCs w:val="22"/>
                <w:lang w:val="el-GR"/>
              </w:rPr>
            </w:pPr>
          </w:p>
        </w:tc>
        <w:tc>
          <w:tcPr>
            <w:tcW w:w="8820" w:type="dxa"/>
            <w:gridSpan w:val="5"/>
          </w:tcPr>
          <w:p w14:paraId="6333F48A" w14:textId="77777777" w:rsidR="00171824" w:rsidRDefault="006D258C">
            <w:pPr>
              <w:widowControl/>
              <w:tabs>
                <w:tab w:val="left" w:pos="562"/>
              </w:tabs>
              <w:autoSpaceDE/>
              <w:autoSpaceDN/>
              <w:adjustRightInd/>
              <w:rPr>
                <w:sz w:val="22"/>
                <w:szCs w:val="22"/>
                <w:lang w:val="el-GR"/>
              </w:rPr>
            </w:pPr>
            <w:r>
              <w:rPr>
                <w:sz w:val="22"/>
                <w:szCs w:val="22"/>
                <w:lang w:val="el-GR"/>
              </w:rPr>
              <w:t>Σημείωση: P = Εικονικό φάρμακο (Αριθμός Συμβάντων/Αριθμός ασθενών που διατρέχουν κίνδυνο), Η = Adalimumab (Αριθμός Συμβάντων/Αριθμός ασθενών που διατρέχουν κίνδυνο).</w:t>
            </w:r>
          </w:p>
        </w:tc>
      </w:tr>
    </w:tbl>
    <w:p w14:paraId="3B6A005B" w14:textId="77777777" w:rsidR="00171824" w:rsidRDefault="00171824">
      <w:pPr>
        <w:pStyle w:val="BodyText"/>
        <w:widowControl/>
        <w:kinsoku w:val="0"/>
        <w:overflowPunct w:val="0"/>
        <w:ind w:left="0"/>
        <w:rPr>
          <w:lang w:val="el-GR"/>
        </w:rPr>
      </w:pPr>
    </w:p>
    <w:p w14:paraId="6C9C63B8" w14:textId="77777777" w:rsidR="00171824" w:rsidRDefault="006D258C">
      <w:pPr>
        <w:pStyle w:val="Heading1"/>
        <w:keepNext/>
        <w:widowControl/>
        <w:tabs>
          <w:tab w:val="left" w:pos="567"/>
        </w:tabs>
        <w:kinsoku w:val="0"/>
        <w:overflowPunct w:val="0"/>
        <w:ind w:left="0"/>
        <w:rPr>
          <w:b w:val="0"/>
          <w:bCs w:val="0"/>
          <w:lang w:val="el-GR"/>
        </w:rPr>
      </w:pPr>
      <w:r>
        <w:rPr>
          <w:lang w:val="el-GR"/>
        </w:rPr>
        <w:t>5.2</w:t>
      </w:r>
      <w:r>
        <w:rPr>
          <w:lang w:val="el-GR"/>
        </w:rPr>
        <w:tab/>
        <w:t>Φαρμακοκινητικές ιδιότητες</w:t>
      </w:r>
    </w:p>
    <w:p w14:paraId="46AA80AE" w14:textId="77777777" w:rsidR="00171824" w:rsidRDefault="00171824">
      <w:pPr>
        <w:keepNext/>
        <w:widowControl/>
        <w:kinsoku w:val="0"/>
        <w:overflowPunct w:val="0"/>
        <w:rPr>
          <w:sz w:val="22"/>
          <w:szCs w:val="22"/>
          <w:lang w:val="el-GR"/>
        </w:rPr>
      </w:pPr>
    </w:p>
    <w:p w14:paraId="1617705A" w14:textId="77777777" w:rsidR="00171824" w:rsidRDefault="006D258C">
      <w:pPr>
        <w:pStyle w:val="BodyText"/>
        <w:keepNext/>
        <w:widowControl/>
        <w:kinsoku w:val="0"/>
        <w:overflowPunct w:val="0"/>
        <w:ind w:left="0"/>
        <w:rPr>
          <w:lang w:val="el-GR"/>
        </w:rPr>
      </w:pPr>
      <w:r>
        <w:rPr>
          <w:u w:val="single"/>
          <w:lang w:val="el-GR"/>
        </w:rPr>
        <w:t>Απορρόφηση και κατανομή</w:t>
      </w:r>
    </w:p>
    <w:p w14:paraId="1C3DD7B5" w14:textId="77777777" w:rsidR="00171824" w:rsidRDefault="00171824">
      <w:pPr>
        <w:keepNext/>
        <w:widowControl/>
        <w:kinsoku w:val="0"/>
        <w:overflowPunct w:val="0"/>
        <w:rPr>
          <w:sz w:val="22"/>
          <w:szCs w:val="22"/>
          <w:lang w:val="el-GR"/>
        </w:rPr>
      </w:pPr>
    </w:p>
    <w:p w14:paraId="0B88F846" w14:textId="77777777" w:rsidR="00171824" w:rsidRDefault="006D258C">
      <w:pPr>
        <w:pStyle w:val="BodyText"/>
        <w:keepNext/>
        <w:widowControl/>
        <w:kinsoku w:val="0"/>
        <w:overflowPunct w:val="0"/>
        <w:ind w:left="0"/>
        <w:rPr>
          <w:lang w:val="el-GR"/>
        </w:rPr>
      </w:pPr>
      <w:r>
        <w:rPr>
          <w:lang w:val="el-GR"/>
        </w:rPr>
        <w:t xml:space="preserve">Μετά από υποδόρια χορήγηση μιας εφάπαξ δόσης των 40 mg, η απορρόφηση και η κατανομή του adalimumab ήταν αργή και με επίτευξη των μέγιστων συγκεντρώσεων στον ορό στις 5 ημέρες μετά από τη χορήγηση. Η μέση απόλυτη βιοδιαθεσιμότητα του adalimumab που υπολογίσθηκε σε τρεις μελέτες που διεξήχθησαν με το προϊόν αναφοράς μετά από μια υποδόρια εφάπαξ δόση των 40 mg ήταν 64%. Μετά από εφάπαξ ενδοφλέβια χορήγηση δόσεων που κυμαίνονται από 0,25 έως 10 mg/kg, οι συγκεντρώσεις ήταν ανάλογες της δόσης. Μετά από δόσεις 0,5 mg/kg (~40 mg), οι καθάρσεις </w:t>
      </w:r>
      <w:r>
        <w:rPr>
          <w:lang w:val="el-GR"/>
        </w:rPr>
        <w:lastRenderedPageBreak/>
        <w:t>κυμάνθηκαν από 11 έως 15 ml/ώρα, ο όγκος κατανομής (V</w:t>
      </w:r>
      <w:r>
        <w:rPr>
          <w:position w:val="-3"/>
          <w:lang w:val="el-GR"/>
        </w:rPr>
        <w:t>ss</w:t>
      </w:r>
      <w:r>
        <w:rPr>
          <w:lang w:val="el-GR"/>
        </w:rPr>
        <w:t>) κυμαινόταν από 5 έως 6 λίτρα και η μέση τελική φάση ημιζωής ήταν περίπου δυο εβδομάδες. Οι συγκεντρώσεις του adalimumab στο αρθρικό υγρό ασθενών με ρευματοειδή αρθρίτιδα κυμαινόταν από 31</w:t>
      </w:r>
      <w:r>
        <w:rPr>
          <w:lang w:val="el-GR"/>
        </w:rPr>
        <w:noBreakHyphen/>
        <w:t>96% εκείνων του ορού.</w:t>
      </w:r>
    </w:p>
    <w:p w14:paraId="20A94DC7" w14:textId="77777777" w:rsidR="00171824" w:rsidRDefault="00171824">
      <w:pPr>
        <w:widowControl/>
        <w:kinsoku w:val="0"/>
        <w:overflowPunct w:val="0"/>
        <w:rPr>
          <w:sz w:val="22"/>
          <w:szCs w:val="22"/>
          <w:lang w:val="el-GR"/>
        </w:rPr>
      </w:pPr>
    </w:p>
    <w:p w14:paraId="1A19958D" w14:textId="77777777" w:rsidR="00171824" w:rsidRDefault="006D258C">
      <w:pPr>
        <w:pStyle w:val="BodyText"/>
        <w:widowControl/>
        <w:kinsoku w:val="0"/>
        <w:overflowPunct w:val="0"/>
        <w:ind w:left="0"/>
        <w:rPr>
          <w:lang w:val="el-GR"/>
        </w:rPr>
      </w:pPr>
      <w:r>
        <w:rPr>
          <w:lang w:val="el-GR"/>
        </w:rPr>
        <w:t>Μετά από υποδόρια χορήγηση 40 mg adalimumab ανά δεύτερη εβδομάδα σε ενήλικες ασθενείς με ρευματοειδή αρθρίτιδα οι μέσες κατώτερες συγκεντρώσεις σε σταθερή κατάσταση ήταν περίπου 5 </w:t>
      </w:r>
      <w:r>
        <w:rPr>
          <w:color w:val="000000"/>
          <w:lang w:val="el-GR" w:eastAsia="en-GB"/>
        </w:rPr>
        <w:t>µg</w:t>
      </w:r>
      <w:r>
        <w:rPr>
          <w:lang w:val="el-GR"/>
        </w:rPr>
        <w:t>/ml (άνευ συγχορηγούμενης μεθοτρεξάτης) και 8 έως 9 </w:t>
      </w:r>
      <w:r>
        <w:rPr>
          <w:color w:val="000000"/>
          <w:lang w:val="el-GR" w:eastAsia="en-GB"/>
        </w:rPr>
        <w:t>µg</w:t>
      </w:r>
      <w:r>
        <w:rPr>
          <w:lang w:val="el-GR"/>
        </w:rPr>
        <w:t>/ml (με παράλληλη χορήγηση μεθοτρεξάτης), αντίστοιχα. Τα ελάσσονα επίπεδα του adalimumab στον ορό σε σταθερή κατάσταση αυξήθηκαν περίπου αναλογικά με τη δόση μετά από υποδόρια δόση των 20, 40 και 80 mg ανά δεύτερη εβδομάδα και ανά εβδομάδα.</w:t>
      </w:r>
    </w:p>
    <w:p w14:paraId="628AF5EC" w14:textId="77777777" w:rsidR="00171824" w:rsidRDefault="00171824">
      <w:pPr>
        <w:widowControl/>
        <w:kinsoku w:val="0"/>
        <w:overflowPunct w:val="0"/>
        <w:rPr>
          <w:sz w:val="22"/>
          <w:szCs w:val="22"/>
          <w:lang w:val="el-GR"/>
        </w:rPr>
      </w:pPr>
    </w:p>
    <w:p w14:paraId="08094551" w14:textId="77777777" w:rsidR="00171824" w:rsidRDefault="006D258C">
      <w:pPr>
        <w:pStyle w:val="BodyText"/>
        <w:widowControl/>
        <w:kinsoku w:val="0"/>
        <w:overflowPunct w:val="0"/>
        <w:ind w:left="0"/>
        <w:rPr>
          <w:lang w:val="el-GR"/>
        </w:rPr>
      </w:pPr>
      <w:r>
        <w:rPr>
          <w:lang w:val="el-GR"/>
        </w:rPr>
        <w:t>Μετά από χορήγηση 24 mg/m</w:t>
      </w:r>
      <w:r>
        <w:rPr>
          <w:vertAlign w:val="superscript"/>
          <w:lang w:val="el-GR"/>
        </w:rPr>
        <w:t>2</w:t>
      </w:r>
      <w:r>
        <w:rPr>
          <w:lang w:val="el-GR"/>
        </w:rPr>
        <w:t xml:space="preserve"> (μέγιστη δόση 40 mg) υποδορίως κάθε δεύτερη εβδομάδα σε ασθενείς με πολυαρθρική νεανική ιδιοπαθή αρθρίτιδα (ΝΙΑ) ηλικίας 4 έως 17 ετών οι μέσες κατώτερες συγκεντρώσεις σε σταθερή κατάσταση (τιμές μέτρησης από την εβδομάδα 20 έως την 48) της συγκέντρωσης του adalimumab στον ορό ήταν 5,6 ±5,6 </w:t>
      </w:r>
      <w:r>
        <w:rPr>
          <w:color w:val="000000"/>
          <w:lang w:val="el-GR" w:eastAsia="en-GB"/>
        </w:rPr>
        <w:t>µg</w:t>
      </w:r>
      <w:r>
        <w:rPr>
          <w:lang w:val="el-GR"/>
        </w:rPr>
        <w:t>/ml (102% CV) για το adalimumab χωρίς ταυτόχρονη χορήγηση μεθοτρεξάτης και 10,9 ±5,2 </w:t>
      </w:r>
      <w:r>
        <w:rPr>
          <w:color w:val="000000"/>
          <w:lang w:val="el-GR" w:eastAsia="en-GB"/>
        </w:rPr>
        <w:t>µg</w:t>
      </w:r>
      <w:r>
        <w:rPr>
          <w:lang w:val="el-GR"/>
        </w:rPr>
        <w:t>/ml (47,7% CV) με παράλληλη χορήγηση μεθοτρεξάτης.</w:t>
      </w:r>
    </w:p>
    <w:p w14:paraId="66B4DB16" w14:textId="77777777" w:rsidR="00171824" w:rsidRDefault="00171824">
      <w:pPr>
        <w:widowControl/>
        <w:kinsoku w:val="0"/>
        <w:overflowPunct w:val="0"/>
        <w:rPr>
          <w:sz w:val="22"/>
          <w:szCs w:val="22"/>
          <w:lang w:val="el-GR"/>
        </w:rPr>
      </w:pPr>
    </w:p>
    <w:p w14:paraId="4345D0B4" w14:textId="77777777" w:rsidR="00171824" w:rsidRDefault="006D258C">
      <w:pPr>
        <w:pStyle w:val="BodyText"/>
        <w:widowControl/>
        <w:kinsoku w:val="0"/>
        <w:overflowPunct w:val="0"/>
        <w:ind w:left="0"/>
        <w:rPr>
          <w:lang w:val="el-GR"/>
        </w:rPr>
      </w:pPr>
      <w:r>
        <w:rPr>
          <w:lang w:val="el-GR"/>
        </w:rPr>
        <w:t>Σε ασθενείς με πολυαρθρική νεανική ιδιοπαθή αρθρίτιδα (JIA) ηλικίας 2 έως &lt; 4 ετών ή ηλικίας 4 και άνω που ζυγίζουν &lt; 15 kg και έλαβαν δόση adalimumab 24 mg/m</w:t>
      </w:r>
      <w:r>
        <w:rPr>
          <w:vertAlign w:val="superscript"/>
          <w:lang w:val="el-GR"/>
        </w:rPr>
        <w:t>2</w:t>
      </w:r>
      <w:r>
        <w:rPr>
          <w:lang w:val="el-GR"/>
        </w:rPr>
        <w:t>, οι μέσες κατώτερες συγκεντρώσεις adalimumab στον ορό σε σταθερή κατάσταση ήταν 6,0 ± 6,1 μg/ml (101% CV) για το adalimumab χωρίς ταυτόχρονη χορήγηση μεθοτρεξάτης και 7,9 ± 5,6 μg/ml (71,2% CV) με παράλληλη χορήγηση μεθοτρεξάτης.</w:t>
      </w:r>
    </w:p>
    <w:p w14:paraId="686470F0" w14:textId="77777777" w:rsidR="00171824" w:rsidRDefault="00171824">
      <w:pPr>
        <w:widowControl/>
        <w:kinsoku w:val="0"/>
        <w:overflowPunct w:val="0"/>
        <w:rPr>
          <w:color w:val="222222"/>
          <w:sz w:val="22"/>
          <w:lang w:val="el-GR"/>
        </w:rPr>
      </w:pPr>
    </w:p>
    <w:p w14:paraId="704DA870" w14:textId="77777777" w:rsidR="00171824" w:rsidRDefault="006D258C">
      <w:pPr>
        <w:pStyle w:val="BodyText"/>
        <w:widowControl/>
        <w:kinsoku w:val="0"/>
        <w:overflowPunct w:val="0"/>
        <w:ind w:left="0"/>
        <w:rPr>
          <w:lang w:val="el-GR"/>
        </w:rPr>
      </w:pPr>
      <w:r>
        <w:rPr>
          <w:lang w:val="el-GR"/>
        </w:rPr>
        <w:t>Μετά τη χορήγηση 24 mg/m</w:t>
      </w:r>
      <w:r>
        <w:rPr>
          <w:vertAlign w:val="superscript"/>
          <w:lang w:val="el-GR"/>
        </w:rPr>
        <w:t>2</w:t>
      </w:r>
      <w:r>
        <w:rPr>
          <w:lang w:val="el-GR"/>
        </w:rPr>
        <w:t xml:space="preserve"> (μέγιστη δόση 40 mg) υποδορίως κάθε δεύτερη εβδομάδα σε ασθενείς με αρθρίτιδα σχετιζόμενη με ενθεσίτιδα, ηλικίας 6 έως 17 ετών, οι μέσες κατώτερες συγκεντρώσεις adalimumab στον ορό σε σταθερή κατάσταση (τιμές που μετρώνται κατά την εβδομάδα 24) ήταν 8,8 ± 6,6 μg/ml για το adalimumab χωρίς ταυτόχρονη χορήγηση μεθοτρεξάτης και 11,8 ± 4,3 μg/ml με παράλληλη χορήγηση μεθοτρεξάτης.</w:t>
      </w:r>
    </w:p>
    <w:p w14:paraId="6E43B730" w14:textId="77777777" w:rsidR="00171824" w:rsidRDefault="00171824">
      <w:pPr>
        <w:pStyle w:val="BodyText"/>
        <w:widowControl/>
        <w:kinsoku w:val="0"/>
        <w:overflowPunct w:val="0"/>
        <w:ind w:left="0"/>
        <w:rPr>
          <w:lang w:val="el-GR"/>
        </w:rPr>
      </w:pPr>
    </w:p>
    <w:p w14:paraId="36D798DC" w14:textId="77777777" w:rsidR="00171824" w:rsidRDefault="006D258C">
      <w:pPr>
        <w:widowControl/>
        <w:kinsoku w:val="0"/>
        <w:overflowPunct w:val="0"/>
        <w:rPr>
          <w:sz w:val="22"/>
          <w:szCs w:val="22"/>
          <w:lang w:val="el-GR"/>
        </w:rPr>
      </w:pPr>
      <w:r>
        <w:rPr>
          <w:sz w:val="22"/>
          <w:szCs w:val="22"/>
          <w:lang w:val="el-GR"/>
        </w:rPr>
        <w:t>Μετά την υποδόρια χορήγηση 40 mg adalimumab κάθε δεύτερη εβδομάδα σε ενήλικες μη ραδιογραφικούς ασθενείς με αξονική σπονδυλαρθρίτιδα, η μέση (± SD) ελάχιστη συγκέντρωση σταθερής κατάστασης την εβδομάδα 68 ήταν 8,0 ± 4,6 μg/ml.</w:t>
      </w:r>
    </w:p>
    <w:p w14:paraId="08100378" w14:textId="77777777" w:rsidR="00171824" w:rsidRDefault="00171824">
      <w:pPr>
        <w:widowControl/>
        <w:kinsoku w:val="0"/>
        <w:overflowPunct w:val="0"/>
        <w:rPr>
          <w:sz w:val="22"/>
          <w:szCs w:val="22"/>
          <w:lang w:val="el-GR"/>
        </w:rPr>
      </w:pPr>
    </w:p>
    <w:p w14:paraId="6961DA5F" w14:textId="77777777" w:rsidR="00171824" w:rsidRDefault="006D258C">
      <w:pPr>
        <w:pStyle w:val="BodyText"/>
        <w:widowControl/>
        <w:kinsoku w:val="0"/>
        <w:overflowPunct w:val="0"/>
        <w:ind w:left="0"/>
        <w:rPr>
          <w:lang w:val="el-GR"/>
        </w:rPr>
      </w:pPr>
      <w:r>
        <w:rPr>
          <w:lang w:val="el-GR"/>
        </w:rPr>
        <w:t>Σε ενήλικες ασθενείς με ψωρίαση, η μέση συγκέντρωση στη σταθεροποιημένη κατάσταση ήταν 5 </w:t>
      </w:r>
      <w:r>
        <w:rPr>
          <w:color w:val="000000"/>
          <w:lang w:val="el-GR" w:eastAsia="en-GB"/>
        </w:rPr>
        <w:t>µg</w:t>
      </w:r>
      <w:r>
        <w:rPr>
          <w:lang w:val="el-GR"/>
        </w:rPr>
        <w:t>/ml κατά τη διάρκεια της θεραπείας με μονοθεραπεία 40 mg adalimumab κάθε δεύτερη εβδομάδα.</w:t>
      </w:r>
    </w:p>
    <w:p w14:paraId="6A036F29" w14:textId="77777777" w:rsidR="00171824" w:rsidRDefault="00171824">
      <w:pPr>
        <w:pStyle w:val="BodyText"/>
        <w:widowControl/>
        <w:kinsoku w:val="0"/>
        <w:overflowPunct w:val="0"/>
        <w:ind w:left="0"/>
        <w:rPr>
          <w:lang w:val="el-GR"/>
        </w:rPr>
      </w:pPr>
    </w:p>
    <w:p w14:paraId="20CC7361" w14:textId="77777777" w:rsidR="00171824" w:rsidRDefault="006D258C">
      <w:pPr>
        <w:pStyle w:val="BodyText"/>
        <w:widowControl/>
        <w:kinsoku w:val="0"/>
        <w:overflowPunct w:val="0"/>
        <w:ind w:left="0"/>
        <w:rPr>
          <w:lang w:val="el-GR"/>
        </w:rPr>
      </w:pPr>
      <w:r>
        <w:rPr>
          <w:lang w:val="el-GR"/>
        </w:rPr>
        <w:t>Μετά τη χορήγηση 0,8 mg/kg (μέγιστη δόση 40 mg) υποδορίως κάθε δεύτερη εβδομάδα σε παιδιατρικούς ασθενείς με χρόνια ψωρίαση κατά πλάκας, η μέση (± SD) συγκέντρωση σε σταθερή κατάσταση adalimumab ήταν περίπου 7,4 ± 5,8 </w:t>
      </w:r>
      <w:r>
        <w:rPr>
          <w:color w:val="000000"/>
          <w:lang w:val="el-GR" w:eastAsia="en-GB"/>
        </w:rPr>
        <w:t>µg</w:t>
      </w:r>
      <w:r>
        <w:rPr>
          <w:lang w:val="el-GR"/>
        </w:rPr>
        <w:t>/ml (79% CV).</w:t>
      </w:r>
    </w:p>
    <w:p w14:paraId="5E7310E6" w14:textId="77777777" w:rsidR="00171824" w:rsidRDefault="00171824">
      <w:pPr>
        <w:widowControl/>
        <w:kinsoku w:val="0"/>
        <w:overflowPunct w:val="0"/>
        <w:rPr>
          <w:sz w:val="22"/>
          <w:szCs w:val="22"/>
          <w:lang w:val="el-GR"/>
        </w:rPr>
      </w:pPr>
    </w:p>
    <w:p w14:paraId="7F5C3E63" w14:textId="77777777" w:rsidR="00171824" w:rsidRDefault="006D258C">
      <w:pPr>
        <w:pStyle w:val="BodyText"/>
        <w:widowControl/>
        <w:kinsoku w:val="0"/>
        <w:overflowPunct w:val="0"/>
        <w:ind w:left="0"/>
        <w:rPr>
          <w:lang w:val="el-GR"/>
        </w:rPr>
      </w:pPr>
      <w:r>
        <w:rPr>
          <w:lang w:val="el-GR"/>
        </w:rPr>
        <w:t>Σε ενήλικες ασθενείς με διαπυητική ιδρωταδενίτιδα, μία δόση 160 mg adalimumab την εβδομάδα 0 και ακολούθως 80 mg την εβδομάδα 2 επιτυγχάνει συγκεντρώσεις adalimumab στον ορό περίπου 7 με 8 </w:t>
      </w:r>
      <w:r>
        <w:rPr>
          <w:color w:val="000000"/>
          <w:lang w:val="el-GR" w:eastAsia="en-GB"/>
        </w:rPr>
        <w:t>µg</w:t>
      </w:r>
      <w:r>
        <w:rPr>
          <w:lang w:val="el-GR"/>
        </w:rPr>
        <w:t>/ml την εβδομάδα 2 και την εβδομάδα 4. Η μέση συγκέντρωση στη σταθεροποιημένη κατάσταση την εβδομάδα 12 έως την εβδομάδα 36 ήταν περίπου 8 με 10 </w:t>
      </w:r>
      <w:r>
        <w:rPr>
          <w:color w:val="000000"/>
          <w:lang w:val="el-GR" w:eastAsia="en-GB"/>
        </w:rPr>
        <w:t>µg</w:t>
      </w:r>
      <w:r>
        <w:rPr>
          <w:lang w:val="el-GR"/>
        </w:rPr>
        <w:t>/ml κατά τη διάρκεια της θεραπείας με adalimumab 40 mg κάθε εβδομάδα.</w:t>
      </w:r>
    </w:p>
    <w:p w14:paraId="10D25F51" w14:textId="77777777" w:rsidR="00171824" w:rsidRDefault="00171824">
      <w:pPr>
        <w:pStyle w:val="EMEANormal"/>
        <w:widowControl w:val="0"/>
        <w:rPr>
          <w:iCs/>
          <w:lang w:val="el-GR"/>
        </w:rPr>
      </w:pPr>
    </w:p>
    <w:p w14:paraId="719F69EF" w14:textId="77777777" w:rsidR="00171824" w:rsidRDefault="006D258C">
      <w:pPr>
        <w:pStyle w:val="EMEANormal"/>
        <w:widowControl w:val="0"/>
        <w:rPr>
          <w:iCs/>
          <w:lang w:val="el-GR"/>
        </w:rPr>
      </w:pPr>
      <w:r>
        <w:rPr>
          <w:iCs/>
          <w:lang w:val="el-GR"/>
        </w:rPr>
        <w:t xml:space="preserve">Η έκθεση σε adalimumab σε έφηβους ασθενείς </w:t>
      </w:r>
      <w:r>
        <w:rPr>
          <w:szCs w:val="22"/>
          <w:lang w:val="el-GR"/>
        </w:rPr>
        <w:t xml:space="preserve">με </w:t>
      </w:r>
      <w:r>
        <w:rPr>
          <w:lang w:val="el-GR"/>
        </w:rPr>
        <w:t>διαπυητική ιδρωταδενίτιδα (HS)</w:t>
      </w:r>
      <w:r>
        <w:rPr>
          <w:iCs/>
          <w:lang w:val="el-GR"/>
        </w:rPr>
        <w:t xml:space="preserve"> προβλέφθηκε χρησιμοποιώντας </w:t>
      </w:r>
      <w:r>
        <w:rPr>
          <w:lang w:val="el-GR" w:eastAsia="el-GR"/>
        </w:rPr>
        <w:t xml:space="preserve">φαρμακοκινητικά μοντέλα πληθυσμού και προσομοίωση με βάση τη φαρμακοκινητική στις διάφορες ενδείξεις σε άλλους παιδιατρικούς ασθενείς (παιδιατρική ψωρίαση, νεανική ιδιοπαθής αρθρίτιδα, παιδιατρική νόσος του Crohn, και αρθρίτιδα σχετιζόμενη με ενθεσίτιδα). </w:t>
      </w:r>
      <w:r>
        <w:rPr>
          <w:iCs/>
          <w:lang w:val="el-GR"/>
        </w:rPr>
        <w:t xml:space="preserve">Το συνιστώμενο δοσολογικό σχήμα σε έφηβους ασθενείς </w:t>
      </w:r>
      <w:r>
        <w:rPr>
          <w:szCs w:val="22"/>
          <w:lang w:val="el-GR"/>
        </w:rPr>
        <w:t xml:space="preserve">με </w:t>
      </w:r>
      <w:r>
        <w:rPr>
          <w:lang w:val="el-GR"/>
        </w:rPr>
        <w:t>διαπυητική ιδρωταδενίτιδα (HS)</w:t>
      </w:r>
      <w:r>
        <w:rPr>
          <w:iCs/>
          <w:lang w:val="el-GR"/>
        </w:rPr>
        <w:t xml:space="preserve"> είναι 40 mg κάθε δεύτερη εβδομάδα. Η έκθεση στο adalimumab μπορεί να επηρεαστεί από το </w:t>
      </w:r>
      <w:r>
        <w:rPr>
          <w:szCs w:val="22"/>
          <w:lang w:val="el-GR"/>
        </w:rPr>
        <w:t>βάρος σώματος</w:t>
      </w:r>
      <w:r>
        <w:rPr>
          <w:iCs/>
          <w:lang w:val="el-GR"/>
        </w:rPr>
        <w:t>, έφηβοι με μεγαλύτερο βάρος σώματος και ανεπαρκής ανταπόκριση μπορεί να ωφεληθούν από τη λήψη της συνιστώμενης δόσης για τους ενήλικες των 40 mg κάθε εβδομάδα.</w:t>
      </w:r>
    </w:p>
    <w:p w14:paraId="0BAFE8EB" w14:textId="77777777" w:rsidR="00171824" w:rsidRDefault="00171824">
      <w:pPr>
        <w:widowControl/>
        <w:kinsoku w:val="0"/>
        <w:overflowPunct w:val="0"/>
        <w:rPr>
          <w:sz w:val="22"/>
          <w:szCs w:val="22"/>
          <w:lang w:val="el-GR"/>
        </w:rPr>
      </w:pPr>
    </w:p>
    <w:p w14:paraId="768732D8" w14:textId="77777777" w:rsidR="00171824" w:rsidRDefault="006D258C">
      <w:pPr>
        <w:pStyle w:val="BodyText"/>
        <w:widowControl/>
        <w:kinsoku w:val="0"/>
        <w:overflowPunct w:val="0"/>
        <w:ind w:left="0"/>
        <w:rPr>
          <w:lang w:val="el-GR"/>
        </w:rPr>
      </w:pPr>
      <w:r>
        <w:rPr>
          <w:lang w:val="el-GR"/>
        </w:rPr>
        <w:lastRenderedPageBreak/>
        <w:t>Σε ασθενείς με νόσο του Crohn, η δόση εφόδου 80 mg adalimumab την εβδομάδα 0 και ακολούθως 40 mg adalimumab την εβδομάδα 2 επιτυγχάνει συγκεντρώσεις adalimumab στον ορό περίπου 5,5 </w:t>
      </w:r>
      <w:r>
        <w:rPr>
          <w:color w:val="000000"/>
          <w:lang w:val="el-GR" w:eastAsia="en-GB"/>
        </w:rPr>
        <w:t>µg</w:t>
      </w:r>
      <w:r>
        <w:rPr>
          <w:lang w:val="el-GR"/>
        </w:rPr>
        <w:t>/ml κατά τη διάρκεια της αρχικής περιόδου. Μία δόση εφόδου 160 mg adalimumab την εβδομάδα 0 και ακολούθως 80 mg adalimumab την εβδομάδα 2 επιτυγχάνει συγκεντρώσεις adalimumab στον ορό περίπου 12 </w:t>
      </w:r>
      <w:r>
        <w:rPr>
          <w:color w:val="000000"/>
          <w:lang w:val="el-GR" w:eastAsia="en-GB"/>
        </w:rPr>
        <w:t>µg</w:t>
      </w:r>
      <w:r>
        <w:rPr>
          <w:lang w:val="el-GR"/>
        </w:rPr>
        <w:t>/ml κατά τη διάρκεια της αρχικής περιόδου. Μέσες ελάχιστες συγκεντρώσεις στη σταθεροποιημένη κατάσταση της τάξης των 7 </w:t>
      </w:r>
      <w:r>
        <w:rPr>
          <w:color w:val="000000"/>
          <w:lang w:val="el-GR" w:eastAsia="en-GB"/>
        </w:rPr>
        <w:t>µg</w:t>
      </w:r>
      <w:r>
        <w:rPr>
          <w:lang w:val="el-GR"/>
        </w:rPr>
        <w:t>/ml παρατηρήθηκαν σε ασθενείς με νόσο του Crohn οι οποίοι έλαβαν δόση συντήρησης 40 mg adalimumab κάθε δεύτερη εβδομάδα.</w:t>
      </w:r>
    </w:p>
    <w:p w14:paraId="3BB68081" w14:textId="77777777" w:rsidR="00171824" w:rsidRDefault="00171824">
      <w:pPr>
        <w:widowControl/>
        <w:kinsoku w:val="0"/>
        <w:overflowPunct w:val="0"/>
        <w:rPr>
          <w:sz w:val="22"/>
          <w:szCs w:val="22"/>
          <w:lang w:val="el-GR"/>
        </w:rPr>
      </w:pPr>
    </w:p>
    <w:p w14:paraId="636CAE67" w14:textId="77777777" w:rsidR="00171824" w:rsidRDefault="006D258C">
      <w:pPr>
        <w:pStyle w:val="BodyText"/>
        <w:widowControl/>
        <w:kinsoku w:val="0"/>
        <w:overflowPunct w:val="0"/>
        <w:ind w:left="0"/>
        <w:rPr>
          <w:lang w:val="el-GR"/>
        </w:rPr>
      </w:pPr>
      <w:r>
        <w:rPr>
          <w:lang w:val="el-GR"/>
        </w:rPr>
        <w:t>Σε παιδιατρικούς ασθενείς με μέτρια έως σοβαρή νόσο του Crohn, η επαγωγική δόση ανοιχτής χορήγησης (open-label) adalimumab ήταν 160/80 mg ή 80/40 mg τις εβδομάδες 0 και 2, αντίστοιχα, εξαρτώμενη από ένα ανώτερο όριο σωματικού βάρους των 40 kg. Την εβδομάδα 4, οι ασθενείς τυχαιοποιήθηκαν σε αναλογία 1:1 είτε στην Τυπική δόση (40/20 mg κάθε δεύτερη εβδομάδα) ή στην χαμηλή δόση (20/10 mg κάθε δεύτερη εβδομάδα) σε ομάδες θεραπείας συντήρησης με βάση το σωματικό τους βάρος. Οι μέσες (± SD) ελάχιστες συγκεντρώσεις adalimumab στον ορό που επιτεύχθηκαν την εβδομάδα 4 ήταν 15,7 ± 6,6 µg/ml για ασθενείς ≥ 40 kg (160/80 mg) και 10,6 ± 6,1 µg/ml για ασθενείς &lt; 40 kg (80/40 mg).</w:t>
      </w:r>
    </w:p>
    <w:p w14:paraId="5B6B8194" w14:textId="77777777" w:rsidR="00171824" w:rsidRDefault="00171824">
      <w:pPr>
        <w:widowControl/>
        <w:kinsoku w:val="0"/>
        <w:overflowPunct w:val="0"/>
        <w:rPr>
          <w:sz w:val="22"/>
          <w:szCs w:val="22"/>
          <w:lang w:val="el-GR"/>
        </w:rPr>
      </w:pPr>
    </w:p>
    <w:p w14:paraId="4656F4A4" w14:textId="77777777" w:rsidR="00171824" w:rsidRDefault="006D258C">
      <w:pPr>
        <w:pStyle w:val="BodyText"/>
        <w:widowControl/>
        <w:kinsoku w:val="0"/>
        <w:overflowPunct w:val="0"/>
        <w:ind w:left="0"/>
        <w:rPr>
          <w:lang w:val="el-GR"/>
        </w:rPr>
      </w:pPr>
      <w:r>
        <w:rPr>
          <w:lang w:val="el-GR"/>
        </w:rPr>
        <w:t>Για ασθενείς που έμειναν στην τυχαιοποιημένη θεραπεία τους, οι μέσες (± SD) ελάχιστες συγκεντρώσεις adalimumab την εβδομάδα 52 ήταν 9,5 ± 5,6 µg/ml για την ομάδα τυπικής δόσης και 3,5 ± 2,2 µg/ml για την ομάδα χαμηλής δόσης. Οι μέσες ελάχιστες συγκεντρώσεις διατηρήθηκαν σε ασθενείς που συνέχισαν να λαμβάνουν adalimumab κάθε δεύτερη εβδομάδα για 52 εβδομάδες. Σε ασθενείς για τους οποίους η δόση διαμορφώθηκε από κάθε δεύτερη εβδομάδα σε εβδομαδιαίο σχήμα, η μέση (± SD) συγκέντρωση adalimumab στον ορό κατά την εβδομάδα 52 ήταν 15,3 ± 11,4 µg/ml (40/20 mg, εβδομαδιαία) και 6,7 ± 3,5 µg/ml (20/10 mg, εβδομαδιαία).</w:t>
      </w:r>
    </w:p>
    <w:p w14:paraId="10F4044F" w14:textId="77777777" w:rsidR="00171824" w:rsidRDefault="00171824">
      <w:pPr>
        <w:widowControl/>
        <w:kinsoku w:val="0"/>
        <w:overflowPunct w:val="0"/>
        <w:rPr>
          <w:sz w:val="22"/>
          <w:szCs w:val="22"/>
          <w:lang w:val="el-GR"/>
        </w:rPr>
      </w:pPr>
    </w:p>
    <w:p w14:paraId="7C55FE2C" w14:textId="77777777" w:rsidR="00171824" w:rsidRDefault="006D258C">
      <w:pPr>
        <w:pStyle w:val="BodyText"/>
        <w:widowControl/>
        <w:kinsoku w:val="0"/>
        <w:overflowPunct w:val="0"/>
        <w:ind w:left="0"/>
        <w:rPr>
          <w:lang w:val="el-GR"/>
        </w:rPr>
      </w:pPr>
      <w:r>
        <w:rPr>
          <w:lang w:val="el-GR"/>
        </w:rPr>
        <w:t>Σε ασθενείς με ελκώδη κολίτιδα, μία δόση εφόδου των 160 mg adalimumab</w:t>
      </w:r>
      <w:r>
        <w:rPr>
          <w:i/>
          <w:iCs/>
          <w:lang w:val="el-GR"/>
        </w:rPr>
        <w:t xml:space="preserve"> </w:t>
      </w:r>
      <w:r>
        <w:rPr>
          <w:lang w:val="el-GR"/>
        </w:rPr>
        <w:t>την εβδομάδα 0 ακολουθούμενη από 80 mg adalimumab</w:t>
      </w:r>
      <w:r>
        <w:rPr>
          <w:i/>
          <w:iCs/>
          <w:lang w:val="el-GR"/>
        </w:rPr>
        <w:t xml:space="preserve"> </w:t>
      </w:r>
      <w:r>
        <w:rPr>
          <w:lang w:val="el-GR"/>
        </w:rPr>
        <w:t>την εβδομάδα 2 επιτυγχάνει ελάχιστες συγκεντρώσεις adalimumab στον ορό περίπου 12 µg/ml κατά τη διάρκεια της περιόδου επαγωγής. Τα μέσα κατώτερα επίπεδα που παρατηρήθηκαν σε σταθερή κατάσταση είναι περίπου 8 µg/ml σε ασθενείς με ελκώδη κολίτιδα που έλαβαν δόση συντήρησης 40 mg adalimumab</w:t>
      </w:r>
      <w:r>
        <w:rPr>
          <w:i/>
          <w:iCs/>
          <w:lang w:val="el-GR"/>
        </w:rPr>
        <w:t xml:space="preserve"> </w:t>
      </w:r>
      <w:r>
        <w:rPr>
          <w:lang w:val="el-GR"/>
        </w:rPr>
        <w:t>κάθε δεύτερη εβδομάδα.</w:t>
      </w:r>
    </w:p>
    <w:p w14:paraId="0A04D606" w14:textId="77777777" w:rsidR="00171824" w:rsidRDefault="00171824">
      <w:pPr>
        <w:widowControl/>
        <w:kinsoku w:val="0"/>
        <w:overflowPunct w:val="0"/>
        <w:rPr>
          <w:sz w:val="22"/>
          <w:szCs w:val="22"/>
          <w:lang w:val="el-GR"/>
        </w:rPr>
      </w:pPr>
    </w:p>
    <w:p w14:paraId="7693575A" w14:textId="77777777" w:rsidR="00171824" w:rsidRDefault="006D258C">
      <w:pPr>
        <w:widowControl/>
        <w:kinsoku w:val="0"/>
        <w:overflowPunct w:val="0"/>
        <w:rPr>
          <w:sz w:val="22"/>
          <w:szCs w:val="22"/>
          <w:lang w:val="el-GR"/>
        </w:rPr>
      </w:pPr>
      <w:r>
        <w:rPr>
          <w:sz w:val="22"/>
          <w:szCs w:val="22"/>
          <w:lang w:val="el-GR"/>
        </w:rPr>
        <w:t>Μετά την υποδόρια χορήγηση δόσης βάσει βάρους σώματος 0,6 mg/kg (μέγιστη δόση 40 mg) κάθε δεύτερη εβδομάδα σε παιδιατρικούς ασθενείς με ελκώδη κολίτιδα, η μέση κατώτερη συγκέντρωση σε σταθερή κατάσταση του adalimumab στον ορό ήταν 5,01±3,28 </w:t>
      </w:r>
      <w:r>
        <w:rPr>
          <w:color w:val="000000"/>
          <w:sz w:val="22"/>
          <w:szCs w:val="22"/>
          <w:lang w:val="el-GR" w:eastAsia="en-GB"/>
        </w:rPr>
        <w:t>µg</w:t>
      </w:r>
      <w:r>
        <w:rPr>
          <w:sz w:val="22"/>
          <w:szCs w:val="22"/>
          <w:lang w:val="el-GR"/>
        </w:rPr>
        <w:t>/ml την εβδομάδα 52. Για τους ασθενείς που λάμβαναν 0,6 mg/kg (μέγιστη δόση 40 mg) κάθε εβδομάδα, η μέση (±SD) κατώτερη συγκέντρωση σε σταθερή κατάσταση του adalimumab στον ορό ήταν 15,7±5,60 </w:t>
      </w:r>
      <w:r>
        <w:rPr>
          <w:color w:val="000000"/>
          <w:sz w:val="22"/>
          <w:szCs w:val="22"/>
          <w:lang w:val="el-GR" w:eastAsia="en-GB"/>
        </w:rPr>
        <w:t>µg</w:t>
      </w:r>
      <w:r>
        <w:rPr>
          <w:sz w:val="22"/>
          <w:szCs w:val="22"/>
          <w:lang w:val="el-GR"/>
        </w:rPr>
        <w:t>/ml την εβδομάδα 52.</w:t>
      </w:r>
    </w:p>
    <w:p w14:paraId="0D8B1A39" w14:textId="77777777" w:rsidR="00171824" w:rsidRDefault="00171824">
      <w:pPr>
        <w:widowControl/>
        <w:kinsoku w:val="0"/>
        <w:overflowPunct w:val="0"/>
        <w:rPr>
          <w:sz w:val="22"/>
          <w:szCs w:val="22"/>
          <w:lang w:val="el-GR"/>
        </w:rPr>
      </w:pPr>
    </w:p>
    <w:p w14:paraId="2C79C05E" w14:textId="77777777" w:rsidR="00171824" w:rsidRDefault="006D258C">
      <w:pPr>
        <w:pStyle w:val="BodyText"/>
        <w:widowControl/>
        <w:kinsoku w:val="0"/>
        <w:overflowPunct w:val="0"/>
        <w:ind w:left="0"/>
        <w:rPr>
          <w:lang w:val="el-GR"/>
        </w:rPr>
      </w:pPr>
      <w:r>
        <w:rPr>
          <w:lang w:val="el-GR"/>
        </w:rPr>
        <w:t>Σε ενήλικες ασθενείς με ραγοειδίτιδα, μια δόση εφόδου 80 mg adalimumab την εβδομάδα 0, ακολουθούμενη από 40 mg adalimumab κάθε δεύτερη εβδομάδα ξεκινώντας την εβδομάδα 1, οδήγησε σε μέσες συγκεντρώσεις σταθεροποιημένης κατάστασης περίπου 8 με 10 </w:t>
      </w:r>
      <w:r>
        <w:rPr>
          <w:color w:val="000000"/>
          <w:lang w:val="el-GR" w:eastAsia="en-GB"/>
        </w:rPr>
        <w:t>µg</w:t>
      </w:r>
      <w:r>
        <w:rPr>
          <w:lang w:val="el-GR"/>
        </w:rPr>
        <w:t>/ml.</w:t>
      </w:r>
    </w:p>
    <w:p w14:paraId="55D5B0D0" w14:textId="77777777" w:rsidR="00171824" w:rsidRDefault="00171824">
      <w:pPr>
        <w:widowControl/>
        <w:kinsoku w:val="0"/>
        <w:overflowPunct w:val="0"/>
        <w:rPr>
          <w:sz w:val="22"/>
          <w:szCs w:val="22"/>
          <w:lang w:val="el-GR"/>
        </w:rPr>
      </w:pPr>
    </w:p>
    <w:p w14:paraId="01ECED2A" w14:textId="77777777" w:rsidR="00171824" w:rsidRDefault="006D258C">
      <w:pPr>
        <w:pStyle w:val="EMEANormal"/>
        <w:widowControl w:val="0"/>
        <w:rPr>
          <w:lang w:val="el-GR"/>
        </w:rPr>
      </w:pPr>
      <w:r>
        <w:rPr>
          <w:iCs/>
          <w:lang w:val="el-GR"/>
        </w:rPr>
        <w:t xml:space="preserve">Η έκθεση σε adalimumab σε ασθενείς με παιδιατρική ραγοειδίτιδα προβλέφθηκε χρησιμοποιώντας </w:t>
      </w:r>
      <w:r>
        <w:rPr>
          <w:lang w:val="el-GR" w:eastAsia="el-GR"/>
        </w:rPr>
        <w:t xml:space="preserve">φαρμακοκινητικά μοντέλα πληθυσμού και προσομοίωση με βάση τη φαρμακοκινητική στις διάφορες ενδείξεις σε άλλους παιδιατρικούς ασθενείς (παιδιατρική ψωρίαση, νεανική ιδιοπαθής αρθρίτιδα, παιδιατρική νόσος του Crohn, και αρθρίτιδα σχετιζόμενη με ενθεσίτιδα). </w:t>
      </w:r>
      <w:r>
        <w:rPr>
          <w:lang w:val="el-GR"/>
        </w:rPr>
        <w:t>Δεν υπάρχουν διαθέσιμα κλινικά δεδομένα σχετικά με τη χρήση της δόσης εφόδου σε παιδιά ηλικίας &lt; 6 ετών.</w:t>
      </w:r>
      <w:r>
        <w:rPr>
          <w:iCs/>
          <w:lang w:val="el-GR"/>
        </w:rPr>
        <w:t xml:space="preserve"> Οι προβλεπόμενες εκθέσεις συνιστούν ότι ελλείψει </w:t>
      </w:r>
      <w:r>
        <w:rPr>
          <w:lang w:val="el-GR"/>
        </w:rPr>
        <w:t>μεθοτρεξάτης, μια δόση εφόδου μπορεί να οδηγήσει σε μια αρχική αύξηση συστημικής έκθεσης.</w:t>
      </w:r>
    </w:p>
    <w:p w14:paraId="79531050" w14:textId="77777777" w:rsidR="00171824" w:rsidRDefault="00171824">
      <w:pPr>
        <w:pStyle w:val="EMEANormal"/>
        <w:widowControl w:val="0"/>
        <w:rPr>
          <w:lang w:val="el-GR"/>
        </w:rPr>
      </w:pPr>
    </w:p>
    <w:p w14:paraId="02A5C5C7" w14:textId="77777777" w:rsidR="00171824" w:rsidRDefault="006D258C">
      <w:pPr>
        <w:widowControl/>
        <w:kinsoku w:val="0"/>
        <w:overflowPunct w:val="0"/>
        <w:rPr>
          <w:sz w:val="22"/>
          <w:szCs w:val="22"/>
          <w:lang w:val="el-GR"/>
        </w:rPr>
      </w:pPr>
      <w:r>
        <w:rPr>
          <w:sz w:val="22"/>
          <w:szCs w:val="22"/>
          <w:lang w:val="el-GR"/>
        </w:rPr>
        <w:t>Η δημογραφική φαρμακοκινητική και φαρμακοκινητική/φαρμακοδυναμική μοντελοποίηση και προσομοίωση του πληθυσμού προέβλεψαν συγκρίσιμη έκθεση στο adalimumab και αποτελεσματικότητα σε ασθενείς που έλαβαν θεραπεία με 80 mg κάθε δεύτερη εβδομάδα όταν συγκρίνονταν με τη θεραπεία των 40 mg κάθε εβδομάδα (περιλαμβανομένων των ενηλίκων ασθενών με ρευματοειδή αρθρίτιδα, διαπυητική ιδρωταδενίτιδα, ελκώδη κολίτιδα, νόσο του Crohn, ασθενείς με εφηβική διαπυητική ιδρωταδενίτιδα και παιδιατρικούς ασθενείς σωματικού βάρους ≥ 40 kg με νόσο του Crohn και ελκώδη κολίτιδα).</w:t>
      </w:r>
    </w:p>
    <w:p w14:paraId="2CA11F50" w14:textId="77777777" w:rsidR="00171824" w:rsidRDefault="00171824">
      <w:pPr>
        <w:widowControl/>
        <w:kinsoku w:val="0"/>
        <w:overflowPunct w:val="0"/>
        <w:rPr>
          <w:sz w:val="22"/>
          <w:szCs w:val="22"/>
          <w:lang w:val="el-GR"/>
        </w:rPr>
      </w:pPr>
    </w:p>
    <w:p w14:paraId="3C3B067F" w14:textId="77777777" w:rsidR="00171824" w:rsidRDefault="006D258C">
      <w:pPr>
        <w:rPr>
          <w:iCs/>
          <w:sz w:val="22"/>
          <w:szCs w:val="20"/>
          <w:u w:val="single"/>
          <w:lang w:val="el-GR"/>
        </w:rPr>
      </w:pPr>
      <w:r>
        <w:rPr>
          <w:iCs/>
          <w:sz w:val="22"/>
          <w:szCs w:val="20"/>
          <w:u w:val="single"/>
          <w:lang w:val="el-GR"/>
        </w:rPr>
        <w:t>Σχέση έκθεσης-ανταπόκρισης στον παιδιατρικό πληθυσμό</w:t>
      </w:r>
    </w:p>
    <w:p w14:paraId="3F751D17" w14:textId="77777777" w:rsidR="00171824" w:rsidRDefault="00171824">
      <w:pPr>
        <w:rPr>
          <w:iCs/>
          <w:sz w:val="22"/>
          <w:szCs w:val="20"/>
          <w:lang w:val="el-GR"/>
        </w:rPr>
      </w:pPr>
    </w:p>
    <w:p w14:paraId="0AE9C4DD" w14:textId="77777777" w:rsidR="00171824" w:rsidRDefault="006D258C">
      <w:pPr>
        <w:rPr>
          <w:iCs/>
          <w:sz w:val="22"/>
          <w:szCs w:val="20"/>
          <w:lang w:val="el-GR"/>
        </w:rPr>
      </w:pPr>
      <w:r>
        <w:rPr>
          <w:iCs/>
          <w:sz w:val="22"/>
          <w:szCs w:val="20"/>
          <w:lang w:val="el-GR"/>
        </w:rPr>
        <w:t>Βάσει των δεδομένων από κλινικές μελέτες σε ασθενείς με JIA (pJIA και ERA), η σχέση έκθεσης-ανταπόκρισης μεταξύ συγκέντρωσης πλάσματος και ανταπόκρισης PedACR 50 τεκμηριώθηκε. Η φαινομενική συγκέντρωση πλάσματος adalimumab που οδηγεί στο ήμισυ της μέγιστης πιθανότητας PedACR 50 (EC 50) ανταπόκρισης ήταν 3 </w:t>
      </w:r>
      <w:r>
        <w:rPr>
          <w:color w:val="000000"/>
          <w:sz w:val="22"/>
          <w:szCs w:val="22"/>
          <w:lang w:val="el-GR" w:eastAsia="en-GB"/>
        </w:rPr>
        <w:t>µg</w:t>
      </w:r>
      <w:r>
        <w:rPr>
          <w:iCs/>
          <w:sz w:val="22"/>
          <w:szCs w:val="20"/>
          <w:lang w:val="el-GR"/>
        </w:rPr>
        <w:t>/ml (95% CI: 1-6 </w:t>
      </w:r>
      <w:r>
        <w:rPr>
          <w:color w:val="000000"/>
          <w:sz w:val="22"/>
          <w:szCs w:val="22"/>
          <w:lang w:val="el-GR" w:eastAsia="en-GB"/>
        </w:rPr>
        <w:t>µg</w:t>
      </w:r>
      <w:r>
        <w:rPr>
          <w:iCs/>
          <w:sz w:val="22"/>
          <w:szCs w:val="20"/>
          <w:lang w:val="el-GR"/>
        </w:rPr>
        <w:t xml:space="preserve">/ml). </w:t>
      </w:r>
    </w:p>
    <w:p w14:paraId="45320D07" w14:textId="77777777" w:rsidR="00171824" w:rsidRDefault="00171824">
      <w:pPr>
        <w:rPr>
          <w:iCs/>
          <w:sz w:val="22"/>
          <w:szCs w:val="20"/>
          <w:lang w:val="el-GR"/>
        </w:rPr>
      </w:pPr>
    </w:p>
    <w:p w14:paraId="2C2AAEF8" w14:textId="77777777" w:rsidR="00171824" w:rsidRDefault="006D258C">
      <w:pPr>
        <w:rPr>
          <w:iCs/>
          <w:sz w:val="22"/>
          <w:szCs w:val="20"/>
          <w:lang w:val="el-GR"/>
        </w:rPr>
      </w:pPr>
      <w:r>
        <w:rPr>
          <w:iCs/>
          <w:sz w:val="22"/>
          <w:szCs w:val="20"/>
          <w:lang w:val="el-GR"/>
        </w:rPr>
        <w:t>Η σχέση έκθεσης-ανταπόκρισης μεταξύ συγκέντρωσης adalimumab και αποτελεσματικότητας σε παιδιατρικούς ασθενείς με σοβαρή χρόνια ψωρίαση κατά πλάκας τεκμηριώθηκαν για την PASI 75 και το PGA καθαρό ή ελάχιστο, αντιστοίχως. H PASI 75 και το PGA καθαρό ή ελάχιστο αυξήθηκαν με αυξανόμενες συγκεντρώσεις adalimumab, με παρόμοιο φαινομενικό EC50 περίπου 4,5 µg/ml (95% CI: 0,4-47,6 και 1,9-10,5, αντιστοίχως).</w:t>
      </w:r>
    </w:p>
    <w:p w14:paraId="7C87295F" w14:textId="77777777" w:rsidR="00171824" w:rsidRDefault="00171824">
      <w:pPr>
        <w:pStyle w:val="BodyText"/>
        <w:widowControl/>
        <w:kinsoku w:val="0"/>
        <w:overflowPunct w:val="0"/>
        <w:ind w:left="0"/>
        <w:rPr>
          <w:u w:val="single"/>
          <w:lang w:val="el-GR"/>
        </w:rPr>
      </w:pPr>
    </w:p>
    <w:p w14:paraId="684B1413" w14:textId="77777777" w:rsidR="00171824" w:rsidRDefault="006D258C">
      <w:pPr>
        <w:pStyle w:val="BodyText"/>
        <w:widowControl/>
        <w:kinsoku w:val="0"/>
        <w:overflowPunct w:val="0"/>
        <w:ind w:left="0"/>
        <w:rPr>
          <w:lang w:val="el-GR"/>
        </w:rPr>
      </w:pPr>
      <w:r>
        <w:rPr>
          <w:u w:val="single"/>
          <w:lang w:val="el-GR"/>
        </w:rPr>
        <w:t>Αποβολή</w:t>
      </w:r>
    </w:p>
    <w:p w14:paraId="234E12C4" w14:textId="77777777" w:rsidR="00171824" w:rsidRDefault="00171824">
      <w:pPr>
        <w:widowControl/>
        <w:kinsoku w:val="0"/>
        <w:overflowPunct w:val="0"/>
        <w:rPr>
          <w:sz w:val="22"/>
          <w:szCs w:val="22"/>
          <w:lang w:val="el-GR"/>
        </w:rPr>
      </w:pPr>
    </w:p>
    <w:p w14:paraId="0532B855" w14:textId="77777777" w:rsidR="00171824" w:rsidRDefault="006D258C">
      <w:pPr>
        <w:pStyle w:val="BodyText"/>
        <w:widowControl/>
        <w:kinsoku w:val="0"/>
        <w:overflowPunct w:val="0"/>
        <w:ind w:left="0"/>
        <w:rPr>
          <w:lang w:val="el-GR"/>
        </w:rPr>
      </w:pPr>
      <w:r>
        <w:rPr>
          <w:lang w:val="el-GR"/>
        </w:rPr>
        <w:t>Οι φαρμακοκινητικές αναλύσεις του πληθυσμού βάσει δεδομένων από 1 300 και άνω ασθενείς με ρευματοειδή αρθρίτιδα έδειξαν μια τάση για αυξημένη φαινομενική κάθαρση του adalimumab όσο αυξάνεται το σωματικό βάρος. Μετά από προσαρμογή στη διαφοροποίηση του σωματικού βάρους, του γένους και της ηλικίας φαίνεται οι παράγοντες αυτοί να έχουν μικρή επίδραση στην κάθαρση του adalimumab. Παρατηρήθηκε ότι τα επίπεδα του ελεύθερου adalimumab στον ορό (μη δεσμευμένα στα anti-adalimumab αντισώματα, AAA) ήταν χαμηλότερα στους ασθενείς με μετρήσιμα ΑΑΑ.</w:t>
      </w:r>
    </w:p>
    <w:p w14:paraId="05D6412A" w14:textId="77777777" w:rsidR="00171824" w:rsidRDefault="00171824">
      <w:pPr>
        <w:pStyle w:val="BodyText"/>
        <w:widowControl/>
        <w:kinsoku w:val="0"/>
        <w:overflowPunct w:val="0"/>
        <w:ind w:left="0"/>
        <w:rPr>
          <w:lang w:val="el-GR"/>
        </w:rPr>
      </w:pPr>
    </w:p>
    <w:p w14:paraId="078EA926" w14:textId="77777777" w:rsidR="00171824" w:rsidRDefault="006D258C">
      <w:pPr>
        <w:pStyle w:val="BodyText"/>
        <w:widowControl/>
        <w:kinsoku w:val="0"/>
        <w:overflowPunct w:val="0"/>
        <w:ind w:left="0"/>
        <w:rPr>
          <w:lang w:val="el-GR"/>
        </w:rPr>
      </w:pPr>
      <w:r>
        <w:rPr>
          <w:u w:val="single"/>
          <w:lang w:val="el-GR"/>
        </w:rPr>
        <w:t>Ηπατική ή νεφρική ανεπάρκεια</w:t>
      </w:r>
    </w:p>
    <w:p w14:paraId="06FBD5D3" w14:textId="77777777" w:rsidR="00171824" w:rsidRDefault="00171824">
      <w:pPr>
        <w:widowControl/>
        <w:kinsoku w:val="0"/>
        <w:overflowPunct w:val="0"/>
        <w:rPr>
          <w:sz w:val="22"/>
          <w:szCs w:val="22"/>
          <w:lang w:val="el-GR"/>
        </w:rPr>
      </w:pPr>
    </w:p>
    <w:p w14:paraId="0646A9EA" w14:textId="77777777" w:rsidR="00171824" w:rsidRDefault="006D258C">
      <w:pPr>
        <w:pStyle w:val="BodyText"/>
        <w:widowControl/>
        <w:kinsoku w:val="0"/>
        <w:overflowPunct w:val="0"/>
        <w:ind w:left="0"/>
        <w:rPr>
          <w:lang w:val="el-GR"/>
        </w:rPr>
      </w:pPr>
      <w:r>
        <w:rPr>
          <w:lang w:val="el-GR"/>
        </w:rPr>
        <w:t>Το adalimumab</w:t>
      </w:r>
      <w:r>
        <w:rPr>
          <w:i/>
          <w:iCs/>
          <w:lang w:val="el-GR"/>
        </w:rPr>
        <w:t xml:space="preserve"> </w:t>
      </w:r>
      <w:r>
        <w:rPr>
          <w:lang w:val="el-GR"/>
        </w:rPr>
        <w:t>δεν έχει μελετηθεί σε ασθενείς με ηπατική ή νεφρική ανεπάρκεια.</w:t>
      </w:r>
    </w:p>
    <w:p w14:paraId="5FF13A91" w14:textId="77777777" w:rsidR="00171824" w:rsidRDefault="00171824">
      <w:pPr>
        <w:widowControl/>
        <w:kinsoku w:val="0"/>
        <w:overflowPunct w:val="0"/>
        <w:rPr>
          <w:sz w:val="22"/>
          <w:szCs w:val="22"/>
          <w:lang w:val="el-GR"/>
        </w:rPr>
      </w:pPr>
    </w:p>
    <w:p w14:paraId="4460AE3C" w14:textId="77777777" w:rsidR="00171824" w:rsidRDefault="006D258C">
      <w:pPr>
        <w:pStyle w:val="Heading1"/>
        <w:keepNext/>
        <w:widowControl/>
        <w:tabs>
          <w:tab w:val="left" w:pos="567"/>
        </w:tabs>
        <w:kinsoku w:val="0"/>
        <w:overflowPunct w:val="0"/>
        <w:ind w:left="0"/>
        <w:rPr>
          <w:b w:val="0"/>
          <w:bCs w:val="0"/>
          <w:lang w:val="el-GR"/>
        </w:rPr>
      </w:pPr>
      <w:r>
        <w:rPr>
          <w:lang w:val="el-GR"/>
        </w:rPr>
        <w:t>5.3</w:t>
      </w:r>
      <w:r>
        <w:rPr>
          <w:lang w:val="el-GR"/>
        </w:rPr>
        <w:tab/>
        <w:t>Προκλινικά δεδομένα για την ασφάλεια</w:t>
      </w:r>
    </w:p>
    <w:p w14:paraId="4C08FA4E" w14:textId="77777777" w:rsidR="00171824" w:rsidRDefault="00171824">
      <w:pPr>
        <w:widowControl/>
        <w:kinsoku w:val="0"/>
        <w:overflowPunct w:val="0"/>
        <w:rPr>
          <w:sz w:val="22"/>
          <w:szCs w:val="22"/>
          <w:lang w:val="el-GR"/>
        </w:rPr>
      </w:pPr>
    </w:p>
    <w:p w14:paraId="0F775942" w14:textId="77777777" w:rsidR="00171824" w:rsidRDefault="006D258C">
      <w:pPr>
        <w:pStyle w:val="BodyText"/>
        <w:widowControl/>
        <w:kinsoku w:val="0"/>
        <w:overflowPunct w:val="0"/>
        <w:ind w:left="0"/>
        <w:rPr>
          <w:lang w:val="el-GR"/>
        </w:rPr>
      </w:pPr>
      <w:r>
        <w:rPr>
          <w:lang w:val="el-GR"/>
        </w:rPr>
        <w:t>Τα μη κλινικά δεδομένα δεν αποκαλύπτουν ιδιαίτερο κίνδυνο για τον άνθρωπο με βάση τις μελέτες τοξικότητας εφάπαξ δόσης, τοξικότητας επαναλαμβανόμενων δόσεων και γονοτοξικότητας.</w:t>
      </w:r>
    </w:p>
    <w:p w14:paraId="70A7E110" w14:textId="77777777" w:rsidR="00171824" w:rsidRDefault="00171824">
      <w:pPr>
        <w:widowControl/>
        <w:kinsoku w:val="0"/>
        <w:overflowPunct w:val="0"/>
        <w:rPr>
          <w:sz w:val="22"/>
          <w:szCs w:val="22"/>
          <w:lang w:val="el-GR"/>
        </w:rPr>
      </w:pPr>
    </w:p>
    <w:p w14:paraId="73720378" w14:textId="77777777" w:rsidR="00171824" w:rsidRDefault="006D258C">
      <w:pPr>
        <w:pStyle w:val="BodyText"/>
        <w:widowControl/>
        <w:kinsoku w:val="0"/>
        <w:overflowPunct w:val="0"/>
        <w:ind w:left="0"/>
        <w:rPr>
          <w:lang w:val="el-GR"/>
        </w:rPr>
      </w:pPr>
      <w:r>
        <w:rPr>
          <w:lang w:val="el-GR"/>
        </w:rPr>
        <w:t>Μια μελέτη εμβρυοτοξικότητας/περιγεννητικής ανάπτυξης έγινε σε κυνομόλογους πιθήκους σε 0, 30 και 100 mg/kg (9</w:t>
      </w:r>
      <w:r>
        <w:rPr>
          <w:lang w:val="el-GR"/>
        </w:rPr>
        <w:noBreakHyphen/>
        <w:t>17 πιθήκους/ομάδα) και δεν απεκάλυψε καμία ένδειξη κινδύνου στα έμβρυα λόγω του adalimumab. Καμία μελέτη καρκινογένεσης, όπως ούτε και η πρότυπη εκτίμηση της γονιμότητας και μεταγεννητικής τοξικότητας δεν έγινε με το adalimumab λόγω της απουσίας των κατάλληλων μοντέλων για ένα αντίσωμα με περιορισμένη διασταυρούμενη αντιδραστικότητα στο TNF τρωκτικών και την ανάπτυξη εξουδετερωτικών αντισωμάτων σε τρωκτικά.</w:t>
      </w:r>
    </w:p>
    <w:p w14:paraId="77FBF8B8" w14:textId="77777777" w:rsidR="00171824" w:rsidRDefault="00171824">
      <w:pPr>
        <w:widowControl/>
        <w:kinsoku w:val="0"/>
        <w:overflowPunct w:val="0"/>
        <w:rPr>
          <w:sz w:val="22"/>
          <w:szCs w:val="22"/>
          <w:lang w:val="el-GR"/>
        </w:rPr>
      </w:pPr>
    </w:p>
    <w:p w14:paraId="18819ADD" w14:textId="77777777" w:rsidR="00171824" w:rsidRDefault="00171824">
      <w:pPr>
        <w:widowControl/>
        <w:kinsoku w:val="0"/>
        <w:overflowPunct w:val="0"/>
        <w:rPr>
          <w:sz w:val="22"/>
          <w:szCs w:val="22"/>
          <w:lang w:val="el-GR"/>
        </w:rPr>
      </w:pPr>
    </w:p>
    <w:p w14:paraId="3F1ED90A" w14:textId="77777777" w:rsidR="00171824" w:rsidRDefault="006D258C">
      <w:pPr>
        <w:pStyle w:val="Heading1"/>
        <w:keepNext/>
        <w:widowControl/>
        <w:tabs>
          <w:tab w:val="left" w:pos="567"/>
        </w:tabs>
        <w:kinsoku w:val="0"/>
        <w:overflowPunct w:val="0"/>
        <w:ind w:left="0"/>
        <w:rPr>
          <w:b w:val="0"/>
          <w:bCs w:val="0"/>
          <w:lang w:val="el-GR"/>
        </w:rPr>
      </w:pPr>
      <w:r>
        <w:rPr>
          <w:lang w:val="el-GR"/>
        </w:rPr>
        <w:t>6.</w:t>
      </w:r>
      <w:r>
        <w:rPr>
          <w:lang w:val="el-GR"/>
        </w:rPr>
        <w:tab/>
        <w:t>ΦΑΡΜΑΚΕΥΤΙΚΕΣ ΠΛΗΡΟΦΟΡΙΕΣ</w:t>
      </w:r>
    </w:p>
    <w:p w14:paraId="1D793CC9" w14:textId="77777777" w:rsidR="00171824" w:rsidRDefault="00171824">
      <w:pPr>
        <w:keepNext/>
        <w:widowControl/>
        <w:kinsoku w:val="0"/>
        <w:overflowPunct w:val="0"/>
        <w:rPr>
          <w:sz w:val="22"/>
          <w:szCs w:val="22"/>
          <w:lang w:val="el-GR"/>
        </w:rPr>
      </w:pPr>
    </w:p>
    <w:p w14:paraId="4F1DB0ED" w14:textId="77777777" w:rsidR="00171824" w:rsidRDefault="006D258C">
      <w:pPr>
        <w:keepNext/>
        <w:widowControl/>
        <w:tabs>
          <w:tab w:val="left" w:pos="567"/>
        </w:tabs>
        <w:kinsoku w:val="0"/>
        <w:overflowPunct w:val="0"/>
        <w:rPr>
          <w:sz w:val="22"/>
          <w:szCs w:val="22"/>
          <w:lang w:val="el-GR"/>
        </w:rPr>
      </w:pPr>
      <w:r>
        <w:rPr>
          <w:b/>
          <w:bCs/>
          <w:sz w:val="22"/>
          <w:szCs w:val="22"/>
          <w:lang w:val="el-GR"/>
        </w:rPr>
        <w:t>6.1</w:t>
      </w:r>
      <w:r>
        <w:rPr>
          <w:b/>
          <w:bCs/>
          <w:sz w:val="22"/>
          <w:szCs w:val="22"/>
          <w:lang w:val="el-GR"/>
        </w:rPr>
        <w:tab/>
        <w:t>Κατάλογος εκδόχων</w:t>
      </w:r>
    </w:p>
    <w:p w14:paraId="41195FFF" w14:textId="77777777" w:rsidR="00171824" w:rsidRDefault="00171824">
      <w:pPr>
        <w:keepNext/>
        <w:widowControl/>
        <w:kinsoku w:val="0"/>
        <w:overflowPunct w:val="0"/>
        <w:rPr>
          <w:sz w:val="22"/>
          <w:szCs w:val="22"/>
          <w:lang w:val="el-GR"/>
        </w:rPr>
      </w:pPr>
    </w:p>
    <w:p w14:paraId="058482B2" w14:textId="77777777" w:rsidR="00171824" w:rsidRDefault="006D258C">
      <w:pPr>
        <w:pStyle w:val="BodyText"/>
        <w:widowControl/>
        <w:kinsoku w:val="0"/>
        <w:overflowPunct w:val="0"/>
        <w:ind w:left="0"/>
        <w:rPr>
          <w:lang w:val="el-GR"/>
        </w:rPr>
      </w:pPr>
      <w:r>
        <w:rPr>
          <w:rStyle w:val="rynqvb"/>
          <w:lang w:val="el-GR"/>
        </w:rPr>
        <w:t>L-γαλακτικό</w:t>
      </w:r>
      <w:r>
        <w:rPr>
          <w:lang w:val="el-GR"/>
        </w:rPr>
        <w:t xml:space="preserve"> οξύ</w:t>
      </w:r>
    </w:p>
    <w:p w14:paraId="47969DF6" w14:textId="77777777" w:rsidR="00171824" w:rsidRDefault="006D258C">
      <w:pPr>
        <w:pStyle w:val="BodyText"/>
        <w:widowControl/>
        <w:kinsoku w:val="0"/>
        <w:overflowPunct w:val="0"/>
        <w:ind w:left="0"/>
        <w:rPr>
          <w:lang w:val="el-GR"/>
        </w:rPr>
      </w:pPr>
      <w:r>
        <w:rPr>
          <w:lang w:val="el-GR"/>
        </w:rPr>
        <w:t>Σακχαρόζη</w:t>
      </w:r>
    </w:p>
    <w:p w14:paraId="7836C227" w14:textId="77777777" w:rsidR="00171824" w:rsidRDefault="006D258C">
      <w:pPr>
        <w:pStyle w:val="BodyText"/>
        <w:widowControl/>
        <w:kinsoku w:val="0"/>
        <w:overflowPunct w:val="0"/>
        <w:ind w:left="0"/>
        <w:rPr>
          <w:lang w:val="el-GR"/>
        </w:rPr>
      </w:pPr>
      <w:r>
        <w:rPr>
          <w:lang w:val="el-GR"/>
        </w:rPr>
        <w:t>Πολυσορβικό 80</w:t>
      </w:r>
    </w:p>
    <w:p w14:paraId="67C33F90" w14:textId="77777777" w:rsidR="00171824" w:rsidRDefault="006D258C">
      <w:pPr>
        <w:pStyle w:val="BodyText"/>
        <w:widowControl/>
        <w:kinsoku w:val="0"/>
        <w:overflowPunct w:val="0"/>
        <w:ind w:left="0"/>
        <w:rPr>
          <w:lang w:val="el-GR"/>
        </w:rPr>
      </w:pPr>
      <w:r>
        <w:rPr>
          <w:lang w:val="el-GR"/>
        </w:rPr>
        <w:t>Υδροξείδιο του νατρίου (για ρύθμιση του pH)</w:t>
      </w:r>
    </w:p>
    <w:p w14:paraId="486A58A5" w14:textId="77777777" w:rsidR="00171824" w:rsidRDefault="006D258C">
      <w:pPr>
        <w:pStyle w:val="BodyText"/>
        <w:widowControl/>
        <w:kinsoku w:val="0"/>
        <w:overflowPunct w:val="0"/>
        <w:ind w:left="0"/>
        <w:rPr>
          <w:lang w:val="el-GR"/>
        </w:rPr>
      </w:pPr>
      <w:r>
        <w:rPr>
          <w:lang w:val="el-GR"/>
        </w:rPr>
        <w:t>Ύδωρ για ενέσιμα</w:t>
      </w:r>
    </w:p>
    <w:p w14:paraId="32D789E9" w14:textId="77777777" w:rsidR="00171824" w:rsidRDefault="00171824">
      <w:pPr>
        <w:widowControl/>
        <w:kinsoku w:val="0"/>
        <w:overflowPunct w:val="0"/>
        <w:rPr>
          <w:sz w:val="22"/>
          <w:szCs w:val="22"/>
          <w:lang w:val="el-GR"/>
        </w:rPr>
      </w:pPr>
    </w:p>
    <w:p w14:paraId="11D26C90" w14:textId="77777777" w:rsidR="00171824" w:rsidRDefault="006D258C">
      <w:pPr>
        <w:pStyle w:val="Heading1"/>
        <w:keepNext/>
        <w:widowControl/>
        <w:tabs>
          <w:tab w:val="left" w:pos="567"/>
        </w:tabs>
        <w:kinsoku w:val="0"/>
        <w:overflowPunct w:val="0"/>
        <w:ind w:left="0"/>
        <w:rPr>
          <w:b w:val="0"/>
          <w:bCs w:val="0"/>
          <w:lang w:val="el-GR"/>
        </w:rPr>
      </w:pPr>
      <w:r>
        <w:rPr>
          <w:lang w:val="el-GR"/>
        </w:rPr>
        <w:t>6.2</w:t>
      </w:r>
      <w:r>
        <w:rPr>
          <w:lang w:val="el-GR"/>
        </w:rPr>
        <w:tab/>
        <w:t>Ασυμβατότητες</w:t>
      </w:r>
    </w:p>
    <w:p w14:paraId="509B9DA3" w14:textId="77777777" w:rsidR="00171824" w:rsidRDefault="00171824">
      <w:pPr>
        <w:keepNext/>
        <w:widowControl/>
        <w:kinsoku w:val="0"/>
        <w:overflowPunct w:val="0"/>
        <w:rPr>
          <w:sz w:val="22"/>
          <w:szCs w:val="22"/>
          <w:lang w:val="el-GR"/>
        </w:rPr>
      </w:pPr>
    </w:p>
    <w:p w14:paraId="7CFB616F" w14:textId="77777777" w:rsidR="00171824" w:rsidRDefault="006D258C">
      <w:pPr>
        <w:pStyle w:val="BodyText"/>
        <w:widowControl/>
        <w:kinsoku w:val="0"/>
        <w:overflowPunct w:val="0"/>
        <w:ind w:left="0"/>
        <w:rPr>
          <w:lang w:val="el-GR"/>
        </w:rPr>
      </w:pPr>
      <w:r>
        <w:rPr>
          <w:lang w:val="el-GR"/>
        </w:rPr>
        <w:t>Ελλείψει μελετών σχετικά με τη συμβατότητα, το παρόν φαρμακευτικό προϊόν δεν πρέπει να αναμειγνύεται με άλλα φαρμακευτικά προϊόντα.</w:t>
      </w:r>
    </w:p>
    <w:p w14:paraId="52D5DCC1" w14:textId="77777777" w:rsidR="00171824" w:rsidRDefault="00171824">
      <w:pPr>
        <w:widowControl/>
        <w:kinsoku w:val="0"/>
        <w:overflowPunct w:val="0"/>
        <w:rPr>
          <w:sz w:val="22"/>
          <w:szCs w:val="22"/>
          <w:lang w:val="el-GR"/>
        </w:rPr>
      </w:pPr>
    </w:p>
    <w:p w14:paraId="7182B4A6" w14:textId="77777777" w:rsidR="00171824" w:rsidRDefault="006D258C">
      <w:pPr>
        <w:pStyle w:val="Heading1"/>
        <w:keepNext/>
        <w:widowControl/>
        <w:tabs>
          <w:tab w:val="left" w:pos="567"/>
        </w:tabs>
        <w:kinsoku w:val="0"/>
        <w:overflowPunct w:val="0"/>
        <w:ind w:left="0"/>
        <w:rPr>
          <w:b w:val="0"/>
          <w:bCs w:val="0"/>
          <w:lang w:val="el-GR"/>
        </w:rPr>
      </w:pPr>
      <w:r>
        <w:rPr>
          <w:lang w:val="el-GR"/>
        </w:rPr>
        <w:lastRenderedPageBreak/>
        <w:t>6.3</w:t>
      </w:r>
      <w:r>
        <w:rPr>
          <w:lang w:val="el-GR"/>
        </w:rPr>
        <w:tab/>
        <w:t>Διάρκεια ζωής</w:t>
      </w:r>
    </w:p>
    <w:p w14:paraId="3E592AA8" w14:textId="77777777" w:rsidR="00171824" w:rsidRDefault="00171824">
      <w:pPr>
        <w:keepNext/>
        <w:widowControl/>
        <w:kinsoku w:val="0"/>
        <w:overflowPunct w:val="0"/>
        <w:rPr>
          <w:sz w:val="22"/>
          <w:szCs w:val="22"/>
          <w:lang w:val="el-GR"/>
        </w:rPr>
      </w:pPr>
    </w:p>
    <w:p w14:paraId="7DC64DAA" w14:textId="77777777" w:rsidR="00171824" w:rsidRDefault="006D258C">
      <w:pPr>
        <w:pStyle w:val="BodyText"/>
        <w:widowControl/>
        <w:kinsoku w:val="0"/>
        <w:overflowPunct w:val="0"/>
        <w:ind w:left="0"/>
        <w:rPr>
          <w:lang w:val="el-GR"/>
        </w:rPr>
      </w:pPr>
      <w:r>
        <w:rPr>
          <w:lang w:val="el-GR"/>
        </w:rPr>
        <w:t>3 χρόνια</w:t>
      </w:r>
    </w:p>
    <w:p w14:paraId="3B9E5C68" w14:textId="77777777" w:rsidR="00171824" w:rsidRDefault="00171824">
      <w:pPr>
        <w:widowControl/>
        <w:kinsoku w:val="0"/>
        <w:overflowPunct w:val="0"/>
        <w:rPr>
          <w:sz w:val="22"/>
          <w:szCs w:val="22"/>
          <w:lang w:val="el-GR"/>
        </w:rPr>
      </w:pPr>
    </w:p>
    <w:p w14:paraId="454BE01E" w14:textId="77777777" w:rsidR="00171824" w:rsidRDefault="006D258C">
      <w:pPr>
        <w:pStyle w:val="Heading1"/>
        <w:keepNext/>
        <w:widowControl/>
        <w:tabs>
          <w:tab w:val="left" w:pos="567"/>
        </w:tabs>
        <w:kinsoku w:val="0"/>
        <w:overflowPunct w:val="0"/>
        <w:ind w:left="0"/>
        <w:rPr>
          <w:b w:val="0"/>
          <w:bCs w:val="0"/>
          <w:lang w:val="el-GR"/>
        </w:rPr>
      </w:pPr>
      <w:r>
        <w:rPr>
          <w:lang w:val="el-GR"/>
        </w:rPr>
        <w:t>6.4</w:t>
      </w:r>
      <w:r>
        <w:rPr>
          <w:lang w:val="el-GR"/>
        </w:rPr>
        <w:tab/>
        <w:t>Ιδιαίτερες προφυλάξεις κατά τη φύλαξη του προϊόντος</w:t>
      </w:r>
    </w:p>
    <w:p w14:paraId="0AE1ACAD" w14:textId="77777777" w:rsidR="00171824" w:rsidRDefault="00171824">
      <w:pPr>
        <w:widowControl/>
        <w:kinsoku w:val="0"/>
        <w:overflowPunct w:val="0"/>
        <w:rPr>
          <w:sz w:val="22"/>
          <w:szCs w:val="22"/>
          <w:lang w:val="el-GR"/>
        </w:rPr>
      </w:pPr>
    </w:p>
    <w:p w14:paraId="0EAA3128" w14:textId="77777777" w:rsidR="00171824" w:rsidRDefault="006D258C">
      <w:pPr>
        <w:pStyle w:val="BodyText"/>
        <w:widowControl/>
        <w:kinsoku w:val="0"/>
        <w:overflowPunct w:val="0"/>
        <w:ind w:left="0"/>
        <w:rPr>
          <w:lang w:val="el-GR"/>
        </w:rPr>
      </w:pPr>
      <w:r>
        <w:rPr>
          <w:lang w:val="el-GR"/>
        </w:rPr>
        <w:t xml:space="preserve">Φυλάσσετε σε ψυγείο (2°C – 8°C). </w:t>
      </w:r>
    </w:p>
    <w:p w14:paraId="322C89DF" w14:textId="77777777" w:rsidR="00171824" w:rsidRDefault="006D258C">
      <w:pPr>
        <w:pStyle w:val="BodyText"/>
        <w:widowControl/>
        <w:kinsoku w:val="0"/>
        <w:overflowPunct w:val="0"/>
        <w:ind w:left="0"/>
        <w:rPr>
          <w:lang w:val="el-GR"/>
        </w:rPr>
      </w:pPr>
      <w:r>
        <w:rPr>
          <w:lang w:val="el-GR"/>
        </w:rPr>
        <w:t xml:space="preserve">Μην καταψύχετε. </w:t>
      </w:r>
    </w:p>
    <w:p w14:paraId="71B20EA5" w14:textId="77777777" w:rsidR="00171824" w:rsidRDefault="006D258C">
      <w:pPr>
        <w:pStyle w:val="BodyText"/>
        <w:widowControl/>
        <w:kinsoku w:val="0"/>
        <w:overflowPunct w:val="0"/>
        <w:ind w:left="0"/>
        <w:rPr>
          <w:lang w:val="el-GR"/>
        </w:rPr>
      </w:pPr>
      <w:r>
        <w:rPr>
          <w:lang w:val="el-GR"/>
        </w:rPr>
        <w:t>Φυλάσσετε την προγεμισμένη σύριγγα ή την προγεμισμένη συσκευή τύπου πένας στο εξωτερικό κουτί για να προστατεύεται από το φως.</w:t>
      </w:r>
    </w:p>
    <w:p w14:paraId="56E8B997" w14:textId="77777777" w:rsidR="00171824" w:rsidRDefault="00171824">
      <w:pPr>
        <w:widowControl/>
        <w:kinsoku w:val="0"/>
        <w:overflowPunct w:val="0"/>
        <w:rPr>
          <w:sz w:val="22"/>
          <w:szCs w:val="22"/>
          <w:lang w:val="el-GR"/>
        </w:rPr>
      </w:pPr>
    </w:p>
    <w:p w14:paraId="3924B431" w14:textId="77777777" w:rsidR="00171824" w:rsidRDefault="006D258C">
      <w:pPr>
        <w:pStyle w:val="BodyText"/>
        <w:widowControl/>
        <w:kinsoku w:val="0"/>
        <w:overflowPunct w:val="0"/>
        <w:ind w:left="0"/>
        <w:rPr>
          <w:lang w:val="el-GR"/>
        </w:rPr>
      </w:pPr>
      <w:r>
        <w:rPr>
          <w:lang w:val="el-GR"/>
        </w:rPr>
        <w:t>Η κάθε προγεμισμένη σύριγγα ή προγεμισμένη συσκευή τύπου πένας μπορεί να φυλάσσεται σε θερμοκρασίες μέχρι 25 °C για χρονικό διάστημα έως και 14 ημέρες. Η προγεμισμένη σύριγγα ή η προγεμισμένη συσκευή τύπου πένας πρέπει να προστατεύεται από το φως, και να απορρίπτεται εάν δεν χρησιμοποιηθεί μέσα στην περίοδο των 14 ημερών.</w:t>
      </w:r>
    </w:p>
    <w:p w14:paraId="50218993" w14:textId="77777777" w:rsidR="00171824" w:rsidRDefault="00171824">
      <w:pPr>
        <w:widowControl/>
        <w:kinsoku w:val="0"/>
        <w:overflowPunct w:val="0"/>
        <w:rPr>
          <w:sz w:val="22"/>
          <w:szCs w:val="22"/>
          <w:lang w:val="el-GR"/>
        </w:rPr>
      </w:pPr>
    </w:p>
    <w:p w14:paraId="31A7BB13" w14:textId="77777777" w:rsidR="00171824" w:rsidRDefault="006D258C">
      <w:pPr>
        <w:pStyle w:val="Heading1"/>
        <w:keepNext/>
        <w:widowControl/>
        <w:tabs>
          <w:tab w:val="left" w:pos="567"/>
        </w:tabs>
        <w:kinsoku w:val="0"/>
        <w:overflowPunct w:val="0"/>
        <w:ind w:left="0"/>
        <w:rPr>
          <w:b w:val="0"/>
          <w:bCs w:val="0"/>
          <w:lang w:val="el-GR"/>
        </w:rPr>
      </w:pPr>
      <w:r>
        <w:rPr>
          <w:lang w:val="el-GR"/>
        </w:rPr>
        <w:t>6.5</w:t>
      </w:r>
      <w:r>
        <w:rPr>
          <w:lang w:val="el-GR"/>
        </w:rPr>
        <w:tab/>
        <w:t>Φύση και συστατικά του περιέκτη</w:t>
      </w:r>
    </w:p>
    <w:p w14:paraId="0AC0863F" w14:textId="77777777" w:rsidR="00171824" w:rsidRDefault="00171824">
      <w:pPr>
        <w:keepNext/>
        <w:widowControl/>
        <w:kinsoku w:val="0"/>
        <w:overflowPunct w:val="0"/>
        <w:rPr>
          <w:sz w:val="22"/>
          <w:szCs w:val="22"/>
          <w:lang w:val="el-GR"/>
        </w:rPr>
      </w:pPr>
    </w:p>
    <w:p w14:paraId="16EAD729" w14:textId="77777777" w:rsidR="00171824" w:rsidRDefault="006D258C">
      <w:pPr>
        <w:widowControl/>
        <w:kinsoku w:val="0"/>
        <w:overflowPunct w:val="0"/>
        <w:rPr>
          <w:sz w:val="22"/>
          <w:szCs w:val="22"/>
          <w:u w:val="single"/>
          <w:lang w:val="el-GR"/>
        </w:rPr>
      </w:pPr>
      <w:r>
        <w:rPr>
          <w:sz w:val="22"/>
          <w:szCs w:val="22"/>
          <w:u w:val="single"/>
          <w:lang w:val="el-GR"/>
        </w:rPr>
        <w:t>AMGEVITA 20 mg ενέσιμο διάλυμα σε προγεμισμένη σύριγγα</w:t>
      </w:r>
    </w:p>
    <w:p w14:paraId="4A4D032E" w14:textId="77777777" w:rsidR="00171824" w:rsidRDefault="00171824">
      <w:pPr>
        <w:widowControl/>
        <w:kinsoku w:val="0"/>
        <w:overflowPunct w:val="0"/>
        <w:rPr>
          <w:sz w:val="22"/>
          <w:szCs w:val="22"/>
          <w:u w:val="single"/>
          <w:lang w:val="el-GR"/>
        </w:rPr>
      </w:pPr>
    </w:p>
    <w:p w14:paraId="077FD9E6" w14:textId="77777777" w:rsidR="00171824" w:rsidRDefault="006D258C">
      <w:pPr>
        <w:pStyle w:val="BodyText"/>
        <w:widowControl/>
        <w:kinsoku w:val="0"/>
        <w:overflowPunct w:val="0"/>
        <w:ind w:left="0"/>
        <w:rPr>
          <w:lang w:val="el-GR"/>
        </w:rPr>
      </w:pPr>
      <w:r>
        <w:rPr>
          <w:lang w:val="el-GR"/>
        </w:rPr>
        <w:t xml:space="preserve">Διάλυμα 0,2 ml σε προγεμισμένη σύριγγα (γυαλί τύπου Ι) με έμβολο με πώμα (από βρωμοβουτυλικό ελαστικό) και μία βελόνα από ανοξείδωτο ατσάλι με προστατευτικό κάλυμμα (θερμοπλαστικό ελαστομερές). </w:t>
      </w:r>
    </w:p>
    <w:p w14:paraId="4ED70C65" w14:textId="77777777" w:rsidR="00171824" w:rsidRDefault="00171824">
      <w:pPr>
        <w:widowControl/>
        <w:kinsoku w:val="0"/>
        <w:overflowPunct w:val="0"/>
        <w:rPr>
          <w:sz w:val="22"/>
          <w:szCs w:val="22"/>
          <w:lang w:val="el-GR"/>
        </w:rPr>
      </w:pPr>
    </w:p>
    <w:p w14:paraId="2B034F3E" w14:textId="77777777" w:rsidR="00171824" w:rsidRDefault="006D258C">
      <w:pPr>
        <w:pStyle w:val="BodyText"/>
        <w:widowControl/>
        <w:kinsoku w:val="0"/>
        <w:overflowPunct w:val="0"/>
        <w:ind w:left="0"/>
        <w:jc w:val="both"/>
        <w:rPr>
          <w:lang w:val="el-GR"/>
        </w:rPr>
      </w:pPr>
      <w:r>
        <w:rPr>
          <w:lang w:val="el-GR"/>
        </w:rPr>
        <w:t>Μέγεθος συσκευασίας 1 προγεμισμένης σύριγγας.</w:t>
      </w:r>
    </w:p>
    <w:p w14:paraId="3903BB1E" w14:textId="77777777" w:rsidR="00171824" w:rsidRDefault="00171824">
      <w:pPr>
        <w:widowControl/>
        <w:kinsoku w:val="0"/>
        <w:overflowPunct w:val="0"/>
        <w:rPr>
          <w:sz w:val="22"/>
          <w:szCs w:val="22"/>
          <w:u w:val="single"/>
          <w:lang w:val="el-GR"/>
        </w:rPr>
      </w:pPr>
    </w:p>
    <w:p w14:paraId="5F2E2D36" w14:textId="77777777" w:rsidR="00171824" w:rsidRDefault="006D258C">
      <w:pPr>
        <w:widowControl/>
        <w:kinsoku w:val="0"/>
        <w:overflowPunct w:val="0"/>
        <w:rPr>
          <w:sz w:val="22"/>
          <w:szCs w:val="22"/>
          <w:u w:val="single"/>
          <w:lang w:val="el-GR"/>
        </w:rPr>
      </w:pPr>
      <w:r>
        <w:rPr>
          <w:sz w:val="22"/>
          <w:szCs w:val="22"/>
          <w:u w:val="single"/>
          <w:lang w:val="el-GR"/>
        </w:rPr>
        <w:t>AMGEVITA 40 mg ενέσιμο διάλυμα σε προγεμισμένη σύριγγα</w:t>
      </w:r>
    </w:p>
    <w:p w14:paraId="09895D1E" w14:textId="77777777" w:rsidR="00171824" w:rsidRDefault="00171824">
      <w:pPr>
        <w:widowControl/>
        <w:kinsoku w:val="0"/>
        <w:overflowPunct w:val="0"/>
        <w:rPr>
          <w:sz w:val="22"/>
          <w:szCs w:val="22"/>
          <w:u w:val="single"/>
          <w:lang w:val="el-GR"/>
        </w:rPr>
      </w:pPr>
    </w:p>
    <w:p w14:paraId="75C5FBF8" w14:textId="77777777" w:rsidR="00171824" w:rsidRDefault="006D258C">
      <w:pPr>
        <w:pStyle w:val="BodyText"/>
        <w:widowControl/>
        <w:kinsoku w:val="0"/>
        <w:overflowPunct w:val="0"/>
        <w:ind w:left="0"/>
        <w:rPr>
          <w:lang w:val="el-GR"/>
        </w:rPr>
      </w:pPr>
      <w:r>
        <w:rPr>
          <w:lang w:val="el-GR"/>
        </w:rPr>
        <w:t xml:space="preserve">Διάλυμα 0,4 ml σε προγεμισμένη σύριγγα (γυαλί τύπου Ι) με έμβολο με πώμα (από βρωμοβουτυλικό ελαστικό) και μία βελόνα από ανοξείδωτο ατσάλι με προστατευτικό κάλυμμα (θερμοπλαστικό ελαστομερές). </w:t>
      </w:r>
    </w:p>
    <w:p w14:paraId="47606283" w14:textId="77777777" w:rsidR="00171824" w:rsidRDefault="00171824">
      <w:pPr>
        <w:pStyle w:val="BodyText"/>
        <w:widowControl/>
        <w:kinsoku w:val="0"/>
        <w:overflowPunct w:val="0"/>
        <w:ind w:left="0"/>
        <w:jc w:val="both"/>
        <w:rPr>
          <w:lang w:val="el-GR"/>
        </w:rPr>
      </w:pPr>
    </w:p>
    <w:p w14:paraId="57B01A86" w14:textId="77777777" w:rsidR="00171824" w:rsidRDefault="006D258C">
      <w:pPr>
        <w:pStyle w:val="BodyText"/>
        <w:widowControl/>
        <w:kinsoku w:val="0"/>
        <w:overflowPunct w:val="0"/>
        <w:ind w:left="0"/>
        <w:rPr>
          <w:lang w:val="el-GR"/>
        </w:rPr>
      </w:pPr>
      <w:r>
        <w:rPr>
          <w:lang w:val="el-GR"/>
        </w:rPr>
        <w:t>Μεγέθη συσκευασίας με 1, 2 ή πολυσυσκευασία που περιέχει 6 (3 κουτιά των 2) προγεμισμένες σύριγγες.</w:t>
      </w:r>
    </w:p>
    <w:p w14:paraId="19F665D7" w14:textId="77777777" w:rsidR="00171824" w:rsidRDefault="006D258C">
      <w:pPr>
        <w:pStyle w:val="BodyText"/>
        <w:widowControl/>
        <w:kinsoku w:val="0"/>
        <w:overflowPunct w:val="0"/>
        <w:ind w:left="0"/>
        <w:jc w:val="both"/>
        <w:rPr>
          <w:lang w:val="el-GR"/>
        </w:rPr>
      </w:pPr>
      <w:r>
        <w:rPr>
          <w:lang w:val="el-GR"/>
        </w:rPr>
        <w:t>Μπορεί να μην κυκλοφορούν όλες οι συσκευασίες.</w:t>
      </w:r>
    </w:p>
    <w:p w14:paraId="1CADB6CF" w14:textId="77777777" w:rsidR="00171824" w:rsidRDefault="00171824">
      <w:pPr>
        <w:widowControl/>
        <w:kinsoku w:val="0"/>
        <w:overflowPunct w:val="0"/>
        <w:rPr>
          <w:sz w:val="22"/>
          <w:szCs w:val="22"/>
          <w:lang w:val="el-GR"/>
        </w:rPr>
      </w:pPr>
    </w:p>
    <w:p w14:paraId="4F4AE489" w14:textId="77777777" w:rsidR="00171824" w:rsidRDefault="006D258C">
      <w:pPr>
        <w:pStyle w:val="Default"/>
        <w:keepNext/>
        <w:rPr>
          <w:color w:val="auto"/>
          <w:sz w:val="22"/>
          <w:szCs w:val="22"/>
          <w:u w:val="single"/>
          <w:lang w:val="el-GR" w:eastAsia="en-GB"/>
        </w:rPr>
      </w:pPr>
      <w:r>
        <w:rPr>
          <w:color w:val="auto"/>
          <w:sz w:val="22"/>
          <w:szCs w:val="22"/>
          <w:u w:val="single"/>
          <w:lang w:val="el-GR" w:eastAsia="en-GB"/>
        </w:rPr>
        <w:t>AMGEVITA 80</w:t>
      </w:r>
      <w:r>
        <w:rPr>
          <w:color w:val="auto"/>
          <w:sz w:val="22"/>
          <w:szCs w:val="22"/>
          <w:u w:val="single"/>
          <w:lang w:val="el-GR"/>
        </w:rPr>
        <w:t> </w:t>
      </w:r>
      <w:r>
        <w:rPr>
          <w:color w:val="auto"/>
          <w:sz w:val="22"/>
          <w:szCs w:val="22"/>
          <w:u w:val="single"/>
          <w:lang w:val="el-GR" w:eastAsia="en-GB"/>
        </w:rPr>
        <w:t>mg ενέσιμο διάλυμα σε προγεμισμένη σύριγγα</w:t>
      </w:r>
    </w:p>
    <w:p w14:paraId="072E4499" w14:textId="77777777" w:rsidR="00171824" w:rsidRDefault="00171824">
      <w:pPr>
        <w:pStyle w:val="Default"/>
        <w:keepNext/>
        <w:rPr>
          <w:color w:val="auto"/>
          <w:sz w:val="22"/>
          <w:szCs w:val="22"/>
          <w:u w:val="single"/>
          <w:lang w:val="el-GR" w:eastAsia="en-GB"/>
        </w:rPr>
      </w:pPr>
    </w:p>
    <w:p w14:paraId="150A597B" w14:textId="77777777" w:rsidR="00171824" w:rsidRDefault="006D258C">
      <w:pPr>
        <w:pStyle w:val="Default"/>
        <w:keepNext/>
        <w:rPr>
          <w:color w:val="auto"/>
          <w:sz w:val="22"/>
          <w:szCs w:val="22"/>
          <w:lang w:val="el-GR"/>
        </w:rPr>
      </w:pPr>
      <w:r>
        <w:rPr>
          <w:sz w:val="22"/>
          <w:szCs w:val="22"/>
          <w:lang w:val="el-GR" w:eastAsia="en-GB"/>
        </w:rPr>
        <w:t>Διάλυμα 0,8 ml σε προγεμισμένη σύριγγα (γυαλί τύπου Ι) με έμβολο με πώμα</w:t>
      </w:r>
      <w:r>
        <w:rPr>
          <w:sz w:val="22"/>
          <w:szCs w:val="22"/>
          <w:lang w:val="el-GR"/>
        </w:rPr>
        <w:t xml:space="preserve"> (από βρωμοβουτυλικό ελαστικό) και μία βελόνα από ανοξείδωτο ατσάλι με προστατευτικό κάλυμμα (θερμοπλαστικό ελαστομερές). </w:t>
      </w:r>
    </w:p>
    <w:p w14:paraId="49178A7E" w14:textId="77777777" w:rsidR="00171824" w:rsidRDefault="00171824">
      <w:pPr>
        <w:pStyle w:val="Default"/>
        <w:keepNext/>
        <w:rPr>
          <w:color w:val="auto"/>
          <w:sz w:val="22"/>
          <w:szCs w:val="22"/>
          <w:lang w:val="el-GR"/>
        </w:rPr>
      </w:pPr>
    </w:p>
    <w:p w14:paraId="2728D034" w14:textId="77777777" w:rsidR="00171824" w:rsidRDefault="006D258C">
      <w:pPr>
        <w:pStyle w:val="Default"/>
        <w:keepNext/>
        <w:rPr>
          <w:color w:val="auto"/>
          <w:sz w:val="22"/>
          <w:szCs w:val="22"/>
          <w:lang w:val="el-GR"/>
        </w:rPr>
      </w:pPr>
      <w:r>
        <w:rPr>
          <w:color w:val="auto"/>
          <w:sz w:val="22"/>
          <w:szCs w:val="22"/>
          <w:lang w:val="el-GR"/>
        </w:rPr>
        <w:t>Μεγέθη συσκευασίας με 1, 2 ή πολυσυσκευασία που περιέχει 3 (3 κουτιά της 1) προγεμισμένες σύριγγες.</w:t>
      </w:r>
    </w:p>
    <w:p w14:paraId="63C818DB" w14:textId="77777777" w:rsidR="00171824" w:rsidRDefault="006D258C">
      <w:pPr>
        <w:rPr>
          <w:sz w:val="22"/>
          <w:szCs w:val="22"/>
          <w:lang w:val="el-GR"/>
        </w:rPr>
      </w:pPr>
      <w:r>
        <w:rPr>
          <w:sz w:val="22"/>
          <w:szCs w:val="22"/>
          <w:lang w:val="el-GR"/>
        </w:rPr>
        <w:t>Μπορεί να μην κυκλοφορούν όλες οι συσκευασίες.</w:t>
      </w:r>
    </w:p>
    <w:p w14:paraId="0E6E6BB8" w14:textId="77777777" w:rsidR="00171824" w:rsidRDefault="00171824">
      <w:pPr>
        <w:widowControl/>
        <w:kinsoku w:val="0"/>
        <w:overflowPunct w:val="0"/>
        <w:rPr>
          <w:sz w:val="22"/>
          <w:szCs w:val="22"/>
          <w:u w:val="single"/>
          <w:lang w:val="el-GR"/>
        </w:rPr>
      </w:pPr>
    </w:p>
    <w:p w14:paraId="3D27235F" w14:textId="77777777" w:rsidR="00171824" w:rsidRDefault="006D258C">
      <w:pPr>
        <w:widowControl/>
        <w:kinsoku w:val="0"/>
        <w:overflowPunct w:val="0"/>
        <w:rPr>
          <w:sz w:val="22"/>
          <w:szCs w:val="22"/>
          <w:u w:val="single"/>
          <w:lang w:val="el-GR"/>
        </w:rPr>
      </w:pPr>
      <w:r>
        <w:rPr>
          <w:sz w:val="22"/>
          <w:szCs w:val="22"/>
          <w:u w:val="single"/>
          <w:lang w:val="el-GR"/>
        </w:rPr>
        <w:t xml:space="preserve">AMGEVITA 40 mg ενέσιμο διάλυμα σε προγεμισμένη συσκευή τύπου πένας </w:t>
      </w:r>
    </w:p>
    <w:p w14:paraId="2184CFD3" w14:textId="77777777" w:rsidR="00171824" w:rsidRDefault="00171824">
      <w:pPr>
        <w:widowControl/>
        <w:kinsoku w:val="0"/>
        <w:overflowPunct w:val="0"/>
        <w:rPr>
          <w:sz w:val="22"/>
          <w:szCs w:val="22"/>
          <w:u w:val="single"/>
          <w:lang w:val="el-GR"/>
        </w:rPr>
      </w:pPr>
    </w:p>
    <w:p w14:paraId="7F25A319" w14:textId="77777777" w:rsidR="00171824" w:rsidRDefault="006D258C">
      <w:pPr>
        <w:pStyle w:val="BodyText"/>
        <w:widowControl/>
        <w:kinsoku w:val="0"/>
        <w:overflowPunct w:val="0"/>
        <w:ind w:left="0"/>
        <w:rPr>
          <w:lang w:val="el-GR"/>
        </w:rPr>
      </w:pPr>
      <w:r>
        <w:rPr>
          <w:lang w:val="el-GR"/>
        </w:rPr>
        <w:t>Ενέσιμο διάλυμα 0,4 ml σε προγεμισμένη συσκευή τύπου πένας για χρήση από τους ασθενείς, η οποία περιέχει μία προγεμισμένη σύριγγα (γυαλί τύπου I). Η συσκευή τύπου πένας είναι μία μηχανική συσκευή ένεσης χειρός, μίας χρήσης, η οποία στη συνέχεια θα πρέπει να απορρίπτεται. Το κάλυμμα βελόνας της προγεμισμένης συσκευής τύπου πένας είναι κατασκευασμένο από συνθετικό ελαστικό.</w:t>
      </w:r>
    </w:p>
    <w:p w14:paraId="61EEE0EE" w14:textId="77777777" w:rsidR="00171824" w:rsidRDefault="00171824">
      <w:pPr>
        <w:widowControl/>
        <w:kinsoku w:val="0"/>
        <w:overflowPunct w:val="0"/>
        <w:rPr>
          <w:sz w:val="22"/>
          <w:szCs w:val="22"/>
          <w:lang w:val="el-GR"/>
        </w:rPr>
      </w:pPr>
    </w:p>
    <w:p w14:paraId="2437E533" w14:textId="77777777" w:rsidR="00171824" w:rsidRDefault="006D258C">
      <w:pPr>
        <w:widowControl/>
        <w:kinsoku w:val="0"/>
        <w:overflowPunct w:val="0"/>
        <w:rPr>
          <w:sz w:val="22"/>
          <w:szCs w:val="22"/>
          <w:lang w:val="el-GR"/>
        </w:rPr>
      </w:pPr>
      <w:r>
        <w:rPr>
          <w:sz w:val="22"/>
          <w:szCs w:val="22"/>
          <w:lang w:val="el-GR"/>
        </w:rPr>
        <w:t>Μεγέθη συσκευασίας με 1, 2 ή πολυσυσκευασία που περιέχει 6 (3 κουτιά των 2)</w:t>
      </w:r>
      <w:r>
        <w:rPr>
          <w:sz w:val="22"/>
          <w:lang w:val="el-GR"/>
        </w:rPr>
        <w:t xml:space="preserve"> </w:t>
      </w:r>
      <w:r>
        <w:rPr>
          <w:sz w:val="22"/>
          <w:szCs w:val="22"/>
          <w:lang w:val="el-GR"/>
        </w:rPr>
        <w:t>προγεμισμένες συσκευές τύπου πένας.</w:t>
      </w:r>
    </w:p>
    <w:p w14:paraId="0F60AE19" w14:textId="77777777" w:rsidR="00171824" w:rsidRDefault="006D258C">
      <w:pPr>
        <w:widowControl/>
        <w:kinsoku w:val="0"/>
        <w:overflowPunct w:val="0"/>
        <w:rPr>
          <w:sz w:val="22"/>
          <w:szCs w:val="22"/>
          <w:lang w:val="el-GR"/>
        </w:rPr>
      </w:pPr>
      <w:r>
        <w:rPr>
          <w:sz w:val="22"/>
          <w:szCs w:val="22"/>
          <w:lang w:val="el-GR"/>
        </w:rPr>
        <w:t>Μπορεί να μην κυκλοφορούν όλες οι συσκευασίες.</w:t>
      </w:r>
    </w:p>
    <w:p w14:paraId="0B039D06" w14:textId="77777777" w:rsidR="00171824" w:rsidRDefault="00171824">
      <w:pPr>
        <w:widowControl/>
        <w:kinsoku w:val="0"/>
        <w:overflowPunct w:val="0"/>
        <w:rPr>
          <w:sz w:val="22"/>
          <w:szCs w:val="22"/>
          <w:lang w:val="el-GR"/>
        </w:rPr>
      </w:pPr>
    </w:p>
    <w:p w14:paraId="24AB9B8A" w14:textId="77777777" w:rsidR="00171824" w:rsidRDefault="006D258C">
      <w:pPr>
        <w:pStyle w:val="Default"/>
        <w:keepNext/>
        <w:rPr>
          <w:color w:val="auto"/>
          <w:sz w:val="22"/>
          <w:szCs w:val="22"/>
          <w:u w:val="single"/>
          <w:lang w:val="el-GR" w:eastAsia="en-GB"/>
        </w:rPr>
      </w:pPr>
      <w:r>
        <w:rPr>
          <w:color w:val="auto"/>
          <w:sz w:val="22"/>
          <w:szCs w:val="22"/>
          <w:u w:val="single"/>
          <w:lang w:val="el-GR" w:eastAsia="en-GB"/>
        </w:rPr>
        <w:lastRenderedPageBreak/>
        <w:t>AMGEVITA 80</w:t>
      </w:r>
      <w:r>
        <w:rPr>
          <w:color w:val="auto"/>
          <w:sz w:val="22"/>
          <w:szCs w:val="22"/>
          <w:u w:val="single"/>
          <w:lang w:val="el-GR"/>
        </w:rPr>
        <w:t> </w:t>
      </w:r>
      <w:r>
        <w:rPr>
          <w:color w:val="auto"/>
          <w:sz w:val="22"/>
          <w:szCs w:val="22"/>
          <w:u w:val="single"/>
          <w:lang w:val="el-GR" w:eastAsia="en-GB"/>
        </w:rPr>
        <w:t>mg ενέσιμο διάλυμα σε προγεμισμένη συσκευή τύπου πένας</w:t>
      </w:r>
    </w:p>
    <w:p w14:paraId="667AC4FD" w14:textId="77777777" w:rsidR="00171824" w:rsidRDefault="00171824">
      <w:pPr>
        <w:pStyle w:val="Default"/>
        <w:keepNext/>
        <w:rPr>
          <w:color w:val="auto"/>
          <w:sz w:val="22"/>
          <w:szCs w:val="22"/>
          <w:u w:val="single"/>
          <w:lang w:val="el-GR" w:eastAsia="en-GB"/>
        </w:rPr>
      </w:pPr>
    </w:p>
    <w:p w14:paraId="0EE3FF2C" w14:textId="77777777" w:rsidR="00171824" w:rsidRDefault="006D258C">
      <w:pPr>
        <w:rPr>
          <w:sz w:val="22"/>
          <w:szCs w:val="22"/>
          <w:lang w:val="el-GR"/>
        </w:rPr>
      </w:pPr>
      <w:r>
        <w:rPr>
          <w:sz w:val="22"/>
          <w:szCs w:val="22"/>
          <w:lang w:val="el-GR" w:eastAsia="en-GB"/>
        </w:rPr>
        <w:t>Ενέσιμο διάλυμα 0,8 ml σε προγεμισμένη συσκευή τύπου πένας για χρήση από τους ασθενείς, η οποία περιέχει μία προγεμισμένη σύριγγα (γυαλί τύπου I). Η συσκευή τύπου πένας είναι μία μηχανική συσκευή ένεσης χειρός, μίας χρήσης, η οποία στη συνέχεια θα πρέπει να απορρίπτεται. Το κάλυμμα βελόνας της προγεμισμένης συσκευής τύπου πένας είναι κατασκευασμένο από συνθετικό ελαστικό.</w:t>
      </w:r>
    </w:p>
    <w:p w14:paraId="5BC0E59E" w14:textId="77777777" w:rsidR="00171824" w:rsidRDefault="00171824">
      <w:pPr>
        <w:pStyle w:val="Default"/>
        <w:rPr>
          <w:color w:val="auto"/>
          <w:sz w:val="22"/>
          <w:szCs w:val="22"/>
          <w:lang w:val="el-GR"/>
        </w:rPr>
      </w:pPr>
    </w:p>
    <w:p w14:paraId="1235C5CD" w14:textId="77777777" w:rsidR="00171824" w:rsidRDefault="006D258C">
      <w:pPr>
        <w:pStyle w:val="Default"/>
        <w:rPr>
          <w:color w:val="auto"/>
          <w:sz w:val="22"/>
          <w:szCs w:val="22"/>
          <w:lang w:val="el-GR"/>
        </w:rPr>
      </w:pPr>
      <w:r>
        <w:rPr>
          <w:color w:val="auto"/>
          <w:sz w:val="22"/>
          <w:szCs w:val="22"/>
          <w:lang w:val="el-GR"/>
        </w:rPr>
        <w:t>Μεγέθη συσκευασίας με 1, 2 ή πολυσυσκευασία που περιέχει 3 (3 κουτιά της 1) προγεμισμένες συσκευές τύπου πένας.</w:t>
      </w:r>
    </w:p>
    <w:p w14:paraId="33F2166D" w14:textId="77777777" w:rsidR="00171824" w:rsidRDefault="006D258C">
      <w:pPr>
        <w:rPr>
          <w:sz w:val="22"/>
          <w:szCs w:val="22"/>
          <w:lang w:val="el-GR"/>
        </w:rPr>
      </w:pPr>
      <w:r>
        <w:rPr>
          <w:sz w:val="22"/>
          <w:szCs w:val="22"/>
          <w:lang w:val="el-GR"/>
        </w:rPr>
        <w:t>Μπορεί να μην κυκλοφορούν όλες οι συσκευασίες.</w:t>
      </w:r>
    </w:p>
    <w:p w14:paraId="69531BFA" w14:textId="77777777" w:rsidR="00171824" w:rsidRDefault="00171824">
      <w:pPr>
        <w:widowControl/>
        <w:kinsoku w:val="0"/>
        <w:overflowPunct w:val="0"/>
        <w:rPr>
          <w:sz w:val="22"/>
          <w:szCs w:val="22"/>
          <w:lang w:val="el-GR"/>
        </w:rPr>
      </w:pPr>
    </w:p>
    <w:p w14:paraId="3465317E" w14:textId="77777777" w:rsidR="00171824" w:rsidRDefault="006D258C">
      <w:pPr>
        <w:pStyle w:val="Heading1"/>
        <w:keepNext/>
        <w:keepLines/>
        <w:widowControl/>
        <w:tabs>
          <w:tab w:val="left" w:pos="684"/>
        </w:tabs>
        <w:kinsoku w:val="0"/>
        <w:overflowPunct w:val="0"/>
        <w:ind w:left="567" w:hanging="567"/>
        <w:jc w:val="both"/>
        <w:rPr>
          <w:b w:val="0"/>
          <w:bCs w:val="0"/>
          <w:lang w:val="el-GR"/>
        </w:rPr>
      </w:pPr>
      <w:r>
        <w:rPr>
          <w:lang w:val="el-GR"/>
        </w:rPr>
        <w:t>6.6</w:t>
      </w:r>
      <w:r>
        <w:rPr>
          <w:lang w:val="el-GR"/>
        </w:rPr>
        <w:tab/>
        <w:t>Ιδιαίτερες προφυλάξεις απόρριψης και άλλος χειρισμός</w:t>
      </w:r>
    </w:p>
    <w:p w14:paraId="2928894A" w14:textId="77777777" w:rsidR="00171824" w:rsidRDefault="00171824">
      <w:pPr>
        <w:keepNext/>
        <w:keepLines/>
        <w:widowControl/>
        <w:kinsoku w:val="0"/>
        <w:overflowPunct w:val="0"/>
        <w:rPr>
          <w:sz w:val="22"/>
          <w:szCs w:val="22"/>
          <w:lang w:val="el-GR"/>
        </w:rPr>
      </w:pPr>
    </w:p>
    <w:p w14:paraId="13279F8C" w14:textId="77777777" w:rsidR="00171824" w:rsidRDefault="006D258C">
      <w:pPr>
        <w:pStyle w:val="BodyText"/>
        <w:keepNext/>
        <w:keepLines/>
        <w:widowControl/>
        <w:kinsoku w:val="0"/>
        <w:overflowPunct w:val="0"/>
        <w:ind w:left="0"/>
        <w:rPr>
          <w:lang w:val="el-GR"/>
        </w:rPr>
      </w:pPr>
      <w:r>
        <w:rPr>
          <w:lang w:val="el-GR"/>
        </w:rPr>
        <w:t>Κάθε αχρησιμοποίητο φαρμακευτικό προϊόν ή υπόλειμμα πρέπει να απορρίπτεται σύμφωνα με τις κατά τόπους ισχύουσες σχετικές διατάξεις.</w:t>
      </w:r>
    </w:p>
    <w:p w14:paraId="72207228" w14:textId="77777777" w:rsidR="00171824" w:rsidRDefault="00171824">
      <w:pPr>
        <w:widowControl/>
        <w:kinsoku w:val="0"/>
        <w:overflowPunct w:val="0"/>
        <w:rPr>
          <w:sz w:val="22"/>
          <w:szCs w:val="22"/>
          <w:lang w:val="el-GR"/>
        </w:rPr>
      </w:pPr>
    </w:p>
    <w:p w14:paraId="61C8607D" w14:textId="77777777" w:rsidR="00171824" w:rsidRDefault="00171824">
      <w:pPr>
        <w:widowControl/>
        <w:kinsoku w:val="0"/>
        <w:overflowPunct w:val="0"/>
        <w:rPr>
          <w:sz w:val="22"/>
          <w:szCs w:val="22"/>
          <w:lang w:val="el-GR"/>
        </w:rPr>
      </w:pPr>
    </w:p>
    <w:p w14:paraId="5F2A9445" w14:textId="77777777" w:rsidR="00171824" w:rsidRDefault="006D258C">
      <w:pPr>
        <w:pStyle w:val="Heading1"/>
        <w:keepNext/>
        <w:widowControl/>
        <w:tabs>
          <w:tab w:val="left" w:pos="567"/>
        </w:tabs>
        <w:kinsoku w:val="0"/>
        <w:overflowPunct w:val="0"/>
        <w:ind w:left="0"/>
        <w:jc w:val="both"/>
        <w:rPr>
          <w:b w:val="0"/>
          <w:bCs w:val="0"/>
          <w:lang w:val="el-GR"/>
        </w:rPr>
      </w:pPr>
      <w:r>
        <w:rPr>
          <w:lang w:val="el-GR"/>
        </w:rPr>
        <w:t>7.</w:t>
      </w:r>
      <w:r>
        <w:rPr>
          <w:lang w:val="el-GR"/>
        </w:rPr>
        <w:tab/>
        <w:t>ΚΑΤΟΧΟΣ ΤΗΣ ΑΔΕΙΑΣ ΚΥΚΛΟΦΟΡΙΑΣ</w:t>
      </w:r>
    </w:p>
    <w:p w14:paraId="7F86F461" w14:textId="77777777" w:rsidR="00171824" w:rsidRDefault="00171824">
      <w:pPr>
        <w:keepNext/>
        <w:widowControl/>
        <w:kinsoku w:val="0"/>
        <w:overflowPunct w:val="0"/>
        <w:rPr>
          <w:sz w:val="22"/>
          <w:szCs w:val="22"/>
          <w:lang w:val="el-GR"/>
        </w:rPr>
      </w:pPr>
    </w:p>
    <w:p w14:paraId="775A1ADB" w14:textId="77777777" w:rsidR="00171824" w:rsidRDefault="006D258C">
      <w:pPr>
        <w:keepNext/>
        <w:keepLines/>
        <w:widowControl/>
        <w:rPr>
          <w:sz w:val="22"/>
          <w:szCs w:val="22"/>
          <w:lang w:val="el-GR"/>
        </w:rPr>
      </w:pPr>
      <w:r>
        <w:rPr>
          <w:sz w:val="22"/>
          <w:szCs w:val="22"/>
          <w:lang w:val="el-GR"/>
        </w:rPr>
        <w:t>Amgen Europe B.V.</w:t>
      </w:r>
    </w:p>
    <w:p w14:paraId="56C539DF" w14:textId="77777777" w:rsidR="00171824" w:rsidRDefault="006D258C">
      <w:pPr>
        <w:keepNext/>
        <w:keepLines/>
        <w:widowControl/>
        <w:rPr>
          <w:sz w:val="22"/>
          <w:szCs w:val="22"/>
          <w:lang w:val="el-GR"/>
        </w:rPr>
      </w:pPr>
      <w:r>
        <w:rPr>
          <w:sz w:val="22"/>
          <w:szCs w:val="22"/>
          <w:lang w:val="el-GR"/>
        </w:rPr>
        <w:t>Minervum 7061</w:t>
      </w:r>
    </w:p>
    <w:p w14:paraId="6749F2A8" w14:textId="77777777" w:rsidR="00171824" w:rsidRDefault="006D258C">
      <w:pPr>
        <w:keepNext/>
        <w:keepLines/>
        <w:widowControl/>
        <w:rPr>
          <w:sz w:val="22"/>
          <w:szCs w:val="22"/>
          <w:lang w:val="el-GR"/>
        </w:rPr>
      </w:pPr>
      <w:r>
        <w:rPr>
          <w:sz w:val="22"/>
          <w:szCs w:val="22"/>
          <w:lang w:val="el-GR"/>
        </w:rPr>
        <w:t>4817 ZK Breda</w:t>
      </w:r>
    </w:p>
    <w:p w14:paraId="1AEEFE49" w14:textId="77777777" w:rsidR="00171824" w:rsidRDefault="006D258C">
      <w:pPr>
        <w:keepNext/>
        <w:keepLines/>
        <w:widowControl/>
        <w:rPr>
          <w:sz w:val="22"/>
          <w:szCs w:val="22"/>
          <w:lang w:val="el-GR"/>
        </w:rPr>
      </w:pPr>
      <w:r>
        <w:rPr>
          <w:sz w:val="22"/>
          <w:szCs w:val="22"/>
          <w:lang w:val="el-GR"/>
        </w:rPr>
        <w:t>Ολλανδία</w:t>
      </w:r>
    </w:p>
    <w:p w14:paraId="5D9DF588" w14:textId="77777777" w:rsidR="00171824" w:rsidRDefault="00171824">
      <w:pPr>
        <w:widowControl/>
        <w:kinsoku w:val="0"/>
        <w:overflowPunct w:val="0"/>
        <w:rPr>
          <w:sz w:val="22"/>
          <w:szCs w:val="22"/>
          <w:lang w:val="el-GR"/>
        </w:rPr>
      </w:pPr>
    </w:p>
    <w:p w14:paraId="0FE15965" w14:textId="77777777" w:rsidR="00171824" w:rsidRDefault="00171824">
      <w:pPr>
        <w:widowControl/>
        <w:kinsoku w:val="0"/>
        <w:overflowPunct w:val="0"/>
        <w:rPr>
          <w:sz w:val="22"/>
          <w:szCs w:val="22"/>
          <w:lang w:val="el-GR"/>
        </w:rPr>
      </w:pPr>
    </w:p>
    <w:p w14:paraId="532F3C40" w14:textId="77777777" w:rsidR="00171824" w:rsidRDefault="006D258C">
      <w:pPr>
        <w:pStyle w:val="Heading1"/>
        <w:keepNext/>
        <w:widowControl/>
        <w:tabs>
          <w:tab w:val="left" w:pos="567"/>
        </w:tabs>
        <w:kinsoku w:val="0"/>
        <w:overflowPunct w:val="0"/>
        <w:ind w:left="0"/>
        <w:jc w:val="both"/>
        <w:rPr>
          <w:b w:val="0"/>
          <w:bCs w:val="0"/>
          <w:lang w:val="el-GR"/>
        </w:rPr>
      </w:pPr>
      <w:r>
        <w:rPr>
          <w:lang w:val="el-GR"/>
        </w:rPr>
        <w:t>8.</w:t>
      </w:r>
      <w:r>
        <w:rPr>
          <w:lang w:val="el-GR"/>
        </w:rPr>
        <w:tab/>
        <w:t>ΑΡΙΘΜΟΙ ΑΔΕΙΑΣ ΚΥΚΛΟΦΟΡΙΑΣ</w:t>
      </w:r>
    </w:p>
    <w:p w14:paraId="562744CE" w14:textId="77777777" w:rsidR="00171824" w:rsidRDefault="00171824">
      <w:pPr>
        <w:widowControl/>
        <w:kinsoku w:val="0"/>
        <w:overflowPunct w:val="0"/>
        <w:rPr>
          <w:sz w:val="22"/>
          <w:szCs w:val="22"/>
          <w:lang w:val="el-GR"/>
        </w:rPr>
      </w:pPr>
    </w:p>
    <w:p w14:paraId="3B877FB5" w14:textId="77777777" w:rsidR="00171824" w:rsidRDefault="006D258C">
      <w:pPr>
        <w:widowControl/>
        <w:kinsoku w:val="0"/>
        <w:overflowPunct w:val="0"/>
        <w:rPr>
          <w:sz w:val="22"/>
          <w:szCs w:val="22"/>
          <w:u w:val="single"/>
          <w:lang w:val="el-GR"/>
        </w:rPr>
      </w:pPr>
      <w:r>
        <w:rPr>
          <w:sz w:val="22"/>
          <w:szCs w:val="22"/>
          <w:u w:val="single"/>
          <w:lang w:val="el-GR"/>
        </w:rPr>
        <w:t>AMGEVITA 20 mg ενέσιμο διάλυμα σε προγεμισμένη σύριγγα</w:t>
      </w:r>
    </w:p>
    <w:p w14:paraId="583B19AB" w14:textId="77777777" w:rsidR="00171824" w:rsidRDefault="00171824">
      <w:pPr>
        <w:widowControl/>
        <w:kinsoku w:val="0"/>
        <w:overflowPunct w:val="0"/>
        <w:rPr>
          <w:sz w:val="22"/>
          <w:szCs w:val="22"/>
          <w:u w:val="single"/>
          <w:lang w:val="el-GR"/>
        </w:rPr>
      </w:pPr>
    </w:p>
    <w:p w14:paraId="6E54A9EF" w14:textId="77777777" w:rsidR="00171824" w:rsidRDefault="006D258C">
      <w:pPr>
        <w:widowControl/>
        <w:kinsoku w:val="0"/>
        <w:overflowPunct w:val="0"/>
        <w:rPr>
          <w:sz w:val="22"/>
          <w:szCs w:val="22"/>
          <w:lang w:val="el-GR"/>
        </w:rPr>
      </w:pPr>
      <w:r>
        <w:rPr>
          <w:sz w:val="22"/>
          <w:szCs w:val="22"/>
          <w:lang w:val="el-GR"/>
        </w:rPr>
        <w:t>EU/1/16/1164/010 – 1 συσκευασία</w:t>
      </w:r>
    </w:p>
    <w:p w14:paraId="4108167B" w14:textId="77777777" w:rsidR="00171824" w:rsidRDefault="00171824">
      <w:pPr>
        <w:widowControl/>
        <w:kinsoku w:val="0"/>
        <w:overflowPunct w:val="0"/>
        <w:rPr>
          <w:sz w:val="22"/>
          <w:szCs w:val="22"/>
          <w:lang w:val="el-GR"/>
        </w:rPr>
      </w:pPr>
    </w:p>
    <w:p w14:paraId="6E5352CF" w14:textId="77777777" w:rsidR="00171824" w:rsidRDefault="006D258C">
      <w:pPr>
        <w:widowControl/>
        <w:kinsoku w:val="0"/>
        <w:overflowPunct w:val="0"/>
        <w:rPr>
          <w:sz w:val="22"/>
          <w:szCs w:val="22"/>
          <w:u w:val="single"/>
          <w:lang w:val="el-GR"/>
        </w:rPr>
      </w:pPr>
      <w:r>
        <w:rPr>
          <w:sz w:val="22"/>
          <w:szCs w:val="22"/>
          <w:u w:val="single"/>
          <w:lang w:val="el-GR"/>
        </w:rPr>
        <w:t>AMGEVITA 40 mg ενέσιμο διάλυμα σε προγεμισμένη σύριγγα</w:t>
      </w:r>
    </w:p>
    <w:p w14:paraId="0D9CBF25" w14:textId="77777777" w:rsidR="00171824" w:rsidRDefault="00171824">
      <w:pPr>
        <w:widowControl/>
        <w:kinsoku w:val="0"/>
        <w:overflowPunct w:val="0"/>
        <w:rPr>
          <w:sz w:val="22"/>
          <w:szCs w:val="22"/>
          <w:u w:val="single"/>
          <w:lang w:val="el-GR"/>
        </w:rPr>
      </w:pPr>
    </w:p>
    <w:p w14:paraId="515DB04D" w14:textId="77777777" w:rsidR="00171824" w:rsidRDefault="006D258C">
      <w:pPr>
        <w:pStyle w:val="BodyText"/>
        <w:widowControl/>
        <w:kinsoku w:val="0"/>
        <w:overflowPunct w:val="0"/>
        <w:ind w:left="0"/>
        <w:jc w:val="both"/>
        <w:rPr>
          <w:lang w:val="el-GR"/>
        </w:rPr>
      </w:pPr>
      <w:r>
        <w:rPr>
          <w:lang w:val="el-GR"/>
        </w:rPr>
        <w:t>EU/1/16/1164/011 – 1 συσκευασία</w:t>
      </w:r>
    </w:p>
    <w:p w14:paraId="12416D37" w14:textId="77777777" w:rsidR="00171824" w:rsidRDefault="006D258C">
      <w:pPr>
        <w:pStyle w:val="BodyText"/>
        <w:widowControl/>
        <w:kinsoku w:val="0"/>
        <w:overflowPunct w:val="0"/>
        <w:ind w:left="0"/>
        <w:jc w:val="both"/>
        <w:rPr>
          <w:lang w:val="el-GR"/>
        </w:rPr>
      </w:pPr>
      <w:r>
        <w:rPr>
          <w:lang w:val="el-GR"/>
        </w:rPr>
        <w:t>EU/1/16/1164/012 – 2 συσκευασίες</w:t>
      </w:r>
    </w:p>
    <w:p w14:paraId="73079864" w14:textId="77777777" w:rsidR="00171824" w:rsidRDefault="006D258C">
      <w:pPr>
        <w:pStyle w:val="BodyText"/>
        <w:widowControl/>
        <w:kinsoku w:val="0"/>
        <w:overflowPunct w:val="0"/>
        <w:ind w:left="0"/>
        <w:jc w:val="both"/>
        <w:rPr>
          <w:lang w:val="el-GR"/>
        </w:rPr>
      </w:pPr>
      <w:r>
        <w:rPr>
          <w:lang w:val="el-GR"/>
        </w:rPr>
        <w:t>EU/1/16/1164013 – 6 (</w:t>
      </w:r>
      <w:r>
        <w:rPr>
          <w:color w:val="000000"/>
          <w:lang w:val="el-GR"/>
        </w:rPr>
        <w:t>3×2</w:t>
      </w:r>
      <w:r>
        <w:rPr>
          <w:lang w:val="el-GR"/>
        </w:rPr>
        <w:t>) πολυσυσκευασία</w:t>
      </w:r>
    </w:p>
    <w:p w14:paraId="056E2420" w14:textId="77777777" w:rsidR="00171824" w:rsidRDefault="00171824">
      <w:pPr>
        <w:pStyle w:val="Default"/>
        <w:keepNext/>
        <w:rPr>
          <w:sz w:val="22"/>
          <w:szCs w:val="22"/>
          <w:u w:val="single"/>
          <w:lang w:val="el-GR" w:eastAsia="en-GB"/>
        </w:rPr>
      </w:pPr>
    </w:p>
    <w:p w14:paraId="6D6C9366" w14:textId="77777777" w:rsidR="00171824" w:rsidRDefault="006D258C">
      <w:pPr>
        <w:pStyle w:val="Default"/>
        <w:keepNext/>
        <w:rPr>
          <w:sz w:val="22"/>
          <w:szCs w:val="22"/>
          <w:u w:val="single"/>
          <w:lang w:val="el-GR" w:eastAsia="en-GB"/>
        </w:rPr>
      </w:pPr>
      <w:r>
        <w:rPr>
          <w:sz w:val="22"/>
          <w:szCs w:val="22"/>
          <w:u w:val="single"/>
          <w:lang w:val="el-GR" w:eastAsia="en-GB"/>
        </w:rPr>
        <w:t>AMGEVITA 80 mg ενέσιμο διάλυμα σε προγεμισμένη σύριγγα</w:t>
      </w:r>
    </w:p>
    <w:p w14:paraId="795F9D99" w14:textId="77777777" w:rsidR="00171824" w:rsidRDefault="00171824">
      <w:pPr>
        <w:pStyle w:val="Default"/>
        <w:keepNext/>
        <w:rPr>
          <w:sz w:val="22"/>
          <w:szCs w:val="22"/>
          <w:u w:val="single"/>
          <w:lang w:val="el-GR" w:eastAsia="en-GB"/>
        </w:rPr>
      </w:pPr>
    </w:p>
    <w:p w14:paraId="642DE600" w14:textId="77777777" w:rsidR="00171824" w:rsidRDefault="006D258C">
      <w:pPr>
        <w:keepNext/>
        <w:rPr>
          <w:color w:val="000000"/>
          <w:sz w:val="22"/>
          <w:szCs w:val="22"/>
          <w:lang w:val="el-GR"/>
        </w:rPr>
      </w:pPr>
      <w:r>
        <w:rPr>
          <w:color w:val="000000"/>
          <w:sz w:val="22"/>
          <w:szCs w:val="22"/>
          <w:lang w:val="el-GR"/>
        </w:rPr>
        <w:t>EU/1/16/1164/017 – 1 συσκευασία</w:t>
      </w:r>
    </w:p>
    <w:p w14:paraId="4FDD6BBC" w14:textId="77777777" w:rsidR="00171824" w:rsidRDefault="006D258C">
      <w:pPr>
        <w:rPr>
          <w:color w:val="000000"/>
          <w:sz w:val="22"/>
          <w:szCs w:val="22"/>
          <w:lang w:val="el-GR"/>
        </w:rPr>
      </w:pPr>
      <w:r>
        <w:rPr>
          <w:color w:val="000000"/>
          <w:sz w:val="22"/>
          <w:szCs w:val="22"/>
          <w:lang w:val="el-GR"/>
        </w:rPr>
        <w:t>EU/1/16/1164/018 – 2 συσκευασίες</w:t>
      </w:r>
    </w:p>
    <w:p w14:paraId="7C7AEE0D" w14:textId="77777777" w:rsidR="00171824" w:rsidRDefault="006D258C">
      <w:pPr>
        <w:rPr>
          <w:color w:val="000000"/>
          <w:sz w:val="22"/>
          <w:szCs w:val="22"/>
          <w:lang w:val="el-GR"/>
        </w:rPr>
      </w:pPr>
      <w:r>
        <w:rPr>
          <w:color w:val="000000"/>
          <w:sz w:val="22"/>
          <w:szCs w:val="22"/>
          <w:lang w:val="el-GR"/>
        </w:rPr>
        <w:t>EU/1/16/1164/019 – 3 (3×1) πολυσυσκευασία</w:t>
      </w:r>
    </w:p>
    <w:p w14:paraId="130B5200" w14:textId="77777777" w:rsidR="00171824" w:rsidRDefault="00171824">
      <w:pPr>
        <w:widowControl/>
        <w:kinsoku w:val="0"/>
        <w:overflowPunct w:val="0"/>
        <w:rPr>
          <w:sz w:val="22"/>
          <w:szCs w:val="22"/>
          <w:lang w:val="el-GR"/>
        </w:rPr>
      </w:pPr>
    </w:p>
    <w:p w14:paraId="3455856B" w14:textId="77777777" w:rsidR="00171824" w:rsidRDefault="006D258C">
      <w:pPr>
        <w:keepNext/>
        <w:widowControl/>
        <w:kinsoku w:val="0"/>
        <w:overflowPunct w:val="0"/>
        <w:rPr>
          <w:sz w:val="22"/>
          <w:szCs w:val="22"/>
          <w:u w:val="single"/>
          <w:lang w:val="el-GR"/>
        </w:rPr>
      </w:pPr>
      <w:r>
        <w:rPr>
          <w:sz w:val="22"/>
          <w:szCs w:val="22"/>
          <w:u w:val="single"/>
          <w:lang w:val="el-GR"/>
        </w:rPr>
        <w:t xml:space="preserve">AMGEVITA 40 mg ενέσιμο διάλυμα σε προγεμισμένη συσκευή τύπου πένας </w:t>
      </w:r>
    </w:p>
    <w:p w14:paraId="4FEC3548" w14:textId="77777777" w:rsidR="00171824" w:rsidRDefault="00171824">
      <w:pPr>
        <w:keepNext/>
        <w:widowControl/>
        <w:kinsoku w:val="0"/>
        <w:overflowPunct w:val="0"/>
        <w:rPr>
          <w:sz w:val="22"/>
          <w:szCs w:val="22"/>
          <w:u w:val="single"/>
          <w:lang w:val="el-GR"/>
        </w:rPr>
      </w:pPr>
    </w:p>
    <w:p w14:paraId="33C4FC13" w14:textId="77777777" w:rsidR="00171824" w:rsidRDefault="006D258C">
      <w:pPr>
        <w:pStyle w:val="BodyText"/>
        <w:keepNext/>
        <w:widowControl/>
        <w:kinsoku w:val="0"/>
        <w:overflowPunct w:val="0"/>
        <w:ind w:left="0"/>
        <w:jc w:val="both"/>
        <w:rPr>
          <w:lang w:val="el-GR"/>
        </w:rPr>
      </w:pPr>
      <w:r>
        <w:rPr>
          <w:lang w:val="el-GR"/>
        </w:rPr>
        <w:t>EU/1/16/1164/014 – 1 συσκευασία</w:t>
      </w:r>
    </w:p>
    <w:p w14:paraId="2707347A" w14:textId="77777777" w:rsidR="00171824" w:rsidRDefault="006D258C">
      <w:pPr>
        <w:keepNext/>
        <w:keepLines/>
        <w:rPr>
          <w:color w:val="000000"/>
          <w:sz w:val="22"/>
          <w:szCs w:val="22"/>
          <w:lang w:val="el-GR"/>
        </w:rPr>
      </w:pPr>
      <w:r>
        <w:rPr>
          <w:sz w:val="22"/>
          <w:szCs w:val="22"/>
          <w:lang w:val="el-GR"/>
        </w:rPr>
        <w:t>EU/1/16/1164/</w:t>
      </w:r>
      <w:r>
        <w:rPr>
          <w:color w:val="000000"/>
          <w:sz w:val="22"/>
          <w:szCs w:val="22"/>
          <w:lang w:val="el-GR"/>
        </w:rPr>
        <w:t>015 – 2 συσκευασίες</w:t>
      </w:r>
    </w:p>
    <w:p w14:paraId="5A750269" w14:textId="77777777" w:rsidR="00171824" w:rsidRDefault="006D258C">
      <w:pPr>
        <w:pStyle w:val="BodyText"/>
        <w:keepNext/>
        <w:widowControl/>
        <w:kinsoku w:val="0"/>
        <w:overflowPunct w:val="0"/>
        <w:ind w:left="0"/>
        <w:jc w:val="both"/>
        <w:rPr>
          <w:lang w:val="el-GR"/>
        </w:rPr>
      </w:pPr>
      <w:r>
        <w:rPr>
          <w:color w:val="000000"/>
          <w:lang w:val="el-GR"/>
        </w:rPr>
        <w:t>EU/1/16/1164/016</w:t>
      </w:r>
      <w:r>
        <w:rPr>
          <w:lang w:val="el-GR"/>
        </w:rPr>
        <w:t xml:space="preserve"> – 6 (</w:t>
      </w:r>
      <w:r>
        <w:rPr>
          <w:color w:val="000000"/>
          <w:lang w:val="el-GR"/>
        </w:rPr>
        <w:t>3×2</w:t>
      </w:r>
      <w:r>
        <w:rPr>
          <w:lang w:val="el-GR"/>
        </w:rPr>
        <w:t>) πολυσυσκευασία</w:t>
      </w:r>
    </w:p>
    <w:p w14:paraId="55EA6B08" w14:textId="77777777" w:rsidR="00171824" w:rsidRDefault="00171824">
      <w:pPr>
        <w:rPr>
          <w:color w:val="000000"/>
          <w:sz w:val="22"/>
          <w:szCs w:val="22"/>
          <w:lang w:val="el-GR"/>
        </w:rPr>
      </w:pPr>
    </w:p>
    <w:p w14:paraId="1D18F989" w14:textId="77777777" w:rsidR="00171824" w:rsidRDefault="006D258C">
      <w:pPr>
        <w:pStyle w:val="Default"/>
        <w:keepNext/>
        <w:keepLines/>
        <w:rPr>
          <w:color w:val="auto"/>
          <w:sz w:val="22"/>
          <w:szCs w:val="22"/>
          <w:u w:val="single"/>
          <w:lang w:val="el-GR" w:eastAsia="en-GB"/>
        </w:rPr>
      </w:pPr>
      <w:r>
        <w:rPr>
          <w:sz w:val="22"/>
          <w:szCs w:val="22"/>
          <w:u w:val="single"/>
          <w:lang w:val="el-GR" w:eastAsia="en-GB"/>
        </w:rPr>
        <w:t>AMGEVITA</w:t>
      </w:r>
      <w:r>
        <w:rPr>
          <w:color w:val="auto"/>
          <w:sz w:val="22"/>
          <w:szCs w:val="22"/>
          <w:u w:val="single"/>
          <w:lang w:val="el-GR" w:eastAsia="en-GB"/>
        </w:rPr>
        <w:t xml:space="preserve"> 80</w:t>
      </w:r>
      <w:r>
        <w:rPr>
          <w:color w:val="auto"/>
          <w:sz w:val="22"/>
          <w:szCs w:val="22"/>
          <w:u w:val="single"/>
          <w:lang w:val="el-GR"/>
        </w:rPr>
        <w:t> </w:t>
      </w:r>
      <w:r>
        <w:rPr>
          <w:color w:val="auto"/>
          <w:sz w:val="22"/>
          <w:szCs w:val="22"/>
          <w:u w:val="single"/>
          <w:lang w:val="el-GR" w:eastAsia="en-GB"/>
        </w:rPr>
        <w:t>mg ενέσιμο διάλυμα σε προγεμισμένη συσκευή τύπου πένας</w:t>
      </w:r>
    </w:p>
    <w:p w14:paraId="6229B843" w14:textId="77777777" w:rsidR="00171824" w:rsidRDefault="00171824">
      <w:pPr>
        <w:pStyle w:val="Default"/>
        <w:keepNext/>
        <w:keepLines/>
        <w:rPr>
          <w:color w:val="auto"/>
          <w:sz w:val="22"/>
          <w:szCs w:val="22"/>
          <w:u w:val="single"/>
          <w:lang w:val="el-GR" w:eastAsia="en-GB"/>
        </w:rPr>
      </w:pPr>
    </w:p>
    <w:p w14:paraId="758EC4B8" w14:textId="77777777" w:rsidR="00171824" w:rsidRDefault="006D258C">
      <w:pPr>
        <w:keepNext/>
        <w:keepLines/>
        <w:rPr>
          <w:color w:val="000000"/>
          <w:sz w:val="22"/>
          <w:szCs w:val="22"/>
          <w:lang w:val="el-GR"/>
        </w:rPr>
      </w:pPr>
      <w:r>
        <w:rPr>
          <w:color w:val="000000"/>
          <w:sz w:val="22"/>
          <w:szCs w:val="22"/>
          <w:lang w:val="el-GR"/>
        </w:rPr>
        <w:t>EU/1/16/1164/020 – 1 συσκευσία</w:t>
      </w:r>
    </w:p>
    <w:p w14:paraId="011DB3A5" w14:textId="77777777" w:rsidR="00171824" w:rsidRDefault="006D258C">
      <w:pPr>
        <w:keepNext/>
        <w:keepLines/>
        <w:rPr>
          <w:color w:val="000000"/>
          <w:sz w:val="22"/>
          <w:szCs w:val="22"/>
          <w:lang w:val="el-GR"/>
        </w:rPr>
      </w:pPr>
      <w:r>
        <w:rPr>
          <w:color w:val="000000"/>
          <w:sz w:val="22"/>
          <w:szCs w:val="22"/>
          <w:lang w:val="el-GR"/>
        </w:rPr>
        <w:t>EU/1/16/1164/021 – 2 συσκευασίες</w:t>
      </w:r>
    </w:p>
    <w:p w14:paraId="6B816A86" w14:textId="77777777" w:rsidR="00171824" w:rsidRDefault="006D258C">
      <w:pPr>
        <w:rPr>
          <w:color w:val="000000"/>
          <w:lang w:val="el-GR"/>
        </w:rPr>
      </w:pPr>
      <w:r>
        <w:rPr>
          <w:color w:val="000000"/>
          <w:sz w:val="22"/>
          <w:szCs w:val="22"/>
          <w:lang w:val="el-GR"/>
        </w:rPr>
        <w:t>EU/1/16/1164/022 – 3 (3×1) πολυσυσκευασία</w:t>
      </w:r>
    </w:p>
    <w:p w14:paraId="5EE08F9D" w14:textId="77777777" w:rsidR="00171824" w:rsidRDefault="00171824">
      <w:pPr>
        <w:pStyle w:val="BodyText"/>
        <w:widowControl/>
        <w:kinsoku w:val="0"/>
        <w:overflowPunct w:val="0"/>
        <w:ind w:left="0"/>
        <w:jc w:val="both"/>
        <w:rPr>
          <w:lang w:val="el-GR"/>
        </w:rPr>
      </w:pPr>
    </w:p>
    <w:p w14:paraId="67F265DB" w14:textId="77777777" w:rsidR="00171824" w:rsidRDefault="00171824">
      <w:pPr>
        <w:widowControl/>
        <w:kinsoku w:val="0"/>
        <w:overflowPunct w:val="0"/>
        <w:rPr>
          <w:sz w:val="22"/>
          <w:szCs w:val="22"/>
          <w:lang w:val="el-GR"/>
        </w:rPr>
      </w:pPr>
    </w:p>
    <w:p w14:paraId="593A6B02" w14:textId="77777777" w:rsidR="00171824" w:rsidRDefault="006D258C">
      <w:pPr>
        <w:pStyle w:val="Heading1"/>
        <w:keepNext/>
        <w:widowControl/>
        <w:tabs>
          <w:tab w:val="left" w:pos="567"/>
        </w:tabs>
        <w:kinsoku w:val="0"/>
        <w:overflowPunct w:val="0"/>
        <w:ind w:left="0"/>
        <w:jc w:val="both"/>
        <w:rPr>
          <w:b w:val="0"/>
          <w:bCs w:val="0"/>
          <w:lang w:val="el-GR"/>
        </w:rPr>
      </w:pPr>
      <w:r>
        <w:rPr>
          <w:lang w:val="el-GR"/>
        </w:rPr>
        <w:lastRenderedPageBreak/>
        <w:t>9.</w:t>
      </w:r>
      <w:r>
        <w:rPr>
          <w:lang w:val="el-GR"/>
        </w:rPr>
        <w:tab/>
        <w:t>ΗΜΕΡΟΜΗΝΙΑ ΠΡΩΤΗΣ ΕΓΚΡΙΣΗΣ/ΑΝΑΝΕΩΣΗΣ ΤΗΣ ΑΔΕΙΑΣ</w:t>
      </w:r>
    </w:p>
    <w:p w14:paraId="31280D82" w14:textId="77777777" w:rsidR="00171824" w:rsidRDefault="00171824">
      <w:pPr>
        <w:widowControl/>
        <w:kinsoku w:val="0"/>
        <w:overflowPunct w:val="0"/>
        <w:rPr>
          <w:sz w:val="22"/>
          <w:szCs w:val="22"/>
          <w:lang w:val="el-GR"/>
        </w:rPr>
      </w:pPr>
    </w:p>
    <w:p w14:paraId="689B0FA3" w14:textId="77777777" w:rsidR="00171824" w:rsidRDefault="006D258C">
      <w:pPr>
        <w:pStyle w:val="BodyText"/>
        <w:widowControl/>
        <w:kinsoku w:val="0"/>
        <w:overflowPunct w:val="0"/>
        <w:ind w:left="0"/>
        <w:jc w:val="both"/>
        <w:rPr>
          <w:lang w:val="el-GR"/>
        </w:rPr>
      </w:pPr>
      <w:r>
        <w:rPr>
          <w:lang w:val="el-GR"/>
        </w:rPr>
        <w:t>Ημερομηνία πρώτης έγκρισης: 22 Μαρτίου 2017</w:t>
      </w:r>
    </w:p>
    <w:p w14:paraId="1FB3D122" w14:textId="77777777" w:rsidR="00171824" w:rsidRDefault="006D258C">
      <w:pPr>
        <w:pStyle w:val="BodyText"/>
        <w:widowControl/>
        <w:kinsoku w:val="0"/>
        <w:overflowPunct w:val="0"/>
        <w:ind w:left="0"/>
        <w:jc w:val="both"/>
        <w:rPr>
          <w:lang w:val="el-GR"/>
        </w:rPr>
      </w:pPr>
      <w:r>
        <w:rPr>
          <w:lang w:val="el-GR"/>
        </w:rPr>
        <w:t>Ημερομηνία τελευταίας ανανέωσης: 09 Δεκεμβρίου 2021</w:t>
      </w:r>
    </w:p>
    <w:p w14:paraId="506AD4ED" w14:textId="77777777" w:rsidR="00171824" w:rsidRDefault="00171824">
      <w:pPr>
        <w:widowControl/>
        <w:kinsoku w:val="0"/>
        <w:overflowPunct w:val="0"/>
        <w:rPr>
          <w:sz w:val="22"/>
          <w:szCs w:val="22"/>
          <w:lang w:val="el-GR"/>
        </w:rPr>
      </w:pPr>
    </w:p>
    <w:p w14:paraId="2D775E31" w14:textId="77777777" w:rsidR="00171824" w:rsidRDefault="00171824">
      <w:pPr>
        <w:widowControl/>
        <w:kinsoku w:val="0"/>
        <w:overflowPunct w:val="0"/>
        <w:rPr>
          <w:sz w:val="22"/>
          <w:szCs w:val="22"/>
          <w:lang w:val="el-GR"/>
        </w:rPr>
      </w:pPr>
    </w:p>
    <w:p w14:paraId="57654C53" w14:textId="77777777" w:rsidR="00171824" w:rsidRDefault="006D258C">
      <w:pPr>
        <w:pStyle w:val="Heading1"/>
        <w:widowControl/>
        <w:tabs>
          <w:tab w:val="left" w:pos="567"/>
        </w:tabs>
        <w:kinsoku w:val="0"/>
        <w:overflowPunct w:val="0"/>
        <w:ind w:left="0"/>
        <w:jc w:val="both"/>
        <w:rPr>
          <w:b w:val="0"/>
          <w:bCs w:val="0"/>
          <w:lang w:val="el-GR"/>
        </w:rPr>
      </w:pPr>
      <w:r>
        <w:rPr>
          <w:lang w:val="el-GR"/>
        </w:rPr>
        <w:t>10.</w:t>
      </w:r>
      <w:r>
        <w:rPr>
          <w:lang w:val="el-GR"/>
        </w:rPr>
        <w:tab/>
        <w:t>ΗΜΕΡΟΜΗΝΙΑ ΑΝΑΘΕΩΡΗΣΗΣ ΤΟΥ ΚΕΙΜΕΝΟΥ</w:t>
      </w:r>
    </w:p>
    <w:p w14:paraId="642DF3C7" w14:textId="77777777" w:rsidR="00171824" w:rsidRDefault="00171824">
      <w:pPr>
        <w:widowControl/>
        <w:kinsoku w:val="0"/>
        <w:overflowPunct w:val="0"/>
        <w:rPr>
          <w:sz w:val="22"/>
          <w:szCs w:val="22"/>
          <w:lang w:val="el-GR"/>
        </w:rPr>
      </w:pPr>
    </w:p>
    <w:p w14:paraId="51EDFB26" w14:textId="77777777" w:rsidR="00171824" w:rsidRDefault="00171824">
      <w:pPr>
        <w:widowControl/>
        <w:kinsoku w:val="0"/>
        <w:overflowPunct w:val="0"/>
        <w:rPr>
          <w:sz w:val="22"/>
          <w:szCs w:val="22"/>
          <w:lang w:val="el-GR"/>
        </w:rPr>
      </w:pPr>
    </w:p>
    <w:p w14:paraId="31C8C330" w14:textId="77777777" w:rsidR="00171824" w:rsidRDefault="00171824">
      <w:pPr>
        <w:widowControl/>
        <w:kinsoku w:val="0"/>
        <w:overflowPunct w:val="0"/>
        <w:rPr>
          <w:sz w:val="22"/>
          <w:szCs w:val="22"/>
          <w:lang w:val="el-GR"/>
        </w:rPr>
      </w:pPr>
    </w:p>
    <w:p w14:paraId="7DF4CEDE" w14:textId="77777777" w:rsidR="00171824" w:rsidRDefault="006D258C">
      <w:pPr>
        <w:pStyle w:val="BodyText"/>
        <w:widowControl/>
        <w:kinsoku w:val="0"/>
        <w:overflowPunct w:val="0"/>
        <w:ind w:left="0"/>
        <w:rPr>
          <w:lang w:val="el-GR"/>
        </w:rPr>
      </w:pPr>
      <w:r>
        <w:rPr>
          <w:lang w:val="el-GR"/>
        </w:rPr>
        <w:t xml:space="preserve">Λεπτομερείς πληροφορίες για το παρόν φαρμακευτικό προϊόν είναι διαθέσιμες στον δικτυακό τόπο του Ευρωπαϊκού Οργανισμού Φαρμάκων: </w:t>
      </w:r>
      <w:hyperlink r:id="rId22" w:history="1">
        <w:r>
          <w:rPr>
            <w:rStyle w:val="Hyperlink"/>
            <w:color w:val="0000FF"/>
            <w:lang w:val="el-GR"/>
          </w:rPr>
          <w:t>http://www.ema.europa.eu</w:t>
        </w:r>
      </w:hyperlink>
      <w:r>
        <w:rPr>
          <w:lang w:val="el-GR"/>
        </w:rPr>
        <w:t>.</w:t>
      </w:r>
    </w:p>
    <w:p w14:paraId="33B110F6" w14:textId="77777777" w:rsidR="00171824" w:rsidRDefault="006D258C">
      <w:pPr>
        <w:widowControl/>
        <w:rPr>
          <w:sz w:val="22"/>
          <w:szCs w:val="22"/>
          <w:lang w:val="el-GR"/>
        </w:rPr>
      </w:pPr>
      <w:r>
        <w:rPr>
          <w:color w:val="000000"/>
          <w:sz w:val="22"/>
          <w:lang w:val="el-GR"/>
        </w:rPr>
        <w:br w:type="page"/>
      </w:r>
    </w:p>
    <w:p w14:paraId="2AE48004" w14:textId="77777777" w:rsidR="00171824" w:rsidRDefault="00171824">
      <w:pPr>
        <w:widowControl/>
        <w:rPr>
          <w:sz w:val="22"/>
          <w:lang w:val="el-GR"/>
        </w:rPr>
      </w:pPr>
    </w:p>
    <w:p w14:paraId="1B0FDA58" w14:textId="77777777" w:rsidR="00171824" w:rsidRDefault="00171824">
      <w:pPr>
        <w:widowControl/>
        <w:rPr>
          <w:sz w:val="22"/>
          <w:lang w:val="el-GR"/>
        </w:rPr>
      </w:pPr>
    </w:p>
    <w:p w14:paraId="4A3820FC" w14:textId="77777777" w:rsidR="00171824" w:rsidRDefault="00171824">
      <w:pPr>
        <w:widowControl/>
        <w:rPr>
          <w:sz w:val="22"/>
          <w:lang w:val="el-GR"/>
        </w:rPr>
      </w:pPr>
    </w:p>
    <w:p w14:paraId="6656342B" w14:textId="77777777" w:rsidR="00171824" w:rsidRDefault="00171824">
      <w:pPr>
        <w:widowControl/>
        <w:rPr>
          <w:sz w:val="22"/>
          <w:lang w:val="el-GR"/>
        </w:rPr>
      </w:pPr>
    </w:p>
    <w:p w14:paraId="141C408C" w14:textId="77777777" w:rsidR="00171824" w:rsidRDefault="00171824">
      <w:pPr>
        <w:widowControl/>
        <w:outlineLvl w:val="0"/>
        <w:rPr>
          <w:sz w:val="22"/>
          <w:lang w:val="el-GR"/>
        </w:rPr>
      </w:pPr>
    </w:p>
    <w:p w14:paraId="1AE4F60E" w14:textId="77777777" w:rsidR="00171824" w:rsidRDefault="00171824">
      <w:pPr>
        <w:widowControl/>
        <w:outlineLvl w:val="0"/>
        <w:rPr>
          <w:sz w:val="22"/>
          <w:lang w:val="el-GR"/>
        </w:rPr>
      </w:pPr>
    </w:p>
    <w:p w14:paraId="5CC03D98" w14:textId="77777777" w:rsidR="00171824" w:rsidRDefault="00171824">
      <w:pPr>
        <w:widowControl/>
        <w:outlineLvl w:val="0"/>
        <w:rPr>
          <w:sz w:val="22"/>
          <w:lang w:val="el-GR"/>
        </w:rPr>
      </w:pPr>
    </w:p>
    <w:p w14:paraId="5607C722" w14:textId="77777777" w:rsidR="00171824" w:rsidRDefault="00171824">
      <w:pPr>
        <w:widowControl/>
        <w:outlineLvl w:val="0"/>
        <w:rPr>
          <w:sz w:val="22"/>
          <w:lang w:val="el-GR"/>
        </w:rPr>
      </w:pPr>
    </w:p>
    <w:p w14:paraId="036F582B" w14:textId="77777777" w:rsidR="00171824" w:rsidRDefault="00171824">
      <w:pPr>
        <w:widowControl/>
        <w:outlineLvl w:val="0"/>
        <w:rPr>
          <w:sz w:val="22"/>
          <w:lang w:val="el-GR"/>
        </w:rPr>
      </w:pPr>
    </w:p>
    <w:p w14:paraId="619623EA" w14:textId="77777777" w:rsidR="00171824" w:rsidRDefault="00171824">
      <w:pPr>
        <w:widowControl/>
        <w:outlineLvl w:val="0"/>
        <w:rPr>
          <w:sz w:val="22"/>
          <w:szCs w:val="22"/>
          <w:lang w:val="el-GR"/>
        </w:rPr>
      </w:pPr>
    </w:p>
    <w:p w14:paraId="57ECADFC" w14:textId="77777777" w:rsidR="00171824" w:rsidRDefault="00171824">
      <w:pPr>
        <w:widowControl/>
        <w:outlineLvl w:val="0"/>
        <w:rPr>
          <w:sz w:val="22"/>
          <w:szCs w:val="22"/>
          <w:lang w:val="el-GR"/>
        </w:rPr>
      </w:pPr>
    </w:p>
    <w:p w14:paraId="2DDB7E8E" w14:textId="77777777" w:rsidR="00171824" w:rsidRDefault="00171824">
      <w:pPr>
        <w:widowControl/>
        <w:outlineLvl w:val="0"/>
        <w:rPr>
          <w:sz w:val="22"/>
          <w:szCs w:val="22"/>
          <w:lang w:val="el-GR"/>
        </w:rPr>
      </w:pPr>
    </w:p>
    <w:p w14:paraId="5892D78A" w14:textId="77777777" w:rsidR="00171824" w:rsidRDefault="00171824">
      <w:pPr>
        <w:widowControl/>
        <w:outlineLvl w:val="0"/>
        <w:rPr>
          <w:sz w:val="22"/>
          <w:szCs w:val="22"/>
          <w:lang w:val="el-GR"/>
        </w:rPr>
      </w:pPr>
    </w:p>
    <w:p w14:paraId="1463ADB1" w14:textId="77777777" w:rsidR="00171824" w:rsidRDefault="00171824">
      <w:pPr>
        <w:widowControl/>
        <w:outlineLvl w:val="0"/>
        <w:rPr>
          <w:sz w:val="22"/>
          <w:szCs w:val="22"/>
          <w:lang w:val="el-GR"/>
        </w:rPr>
      </w:pPr>
    </w:p>
    <w:p w14:paraId="4F0B09A2" w14:textId="77777777" w:rsidR="00171824" w:rsidRDefault="00171824">
      <w:pPr>
        <w:widowControl/>
        <w:outlineLvl w:val="0"/>
        <w:rPr>
          <w:sz w:val="22"/>
          <w:szCs w:val="22"/>
          <w:lang w:val="el-GR"/>
        </w:rPr>
      </w:pPr>
    </w:p>
    <w:p w14:paraId="757D7DBD" w14:textId="77777777" w:rsidR="00171824" w:rsidRDefault="00171824">
      <w:pPr>
        <w:widowControl/>
        <w:outlineLvl w:val="0"/>
        <w:rPr>
          <w:sz w:val="22"/>
          <w:szCs w:val="22"/>
          <w:lang w:val="el-GR"/>
        </w:rPr>
      </w:pPr>
    </w:p>
    <w:p w14:paraId="6A4DBF75" w14:textId="77777777" w:rsidR="00171824" w:rsidRDefault="00171824">
      <w:pPr>
        <w:widowControl/>
        <w:outlineLvl w:val="0"/>
        <w:rPr>
          <w:sz w:val="22"/>
          <w:szCs w:val="22"/>
          <w:lang w:val="el-GR"/>
        </w:rPr>
      </w:pPr>
    </w:p>
    <w:p w14:paraId="43B6D8D3" w14:textId="77777777" w:rsidR="00171824" w:rsidRDefault="00171824">
      <w:pPr>
        <w:widowControl/>
        <w:outlineLvl w:val="0"/>
        <w:rPr>
          <w:sz w:val="22"/>
          <w:szCs w:val="22"/>
          <w:lang w:val="el-GR"/>
        </w:rPr>
      </w:pPr>
    </w:p>
    <w:p w14:paraId="58A8F104" w14:textId="77777777" w:rsidR="00171824" w:rsidRDefault="00171824">
      <w:pPr>
        <w:widowControl/>
        <w:outlineLvl w:val="0"/>
        <w:rPr>
          <w:sz w:val="22"/>
          <w:szCs w:val="22"/>
          <w:lang w:val="el-GR"/>
        </w:rPr>
      </w:pPr>
    </w:p>
    <w:p w14:paraId="6433028A" w14:textId="77777777" w:rsidR="00171824" w:rsidRDefault="00171824">
      <w:pPr>
        <w:widowControl/>
        <w:outlineLvl w:val="0"/>
        <w:rPr>
          <w:sz w:val="22"/>
          <w:szCs w:val="22"/>
          <w:lang w:val="el-GR"/>
        </w:rPr>
      </w:pPr>
    </w:p>
    <w:p w14:paraId="13F54B0B" w14:textId="77777777" w:rsidR="00171824" w:rsidRDefault="00171824">
      <w:pPr>
        <w:widowControl/>
        <w:outlineLvl w:val="0"/>
        <w:rPr>
          <w:sz w:val="22"/>
          <w:szCs w:val="22"/>
          <w:lang w:val="el-GR"/>
        </w:rPr>
      </w:pPr>
    </w:p>
    <w:p w14:paraId="444C8F7B" w14:textId="77777777" w:rsidR="00171824" w:rsidRDefault="00171824">
      <w:pPr>
        <w:widowControl/>
        <w:outlineLvl w:val="0"/>
        <w:rPr>
          <w:sz w:val="22"/>
          <w:szCs w:val="22"/>
          <w:lang w:val="el-GR"/>
        </w:rPr>
      </w:pPr>
    </w:p>
    <w:p w14:paraId="48293B26" w14:textId="77777777" w:rsidR="00171824" w:rsidRDefault="006D258C">
      <w:pPr>
        <w:widowControl/>
        <w:jc w:val="center"/>
        <w:outlineLvl w:val="0"/>
        <w:rPr>
          <w:sz w:val="22"/>
          <w:szCs w:val="22"/>
          <w:lang w:val="el-GR"/>
        </w:rPr>
      </w:pPr>
      <w:r>
        <w:rPr>
          <w:b/>
          <w:bCs/>
          <w:sz w:val="22"/>
          <w:szCs w:val="22"/>
          <w:lang w:val="el-GR"/>
        </w:rPr>
        <w:t>ΠΑΡΑΡΤΗΜΑ ΙΙ</w:t>
      </w:r>
    </w:p>
    <w:p w14:paraId="70CEF5FF" w14:textId="77777777" w:rsidR="00171824" w:rsidRDefault="00171824">
      <w:pPr>
        <w:widowControl/>
        <w:rPr>
          <w:b/>
          <w:bCs/>
          <w:sz w:val="22"/>
          <w:szCs w:val="22"/>
          <w:lang w:val="el-GR"/>
        </w:rPr>
      </w:pPr>
    </w:p>
    <w:p w14:paraId="4EC025A2" w14:textId="77777777" w:rsidR="00171824" w:rsidRDefault="006D258C">
      <w:pPr>
        <w:widowControl/>
        <w:ind w:left="1701" w:right="1418" w:hanging="709"/>
        <w:rPr>
          <w:sz w:val="22"/>
          <w:szCs w:val="22"/>
          <w:lang w:val="el-GR"/>
        </w:rPr>
      </w:pPr>
      <w:r>
        <w:rPr>
          <w:b/>
          <w:sz w:val="22"/>
          <w:szCs w:val="22"/>
          <w:lang w:val="el-GR"/>
        </w:rPr>
        <w:t>Α.</w:t>
      </w:r>
      <w:r>
        <w:rPr>
          <w:b/>
          <w:sz w:val="22"/>
          <w:szCs w:val="22"/>
          <w:lang w:val="el-GR"/>
        </w:rPr>
        <w:tab/>
        <w:t>ΠΑΡΑΣΚΕΥΑΣΤΕΣ ΤΗΣ ΒΙΟΛΟΓΙΚΩΣ ΔΡΑΣΤΙΚΗΣ ΟΥΣΙΑΣ ΚΑΙ ΠΑΡΑΣΚΕΥΑΣΤΕΣ ΥΠΕΥΘΥΝΟΙ ΓΙΑ ΤΗΝ ΑΠΟΔΕΣΜΕΥΣΗ ΤΩΝ ΠΑΡΤΙΔΩΝ</w:t>
      </w:r>
    </w:p>
    <w:p w14:paraId="3C708434" w14:textId="77777777" w:rsidR="00171824" w:rsidRDefault="00171824">
      <w:pPr>
        <w:widowControl/>
        <w:ind w:left="1701" w:right="1418" w:hanging="709"/>
        <w:rPr>
          <w:b/>
          <w:bCs/>
          <w:sz w:val="22"/>
          <w:szCs w:val="22"/>
          <w:lang w:val="el-GR"/>
        </w:rPr>
      </w:pPr>
    </w:p>
    <w:p w14:paraId="438C9C40" w14:textId="77777777" w:rsidR="00171824" w:rsidRDefault="006D258C">
      <w:pPr>
        <w:widowControl/>
        <w:ind w:left="1701" w:right="1418" w:hanging="709"/>
        <w:rPr>
          <w:sz w:val="22"/>
          <w:szCs w:val="22"/>
          <w:lang w:val="el-GR"/>
        </w:rPr>
      </w:pPr>
      <w:r>
        <w:rPr>
          <w:b/>
          <w:sz w:val="22"/>
          <w:szCs w:val="22"/>
          <w:lang w:val="el-GR"/>
        </w:rPr>
        <w:t>B.</w:t>
      </w:r>
      <w:r>
        <w:rPr>
          <w:b/>
          <w:sz w:val="22"/>
          <w:szCs w:val="22"/>
          <w:lang w:val="el-GR"/>
        </w:rPr>
        <w:tab/>
        <w:t>ΟΡΟΙ Ή ΠΕΡΙΟΡΙΣΜΟΙ ΣΧΕΤΙΚΑ ΜΕ ΤΗ ΔΙΑΘΕΣΗ ΚΑΙ ΤΗ ΧΡΗΣΗ</w:t>
      </w:r>
    </w:p>
    <w:p w14:paraId="04532988" w14:textId="77777777" w:rsidR="00171824" w:rsidRDefault="00171824">
      <w:pPr>
        <w:widowControl/>
        <w:ind w:left="1701" w:right="1418" w:hanging="709"/>
        <w:rPr>
          <w:b/>
          <w:bCs/>
          <w:sz w:val="22"/>
          <w:szCs w:val="22"/>
          <w:lang w:val="el-GR"/>
        </w:rPr>
      </w:pPr>
    </w:p>
    <w:p w14:paraId="056CF790" w14:textId="77777777" w:rsidR="00171824" w:rsidRDefault="006D258C">
      <w:pPr>
        <w:widowControl/>
        <w:ind w:left="1701" w:right="1418" w:hanging="709"/>
        <w:rPr>
          <w:sz w:val="22"/>
          <w:szCs w:val="22"/>
          <w:lang w:val="el-GR"/>
        </w:rPr>
      </w:pPr>
      <w:r>
        <w:rPr>
          <w:b/>
          <w:sz w:val="22"/>
          <w:szCs w:val="22"/>
          <w:lang w:val="el-GR"/>
        </w:rPr>
        <w:t xml:space="preserve">Γ. </w:t>
      </w:r>
      <w:r>
        <w:rPr>
          <w:b/>
          <w:sz w:val="22"/>
          <w:szCs w:val="22"/>
          <w:lang w:val="el-GR"/>
        </w:rPr>
        <w:tab/>
        <w:t>ΑΛΛΟΙ ΟΡΟΙ ΚΑΙ ΑΠΑΙΤΗΣΕΙΣ ΤΗΣ ΑΔΕΙΑΣ ΚΥΚΛΟΦΟΡΙΑΣ</w:t>
      </w:r>
    </w:p>
    <w:p w14:paraId="406208C8" w14:textId="77777777" w:rsidR="00171824" w:rsidRDefault="00171824">
      <w:pPr>
        <w:widowControl/>
        <w:ind w:left="1701" w:right="1418" w:hanging="709"/>
        <w:rPr>
          <w:b/>
          <w:bCs/>
          <w:sz w:val="22"/>
          <w:szCs w:val="22"/>
          <w:lang w:val="el-GR"/>
        </w:rPr>
      </w:pPr>
    </w:p>
    <w:p w14:paraId="0BF7C6B6" w14:textId="77777777" w:rsidR="00171824" w:rsidRDefault="006D258C">
      <w:pPr>
        <w:widowControl/>
        <w:ind w:left="1701" w:right="1418" w:hanging="709"/>
        <w:rPr>
          <w:sz w:val="22"/>
          <w:szCs w:val="22"/>
          <w:lang w:val="el-GR"/>
        </w:rPr>
      </w:pPr>
      <w:r>
        <w:rPr>
          <w:b/>
          <w:sz w:val="22"/>
          <w:szCs w:val="22"/>
          <w:lang w:val="el-GR"/>
        </w:rPr>
        <w:t>Δ.</w:t>
      </w:r>
      <w:r>
        <w:rPr>
          <w:b/>
          <w:sz w:val="22"/>
          <w:szCs w:val="22"/>
          <w:lang w:val="el-GR"/>
        </w:rPr>
        <w:tab/>
        <w:t>ΟΡΟΙ Ή ΠΕΡΙΟΡΙΣΜΟΙ ΣΧΕΤΙΚΑ ΜΕ ΤΗΝ ΑΣΦΑΛΗ ΚΑΙ</w:t>
      </w:r>
      <w:r>
        <w:rPr>
          <w:sz w:val="22"/>
          <w:szCs w:val="22"/>
          <w:lang w:val="el-GR"/>
        </w:rPr>
        <w:t xml:space="preserve"> </w:t>
      </w:r>
      <w:r>
        <w:rPr>
          <w:b/>
          <w:sz w:val="22"/>
          <w:szCs w:val="22"/>
          <w:lang w:val="el-GR"/>
        </w:rPr>
        <w:t>ΑΠΟΤΕΛΕΣΜΑΤΙΚΗ ΧΡΗΣΗ ΤΟΥ ΦΑΡΜΑΚΕΥΤΙΚΟΥ ΠΡΟΪΟΝΤΟΣ</w:t>
      </w:r>
    </w:p>
    <w:p w14:paraId="3B8EF6BB" w14:textId="77777777" w:rsidR="00171824" w:rsidRDefault="006D258C">
      <w:pPr>
        <w:widowControl/>
        <w:rPr>
          <w:sz w:val="22"/>
          <w:szCs w:val="22"/>
          <w:lang w:val="el-GR"/>
        </w:rPr>
      </w:pPr>
      <w:r>
        <w:rPr>
          <w:sz w:val="22"/>
          <w:szCs w:val="22"/>
          <w:lang w:val="el-GR"/>
        </w:rPr>
        <w:br w:type="page"/>
      </w:r>
    </w:p>
    <w:p w14:paraId="769C29C4" w14:textId="77777777" w:rsidR="00171824" w:rsidRDefault="006D258C">
      <w:pPr>
        <w:pStyle w:val="TitleB"/>
        <w:ind w:left="567" w:hanging="567"/>
      </w:pPr>
      <w:r>
        <w:lastRenderedPageBreak/>
        <w:t>Α.</w:t>
      </w:r>
      <w:r>
        <w:tab/>
        <w:t>ΠΑΡΑΣΚΕΥΑΣΤEΣ ΤΗΣ ΒΙΟΛΟΓΙΚΩΣ ΔΡΑΣΤΙΚΗΣ ΟΥΣΙΑΣ ΚΑΙ ΠΑΡΑΣΚΕΥΑΣΤΕΣ ΥΠΕΥΘΥΝΟΙ ΓΙΑ ΤΗΝ ΑΠΟΔΕΣΜΕΥΣΗ ΤΩΝ ΠΑΡΤΙΔΩΝ</w:t>
      </w:r>
    </w:p>
    <w:p w14:paraId="5FFB2921" w14:textId="77777777" w:rsidR="00171824" w:rsidRDefault="00171824">
      <w:pPr>
        <w:widowControl/>
        <w:rPr>
          <w:b/>
          <w:bCs/>
          <w:sz w:val="22"/>
          <w:szCs w:val="22"/>
          <w:lang w:val="el-GR"/>
        </w:rPr>
      </w:pPr>
    </w:p>
    <w:p w14:paraId="4165CA9A" w14:textId="77777777" w:rsidR="00171824" w:rsidRDefault="006D258C">
      <w:pPr>
        <w:widowControl/>
        <w:rPr>
          <w:sz w:val="22"/>
          <w:szCs w:val="22"/>
          <w:u w:val="single"/>
          <w:lang w:val="el-GR"/>
        </w:rPr>
      </w:pPr>
      <w:r>
        <w:rPr>
          <w:sz w:val="22"/>
          <w:szCs w:val="22"/>
          <w:u w:val="single"/>
          <w:lang w:val="el-GR"/>
        </w:rPr>
        <w:t>Όνομα και διεύθυνση των παρασκευαστών της βιολογικώς δραστικής ουσίας</w:t>
      </w:r>
    </w:p>
    <w:p w14:paraId="791A5A32" w14:textId="77777777" w:rsidR="00171824" w:rsidRPr="00422380" w:rsidRDefault="006D258C">
      <w:pPr>
        <w:widowControl/>
        <w:rPr>
          <w:sz w:val="22"/>
          <w:szCs w:val="22"/>
        </w:rPr>
      </w:pPr>
      <w:r w:rsidRPr="00422380">
        <w:rPr>
          <w:sz w:val="22"/>
          <w:szCs w:val="22"/>
        </w:rPr>
        <w:t>Amgen Inc.</w:t>
      </w:r>
    </w:p>
    <w:p w14:paraId="030331B8" w14:textId="77777777" w:rsidR="00171824" w:rsidRPr="00422380" w:rsidRDefault="006D258C">
      <w:pPr>
        <w:widowControl/>
        <w:rPr>
          <w:w w:val="102"/>
          <w:sz w:val="22"/>
          <w:szCs w:val="22"/>
        </w:rPr>
      </w:pPr>
      <w:r w:rsidRPr="00422380">
        <w:rPr>
          <w:sz w:val="22"/>
          <w:szCs w:val="22"/>
        </w:rPr>
        <w:t>One Amgen Center Drive</w:t>
      </w:r>
    </w:p>
    <w:p w14:paraId="2C971592" w14:textId="77777777" w:rsidR="00171824" w:rsidRDefault="006D258C">
      <w:pPr>
        <w:widowControl/>
        <w:rPr>
          <w:sz w:val="22"/>
          <w:szCs w:val="22"/>
          <w:lang w:val="el-GR"/>
        </w:rPr>
      </w:pPr>
      <w:r>
        <w:rPr>
          <w:sz w:val="22"/>
          <w:szCs w:val="22"/>
          <w:lang w:val="el-GR"/>
        </w:rPr>
        <w:t>Thousand Oaks, California</w:t>
      </w:r>
    </w:p>
    <w:p w14:paraId="3B233E96" w14:textId="77777777" w:rsidR="00171824" w:rsidRDefault="006D258C">
      <w:pPr>
        <w:widowControl/>
        <w:rPr>
          <w:w w:val="102"/>
          <w:sz w:val="22"/>
          <w:szCs w:val="22"/>
          <w:lang w:val="el-GR"/>
        </w:rPr>
      </w:pPr>
      <w:r>
        <w:rPr>
          <w:sz w:val="22"/>
          <w:szCs w:val="22"/>
          <w:lang w:val="el-GR"/>
        </w:rPr>
        <w:t xml:space="preserve">91320 </w:t>
      </w:r>
    </w:p>
    <w:p w14:paraId="5224C1FB" w14:textId="77777777" w:rsidR="00171824" w:rsidRDefault="006D258C">
      <w:pPr>
        <w:widowControl/>
        <w:rPr>
          <w:sz w:val="22"/>
          <w:szCs w:val="22"/>
          <w:lang w:val="el-GR"/>
        </w:rPr>
      </w:pPr>
      <w:r>
        <w:rPr>
          <w:sz w:val="22"/>
          <w:szCs w:val="22"/>
          <w:lang w:val="el-GR"/>
        </w:rPr>
        <w:t>Ηνωμένες Πολιτείες Αμερικής</w:t>
      </w:r>
    </w:p>
    <w:p w14:paraId="67328A94" w14:textId="77777777" w:rsidR="00171824" w:rsidRDefault="00171824">
      <w:pPr>
        <w:rPr>
          <w:rFonts w:eastAsia="SimSun"/>
          <w:color w:val="000000"/>
          <w:sz w:val="22"/>
          <w:szCs w:val="22"/>
          <w:lang w:val="el-GR" w:eastAsia="en-GB"/>
        </w:rPr>
      </w:pPr>
    </w:p>
    <w:p w14:paraId="18FB4C26" w14:textId="77777777" w:rsidR="00171824" w:rsidRPr="00422380" w:rsidRDefault="006D258C">
      <w:pPr>
        <w:rPr>
          <w:rFonts w:eastAsia="SimSun"/>
          <w:color w:val="000000"/>
          <w:sz w:val="22"/>
          <w:szCs w:val="22"/>
          <w:lang w:eastAsia="en-GB"/>
        </w:rPr>
      </w:pPr>
      <w:r w:rsidRPr="00422380">
        <w:rPr>
          <w:rFonts w:eastAsia="SimSun"/>
          <w:color w:val="000000"/>
          <w:sz w:val="22"/>
          <w:szCs w:val="22"/>
          <w:lang w:eastAsia="en-GB"/>
        </w:rPr>
        <w:t>Immunex Rhode Island Corporation</w:t>
      </w:r>
    </w:p>
    <w:p w14:paraId="7BA5155C" w14:textId="77777777" w:rsidR="00171824" w:rsidRPr="00422380" w:rsidRDefault="006D258C">
      <w:pPr>
        <w:rPr>
          <w:rFonts w:eastAsia="SimSun"/>
          <w:color w:val="000000"/>
          <w:sz w:val="22"/>
          <w:szCs w:val="22"/>
          <w:lang w:eastAsia="en-GB"/>
        </w:rPr>
      </w:pPr>
      <w:r w:rsidRPr="00422380">
        <w:rPr>
          <w:rFonts w:eastAsia="SimSun"/>
          <w:color w:val="000000"/>
          <w:sz w:val="22"/>
          <w:szCs w:val="22"/>
          <w:lang w:eastAsia="en-GB"/>
        </w:rPr>
        <w:t>40 Technology Way</w:t>
      </w:r>
    </w:p>
    <w:p w14:paraId="0731562C" w14:textId="77777777" w:rsidR="00171824" w:rsidRPr="00E10827" w:rsidRDefault="006D258C">
      <w:pPr>
        <w:rPr>
          <w:rFonts w:eastAsia="SimSun"/>
          <w:color w:val="000000"/>
          <w:sz w:val="22"/>
          <w:szCs w:val="22"/>
          <w:lang w:val="el-GR" w:eastAsia="en-GB"/>
        </w:rPr>
      </w:pPr>
      <w:r>
        <w:rPr>
          <w:rFonts w:eastAsia="SimSun"/>
          <w:color w:val="000000"/>
          <w:sz w:val="22"/>
          <w:szCs w:val="22"/>
          <w:lang w:eastAsia="en-GB"/>
        </w:rPr>
        <w:t>West</w:t>
      </w:r>
      <w:r w:rsidRPr="00E10827">
        <w:rPr>
          <w:rFonts w:eastAsia="SimSun"/>
          <w:color w:val="000000"/>
          <w:sz w:val="22"/>
          <w:szCs w:val="22"/>
          <w:lang w:val="el-GR" w:eastAsia="en-GB"/>
        </w:rPr>
        <w:t xml:space="preserve"> </w:t>
      </w:r>
      <w:r>
        <w:rPr>
          <w:rFonts w:eastAsia="SimSun"/>
          <w:color w:val="000000"/>
          <w:sz w:val="22"/>
          <w:szCs w:val="22"/>
          <w:lang w:eastAsia="en-GB"/>
        </w:rPr>
        <w:t>Greenwich</w:t>
      </w:r>
    </w:p>
    <w:p w14:paraId="0AC39142" w14:textId="77777777" w:rsidR="00171824" w:rsidRPr="00E10827" w:rsidRDefault="006D258C">
      <w:pPr>
        <w:rPr>
          <w:rFonts w:eastAsia="SimSun"/>
          <w:color w:val="000000"/>
          <w:sz w:val="22"/>
          <w:szCs w:val="22"/>
          <w:lang w:val="el-GR" w:eastAsia="en-GB"/>
        </w:rPr>
      </w:pPr>
      <w:r>
        <w:rPr>
          <w:rFonts w:eastAsia="SimSun"/>
          <w:color w:val="000000"/>
          <w:sz w:val="22"/>
          <w:szCs w:val="22"/>
          <w:lang w:eastAsia="en-GB"/>
        </w:rPr>
        <w:t>Rhode</w:t>
      </w:r>
      <w:r w:rsidRPr="00E10827">
        <w:rPr>
          <w:rFonts w:eastAsia="SimSun"/>
          <w:color w:val="000000"/>
          <w:sz w:val="22"/>
          <w:szCs w:val="22"/>
          <w:lang w:val="el-GR" w:eastAsia="en-GB"/>
        </w:rPr>
        <w:t xml:space="preserve"> </w:t>
      </w:r>
      <w:r>
        <w:rPr>
          <w:rFonts w:eastAsia="SimSun"/>
          <w:color w:val="000000"/>
          <w:sz w:val="22"/>
          <w:szCs w:val="22"/>
          <w:lang w:eastAsia="en-GB"/>
        </w:rPr>
        <w:t>Island</w:t>
      </w:r>
      <w:r w:rsidRPr="00E10827">
        <w:rPr>
          <w:rFonts w:eastAsia="SimSun"/>
          <w:color w:val="000000"/>
          <w:sz w:val="22"/>
          <w:szCs w:val="22"/>
          <w:lang w:val="el-GR" w:eastAsia="en-GB"/>
        </w:rPr>
        <w:t>, 02817</w:t>
      </w:r>
    </w:p>
    <w:p w14:paraId="0BA83818" w14:textId="77777777" w:rsidR="00171824" w:rsidRPr="00E10827" w:rsidRDefault="006D258C">
      <w:pPr>
        <w:widowControl/>
        <w:rPr>
          <w:sz w:val="22"/>
          <w:szCs w:val="22"/>
          <w:lang w:val="el-GR"/>
        </w:rPr>
      </w:pPr>
      <w:r>
        <w:rPr>
          <w:sz w:val="22"/>
          <w:szCs w:val="22"/>
          <w:lang w:val="el-GR"/>
        </w:rPr>
        <w:t>Ηνωμένες</w:t>
      </w:r>
      <w:r w:rsidRPr="00E10827">
        <w:rPr>
          <w:sz w:val="22"/>
          <w:szCs w:val="22"/>
          <w:lang w:val="el-GR"/>
        </w:rPr>
        <w:t xml:space="preserve"> </w:t>
      </w:r>
      <w:r>
        <w:rPr>
          <w:sz w:val="22"/>
          <w:szCs w:val="22"/>
          <w:lang w:val="el-GR"/>
        </w:rPr>
        <w:t>Πολιτείες</w:t>
      </w:r>
      <w:r w:rsidRPr="00E10827">
        <w:rPr>
          <w:sz w:val="22"/>
          <w:szCs w:val="22"/>
          <w:lang w:val="el-GR"/>
        </w:rPr>
        <w:t xml:space="preserve"> </w:t>
      </w:r>
      <w:r>
        <w:rPr>
          <w:sz w:val="22"/>
          <w:szCs w:val="22"/>
          <w:lang w:val="el-GR"/>
        </w:rPr>
        <w:t>Αμερικής</w:t>
      </w:r>
    </w:p>
    <w:p w14:paraId="4F7C9D27" w14:textId="77777777" w:rsidR="00171824" w:rsidRPr="00E10827" w:rsidRDefault="00171824">
      <w:pPr>
        <w:widowControl/>
        <w:rPr>
          <w:sz w:val="22"/>
          <w:szCs w:val="22"/>
          <w:lang w:val="el-GR"/>
        </w:rPr>
      </w:pPr>
    </w:p>
    <w:p w14:paraId="7AA5AFFD" w14:textId="77777777" w:rsidR="00171824" w:rsidRDefault="006D258C">
      <w:pPr>
        <w:widowControl/>
        <w:rPr>
          <w:sz w:val="22"/>
          <w:szCs w:val="22"/>
          <w:u w:val="single"/>
          <w:lang w:val="el-GR"/>
        </w:rPr>
      </w:pPr>
      <w:r>
        <w:rPr>
          <w:sz w:val="22"/>
          <w:szCs w:val="22"/>
          <w:u w:val="single"/>
          <w:lang w:val="el-GR"/>
        </w:rPr>
        <w:t>Όνομα και διεύθυνση των παρασκευαστών που είναι υπεύθυνοι για την αποδέσμευση των παρτίδων</w:t>
      </w:r>
    </w:p>
    <w:p w14:paraId="415D8069" w14:textId="77777777" w:rsidR="00171824" w:rsidRPr="00422380" w:rsidRDefault="006D258C">
      <w:pPr>
        <w:widowControl/>
        <w:rPr>
          <w:sz w:val="22"/>
          <w:szCs w:val="22"/>
          <w:lang w:val="sv-SE"/>
        </w:rPr>
      </w:pPr>
      <w:r w:rsidRPr="00422380">
        <w:rPr>
          <w:sz w:val="22"/>
          <w:szCs w:val="22"/>
          <w:lang w:val="sv-SE"/>
        </w:rPr>
        <w:t>Amgen Europe B.V.</w:t>
      </w:r>
    </w:p>
    <w:p w14:paraId="3B140D98" w14:textId="77777777" w:rsidR="00171824" w:rsidRPr="00422380" w:rsidRDefault="006D258C">
      <w:pPr>
        <w:widowControl/>
        <w:jc w:val="both"/>
        <w:rPr>
          <w:w w:val="102"/>
          <w:sz w:val="22"/>
          <w:szCs w:val="22"/>
          <w:lang w:val="sv-SE"/>
        </w:rPr>
      </w:pPr>
      <w:r w:rsidRPr="00422380">
        <w:rPr>
          <w:sz w:val="22"/>
          <w:szCs w:val="22"/>
          <w:lang w:val="sv-SE"/>
        </w:rPr>
        <w:t>Minervum 7061</w:t>
      </w:r>
    </w:p>
    <w:p w14:paraId="0B5A44B5" w14:textId="77777777" w:rsidR="00171824" w:rsidRPr="00422380" w:rsidRDefault="006D258C">
      <w:pPr>
        <w:widowControl/>
        <w:jc w:val="both"/>
        <w:rPr>
          <w:w w:val="102"/>
          <w:sz w:val="22"/>
          <w:szCs w:val="22"/>
          <w:lang w:val="sv-SE"/>
        </w:rPr>
      </w:pPr>
      <w:r w:rsidRPr="00422380">
        <w:rPr>
          <w:sz w:val="22"/>
          <w:szCs w:val="22"/>
          <w:lang w:val="sv-SE"/>
        </w:rPr>
        <w:t>4817 ZK Breda</w:t>
      </w:r>
    </w:p>
    <w:p w14:paraId="210A87FB" w14:textId="77777777" w:rsidR="00171824" w:rsidRPr="00422380" w:rsidRDefault="006D258C">
      <w:pPr>
        <w:widowControl/>
        <w:jc w:val="both"/>
        <w:rPr>
          <w:sz w:val="22"/>
          <w:szCs w:val="22"/>
          <w:lang w:val="sv-SE"/>
        </w:rPr>
      </w:pPr>
      <w:r>
        <w:rPr>
          <w:sz w:val="22"/>
          <w:szCs w:val="22"/>
          <w:lang w:val="el-GR"/>
        </w:rPr>
        <w:t>Ολλανδία</w:t>
      </w:r>
    </w:p>
    <w:p w14:paraId="2C0F72D0" w14:textId="77777777" w:rsidR="00171824" w:rsidRPr="00422380" w:rsidRDefault="00171824">
      <w:pPr>
        <w:widowControl/>
        <w:rPr>
          <w:sz w:val="22"/>
          <w:szCs w:val="22"/>
          <w:lang w:val="sv-SE"/>
        </w:rPr>
      </w:pPr>
    </w:p>
    <w:p w14:paraId="67B46C1A" w14:textId="77777777" w:rsidR="00171824" w:rsidRPr="00422380" w:rsidRDefault="006D258C">
      <w:pPr>
        <w:widowControl/>
        <w:rPr>
          <w:w w:val="102"/>
          <w:sz w:val="22"/>
          <w:szCs w:val="22"/>
          <w:lang w:val="sv-SE"/>
        </w:rPr>
      </w:pPr>
      <w:r w:rsidRPr="00422380">
        <w:rPr>
          <w:sz w:val="22"/>
          <w:szCs w:val="22"/>
          <w:lang w:val="sv-SE"/>
        </w:rPr>
        <w:t>Amgen Technology Ireland UC</w:t>
      </w:r>
    </w:p>
    <w:p w14:paraId="0FA419C9" w14:textId="77777777" w:rsidR="00171824" w:rsidRPr="00422380" w:rsidRDefault="006D258C">
      <w:pPr>
        <w:widowControl/>
        <w:rPr>
          <w:sz w:val="22"/>
          <w:szCs w:val="22"/>
        </w:rPr>
      </w:pPr>
      <w:r w:rsidRPr="00422380">
        <w:rPr>
          <w:sz w:val="22"/>
          <w:szCs w:val="22"/>
        </w:rPr>
        <w:t>Pottery Road</w:t>
      </w:r>
    </w:p>
    <w:p w14:paraId="257DDC8F" w14:textId="77777777" w:rsidR="00171824" w:rsidRPr="00422380" w:rsidRDefault="006D258C">
      <w:pPr>
        <w:widowControl/>
        <w:rPr>
          <w:w w:val="102"/>
          <w:sz w:val="22"/>
          <w:szCs w:val="22"/>
        </w:rPr>
      </w:pPr>
      <w:r w:rsidRPr="00422380">
        <w:rPr>
          <w:sz w:val="22"/>
          <w:szCs w:val="22"/>
        </w:rPr>
        <w:t>Dun Laoghaire, Co Dublin</w:t>
      </w:r>
    </w:p>
    <w:p w14:paraId="688317B0" w14:textId="77777777" w:rsidR="00171824" w:rsidRPr="00422380" w:rsidRDefault="006D258C">
      <w:pPr>
        <w:widowControl/>
        <w:rPr>
          <w:sz w:val="22"/>
          <w:szCs w:val="22"/>
        </w:rPr>
      </w:pPr>
      <w:r>
        <w:rPr>
          <w:sz w:val="22"/>
          <w:szCs w:val="22"/>
          <w:lang w:val="el-GR"/>
        </w:rPr>
        <w:t>Ιρλανδία</w:t>
      </w:r>
    </w:p>
    <w:p w14:paraId="0830AE8E" w14:textId="77777777" w:rsidR="00171824" w:rsidRPr="00422380" w:rsidRDefault="00171824">
      <w:pPr>
        <w:widowControl/>
        <w:rPr>
          <w:sz w:val="22"/>
          <w:szCs w:val="22"/>
        </w:rPr>
      </w:pPr>
    </w:p>
    <w:p w14:paraId="4EA53B7A" w14:textId="77777777" w:rsidR="00171824" w:rsidRPr="00422380" w:rsidRDefault="006D258C">
      <w:pPr>
        <w:rPr>
          <w:sz w:val="22"/>
          <w:szCs w:val="22"/>
          <w:lang w:eastAsia="ja-JP"/>
        </w:rPr>
      </w:pPr>
      <w:r w:rsidRPr="00422380">
        <w:rPr>
          <w:sz w:val="22"/>
          <w:szCs w:val="22"/>
          <w:lang w:eastAsia="ja-JP"/>
        </w:rPr>
        <w:t>Amgen NV</w:t>
      </w:r>
    </w:p>
    <w:p w14:paraId="33E79282" w14:textId="77777777" w:rsidR="00171824" w:rsidRPr="00E10827" w:rsidRDefault="006D258C">
      <w:pPr>
        <w:rPr>
          <w:sz w:val="22"/>
          <w:szCs w:val="22"/>
          <w:lang w:eastAsia="ja-JP"/>
        </w:rPr>
      </w:pPr>
      <w:r w:rsidRPr="00422380">
        <w:rPr>
          <w:sz w:val="22"/>
          <w:szCs w:val="22"/>
          <w:lang w:eastAsia="ja-JP"/>
        </w:rPr>
        <w:t>Telecomlaan</w:t>
      </w:r>
      <w:r w:rsidRPr="00E10827">
        <w:rPr>
          <w:sz w:val="22"/>
          <w:szCs w:val="22"/>
          <w:lang w:eastAsia="ja-JP"/>
        </w:rPr>
        <w:t xml:space="preserve"> 5-7</w:t>
      </w:r>
    </w:p>
    <w:p w14:paraId="55EC613D" w14:textId="77777777" w:rsidR="00171824" w:rsidRPr="00E10827" w:rsidRDefault="006D258C">
      <w:pPr>
        <w:widowControl/>
        <w:rPr>
          <w:sz w:val="22"/>
          <w:szCs w:val="22"/>
          <w:lang w:eastAsia="ja-JP"/>
        </w:rPr>
      </w:pPr>
      <w:r w:rsidRPr="00E10827">
        <w:rPr>
          <w:sz w:val="22"/>
          <w:szCs w:val="22"/>
          <w:lang w:eastAsia="ja-JP"/>
        </w:rPr>
        <w:t xml:space="preserve">1831 </w:t>
      </w:r>
      <w:r w:rsidRPr="00422380">
        <w:rPr>
          <w:sz w:val="22"/>
          <w:szCs w:val="22"/>
          <w:lang w:eastAsia="ja-JP"/>
        </w:rPr>
        <w:t>Diegem</w:t>
      </w:r>
    </w:p>
    <w:p w14:paraId="685B3D18" w14:textId="77777777" w:rsidR="00171824" w:rsidRPr="00E10827" w:rsidRDefault="006D258C">
      <w:pPr>
        <w:widowControl/>
        <w:rPr>
          <w:sz w:val="22"/>
          <w:szCs w:val="22"/>
        </w:rPr>
      </w:pPr>
      <w:r>
        <w:rPr>
          <w:sz w:val="22"/>
          <w:szCs w:val="22"/>
          <w:lang w:val="el-GR" w:eastAsia="ja-JP"/>
        </w:rPr>
        <w:t>Βέλγιο</w:t>
      </w:r>
      <w:r w:rsidRPr="00E10827">
        <w:rPr>
          <w:sz w:val="22"/>
          <w:szCs w:val="22"/>
        </w:rPr>
        <w:t xml:space="preserve"> </w:t>
      </w:r>
    </w:p>
    <w:p w14:paraId="0F43BD0E" w14:textId="77777777" w:rsidR="00171824" w:rsidRPr="00E10827" w:rsidRDefault="00171824">
      <w:pPr>
        <w:widowControl/>
        <w:rPr>
          <w:sz w:val="22"/>
          <w:szCs w:val="22"/>
        </w:rPr>
      </w:pPr>
    </w:p>
    <w:p w14:paraId="34B874D0" w14:textId="77777777" w:rsidR="00171824" w:rsidRDefault="006D258C">
      <w:pPr>
        <w:widowControl/>
        <w:rPr>
          <w:sz w:val="22"/>
          <w:szCs w:val="22"/>
          <w:lang w:val="el-GR"/>
        </w:rPr>
      </w:pPr>
      <w:r>
        <w:rPr>
          <w:sz w:val="22"/>
          <w:szCs w:val="22"/>
          <w:lang w:val="el-GR"/>
        </w:rPr>
        <w:t>Στο έντυπο φύλλο οδηγιών χρήσης του φαρμακευτικού προϊόντος πρέπει να αναγράφεται το όνομα και η διεύθυνση του παρασκευαστή που είναι υπεύθυνος για την αποδέσμευση της σχετικής παρτίδας.</w:t>
      </w:r>
    </w:p>
    <w:p w14:paraId="23662848" w14:textId="77777777" w:rsidR="00171824" w:rsidRDefault="00171824">
      <w:pPr>
        <w:widowControl/>
        <w:rPr>
          <w:sz w:val="22"/>
          <w:szCs w:val="22"/>
          <w:lang w:val="el-GR"/>
        </w:rPr>
      </w:pPr>
    </w:p>
    <w:p w14:paraId="21240808" w14:textId="77777777" w:rsidR="00171824" w:rsidRDefault="00171824">
      <w:pPr>
        <w:widowControl/>
        <w:ind w:left="851" w:hanging="851"/>
        <w:outlineLvl w:val="0"/>
        <w:rPr>
          <w:b/>
          <w:bCs/>
          <w:sz w:val="22"/>
          <w:szCs w:val="22"/>
          <w:lang w:val="el-GR"/>
        </w:rPr>
      </w:pPr>
    </w:p>
    <w:p w14:paraId="7E54E562" w14:textId="77777777" w:rsidR="00171824" w:rsidRDefault="006D258C">
      <w:pPr>
        <w:pStyle w:val="TitleB"/>
        <w:ind w:left="567" w:hanging="567"/>
      </w:pPr>
      <w:r>
        <w:t>B.</w:t>
      </w:r>
      <w:r>
        <w:tab/>
        <w:t xml:space="preserve">ΟΡΟΙ Ή </w:t>
      </w:r>
      <w:del w:id="103" w:author="Author">
        <w:r w:rsidDel="007E55C8">
          <w:delText xml:space="preserve">ΟΙ </w:delText>
        </w:r>
      </w:del>
      <w:r>
        <w:t>ΠΕΡΙΟΡΙΣΜΟΙ ΣΧΕΤΙΚΑ ΜΕ ΤΗ ΔΙΑΘΕΣΗ ΚΑΙ ΤΗ ΧΡΗΣΗ</w:t>
      </w:r>
    </w:p>
    <w:p w14:paraId="19F0CF93" w14:textId="77777777" w:rsidR="00171824" w:rsidRDefault="00171824">
      <w:pPr>
        <w:widowControl/>
        <w:rPr>
          <w:b/>
          <w:bCs/>
          <w:sz w:val="22"/>
          <w:szCs w:val="22"/>
          <w:lang w:val="el-GR"/>
        </w:rPr>
      </w:pPr>
    </w:p>
    <w:p w14:paraId="4657EE54" w14:textId="77777777" w:rsidR="00171824" w:rsidRDefault="006D258C">
      <w:pPr>
        <w:widowControl/>
        <w:rPr>
          <w:sz w:val="22"/>
          <w:szCs w:val="22"/>
          <w:lang w:val="el-GR"/>
        </w:rPr>
      </w:pPr>
      <w:r>
        <w:rPr>
          <w:sz w:val="22"/>
          <w:szCs w:val="22"/>
          <w:lang w:val="el-GR"/>
        </w:rPr>
        <w:t>Φαρμακευτικό προϊόν για το οποίο απαιτείται περιορισμένη ιατρική συνταγή (βλ. Παράρτημα Ι: Περίληψη των Χαρακτηριστικών του Προϊόντος, παράγραφος 4.2).</w:t>
      </w:r>
    </w:p>
    <w:p w14:paraId="365EE1A3" w14:textId="77777777" w:rsidR="00171824" w:rsidRDefault="00171824">
      <w:pPr>
        <w:widowControl/>
        <w:rPr>
          <w:sz w:val="22"/>
          <w:szCs w:val="22"/>
          <w:lang w:val="el-GR"/>
        </w:rPr>
      </w:pPr>
    </w:p>
    <w:p w14:paraId="7102EAE0" w14:textId="77777777" w:rsidR="00171824" w:rsidRDefault="00171824">
      <w:pPr>
        <w:widowControl/>
        <w:ind w:left="851" w:hanging="851"/>
        <w:outlineLvl w:val="0"/>
        <w:rPr>
          <w:b/>
          <w:bCs/>
          <w:sz w:val="22"/>
          <w:szCs w:val="22"/>
          <w:lang w:val="el-GR"/>
        </w:rPr>
      </w:pPr>
    </w:p>
    <w:p w14:paraId="17F98A37" w14:textId="77777777" w:rsidR="00171824" w:rsidRDefault="006D258C">
      <w:pPr>
        <w:pStyle w:val="TitleB"/>
        <w:ind w:left="567" w:hanging="567"/>
      </w:pPr>
      <w:r>
        <w:t>Γ.</w:t>
      </w:r>
      <w:r>
        <w:tab/>
        <w:t>ΑΛΛΟΙ ΟΡΟΙ ΚΑΙ ΑΠΑΙΤΗΣΕΙΣ ΤΗΣ ΑΔΕΙΑΣ ΚΥΚΛΟΦΟΡΙΑΣ</w:t>
      </w:r>
    </w:p>
    <w:p w14:paraId="5B3816C0" w14:textId="77777777" w:rsidR="00171824" w:rsidRDefault="00171824">
      <w:pPr>
        <w:widowControl/>
        <w:rPr>
          <w:b/>
          <w:bCs/>
          <w:sz w:val="22"/>
          <w:szCs w:val="22"/>
          <w:lang w:val="el-GR"/>
        </w:rPr>
      </w:pPr>
    </w:p>
    <w:p w14:paraId="11CDBB7D" w14:textId="77777777" w:rsidR="00171824" w:rsidRDefault="006D258C">
      <w:pPr>
        <w:pStyle w:val="ListParagraph"/>
        <w:widowControl/>
        <w:numPr>
          <w:ilvl w:val="0"/>
          <w:numId w:val="18"/>
        </w:numPr>
        <w:ind w:left="567" w:hanging="567"/>
        <w:rPr>
          <w:b/>
          <w:sz w:val="22"/>
          <w:szCs w:val="22"/>
          <w:lang w:val="el-GR"/>
        </w:rPr>
      </w:pPr>
      <w:r>
        <w:rPr>
          <w:b/>
          <w:sz w:val="22"/>
          <w:szCs w:val="22"/>
          <w:lang w:val="el-GR"/>
        </w:rPr>
        <w:t>Εκθέσεις περιοδικής παρακολούθησης της ασφάλειας (PSURs)</w:t>
      </w:r>
    </w:p>
    <w:p w14:paraId="1C9E67EE" w14:textId="77777777" w:rsidR="00171824" w:rsidRDefault="00171824">
      <w:pPr>
        <w:widowControl/>
        <w:rPr>
          <w:b/>
          <w:bCs/>
          <w:sz w:val="22"/>
          <w:szCs w:val="22"/>
          <w:lang w:val="el-GR"/>
        </w:rPr>
      </w:pPr>
    </w:p>
    <w:p w14:paraId="0405CDD0" w14:textId="77777777" w:rsidR="00171824" w:rsidRDefault="006D258C">
      <w:pPr>
        <w:widowControl/>
        <w:rPr>
          <w:sz w:val="22"/>
          <w:szCs w:val="22"/>
          <w:lang w:val="el-GR"/>
        </w:rPr>
      </w:pPr>
      <w:r>
        <w:rPr>
          <w:sz w:val="22"/>
          <w:szCs w:val="22"/>
          <w:lang w:val="el-GR"/>
        </w:rPr>
        <w:t>Οι απαιτήσεις για την υποβολή των PSURs για το εν λόγω φαρμακευτικό προϊόν ορίζονται στον κατάλογο με τις ημερομηνίες αναφοράς της Ένωσης (κατάλογος EURD) που παρατίθεται στην παράγραφο 7 του άρθρου 107γ, της οδηγίας 2001/83/ΕΚ και κάθε επακόλουθης επικαιροποίησης όπως δημοσιεύεται στην ευρωπαϊκή δικτυακή πύλη για τα φάρμακα.</w:t>
      </w:r>
    </w:p>
    <w:p w14:paraId="6DB54873" w14:textId="77777777" w:rsidR="00171824" w:rsidRDefault="00171824">
      <w:pPr>
        <w:widowControl/>
        <w:rPr>
          <w:sz w:val="22"/>
          <w:szCs w:val="22"/>
          <w:lang w:val="el-GR"/>
        </w:rPr>
      </w:pPr>
    </w:p>
    <w:p w14:paraId="5EA96434" w14:textId="77777777" w:rsidR="00171824" w:rsidRDefault="00171824">
      <w:pPr>
        <w:widowControl/>
        <w:rPr>
          <w:b/>
          <w:bCs/>
          <w:sz w:val="22"/>
          <w:szCs w:val="22"/>
          <w:lang w:val="el-GR"/>
        </w:rPr>
      </w:pPr>
    </w:p>
    <w:p w14:paraId="2376059F" w14:textId="77777777" w:rsidR="00171824" w:rsidRDefault="006D258C">
      <w:pPr>
        <w:pStyle w:val="TitleB"/>
        <w:keepNext/>
        <w:keepLines/>
        <w:ind w:left="567" w:hanging="567"/>
      </w:pPr>
      <w:r>
        <w:lastRenderedPageBreak/>
        <w:t>Δ.</w:t>
      </w:r>
      <w:r>
        <w:tab/>
        <w:t>ΟΡΟΙ Ή ΠΕΡΙΟΡΙΣΜΟΙ ΣΧΕΤΙΚΑ ΜΕ ΤΗΝ ΑΣΦΑΛΗ ΚΑΙ ΑΠΟΤΕΛΕΣΜΑΤΙΚΗ ΧΡΗΣΗ ΤΟΥ ΦΑΡΜΑΚΕΥΤΙΚΟΥ ΠΡΟΪΟΝΤΟΣ</w:t>
      </w:r>
    </w:p>
    <w:p w14:paraId="01C2595E" w14:textId="77777777" w:rsidR="00171824" w:rsidRDefault="00171824">
      <w:pPr>
        <w:keepNext/>
        <w:keepLines/>
        <w:widowControl/>
        <w:rPr>
          <w:b/>
          <w:bCs/>
          <w:sz w:val="22"/>
          <w:szCs w:val="22"/>
          <w:lang w:val="el-GR"/>
        </w:rPr>
      </w:pPr>
    </w:p>
    <w:p w14:paraId="17EB0BE5" w14:textId="77777777" w:rsidR="00171824" w:rsidRDefault="006D258C">
      <w:pPr>
        <w:pStyle w:val="ListParagraph"/>
        <w:keepNext/>
        <w:keepLines/>
        <w:widowControl/>
        <w:numPr>
          <w:ilvl w:val="0"/>
          <w:numId w:val="18"/>
        </w:numPr>
        <w:autoSpaceDE/>
        <w:autoSpaceDN/>
        <w:adjustRightInd/>
        <w:ind w:left="567" w:hanging="567"/>
        <w:contextualSpacing/>
        <w:rPr>
          <w:sz w:val="22"/>
          <w:szCs w:val="22"/>
          <w:lang w:val="el-GR"/>
        </w:rPr>
      </w:pPr>
      <w:r>
        <w:rPr>
          <w:b/>
          <w:sz w:val="22"/>
          <w:szCs w:val="22"/>
          <w:lang w:val="el-GR"/>
        </w:rPr>
        <w:t>Σχέδιο διαχείρισης κινδύνου (ΣΔΚ)</w:t>
      </w:r>
    </w:p>
    <w:p w14:paraId="2F341222" w14:textId="77777777" w:rsidR="00171824" w:rsidRDefault="00171824">
      <w:pPr>
        <w:keepNext/>
        <w:keepLines/>
        <w:widowControl/>
        <w:rPr>
          <w:b/>
          <w:bCs/>
          <w:sz w:val="22"/>
          <w:szCs w:val="22"/>
          <w:lang w:val="el-GR"/>
        </w:rPr>
      </w:pPr>
    </w:p>
    <w:p w14:paraId="7BA866D5" w14:textId="77777777" w:rsidR="00171824" w:rsidRDefault="006D258C">
      <w:pPr>
        <w:keepNext/>
        <w:keepLines/>
        <w:widowControl/>
        <w:rPr>
          <w:sz w:val="22"/>
          <w:szCs w:val="22"/>
          <w:lang w:val="el-GR"/>
        </w:rPr>
      </w:pPr>
      <w:r>
        <w:rPr>
          <w:sz w:val="22"/>
          <w:szCs w:val="22"/>
          <w:lang w:val="el-GR"/>
        </w:rPr>
        <w:t xml:space="preserve">Ο Κάτοχος </w:t>
      </w:r>
      <w:r>
        <w:rPr>
          <w:color w:val="000000"/>
          <w:sz w:val="22"/>
          <w:szCs w:val="22"/>
          <w:lang w:val="el-GR"/>
        </w:rPr>
        <w:t>Άδειας</w:t>
      </w:r>
      <w:r>
        <w:rPr>
          <w:sz w:val="22"/>
          <w:szCs w:val="22"/>
          <w:lang w:val="el-GR"/>
        </w:rPr>
        <w:t xml:space="preserve"> Κυκλοφορίας (KAK) θα διεξαγάγει τις απαιτούμενες δραστηριότητες και παρεμβάσεις φαρμακοεπαγρύπνησης όπως παρουσιάζονται στο συμφωνηθέν ΣΔΚ που παρουσιάζεται στην ενότητα 1.8.2 της άδειας κυκλοφορίας και οποιεσδήποτε επακόλουθες εγκεκριμένες αναθεωρήσεις του ΣΔΚ.</w:t>
      </w:r>
    </w:p>
    <w:p w14:paraId="067DFA56" w14:textId="77777777" w:rsidR="00171824" w:rsidRDefault="00171824">
      <w:pPr>
        <w:widowControl/>
        <w:rPr>
          <w:sz w:val="22"/>
          <w:szCs w:val="22"/>
          <w:lang w:val="el-GR"/>
        </w:rPr>
      </w:pPr>
    </w:p>
    <w:p w14:paraId="29F95996" w14:textId="77777777" w:rsidR="00171824" w:rsidRDefault="006D258C">
      <w:pPr>
        <w:keepNext/>
        <w:widowControl/>
        <w:rPr>
          <w:sz w:val="22"/>
          <w:szCs w:val="22"/>
          <w:lang w:val="el-GR"/>
        </w:rPr>
      </w:pPr>
      <w:r>
        <w:rPr>
          <w:sz w:val="22"/>
          <w:szCs w:val="22"/>
          <w:lang w:val="el-GR"/>
        </w:rPr>
        <w:t>Ένα ενημερωμένο ΣΔΚ θα πρέπει να υποβάλλεται:</w:t>
      </w:r>
    </w:p>
    <w:p w14:paraId="5DEE86A3" w14:textId="77777777" w:rsidR="00171824" w:rsidRDefault="006D258C">
      <w:pPr>
        <w:pStyle w:val="ListParagraph"/>
        <w:keepNext/>
        <w:widowControl/>
        <w:numPr>
          <w:ilvl w:val="0"/>
          <w:numId w:val="19"/>
        </w:numPr>
        <w:autoSpaceDE/>
        <w:autoSpaceDN/>
        <w:adjustRightInd/>
        <w:ind w:left="567" w:hanging="567"/>
        <w:contextualSpacing/>
        <w:rPr>
          <w:sz w:val="22"/>
          <w:szCs w:val="22"/>
          <w:lang w:val="el-GR"/>
        </w:rPr>
      </w:pPr>
      <w:r>
        <w:rPr>
          <w:sz w:val="22"/>
          <w:szCs w:val="22"/>
          <w:lang w:val="el-GR"/>
        </w:rPr>
        <w:t>Mετά από αίτημα αιτήματος του Ευρωπαϊκού Οργανισμού Φαρμάκων</w:t>
      </w:r>
    </w:p>
    <w:p w14:paraId="22B00F6E" w14:textId="77777777" w:rsidR="00171824" w:rsidRDefault="006D258C">
      <w:pPr>
        <w:pStyle w:val="ListParagraph"/>
        <w:widowControl/>
        <w:numPr>
          <w:ilvl w:val="0"/>
          <w:numId w:val="19"/>
        </w:numPr>
        <w:autoSpaceDE/>
        <w:autoSpaceDN/>
        <w:adjustRightInd/>
        <w:ind w:left="567" w:hanging="567"/>
        <w:contextualSpacing/>
        <w:rPr>
          <w:sz w:val="22"/>
          <w:szCs w:val="22"/>
          <w:lang w:val="el-GR"/>
        </w:rPr>
      </w:pPr>
      <w:r>
        <w:rPr>
          <w:sz w:val="22"/>
          <w:szCs w:val="22"/>
          <w:lang w:val="el-GR"/>
        </w:rPr>
        <w:t>Oποτεδήποτε τροποποιείται το σύστημα διαχείρισης κινδύνου, ειδικά ως αποτέλεσμα λήψης νέων πληροφοριών που μπορεί να επιφέρουν σημαντική αλλαγή στη σχέση οφέλους-κινδύνου ή ως αποτέλεσμα της επίτευξης ενός σημαντικού οροσήμου (φαρµακοεπαγρύπνησης ή ελαχιστοποίησης του κινδύνου).</w:t>
      </w:r>
    </w:p>
    <w:p w14:paraId="574CBE3C" w14:textId="77777777" w:rsidR="00171824" w:rsidRDefault="00171824">
      <w:pPr>
        <w:widowControl/>
        <w:rPr>
          <w:sz w:val="22"/>
          <w:szCs w:val="22"/>
          <w:lang w:val="el-GR"/>
        </w:rPr>
      </w:pPr>
    </w:p>
    <w:p w14:paraId="362AE461" w14:textId="77777777" w:rsidR="00171824" w:rsidRDefault="006D258C">
      <w:pPr>
        <w:pStyle w:val="ListParagraph"/>
        <w:widowControl/>
        <w:numPr>
          <w:ilvl w:val="0"/>
          <w:numId w:val="19"/>
        </w:numPr>
        <w:autoSpaceDE/>
        <w:autoSpaceDN/>
        <w:adjustRightInd/>
        <w:ind w:left="567" w:hanging="567"/>
        <w:contextualSpacing/>
        <w:outlineLvl w:val="0"/>
        <w:rPr>
          <w:sz w:val="22"/>
          <w:szCs w:val="22"/>
          <w:lang w:val="el-GR"/>
        </w:rPr>
      </w:pPr>
      <w:r>
        <w:rPr>
          <w:b/>
          <w:bCs/>
          <w:sz w:val="22"/>
          <w:szCs w:val="22"/>
          <w:lang w:val="el-GR"/>
        </w:rPr>
        <w:t>Επιπρόσθετα μέτρα ελαχιστοποίησης του κινδύνου</w:t>
      </w:r>
    </w:p>
    <w:p w14:paraId="26883C40" w14:textId="77777777" w:rsidR="00171824" w:rsidRDefault="00171824">
      <w:pPr>
        <w:widowControl/>
        <w:rPr>
          <w:b/>
          <w:bCs/>
          <w:sz w:val="22"/>
          <w:szCs w:val="22"/>
          <w:lang w:val="el-GR"/>
        </w:rPr>
      </w:pPr>
    </w:p>
    <w:p w14:paraId="537C2303" w14:textId="77777777" w:rsidR="00171824" w:rsidRDefault="006D258C">
      <w:pPr>
        <w:rPr>
          <w:bCs/>
          <w:sz w:val="22"/>
          <w:lang w:val="el-GR"/>
        </w:rPr>
      </w:pPr>
      <w:r>
        <w:rPr>
          <w:bCs/>
          <w:sz w:val="22"/>
          <w:lang w:val="el-GR"/>
        </w:rPr>
        <w:t>Η κάρτα υπενθύμισης για τους ασθενείς (για ενήλικες και παιδιά) περιλαμβάνει τα ακόλουθα βασικά στοιχεία</w:t>
      </w:r>
    </w:p>
    <w:p w14:paraId="5C581A08" w14:textId="77777777" w:rsidR="00171824" w:rsidRDefault="006D258C">
      <w:pPr>
        <w:pStyle w:val="ListParagraph"/>
        <w:widowControl/>
        <w:numPr>
          <w:ilvl w:val="0"/>
          <w:numId w:val="19"/>
        </w:numPr>
        <w:autoSpaceDE/>
        <w:autoSpaceDN/>
        <w:adjustRightInd/>
        <w:ind w:left="567" w:hanging="567"/>
        <w:contextualSpacing/>
        <w:outlineLvl w:val="0"/>
        <w:rPr>
          <w:bCs/>
          <w:sz w:val="22"/>
          <w:szCs w:val="22"/>
          <w:lang w:val="el-GR"/>
        </w:rPr>
      </w:pPr>
      <w:r>
        <w:rPr>
          <w:bCs/>
          <w:sz w:val="22"/>
          <w:szCs w:val="22"/>
          <w:lang w:val="el-GR"/>
        </w:rPr>
        <w:t>Λοιμώξεις, περιλαμβανομένου της φυματίωσης</w:t>
      </w:r>
    </w:p>
    <w:p w14:paraId="3AEB8CFB" w14:textId="77777777" w:rsidR="00171824" w:rsidRDefault="006D258C">
      <w:pPr>
        <w:pStyle w:val="ListParagraph"/>
        <w:widowControl/>
        <w:numPr>
          <w:ilvl w:val="0"/>
          <w:numId w:val="19"/>
        </w:numPr>
        <w:autoSpaceDE/>
        <w:autoSpaceDN/>
        <w:adjustRightInd/>
        <w:ind w:left="567" w:hanging="567"/>
        <w:contextualSpacing/>
        <w:outlineLvl w:val="0"/>
        <w:rPr>
          <w:bCs/>
          <w:sz w:val="22"/>
          <w:szCs w:val="22"/>
          <w:lang w:val="el-GR"/>
        </w:rPr>
      </w:pPr>
      <w:r>
        <w:rPr>
          <w:bCs/>
          <w:sz w:val="22"/>
          <w:szCs w:val="22"/>
          <w:lang w:val="el-GR"/>
        </w:rPr>
        <w:t>Καρκίνος</w:t>
      </w:r>
    </w:p>
    <w:p w14:paraId="798C5E7C" w14:textId="77777777" w:rsidR="00171824" w:rsidRDefault="006D258C">
      <w:pPr>
        <w:pStyle w:val="ListParagraph"/>
        <w:widowControl/>
        <w:numPr>
          <w:ilvl w:val="0"/>
          <w:numId w:val="19"/>
        </w:numPr>
        <w:autoSpaceDE/>
        <w:autoSpaceDN/>
        <w:adjustRightInd/>
        <w:ind w:left="567" w:hanging="567"/>
        <w:contextualSpacing/>
        <w:outlineLvl w:val="0"/>
        <w:rPr>
          <w:bCs/>
          <w:sz w:val="22"/>
          <w:szCs w:val="22"/>
          <w:lang w:val="el-GR"/>
        </w:rPr>
      </w:pPr>
      <w:r>
        <w:rPr>
          <w:bCs/>
          <w:sz w:val="22"/>
          <w:szCs w:val="22"/>
          <w:lang w:val="el-GR"/>
        </w:rPr>
        <w:t>Προβλήματα με το Νευρικό Σύστημα</w:t>
      </w:r>
    </w:p>
    <w:p w14:paraId="1911AB11" w14:textId="77777777" w:rsidR="00171824" w:rsidRDefault="006D258C">
      <w:pPr>
        <w:pStyle w:val="ListParagraph"/>
        <w:widowControl/>
        <w:numPr>
          <w:ilvl w:val="0"/>
          <w:numId w:val="19"/>
        </w:numPr>
        <w:autoSpaceDE/>
        <w:autoSpaceDN/>
        <w:adjustRightInd/>
        <w:ind w:left="567" w:hanging="567"/>
        <w:contextualSpacing/>
        <w:outlineLvl w:val="0"/>
        <w:rPr>
          <w:sz w:val="22"/>
          <w:lang w:val="el-GR"/>
        </w:rPr>
      </w:pPr>
      <w:r>
        <w:rPr>
          <w:bCs/>
          <w:sz w:val="22"/>
          <w:szCs w:val="22"/>
          <w:lang w:val="el-GR"/>
        </w:rPr>
        <w:t>Εμβολιασμοί</w:t>
      </w:r>
    </w:p>
    <w:p w14:paraId="55DC73EE" w14:textId="77777777" w:rsidR="00171824" w:rsidRDefault="00171824">
      <w:pPr>
        <w:widowControl/>
        <w:rPr>
          <w:sz w:val="22"/>
          <w:lang w:val="el-GR"/>
        </w:rPr>
      </w:pPr>
    </w:p>
    <w:p w14:paraId="0558599D" w14:textId="77777777" w:rsidR="00171824" w:rsidRDefault="006D258C">
      <w:pPr>
        <w:widowControl/>
        <w:autoSpaceDE/>
        <w:autoSpaceDN/>
        <w:adjustRightInd/>
        <w:rPr>
          <w:b/>
          <w:sz w:val="22"/>
          <w:lang w:val="el-GR"/>
        </w:rPr>
      </w:pPr>
      <w:r>
        <w:rPr>
          <w:b/>
          <w:sz w:val="22"/>
          <w:lang w:val="el-GR"/>
        </w:rPr>
        <w:br w:type="page"/>
      </w:r>
    </w:p>
    <w:p w14:paraId="2972A1F2" w14:textId="77777777" w:rsidR="00171824" w:rsidRDefault="00171824">
      <w:pPr>
        <w:widowControl/>
        <w:rPr>
          <w:sz w:val="22"/>
          <w:lang w:val="el-GR"/>
        </w:rPr>
      </w:pPr>
    </w:p>
    <w:p w14:paraId="2DBB8673" w14:textId="77777777" w:rsidR="00171824" w:rsidRDefault="00171824">
      <w:pPr>
        <w:widowControl/>
        <w:rPr>
          <w:sz w:val="22"/>
          <w:lang w:val="el-GR"/>
        </w:rPr>
      </w:pPr>
    </w:p>
    <w:p w14:paraId="0E21B2D6" w14:textId="77777777" w:rsidR="00171824" w:rsidRDefault="00171824">
      <w:pPr>
        <w:widowControl/>
        <w:rPr>
          <w:sz w:val="22"/>
          <w:lang w:val="el-GR"/>
        </w:rPr>
      </w:pPr>
    </w:p>
    <w:p w14:paraId="3DD6730A" w14:textId="77777777" w:rsidR="00171824" w:rsidRDefault="00171824">
      <w:pPr>
        <w:widowControl/>
        <w:rPr>
          <w:sz w:val="22"/>
          <w:lang w:val="el-GR"/>
        </w:rPr>
      </w:pPr>
    </w:p>
    <w:p w14:paraId="6708226B" w14:textId="77777777" w:rsidR="00171824" w:rsidRDefault="00171824">
      <w:pPr>
        <w:widowControl/>
        <w:rPr>
          <w:sz w:val="22"/>
          <w:lang w:val="el-GR"/>
        </w:rPr>
      </w:pPr>
    </w:p>
    <w:p w14:paraId="3E1D5044" w14:textId="77777777" w:rsidR="00171824" w:rsidRDefault="00171824">
      <w:pPr>
        <w:widowControl/>
        <w:rPr>
          <w:sz w:val="22"/>
          <w:lang w:val="el-GR"/>
        </w:rPr>
      </w:pPr>
    </w:p>
    <w:p w14:paraId="059D220A" w14:textId="77777777" w:rsidR="00171824" w:rsidRDefault="00171824">
      <w:pPr>
        <w:widowControl/>
        <w:rPr>
          <w:sz w:val="22"/>
          <w:lang w:val="el-GR"/>
        </w:rPr>
      </w:pPr>
    </w:p>
    <w:p w14:paraId="782F8B3B" w14:textId="77777777" w:rsidR="00171824" w:rsidRDefault="00171824">
      <w:pPr>
        <w:widowControl/>
        <w:rPr>
          <w:sz w:val="22"/>
          <w:lang w:val="el-GR"/>
        </w:rPr>
      </w:pPr>
    </w:p>
    <w:p w14:paraId="52FD6013" w14:textId="77777777" w:rsidR="00171824" w:rsidRDefault="00171824">
      <w:pPr>
        <w:widowControl/>
        <w:rPr>
          <w:sz w:val="22"/>
          <w:lang w:val="el-GR"/>
        </w:rPr>
      </w:pPr>
    </w:p>
    <w:p w14:paraId="5D5BACAA" w14:textId="77777777" w:rsidR="00171824" w:rsidRDefault="00171824">
      <w:pPr>
        <w:widowControl/>
        <w:rPr>
          <w:sz w:val="22"/>
          <w:lang w:val="el-GR"/>
        </w:rPr>
      </w:pPr>
    </w:p>
    <w:p w14:paraId="20FBE7F3" w14:textId="77777777" w:rsidR="00171824" w:rsidRDefault="00171824">
      <w:pPr>
        <w:widowControl/>
        <w:rPr>
          <w:sz w:val="22"/>
          <w:lang w:val="el-GR"/>
        </w:rPr>
      </w:pPr>
    </w:p>
    <w:p w14:paraId="7AFE2838" w14:textId="77777777" w:rsidR="00171824" w:rsidRDefault="00171824">
      <w:pPr>
        <w:widowControl/>
        <w:outlineLvl w:val="0"/>
        <w:rPr>
          <w:sz w:val="22"/>
          <w:lang w:val="el-GR"/>
        </w:rPr>
      </w:pPr>
    </w:p>
    <w:p w14:paraId="0359EF79" w14:textId="77777777" w:rsidR="00171824" w:rsidRDefault="00171824">
      <w:pPr>
        <w:widowControl/>
        <w:outlineLvl w:val="0"/>
        <w:rPr>
          <w:sz w:val="22"/>
          <w:lang w:val="el-GR"/>
        </w:rPr>
      </w:pPr>
    </w:p>
    <w:p w14:paraId="2C44A3A4" w14:textId="77777777" w:rsidR="00171824" w:rsidRDefault="00171824">
      <w:pPr>
        <w:widowControl/>
        <w:outlineLvl w:val="0"/>
        <w:rPr>
          <w:sz w:val="22"/>
          <w:lang w:val="el-GR"/>
        </w:rPr>
      </w:pPr>
    </w:p>
    <w:p w14:paraId="60468445" w14:textId="77777777" w:rsidR="00171824" w:rsidRDefault="00171824">
      <w:pPr>
        <w:widowControl/>
        <w:outlineLvl w:val="0"/>
        <w:rPr>
          <w:sz w:val="22"/>
          <w:lang w:val="el-GR"/>
        </w:rPr>
      </w:pPr>
    </w:p>
    <w:p w14:paraId="0C4D4607" w14:textId="77777777" w:rsidR="00171824" w:rsidRDefault="00171824">
      <w:pPr>
        <w:widowControl/>
        <w:outlineLvl w:val="0"/>
        <w:rPr>
          <w:sz w:val="22"/>
          <w:lang w:val="el-GR"/>
        </w:rPr>
      </w:pPr>
    </w:p>
    <w:p w14:paraId="0B8430CB" w14:textId="77777777" w:rsidR="00171824" w:rsidRDefault="00171824">
      <w:pPr>
        <w:widowControl/>
        <w:outlineLvl w:val="0"/>
        <w:rPr>
          <w:sz w:val="22"/>
          <w:lang w:val="el-GR"/>
        </w:rPr>
      </w:pPr>
    </w:p>
    <w:p w14:paraId="6950A2B3" w14:textId="77777777" w:rsidR="00171824" w:rsidRDefault="00171824">
      <w:pPr>
        <w:widowControl/>
        <w:outlineLvl w:val="0"/>
        <w:rPr>
          <w:sz w:val="22"/>
          <w:lang w:val="el-GR"/>
        </w:rPr>
      </w:pPr>
    </w:p>
    <w:p w14:paraId="557EADC1" w14:textId="77777777" w:rsidR="00171824" w:rsidRDefault="00171824">
      <w:pPr>
        <w:widowControl/>
        <w:outlineLvl w:val="0"/>
        <w:rPr>
          <w:sz w:val="22"/>
          <w:lang w:val="el-GR"/>
        </w:rPr>
      </w:pPr>
    </w:p>
    <w:p w14:paraId="77DCA132" w14:textId="77777777" w:rsidR="00171824" w:rsidRDefault="00171824">
      <w:pPr>
        <w:widowControl/>
        <w:outlineLvl w:val="0"/>
        <w:rPr>
          <w:sz w:val="22"/>
          <w:lang w:val="el-GR"/>
        </w:rPr>
      </w:pPr>
    </w:p>
    <w:p w14:paraId="6621046E" w14:textId="77777777" w:rsidR="00171824" w:rsidRDefault="00171824">
      <w:pPr>
        <w:widowControl/>
        <w:outlineLvl w:val="0"/>
        <w:rPr>
          <w:sz w:val="22"/>
          <w:lang w:val="el-GR"/>
        </w:rPr>
      </w:pPr>
    </w:p>
    <w:p w14:paraId="1BB3E72D" w14:textId="77777777" w:rsidR="00171824" w:rsidRDefault="00171824">
      <w:pPr>
        <w:widowControl/>
        <w:rPr>
          <w:sz w:val="22"/>
          <w:szCs w:val="22"/>
          <w:lang w:val="el-GR"/>
        </w:rPr>
      </w:pPr>
    </w:p>
    <w:p w14:paraId="5FB85C72" w14:textId="77777777" w:rsidR="00171824" w:rsidRDefault="006D258C">
      <w:pPr>
        <w:widowControl/>
        <w:jc w:val="center"/>
        <w:rPr>
          <w:b/>
          <w:sz w:val="22"/>
          <w:lang w:val="el-GR"/>
        </w:rPr>
      </w:pPr>
      <w:r>
        <w:rPr>
          <w:b/>
          <w:sz w:val="22"/>
          <w:lang w:val="el-GR"/>
        </w:rPr>
        <w:t>ΠΑΡΑΡΤΗΜΑ ΙΙΙ</w:t>
      </w:r>
    </w:p>
    <w:p w14:paraId="3EBF7CF9" w14:textId="77777777" w:rsidR="00171824" w:rsidRDefault="00171824">
      <w:pPr>
        <w:widowControl/>
        <w:jc w:val="center"/>
        <w:rPr>
          <w:sz w:val="22"/>
          <w:lang w:val="el-GR"/>
        </w:rPr>
      </w:pPr>
    </w:p>
    <w:p w14:paraId="532A2416" w14:textId="77777777" w:rsidR="00171824" w:rsidRDefault="006D258C">
      <w:pPr>
        <w:widowControl/>
        <w:jc w:val="center"/>
        <w:rPr>
          <w:b/>
          <w:sz w:val="22"/>
          <w:lang w:val="el-GR"/>
        </w:rPr>
      </w:pPr>
      <w:r>
        <w:rPr>
          <w:b/>
          <w:sz w:val="22"/>
          <w:lang w:val="el-GR"/>
        </w:rPr>
        <w:t>ΕΠΙΣΗΜΑΝΣΗ ΚΑΙ ΦΥΛΛΟ ΟΔΗΓΙΩΝ ΧΡΗΣ</w:t>
      </w:r>
      <w:r>
        <w:rPr>
          <w:b/>
          <w:sz w:val="22"/>
          <w:szCs w:val="22"/>
          <w:lang w:val="el-GR"/>
        </w:rPr>
        <w:t>H</w:t>
      </w:r>
      <w:r>
        <w:rPr>
          <w:b/>
          <w:sz w:val="22"/>
          <w:lang w:val="el-GR"/>
        </w:rPr>
        <w:t>Σ</w:t>
      </w:r>
    </w:p>
    <w:p w14:paraId="12B752B6" w14:textId="77777777" w:rsidR="00171824" w:rsidRDefault="006D258C">
      <w:pPr>
        <w:widowControl/>
        <w:outlineLvl w:val="0"/>
        <w:rPr>
          <w:rFonts w:eastAsia="PMingLiU"/>
          <w:b/>
          <w:sz w:val="22"/>
          <w:szCs w:val="22"/>
          <w:lang w:val="el-GR"/>
        </w:rPr>
      </w:pPr>
      <w:r>
        <w:rPr>
          <w:b/>
          <w:bCs/>
          <w:sz w:val="20"/>
          <w:szCs w:val="22"/>
          <w:lang w:val="el-GR"/>
        </w:rPr>
        <w:br w:type="page"/>
      </w:r>
    </w:p>
    <w:p w14:paraId="1DECC71E" w14:textId="77777777" w:rsidR="00171824" w:rsidRDefault="00171824">
      <w:pPr>
        <w:widowControl/>
        <w:tabs>
          <w:tab w:val="left" w:pos="567"/>
        </w:tabs>
        <w:autoSpaceDE/>
        <w:autoSpaceDN/>
        <w:adjustRightInd/>
        <w:outlineLvl w:val="0"/>
        <w:rPr>
          <w:rFonts w:eastAsia="PMingLiU"/>
          <w:b/>
          <w:sz w:val="22"/>
          <w:szCs w:val="22"/>
          <w:lang w:val="el-GR"/>
        </w:rPr>
      </w:pPr>
    </w:p>
    <w:p w14:paraId="1F9F89D1" w14:textId="77777777" w:rsidR="00171824" w:rsidRDefault="00171824">
      <w:pPr>
        <w:widowControl/>
        <w:tabs>
          <w:tab w:val="left" w:pos="567"/>
        </w:tabs>
        <w:autoSpaceDE/>
        <w:autoSpaceDN/>
        <w:adjustRightInd/>
        <w:outlineLvl w:val="0"/>
        <w:rPr>
          <w:rFonts w:eastAsia="PMingLiU"/>
          <w:b/>
          <w:sz w:val="22"/>
          <w:szCs w:val="22"/>
          <w:lang w:val="el-GR"/>
        </w:rPr>
      </w:pPr>
    </w:p>
    <w:p w14:paraId="4676C814" w14:textId="77777777" w:rsidR="00171824" w:rsidRDefault="00171824">
      <w:pPr>
        <w:widowControl/>
        <w:tabs>
          <w:tab w:val="left" w:pos="567"/>
        </w:tabs>
        <w:autoSpaceDE/>
        <w:autoSpaceDN/>
        <w:adjustRightInd/>
        <w:outlineLvl w:val="0"/>
        <w:rPr>
          <w:rFonts w:eastAsia="PMingLiU"/>
          <w:b/>
          <w:sz w:val="22"/>
          <w:szCs w:val="22"/>
          <w:lang w:val="el-GR"/>
        </w:rPr>
      </w:pPr>
    </w:p>
    <w:p w14:paraId="55E68719" w14:textId="77777777" w:rsidR="00171824" w:rsidRDefault="00171824">
      <w:pPr>
        <w:widowControl/>
        <w:tabs>
          <w:tab w:val="left" w:pos="567"/>
        </w:tabs>
        <w:autoSpaceDE/>
        <w:autoSpaceDN/>
        <w:adjustRightInd/>
        <w:outlineLvl w:val="0"/>
        <w:rPr>
          <w:rFonts w:eastAsia="PMingLiU"/>
          <w:b/>
          <w:sz w:val="22"/>
          <w:szCs w:val="22"/>
          <w:lang w:val="el-GR"/>
        </w:rPr>
      </w:pPr>
    </w:p>
    <w:p w14:paraId="07D9B023" w14:textId="77777777" w:rsidR="00171824" w:rsidRDefault="00171824">
      <w:pPr>
        <w:widowControl/>
        <w:tabs>
          <w:tab w:val="left" w:pos="567"/>
        </w:tabs>
        <w:autoSpaceDE/>
        <w:autoSpaceDN/>
        <w:adjustRightInd/>
        <w:outlineLvl w:val="0"/>
        <w:rPr>
          <w:rFonts w:eastAsia="PMingLiU"/>
          <w:b/>
          <w:sz w:val="22"/>
          <w:szCs w:val="22"/>
          <w:lang w:val="el-GR"/>
        </w:rPr>
      </w:pPr>
    </w:p>
    <w:p w14:paraId="4546F153" w14:textId="77777777" w:rsidR="00171824" w:rsidRDefault="00171824">
      <w:pPr>
        <w:widowControl/>
        <w:tabs>
          <w:tab w:val="left" w:pos="567"/>
        </w:tabs>
        <w:autoSpaceDE/>
        <w:autoSpaceDN/>
        <w:adjustRightInd/>
        <w:outlineLvl w:val="0"/>
        <w:rPr>
          <w:rFonts w:eastAsia="PMingLiU"/>
          <w:b/>
          <w:sz w:val="22"/>
          <w:szCs w:val="22"/>
          <w:lang w:val="el-GR"/>
        </w:rPr>
      </w:pPr>
    </w:p>
    <w:p w14:paraId="4DA4E959" w14:textId="77777777" w:rsidR="00171824" w:rsidRDefault="00171824">
      <w:pPr>
        <w:widowControl/>
        <w:tabs>
          <w:tab w:val="left" w:pos="567"/>
        </w:tabs>
        <w:autoSpaceDE/>
        <w:autoSpaceDN/>
        <w:adjustRightInd/>
        <w:outlineLvl w:val="0"/>
        <w:rPr>
          <w:rFonts w:eastAsia="PMingLiU"/>
          <w:b/>
          <w:sz w:val="22"/>
          <w:szCs w:val="22"/>
          <w:lang w:val="el-GR"/>
        </w:rPr>
      </w:pPr>
    </w:p>
    <w:p w14:paraId="4A98E043" w14:textId="77777777" w:rsidR="00171824" w:rsidRDefault="00171824">
      <w:pPr>
        <w:widowControl/>
        <w:tabs>
          <w:tab w:val="left" w:pos="567"/>
        </w:tabs>
        <w:autoSpaceDE/>
        <w:autoSpaceDN/>
        <w:adjustRightInd/>
        <w:outlineLvl w:val="0"/>
        <w:rPr>
          <w:rFonts w:eastAsia="PMingLiU"/>
          <w:b/>
          <w:sz w:val="22"/>
          <w:szCs w:val="22"/>
          <w:lang w:val="el-GR"/>
        </w:rPr>
      </w:pPr>
    </w:p>
    <w:p w14:paraId="65E03784" w14:textId="77777777" w:rsidR="00171824" w:rsidRDefault="00171824">
      <w:pPr>
        <w:widowControl/>
        <w:tabs>
          <w:tab w:val="left" w:pos="567"/>
        </w:tabs>
        <w:autoSpaceDE/>
        <w:autoSpaceDN/>
        <w:adjustRightInd/>
        <w:outlineLvl w:val="0"/>
        <w:rPr>
          <w:rFonts w:eastAsia="PMingLiU"/>
          <w:b/>
          <w:sz w:val="22"/>
          <w:szCs w:val="22"/>
          <w:lang w:val="el-GR"/>
        </w:rPr>
      </w:pPr>
    </w:p>
    <w:p w14:paraId="65BEA03D" w14:textId="77777777" w:rsidR="00171824" w:rsidRDefault="00171824">
      <w:pPr>
        <w:widowControl/>
        <w:tabs>
          <w:tab w:val="left" w:pos="567"/>
        </w:tabs>
        <w:autoSpaceDE/>
        <w:autoSpaceDN/>
        <w:adjustRightInd/>
        <w:outlineLvl w:val="0"/>
        <w:rPr>
          <w:rFonts w:eastAsia="PMingLiU"/>
          <w:b/>
          <w:sz w:val="22"/>
          <w:szCs w:val="22"/>
          <w:lang w:val="el-GR"/>
        </w:rPr>
      </w:pPr>
    </w:p>
    <w:p w14:paraId="5D162378" w14:textId="77777777" w:rsidR="00171824" w:rsidRDefault="00171824">
      <w:pPr>
        <w:widowControl/>
        <w:tabs>
          <w:tab w:val="left" w:pos="567"/>
        </w:tabs>
        <w:autoSpaceDE/>
        <w:autoSpaceDN/>
        <w:adjustRightInd/>
        <w:outlineLvl w:val="0"/>
        <w:rPr>
          <w:rFonts w:eastAsia="PMingLiU"/>
          <w:b/>
          <w:sz w:val="22"/>
          <w:szCs w:val="22"/>
          <w:lang w:val="el-GR"/>
        </w:rPr>
      </w:pPr>
    </w:p>
    <w:p w14:paraId="355B8E3B" w14:textId="77777777" w:rsidR="00171824" w:rsidRDefault="00171824">
      <w:pPr>
        <w:widowControl/>
        <w:tabs>
          <w:tab w:val="left" w:pos="567"/>
        </w:tabs>
        <w:autoSpaceDE/>
        <w:autoSpaceDN/>
        <w:adjustRightInd/>
        <w:outlineLvl w:val="0"/>
        <w:rPr>
          <w:rFonts w:eastAsia="PMingLiU"/>
          <w:b/>
          <w:sz w:val="22"/>
          <w:szCs w:val="22"/>
          <w:lang w:val="el-GR"/>
        </w:rPr>
      </w:pPr>
    </w:p>
    <w:p w14:paraId="146C4CE5" w14:textId="77777777" w:rsidR="00171824" w:rsidRDefault="00171824">
      <w:pPr>
        <w:widowControl/>
        <w:tabs>
          <w:tab w:val="left" w:pos="567"/>
        </w:tabs>
        <w:autoSpaceDE/>
        <w:autoSpaceDN/>
        <w:adjustRightInd/>
        <w:outlineLvl w:val="0"/>
        <w:rPr>
          <w:rFonts w:eastAsia="PMingLiU"/>
          <w:b/>
          <w:sz w:val="22"/>
          <w:szCs w:val="22"/>
          <w:lang w:val="el-GR"/>
        </w:rPr>
      </w:pPr>
    </w:p>
    <w:p w14:paraId="19CEB068" w14:textId="77777777" w:rsidR="00171824" w:rsidRDefault="00171824">
      <w:pPr>
        <w:widowControl/>
        <w:tabs>
          <w:tab w:val="left" w:pos="567"/>
        </w:tabs>
        <w:autoSpaceDE/>
        <w:autoSpaceDN/>
        <w:adjustRightInd/>
        <w:outlineLvl w:val="0"/>
        <w:rPr>
          <w:rFonts w:eastAsia="PMingLiU"/>
          <w:b/>
          <w:sz w:val="22"/>
          <w:szCs w:val="22"/>
          <w:lang w:val="el-GR"/>
        </w:rPr>
      </w:pPr>
    </w:p>
    <w:p w14:paraId="295236A3" w14:textId="77777777" w:rsidR="00171824" w:rsidRDefault="00171824">
      <w:pPr>
        <w:widowControl/>
        <w:tabs>
          <w:tab w:val="left" w:pos="567"/>
        </w:tabs>
        <w:autoSpaceDE/>
        <w:autoSpaceDN/>
        <w:adjustRightInd/>
        <w:outlineLvl w:val="0"/>
        <w:rPr>
          <w:rFonts w:eastAsia="PMingLiU"/>
          <w:b/>
          <w:sz w:val="22"/>
          <w:szCs w:val="22"/>
          <w:lang w:val="el-GR"/>
        </w:rPr>
      </w:pPr>
    </w:p>
    <w:p w14:paraId="5206CF2D" w14:textId="77777777" w:rsidR="00171824" w:rsidRDefault="00171824">
      <w:pPr>
        <w:widowControl/>
        <w:tabs>
          <w:tab w:val="left" w:pos="567"/>
        </w:tabs>
        <w:autoSpaceDE/>
        <w:autoSpaceDN/>
        <w:adjustRightInd/>
        <w:outlineLvl w:val="0"/>
        <w:rPr>
          <w:rFonts w:eastAsia="PMingLiU"/>
          <w:b/>
          <w:sz w:val="22"/>
          <w:szCs w:val="22"/>
          <w:lang w:val="el-GR"/>
        </w:rPr>
      </w:pPr>
    </w:p>
    <w:p w14:paraId="6A46C185" w14:textId="77777777" w:rsidR="00171824" w:rsidRDefault="00171824">
      <w:pPr>
        <w:widowControl/>
        <w:tabs>
          <w:tab w:val="left" w:pos="567"/>
        </w:tabs>
        <w:autoSpaceDE/>
        <w:autoSpaceDN/>
        <w:adjustRightInd/>
        <w:outlineLvl w:val="0"/>
        <w:rPr>
          <w:rFonts w:eastAsia="PMingLiU"/>
          <w:b/>
          <w:sz w:val="22"/>
          <w:szCs w:val="22"/>
          <w:lang w:val="el-GR"/>
        </w:rPr>
      </w:pPr>
    </w:p>
    <w:p w14:paraId="377AF2CB" w14:textId="77777777" w:rsidR="00171824" w:rsidRDefault="00171824">
      <w:pPr>
        <w:widowControl/>
        <w:tabs>
          <w:tab w:val="left" w:pos="567"/>
        </w:tabs>
        <w:autoSpaceDE/>
        <w:autoSpaceDN/>
        <w:adjustRightInd/>
        <w:outlineLvl w:val="0"/>
        <w:rPr>
          <w:rFonts w:eastAsia="PMingLiU"/>
          <w:b/>
          <w:sz w:val="22"/>
          <w:szCs w:val="22"/>
          <w:lang w:val="el-GR"/>
        </w:rPr>
      </w:pPr>
    </w:p>
    <w:p w14:paraId="02C129AB" w14:textId="77777777" w:rsidR="00171824" w:rsidRDefault="00171824">
      <w:pPr>
        <w:widowControl/>
        <w:tabs>
          <w:tab w:val="left" w:pos="567"/>
        </w:tabs>
        <w:autoSpaceDE/>
        <w:autoSpaceDN/>
        <w:adjustRightInd/>
        <w:outlineLvl w:val="0"/>
        <w:rPr>
          <w:rFonts w:eastAsia="PMingLiU"/>
          <w:b/>
          <w:sz w:val="22"/>
          <w:szCs w:val="22"/>
          <w:lang w:val="el-GR"/>
        </w:rPr>
      </w:pPr>
    </w:p>
    <w:p w14:paraId="47684961" w14:textId="77777777" w:rsidR="00171824" w:rsidRDefault="00171824">
      <w:pPr>
        <w:widowControl/>
        <w:tabs>
          <w:tab w:val="left" w:pos="567"/>
        </w:tabs>
        <w:autoSpaceDE/>
        <w:autoSpaceDN/>
        <w:adjustRightInd/>
        <w:outlineLvl w:val="0"/>
        <w:rPr>
          <w:rFonts w:eastAsia="PMingLiU"/>
          <w:b/>
          <w:sz w:val="22"/>
          <w:szCs w:val="22"/>
          <w:lang w:val="el-GR"/>
        </w:rPr>
      </w:pPr>
    </w:p>
    <w:p w14:paraId="06D3FA4B" w14:textId="77777777" w:rsidR="00171824" w:rsidRDefault="00171824">
      <w:pPr>
        <w:widowControl/>
        <w:tabs>
          <w:tab w:val="left" w:pos="567"/>
        </w:tabs>
        <w:autoSpaceDE/>
        <w:autoSpaceDN/>
        <w:adjustRightInd/>
        <w:outlineLvl w:val="0"/>
        <w:rPr>
          <w:rFonts w:eastAsia="PMingLiU"/>
          <w:b/>
          <w:sz w:val="22"/>
          <w:szCs w:val="22"/>
          <w:lang w:val="el-GR"/>
        </w:rPr>
      </w:pPr>
    </w:p>
    <w:p w14:paraId="0D35B085" w14:textId="77777777" w:rsidR="00171824" w:rsidRDefault="00171824">
      <w:pPr>
        <w:widowControl/>
        <w:tabs>
          <w:tab w:val="left" w:pos="567"/>
        </w:tabs>
        <w:autoSpaceDE/>
        <w:autoSpaceDN/>
        <w:adjustRightInd/>
        <w:outlineLvl w:val="0"/>
        <w:rPr>
          <w:rFonts w:eastAsia="PMingLiU"/>
          <w:b/>
          <w:sz w:val="22"/>
          <w:szCs w:val="22"/>
          <w:lang w:val="el-GR"/>
        </w:rPr>
      </w:pPr>
    </w:p>
    <w:p w14:paraId="5FC1844E" w14:textId="77777777" w:rsidR="00171824" w:rsidRDefault="006D258C">
      <w:pPr>
        <w:pStyle w:val="TitleA"/>
        <w:widowControl/>
        <w:rPr>
          <w:rFonts w:eastAsia="PMingLiU"/>
          <w:szCs w:val="22"/>
        </w:rPr>
      </w:pPr>
      <w:r>
        <w:rPr>
          <w:rFonts w:eastAsia="PMingLiU"/>
          <w:szCs w:val="22"/>
        </w:rPr>
        <w:t xml:space="preserve">A. </w:t>
      </w:r>
      <w:r>
        <w:t>ΕΠΙΣΗΜΑΝΣΗ</w:t>
      </w:r>
    </w:p>
    <w:p w14:paraId="1DFD81B3" w14:textId="77777777" w:rsidR="00171824" w:rsidRDefault="006D258C">
      <w:pPr>
        <w:widowControl/>
        <w:tabs>
          <w:tab w:val="left" w:pos="567"/>
        </w:tabs>
        <w:rPr>
          <w:rFonts w:eastAsia="PMingLiU"/>
          <w:b/>
          <w:sz w:val="22"/>
          <w:szCs w:val="22"/>
          <w:lang w:val="el-GR" w:bidi="en-US"/>
        </w:rPr>
      </w:pPr>
      <w:r>
        <w:rPr>
          <w:rFonts w:eastAsia="PMingLiU"/>
          <w:sz w:val="22"/>
          <w:szCs w:val="22"/>
          <w:lang w:val="el-GR"/>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171824" w14:paraId="65B3F6C7" w14:textId="77777777">
        <w:tc>
          <w:tcPr>
            <w:tcW w:w="9287" w:type="dxa"/>
          </w:tcPr>
          <w:p w14:paraId="21656FF2" w14:textId="77777777" w:rsidR="00171824" w:rsidRDefault="006D258C">
            <w:pPr>
              <w:widowControl/>
              <w:tabs>
                <w:tab w:val="left" w:pos="567"/>
              </w:tabs>
              <w:autoSpaceDE/>
              <w:autoSpaceDN/>
              <w:adjustRightInd/>
              <w:rPr>
                <w:rFonts w:eastAsia="Arial Unicode MS" w:cs="Arial Unicode MS"/>
                <w:b/>
                <w:sz w:val="22"/>
                <w:szCs w:val="22"/>
                <w:lang w:val="el-GR" w:bidi="en-US"/>
              </w:rPr>
            </w:pPr>
            <w:r>
              <w:rPr>
                <w:rFonts w:eastAsia="Arial Unicode MS" w:cs="Arial Unicode MS"/>
                <w:b/>
                <w:sz w:val="22"/>
                <w:szCs w:val="22"/>
                <w:lang w:val="el-GR" w:bidi="en-US"/>
              </w:rPr>
              <w:lastRenderedPageBreak/>
              <w:t>ΕΝΔΕΙΞΕΙΣ ΠΟΥ ΠΡΕΠΕΙ ΝΑ ΑΝΑΓΡΑΦΟΝΤΑΙ ΣΤΗΝ ΕΞΩΤΕΡΙΚΗ ΣΥΣΚΕΥΑΣΙΑ</w:t>
            </w:r>
          </w:p>
          <w:p w14:paraId="4B844811"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2CCD9403" w14:textId="77777777" w:rsidR="00171824" w:rsidRDefault="006D258C">
            <w:pPr>
              <w:widowControl/>
              <w:tabs>
                <w:tab w:val="left" w:pos="567"/>
              </w:tabs>
              <w:autoSpaceDE/>
              <w:autoSpaceDN/>
              <w:adjustRightInd/>
              <w:rPr>
                <w:rFonts w:eastAsia="PMingLiU"/>
                <w:sz w:val="22"/>
                <w:szCs w:val="20"/>
                <w:lang w:val="el-GR"/>
              </w:rPr>
            </w:pPr>
            <w:r>
              <w:rPr>
                <w:rFonts w:eastAsia="Arial Unicode MS" w:cs="Arial Unicode MS"/>
                <w:b/>
                <w:sz w:val="22"/>
                <w:szCs w:val="22"/>
                <w:lang w:val="el-GR" w:bidi="en-US"/>
              </w:rPr>
              <w:t>ΚΟΥΤΙ ΠΡΟΓΕΜΙΣΜΕΝΗΣ ΣΥΡΙΓΓΑΣ</w:t>
            </w:r>
          </w:p>
        </w:tc>
      </w:tr>
    </w:tbl>
    <w:p w14:paraId="440F1945" w14:textId="77777777" w:rsidR="00171824" w:rsidRDefault="00171824">
      <w:pPr>
        <w:widowControl/>
        <w:tabs>
          <w:tab w:val="left" w:pos="567"/>
        </w:tabs>
        <w:autoSpaceDE/>
        <w:autoSpaceDN/>
        <w:adjustRightInd/>
        <w:rPr>
          <w:rFonts w:eastAsia="PMingLiU"/>
          <w:sz w:val="22"/>
          <w:szCs w:val="20"/>
          <w:lang w:val="el-GR"/>
        </w:rPr>
      </w:pPr>
    </w:p>
    <w:p w14:paraId="124931E7" w14:textId="77777777" w:rsidR="00171824" w:rsidRDefault="00171824">
      <w:pPr>
        <w:widowControl/>
        <w:tabs>
          <w:tab w:val="left" w:pos="567"/>
        </w:tabs>
        <w:autoSpaceDE/>
        <w:autoSpaceDN/>
        <w:adjustRightInd/>
        <w:rPr>
          <w:rFonts w:eastAsia="PMingLiU"/>
          <w:sz w:val="22"/>
          <w:szCs w:val="22"/>
          <w:lang w:val="el-GR"/>
        </w:rPr>
      </w:pPr>
    </w:p>
    <w:p w14:paraId="1D0C297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76A04738" w14:textId="77777777" w:rsidR="00171824" w:rsidRDefault="00171824">
      <w:pPr>
        <w:widowControl/>
        <w:tabs>
          <w:tab w:val="left" w:pos="567"/>
        </w:tabs>
        <w:autoSpaceDE/>
        <w:autoSpaceDN/>
        <w:adjustRightInd/>
        <w:rPr>
          <w:rFonts w:eastAsia="PMingLiU"/>
          <w:sz w:val="22"/>
          <w:szCs w:val="22"/>
          <w:lang w:val="el-GR"/>
        </w:rPr>
      </w:pPr>
    </w:p>
    <w:p w14:paraId="7DD932F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20 mg ενέσιμο</w:t>
      </w:r>
      <w:r>
        <w:rPr>
          <w:rFonts w:eastAsia="Arial Unicode MS" w:cs="Arial Unicode MS"/>
          <w:sz w:val="22"/>
          <w:szCs w:val="20"/>
          <w:lang w:val="el-GR" w:bidi="en-US"/>
        </w:rPr>
        <w:t xml:space="preserve"> διάλυμα </w:t>
      </w:r>
      <w:r>
        <w:rPr>
          <w:rFonts w:eastAsia="Arial Unicode MS" w:cs="Arial Unicode MS"/>
          <w:sz w:val="22"/>
          <w:szCs w:val="22"/>
          <w:lang w:val="el-GR" w:bidi="en-US"/>
        </w:rPr>
        <w:t>σε προγεμισμένη σύριγγα</w:t>
      </w:r>
    </w:p>
    <w:p w14:paraId="108619A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w:t>
      </w:r>
      <w:r>
        <w:rPr>
          <w:rFonts w:eastAsia="Arial Unicode MS" w:cs="Arial Unicode MS"/>
          <w:sz w:val="22"/>
          <w:szCs w:val="20"/>
          <w:lang w:val="el-GR" w:bidi="en-US"/>
        </w:rPr>
        <w:t>lim</w:t>
      </w:r>
      <w:r>
        <w:rPr>
          <w:rFonts w:eastAsia="Arial Unicode MS" w:cs="Arial Unicode MS"/>
          <w:sz w:val="22"/>
          <w:szCs w:val="22"/>
          <w:lang w:val="el-GR" w:bidi="en-US"/>
        </w:rPr>
        <w:t>u</w:t>
      </w:r>
      <w:r>
        <w:rPr>
          <w:rFonts w:eastAsia="Arial Unicode MS" w:cs="Arial Unicode MS"/>
          <w:sz w:val="22"/>
          <w:szCs w:val="20"/>
          <w:lang w:val="el-GR" w:bidi="en-US"/>
        </w:rPr>
        <w:t>m</w:t>
      </w:r>
      <w:r>
        <w:rPr>
          <w:rFonts w:eastAsia="Arial Unicode MS" w:cs="Arial Unicode MS"/>
          <w:sz w:val="22"/>
          <w:szCs w:val="22"/>
          <w:lang w:val="el-GR" w:bidi="en-US"/>
        </w:rPr>
        <w:t>ab</w:t>
      </w:r>
    </w:p>
    <w:p w14:paraId="039324B7" w14:textId="77777777" w:rsidR="00171824" w:rsidRDefault="00171824">
      <w:pPr>
        <w:widowControl/>
        <w:tabs>
          <w:tab w:val="left" w:pos="567"/>
        </w:tabs>
        <w:autoSpaceDE/>
        <w:autoSpaceDN/>
        <w:adjustRightInd/>
        <w:rPr>
          <w:rFonts w:eastAsia="PMingLiU"/>
          <w:sz w:val="22"/>
          <w:szCs w:val="22"/>
          <w:lang w:val="el-GR"/>
        </w:rPr>
      </w:pPr>
    </w:p>
    <w:p w14:paraId="3EF43C6C" w14:textId="77777777" w:rsidR="00171824" w:rsidRDefault="00171824">
      <w:pPr>
        <w:widowControl/>
        <w:tabs>
          <w:tab w:val="left" w:pos="567"/>
        </w:tabs>
        <w:autoSpaceDE/>
        <w:autoSpaceDN/>
        <w:adjustRightInd/>
        <w:rPr>
          <w:rFonts w:eastAsia="PMingLiU"/>
          <w:sz w:val="22"/>
          <w:szCs w:val="22"/>
          <w:lang w:val="el-GR"/>
        </w:rPr>
      </w:pPr>
    </w:p>
    <w:p w14:paraId="3ABEE11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47CCF6E2" w14:textId="77777777" w:rsidR="00171824" w:rsidRDefault="00171824">
      <w:pPr>
        <w:widowControl/>
        <w:tabs>
          <w:tab w:val="left" w:pos="567"/>
        </w:tabs>
        <w:autoSpaceDE/>
        <w:autoSpaceDN/>
        <w:adjustRightInd/>
        <w:rPr>
          <w:rFonts w:eastAsia="PMingLiU"/>
          <w:sz w:val="22"/>
          <w:szCs w:val="22"/>
          <w:lang w:val="el-GR"/>
        </w:rPr>
      </w:pPr>
    </w:p>
    <w:p w14:paraId="1D280E4D" w14:textId="77777777" w:rsidR="00171824" w:rsidRDefault="006D258C">
      <w:pPr>
        <w:widowControl/>
        <w:suppressLineNumbers/>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20 mg adalimumab σε διάλυμα 0,4 ml.</w:t>
      </w:r>
    </w:p>
    <w:p w14:paraId="24B95D6A" w14:textId="77777777" w:rsidR="00171824" w:rsidRDefault="00171824">
      <w:pPr>
        <w:widowControl/>
        <w:tabs>
          <w:tab w:val="left" w:pos="567"/>
        </w:tabs>
        <w:autoSpaceDE/>
        <w:autoSpaceDN/>
        <w:adjustRightInd/>
        <w:rPr>
          <w:rFonts w:eastAsia="PMingLiU"/>
          <w:sz w:val="22"/>
          <w:szCs w:val="22"/>
          <w:lang w:val="el-GR"/>
        </w:rPr>
      </w:pPr>
    </w:p>
    <w:p w14:paraId="7641833F" w14:textId="77777777" w:rsidR="00171824" w:rsidRDefault="00171824">
      <w:pPr>
        <w:widowControl/>
        <w:tabs>
          <w:tab w:val="left" w:pos="567"/>
        </w:tabs>
        <w:autoSpaceDE/>
        <w:autoSpaceDN/>
        <w:adjustRightInd/>
        <w:rPr>
          <w:rFonts w:eastAsia="PMingLiU"/>
          <w:sz w:val="22"/>
          <w:szCs w:val="22"/>
          <w:lang w:val="el-GR"/>
        </w:rPr>
      </w:pPr>
    </w:p>
    <w:p w14:paraId="4A54FCA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396C5FF7" w14:textId="77777777" w:rsidR="00171824" w:rsidRDefault="00171824">
      <w:pPr>
        <w:widowControl/>
        <w:tabs>
          <w:tab w:val="left" w:pos="567"/>
        </w:tabs>
        <w:autoSpaceDE/>
        <w:autoSpaceDN/>
        <w:adjustRightInd/>
        <w:rPr>
          <w:rFonts w:eastAsia="PMingLiU"/>
          <w:sz w:val="22"/>
          <w:szCs w:val="22"/>
          <w:lang w:val="el-GR"/>
        </w:rPr>
      </w:pPr>
    </w:p>
    <w:p w14:paraId="0DAA5868"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 xml:space="preserve">Κρυσταλλικό οξικό οξύ, σακχαρόζη, πολυσορβικό 80, υδροξείδιο του νατρίου και ενέσιμο ύδωρ. </w:t>
      </w:r>
    </w:p>
    <w:p w14:paraId="5B0E40CE" w14:textId="77777777" w:rsidR="00171824" w:rsidRDefault="00171824">
      <w:pPr>
        <w:widowControl/>
        <w:tabs>
          <w:tab w:val="left" w:pos="567"/>
        </w:tabs>
        <w:autoSpaceDE/>
        <w:autoSpaceDN/>
        <w:adjustRightInd/>
        <w:rPr>
          <w:rFonts w:eastAsia="PMingLiU"/>
          <w:sz w:val="22"/>
          <w:szCs w:val="22"/>
          <w:lang w:val="el-GR"/>
        </w:rPr>
      </w:pPr>
    </w:p>
    <w:p w14:paraId="4CD9136D" w14:textId="77777777" w:rsidR="00171824" w:rsidRDefault="00171824">
      <w:pPr>
        <w:widowControl/>
        <w:tabs>
          <w:tab w:val="left" w:pos="567"/>
        </w:tabs>
        <w:autoSpaceDE/>
        <w:autoSpaceDN/>
        <w:adjustRightInd/>
        <w:rPr>
          <w:rFonts w:eastAsia="PMingLiU"/>
          <w:sz w:val="22"/>
          <w:szCs w:val="22"/>
          <w:lang w:val="el-GR"/>
        </w:rPr>
      </w:pPr>
    </w:p>
    <w:p w14:paraId="3ECB085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0E0C30AD" w14:textId="77777777" w:rsidR="00171824" w:rsidRDefault="00171824">
      <w:pPr>
        <w:widowControl/>
        <w:tabs>
          <w:tab w:val="left" w:pos="567"/>
        </w:tabs>
        <w:autoSpaceDE/>
        <w:autoSpaceDN/>
        <w:adjustRightInd/>
        <w:rPr>
          <w:rFonts w:eastAsia="PMingLiU"/>
          <w:sz w:val="22"/>
          <w:szCs w:val="22"/>
          <w:lang w:val="el-GR"/>
        </w:rPr>
      </w:pPr>
    </w:p>
    <w:p w14:paraId="04B4175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highlight w:val="lightGray"/>
          <w:lang w:val="el-GR" w:bidi="en-US"/>
        </w:rPr>
        <w:t>Eνέσιμο διάλυμα</w:t>
      </w:r>
    </w:p>
    <w:p w14:paraId="0BF145AC" w14:textId="77777777" w:rsidR="00171824" w:rsidRDefault="006D258C">
      <w:pPr>
        <w:rPr>
          <w:sz w:val="22"/>
          <w:szCs w:val="22"/>
          <w:lang w:val="el-GR"/>
        </w:rPr>
      </w:pPr>
      <w:r>
        <w:rPr>
          <w:sz w:val="22"/>
          <w:szCs w:val="22"/>
          <w:lang w:val="el-GR"/>
        </w:rPr>
        <w:t>20 mg/0,4 ml</w:t>
      </w:r>
    </w:p>
    <w:p w14:paraId="420A86C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1 προγεμισμένη σύριγγα.</w:t>
      </w:r>
    </w:p>
    <w:p w14:paraId="28E0D848" w14:textId="77777777" w:rsidR="00171824" w:rsidRDefault="00171824">
      <w:pPr>
        <w:widowControl/>
        <w:tabs>
          <w:tab w:val="left" w:pos="567"/>
        </w:tabs>
        <w:autoSpaceDE/>
        <w:autoSpaceDN/>
        <w:adjustRightInd/>
        <w:rPr>
          <w:rFonts w:eastAsia="PMingLiU"/>
          <w:sz w:val="22"/>
          <w:szCs w:val="22"/>
          <w:lang w:val="el-GR"/>
        </w:rPr>
      </w:pPr>
    </w:p>
    <w:p w14:paraId="54D61C25" w14:textId="77777777" w:rsidR="00171824" w:rsidRDefault="00171824">
      <w:pPr>
        <w:widowControl/>
        <w:tabs>
          <w:tab w:val="left" w:pos="567"/>
        </w:tabs>
        <w:autoSpaceDE/>
        <w:autoSpaceDN/>
        <w:adjustRightInd/>
        <w:rPr>
          <w:rFonts w:eastAsia="PMingLiU"/>
          <w:sz w:val="22"/>
          <w:szCs w:val="22"/>
          <w:lang w:val="el-GR"/>
        </w:rPr>
      </w:pPr>
    </w:p>
    <w:p w14:paraId="3502970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3F699EDF" w14:textId="77777777" w:rsidR="00171824" w:rsidRDefault="00171824">
      <w:pPr>
        <w:widowControl/>
        <w:tabs>
          <w:tab w:val="left" w:pos="567"/>
        </w:tabs>
        <w:autoSpaceDE/>
        <w:autoSpaceDN/>
        <w:adjustRightInd/>
        <w:rPr>
          <w:rFonts w:eastAsia="PMingLiU"/>
          <w:sz w:val="22"/>
          <w:szCs w:val="22"/>
          <w:lang w:val="el-GR"/>
        </w:rPr>
      </w:pPr>
    </w:p>
    <w:p w14:paraId="52009FF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Για υποδόρια χρήση.</w:t>
      </w:r>
    </w:p>
    <w:p w14:paraId="7D06719E" w14:textId="77777777" w:rsidR="00171824" w:rsidRDefault="006D258C">
      <w:pPr>
        <w:widowControl/>
        <w:tabs>
          <w:tab w:val="left" w:pos="567"/>
        </w:tabs>
        <w:autoSpaceDE/>
        <w:autoSpaceDN/>
        <w:adjustRightInd/>
        <w:rPr>
          <w:rFonts w:eastAsia="PMingLiU"/>
          <w:b/>
          <w:sz w:val="22"/>
          <w:szCs w:val="20"/>
          <w:lang w:val="el-GR" w:bidi="en-US"/>
        </w:rPr>
      </w:pPr>
      <w:r>
        <w:rPr>
          <w:rFonts w:eastAsia="Arial Unicode MS" w:cs="Arial Unicode MS"/>
          <w:sz w:val="22"/>
          <w:szCs w:val="22"/>
          <w:lang w:val="el-GR" w:bidi="en-US"/>
        </w:rPr>
        <w:t xml:space="preserve">Διαβάστε </w:t>
      </w:r>
      <w:r>
        <w:rPr>
          <w:rFonts w:eastAsia="Arial Unicode MS" w:cs="Arial Unicode MS"/>
          <w:sz w:val="22"/>
          <w:szCs w:val="20"/>
          <w:lang w:val="el-GR" w:bidi="en-US"/>
        </w:rPr>
        <w:t xml:space="preserve">το </w:t>
      </w:r>
      <w:r>
        <w:rPr>
          <w:rFonts w:eastAsia="Arial Unicode MS" w:cs="Arial Unicode MS"/>
          <w:sz w:val="22"/>
          <w:szCs w:val="22"/>
          <w:lang w:val="el-GR" w:bidi="en-US"/>
        </w:rPr>
        <w:t>φύλλο οδηγιών χρήσης πριν από τη χορήγηση.</w:t>
      </w:r>
    </w:p>
    <w:p w14:paraId="7B41A9E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Mόνο για μία χρήση. </w:t>
      </w:r>
    </w:p>
    <w:p w14:paraId="211F7476" w14:textId="77777777" w:rsidR="00171824" w:rsidRDefault="00171824">
      <w:pPr>
        <w:widowControl/>
        <w:tabs>
          <w:tab w:val="left" w:pos="567"/>
        </w:tabs>
        <w:autoSpaceDE/>
        <w:autoSpaceDN/>
        <w:adjustRightInd/>
        <w:rPr>
          <w:rFonts w:eastAsia="PMingLiU"/>
          <w:sz w:val="22"/>
          <w:szCs w:val="20"/>
          <w:lang w:val="el-GR"/>
        </w:rPr>
      </w:pPr>
    </w:p>
    <w:p w14:paraId="4EC3843F" w14:textId="77777777" w:rsidR="00171824" w:rsidRDefault="00171824">
      <w:pPr>
        <w:widowControl/>
        <w:tabs>
          <w:tab w:val="left" w:pos="567"/>
        </w:tabs>
        <w:autoSpaceDE/>
        <w:autoSpaceDN/>
        <w:adjustRightInd/>
        <w:rPr>
          <w:rFonts w:eastAsia="PMingLiU"/>
          <w:sz w:val="22"/>
          <w:szCs w:val="22"/>
          <w:lang w:val="el-GR"/>
        </w:rPr>
      </w:pPr>
    </w:p>
    <w:p w14:paraId="3DB5334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6B7C6B07" w14:textId="77777777" w:rsidR="00171824" w:rsidRDefault="00171824">
      <w:pPr>
        <w:widowControl/>
        <w:tabs>
          <w:tab w:val="left" w:pos="567"/>
        </w:tabs>
        <w:autoSpaceDE/>
        <w:autoSpaceDN/>
        <w:adjustRightInd/>
        <w:rPr>
          <w:rFonts w:eastAsia="PMingLiU"/>
          <w:sz w:val="22"/>
          <w:szCs w:val="20"/>
          <w:lang w:val="el-GR"/>
        </w:rPr>
      </w:pPr>
    </w:p>
    <w:p w14:paraId="1F22D5A5" w14:textId="77777777" w:rsidR="00171824" w:rsidRDefault="006D258C">
      <w:pPr>
        <w:widowControl/>
        <w:tabs>
          <w:tab w:val="left" w:pos="567"/>
        </w:tabs>
        <w:autoSpaceDE/>
        <w:autoSpaceDN/>
        <w:adjustRightInd/>
        <w:outlineLvl w:val="0"/>
        <w:rPr>
          <w:rFonts w:eastAsia="MS Mincho"/>
          <w:sz w:val="22"/>
          <w:szCs w:val="22"/>
          <w:lang w:val="el-GR" w:bidi="en-US"/>
        </w:rPr>
      </w:pPr>
      <w:r>
        <w:rPr>
          <w:rFonts w:eastAsia="Arial Unicode MS" w:cs="Arial Unicode MS"/>
          <w:sz w:val="22"/>
          <w:szCs w:val="20"/>
          <w:lang w:val="el-GR" w:bidi="en-US"/>
        </w:rPr>
        <w:t>Να φυλάσσεται</w:t>
      </w:r>
      <w:r>
        <w:rPr>
          <w:rFonts w:eastAsia="Arial Unicode MS" w:cs="Arial Unicode MS"/>
          <w:sz w:val="22"/>
          <w:szCs w:val="22"/>
          <w:lang w:val="el-GR" w:bidi="en-US"/>
        </w:rPr>
        <w:t xml:space="preserve"> σε θέση την οποία δεν βλέπουν και δεν προσεγγίζουν τα παιδιά.</w:t>
      </w:r>
    </w:p>
    <w:p w14:paraId="166AD636" w14:textId="77777777" w:rsidR="00171824" w:rsidRDefault="00171824">
      <w:pPr>
        <w:widowControl/>
        <w:tabs>
          <w:tab w:val="left" w:pos="567"/>
        </w:tabs>
        <w:autoSpaceDE/>
        <w:autoSpaceDN/>
        <w:adjustRightInd/>
        <w:rPr>
          <w:rFonts w:eastAsia="PMingLiU"/>
          <w:sz w:val="22"/>
          <w:szCs w:val="22"/>
          <w:lang w:val="el-GR"/>
        </w:rPr>
      </w:pPr>
    </w:p>
    <w:p w14:paraId="1BA8A318" w14:textId="77777777" w:rsidR="00171824" w:rsidRDefault="00171824">
      <w:pPr>
        <w:widowControl/>
        <w:tabs>
          <w:tab w:val="left" w:pos="567"/>
        </w:tabs>
        <w:autoSpaceDE/>
        <w:autoSpaceDN/>
        <w:adjustRightInd/>
        <w:rPr>
          <w:rFonts w:eastAsia="PMingLiU"/>
          <w:sz w:val="22"/>
          <w:szCs w:val="22"/>
          <w:lang w:val="el-GR"/>
        </w:rPr>
      </w:pPr>
    </w:p>
    <w:p w14:paraId="2F85A28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34B870C7" w14:textId="77777777" w:rsidR="00171824" w:rsidRDefault="00171824">
      <w:pPr>
        <w:widowControl/>
        <w:tabs>
          <w:tab w:val="left" w:pos="567"/>
        </w:tabs>
        <w:autoSpaceDE/>
        <w:autoSpaceDN/>
        <w:adjustRightInd/>
        <w:rPr>
          <w:rFonts w:eastAsia="PMingLiU"/>
          <w:sz w:val="22"/>
          <w:szCs w:val="20"/>
          <w:lang w:val="el-GR"/>
        </w:rPr>
      </w:pPr>
    </w:p>
    <w:p w14:paraId="22CB5F6E" w14:textId="77777777" w:rsidR="00171824" w:rsidRDefault="00171824">
      <w:pPr>
        <w:widowControl/>
        <w:tabs>
          <w:tab w:val="left" w:pos="567"/>
          <w:tab w:val="left" w:pos="749"/>
        </w:tabs>
        <w:autoSpaceDE/>
        <w:autoSpaceDN/>
        <w:adjustRightInd/>
        <w:rPr>
          <w:rFonts w:eastAsia="PMingLiU"/>
          <w:sz w:val="22"/>
          <w:szCs w:val="20"/>
          <w:lang w:val="el-GR"/>
        </w:rPr>
      </w:pPr>
    </w:p>
    <w:p w14:paraId="6F18D05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25FD30C3" w14:textId="77777777" w:rsidR="00171824" w:rsidRDefault="00171824">
      <w:pPr>
        <w:widowControl/>
        <w:tabs>
          <w:tab w:val="left" w:pos="567"/>
        </w:tabs>
        <w:autoSpaceDE/>
        <w:autoSpaceDN/>
        <w:adjustRightInd/>
        <w:rPr>
          <w:rFonts w:eastAsia="PMingLiU"/>
          <w:sz w:val="22"/>
          <w:szCs w:val="20"/>
          <w:lang w:val="el-GR"/>
        </w:rPr>
      </w:pPr>
    </w:p>
    <w:p w14:paraId="7D446142"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2"/>
          <w:lang w:val="el-GR" w:bidi="en-US"/>
        </w:rPr>
        <w:t xml:space="preserve">ΛΗΞΗ </w:t>
      </w:r>
    </w:p>
    <w:p w14:paraId="43541890" w14:textId="77777777" w:rsidR="00171824" w:rsidRDefault="00171824">
      <w:pPr>
        <w:widowControl/>
        <w:tabs>
          <w:tab w:val="left" w:pos="567"/>
        </w:tabs>
        <w:autoSpaceDE/>
        <w:autoSpaceDN/>
        <w:adjustRightInd/>
        <w:rPr>
          <w:rFonts w:eastAsia="PMingLiU"/>
          <w:sz w:val="22"/>
          <w:szCs w:val="22"/>
          <w:lang w:val="el-GR"/>
        </w:rPr>
      </w:pPr>
    </w:p>
    <w:p w14:paraId="0C3F2242" w14:textId="77777777" w:rsidR="00171824" w:rsidRDefault="00171824">
      <w:pPr>
        <w:widowControl/>
        <w:tabs>
          <w:tab w:val="left" w:pos="567"/>
        </w:tabs>
        <w:autoSpaceDE/>
        <w:autoSpaceDN/>
        <w:adjustRightInd/>
        <w:rPr>
          <w:rFonts w:eastAsia="PMingLiU"/>
          <w:sz w:val="22"/>
          <w:szCs w:val="22"/>
          <w:lang w:val="el-GR"/>
        </w:rPr>
      </w:pPr>
    </w:p>
    <w:p w14:paraId="6D11FE90"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665FCA2E" w14:textId="77777777" w:rsidR="00171824" w:rsidRDefault="00171824">
      <w:pPr>
        <w:keepNext/>
        <w:widowControl/>
        <w:tabs>
          <w:tab w:val="left" w:pos="567"/>
        </w:tabs>
        <w:autoSpaceDE/>
        <w:autoSpaceDN/>
        <w:adjustRightInd/>
        <w:rPr>
          <w:rFonts w:eastAsia="PMingLiU"/>
          <w:sz w:val="22"/>
          <w:szCs w:val="22"/>
          <w:lang w:val="el-GR"/>
        </w:rPr>
      </w:pPr>
    </w:p>
    <w:p w14:paraId="03DC27E6"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2FF34639"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22D9BDDE"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1655BA3A" w14:textId="77777777" w:rsidR="00171824" w:rsidRDefault="00171824">
      <w:pPr>
        <w:widowControl/>
        <w:tabs>
          <w:tab w:val="left" w:pos="567"/>
        </w:tabs>
        <w:autoSpaceDE/>
        <w:autoSpaceDN/>
        <w:adjustRightInd/>
        <w:rPr>
          <w:rFonts w:eastAsia="SimSun"/>
          <w:sz w:val="22"/>
          <w:szCs w:val="22"/>
          <w:lang w:val="el-GR" w:eastAsia="en-GB"/>
        </w:rPr>
      </w:pPr>
    </w:p>
    <w:p w14:paraId="71D60EF8" w14:textId="77777777" w:rsidR="00171824" w:rsidRDefault="00171824">
      <w:pPr>
        <w:widowControl/>
        <w:tabs>
          <w:tab w:val="left" w:pos="567"/>
        </w:tabs>
        <w:autoSpaceDE/>
        <w:autoSpaceDN/>
        <w:adjustRightInd/>
        <w:ind w:left="567" w:hanging="567"/>
        <w:rPr>
          <w:rFonts w:eastAsia="PMingLiU"/>
          <w:sz w:val="22"/>
          <w:szCs w:val="22"/>
          <w:lang w:val="el-GR"/>
        </w:rPr>
      </w:pPr>
    </w:p>
    <w:p w14:paraId="3C09405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49F75527" w14:textId="77777777" w:rsidR="00171824" w:rsidRDefault="00171824">
      <w:pPr>
        <w:widowControl/>
        <w:tabs>
          <w:tab w:val="left" w:pos="567"/>
        </w:tabs>
        <w:autoSpaceDE/>
        <w:autoSpaceDN/>
        <w:adjustRightInd/>
        <w:rPr>
          <w:rFonts w:eastAsia="PMingLiU"/>
          <w:sz w:val="22"/>
          <w:szCs w:val="22"/>
          <w:lang w:val="el-GR"/>
        </w:rPr>
      </w:pPr>
    </w:p>
    <w:p w14:paraId="308A8E70" w14:textId="77777777" w:rsidR="00171824" w:rsidRDefault="00171824">
      <w:pPr>
        <w:widowControl/>
        <w:tabs>
          <w:tab w:val="left" w:pos="567"/>
        </w:tabs>
        <w:autoSpaceDE/>
        <w:autoSpaceDN/>
        <w:adjustRightInd/>
        <w:rPr>
          <w:rFonts w:eastAsia="PMingLiU"/>
          <w:sz w:val="22"/>
          <w:szCs w:val="22"/>
          <w:lang w:val="el-GR"/>
        </w:rPr>
      </w:pPr>
    </w:p>
    <w:p w14:paraId="4E872D4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32E1381D" w14:textId="77777777" w:rsidR="00171824" w:rsidRDefault="00171824">
      <w:pPr>
        <w:widowControl/>
        <w:tabs>
          <w:tab w:val="left" w:pos="567"/>
        </w:tabs>
        <w:autoSpaceDE/>
        <w:autoSpaceDN/>
        <w:adjustRightInd/>
        <w:rPr>
          <w:rFonts w:eastAsia="PMingLiU"/>
          <w:sz w:val="22"/>
          <w:szCs w:val="22"/>
          <w:lang w:val="el-GR"/>
        </w:rPr>
      </w:pPr>
    </w:p>
    <w:p w14:paraId="05328E46"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7F88CFD1"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3E999490"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24E53A1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08F28623" w14:textId="77777777" w:rsidR="00171824" w:rsidRDefault="00171824">
      <w:pPr>
        <w:widowControl/>
        <w:tabs>
          <w:tab w:val="left" w:pos="567"/>
        </w:tabs>
        <w:autoSpaceDE/>
        <w:autoSpaceDN/>
        <w:adjustRightInd/>
        <w:rPr>
          <w:rFonts w:eastAsia="PMingLiU"/>
          <w:sz w:val="22"/>
          <w:szCs w:val="22"/>
          <w:lang w:val="el-GR"/>
        </w:rPr>
      </w:pPr>
    </w:p>
    <w:p w14:paraId="5B1090E7" w14:textId="77777777" w:rsidR="00171824" w:rsidRDefault="00171824">
      <w:pPr>
        <w:widowControl/>
        <w:tabs>
          <w:tab w:val="left" w:pos="567"/>
        </w:tabs>
        <w:autoSpaceDE/>
        <w:autoSpaceDN/>
        <w:adjustRightInd/>
        <w:rPr>
          <w:rFonts w:eastAsia="PMingLiU"/>
          <w:sz w:val="22"/>
          <w:szCs w:val="22"/>
          <w:lang w:val="el-GR"/>
        </w:rPr>
      </w:pPr>
    </w:p>
    <w:p w14:paraId="2593E3D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35991EA7" w14:textId="77777777" w:rsidR="00171824" w:rsidRDefault="00171824">
      <w:pPr>
        <w:widowControl/>
        <w:tabs>
          <w:tab w:val="left" w:pos="567"/>
        </w:tabs>
        <w:autoSpaceDE/>
        <w:autoSpaceDN/>
        <w:adjustRightInd/>
        <w:rPr>
          <w:rFonts w:eastAsia="PMingLiU"/>
          <w:sz w:val="22"/>
          <w:szCs w:val="22"/>
          <w:lang w:val="el-GR"/>
        </w:rPr>
      </w:pPr>
    </w:p>
    <w:p w14:paraId="4E39BB31"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EU/1/16/1164/001</w:t>
      </w:r>
    </w:p>
    <w:p w14:paraId="17CF2E6E" w14:textId="77777777" w:rsidR="00171824" w:rsidRDefault="00171824">
      <w:pPr>
        <w:widowControl/>
        <w:tabs>
          <w:tab w:val="left" w:pos="567"/>
        </w:tabs>
        <w:autoSpaceDE/>
        <w:autoSpaceDN/>
        <w:adjustRightInd/>
        <w:rPr>
          <w:rFonts w:eastAsia="PMingLiU"/>
          <w:sz w:val="22"/>
          <w:szCs w:val="22"/>
          <w:lang w:val="el-GR"/>
        </w:rPr>
      </w:pPr>
    </w:p>
    <w:p w14:paraId="0234ED75" w14:textId="77777777" w:rsidR="00171824" w:rsidRDefault="00171824">
      <w:pPr>
        <w:widowControl/>
        <w:tabs>
          <w:tab w:val="left" w:pos="567"/>
        </w:tabs>
        <w:autoSpaceDE/>
        <w:autoSpaceDN/>
        <w:adjustRightInd/>
        <w:rPr>
          <w:rFonts w:eastAsia="PMingLiU"/>
          <w:sz w:val="22"/>
          <w:szCs w:val="22"/>
          <w:lang w:val="el-GR"/>
        </w:rPr>
      </w:pPr>
    </w:p>
    <w:p w14:paraId="43865D8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ΑΡΙΘΜΟΣ ΠΑΡΤΙΔΑΣ</w:t>
      </w:r>
    </w:p>
    <w:p w14:paraId="14BEA41E" w14:textId="77777777" w:rsidR="00171824" w:rsidRDefault="00171824">
      <w:pPr>
        <w:widowControl/>
        <w:tabs>
          <w:tab w:val="left" w:pos="567"/>
        </w:tabs>
        <w:autoSpaceDE/>
        <w:autoSpaceDN/>
        <w:adjustRightInd/>
        <w:rPr>
          <w:rFonts w:eastAsia="PMingLiU"/>
          <w:i/>
          <w:sz w:val="22"/>
          <w:szCs w:val="22"/>
          <w:lang w:val="el-GR"/>
        </w:rPr>
      </w:pPr>
    </w:p>
    <w:p w14:paraId="70AAD37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64802BEA" w14:textId="77777777" w:rsidR="00171824" w:rsidRDefault="00171824">
      <w:pPr>
        <w:widowControl/>
        <w:tabs>
          <w:tab w:val="left" w:pos="567"/>
        </w:tabs>
        <w:autoSpaceDE/>
        <w:autoSpaceDN/>
        <w:adjustRightInd/>
        <w:rPr>
          <w:rFonts w:eastAsia="PMingLiU"/>
          <w:sz w:val="22"/>
          <w:szCs w:val="22"/>
          <w:lang w:val="el-GR"/>
        </w:rPr>
      </w:pPr>
    </w:p>
    <w:p w14:paraId="24219131" w14:textId="77777777" w:rsidR="00171824" w:rsidRDefault="00171824">
      <w:pPr>
        <w:widowControl/>
        <w:tabs>
          <w:tab w:val="left" w:pos="567"/>
        </w:tabs>
        <w:autoSpaceDE/>
        <w:autoSpaceDN/>
        <w:adjustRightInd/>
        <w:rPr>
          <w:rFonts w:eastAsia="PMingLiU"/>
          <w:sz w:val="22"/>
          <w:szCs w:val="22"/>
          <w:lang w:val="el-GR"/>
        </w:rPr>
      </w:pPr>
    </w:p>
    <w:p w14:paraId="36CBCED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43CA868A" w14:textId="77777777" w:rsidR="00171824" w:rsidRDefault="00171824">
      <w:pPr>
        <w:widowControl/>
        <w:tabs>
          <w:tab w:val="left" w:pos="567"/>
        </w:tabs>
        <w:autoSpaceDE/>
        <w:autoSpaceDN/>
        <w:adjustRightInd/>
        <w:rPr>
          <w:rFonts w:eastAsia="PMingLiU"/>
          <w:sz w:val="22"/>
          <w:szCs w:val="22"/>
          <w:lang w:val="el-GR"/>
        </w:rPr>
      </w:pPr>
    </w:p>
    <w:p w14:paraId="4B9828B6" w14:textId="77777777" w:rsidR="00171824" w:rsidRDefault="00171824">
      <w:pPr>
        <w:widowControl/>
        <w:tabs>
          <w:tab w:val="left" w:pos="567"/>
        </w:tabs>
        <w:autoSpaceDE/>
        <w:autoSpaceDN/>
        <w:adjustRightInd/>
        <w:rPr>
          <w:rFonts w:eastAsia="PMingLiU"/>
          <w:sz w:val="22"/>
          <w:szCs w:val="22"/>
          <w:lang w:val="el-GR"/>
        </w:rPr>
      </w:pPr>
    </w:p>
    <w:p w14:paraId="275E9A05"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73478BBA" w14:textId="77777777" w:rsidR="00171824" w:rsidRDefault="00171824">
      <w:pPr>
        <w:widowControl/>
        <w:tabs>
          <w:tab w:val="left" w:pos="567"/>
        </w:tabs>
        <w:autoSpaceDE/>
        <w:autoSpaceDN/>
        <w:adjustRightInd/>
        <w:rPr>
          <w:rFonts w:eastAsia="PMingLiU"/>
          <w:sz w:val="22"/>
          <w:szCs w:val="22"/>
          <w:lang w:val="el-GR"/>
        </w:rPr>
      </w:pPr>
    </w:p>
    <w:p w14:paraId="1AC85D94" w14:textId="77777777" w:rsidR="00171824" w:rsidRDefault="00171824">
      <w:pPr>
        <w:widowControl/>
        <w:tabs>
          <w:tab w:val="left" w:pos="567"/>
        </w:tabs>
        <w:autoSpaceDE/>
        <w:autoSpaceDN/>
        <w:adjustRightInd/>
        <w:rPr>
          <w:rFonts w:eastAsia="PMingLiU"/>
          <w:sz w:val="22"/>
          <w:szCs w:val="22"/>
          <w:lang w:val="el-GR"/>
        </w:rPr>
      </w:pPr>
    </w:p>
    <w:p w14:paraId="13BAA5C0"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7A7565F4" w14:textId="77777777" w:rsidR="00171824" w:rsidRDefault="00171824">
      <w:pPr>
        <w:widowControl/>
        <w:tabs>
          <w:tab w:val="left" w:pos="567"/>
        </w:tabs>
        <w:autoSpaceDE/>
        <w:autoSpaceDN/>
        <w:adjustRightInd/>
        <w:rPr>
          <w:rFonts w:eastAsia="PMingLiU"/>
          <w:sz w:val="22"/>
          <w:szCs w:val="20"/>
          <w:lang w:val="el-GR"/>
        </w:rPr>
      </w:pPr>
    </w:p>
    <w:p w14:paraId="04D52C1E" w14:textId="77777777" w:rsidR="00171824" w:rsidRDefault="006D258C">
      <w:pPr>
        <w:widowControl/>
        <w:tabs>
          <w:tab w:val="left" w:pos="567"/>
        </w:tabs>
        <w:autoSpaceDE/>
        <w:autoSpaceDN/>
        <w:adjustRightInd/>
        <w:rPr>
          <w:rFonts w:eastAsia="PMingLiU"/>
          <w:sz w:val="22"/>
          <w:szCs w:val="22"/>
          <w:highlight w:val="yellow"/>
          <w:shd w:val="clear" w:color="auto" w:fill="CCCCCC"/>
          <w:lang w:val="el-GR" w:bidi="en-US"/>
        </w:rPr>
      </w:pPr>
      <w:r>
        <w:rPr>
          <w:rFonts w:eastAsia="Arial Unicode MS" w:cs="Arial Unicode MS"/>
          <w:sz w:val="22"/>
          <w:szCs w:val="20"/>
          <w:lang w:val="el-GR" w:bidi="en-US"/>
        </w:rPr>
        <w:t>AMGEVITA 20 mg/0,4 ml σύριγγα</w:t>
      </w:r>
    </w:p>
    <w:p w14:paraId="010A32B9"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7F48A30B"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20A3D3E9"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48055AD9" w14:textId="77777777" w:rsidR="00171824" w:rsidRDefault="00171824">
      <w:pPr>
        <w:widowControl/>
        <w:autoSpaceDE/>
        <w:autoSpaceDN/>
        <w:adjustRightInd/>
        <w:rPr>
          <w:rFonts w:eastAsia="PMingLiU"/>
          <w:sz w:val="22"/>
          <w:szCs w:val="20"/>
          <w:lang w:val="el-GR"/>
        </w:rPr>
      </w:pPr>
    </w:p>
    <w:p w14:paraId="107B226F"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5EE4A981"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0547A803" w14:textId="77777777" w:rsidR="00171824" w:rsidRDefault="00171824">
      <w:pPr>
        <w:widowControl/>
        <w:autoSpaceDE/>
        <w:autoSpaceDN/>
        <w:adjustRightInd/>
        <w:rPr>
          <w:rFonts w:eastAsia="PMingLiU"/>
          <w:sz w:val="22"/>
          <w:szCs w:val="20"/>
          <w:lang w:val="el-GR"/>
        </w:rPr>
      </w:pPr>
    </w:p>
    <w:p w14:paraId="29052F04"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46E98192" w14:textId="77777777" w:rsidR="00171824" w:rsidRDefault="00171824">
      <w:pPr>
        <w:keepNext/>
        <w:widowControl/>
        <w:autoSpaceDE/>
        <w:autoSpaceDN/>
        <w:adjustRightInd/>
        <w:rPr>
          <w:rFonts w:eastAsia="PMingLiU"/>
          <w:sz w:val="22"/>
          <w:szCs w:val="20"/>
          <w:lang w:val="el-GR"/>
        </w:rPr>
      </w:pPr>
    </w:p>
    <w:p w14:paraId="071CA512"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70F54DA5"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0DB0B64B" w14:textId="77777777" w:rsidR="00171824" w:rsidRDefault="006D258C">
      <w:pPr>
        <w:widowControl/>
        <w:tabs>
          <w:tab w:val="left" w:pos="567"/>
        </w:tabs>
        <w:autoSpaceDE/>
        <w:autoSpaceDN/>
        <w:adjustRightInd/>
        <w:rPr>
          <w:rFonts w:eastAsia="Arial Unicode MS" w:cs="Arial Unicode MS"/>
          <w:sz w:val="22"/>
          <w:szCs w:val="22"/>
          <w:shd w:val="clear" w:color="auto" w:fill="FFFFFF"/>
          <w:lang w:val="el-GR" w:bidi="en-US"/>
        </w:rPr>
      </w:pPr>
      <w:r>
        <w:rPr>
          <w:rFonts w:eastAsia="Arial Unicode MS" w:cs="Arial Unicode MS"/>
          <w:sz w:val="22"/>
          <w:szCs w:val="22"/>
          <w:shd w:val="clear" w:color="auto" w:fill="FFFFFF"/>
          <w:lang w:val="el-GR" w:bidi="en-US"/>
        </w:rPr>
        <w:t>NN</w:t>
      </w:r>
    </w:p>
    <w:p w14:paraId="4F4E1EC2" w14:textId="77777777" w:rsidR="00171824" w:rsidRDefault="006D258C">
      <w:pPr>
        <w:widowControl/>
        <w:tabs>
          <w:tab w:val="left" w:pos="567"/>
        </w:tabs>
        <w:autoSpaceDE/>
        <w:autoSpaceDN/>
        <w:adjustRightInd/>
        <w:rPr>
          <w:rFonts w:eastAsia="PMingLiU"/>
          <w:b/>
          <w:sz w:val="22"/>
          <w:szCs w:val="22"/>
          <w:lang w:val="el-GR" w:bidi="en-US"/>
        </w:rPr>
      </w:pPr>
      <w:r>
        <w:rPr>
          <w:rFonts w:ascii="Arial" w:eastAsia="Arial Unicode MS" w:hAnsi="Arial" w:cs="Arial Unicode MS"/>
          <w:color w:val="000000"/>
          <w:sz w:val="22"/>
          <w:lang w:val="el-GR" w:bidi="en-US"/>
        </w:rPr>
        <w:br w:type="page"/>
      </w:r>
    </w:p>
    <w:p w14:paraId="02FEC53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Arial Unicode MS" w:cs="Arial Unicode MS"/>
          <w:b/>
          <w:sz w:val="22"/>
          <w:szCs w:val="22"/>
          <w:lang w:val="el-GR" w:bidi="en-US"/>
        </w:rPr>
      </w:pPr>
      <w:r>
        <w:rPr>
          <w:rFonts w:eastAsia="Arial Unicode MS" w:cs="Arial Unicode MS"/>
          <w:b/>
          <w:sz w:val="22"/>
          <w:szCs w:val="22"/>
          <w:lang w:val="el-GR" w:bidi="en-US"/>
        </w:rPr>
        <w:lastRenderedPageBreak/>
        <w:t>ΕΛΑΧΙΣΤΕΣ ΕΝΔΕΙΞΕΙΣ ΠΟΥ ΠΡΕΠΕΙ ΝΑ ΑΝΑΓΡΑΦΟΝΤΑΙ ΣΤΙΣ ΜΙΚΡΕΣ ΣΤΟΙΧΕΙΩΔΕΙΣ ΣΥΣΚΕΥΑΣΙΕΣ</w:t>
      </w:r>
    </w:p>
    <w:p w14:paraId="02E035BC"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rPr>
      </w:pPr>
    </w:p>
    <w:p w14:paraId="6E7A189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t>ΕΠΙΣΗΜΑΝΣΗ ΣΥΡΙΓΓΑΣ</w:t>
      </w:r>
    </w:p>
    <w:p w14:paraId="5D0EE2B2" w14:textId="77777777" w:rsidR="00171824" w:rsidRDefault="00171824">
      <w:pPr>
        <w:widowControl/>
        <w:tabs>
          <w:tab w:val="left" w:pos="567"/>
        </w:tabs>
        <w:autoSpaceDE/>
        <w:autoSpaceDN/>
        <w:adjustRightInd/>
        <w:rPr>
          <w:rFonts w:eastAsia="PMingLiU"/>
          <w:sz w:val="22"/>
          <w:szCs w:val="22"/>
          <w:lang w:val="el-GR"/>
        </w:rPr>
      </w:pPr>
    </w:p>
    <w:p w14:paraId="1F1BAAB2" w14:textId="77777777" w:rsidR="00171824" w:rsidRDefault="00171824">
      <w:pPr>
        <w:widowControl/>
        <w:tabs>
          <w:tab w:val="left" w:pos="567"/>
        </w:tabs>
        <w:autoSpaceDE/>
        <w:autoSpaceDN/>
        <w:adjustRightInd/>
        <w:rPr>
          <w:rFonts w:eastAsia="PMingLiU"/>
          <w:sz w:val="22"/>
          <w:szCs w:val="22"/>
          <w:lang w:val="el-GR"/>
        </w:rPr>
      </w:pPr>
    </w:p>
    <w:p w14:paraId="037034F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w:t>
      </w:r>
      <w:r>
        <w:rPr>
          <w:rFonts w:eastAsia="Arial Unicode MS" w:cs="Arial Unicode MS"/>
          <w:b/>
          <w:sz w:val="22"/>
          <w:szCs w:val="22"/>
          <w:lang w:val="el-GR" w:bidi="en-US"/>
        </w:rPr>
        <w:tab/>
        <w:t>ΟΝΟΜΑΣΙΑ ΤΟΥ ΦΑΡΜΑΚΕΥΤΙΚΟΥ ΠΡΟΪΟΝΤΟΣ ΚΑΙ ΟΔΟΣ(ΟΙ) ΧΟΡΗΓΗΣΗΣ</w:t>
      </w:r>
    </w:p>
    <w:p w14:paraId="02AC104B" w14:textId="77777777" w:rsidR="00171824" w:rsidRDefault="00171824">
      <w:pPr>
        <w:widowControl/>
        <w:tabs>
          <w:tab w:val="left" w:pos="567"/>
        </w:tabs>
        <w:autoSpaceDE/>
        <w:autoSpaceDN/>
        <w:adjustRightInd/>
        <w:ind w:left="567" w:hanging="567"/>
        <w:rPr>
          <w:rFonts w:eastAsia="PMingLiU"/>
          <w:sz w:val="22"/>
          <w:szCs w:val="22"/>
          <w:lang w:val="el-GR"/>
        </w:rPr>
      </w:pPr>
    </w:p>
    <w:p w14:paraId="1DF9C1B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20 mg ένεση</w:t>
      </w:r>
    </w:p>
    <w:p w14:paraId="1188A93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42CFEAB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Υποδόρια</w:t>
      </w:r>
    </w:p>
    <w:p w14:paraId="3D6C1226" w14:textId="77777777" w:rsidR="00171824" w:rsidRDefault="00171824">
      <w:pPr>
        <w:widowControl/>
        <w:tabs>
          <w:tab w:val="left" w:pos="567"/>
        </w:tabs>
        <w:autoSpaceDE/>
        <w:autoSpaceDN/>
        <w:adjustRightInd/>
        <w:rPr>
          <w:rFonts w:eastAsia="PMingLiU"/>
          <w:sz w:val="22"/>
          <w:szCs w:val="22"/>
          <w:lang w:val="el-GR"/>
        </w:rPr>
      </w:pPr>
    </w:p>
    <w:p w14:paraId="760100F6" w14:textId="77777777" w:rsidR="00171824" w:rsidRDefault="00171824">
      <w:pPr>
        <w:widowControl/>
        <w:tabs>
          <w:tab w:val="left" w:pos="567"/>
        </w:tabs>
        <w:autoSpaceDE/>
        <w:autoSpaceDN/>
        <w:adjustRightInd/>
        <w:rPr>
          <w:rFonts w:eastAsia="PMingLiU"/>
          <w:sz w:val="22"/>
          <w:szCs w:val="22"/>
          <w:lang w:val="el-GR"/>
        </w:rPr>
      </w:pPr>
    </w:p>
    <w:p w14:paraId="1F8ED04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ΤΡΟΠΟΣ ΧΟΡΗΓΗΣΗΣ</w:t>
      </w:r>
    </w:p>
    <w:p w14:paraId="44DA32C0" w14:textId="77777777" w:rsidR="00171824" w:rsidRDefault="00171824">
      <w:pPr>
        <w:widowControl/>
        <w:tabs>
          <w:tab w:val="left" w:pos="567"/>
        </w:tabs>
        <w:autoSpaceDE/>
        <w:autoSpaceDN/>
        <w:adjustRightInd/>
        <w:rPr>
          <w:rFonts w:eastAsia="PMingLiU"/>
          <w:sz w:val="22"/>
          <w:szCs w:val="22"/>
          <w:lang w:val="el-GR"/>
        </w:rPr>
      </w:pPr>
    </w:p>
    <w:p w14:paraId="01D9D79B" w14:textId="77777777" w:rsidR="00171824" w:rsidRDefault="00171824">
      <w:pPr>
        <w:widowControl/>
        <w:tabs>
          <w:tab w:val="left" w:pos="567"/>
        </w:tabs>
        <w:autoSpaceDE/>
        <w:autoSpaceDN/>
        <w:adjustRightInd/>
        <w:rPr>
          <w:rFonts w:eastAsia="PMingLiU"/>
          <w:sz w:val="22"/>
          <w:szCs w:val="22"/>
          <w:lang w:val="el-GR"/>
        </w:rPr>
      </w:pPr>
    </w:p>
    <w:p w14:paraId="1D30FF5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ΗΜΕΡΟΜΗΝΙΑ ΛΗΞΗΣ</w:t>
      </w:r>
    </w:p>
    <w:p w14:paraId="7BC0A8FC" w14:textId="77777777" w:rsidR="00171824" w:rsidRDefault="00171824">
      <w:pPr>
        <w:widowControl/>
        <w:tabs>
          <w:tab w:val="left" w:pos="567"/>
        </w:tabs>
        <w:autoSpaceDE/>
        <w:autoSpaceDN/>
        <w:adjustRightInd/>
        <w:rPr>
          <w:rFonts w:eastAsia="PMingLiU"/>
          <w:sz w:val="22"/>
          <w:szCs w:val="20"/>
          <w:lang w:val="el-GR"/>
        </w:rPr>
      </w:pPr>
    </w:p>
    <w:p w14:paraId="291FD079"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EXP</w:t>
      </w:r>
    </w:p>
    <w:p w14:paraId="448D6E6D" w14:textId="77777777" w:rsidR="00171824" w:rsidRDefault="00171824">
      <w:pPr>
        <w:widowControl/>
        <w:tabs>
          <w:tab w:val="left" w:pos="567"/>
        </w:tabs>
        <w:autoSpaceDE/>
        <w:autoSpaceDN/>
        <w:adjustRightInd/>
        <w:rPr>
          <w:rFonts w:eastAsia="PMingLiU"/>
          <w:sz w:val="22"/>
          <w:szCs w:val="20"/>
          <w:lang w:val="el-GR" w:eastAsia="zh-TW"/>
        </w:rPr>
      </w:pPr>
    </w:p>
    <w:p w14:paraId="00D2157B" w14:textId="77777777" w:rsidR="00171824" w:rsidRDefault="00171824">
      <w:pPr>
        <w:widowControl/>
        <w:tabs>
          <w:tab w:val="left" w:pos="567"/>
        </w:tabs>
        <w:autoSpaceDE/>
        <w:autoSpaceDN/>
        <w:adjustRightInd/>
        <w:rPr>
          <w:rFonts w:eastAsia="PMingLiU"/>
          <w:sz w:val="22"/>
          <w:szCs w:val="20"/>
          <w:lang w:val="el-GR"/>
        </w:rPr>
      </w:pPr>
    </w:p>
    <w:p w14:paraId="168EC6E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0"/>
          <w:lang w:val="el-GR" w:bidi="en-US"/>
        </w:rPr>
      </w:pPr>
      <w:r>
        <w:rPr>
          <w:rFonts w:eastAsia="Arial Unicode MS" w:cs="Arial Unicode MS"/>
          <w:b/>
          <w:sz w:val="22"/>
          <w:szCs w:val="20"/>
          <w:lang w:val="el-GR" w:bidi="en-US"/>
        </w:rPr>
        <w:t>4.</w:t>
      </w:r>
      <w:r>
        <w:rPr>
          <w:rFonts w:eastAsia="Arial Unicode MS" w:cs="Arial Unicode MS"/>
          <w:b/>
          <w:sz w:val="22"/>
          <w:szCs w:val="20"/>
          <w:lang w:val="el-GR" w:bidi="en-US"/>
        </w:rPr>
        <w:tab/>
        <w:t xml:space="preserve">ΑΡΙΘΜΟΣ ΠΑΡΤΙΔΑΣ </w:t>
      </w:r>
    </w:p>
    <w:p w14:paraId="7E718719" w14:textId="77777777" w:rsidR="00171824" w:rsidRDefault="00171824">
      <w:pPr>
        <w:widowControl/>
        <w:tabs>
          <w:tab w:val="left" w:pos="567"/>
        </w:tabs>
        <w:autoSpaceDE/>
        <w:autoSpaceDN/>
        <w:adjustRightInd/>
        <w:ind w:right="113"/>
        <w:rPr>
          <w:rFonts w:eastAsia="PMingLiU"/>
          <w:sz w:val="22"/>
          <w:szCs w:val="20"/>
          <w:lang w:val="el-GR"/>
        </w:rPr>
      </w:pPr>
    </w:p>
    <w:p w14:paraId="6458C719" w14:textId="77777777" w:rsidR="00171824" w:rsidRDefault="006D258C">
      <w:pPr>
        <w:widowControl/>
        <w:tabs>
          <w:tab w:val="left" w:pos="567"/>
        </w:tabs>
        <w:autoSpaceDE/>
        <w:autoSpaceDN/>
        <w:adjustRightInd/>
        <w:ind w:right="113"/>
        <w:rPr>
          <w:rFonts w:eastAsia="PMingLiU"/>
          <w:sz w:val="22"/>
          <w:szCs w:val="20"/>
          <w:lang w:val="el-GR" w:bidi="en-US"/>
        </w:rPr>
      </w:pPr>
      <w:r>
        <w:rPr>
          <w:rFonts w:eastAsia="Arial Unicode MS" w:cs="Arial Unicode MS"/>
          <w:sz w:val="22"/>
          <w:szCs w:val="20"/>
          <w:lang w:val="el-GR" w:bidi="en-US"/>
        </w:rPr>
        <w:t>Lot</w:t>
      </w:r>
    </w:p>
    <w:p w14:paraId="3CDAF9CD" w14:textId="77777777" w:rsidR="00171824" w:rsidRDefault="00171824">
      <w:pPr>
        <w:widowControl/>
        <w:tabs>
          <w:tab w:val="left" w:pos="567"/>
        </w:tabs>
        <w:autoSpaceDE/>
        <w:autoSpaceDN/>
        <w:adjustRightInd/>
        <w:ind w:right="113"/>
        <w:rPr>
          <w:rFonts w:eastAsia="PMingLiU"/>
          <w:sz w:val="22"/>
          <w:szCs w:val="20"/>
          <w:lang w:val="el-GR"/>
        </w:rPr>
      </w:pPr>
    </w:p>
    <w:p w14:paraId="37AE00A5" w14:textId="77777777" w:rsidR="00171824" w:rsidRDefault="00171824">
      <w:pPr>
        <w:widowControl/>
        <w:tabs>
          <w:tab w:val="left" w:pos="567"/>
        </w:tabs>
        <w:autoSpaceDE/>
        <w:autoSpaceDN/>
        <w:adjustRightInd/>
        <w:ind w:right="113"/>
        <w:rPr>
          <w:rFonts w:eastAsia="PMingLiU"/>
          <w:sz w:val="22"/>
          <w:szCs w:val="20"/>
          <w:lang w:val="el-GR"/>
        </w:rPr>
      </w:pPr>
    </w:p>
    <w:p w14:paraId="295B853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ΠΕΡΙΕΧΟΜΕΝΟ ΚΑΤΑ ΒΑΡΟΣ, ΚΑΤ' ΟΓΚΟ Ή ΚΑΤΑ ΜΟΝΑΔΑ</w:t>
      </w:r>
    </w:p>
    <w:p w14:paraId="37138A6B" w14:textId="77777777" w:rsidR="00171824" w:rsidRDefault="00171824">
      <w:pPr>
        <w:widowControl/>
        <w:tabs>
          <w:tab w:val="left" w:pos="567"/>
        </w:tabs>
        <w:autoSpaceDE/>
        <w:autoSpaceDN/>
        <w:adjustRightInd/>
        <w:ind w:right="113"/>
        <w:rPr>
          <w:rFonts w:eastAsia="PMingLiU"/>
          <w:sz w:val="22"/>
          <w:szCs w:val="22"/>
          <w:lang w:val="el-GR"/>
        </w:rPr>
      </w:pPr>
    </w:p>
    <w:p w14:paraId="03B1FE1F" w14:textId="77777777" w:rsidR="00171824" w:rsidRDefault="006D258C">
      <w:pPr>
        <w:widowControl/>
        <w:tabs>
          <w:tab w:val="left" w:pos="567"/>
        </w:tabs>
        <w:autoSpaceDE/>
        <w:autoSpaceDN/>
        <w:adjustRightInd/>
        <w:ind w:right="113"/>
        <w:rPr>
          <w:rFonts w:eastAsia="PMingLiU"/>
          <w:sz w:val="22"/>
          <w:szCs w:val="22"/>
          <w:lang w:val="el-GR" w:bidi="en-US"/>
        </w:rPr>
      </w:pPr>
      <w:r>
        <w:rPr>
          <w:rFonts w:eastAsia="Arial Unicode MS" w:cs="Arial Unicode MS"/>
          <w:sz w:val="22"/>
          <w:szCs w:val="22"/>
          <w:lang w:val="el-GR" w:bidi="en-US"/>
        </w:rPr>
        <w:t>0,4 ml</w:t>
      </w:r>
    </w:p>
    <w:p w14:paraId="5E6E972B" w14:textId="77777777" w:rsidR="00171824" w:rsidRDefault="00171824">
      <w:pPr>
        <w:widowControl/>
        <w:tabs>
          <w:tab w:val="left" w:pos="567"/>
        </w:tabs>
        <w:autoSpaceDE/>
        <w:autoSpaceDN/>
        <w:adjustRightInd/>
        <w:ind w:right="113"/>
        <w:rPr>
          <w:rFonts w:eastAsia="PMingLiU"/>
          <w:sz w:val="22"/>
          <w:szCs w:val="22"/>
          <w:lang w:val="el-GR"/>
        </w:rPr>
      </w:pPr>
    </w:p>
    <w:p w14:paraId="53AA3765" w14:textId="77777777" w:rsidR="00171824" w:rsidRDefault="00171824">
      <w:pPr>
        <w:widowControl/>
        <w:tabs>
          <w:tab w:val="left" w:pos="567"/>
        </w:tabs>
        <w:autoSpaceDE/>
        <w:autoSpaceDN/>
        <w:adjustRightInd/>
        <w:ind w:right="113"/>
        <w:rPr>
          <w:rFonts w:eastAsia="PMingLiU"/>
          <w:sz w:val="22"/>
          <w:szCs w:val="22"/>
          <w:lang w:val="el-GR"/>
        </w:rPr>
      </w:pPr>
    </w:p>
    <w:p w14:paraId="441BF15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ΑΛΛΑ ΣΤΟΙΧΕΙΑ</w:t>
      </w:r>
    </w:p>
    <w:p w14:paraId="7F0558CF" w14:textId="77777777" w:rsidR="00171824" w:rsidRDefault="00171824">
      <w:pPr>
        <w:widowControl/>
        <w:tabs>
          <w:tab w:val="left" w:pos="567"/>
        </w:tabs>
        <w:autoSpaceDE/>
        <w:autoSpaceDN/>
        <w:adjustRightInd/>
        <w:ind w:right="113"/>
        <w:rPr>
          <w:rFonts w:eastAsia="PMingLiU"/>
          <w:sz w:val="22"/>
          <w:szCs w:val="22"/>
          <w:lang w:val="el-GR"/>
        </w:rPr>
      </w:pPr>
    </w:p>
    <w:p w14:paraId="0B2CF9BC" w14:textId="77777777" w:rsidR="00171824" w:rsidRDefault="00171824">
      <w:pPr>
        <w:widowControl/>
        <w:tabs>
          <w:tab w:val="left" w:pos="567"/>
        </w:tabs>
        <w:autoSpaceDE/>
        <w:autoSpaceDN/>
        <w:adjustRightInd/>
        <w:ind w:right="113"/>
        <w:rPr>
          <w:rFonts w:eastAsia="PMingLiU"/>
          <w:sz w:val="22"/>
          <w:szCs w:val="20"/>
          <w:lang w:val="el-GR"/>
        </w:rPr>
      </w:pPr>
    </w:p>
    <w:p w14:paraId="57755093" w14:textId="77777777" w:rsidR="00171824" w:rsidRDefault="006D258C">
      <w:pPr>
        <w:widowControl/>
        <w:autoSpaceDE/>
        <w:autoSpaceDN/>
        <w:adjustRightInd/>
        <w:rPr>
          <w:rFonts w:eastAsia="PMingLiU"/>
          <w:sz w:val="22"/>
          <w:szCs w:val="20"/>
          <w:lang w:val="el-GR"/>
        </w:rPr>
      </w:pPr>
      <w:r>
        <w:rPr>
          <w:rFonts w:eastAsia="PMingLiU"/>
          <w:sz w:val="22"/>
          <w:szCs w:val="20"/>
          <w:lang w:val="el-GR"/>
        </w:rPr>
        <w:br w:type="page"/>
      </w:r>
    </w:p>
    <w:p w14:paraId="4AA108D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1EDD2076"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2433081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ΚΟΥΤΙ ΠΡΟΓΕΜΙΣΜΕΝΗΣ ΣΥΡΙΓΓΑΣ</w:t>
      </w:r>
    </w:p>
    <w:p w14:paraId="54CB11AE" w14:textId="77777777" w:rsidR="00171824" w:rsidRDefault="00171824">
      <w:pPr>
        <w:widowControl/>
        <w:tabs>
          <w:tab w:val="left" w:pos="567"/>
        </w:tabs>
        <w:autoSpaceDE/>
        <w:autoSpaceDN/>
        <w:adjustRightInd/>
        <w:rPr>
          <w:rFonts w:eastAsia="PMingLiU"/>
          <w:sz w:val="22"/>
          <w:szCs w:val="20"/>
          <w:lang w:val="el-GR"/>
        </w:rPr>
      </w:pPr>
    </w:p>
    <w:p w14:paraId="0D72358D" w14:textId="77777777" w:rsidR="00171824" w:rsidRDefault="00171824">
      <w:pPr>
        <w:widowControl/>
        <w:tabs>
          <w:tab w:val="left" w:pos="567"/>
        </w:tabs>
        <w:autoSpaceDE/>
        <w:autoSpaceDN/>
        <w:adjustRightInd/>
        <w:rPr>
          <w:rFonts w:eastAsia="PMingLiU"/>
          <w:sz w:val="22"/>
          <w:szCs w:val="22"/>
          <w:lang w:val="el-GR"/>
        </w:rPr>
      </w:pPr>
    </w:p>
    <w:p w14:paraId="717D26E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694B67F4" w14:textId="77777777" w:rsidR="00171824" w:rsidRDefault="00171824">
      <w:pPr>
        <w:widowControl/>
        <w:tabs>
          <w:tab w:val="left" w:pos="567"/>
        </w:tabs>
        <w:autoSpaceDE/>
        <w:autoSpaceDN/>
        <w:adjustRightInd/>
        <w:rPr>
          <w:rFonts w:eastAsia="PMingLiU"/>
          <w:sz w:val="22"/>
          <w:szCs w:val="22"/>
          <w:lang w:val="el-GR"/>
        </w:rPr>
      </w:pPr>
    </w:p>
    <w:p w14:paraId="0CDFE046"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2"/>
          <w:lang w:val="el-GR" w:bidi="en-US"/>
        </w:rPr>
        <w:t>AMGEVITA</w:t>
      </w:r>
      <w:r>
        <w:rPr>
          <w:rFonts w:eastAsia="Arial Unicode MS" w:cs="Arial Unicode MS"/>
          <w:sz w:val="22"/>
          <w:szCs w:val="20"/>
          <w:lang w:val="el-GR" w:bidi="en-US"/>
        </w:rPr>
        <w:t xml:space="preserve"> 40 mg ενέσιμο διάλυμα σε προγεμισμένη σύριγγα</w:t>
      </w:r>
    </w:p>
    <w:p w14:paraId="03AB8EB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678F89B4" w14:textId="77777777" w:rsidR="00171824" w:rsidRDefault="00171824">
      <w:pPr>
        <w:widowControl/>
        <w:tabs>
          <w:tab w:val="left" w:pos="567"/>
        </w:tabs>
        <w:autoSpaceDE/>
        <w:autoSpaceDN/>
        <w:adjustRightInd/>
        <w:rPr>
          <w:rFonts w:eastAsia="PMingLiU"/>
          <w:sz w:val="22"/>
          <w:szCs w:val="22"/>
          <w:lang w:val="el-GR"/>
        </w:rPr>
      </w:pPr>
    </w:p>
    <w:p w14:paraId="08A29C34" w14:textId="77777777" w:rsidR="00171824" w:rsidRDefault="00171824">
      <w:pPr>
        <w:widowControl/>
        <w:tabs>
          <w:tab w:val="left" w:pos="567"/>
        </w:tabs>
        <w:autoSpaceDE/>
        <w:autoSpaceDN/>
        <w:adjustRightInd/>
        <w:rPr>
          <w:rFonts w:eastAsia="PMingLiU"/>
          <w:sz w:val="22"/>
          <w:szCs w:val="22"/>
          <w:lang w:val="el-GR"/>
        </w:rPr>
      </w:pPr>
    </w:p>
    <w:p w14:paraId="614F3A4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377A8E67" w14:textId="77777777" w:rsidR="00171824" w:rsidRDefault="00171824">
      <w:pPr>
        <w:widowControl/>
        <w:tabs>
          <w:tab w:val="left" w:pos="567"/>
        </w:tabs>
        <w:autoSpaceDE/>
        <w:autoSpaceDN/>
        <w:adjustRightInd/>
        <w:rPr>
          <w:rFonts w:eastAsia="PMingLiU"/>
          <w:sz w:val="22"/>
          <w:szCs w:val="22"/>
          <w:lang w:val="el-GR"/>
        </w:rPr>
      </w:pPr>
    </w:p>
    <w:p w14:paraId="73B5E77F" w14:textId="77777777" w:rsidR="00171824" w:rsidRDefault="006D258C">
      <w:pPr>
        <w:widowControl/>
        <w:suppressLineNumbers/>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40 mg adalimumab σε διάλυμα 0,8 ml.</w:t>
      </w:r>
    </w:p>
    <w:p w14:paraId="247EEA6D" w14:textId="77777777" w:rsidR="00171824" w:rsidRDefault="00171824">
      <w:pPr>
        <w:widowControl/>
        <w:tabs>
          <w:tab w:val="left" w:pos="567"/>
        </w:tabs>
        <w:autoSpaceDE/>
        <w:autoSpaceDN/>
        <w:adjustRightInd/>
        <w:rPr>
          <w:rFonts w:eastAsia="PMingLiU"/>
          <w:sz w:val="22"/>
          <w:szCs w:val="22"/>
          <w:lang w:val="el-GR"/>
        </w:rPr>
      </w:pPr>
    </w:p>
    <w:p w14:paraId="33F411AB" w14:textId="77777777" w:rsidR="00171824" w:rsidRDefault="00171824">
      <w:pPr>
        <w:widowControl/>
        <w:tabs>
          <w:tab w:val="left" w:pos="567"/>
        </w:tabs>
        <w:autoSpaceDE/>
        <w:autoSpaceDN/>
        <w:adjustRightInd/>
        <w:rPr>
          <w:rFonts w:eastAsia="PMingLiU"/>
          <w:sz w:val="22"/>
          <w:szCs w:val="22"/>
          <w:lang w:val="el-GR"/>
        </w:rPr>
      </w:pPr>
    </w:p>
    <w:p w14:paraId="35569E3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56FFAC2B" w14:textId="77777777" w:rsidR="00171824" w:rsidRDefault="00171824">
      <w:pPr>
        <w:widowControl/>
        <w:tabs>
          <w:tab w:val="left" w:pos="567"/>
        </w:tabs>
        <w:autoSpaceDE/>
        <w:autoSpaceDN/>
        <w:adjustRightInd/>
        <w:rPr>
          <w:rFonts w:eastAsia="PMingLiU"/>
          <w:sz w:val="22"/>
          <w:szCs w:val="22"/>
          <w:lang w:val="el-GR"/>
        </w:rPr>
      </w:pPr>
    </w:p>
    <w:p w14:paraId="297CDCD1"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 xml:space="preserve">Κρυσταλλικό οξικό οξύ, σακχαρόζη, πολυσορβικό 80, υδροξείδιο του νατρίου και ενέσιμο ύδωρ. </w:t>
      </w:r>
    </w:p>
    <w:p w14:paraId="363006AF" w14:textId="77777777" w:rsidR="00171824" w:rsidRDefault="00171824">
      <w:pPr>
        <w:widowControl/>
        <w:tabs>
          <w:tab w:val="left" w:pos="567"/>
        </w:tabs>
        <w:autoSpaceDE/>
        <w:autoSpaceDN/>
        <w:adjustRightInd/>
        <w:rPr>
          <w:rFonts w:eastAsia="PMingLiU"/>
          <w:sz w:val="22"/>
          <w:szCs w:val="22"/>
          <w:lang w:val="el-GR"/>
        </w:rPr>
      </w:pPr>
    </w:p>
    <w:p w14:paraId="6B7D295C" w14:textId="77777777" w:rsidR="00171824" w:rsidRDefault="00171824">
      <w:pPr>
        <w:widowControl/>
        <w:tabs>
          <w:tab w:val="left" w:pos="567"/>
        </w:tabs>
        <w:autoSpaceDE/>
        <w:autoSpaceDN/>
        <w:adjustRightInd/>
        <w:rPr>
          <w:rFonts w:eastAsia="PMingLiU"/>
          <w:sz w:val="22"/>
          <w:szCs w:val="22"/>
          <w:lang w:val="el-GR"/>
        </w:rPr>
      </w:pPr>
    </w:p>
    <w:p w14:paraId="3BA89AB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4E436446" w14:textId="77777777" w:rsidR="00171824" w:rsidRDefault="00171824">
      <w:pPr>
        <w:widowControl/>
        <w:tabs>
          <w:tab w:val="left" w:pos="567"/>
        </w:tabs>
        <w:autoSpaceDE/>
        <w:autoSpaceDN/>
        <w:adjustRightInd/>
        <w:rPr>
          <w:rFonts w:eastAsia="PMingLiU"/>
          <w:sz w:val="22"/>
          <w:szCs w:val="22"/>
          <w:lang w:val="el-GR"/>
        </w:rPr>
      </w:pPr>
    </w:p>
    <w:p w14:paraId="0A6AA17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highlight w:val="lightGray"/>
          <w:lang w:val="el-GR" w:bidi="en-US"/>
        </w:rPr>
        <w:t>Eνέσιμο διάλυμα</w:t>
      </w:r>
    </w:p>
    <w:p w14:paraId="37C0B8AE" w14:textId="77777777" w:rsidR="00171824" w:rsidRDefault="006D258C">
      <w:pPr>
        <w:rPr>
          <w:sz w:val="22"/>
          <w:szCs w:val="22"/>
          <w:lang w:val="el-GR"/>
        </w:rPr>
      </w:pPr>
      <w:r>
        <w:rPr>
          <w:sz w:val="22"/>
          <w:szCs w:val="22"/>
          <w:lang w:val="el-GR"/>
        </w:rPr>
        <w:t>40 mg/0,8 ml</w:t>
      </w:r>
    </w:p>
    <w:p w14:paraId="7779C75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1 προγεμισμένη σύριγγα.</w:t>
      </w:r>
    </w:p>
    <w:p w14:paraId="15E27163" w14:textId="77777777" w:rsidR="00171824" w:rsidRDefault="006D258C">
      <w:pPr>
        <w:widowControl/>
        <w:tabs>
          <w:tab w:val="left" w:pos="567"/>
        </w:tabs>
        <w:autoSpaceDE/>
        <w:autoSpaceDN/>
        <w:adjustRightInd/>
        <w:rPr>
          <w:rFonts w:eastAsia="PMingLiU"/>
          <w:sz w:val="22"/>
          <w:szCs w:val="22"/>
          <w:highlight w:val="lightGray"/>
          <w:lang w:val="el-GR" w:bidi="en-US"/>
        </w:rPr>
      </w:pPr>
      <w:r>
        <w:rPr>
          <w:rFonts w:eastAsia="Arial Unicode MS" w:cs="Arial Unicode MS"/>
          <w:sz w:val="22"/>
          <w:szCs w:val="22"/>
          <w:highlight w:val="lightGray"/>
          <w:lang w:val="el-GR" w:bidi="en-US"/>
        </w:rPr>
        <w:t>2 προγεμισμένες σύριγγες.</w:t>
      </w:r>
    </w:p>
    <w:p w14:paraId="2B24AFC5" w14:textId="77777777" w:rsidR="00171824" w:rsidRDefault="006D258C">
      <w:pPr>
        <w:widowControl/>
        <w:tabs>
          <w:tab w:val="left" w:pos="567"/>
        </w:tabs>
        <w:autoSpaceDE/>
        <w:autoSpaceDN/>
        <w:adjustRightInd/>
        <w:rPr>
          <w:rFonts w:eastAsia="PMingLiU"/>
          <w:sz w:val="22"/>
          <w:szCs w:val="22"/>
          <w:highlight w:val="lightGray"/>
          <w:lang w:val="el-GR" w:bidi="en-US"/>
        </w:rPr>
      </w:pPr>
      <w:r>
        <w:rPr>
          <w:rFonts w:eastAsia="Arial Unicode MS" w:cs="Arial Unicode MS"/>
          <w:sz w:val="22"/>
          <w:szCs w:val="22"/>
          <w:highlight w:val="lightGray"/>
          <w:lang w:val="el-GR" w:bidi="en-US"/>
        </w:rPr>
        <w:t>4 προγεμισμένες σύριγγες.</w:t>
      </w:r>
    </w:p>
    <w:p w14:paraId="3977D303" w14:textId="77777777" w:rsidR="00171824" w:rsidRDefault="00171824">
      <w:pPr>
        <w:widowControl/>
        <w:tabs>
          <w:tab w:val="left" w:pos="567"/>
        </w:tabs>
        <w:autoSpaceDE/>
        <w:autoSpaceDN/>
        <w:adjustRightInd/>
        <w:rPr>
          <w:rFonts w:eastAsia="PMingLiU"/>
          <w:sz w:val="22"/>
          <w:szCs w:val="22"/>
          <w:lang w:val="el-GR"/>
        </w:rPr>
      </w:pPr>
    </w:p>
    <w:p w14:paraId="44E6E7A4" w14:textId="77777777" w:rsidR="00171824" w:rsidRDefault="00171824">
      <w:pPr>
        <w:widowControl/>
        <w:tabs>
          <w:tab w:val="left" w:pos="567"/>
        </w:tabs>
        <w:autoSpaceDE/>
        <w:autoSpaceDN/>
        <w:adjustRightInd/>
        <w:rPr>
          <w:rFonts w:eastAsia="PMingLiU"/>
          <w:sz w:val="22"/>
          <w:szCs w:val="22"/>
          <w:lang w:val="el-GR"/>
        </w:rPr>
      </w:pPr>
    </w:p>
    <w:p w14:paraId="6951585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70B6F2AB" w14:textId="77777777" w:rsidR="00171824" w:rsidRDefault="00171824">
      <w:pPr>
        <w:widowControl/>
        <w:tabs>
          <w:tab w:val="left" w:pos="567"/>
        </w:tabs>
        <w:autoSpaceDE/>
        <w:autoSpaceDN/>
        <w:adjustRightInd/>
        <w:rPr>
          <w:rFonts w:eastAsia="PMingLiU"/>
          <w:sz w:val="22"/>
          <w:szCs w:val="22"/>
          <w:lang w:val="el-GR"/>
        </w:rPr>
      </w:pPr>
    </w:p>
    <w:p w14:paraId="35888DF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Για υποδόρια χρήση.</w:t>
      </w:r>
    </w:p>
    <w:p w14:paraId="52BC3D7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1A8FB3B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15ED2129" w14:textId="77777777" w:rsidR="00171824" w:rsidRDefault="00171824">
      <w:pPr>
        <w:widowControl/>
        <w:tabs>
          <w:tab w:val="left" w:pos="567"/>
        </w:tabs>
        <w:autoSpaceDE/>
        <w:autoSpaceDN/>
        <w:adjustRightInd/>
        <w:rPr>
          <w:rFonts w:eastAsia="PMingLiU"/>
          <w:sz w:val="22"/>
          <w:szCs w:val="22"/>
          <w:lang w:val="el-GR"/>
        </w:rPr>
      </w:pPr>
    </w:p>
    <w:p w14:paraId="451DDA8A" w14:textId="77777777" w:rsidR="00171824" w:rsidRDefault="00171824">
      <w:pPr>
        <w:widowControl/>
        <w:tabs>
          <w:tab w:val="left" w:pos="567"/>
        </w:tabs>
        <w:autoSpaceDE/>
        <w:autoSpaceDN/>
        <w:adjustRightInd/>
        <w:rPr>
          <w:rFonts w:eastAsia="PMingLiU"/>
          <w:sz w:val="22"/>
          <w:szCs w:val="22"/>
          <w:lang w:val="el-GR"/>
        </w:rPr>
      </w:pPr>
    </w:p>
    <w:p w14:paraId="2555C64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66A3C1EB" w14:textId="77777777" w:rsidR="00171824" w:rsidRDefault="00171824">
      <w:pPr>
        <w:widowControl/>
        <w:tabs>
          <w:tab w:val="left" w:pos="567"/>
        </w:tabs>
        <w:autoSpaceDE/>
        <w:autoSpaceDN/>
        <w:adjustRightInd/>
        <w:rPr>
          <w:rFonts w:eastAsia="PMingLiU"/>
          <w:sz w:val="22"/>
          <w:szCs w:val="22"/>
          <w:lang w:val="el-GR"/>
        </w:rPr>
      </w:pPr>
    </w:p>
    <w:p w14:paraId="33533C73"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1B42C6B8" w14:textId="77777777" w:rsidR="00171824" w:rsidRDefault="00171824">
      <w:pPr>
        <w:widowControl/>
        <w:tabs>
          <w:tab w:val="left" w:pos="567"/>
        </w:tabs>
        <w:autoSpaceDE/>
        <w:autoSpaceDN/>
        <w:adjustRightInd/>
        <w:rPr>
          <w:rFonts w:eastAsia="PMingLiU"/>
          <w:sz w:val="22"/>
          <w:szCs w:val="22"/>
          <w:lang w:val="el-GR"/>
        </w:rPr>
      </w:pPr>
    </w:p>
    <w:p w14:paraId="6BCE4A7F" w14:textId="77777777" w:rsidR="00171824" w:rsidRDefault="00171824">
      <w:pPr>
        <w:widowControl/>
        <w:tabs>
          <w:tab w:val="left" w:pos="567"/>
        </w:tabs>
        <w:autoSpaceDE/>
        <w:autoSpaceDN/>
        <w:adjustRightInd/>
        <w:rPr>
          <w:rFonts w:eastAsia="PMingLiU"/>
          <w:sz w:val="22"/>
          <w:szCs w:val="22"/>
          <w:lang w:val="el-GR"/>
        </w:rPr>
      </w:pPr>
    </w:p>
    <w:p w14:paraId="640CD92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5BF49B0B" w14:textId="77777777" w:rsidR="00171824" w:rsidRDefault="00171824">
      <w:pPr>
        <w:widowControl/>
        <w:tabs>
          <w:tab w:val="left" w:pos="567"/>
          <w:tab w:val="left" w:pos="749"/>
        </w:tabs>
        <w:autoSpaceDE/>
        <w:autoSpaceDN/>
        <w:adjustRightInd/>
        <w:rPr>
          <w:rFonts w:eastAsia="PMingLiU"/>
          <w:sz w:val="22"/>
          <w:szCs w:val="20"/>
          <w:lang w:val="el-GR"/>
        </w:rPr>
      </w:pPr>
    </w:p>
    <w:p w14:paraId="51ECCCF6" w14:textId="77777777" w:rsidR="00171824" w:rsidRDefault="00171824">
      <w:pPr>
        <w:widowControl/>
        <w:tabs>
          <w:tab w:val="left" w:pos="567"/>
          <w:tab w:val="left" w:pos="749"/>
        </w:tabs>
        <w:autoSpaceDE/>
        <w:autoSpaceDN/>
        <w:adjustRightInd/>
        <w:rPr>
          <w:rFonts w:eastAsia="PMingLiU"/>
          <w:sz w:val="22"/>
          <w:szCs w:val="20"/>
          <w:lang w:val="el-GR"/>
        </w:rPr>
      </w:pPr>
    </w:p>
    <w:p w14:paraId="047FDCA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384099A2" w14:textId="77777777" w:rsidR="00171824" w:rsidRDefault="00171824">
      <w:pPr>
        <w:widowControl/>
        <w:tabs>
          <w:tab w:val="left" w:pos="567"/>
        </w:tabs>
        <w:autoSpaceDE/>
        <w:autoSpaceDN/>
        <w:adjustRightInd/>
        <w:rPr>
          <w:rFonts w:eastAsia="PMingLiU"/>
          <w:sz w:val="22"/>
          <w:szCs w:val="20"/>
          <w:lang w:val="el-GR"/>
        </w:rPr>
      </w:pPr>
    </w:p>
    <w:p w14:paraId="2152A0B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79EC3D2E" w14:textId="77777777" w:rsidR="00171824" w:rsidRDefault="00171824">
      <w:pPr>
        <w:widowControl/>
        <w:tabs>
          <w:tab w:val="left" w:pos="567"/>
        </w:tabs>
        <w:autoSpaceDE/>
        <w:autoSpaceDN/>
        <w:adjustRightInd/>
        <w:rPr>
          <w:rFonts w:eastAsia="PMingLiU"/>
          <w:sz w:val="22"/>
          <w:szCs w:val="22"/>
          <w:lang w:val="el-GR"/>
        </w:rPr>
      </w:pPr>
    </w:p>
    <w:p w14:paraId="76F41075" w14:textId="77777777" w:rsidR="00171824" w:rsidRDefault="00171824">
      <w:pPr>
        <w:widowControl/>
        <w:tabs>
          <w:tab w:val="left" w:pos="567"/>
        </w:tabs>
        <w:autoSpaceDE/>
        <w:autoSpaceDN/>
        <w:adjustRightInd/>
        <w:rPr>
          <w:rFonts w:eastAsia="PMingLiU"/>
          <w:sz w:val="22"/>
          <w:szCs w:val="22"/>
          <w:lang w:val="el-GR"/>
        </w:rPr>
      </w:pPr>
    </w:p>
    <w:p w14:paraId="0C28575C"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02AC2BD5" w14:textId="77777777" w:rsidR="00171824" w:rsidRDefault="00171824">
      <w:pPr>
        <w:keepNext/>
        <w:widowControl/>
        <w:tabs>
          <w:tab w:val="left" w:pos="567"/>
        </w:tabs>
        <w:autoSpaceDE/>
        <w:autoSpaceDN/>
        <w:adjustRightInd/>
        <w:rPr>
          <w:rFonts w:eastAsia="PMingLiU"/>
          <w:sz w:val="22"/>
          <w:szCs w:val="22"/>
          <w:lang w:val="el-GR"/>
        </w:rPr>
      </w:pPr>
    </w:p>
    <w:p w14:paraId="221A41D4"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645C2560"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3E12D008"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72C39BEB" w14:textId="77777777" w:rsidR="00171824" w:rsidRDefault="00171824">
      <w:pPr>
        <w:widowControl/>
        <w:tabs>
          <w:tab w:val="left" w:pos="567"/>
        </w:tabs>
        <w:autoSpaceDE/>
        <w:autoSpaceDN/>
        <w:adjustRightInd/>
        <w:rPr>
          <w:rFonts w:eastAsia="SimSun"/>
          <w:sz w:val="22"/>
          <w:szCs w:val="22"/>
          <w:lang w:val="el-GR" w:eastAsia="en-GB"/>
        </w:rPr>
      </w:pPr>
    </w:p>
    <w:p w14:paraId="55417E7B" w14:textId="77777777" w:rsidR="00171824" w:rsidRDefault="00171824">
      <w:pPr>
        <w:widowControl/>
        <w:tabs>
          <w:tab w:val="left" w:pos="567"/>
        </w:tabs>
        <w:autoSpaceDE/>
        <w:autoSpaceDN/>
        <w:adjustRightInd/>
        <w:ind w:left="567" w:hanging="567"/>
        <w:rPr>
          <w:rFonts w:eastAsia="PMingLiU"/>
          <w:sz w:val="22"/>
          <w:szCs w:val="22"/>
          <w:lang w:val="el-GR"/>
        </w:rPr>
      </w:pPr>
    </w:p>
    <w:p w14:paraId="4C9E151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679CF0F8" w14:textId="77777777" w:rsidR="00171824" w:rsidRDefault="00171824">
      <w:pPr>
        <w:widowControl/>
        <w:tabs>
          <w:tab w:val="left" w:pos="567"/>
        </w:tabs>
        <w:autoSpaceDE/>
        <w:autoSpaceDN/>
        <w:adjustRightInd/>
        <w:rPr>
          <w:rFonts w:eastAsia="PMingLiU"/>
          <w:sz w:val="22"/>
          <w:szCs w:val="22"/>
          <w:lang w:val="el-GR"/>
        </w:rPr>
      </w:pPr>
    </w:p>
    <w:p w14:paraId="0AD54877" w14:textId="77777777" w:rsidR="00171824" w:rsidRDefault="00171824">
      <w:pPr>
        <w:widowControl/>
        <w:tabs>
          <w:tab w:val="left" w:pos="567"/>
        </w:tabs>
        <w:autoSpaceDE/>
        <w:autoSpaceDN/>
        <w:adjustRightInd/>
        <w:rPr>
          <w:rFonts w:eastAsia="PMingLiU"/>
          <w:sz w:val="22"/>
          <w:szCs w:val="22"/>
          <w:lang w:val="el-GR"/>
        </w:rPr>
      </w:pPr>
    </w:p>
    <w:p w14:paraId="3349C61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30401C92" w14:textId="77777777" w:rsidR="00171824" w:rsidRDefault="00171824">
      <w:pPr>
        <w:widowControl/>
        <w:tabs>
          <w:tab w:val="left" w:pos="567"/>
        </w:tabs>
        <w:autoSpaceDE/>
        <w:autoSpaceDN/>
        <w:adjustRightInd/>
        <w:rPr>
          <w:rFonts w:eastAsia="PMingLiU"/>
          <w:sz w:val="22"/>
          <w:szCs w:val="22"/>
          <w:lang w:val="el-GR"/>
        </w:rPr>
      </w:pPr>
    </w:p>
    <w:p w14:paraId="2694CED4"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35CF60ED"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6FC629A1"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2037F4E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1DBB4605" w14:textId="77777777" w:rsidR="00171824" w:rsidRDefault="00171824">
      <w:pPr>
        <w:widowControl/>
        <w:tabs>
          <w:tab w:val="left" w:pos="567"/>
        </w:tabs>
        <w:autoSpaceDE/>
        <w:autoSpaceDN/>
        <w:adjustRightInd/>
        <w:rPr>
          <w:rFonts w:eastAsia="PMingLiU"/>
          <w:sz w:val="22"/>
          <w:szCs w:val="22"/>
          <w:lang w:val="el-GR"/>
        </w:rPr>
      </w:pPr>
    </w:p>
    <w:p w14:paraId="3479EA36" w14:textId="77777777" w:rsidR="00171824" w:rsidRDefault="00171824">
      <w:pPr>
        <w:widowControl/>
        <w:tabs>
          <w:tab w:val="left" w:pos="567"/>
        </w:tabs>
        <w:autoSpaceDE/>
        <w:autoSpaceDN/>
        <w:adjustRightInd/>
        <w:rPr>
          <w:rFonts w:eastAsia="PMingLiU"/>
          <w:sz w:val="22"/>
          <w:szCs w:val="22"/>
          <w:lang w:val="el-GR"/>
        </w:rPr>
      </w:pPr>
    </w:p>
    <w:p w14:paraId="441ADC8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558B08C0" w14:textId="77777777" w:rsidR="00171824" w:rsidRDefault="00171824">
      <w:pPr>
        <w:widowControl/>
        <w:tabs>
          <w:tab w:val="left" w:pos="567"/>
        </w:tabs>
        <w:autoSpaceDE/>
        <w:autoSpaceDN/>
        <w:adjustRightInd/>
        <w:rPr>
          <w:rFonts w:eastAsia="PMingLiU"/>
          <w:sz w:val="22"/>
          <w:szCs w:val="22"/>
          <w:lang w:val="el-GR"/>
        </w:rPr>
      </w:pPr>
    </w:p>
    <w:p w14:paraId="51DB8232" w14:textId="77777777" w:rsidR="00171824" w:rsidRDefault="006D258C">
      <w:pPr>
        <w:widowControl/>
        <w:tabs>
          <w:tab w:val="left" w:pos="567"/>
        </w:tabs>
        <w:autoSpaceDE/>
        <w:autoSpaceDN/>
        <w:adjustRightInd/>
        <w:rPr>
          <w:sz w:val="22"/>
          <w:szCs w:val="22"/>
          <w:highlight w:val="lightGray"/>
          <w:lang w:val="el-GR"/>
        </w:rPr>
      </w:pPr>
      <w:r>
        <w:rPr>
          <w:rFonts w:eastAsia="Arial Unicode MS" w:cs="Arial Unicode MS"/>
          <w:sz w:val="22"/>
          <w:szCs w:val="22"/>
          <w:lang w:val="el-GR" w:bidi="en-US"/>
        </w:rPr>
        <w:t xml:space="preserve">EU/1/16/1164/002 </w:t>
      </w:r>
      <w:r>
        <w:rPr>
          <w:rFonts w:eastAsia="Arial Unicode MS" w:cs="Arial Unicode MS"/>
          <w:sz w:val="22"/>
          <w:szCs w:val="22"/>
          <w:highlight w:val="lightGray"/>
          <w:lang w:val="el-GR" w:bidi="en-US"/>
        </w:rPr>
        <w:t>1 συσκευασία</w:t>
      </w:r>
      <w:r>
        <w:rPr>
          <w:sz w:val="22"/>
          <w:szCs w:val="22"/>
          <w:highlight w:val="lightGray"/>
          <w:lang w:val="el-GR"/>
        </w:rPr>
        <w:t xml:space="preserve"> </w:t>
      </w:r>
    </w:p>
    <w:p w14:paraId="6D1E86D6" w14:textId="77777777" w:rsidR="00171824" w:rsidRDefault="006D258C">
      <w:pPr>
        <w:widowControl/>
        <w:tabs>
          <w:tab w:val="left" w:pos="567"/>
        </w:tabs>
        <w:autoSpaceDE/>
        <w:autoSpaceDN/>
        <w:adjustRightInd/>
        <w:rPr>
          <w:sz w:val="22"/>
          <w:szCs w:val="22"/>
          <w:highlight w:val="lightGray"/>
          <w:lang w:val="el-GR"/>
        </w:rPr>
      </w:pPr>
      <w:r>
        <w:rPr>
          <w:sz w:val="22"/>
          <w:szCs w:val="22"/>
          <w:highlight w:val="lightGray"/>
          <w:lang w:val="el-GR"/>
        </w:rPr>
        <w:t xml:space="preserve">EU/1/16/1164/003 2 συσκευασίες </w:t>
      </w:r>
    </w:p>
    <w:p w14:paraId="4727B54E" w14:textId="77777777" w:rsidR="00171824" w:rsidRDefault="006D258C">
      <w:pPr>
        <w:pStyle w:val="BodyText"/>
        <w:widowControl/>
        <w:kinsoku w:val="0"/>
        <w:overflowPunct w:val="0"/>
        <w:ind w:left="0"/>
        <w:jc w:val="both"/>
        <w:rPr>
          <w:rFonts w:eastAsia="PMingLiU"/>
          <w:highlight w:val="lightGray"/>
          <w:lang w:val="el-GR" w:bidi="en-US"/>
        </w:rPr>
      </w:pPr>
      <w:r>
        <w:rPr>
          <w:highlight w:val="lightGray"/>
          <w:lang w:val="el-GR"/>
        </w:rPr>
        <w:t>EU/1/16/1164/004 4 συσκευασίες</w:t>
      </w:r>
    </w:p>
    <w:p w14:paraId="59634B06" w14:textId="77777777" w:rsidR="00171824" w:rsidRDefault="00171824">
      <w:pPr>
        <w:widowControl/>
        <w:tabs>
          <w:tab w:val="left" w:pos="567"/>
        </w:tabs>
        <w:autoSpaceDE/>
        <w:autoSpaceDN/>
        <w:adjustRightInd/>
        <w:outlineLvl w:val="0"/>
        <w:rPr>
          <w:rFonts w:eastAsia="PMingLiU"/>
          <w:sz w:val="22"/>
          <w:szCs w:val="22"/>
          <w:lang w:val="el-GR" w:bidi="en-US"/>
        </w:rPr>
      </w:pPr>
    </w:p>
    <w:p w14:paraId="51420F47" w14:textId="77777777" w:rsidR="00171824" w:rsidRDefault="00171824">
      <w:pPr>
        <w:widowControl/>
        <w:tabs>
          <w:tab w:val="left" w:pos="567"/>
        </w:tabs>
        <w:autoSpaceDE/>
        <w:autoSpaceDN/>
        <w:adjustRightInd/>
        <w:rPr>
          <w:rFonts w:eastAsia="PMingLiU"/>
          <w:sz w:val="22"/>
          <w:szCs w:val="22"/>
          <w:lang w:val="el-GR"/>
        </w:rPr>
      </w:pPr>
    </w:p>
    <w:p w14:paraId="6E50F86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33573B13" w14:textId="77777777" w:rsidR="00171824" w:rsidRDefault="00171824">
      <w:pPr>
        <w:widowControl/>
        <w:tabs>
          <w:tab w:val="left" w:pos="567"/>
        </w:tabs>
        <w:autoSpaceDE/>
        <w:autoSpaceDN/>
        <w:adjustRightInd/>
        <w:rPr>
          <w:rFonts w:eastAsia="PMingLiU"/>
          <w:i/>
          <w:sz w:val="22"/>
          <w:szCs w:val="22"/>
          <w:lang w:val="el-GR"/>
        </w:rPr>
      </w:pPr>
    </w:p>
    <w:p w14:paraId="34821AD9"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Παρτίδα</w:t>
      </w:r>
    </w:p>
    <w:p w14:paraId="7E4CD397" w14:textId="77777777" w:rsidR="00171824" w:rsidRDefault="00171824">
      <w:pPr>
        <w:widowControl/>
        <w:tabs>
          <w:tab w:val="left" w:pos="567"/>
        </w:tabs>
        <w:autoSpaceDE/>
        <w:autoSpaceDN/>
        <w:adjustRightInd/>
        <w:rPr>
          <w:rFonts w:eastAsia="PMingLiU"/>
          <w:sz w:val="22"/>
          <w:szCs w:val="22"/>
          <w:lang w:val="el-GR" w:bidi="en-US"/>
        </w:rPr>
      </w:pPr>
    </w:p>
    <w:p w14:paraId="645E431C" w14:textId="77777777" w:rsidR="00171824" w:rsidRDefault="00171824">
      <w:pPr>
        <w:widowControl/>
        <w:tabs>
          <w:tab w:val="left" w:pos="567"/>
        </w:tabs>
        <w:autoSpaceDE/>
        <w:autoSpaceDN/>
        <w:adjustRightInd/>
        <w:rPr>
          <w:rFonts w:eastAsia="PMingLiU"/>
          <w:sz w:val="22"/>
          <w:szCs w:val="22"/>
          <w:lang w:val="el-GR" w:bidi="en-US"/>
        </w:rPr>
      </w:pPr>
    </w:p>
    <w:p w14:paraId="0F4181B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5F1AC6BD" w14:textId="77777777" w:rsidR="00171824" w:rsidRDefault="00171824">
      <w:pPr>
        <w:widowControl/>
        <w:tabs>
          <w:tab w:val="left" w:pos="567"/>
        </w:tabs>
        <w:autoSpaceDE/>
        <w:autoSpaceDN/>
        <w:adjustRightInd/>
        <w:rPr>
          <w:rFonts w:eastAsia="PMingLiU"/>
          <w:i/>
          <w:sz w:val="22"/>
          <w:szCs w:val="22"/>
          <w:lang w:val="el-GR"/>
        </w:rPr>
      </w:pPr>
    </w:p>
    <w:p w14:paraId="21471867" w14:textId="77777777" w:rsidR="00171824" w:rsidRDefault="00171824">
      <w:pPr>
        <w:widowControl/>
        <w:tabs>
          <w:tab w:val="left" w:pos="567"/>
        </w:tabs>
        <w:autoSpaceDE/>
        <w:autoSpaceDN/>
        <w:adjustRightInd/>
        <w:rPr>
          <w:rFonts w:eastAsia="PMingLiU"/>
          <w:sz w:val="22"/>
          <w:szCs w:val="22"/>
          <w:lang w:val="el-GR"/>
        </w:rPr>
      </w:pPr>
    </w:p>
    <w:p w14:paraId="3F7FF5CB"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2B054670" w14:textId="77777777" w:rsidR="00171824" w:rsidRDefault="00171824">
      <w:pPr>
        <w:widowControl/>
        <w:tabs>
          <w:tab w:val="left" w:pos="567"/>
        </w:tabs>
        <w:autoSpaceDE/>
        <w:autoSpaceDN/>
        <w:adjustRightInd/>
        <w:rPr>
          <w:rFonts w:eastAsia="PMingLiU"/>
          <w:sz w:val="22"/>
          <w:szCs w:val="22"/>
          <w:lang w:val="el-GR"/>
        </w:rPr>
      </w:pPr>
    </w:p>
    <w:p w14:paraId="046BFA6D" w14:textId="77777777" w:rsidR="00171824" w:rsidRDefault="00171824">
      <w:pPr>
        <w:widowControl/>
        <w:tabs>
          <w:tab w:val="left" w:pos="567"/>
        </w:tabs>
        <w:autoSpaceDE/>
        <w:autoSpaceDN/>
        <w:adjustRightInd/>
        <w:rPr>
          <w:rFonts w:eastAsia="PMingLiU"/>
          <w:sz w:val="22"/>
          <w:szCs w:val="22"/>
          <w:lang w:val="el-GR"/>
        </w:rPr>
      </w:pPr>
    </w:p>
    <w:p w14:paraId="3D72E2DE"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7B762C1F" w14:textId="77777777" w:rsidR="00171824" w:rsidRDefault="00171824">
      <w:pPr>
        <w:widowControl/>
        <w:tabs>
          <w:tab w:val="left" w:pos="567"/>
        </w:tabs>
        <w:autoSpaceDE/>
        <w:autoSpaceDN/>
        <w:adjustRightInd/>
        <w:rPr>
          <w:rFonts w:eastAsia="PMingLiU"/>
          <w:sz w:val="22"/>
          <w:szCs w:val="20"/>
          <w:lang w:val="el-GR"/>
        </w:rPr>
      </w:pPr>
    </w:p>
    <w:p w14:paraId="7F879A6B"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AMGEVITA 40 mg/0,8 ml σύριγγα</w:t>
      </w:r>
    </w:p>
    <w:p w14:paraId="103BF023" w14:textId="77777777" w:rsidR="00171824" w:rsidRDefault="00171824">
      <w:pPr>
        <w:widowControl/>
        <w:tabs>
          <w:tab w:val="left" w:pos="567"/>
        </w:tabs>
        <w:autoSpaceDE/>
        <w:autoSpaceDN/>
        <w:adjustRightInd/>
        <w:rPr>
          <w:rFonts w:eastAsia="PMingLiU"/>
          <w:sz w:val="22"/>
          <w:szCs w:val="22"/>
          <w:highlight w:val="yellow"/>
          <w:shd w:val="clear" w:color="auto" w:fill="CCCCCC"/>
          <w:lang w:val="el-GR"/>
        </w:rPr>
      </w:pPr>
    </w:p>
    <w:p w14:paraId="66782C87"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2B5131A1"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64E9A742" w14:textId="77777777" w:rsidR="00171824" w:rsidRDefault="00171824">
      <w:pPr>
        <w:widowControl/>
        <w:autoSpaceDE/>
        <w:autoSpaceDN/>
        <w:adjustRightInd/>
        <w:rPr>
          <w:rFonts w:eastAsia="PMingLiU"/>
          <w:sz w:val="22"/>
          <w:szCs w:val="20"/>
          <w:lang w:val="el-GR"/>
        </w:rPr>
      </w:pPr>
    </w:p>
    <w:p w14:paraId="72C26A89"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277E08A0"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291DA989" w14:textId="77777777" w:rsidR="00171824" w:rsidRDefault="00171824">
      <w:pPr>
        <w:widowControl/>
        <w:autoSpaceDE/>
        <w:autoSpaceDN/>
        <w:adjustRightInd/>
        <w:rPr>
          <w:rFonts w:eastAsia="PMingLiU"/>
          <w:sz w:val="22"/>
          <w:szCs w:val="20"/>
          <w:lang w:val="el-GR"/>
        </w:rPr>
      </w:pPr>
    </w:p>
    <w:p w14:paraId="71FDA437"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lastRenderedPageBreak/>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2A91BBB5" w14:textId="77777777" w:rsidR="00171824" w:rsidRDefault="00171824">
      <w:pPr>
        <w:keepNext/>
        <w:widowControl/>
        <w:autoSpaceDE/>
        <w:autoSpaceDN/>
        <w:adjustRightInd/>
        <w:rPr>
          <w:rFonts w:eastAsia="PMingLiU"/>
          <w:sz w:val="22"/>
          <w:szCs w:val="20"/>
          <w:lang w:val="el-GR"/>
        </w:rPr>
      </w:pPr>
    </w:p>
    <w:p w14:paraId="33DACD9F"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6C0F0F72"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18D07B95"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shd w:val="clear" w:color="auto" w:fill="FFFFFF"/>
          <w:lang w:val="el-GR" w:bidi="en-US"/>
        </w:rPr>
        <w:t>NN</w:t>
      </w:r>
    </w:p>
    <w:p w14:paraId="1121BDA7" w14:textId="77777777" w:rsidR="00171824" w:rsidRDefault="006D258C">
      <w:pPr>
        <w:widowControl/>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56755DD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6F9D3D4B"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7E4557A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 w:val="center" w:pos="4594"/>
        </w:tabs>
        <w:autoSpaceDE/>
        <w:autoSpaceDN/>
        <w:adjustRightInd/>
        <w:rPr>
          <w:rFonts w:eastAsia="PMingLiU"/>
          <w:bCs/>
          <w:sz w:val="22"/>
          <w:szCs w:val="22"/>
          <w:lang w:val="el-GR" w:bidi="en-US"/>
        </w:rPr>
      </w:pPr>
      <w:r>
        <w:rPr>
          <w:rFonts w:eastAsia="Arial Unicode MS" w:cs="Arial Unicode MS"/>
          <w:b/>
          <w:sz w:val="22"/>
          <w:szCs w:val="22"/>
          <w:lang w:val="el-GR" w:bidi="en-US"/>
        </w:rPr>
        <w:t>ΕΞΩΤΕΡΙΚΟ ΚΟΥΤΙ ΓΙΑ ΠΟΛΥΣΥΣΚΕΥΑΣΙΑ ΠΡΟΓΕΜΙΣΜΕΝΩΝ ΣΥΡΙΓΓΩΝ (με blue box)</w:t>
      </w:r>
    </w:p>
    <w:p w14:paraId="4541D514" w14:textId="77777777" w:rsidR="00171824" w:rsidRDefault="00171824">
      <w:pPr>
        <w:widowControl/>
        <w:tabs>
          <w:tab w:val="left" w:pos="567"/>
        </w:tabs>
        <w:autoSpaceDE/>
        <w:autoSpaceDN/>
        <w:adjustRightInd/>
        <w:rPr>
          <w:rFonts w:eastAsia="PMingLiU"/>
          <w:sz w:val="22"/>
          <w:szCs w:val="20"/>
          <w:lang w:val="el-GR"/>
        </w:rPr>
      </w:pPr>
    </w:p>
    <w:p w14:paraId="09982787" w14:textId="77777777" w:rsidR="00171824" w:rsidRDefault="00171824">
      <w:pPr>
        <w:widowControl/>
        <w:tabs>
          <w:tab w:val="left" w:pos="567"/>
        </w:tabs>
        <w:autoSpaceDE/>
        <w:autoSpaceDN/>
        <w:adjustRightInd/>
        <w:rPr>
          <w:rFonts w:eastAsia="PMingLiU"/>
          <w:sz w:val="22"/>
          <w:szCs w:val="22"/>
          <w:lang w:val="el-GR"/>
        </w:rPr>
      </w:pPr>
    </w:p>
    <w:p w14:paraId="2D310F8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4E2E8630" w14:textId="77777777" w:rsidR="00171824" w:rsidRDefault="00171824">
      <w:pPr>
        <w:widowControl/>
        <w:tabs>
          <w:tab w:val="left" w:pos="567"/>
        </w:tabs>
        <w:autoSpaceDE/>
        <w:autoSpaceDN/>
        <w:adjustRightInd/>
        <w:rPr>
          <w:rFonts w:eastAsia="PMingLiU"/>
          <w:sz w:val="22"/>
          <w:szCs w:val="22"/>
          <w:lang w:val="el-GR"/>
        </w:rPr>
      </w:pPr>
    </w:p>
    <w:p w14:paraId="69DEC3D7"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2"/>
          <w:lang w:val="el-GR" w:bidi="en-US"/>
        </w:rPr>
        <w:t>AMGEVITA</w:t>
      </w:r>
      <w:r>
        <w:rPr>
          <w:rFonts w:eastAsia="Arial Unicode MS" w:cs="Arial Unicode MS"/>
          <w:sz w:val="22"/>
          <w:szCs w:val="20"/>
          <w:lang w:val="el-GR" w:bidi="en-US"/>
        </w:rPr>
        <w:t xml:space="preserve"> 40 mg ενέσιμο διάλυμα σε προγεμισμένη σύριγγα</w:t>
      </w:r>
    </w:p>
    <w:p w14:paraId="220BF83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403EC334" w14:textId="77777777" w:rsidR="00171824" w:rsidRDefault="00171824">
      <w:pPr>
        <w:widowControl/>
        <w:tabs>
          <w:tab w:val="left" w:pos="567"/>
        </w:tabs>
        <w:autoSpaceDE/>
        <w:autoSpaceDN/>
        <w:adjustRightInd/>
        <w:rPr>
          <w:rFonts w:eastAsia="PMingLiU"/>
          <w:sz w:val="22"/>
          <w:szCs w:val="22"/>
          <w:lang w:val="el-GR"/>
        </w:rPr>
      </w:pPr>
    </w:p>
    <w:p w14:paraId="42D37E94" w14:textId="77777777" w:rsidR="00171824" w:rsidRDefault="00171824">
      <w:pPr>
        <w:widowControl/>
        <w:tabs>
          <w:tab w:val="left" w:pos="567"/>
        </w:tabs>
        <w:autoSpaceDE/>
        <w:autoSpaceDN/>
        <w:adjustRightInd/>
        <w:rPr>
          <w:rFonts w:eastAsia="PMingLiU"/>
          <w:sz w:val="22"/>
          <w:szCs w:val="22"/>
          <w:lang w:val="el-GR"/>
        </w:rPr>
      </w:pPr>
    </w:p>
    <w:p w14:paraId="46ABC1B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4632798B" w14:textId="77777777" w:rsidR="00171824" w:rsidRDefault="00171824">
      <w:pPr>
        <w:widowControl/>
        <w:tabs>
          <w:tab w:val="left" w:pos="567"/>
        </w:tabs>
        <w:autoSpaceDE/>
        <w:autoSpaceDN/>
        <w:adjustRightInd/>
        <w:rPr>
          <w:rFonts w:eastAsia="PMingLiU"/>
          <w:sz w:val="22"/>
          <w:szCs w:val="22"/>
          <w:lang w:val="el-GR"/>
        </w:rPr>
      </w:pPr>
    </w:p>
    <w:p w14:paraId="196DA5F6" w14:textId="77777777" w:rsidR="00171824" w:rsidRDefault="006D258C">
      <w:pPr>
        <w:widowControl/>
        <w:suppressLineNumbers/>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40 mg adalimumab σε διάλυμα 0,8 ml.</w:t>
      </w:r>
    </w:p>
    <w:p w14:paraId="1E848764" w14:textId="77777777" w:rsidR="00171824" w:rsidRDefault="00171824">
      <w:pPr>
        <w:widowControl/>
        <w:tabs>
          <w:tab w:val="left" w:pos="567"/>
        </w:tabs>
        <w:autoSpaceDE/>
        <w:autoSpaceDN/>
        <w:adjustRightInd/>
        <w:rPr>
          <w:rFonts w:eastAsia="PMingLiU"/>
          <w:sz w:val="22"/>
          <w:szCs w:val="22"/>
          <w:lang w:val="el-GR"/>
        </w:rPr>
      </w:pPr>
    </w:p>
    <w:p w14:paraId="5D4AC392" w14:textId="77777777" w:rsidR="00171824" w:rsidRDefault="00171824">
      <w:pPr>
        <w:widowControl/>
        <w:tabs>
          <w:tab w:val="left" w:pos="567"/>
        </w:tabs>
        <w:autoSpaceDE/>
        <w:autoSpaceDN/>
        <w:adjustRightInd/>
        <w:rPr>
          <w:rFonts w:eastAsia="PMingLiU"/>
          <w:sz w:val="22"/>
          <w:szCs w:val="22"/>
          <w:lang w:val="el-GR"/>
        </w:rPr>
      </w:pPr>
    </w:p>
    <w:p w14:paraId="183D936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0D4BB3D4" w14:textId="77777777" w:rsidR="00171824" w:rsidRDefault="00171824">
      <w:pPr>
        <w:widowControl/>
        <w:tabs>
          <w:tab w:val="left" w:pos="567"/>
        </w:tabs>
        <w:autoSpaceDE/>
        <w:autoSpaceDN/>
        <w:adjustRightInd/>
        <w:rPr>
          <w:rFonts w:eastAsia="PMingLiU"/>
          <w:sz w:val="22"/>
          <w:szCs w:val="22"/>
          <w:lang w:val="el-GR"/>
        </w:rPr>
      </w:pPr>
    </w:p>
    <w:p w14:paraId="2C3E7959"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 xml:space="preserve">Κρυσταλλικό οξικό οξύ, σακχαρόζη, πολυσορβικό 80, υδροξείδιο του νατρίου και ενέσιμο ύδωρ. </w:t>
      </w:r>
    </w:p>
    <w:p w14:paraId="73C2210C" w14:textId="77777777" w:rsidR="00171824" w:rsidRDefault="00171824">
      <w:pPr>
        <w:widowControl/>
        <w:tabs>
          <w:tab w:val="left" w:pos="567"/>
        </w:tabs>
        <w:autoSpaceDE/>
        <w:autoSpaceDN/>
        <w:adjustRightInd/>
        <w:rPr>
          <w:rFonts w:eastAsia="PMingLiU"/>
          <w:sz w:val="22"/>
          <w:szCs w:val="22"/>
          <w:lang w:val="el-GR"/>
        </w:rPr>
      </w:pPr>
    </w:p>
    <w:p w14:paraId="797AC1C4" w14:textId="77777777" w:rsidR="00171824" w:rsidRDefault="00171824">
      <w:pPr>
        <w:widowControl/>
        <w:tabs>
          <w:tab w:val="left" w:pos="567"/>
        </w:tabs>
        <w:autoSpaceDE/>
        <w:autoSpaceDN/>
        <w:adjustRightInd/>
        <w:rPr>
          <w:rFonts w:eastAsia="PMingLiU"/>
          <w:sz w:val="22"/>
          <w:szCs w:val="22"/>
          <w:lang w:val="el-GR"/>
        </w:rPr>
      </w:pPr>
    </w:p>
    <w:p w14:paraId="7568788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43E3FA41" w14:textId="77777777" w:rsidR="00171824" w:rsidRDefault="00171824">
      <w:pPr>
        <w:widowControl/>
        <w:tabs>
          <w:tab w:val="left" w:pos="567"/>
        </w:tabs>
        <w:autoSpaceDE/>
        <w:autoSpaceDN/>
        <w:adjustRightInd/>
        <w:rPr>
          <w:rFonts w:eastAsia="PMingLiU"/>
          <w:sz w:val="22"/>
          <w:szCs w:val="22"/>
          <w:lang w:val="el-GR"/>
        </w:rPr>
      </w:pPr>
    </w:p>
    <w:p w14:paraId="1C04602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highlight w:val="lightGray"/>
          <w:lang w:val="el-GR" w:bidi="en-US"/>
        </w:rPr>
        <w:t>Eνέσιμο διάλυμα</w:t>
      </w:r>
    </w:p>
    <w:p w14:paraId="6EE9E8D9" w14:textId="77777777" w:rsidR="00171824" w:rsidRDefault="006D258C">
      <w:pPr>
        <w:rPr>
          <w:sz w:val="22"/>
          <w:szCs w:val="22"/>
          <w:lang w:val="el-GR"/>
        </w:rPr>
      </w:pPr>
      <w:r>
        <w:rPr>
          <w:sz w:val="22"/>
          <w:szCs w:val="22"/>
          <w:lang w:val="el-GR"/>
        </w:rPr>
        <w:t>40 mg/0,8 ml</w:t>
      </w:r>
    </w:p>
    <w:p w14:paraId="1E96B28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Πολυσυσκευασία: 6 (3 κουτιά των 2) προγεμισμένων συριγγών.</w:t>
      </w:r>
    </w:p>
    <w:p w14:paraId="164B11CD" w14:textId="77777777" w:rsidR="00171824" w:rsidRDefault="00171824">
      <w:pPr>
        <w:widowControl/>
        <w:tabs>
          <w:tab w:val="left" w:pos="567"/>
        </w:tabs>
        <w:autoSpaceDE/>
        <w:autoSpaceDN/>
        <w:adjustRightInd/>
        <w:rPr>
          <w:rFonts w:eastAsia="PMingLiU"/>
          <w:sz w:val="22"/>
          <w:szCs w:val="22"/>
          <w:lang w:val="el-GR"/>
        </w:rPr>
      </w:pPr>
    </w:p>
    <w:p w14:paraId="58F6A084" w14:textId="77777777" w:rsidR="00171824" w:rsidRDefault="00171824">
      <w:pPr>
        <w:widowControl/>
        <w:tabs>
          <w:tab w:val="left" w:pos="567"/>
        </w:tabs>
        <w:autoSpaceDE/>
        <w:autoSpaceDN/>
        <w:adjustRightInd/>
        <w:rPr>
          <w:rFonts w:eastAsia="PMingLiU"/>
          <w:sz w:val="22"/>
          <w:szCs w:val="22"/>
          <w:lang w:val="el-GR"/>
        </w:rPr>
      </w:pPr>
    </w:p>
    <w:p w14:paraId="0878C6E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1C72D1A0" w14:textId="77777777" w:rsidR="00171824" w:rsidRDefault="00171824">
      <w:pPr>
        <w:widowControl/>
        <w:tabs>
          <w:tab w:val="left" w:pos="567"/>
        </w:tabs>
        <w:autoSpaceDE/>
        <w:autoSpaceDN/>
        <w:adjustRightInd/>
        <w:rPr>
          <w:rFonts w:eastAsia="PMingLiU"/>
          <w:sz w:val="22"/>
          <w:szCs w:val="22"/>
          <w:lang w:val="el-GR"/>
        </w:rPr>
      </w:pPr>
    </w:p>
    <w:p w14:paraId="7BE0B4D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Για υποδόρια χρήση.</w:t>
      </w:r>
    </w:p>
    <w:p w14:paraId="7685EA5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0A7C678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619C37A6" w14:textId="77777777" w:rsidR="00171824" w:rsidRDefault="00171824">
      <w:pPr>
        <w:widowControl/>
        <w:tabs>
          <w:tab w:val="left" w:pos="567"/>
        </w:tabs>
        <w:autoSpaceDE/>
        <w:autoSpaceDN/>
        <w:adjustRightInd/>
        <w:rPr>
          <w:rFonts w:eastAsia="PMingLiU"/>
          <w:sz w:val="22"/>
          <w:szCs w:val="22"/>
          <w:lang w:val="el-GR"/>
        </w:rPr>
      </w:pPr>
    </w:p>
    <w:p w14:paraId="410FCF72" w14:textId="77777777" w:rsidR="00171824" w:rsidRDefault="00171824">
      <w:pPr>
        <w:widowControl/>
        <w:tabs>
          <w:tab w:val="left" w:pos="567"/>
        </w:tabs>
        <w:autoSpaceDE/>
        <w:autoSpaceDN/>
        <w:adjustRightInd/>
        <w:rPr>
          <w:rFonts w:eastAsia="PMingLiU"/>
          <w:sz w:val="22"/>
          <w:szCs w:val="22"/>
          <w:lang w:val="el-GR"/>
        </w:rPr>
      </w:pPr>
    </w:p>
    <w:p w14:paraId="169610B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160C478D" w14:textId="77777777" w:rsidR="00171824" w:rsidRDefault="00171824">
      <w:pPr>
        <w:widowControl/>
        <w:tabs>
          <w:tab w:val="left" w:pos="567"/>
        </w:tabs>
        <w:autoSpaceDE/>
        <w:autoSpaceDN/>
        <w:adjustRightInd/>
        <w:rPr>
          <w:rFonts w:eastAsia="PMingLiU"/>
          <w:sz w:val="22"/>
          <w:szCs w:val="22"/>
          <w:lang w:val="el-GR"/>
        </w:rPr>
      </w:pPr>
    </w:p>
    <w:p w14:paraId="7021A47E"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55B05F6C" w14:textId="77777777" w:rsidR="00171824" w:rsidRDefault="00171824">
      <w:pPr>
        <w:widowControl/>
        <w:tabs>
          <w:tab w:val="left" w:pos="567"/>
        </w:tabs>
        <w:autoSpaceDE/>
        <w:autoSpaceDN/>
        <w:adjustRightInd/>
        <w:rPr>
          <w:rFonts w:eastAsia="PMingLiU"/>
          <w:sz w:val="22"/>
          <w:szCs w:val="22"/>
          <w:lang w:val="el-GR"/>
        </w:rPr>
      </w:pPr>
    </w:p>
    <w:p w14:paraId="6A499091" w14:textId="77777777" w:rsidR="00171824" w:rsidRDefault="00171824">
      <w:pPr>
        <w:widowControl/>
        <w:tabs>
          <w:tab w:val="left" w:pos="567"/>
        </w:tabs>
        <w:autoSpaceDE/>
        <w:autoSpaceDN/>
        <w:adjustRightInd/>
        <w:rPr>
          <w:rFonts w:eastAsia="PMingLiU"/>
          <w:sz w:val="22"/>
          <w:szCs w:val="22"/>
          <w:lang w:val="el-GR"/>
        </w:rPr>
      </w:pPr>
    </w:p>
    <w:p w14:paraId="233BFED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4FAB603B" w14:textId="77777777" w:rsidR="00171824" w:rsidRDefault="00171824">
      <w:pPr>
        <w:widowControl/>
        <w:tabs>
          <w:tab w:val="left" w:pos="567"/>
          <w:tab w:val="left" w:pos="749"/>
        </w:tabs>
        <w:autoSpaceDE/>
        <w:autoSpaceDN/>
        <w:adjustRightInd/>
        <w:rPr>
          <w:rFonts w:eastAsia="PMingLiU"/>
          <w:sz w:val="22"/>
          <w:szCs w:val="20"/>
          <w:lang w:val="el-GR"/>
        </w:rPr>
      </w:pPr>
    </w:p>
    <w:p w14:paraId="7C979C22" w14:textId="77777777" w:rsidR="00171824" w:rsidRDefault="00171824">
      <w:pPr>
        <w:widowControl/>
        <w:tabs>
          <w:tab w:val="left" w:pos="567"/>
          <w:tab w:val="left" w:pos="749"/>
        </w:tabs>
        <w:autoSpaceDE/>
        <w:autoSpaceDN/>
        <w:adjustRightInd/>
        <w:rPr>
          <w:rFonts w:eastAsia="PMingLiU"/>
          <w:sz w:val="22"/>
          <w:szCs w:val="20"/>
          <w:lang w:val="el-GR"/>
        </w:rPr>
      </w:pPr>
    </w:p>
    <w:p w14:paraId="5F4DC95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4632450E" w14:textId="77777777" w:rsidR="00171824" w:rsidRDefault="00171824">
      <w:pPr>
        <w:widowControl/>
        <w:tabs>
          <w:tab w:val="left" w:pos="567"/>
        </w:tabs>
        <w:autoSpaceDE/>
        <w:autoSpaceDN/>
        <w:adjustRightInd/>
        <w:rPr>
          <w:rFonts w:eastAsia="PMingLiU"/>
          <w:sz w:val="22"/>
          <w:szCs w:val="20"/>
          <w:lang w:val="el-GR"/>
        </w:rPr>
      </w:pPr>
    </w:p>
    <w:p w14:paraId="11900F3E"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5EA5793D" w14:textId="77777777" w:rsidR="00171824" w:rsidRDefault="00171824">
      <w:pPr>
        <w:widowControl/>
        <w:tabs>
          <w:tab w:val="left" w:pos="567"/>
        </w:tabs>
        <w:autoSpaceDE/>
        <w:autoSpaceDN/>
        <w:adjustRightInd/>
        <w:rPr>
          <w:rFonts w:eastAsia="PMingLiU"/>
          <w:sz w:val="22"/>
          <w:szCs w:val="22"/>
          <w:lang w:val="el-GR"/>
        </w:rPr>
      </w:pPr>
    </w:p>
    <w:p w14:paraId="0D291073" w14:textId="77777777" w:rsidR="00171824" w:rsidRDefault="00171824">
      <w:pPr>
        <w:widowControl/>
        <w:tabs>
          <w:tab w:val="left" w:pos="567"/>
        </w:tabs>
        <w:autoSpaceDE/>
        <w:autoSpaceDN/>
        <w:adjustRightInd/>
        <w:rPr>
          <w:rFonts w:eastAsia="PMingLiU"/>
          <w:sz w:val="22"/>
          <w:szCs w:val="22"/>
          <w:lang w:val="el-GR"/>
        </w:rPr>
      </w:pPr>
    </w:p>
    <w:p w14:paraId="7B68C5D8"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7D7AE6E7" w14:textId="77777777" w:rsidR="00171824" w:rsidRDefault="00171824">
      <w:pPr>
        <w:keepNext/>
        <w:widowControl/>
        <w:tabs>
          <w:tab w:val="left" w:pos="567"/>
        </w:tabs>
        <w:autoSpaceDE/>
        <w:autoSpaceDN/>
        <w:adjustRightInd/>
        <w:rPr>
          <w:rFonts w:eastAsia="PMingLiU"/>
          <w:sz w:val="22"/>
          <w:szCs w:val="22"/>
          <w:lang w:val="el-GR"/>
        </w:rPr>
      </w:pPr>
    </w:p>
    <w:p w14:paraId="6EF91A6F"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65781187"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4A4555F6"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60FFAA1D" w14:textId="77777777" w:rsidR="00171824" w:rsidRDefault="00171824">
      <w:pPr>
        <w:widowControl/>
        <w:tabs>
          <w:tab w:val="left" w:pos="567"/>
        </w:tabs>
        <w:autoSpaceDE/>
        <w:autoSpaceDN/>
        <w:adjustRightInd/>
        <w:rPr>
          <w:rFonts w:eastAsia="SimSun"/>
          <w:sz w:val="22"/>
          <w:szCs w:val="22"/>
          <w:lang w:val="el-GR" w:eastAsia="en-GB"/>
        </w:rPr>
      </w:pPr>
    </w:p>
    <w:p w14:paraId="4B2DFC04" w14:textId="77777777" w:rsidR="00171824" w:rsidRDefault="00171824">
      <w:pPr>
        <w:widowControl/>
        <w:tabs>
          <w:tab w:val="left" w:pos="567"/>
        </w:tabs>
        <w:autoSpaceDE/>
        <w:autoSpaceDN/>
        <w:adjustRightInd/>
        <w:ind w:left="567" w:hanging="567"/>
        <w:rPr>
          <w:rFonts w:eastAsia="PMingLiU"/>
          <w:sz w:val="22"/>
          <w:szCs w:val="22"/>
          <w:lang w:val="el-GR"/>
        </w:rPr>
      </w:pPr>
    </w:p>
    <w:p w14:paraId="3E2A0B5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6E027D18" w14:textId="77777777" w:rsidR="00171824" w:rsidRDefault="00171824">
      <w:pPr>
        <w:widowControl/>
        <w:tabs>
          <w:tab w:val="left" w:pos="567"/>
        </w:tabs>
        <w:autoSpaceDE/>
        <w:autoSpaceDN/>
        <w:adjustRightInd/>
        <w:rPr>
          <w:rFonts w:eastAsia="PMingLiU"/>
          <w:sz w:val="22"/>
          <w:szCs w:val="22"/>
          <w:lang w:val="el-GR"/>
        </w:rPr>
      </w:pPr>
    </w:p>
    <w:p w14:paraId="7085F628" w14:textId="77777777" w:rsidR="00171824" w:rsidRDefault="00171824">
      <w:pPr>
        <w:widowControl/>
        <w:tabs>
          <w:tab w:val="left" w:pos="567"/>
        </w:tabs>
        <w:autoSpaceDE/>
        <w:autoSpaceDN/>
        <w:adjustRightInd/>
        <w:rPr>
          <w:rFonts w:eastAsia="PMingLiU"/>
          <w:sz w:val="22"/>
          <w:szCs w:val="22"/>
          <w:lang w:val="el-GR"/>
        </w:rPr>
      </w:pPr>
    </w:p>
    <w:p w14:paraId="5E4140D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08621A28" w14:textId="77777777" w:rsidR="00171824" w:rsidRDefault="00171824">
      <w:pPr>
        <w:widowControl/>
        <w:tabs>
          <w:tab w:val="left" w:pos="567"/>
        </w:tabs>
        <w:autoSpaceDE/>
        <w:autoSpaceDN/>
        <w:adjustRightInd/>
        <w:rPr>
          <w:rFonts w:eastAsia="PMingLiU"/>
          <w:sz w:val="22"/>
          <w:szCs w:val="22"/>
          <w:lang w:val="el-GR"/>
        </w:rPr>
      </w:pPr>
    </w:p>
    <w:p w14:paraId="36922907"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203CC9BC"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5714031E"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35C87D3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6778E00D" w14:textId="77777777" w:rsidR="00171824" w:rsidRDefault="00171824">
      <w:pPr>
        <w:widowControl/>
        <w:tabs>
          <w:tab w:val="left" w:pos="567"/>
        </w:tabs>
        <w:autoSpaceDE/>
        <w:autoSpaceDN/>
        <w:adjustRightInd/>
        <w:rPr>
          <w:rFonts w:eastAsia="PMingLiU"/>
          <w:sz w:val="22"/>
          <w:szCs w:val="22"/>
          <w:lang w:val="el-GR"/>
        </w:rPr>
      </w:pPr>
    </w:p>
    <w:p w14:paraId="23384597" w14:textId="77777777" w:rsidR="00171824" w:rsidRDefault="00171824">
      <w:pPr>
        <w:widowControl/>
        <w:tabs>
          <w:tab w:val="left" w:pos="567"/>
        </w:tabs>
        <w:autoSpaceDE/>
        <w:autoSpaceDN/>
        <w:adjustRightInd/>
        <w:rPr>
          <w:rFonts w:eastAsia="PMingLiU"/>
          <w:sz w:val="22"/>
          <w:szCs w:val="22"/>
          <w:lang w:val="el-GR"/>
        </w:rPr>
      </w:pPr>
    </w:p>
    <w:p w14:paraId="40D276C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6524016A" w14:textId="77777777" w:rsidR="00171824" w:rsidRDefault="00171824">
      <w:pPr>
        <w:widowControl/>
        <w:tabs>
          <w:tab w:val="left" w:pos="567"/>
        </w:tabs>
        <w:autoSpaceDE/>
        <w:autoSpaceDN/>
        <w:adjustRightInd/>
        <w:rPr>
          <w:rFonts w:eastAsia="PMingLiU"/>
          <w:sz w:val="22"/>
          <w:szCs w:val="22"/>
          <w:lang w:val="el-GR"/>
        </w:rPr>
      </w:pPr>
    </w:p>
    <w:p w14:paraId="31573E23"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 xml:space="preserve">EU/1/16/1164/005 </w:t>
      </w:r>
    </w:p>
    <w:p w14:paraId="7AF79D80" w14:textId="77777777" w:rsidR="00171824" w:rsidRDefault="00171824">
      <w:pPr>
        <w:widowControl/>
        <w:tabs>
          <w:tab w:val="left" w:pos="567"/>
        </w:tabs>
        <w:autoSpaceDE/>
        <w:autoSpaceDN/>
        <w:adjustRightInd/>
        <w:outlineLvl w:val="0"/>
        <w:rPr>
          <w:rFonts w:eastAsia="PMingLiU"/>
          <w:sz w:val="22"/>
          <w:szCs w:val="22"/>
          <w:lang w:val="el-GR" w:bidi="en-US"/>
        </w:rPr>
      </w:pPr>
    </w:p>
    <w:p w14:paraId="08624112" w14:textId="77777777" w:rsidR="00171824" w:rsidRDefault="00171824">
      <w:pPr>
        <w:widowControl/>
        <w:tabs>
          <w:tab w:val="left" w:pos="567"/>
        </w:tabs>
        <w:autoSpaceDE/>
        <w:autoSpaceDN/>
        <w:adjustRightInd/>
        <w:rPr>
          <w:rFonts w:eastAsia="PMingLiU"/>
          <w:sz w:val="22"/>
          <w:szCs w:val="22"/>
          <w:lang w:val="el-GR"/>
        </w:rPr>
      </w:pPr>
    </w:p>
    <w:p w14:paraId="3C6715E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ΑΡΙΘΜΟΣ ΠΑΡΤΙΔΑΣ</w:t>
      </w:r>
    </w:p>
    <w:p w14:paraId="59BFE189" w14:textId="77777777" w:rsidR="00171824" w:rsidRDefault="00171824">
      <w:pPr>
        <w:widowControl/>
        <w:tabs>
          <w:tab w:val="left" w:pos="567"/>
        </w:tabs>
        <w:autoSpaceDE/>
        <w:autoSpaceDN/>
        <w:adjustRightInd/>
        <w:rPr>
          <w:rFonts w:eastAsia="PMingLiU"/>
          <w:i/>
          <w:sz w:val="22"/>
          <w:szCs w:val="22"/>
          <w:lang w:val="el-GR"/>
        </w:rPr>
      </w:pPr>
    </w:p>
    <w:p w14:paraId="313C1B7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69F65DC6" w14:textId="77777777" w:rsidR="00171824" w:rsidRDefault="00171824">
      <w:pPr>
        <w:widowControl/>
        <w:tabs>
          <w:tab w:val="left" w:pos="567"/>
        </w:tabs>
        <w:autoSpaceDE/>
        <w:autoSpaceDN/>
        <w:adjustRightInd/>
        <w:rPr>
          <w:rFonts w:eastAsia="PMingLiU"/>
          <w:sz w:val="22"/>
          <w:szCs w:val="22"/>
          <w:lang w:val="el-GR"/>
        </w:rPr>
      </w:pPr>
    </w:p>
    <w:p w14:paraId="2B7861F4" w14:textId="77777777" w:rsidR="00171824" w:rsidRDefault="00171824">
      <w:pPr>
        <w:widowControl/>
        <w:tabs>
          <w:tab w:val="left" w:pos="567"/>
        </w:tabs>
        <w:autoSpaceDE/>
        <w:autoSpaceDN/>
        <w:adjustRightInd/>
        <w:rPr>
          <w:rFonts w:eastAsia="PMingLiU"/>
          <w:sz w:val="22"/>
          <w:szCs w:val="22"/>
          <w:lang w:val="el-GR"/>
        </w:rPr>
      </w:pPr>
    </w:p>
    <w:p w14:paraId="44528C2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2DD6BA90" w14:textId="77777777" w:rsidR="00171824" w:rsidRDefault="00171824">
      <w:pPr>
        <w:widowControl/>
        <w:tabs>
          <w:tab w:val="left" w:pos="567"/>
        </w:tabs>
        <w:autoSpaceDE/>
        <w:autoSpaceDN/>
        <w:adjustRightInd/>
        <w:rPr>
          <w:rFonts w:eastAsia="PMingLiU"/>
          <w:sz w:val="22"/>
          <w:szCs w:val="22"/>
          <w:lang w:val="el-GR"/>
        </w:rPr>
      </w:pPr>
    </w:p>
    <w:p w14:paraId="21BFE15C" w14:textId="77777777" w:rsidR="00171824" w:rsidRDefault="00171824">
      <w:pPr>
        <w:widowControl/>
        <w:tabs>
          <w:tab w:val="left" w:pos="567"/>
        </w:tabs>
        <w:autoSpaceDE/>
        <w:autoSpaceDN/>
        <w:adjustRightInd/>
        <w:rPr>
          <w:rFonts w:eastAsia="PMingLiU"/>
          <w:sz w:val="22"/>
          <w:szCs w:val="22"/>
          <w:lang w:val="el-GR"/>
        </w:rPr>
      </w:pPr>
    </w:p>
    <w:p w14:paraId="59353EFE"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6ABE756E" w14:textId="77777777" w:rsidR="00171824" w:rsidRDefault="00171824">
      <w:pPr>
        <w:widowControl/>
        <w:tabs>
          <w:tab w:val="left" w:pos="567"/>
        </w:tabs>
        <w:autoSpaceDE/>
        <w:autoSpaceDN/>
        <w:adjustRightInd/>
        <w:rPr>
          <w:rFonts w:eastAsia="PMingLiU"/>
          <w:sz w:val="22"/>
          <w:szCs w:val="22"/>
          <w:lang w:val="el-GR"/>
        </w:rPr>
      </w:pPr>
    </w:p>
    <w:p w14:paraId="27ABF107" w14:textId="77777777" w:rsidR="00171824" w:rsidRDefault="00171824">
      <w:pPr>
        <w:widowControl/>
        <w:tabs>
          <w:tab w:val="left" w:pos="567"/>
        </w:tabs>
        <w:autoSpaceDE/>
        <w:autoSpaceDN/>
        <w:adjustRightInd/>
        <w:rPr>
          <w:rFonts w:eastAsia="PMingLiU"/>
          <w:sz w:val="22"/>
          <w:szCs w:val="22"/>
          <w:lang w:val="el-GR"/>
        </w:rPr>
      </w:pPr>
    </w:p>
    <w:p w14:paraId="0A4A5AE2"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618D5290" w14:textId="77777777" w:rsidR="00171824" w:rsidRDefault="00171824">
      <w:pPr>
        <w:widowControl/>
        <w:tabs>
          <w:tab w:val="left" w:pos="567"/>
        </w:tabs>
        <w:autoSpaceDE/>
        <w:autoSpaceDN/>
        <w:adjustRightInd/>
        <w:rPr>
          <w:rFonts w:eastAsia="PMingLiU"/>
          <w:sz w:val="22"/>
          <w:szCs w:val="20"/>
          <w:lang w:val="el-GR"/>
        </w:rPr>
      </w:pPr>
    </w:p>
    <w:p w14:paraId="05A53C94" w14:textId="77777777" w:rsidR="00171824" w:rsidRDefault="006D258C">
      <w:pPr>
        <w:widowControl/>
        <w:tabs>
          <w:tab w:val="left" w:pos="567"/>
        </w:tabs>
        <w:autoSpaceDE/>
        <w:autoSpaceDN/>
        <w:adjustRightInd/>
        <w:rPr>
          <w:rFonts w:eastAsia="PMingLiU"/>
          <w:sz w:val="22"/>
          <w:szCs w:val="22"/>
          <w:highlight w:val="yellow"/>
          <w:shd w:val="clear" w:color="auto" w:fill="CCCCCC"/>
          <w:lang w:val="el-GR" w:bidi="en-US"/>
        </w:rPr>
      </w:pPr>
      <w:r>
        <w:rPr>
          <w:rFonts w:eastAsia="Arial Unicode MS" w:cs="Arial Unicode MS"/>
          <w:sz w:val="22"/>
          <w:szCs w:val="20"/>
          <w:lang w:val="el-GR" w:bidi="en-US"/>
        </w:rPr>
        <w:t>AMGEVITA 40 mg/0,8 ml σύριγγα</w:t>
      </w:r>
    </w:p>
    <w:p w14:paraId="2F119A36"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5155D60B"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65014853"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7D407A4E" w14:textId="77777777" w:rsidR="00171824" w:rsidRDefault="00171824">
      <w:pPr>
        <w:widowControl/>
        <w:autoSpaceDE/>
        <w:autoSpaceDN/>
        <w:adjustRightInd/>
        <w:rPr>
          <w:rFonts w:eastAsia="PMingLiU"/>
          <w:sz w:val="22"/>
          <w:szCs w:val="20"/>
          <w:lang w:val="el-GR"/>
        </w:rPr>
      </w:pPr>
    </w:p>
    <w:p w14:paraId="2DA10097"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14A07D3F"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6BF18BF0"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2C925CEA"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lastRenderedPageBreak/>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0603580D" w14:textId="77777777" w:rsidR="00171824" w:rsidRDefault="00171824">
      <w:pPr>
        <w:keepNext/>
        <w:widowControl/>
        <w:autoSpaceDE/>
        <w:autoSpaceDN/>
        <w:adjustRightInd/>
        <w:rPr>
          <w:rFonts w:eastAsia="PMingLiU"/>
          <w:sz w:val="22"/>
          <w:szCs w:val="20"/>
          <w:lang w:val="el-GR"/>
        </w:rPr>
      </w:pPr>
    </w:p>
    <w:p w14:paraId="4955926F"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72DF9080"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05B77916" w14:textId="77777777" w:rsidR="00171824" w:rsidRDefault="006D258C">
      <w:pPr>
        <w:keepNext/>
        <w:widowControl/>
        <w:shd w:val="clear" w:color="auto" w:fill="FFFFFF"/>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6AACFAC2"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091CE668"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34BFD5E9" w14:textId="77777777" w:rsidR="00171824" w:rsidRDefault="00171824">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3E7E12FA"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ΕΝΔΙΑΜΕΣΟ ΚΟΥΤΙ ΓΙΑ ΠΟΛΥΣΥΣΚΕΥΑΣΙΑ ΠΡΟΓΕΜΙΣΜΕΝΗΣ ΣΥΡΙΓΓΑΣ (χωρίς blue box)</w:t>
      </w:r>
    </w:p>
    <w:p w14:paraId="05AAD7AB" w14:textId="77777777" w:rsidR="00171824" w:rsidRDefault="00171824">
      <w:pPr>
        <w:keepNext/>
        <w:widowControl/>
        <w:tabs>
          <w:tab w:val="left" w:pos="567"/>
        </w:tabs>
        <w:autoSpaceDE/>
        <w:autoSpaceDN/>
        <w:adjustRightInd/>
        <w:rPr>
          <w:rFonts w:eastAsia="PMingLiU"/>
          <w:sz w:val="22"/>
          <w:szCs w:val="20"/>
          <w:lang w:val="el-GR"/>
        </w:rPr>
      </w:pPr>
    </w:p>
    <w:p w14:paraId="06205C3E" w14:textId="77777777" w:rsidR="00171824" w:rsidRDefault="00171824">
      <w:pPr>
        <w:keepNext/>
        <w:widowControl/>
        <w:tabs>
          <w:tab w:val="left" w:pos="567"/>
        </w:tabs>
        <w:autoSpaceDE/>
        <w:autoSpaceDN/>
        <w:adjustRightInd/>
        <w:rPr>
          <w:rFonts w:eastAsia="PMingLiU"/>
          <w:sz w:val="22"/>
          <w:szCs w:val="22"/>
          <w:lang w:val="el-GR"/>
        </w:rPr>
      </w:pPr>
    </w:p>
    <w:p w14:paraId="227F74F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0EB600CB" w14:textId="77777777" w:rsidR="00171824" w:rsidRDefault="00171824">
      <w:pPr>
        <w:widowControl/>
        <w:tabs>
          <w:tab w:val="left" w:pos="567"/>
        </w:tabs>
        <w:autoSpaceDE/>
        <w:autoSpaceDN/>
        <w:adjustRightInd/>
        <w:rPr>
          <w:rFonts w:eastAsia="PMingLiU"/>
          <w:sz w:val="22"/>
          <w:szCs w:val="22"/>
          <w:lang w:val="el-GR"/>
        </w:rPr>
      </w:pPr>
    </w:p>
    <w:p w14:paraId="77492AE8"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ενέσιμο διάλυμα σε προγεμισμένη σύριγγα</w:t>
      </w:r>
    </w:p>
    <w:p w14:paraId="4D000B3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15BAACB9" w14:textId="77777777" w:rsidR="00171824" w:rsidRDefault="00171824">
      <w:pPr>
        <w:widowControl/>
        <w:tabs>
          <w:tab w:val="left" w:pos="567"/>
        </w:tabs>
        <w:autoSpaceDE/>
        <w:autoSpaceDN/>
        <w:adjustRightInd/>
        <w:rPr>
          <w:rFonts w:eastAsia="PMingLiU"/>
          <w:sz w:val="22"/>
          <w:szCs w:val="22"/>
          <w:lang w:val="el-GR"/>
        </w:rPr>
      </w:pPr>
    </w:p>
    <w:p w14:paraId="3580FF16" w14:textId="77777777" w:rsidR="00171824" w:rsidRDefault="00171824">
      <w:pPr>
        <w:widowControl/>
        <w:tabs>
          <w:tab w:val="left" w:pos="567"/>
        </w:tabs>
        <w:autoSpaceDE/>
        <w:autoSpaceDN/>
        <w:adjustRightInd/>
        <w:rPr>
          <w:rFonts w:eastAsia="PMingLiU"/>
          <w:sz w:val="22"/>
          <w:szCs w:val="22"/>
          <w:lang w:val="el-GR"/>
        </w:rPr>
      </w:pPr>
    </w:p>
    <w:p w14:paraId="30C6CC9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55A31E95" w14:textId="77777777" w:rsidR="00171824" w:rsidRDefault="00171824">
      <w:pPr>
        <w:widowControl/>
        <w:tabs>
          <w:tab w:val="left" w:pos="567"/>
        </w:tabs>
        <w:autoSpaceDE/>
        <w:autoSpaceDN/>
        <w:adjustRightInd/>
        <w:rPr>
          <w:rFonts w:eastAsia="PMingLiU"/>
          <w:sz w:val="22"/>
          <w:szCs w:val="22"/>
          <w:lang w:val="el-GR"/>
        </w:rPr>
      </w:pPr>
    </w:p>
    <w:p w14:paraId="6DD92BA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40 mg adalimumab σε διάλυμα 0,8 ml.</w:t>
      </w:r>
    </w:p>
    <w:p w14:paraId="3F6C39E6" w14:textId="77777777" w:rsidR="00171824" w:rsidRDefault="00171824">
      <w:pPr>
        <w:widowControl/>
        <w:tabs>
          <w:tab w:val="left" w:pos="567"/>
        </w:tabs>
        <w:autoSpaceDE/>
        <w:autoSpaceDN/>
        <w:adjustRightInd/>
        <w:rPr>
          <w:rFonts w:eastAsia="PMingLiU"/>
          <w:sz w:val="22"/>
          <w:szCs w:val="22"/>
          <w:lang w:val="el-GR"/>
        </w:rPr>
      </w:pPr>
    </w:p>
    <w:p w14:paraId="35F60831" w14:textId="77777777" w:rsidR="00171824" w:rsidRDefault="00171824">
      <w:pPr>
        <w:widowControl/>
        <w:tabs>
          <w:tab w:val="left" w:pos="567"/>
        </w:tabs>
        <w:autoSpaceDE/>
        <w:autoSpaceDN/>
        <w:adjustRightInd/>
        <w:rPr>
          <w:rFonts w:eastAsia="PMingLiU"/>
          <w:sz w:val="22"/>
          <w:szCs w:val="22"/>
          <w:lang w:val="el-GR"/>
        </w:rPr>
      </w:pPr>
    </w:p>
    <w:p w14:paraId="3AA51F4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6BAD108C" w14:textId="77777777" w:rsidR="00171824" w:rsidRDefault="00171824">
      <w:pPr>
        <w:widowControl/>
        <w:tabs>
          <w:tab w:val="left" w:pos="567"/>
        </w:tabs>
        <w:autoSpaceDE/>
        <w:autoSpaceDN/>
        <w:adjustRightInd/>
        <w:rPr>
          <w:rFonts w:eastAsia="PMingLiU"/>
          <w:sz w:val="22"/>
          <w:szCs w:val="22"/>
          <w:lang w:val="el-GR"/>
        </w:rPr>
      </w:pPr>
    </w:p>
    <w:p w14:paraId="6960C870"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Κρυσταλλικό οξικό οξύ, σακχαρόζη, πολυσορβικό 80, υδροξείδιο του νατρίου και ενέσιμο ύδωρ.</w:t>
      </w:r>
    </w:p>
    <w:p w14:paraId="40F65B03" w14:textId="77777777" w:rsidR="00171824" w:rsidRDefault="00171824">
      <w:pPr>
        <w:widowControl/>
        <w:tabs>
          <w:tab w:val="left" w:pos="567"/>
        </w:tabs>
        <w:autoSpaceDE/>
        <w:autoSpaceDN/>
        <w:adjustRightInd/>
        <w:rPr>
          <w:rFonts w:eastAsia="PMingLiU"/>
          <w:sz w:val="22"/>
          <w:szCs w:val="22"/>
          <w:lang w:val="el-GR"/>
        </w:rPr>
      </w:pPr>
    </w:p>
    <w:p w14:paraId="460E5243" w14:textId="77777777" w:rsidR="00171824" w:rsidRDefault="00171824">
      <w:pPr>
        <w:widowControl/>
        <w:tabs>
          <w:tab w:val="left" w:pos="567"/>
        </w:tabs>
        <w:autoSpaceDE/>
        <w:autoSpaceDN/>
        <w:adjustRightInd/>
        <w:rPr>
          <w:rFonts w:eastAsia="PMingLiU"/>
          <w:sz w:val="22"/>
          <w:szCs w:val="22"/>
          <w:lang w:val="el-GR"/>
        </w:rPr>
      </w:pPr>
    </w:p>
    <w:p w14:paraId="2E76BBD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1C1014D9" w14:textId="77777777" w:rsidR="00171824" w:rsidRDefault="00171824">
      <w:pPr>
        <w:widowControl/>
        <w:tabs>
          <w:tab w:val="left" w:pos="567"/>
        </w:tabs>
        <w:autoSpaceDE/>
        <w:autoSpaceDN/>
        <w:adjustRightInd/>
        <w:rPr>
          <w:rFonts w:eastAsia="PMingLiU"/>
          <w:sz w:val="22"/>
          <w:szCs w:val="22"/>
          <w:lang w:val="el-GR"/>
        </w:rPr>
      </w:pPr>
    </w:p>
    <w:p w14:paraId="2FFC8D1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06BD9768" w14:textId="77777777" w:rsidR="00171824" w:rsidRDefault="006D258C">
      <w:pPr>
        <w:rPr>
          <w:sz w:val="22"/>
          <w:szCs w:val="22"/>
          <w:lang w:val="el-GR"/>
        </w:rPr>
      </w:pPr>
      <w:r>
        <w:rPr>
          <w:sz w:val="22"/>
          <w:szCs w:val="22"/>
          <w:lang w:val="el-GR"/>
        </w:rPr>
        <w:t>40 mg/0,8 ml</w:t>
      </w:r>
    </w:p>
    <w:p w14:paraId="32662169"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2 προγεμισμένες σύριγγες. Μέρος πολυσυσκευασίας, δεν μπορεί να πωληθεί ξεχωριστά.</w:t>
      </w:r>
    </w:p>
    <w:p w14:paraId="131C8E91" w14:textId="77777777" w:rsidR="00171824" w:rsidRDefault="00171824">
      <w:pPr>
        <w:widowControl/>
        <w:tabs>
          <w:tab w:val="left" w:pos="567"/>
        </w:tabs>
        <w:autoSpaceDE/>
        <w:autoSpaceDN/>
        <w:adjustRightInd/>
        <w:rPr>
          <w:rFonts w:eastAsia="PMingLiU"/>
          <w:sz w:val="22"/>
          <w:szCs w:val="22"/>
          <w:lang w:val="el-GR"/>
        </w:rPr>
      </w:pPr>
    </w:p>
    <w:p w14:paraId="499606D9" w14:textId="77777777" w:rsidR="00171824" w:rsidRDefault="00171824">
      <w:pPr>
        <w:widowControl/>
        <w:tabs>
          <w:tab w:val="left" w:pos="567"/>
        </w:tabs>
        <w:autoSpaceDE/>
        <w:autoSpaceDN/>
        <w:adjustRightInd/>
        <w:rPr>
          <w:rFonts w:eastAsia="PMingLiU"/>
          <w:sz w:val="22"/>
          <w:szCs w:val="22"/>
          <w:lang w:val="el-GR"/>
        </w:rPr>
      </w:pPr>
    </w:p>
    <w:p w14:paraId="1B91993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3BAE7E8F" w14:textId="77777777" w:rsidR="00171824" w:rsidRDefault="00171824">
      <w:pPr>
        <w:widowControl/>
        <w:tabs>
          <w:tab w:val="left" w:pos="567"/>
        </w:tabs>
        <w:autoSpaceDE/>
        <w:autoSpaceDN/>
        <w:adjustRightInd/>
        <w:rPr>
          <w:rFonts w:eastAsia="PMingLiU"/>
          <w:sz w:val="22"/>
          <w:szCs w:val="20"/>
          <w:lang w:val="el-GR"/>
        </w:rPr>
      </w:pPr>
    </w:p>
    <w:p w14:paraId="303A0FA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3E77ACD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102DD9B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4A07259D" w14:textId="77777777" w:rsidR="00171824" w:rsidRDefault="00171824">
      <w:pPr>
        <w:widowControl/>
        <w:tabs>
          <w:tab w:val="left" w:pos="567"/>
        </w:tabs>
        <w:autoSpaceDE/>
        <w:autoSpaceDN/>
        <w:adjustRightInd/>
        <w:rPr>
          <w:rFonts w:eastAsia="PMingLiU"/>
          <w:sz w:val="22"/>
          <w:szCs w:val="22"/>
          <w:lang w:val="el-GR"/>
        </w:rPr>
      </w:pPr>
    </w:p>
    <w:p w14:paraId="0F3ADED7" w14:textId="77777777" w:rsidR="00171824" w:rsidRDefault="00171824">
      <w:pPr>
        <w:widowControl/>
        <w:tabs>
          <w:tab w:val="left" w:pos="567"/>
        </w:tabs>
        <w:autoSpaceDE/>
        <w:autoSpaceDN/>
        <w:adjustRightInd/>
        <w:rPr>
          <w:rFonts w:eastAsia="PMingLiU"/>
          <w:sz w:val="22"/>
          <w:szCs w:val="22"/>
          <w:lang w:val="el-GR"/>
        </w:rPr>
      </w:pPr>
    </w:p>
    <w:p w14:paraId="608399A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33AB44D6" w14:textId="77777777" w:rsidR="00171824" w:rsidRDefault="00171824">
      <w:pPr>
        <w:widowControl/>
        <w:tabs>
          <w:tab w:val="left" w:pos="567"/>
        </w:tabs>
        <w:autoSpaceDE/>
        <w:autoSpaceDN/>
        <w:adjustRightInd/>
        <w:rPr>
          <w:rFonts w:eastAsia="PMingLiU"/>
          <w:sz w:val="22"/>
          <w:szCs w:val="22"/>
          <w:lang w:val="el-GR"/>
        </w:rPr>
      </w:pPr>
    </w:p>
    <w:p w14:paraId="4C7C880E"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607C5168" w14:textId="77777777" w:rsidR="00171824" w:rsidRDefault="00171824">
      <w:pPr>
        <w:widowControl/>
        <w:tabs>
          <w:tab w:val="left" w:pos="567"/>
        </w:tabs>
        <w:autoSpaceDE/>
        <w:autoSpaceDN/>
        <w:adjustRightInd/>
        <w:rPr>
          <w:rFonts w:eastAsia="PMingLiU"/>
          <w:sz w:val="22"/>
          <w:szCs w:val="22"/>
          <w:lang w:val="el-GR"/>
        </w:rPr>
      </w:pPr>
    </w:p>
    <w:p w14:paraId="1C4BF832" w14:textId="77777777" w:rsidR="00171824" w:rsidRDefault="00171824">
      <w:pPr>
        <w:widowControl/>
        <w:tabs>
          <w:tab w:val="left" w:pos="567"/>
        </w:tabs>
        <w:autoSpaceDE/>
        <w:autoSpaceDN/>
        <w:adjustRightInd/>
        <w:rPr>
          <w:rFonts w:eastAsia="PMingLiU"/>
          <w:sz w:val="22"/>
          <w:szCs w:val="22"/>
          <w:lang w:val="el-GR"/>
        </w:rPr>
      </w:pPr>
    </w:p>
    <w:p w14:paraId="297D61D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4A1F607A" w14:textId="77777777" w:rsidR="00171824" w:rsidRDefault="00171824">
      <w:pPr>
        <w:widowControl/>
        <w:tabs>
          <w:tab w:val="left" w:pos="567"/>
        </w:tabs>
        <w:autoSpaceDE/>
        <w:autoSpaceDN/>
        <w:adjustRightInd/>
        <w:rPr>
          <w:rFonts w:eastAsia="PMingLiU"/>
          <w:sz w:val="22"/>
          <w:szCs w:val="22"/>
          <w:lang w:val="el-GR"/>
        </w:rPr>
      </w:pPr>
    </w:p>
    <w:p w14:paraId="30C50D53" w14:textId="77777777" w:rsidR="00171824" w:rsidRDefault="00171824">
      <w:pPr>
        <w:widowControl/>
        <w:tabs>
          <w:tab w:val="left" w:pos="567"/>
          <w:tab w:val="left" w:pos="749"/>
        </w:tabs>
        <w:autoSpaceDE/>
        <w:autoSpaceDN/>
        <w:adjustRightInd/>
        <w:rPr>
          <w:rFonts w:eastAsia="PMingLiU"/>
          <w:sz w:val="22"/>
          <w:szCs w:val="20"/>
          <w:lang w:val="el-GR"/>
        </w:rPr>
      </w:pPr>
    </w:p>
    <w:p w14:paraId="129CFD4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2BAE25C7" w14:textId="77777777" w:rsidR="00171824" w:rsidRDefault="00171824">
      <w:pPr>
        <w:widowControl/>
        <w:tabs>
          <w:tab w:val="left" w:pos="567"/>
        </w:tabs>
        <w:autoSpaceDE/>
        <w:autoSpaceDN/>
        <w:adjustRightInd/>
        <w:rPr>
          <w:rFonts w:eastAsia="PMingLiU"/>
          <w:sz w:val="22"/>
          <w:szCs w:val="20"/>
          <w:lang w:val="el-GR"/>
        </w:rPr>
      </w:pPr>
    </w:p>
    <w:p w14:paraId="52EBFC9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4246EB27" w14:textId="77777777" w:rsidR="00171824" w:rsidRDefault="00171824">
      <w:pPr>
        <w:widowControl/>
        <w:tabs>
          <w:tab w:val="left" w:pos="567"/>
        </w:tabs>
        <w:autoSpaceDE/>
        <w:autoSpaceDN/>
        <w:adjustRightInd/>
        <w:rPr>
          <w:rFonts w:eastAsia="PMingLiU"/>
          <w:sz w:val="22"/>
          <w:szCs w:val="22"/>
          <w:lang w:val="el-GR"/>
        </w:rPr>
      </w:pPr>
    </w:p>
    <w:p w14:paraId="35B80206" w14:textId="77777777" w:rsidR="00171824" w:rsidRDefault="00171824">
      <w:pPr>
        <w:widowControl/>
        <w:tabs>
          <w:tab w:val="left" w:pos="567"/>
        </w:tabs>
        <w:autoSpaceDE/>
        <w:autoSpaceDN/>
        <w:adjustRightInd/>
        <w:rPr>
          <w:rFonts w:eastAsia="PMingLiU"/>
          <w:sz w:val="22"/>
          <w:szCs w:val="22"/>
          <w:lang w:val="el-GR"/>
        </w:rPr>
      </w:pPr>
    </w:p>
    <w:p w14:paraId="6F326543"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7B63A74F" w14:textId="77777777" w:rsidR="00171824" w:rsidRDefault="00171824">
      <w:pPr>
        <w:keepNext/>
        <w:widowControl/>
        <w:tabs>
          <w:tab w:val="left" w:pos="567"/>
        </w:tabs>
        <w:autoSpaceDE/>
        <w:autoSpaceDN/>
        <w:adjustRightInd/>
        <w:rPr>
          <w:rFonts w:eastAsia="PMingLiU"/>
          <w:sz w:val="22"/>
          <w:szCs w:val="22"/>
          <w:lang w:val="el-GR"/>
        </w:rPr>
      </w:pPr>
    </w:p>
    <w:p w14:paraId="39167829"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2E0C9D7B"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35023055"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3004ECA5" w14:textId="77777777" w:rsidR="00171824" w:rsidRDefault="00171824">
      <w:pPr>
        <w:widowControl/>
        <w:tabs>
          <w:tab w:val="left" w:pos="567"/>
        </w:tabs>
        <w:autoSpaceDE/>
        <w:autoSpaceDN/>
        <w:adjustRightInd/>
        <w:rPr>
          <w:rFonts w:eastAsia="SimSun"/>
          <w:sz w:val="22"/>
          <w:szCs w:val="22"/>
          <w:lang w:val="el-GR" w:eastAsia="en-GB"/>
        </w:rPr>
      </w:pPr>
    </w:p>
    <w:p w14:paraId="47F73F85" w14:textId="77777777" w:rsidR="00171824" w:rsidRDefault="00171824">
      <w:pPr>
        <w:widowControl/>
        <w:tabs>
          <w:tab w:val="left" w:pos="567"/>
        </w:tabs>
        <w:autoSpaceDE/>
        <w:autoSpaceDN/>
        <w:adjustRightInd/>
        <w:rPr>
          <w:rFonts w:eastAsia="SimSun"/>
          <w:sz w:val="22"/>
          <w:szCs w:val="22"/>
          <w:lang w:val="el-GR" w:eastAsia="en-GB"/>
        </w:rPr>
      </w:pPr>
    </w:p>
    <w:p w14:paraId="734CB96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617116A1" w14:textId="77777777" w:rsidR="00171824" w:rsidRDefault="00171824">
      <w:pPr>
        <w:widowControl/>
        <w:tabs>
          <w:tab w:val="left" w:pos="567"/>
        </w:tabs>
        <w:autoSpaceDE/>
        <w:autoSpaceDN/>
        <w:adjustRightInd/>
        <w:rPr>
          <w:rFonts w:eastAsia="PMingLiU"/>
          <w:sz w:val="22"/>
          <w:szCs w:val="22"/>
          <w:lang w:val="el-GR"/>
        </w:rPr>
      </w:pPr>
    </w:p>
    <w:p w14:paraId="4A7E0E81" w14:textId="77777777" w:rsidR="00171824" w:rsidRDefault="00171824">
      <w:pPr>
        <w:widowControl/>
        <w:tabs>
          <w:tab w:val="left" w:pos="567"/>
        </w:tabs>
        <w:autoSpaceDE/>
        <w:autoSpaceDN/>
        <w:adjustRightInd/>
        <w:rPr>
          <w:rFonts w:eastAsia="PMingLiU"/>
          <w:sz w:val="22"/>
          <w:szCs w:val="22"/>
          <w:lang w:val="el-GR"/>
        </w:rPr>
      </w:pPr>
    </w:p>
    <w:p w14:paraId="60FF59E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3F28FA77" w14:textId="77777777" w:rsidR="00171824" w:rsidRDefault="00171824">
      <w:pPr>
        <w:widowControl/>
        <w:tabs>
          <w:tab w:val="left" w:pos="567"/>
        </w:tabs>
        <w:autoSpaceDE/>
        <w:autoSpaceDN/>
        <w:adjustRightInd/>
        <w:rPr>
          <w:rFonts w:eastAsia="PMingLiU"/>
          <w:sz w:val="22"/>
          <w:szCs w:val="22"/>
          <w:lang w:val="el-GR"/>
        </w:rPr>
      </w:pPr>
    </w:p>
    <w:p w14:paraId="221D7143"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5E8EDC7F"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29ADE714"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0F86B62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3E076989" w14:textId="77777777" w:rsidR="00171824" w:rsidRDefault="00171824">
      <w:pPr>
        <w:widowControl/>
        <w:tabs>
          <w:tab w:val="left" w:pos="567"/>
        </w:tabs>
        <w:autoSpaceDE/>
        <w:autoSpaceDN/>
        <w:adjustRightInd/>
        <w:rPr>
          <w:rFonts w:eastAsia="PMingLiU"/>
          <w:sz w:val="22"/>
          <w:szCs w:val="22"/>
          <w:lang w:val="el-GR"/>
        </w:rPr>
      </w:pPr>
    </w:p>
    <w:p w14:paraId="3D688569" w14:textId="77777777" w:rsidR="00171824" w:rsidRDefault="00171824">
      <w:pPr>
        <w:widowControl/>
        <w:tabs>
          <w:tab w:val="left" w:pos="567"/>
        </w:tabs>
        <w:autoSpaceDE/>
        <w:autoSpaceDN/>
        <w:adjustRightInd/>
        <w:rPr>
          <w:rFonts w:eastAsia="PMingLiU"/>
          <w:sz w:val="22"/>
          <w:szCs w:val="22"/>
          <w:lang w:val="el-GR"/>
        </w:rPr>
      </w:pPr>
    </w:p>
    <w:p w14:paraId="6DD2E26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4E44CB1B" w14:textId="77777777" w:rsidR="00171824" w:rsidRDefault="00171824">
      <w:pPr>
        <w:widowControl/>
        <w:tabs>
          <w:tab w:val="left" w:pos="567"/>
        </w:tabs>
        <w:autoSpaceDE/>
        <w:autoSpaceDN/>
        <w:adjustRightInd/>
        <w:rPr>
          <w:rFonts w:eastAsia="PMingLiU"/>
          <w:sz w:val="22"/>
          <w:szCs w:val="22"/>
          <w:lang w:val="el-GR"/>
        </w:rPr>
      </w:pPr>
    </w:p>
    <w:p w14:paraId="4030B97A"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 xml:space="preserve">EU/1/16/1164/005 </w:t>
      </w:r>
    </w:p>
    <w:p w14:paraId="28486207" w14:textId="77777777" w:rsidR="00171824" w:rsidRDefault="00171824">
      <w:pPr>
        <w:widowControl/>
        <w:tabs>
          <w:tab w:val="left" w:pos="567"/>
        </w:tabs>
        <w:autoSpaceDE/>
        <w:autoSpaceDN/>
        <w:adjustRightInd/>
        <w:outlineLvl w:val="0"/>
        <w:rPr>
          <w:rFonts w:eastAsia="PMingLiU"/>
          <w:sz w:val="22"/>
          <w:szCs w:val="22"/>
          <w:lang w:val="el-GR" w:bidi="en-US"/>
        </w:rPr>
      </w:pPr>
    </w:p>
    <w:p w14:paraId="7BE55ED0" w14:textId="77777777" w:rsidR="00171824" w:rsidRDefault="00171824">
      <w:pPr>
        <w:widowControl/>
        <w:tabs>
          <w:tab w:val="left" w:pos="567"/>
        </w:tabs>
        <w:autoSpaceDE/>
        <w:autoSpaceDN/>
        <w:adjustRightInd/>
        <w:rPr>
          <w:rFonts w:eastAsia="PMingLiU"/>
          <w:sz w:val="22"/>
          <w:szCs w:val="22"/>
          <w:lang w:val="el-GR"/>
        </w:rPr>
      </w:pPr>
    </w:p>
    <w:p w14:paraId="29733B3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44B364F4" w14:textId="77777777" w:rsidR="00171824" w:rsidRDefault="00171824">
      <w:pPr>
        <w:widowControl/>
        <w:tabs>
          <w:tab w:val="left" w:pos="567"/>
        </w:tabs>
        <w:autoSpaceDE/>
        <w:autoSpaceDN/>
        <w:adjustRightInd/>
        <w:rPr>
          <w:rFonts w:eastAsia="PMingLiU"/>
          <w:i/>
          <w:sz w:val="22"/>
          <w:szCs w:val="22"/>
          <w:lang w:val="el-GR"/>
        </w:rPr>
      </w:pPr>
    </w:p>
    <w:p w14:paraId="3134B26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4DAD7B2D" w14:textId="77777777" w:rsidR="00171824" w:rsidRDefault="00171824">
      <w:pPr>
        <w:widowControl/>
        <w:tabs>
          <w:tab w:val="left" w:pos="567"/>
        </w:tabs>
        <w:autoSpaceDE/>
        <w:autoSpaceDN/>
        <w:adjustRightInd/>
        <w:rPr>
          <w:rFonts w:eastAsia="PMingLiU"/>
          <w:sz w:val="22"/>
          <w:szCs w:val="22"/>
          <w:lang w:val="el-GR"/>
        </w:rPr>
      </w:pPr>
    </w:p>
    <w:p w14:paraId="135B520E" w14:textId="77777777" w:rsidR="00171824" w:rsidRDefault="00171824">
      <w:pPr>
        <w:widowControl/>
        <w:tabs>
          <w:tab w:val="left" w:pos="567"/>
        </w:tabs>
        <w:autoSpaceDE/>
        <w:autoSpaceDN/>
        <w:adjustRightInd/>
        <w:rPr>
          <w:rFonts w:eastAsia="PMingLiU"/>
          <w:sz w:val="22"/>
          <w:szCs w:val="22"/>
          <w:lang w:val="el-GR"/>
        </w:rPr>
      </w:pPr>
    </w:p>
    <w:p w14:paraId="31679B5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6EBFDBB4" w14:textId="77777777" w:rsidR="00171824" w:rsidRDefault="00171824">
      <w:pPr>
        <w:widowControl/>
        <w:tabs>
          <w:tab w:val="left" w:pos="567"/>
        </w:tabs>
        <w:autoSpaceDE/>
        <w:autoSpaceDN/>
        <w:adjustRightInd/>
        <w:rPr>
          <w:rFonts w:eastAsia="PMingLiU"/>
          <w:i/>
          <w:sz w:val="22"/>
          <w:szCs w:val="22"/>
          <w:lang w:val="el-GR"/>
        </w:rPr>
      </w:pPr>
    </w:p>
    <w:p w14:paraId="515C8CF0" w14:textId="77777777" w:rsidR="00171824" w:rsidRDefault="00171824">
      <w:pPr>
        <w:widowControl/>
        <w:tabs>
          <w:tab w:val="left" w:pos="567"/>
        </w:tabs>
        <w:autoSpaceDE/>
        <w:autoSpaceDN/>
        <w:adjustRightInd/>
        <w:rPr>
          <w:rFonts w:eastAsia="PMingLiU"/>
          <w:sz w:val="22"/>
          <w:szCs w:val="22"/>
          <w:lang w:val="el-GR"/>
        </w:rPr>
      </w:pPr>
    </w:p>
    <w:p w14:paraId="6697B976"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65B2E1BF" w14:textId="77777777" w:rsidR="00171824" w:rsidRDefault="00171824">
      <w:pPr>
        <w:widowControl/>
        <w:tabs>
          <w:tab w:val="left" w:pos="567"/>
        </w:tabs>
        <w:autoSpaceDE/>
        <w:autoSpaceDN/>
        <w:adjustRightInd/>
        <w:rPr>
          <w:rFonts w:eastAsia="PMingLiU"/>
          <w:sz w:val="22"/>
          <w:szCs w:val="22"/>
          <w:lang w:val="el-GR"/>
        </w:rPr>
      </w:pPr>
    </w:p>
    <w:p w14:paraId="1A8B3C39" w14:textId="77777777" w:rsidR="00171824" w:rsidRDefault="00171824">
      <w:pPr>
        <w:widowControl/>
        <w:tabs>
          <w:tab w:val="left" w:pos="567"/>
        </w:tabs>
        <w:autoSpaceDE/>
        <w:autoSpaceDN/>
        <w:adjustRightInd/>
        <w:rPr>
          <w:rFonts w:eastAsia="PMingLiU"/>
          <w:sz w:val="22"/>
          <w:szCs w:val="22"/>
          <w:lang w:val="el-GR"/>
        </w:rPr>
      </w:pPr>
    </w:p>
    <w:p w14:paraId="6A921665"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017209AC" w14:textId="77777777" w:rsidR="00171824" w:rsidRDefault="00171824">
      <w:pPr>
        <w:widowControl/>
        <w:tabs>
          <w:tab w:val="left" w:pos="567"/>
        </w:tabs>
        <w:autoSpaceDE/>
        <w:autoSpaceDN/>
        <w:adjustRightInd/>
        <w:rPr>
          <w:rFonts w:eastAsia="PMingLiU"/>
          <w:sz w:val="22"/>
          <w:szCs w:val="20"/>
          <w:lang w:val="el-GR"/>
        </w:rPr>
      </w:pPr>
    </w:p>
    <w:p w14:paraId="0EE9AAF5"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AMGEVITA 40 mg/0,8 ml σύριγγα</w:t>
      </w:r>
    </w:p>
    <w:p w14:paraId="35503792"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6170B4B7" w14:textId="77777777" w:rsidR="00171824" w:rsidRDefault="00171824">
      <w:pPr>
        <w:widowControl/>
        <w:tabs>
          <w:tab w:val="left" w:pos="567"/>
        </w:tabs>
        <w:autoSpaceDE/>
        <w:autoSpaceDN/>
        <w:adjustRightInd/>
        <w:rPr>
          <w:rFonts w:eastAsia="Arial Unicode MS" w:cs="Arial Unicode MS"/>
          <w:sz w:val="22"/>
          <w:szCs w:val="22"/>
          <w:lang w:val="el-GR" w:bidi="en-US"/>
        </w:rPr>
      </w:pPr>
    </w:p>
    <w:tbl>
      <w:tblPr>
        <w:tblW w:w="935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56"/>
      </w:tblGrid>
      <w:tr w:rsidR="00171824" w:rsidRPr="00422380" w14:paraId="78360E43" w14:textId="77777777">
        <w:trPr>
          <w:trHeight w:val="61"/>
        </w:trPr>
        <w:tc>
          <w:tcPr>
            <w:tcW w:w="9356" w:type="dxa"/>
          </w:tcPr>
          <w:p w14:paraId="3BD1BC6A" w14:textId="77777777" w:rsidR="00171824" w:rsidRDefault="006D258C">
            <w:pPr>
              <w:widowControl/>
              <w:tabs>
                <w:tab w:val="left" w:pos="567"/>
              </w:tabs>
              <w:autoSpaceDE/>
              <w:autoSpaceDN/>
              <w:adjustRightInd/>
              <w:rPr>
                <w:rFonts w:eastAsia="Arial Unicode MS" w:cs="Arial Unicode MS"/>
                <w:b/>
                <w:sz w:val="22"/>
                <w:szCs w:val="22"/>
                <w:lang w:val="el-GR" w:bidi="en-US"/>
              </w:rPr>
            </w:pPr>
            <w:r>
              <w:rPr>
                <w:rFonts w:eastAsia="Arial Unicode MS" w:cs="Arial Unicode MS"/>
                <w:b/>
                <w:sz w:val="22"/>
                <w:szCs w:val="22"/>
                <w:lang w:val="el-GR" w:bidi="en-US"/>
              </w:rPr>
              <w:t>17.</w:t>
            </w:r>
            <w:r>
              <w:rPr>
                <w:rFonts w:eastAsia="Arial Unicode MS" w:cs="Arial Unicode MS"/>
                <w:b/>
                <w:sz w:val="22"/>
                <w:szCs w:val="22"/>
                <w:lang w:val="el-GR" w:bidi="en-US"/>
              </w:rPr>
              <w:tab/>
              <w:t>ΜΟΝΑΔΙΚΟΣ ΑΝΑΓΝΩΡΙΣΤΙΚΟΣ ΚΩΔΙΚΟΣ – ΔΙΣΔΙΑΣΤΑΤΟΣ ΓΡΑΜΜΩΤΟΣ</w:t>
            </w:r>
          </w:p>
        </w:tc>
      </w:tr>
      <w:tr w:rsidR="00171824" w14:paraId="1B8C7D31" w14:textId="77777777">
        <w:trPr>
          <w:trHeight w:val="363"/>
        </w:trPr>
        <w:tc>
          <w:tcPr>
            <w:tcW w:w="9356" w:type="dxa"/>
          </w:tcPr>
          <w:p w14:paraId="4CCE25C9" w14:textId="77777777" w:rsidR="00171824" w:rsidRDefault="006D258C">
            <w:pPr>
              <w:widowControl/>
              <w:autoSpaceDE/>
              <w:autoSpaceDN/>
              <w:adjustRightInd/>
              <w:ind w:left="567"/>
              <w:rPr>
                <w:rFonts w:eastAsia="Arial Unicode MS" w:cs="Arial Unicode MS"/>
                <w:i/>
                <w:sz w:val="22"/>
                <w:szCs w:val="22"/>
                <w:lang w:val="el-GR" w:bidi="en-US"/>
              </w:rPr>
            </w:pPr>
            <w:r>
              <w:rPr>
                <w:rFonts w:eastAsia="Arial Unicode MS" w:cs="Arial Unicode MS"/>
                <w:b/>
                <w:sz w:val="22"/>
                <w:szCs w:val="22"/>
                <w:lang w:val="el-GR" w:bidi="en-US"/>
              </w:rPr>
              <w:t>ΚΩΔΙΚΑΣ (2D)</w:t>
            </w:r>
          </w:p>
        </w:tc>
      </w:tr>
    </w:tbl>
    <w:p w14:paraId="77AB8D39" w14:textId="77777777" w:rsidR="00171824" w:rsidRDefault="00171824">
      <w:pPr>
        <w:widowControl/>
        <w:tabs>
          <w:tab w:val="left" w:pos="567"/>
        </w:tabs>
        <w:autoSpaceDE/>
        <w:autoSpaceDN/>
        <w:adjustRightInd/>
        <w:rPr>
          <w:rFonts w:eastAsia="Arial Unicode MS" w:cs="Arial Unicode MS"/>
          <w:sz w:val="22"/>
          <w:szCs w:val="22"/>
          <w:highlight w:val="yellow"/>
          <w:lang w:val="el-GR" w:bidi="en-US"/>
        </w:rPr>
      </w:pPr>
    </w:p>
    <w:p w14:paraId="0B55CE67" w14:textId="77777777" w:rsidR="00171824" w:rsidRDefault="00171824">
      <w:pPr>
        <w:widowControl/>
        <w:tabs>
          <w:tab w:val="left" w:pos="567"/>
        </w:tabs>
        <w:autoSpaceDE/>
        <w:autoSpaceDN/>
        <w:adjustRightInd/>
        <w:rPr>
          <w:rFonts w:eastAsia="Arial Unicode MS" w:cs="Arial Unicode MS"/>
          <w:sz w:val="22"/>
          <w:szCs w:val="22"/>
          <w:lang w:val="el-GR" w:bidi="en-US"/>
        </w:rPr>
      </w:pPr>
    </w:p>
    <w:tbl>
      <w:tblPr>
        <w:tblW w:w="93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90"/>
      </w:tblGrid>
      <w:tr w:rsidR="00171824" w:rsidRPr="00422380" w14:paraId="142A2C62" w14:textId="77777777">
        <w:trPr>
          <w:trHeight w:val="66"/>
        </w:trPr>
        <w:tc>
          <w:tcPr>
            <w:tcW w:w="9390" w:type="dxa"/>
          </w:tcPr>
          <w:p w14:paraId="75DC0148" w14:textId="77777777" w:rsidR="00171824" w:rsidRDefault="006D258C">
            <w:pPr>
              <w:widowControl/>
              <w:tabs>
                <w:tab w:val="left" w:pos="567"/>
              </w:tabs>
              <w:autoSpaceDE/>
              <w:autoSpaceDN/>
              <w:adjustRightInd/>
              <w:rPr>
                <w:rFonts w:eastAsia="Arial Unicode MS" w:cs="Arial Unicode MS"/>
                <w:b/>
                <w:sz w:val="22"/>
                <w:szCs w:val="22"/>
                <w:lang w:val="el-GR" w:bidi="en-US"/>
              </w:rPr>
            </w:pPr>
            <w:r>
              <w:rPr>
                <w:rFonts w:eastAsia="Arial Unicode MS" w:cs="Arial Unicode MS"/>
                <w:b/>
                <w:sz w:val="22"/>
                <w:szCs w:val="22"/>
                <w:lang w:val="el-GR" w:bidi="en-US"/>
              </w:rPr>
              <w:t>18.</w:t>
            </w:r>
            <w:r>
              <w:rPr>
                <w:rFonts w:eastAsia="Arial Unicode MS" w:cs="Arial Unicode MS"/>
                <w:b/>
                <w:sz w:val="22"/>
                <w:szCs w:val="22"/>
                <w:lang w:val="el-GR" w:bidi="en-US"/>
              </w:rPr>
              <w:tab/>
              <w:t xml:space="preserve">ΜΟΝΑΔΙΚΟΣ ΑΝΑΓΝΩΡΙΣΤΙΚΟΣ ΚΩΔΙΚΟΣ </w:t>
            </w:r>
            <w:r>
              <w:rPr>
                <w:rFonts w:eastAsia="Arial Unicode MS" w:cs="Arial Unicode MS"/>
                <w:sz w:val="22"/>
                <w:szCs w:val="22"/>
                <w:lang w:val="el-GR" w:bidi="en-US"/>
              </w:rPr>
              <w:t>-</w:t>
            </w:r>
            <w:r>
              <w:rPr>
                <w:rFonts w:eastAsia="Arial Unicode MS" w:cs="Arial Unicode MS"/>
                <w:b/>
                <w:sz w:val="22"/>
                <w:szCs w:val="22"/>
                <w:lang w:val="el-GR" w:bidi="en-US"/>
              </w:rPr>
              <w:t xml:space="preserve"> ΔΕΔΟΜΕΝΑ ΑΝΑΓΝΩΣΙΜΑ</w:t>
            </w:r>
          </w:p>
        </w:tc>
      </w:tr>
      <w:tr w:rsidR="00171824" w14:paraId="5013D686" w14:textId="77777777">
        <w:trPr>
          <w:trHeight w:val="451"/>
        </w:trPr>
        <w:tc>
          <w:tcPr>
            <w:tcW w:w="9390" w:type="dxa"/>
          </w:tcPr>
          <w:p w14:paraId="30F55D94" w14:textId="77777777" w:rsidR="00171824" w:rsidRDefault="006D258C">
            <w:pPr>
              <w:widowControl/>
              <w:autoSpaceDE/>
              <w:autoSpaceDN/>
              <w:adjustRightInd/>
              <w:ind w:left="567"/>
              <w:rPr>
                <w:rFonts w:eastAsia="Arial Unicode MS" w:cs="Arial Unicode MS"/>
                <w:i/>
                <w:sz w:val="22"/>
                <w:szCs w:val="22"/>
                <w:lang w:val="el-GR" w:bidi="en-US"/>
              </w:rPr>
            </w:pPr>
            <w:r>
              <w:rPr>
                <w:rFonts w:eastAsia="Arial Unicode MS" w:cs="Arial Unicode MS"/>
                <w:b/>
                <w:sz w:val="22"/>
                <w:szCs w:val="22"/>
                <w:lang w:val="el-GR" w:bidi="en-US"/>
              </w:rPr>
              <w:t>ΑΠΟ ΤΟΝ ΑΝΘΡΩΠΟ</w:t>
            </w:r>
          </w:p>
        </w:tc>
      </w:tr>
    </w:tbl>
    <w:p w14:paraId="2419B1C4"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08C572F0"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19D726A6" w14:textId="77777777" w:rsidR="00171824" w:rsidRDefault="006D258C">
      <w:pPr>
        <w:widowControl/>
        <w:tabs>
          <w:tab w:val="left" w:pos="567"/>
        </w:tabs>
        <w:autoSpaceDE/>
        <w:autoSpaceDN/>
        <w:adjustRightInd/>
        <w:rPr>
          <w:rFonts w:eastAsia="PMingLiU"/>
          <w:b/>
          <w:sz w:val="22"/>
          <w:szCs w:val="22"/>
          <w:lang w:val="el-GR" w:bidi="en-US"/>
        </w:rPr>
      </w:pPr>
      <w:r>
        <w:rPr>
          <w:rFonts w:eastAsia="PMingLiU"/>
          <w:b/>
          <w:sz w:val="22"/>
          <w:szCs w:val="22"/>
          <w:lang w:val="el-GR" w:bidi="en-US"/>
        </w:rPr>
        <w:br w:type="page"/>
      </w:r>
    </w:p>
    <w:p w14:paraId="6DF2706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ΕΛΑΧΙΣΤΕΣ ΕΝΔΕΙ ΞΕΙΣ ΠΟΥ ΠΡΕΠΕΙ ΝΑ ΑΝΑΓΡΑΦΟΝΤΑΙ ΣΤΙΣ ΜΙΚΡΕΣ ΣΤΟΙΧΕΙΩΔΕΙΣ ΣΥΣΚΕΥΑΣΙΕΣ</w:t>
      </w:r>
    </w:p>
    <w:p w14:paraId="08CE8E1D"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rPr>
      </w:pPr>
    </w:p>
    <w:p w14:paraId="772EA3A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t>ΕΠΙΣΗΜΑΝΣΗ ΣΥΡΙΓΓΑΣ</w:t>
      </w:r>
    </w:p>
    <w:p w14:paraId="53495BEA" w14:textId="77777777" w:rsidR="00171824" w:rsidRDefault="00171824">
      <w:pPr>
        <w:widowControl/>
        <w:tabs>
          <w:tab w:val="left" w:pos="567"/>
        </w:tabs>
        <w:autoSpaceDE/>
        <w:autoSpaceDN/>
        <w:adjustRightInd/>
        <w:rPr>
          <w:rFonts w:eastAsia="PMingLiU"/>
          <w:sz w:val="22"/>
          <w:szCs w:val="22"/>
          <w:lang w:val="el-GR"/>
        </w:rPr>
      </w:pPr>
    </w:p>
    <w:p w14:paraId="405811D3" w14:textId="77777777" w:rsidR="00171824" w:rsidRDefault="00171824">
      <w:pPr>
        <w:widowControl/>
        <w:tabs>
          <w:tab w:val="left" w:pos="567"/>
        </w:tabs>
        <w:autoSpaceDE/>
        <w:autoSpaceDN/>
        <w:adjustRightInd/>
        <w:rPr>
          <w:rFonts w:eastAsia="PMingLiU"/>
          <w:sz w:val="22"/>
          <w:szCs w:val="22"/>
          <w:lang w:val="el-GR"/>
        </w:rPr>
      </w:pPr>
    </w:p>
    <w:p w14:paraId="0DB0A21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w:t>
      </w:r>
      <w:r>
        <w:rPr>
          <w:rFonts w:eastAsia="Arial Unicode MS" w:cs="Arial Unicode MS"/>
          <w:b/>
          <w:sz w:val="22"/>
          <w:szCs w:val="22"/>
          <w:lang w:val="el-GR" w:bidi="en-US"/>
        </w:rPr>
        <w:tab/>
        <w:t>ΟΝΟΜΑΣΙΑ ΤΟΥ ΦΑΡΜΑΚΕΥΤΙΚΟΥ ΠΡΟΪΟΝΤΟΣ ΚΑΙ ΟΔΟΣ(ΟΙ) ΧΟΡΗΓΗΣΗΣ</w:t>
      </w:r>
    </w:p>
    <w:p w14:paraId="4C484A44" w14:textId="77777777" w:rsidR="00171824" w:rsidRDefault="00171824">
      <w:pPr>
        <w:widowControl/>
        <w:tabs>
          <w:tab w:val="left" w:pos="567"/>
        </w:tabs>
        <w:autoSpaceDE/>
        <w:autoSpaceDN/>
        <w:adjustRightInd/>
        <w:ind w:left="567" w:hanging="567"/>
        <w:rPr>
          <w:rFonts w:eastAsia="PMingLiU"/>
          <w:sz w:val="22"/>
          <w:szCs w:val="22"/>
          <w:lang w:val="el-GR"/>
        </w:rPr>
      </w:pPr>
    </w:p>
    <w:p w14:paraId="0C55E5B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ένεση</w:t>
      </w:r>
    </w:p>
    <w:p w14:paraId="565ACDF0"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749B40F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Υποδόρια</w:t>
      </w:r>
    </w:p>
    <w:p w14:paraId="0317EFDE" w14:textId="77777777" w:rsidR="00171824" w:rsidRDefault="00171824">
      <w:pPr>
        <w:widowControl/>
        <w:tabs>
          <w:tab w:val="left" w:pos="567"/>
        </w:tabs>
        <w:autoSpaceDE/>
        <w:autoSpaceDN/>
        <w:adjustRightInd/>
        <w:rPr>
          <w:rFonts w:eastAsia="PMingLiU"/>
          <w:sz w:val="22"/>
          <w:szCs w:val="22"/>
          <w:lang w:val="el-GR"/>
        </w:rPr>
      </w:pPr>
    </w:p>
    <w:p w14:paraId="4859CAAD" w14:textId="77777777" w:rsidR="00171824" w:rsidRDefault="00171824">
      <w:pPr>
        <w:widowControl/>
        <w:tabs>
          <w:tab w:val="left" w:pos="567"/>
        </w:tabs>
        <w:autoSpaceDE/>
        <w:autoSpaceDN/>
        <w:adjustRightInd/>
        <w:rPr>
          <w:rFonts w:eastAsia="PMingLiU"/>
          <w:sz w:val="22"/>
          <w:szCs w:val="22"/>
          <w:lang w:val="el-GR"/>
        </w:rPr>
      </w:pPr>
    </w:p>
    <w:p w14:paraId="37C11D1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ΤΡΟΠΟΣ ΧΟΡΗΓΗΣΗΣ</w:t>
      </w:r>
    </w:p>
    <w:p w14:paraId="068544A9" w14:textId="77777777" w:rsidR="00171824" w:rsidRDefault="00171824">
      <w:pPr>
        <w:widowControl/>
        <w:tabs>
          <w:tab w:val="left" w:pos="567"/>
        </w:tabs>
        <w:autoSpaceDE/>
        <w:autoSpaceDN/>
        <w:adjustRightInd/>
        <w:rPr>
          <w:rFonts w:eastAsia="PMingLiU"/>
          <w:sz w:val="22"/>
          <w:szCs w:val="22"/>
          <w:lang w:val="el-GR"/>
        </w:rPr>
      </w:pPr>
    </w:p>
    <w:p w14:paraId="41A7CA4E" w14:textId="77777777" w:rsidR="00171824" w:rsidRDefault="00171824">
      <w:pPr>
        <w:widowControl/>
        <w:tabs>
          <w:tab w:val="left" w:pos="567"/>
        </w:tabs>
        <w:autoSpaceDE/>
        <w:autoSpaceDN/>
        <w:adjustRightInd/>
        <w:rPr>
          <w:rFonts w:eastAsia="PMingLiU"/>
          <w:sz w:val="22"/>
          <w:szCs w:val="22"/>
          <w:lang w:val="el-GR"/>
        </w:rPr>
      </w:pPr>
    </w:p>
    <w:p w14:paraId="5D08F40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ΗΜΕΡΟΜΗΝΙΑ ΛΗΞΗΣ</w:t>
      </w:r>
    </w:p>
    <w:p w14:paraId="3B871E71" w14:textId="77777777" w:rsidR="00171824" w:rsidRDefault="00171824">
      <w:pPr>
        <w:widowControl/>
        <w:tabs>
          <w:tab w:val="left" w:pos="567"/>
        </w:tabs>
        <w:autoSpaceDE/>
        <w:autoSpaceDN/>
        <w:adjustRightInd/>
        <w:rPr>
          <w:rFonts w:eastAsia="PMingLiU"/>
          <w:sz w:val="22"/>
          <w:szCs w:val="20"/>
          <w:lang w:val="el-GR"/>
        </w:rPr>
      </w:pPr>
    </w:p>
    <w:p w14:paraId="49A7A3BA"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 xml:space="preserve">EXP </w:t>
      </w:r>
    </w:p>
    <w:p w14:paraId="3F40E5C5" w14:textId="77777777" w:rsidR="00171824" w:rsidRDefault="00171824">
      <w:pPr>
        <w:widowControl/>
        <w:tabs>
          <w:tab w:val="left" w:pos="567"/>
        </w:tabs>
        <w:autoSpaceDE/>
        <w:autoSpaceDN/>
        <w:adjustRightInd/>
        <w:rPr>
          <w:rFonts w:eastAsia="PMingLiU"/>
          <w:sz w:val="22"/>
          <w:szCs w:val="20"/>
          <w:lang w:val="el-GR"/>
        </w:rPr>
      </w:pPr>
    </w:p>
    <w:p w14:paraId="37BB902E" w14:textId="77777777" w:rsidR="00171824" w:rsidRDefault="00171824">
      <w:pPr>
        <w:widowControl/>
        <w:tabs>
          <w:tab w:val="left" w:pos="567"/>
        </w:tabs>
        <w:autoSpaceDE/>
        <w:autoSpaceDN/>
        <w:adjustRightInd/>
        <w:rPr>
          <w:rFonts w:eastAsia="PMingLiU"/>
          <w:sz w:val="22"/>
          <w:szCs w:val="20"/>
          <w:lang w:val="el-GR"/>
        </w:rPr>
      </w:pPr>
    </w:p>
    <w:p w14:paraId="319717D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0"/>
          <w:lang w:val="el-GR" w:bidi="en-US"/>
        </w:rPr>
      </w:pPr>
      <w:r>
        <w:rPr>
          <w:rFonts w:eastAsia="Arial Unicode MS" w:cs="Arial Unicode MS"/>
          <w:b/>
          <w:sz w:val="22"/>
          <w:szCs w:val="20"/>
          <w:lang w:val="el-GR" w:bidi="en-US"/>
        </w:rPr>
        <w:t>4.</w:t>
      </w:r>
      <w:r>
        <w:rPr>
          <w:rFonts w:eastAsia="Arial Unicode MS" w:cs="Arial Unicode MS"/>
          <w:b/>
          <w:sz w:val="22"/>
          <w:szCs w:val="20"/>
          <w:lang w:val="el-GR" w:bidi="en-US"/>
        </w:rPr>
        <w:tab/>
        <w:t xml:space="preserve">ΑΡΙΘΜΟΣ ΠΑΡΤΙΔΑΣ </w:t>
      </w:r>
    </w:p>
    <w:p w14:paraId="0C7A78DD" w14:textId="77777777" w:rsidR="00171824" w:rsidRDefault="00171824">
      <w:pPr>
        <w:widowControl/>
        <w:tabs>
          <w:tab w:val="left" w:pos="567"/>
        </w:tabs>
        <w:autoSpaceDE/>
        <w:autoSpaceDN/>
        <w:adjustRightInd/>
        <w:ind w:right="113"/>
        <w:rPr>
          <w:rFonts w:eastAsia="PMingLiU"/>
          <w:sz w:val="22"/>
          <w:szCs w:val="20"/>
          <w:lang w:val="el-GR"/>
        </w:rPr>
      </w:pPr>
    </w:p>
    <w:p w14:paraId="517B5D06" w14:textId="77777777" w:rsidR="00171824" w:rsidRDefault="006D258C">
      <w:pPr>
        <w:widowControl/>
        <w:tabs>
          <w:tab w:val="left" w:pos="567"/>
        </w:tabs>
        <w:autoSpaceDE/>
        <w:autoSpaceDN/>
        <w:adjustRightInd/>
        <w:ind w:right="113"/>
        <w:rPr>
          <w:rFonts w:eastAsia="PMingLiU"/>
          <w:sz w:val="22"/>
          <w:szCs w:val="20"/>
          <w:lang w:val="el-GR" w:bidi="en-US"/>
        </w:rPr>
      </w:pPr>
      <w:r>
        <w:rPr>
          <w:rFonts w:eastAsia="Arial Unicode MS" w:cs="Arial Unicode MS"/>
          <w:sz w:val="22"/>
          <w:szCs w:val="20"/>
          <w:lang w:val="el-GR" w:bidi="en-US"/>
        </w:rPr>
        <w:t>Lot</w:t>
      </w:r>
    </w:p>
    <w:p w14:paraId="04AC8580" w14:textId="77777777" w:rsidR="00171824" w:rsidRDefault="00171824">
      <w:pPr>
        <w:widowControl/>
        <w:tabs>
          <w:tab w:val="left" w:pos="567"/>
        </w:tabs>
        <w:autoSpaceDE/>
        <w:autoSpaceDN/>
        <w:adjustRightInd/>
        <w:ind w:right="113"/>
        <w:rPr>
          <w:rFonts w:eastAsia="PMingLiU"/>
          <w:sz w:val="22"/>
          <w:szCs w:val="20"/>
          <w:lang w:val="el-GR"/>
        </w:rPr>
      </w:pPr>
    </w:p>
    <w:p w14:paraId="698A3C90" w14:textId="77777777" w:rsidR="00171824" w:rsidRDefault="00171824">
      <w:pPr>
        <w:widowControl/>
        <w:tabs>
          <w:tab w:val="left" w:pos="567"/>
        </w:tabs>
        <w:autoSpaceDE/>
        <w:autoSpaceDN/>
        <w:adjustRightInd/>
        <w:ind w:right="113"/>
        <w:rPr>
          <w:rFonts w:eastAsia="PMingLiU"/>
          <w:sz w:val="22"/>
          <w:szCs w:val="20"/>
          <w:lang w:val="el-GR"/>
        </w:rPr>
      </w:pPr>
    </w:p>
    <w:p w14:paraId="774261E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ΠΕΡΙΕΧΟΜΕΝΟ ΚΑΤΑ ΒΑΡΟΣ, ΚΑΤ' ΟΓΚΟ Ή ΚΑΤΑ ΜΟΝΑΔΑ</w:t>
      </w:r>
    </w:p>
    <w:p w14:paraId="48B4172B" w14:textId="77777777" w:rsidR="00171824" w:rsidRDefault="00171824">
      <w:pPr>
        <w:widowControl/>
        <w:tabs>
          <w:tab w:val="left" w:pos="567"/>
        </w:tabs>
        <w:autoSpaceDE/>
        <w:autoSpaceDN/>
        <w:adjustRightInd/>
        <w:ind w:right="113"/>
        <w:rPr>
          <w:rFonts w:eastAsia="PMingLiU"/>
          <w:sz w:val="22"/>
          <w:szCs w:val="22"/>
          <w:lang w:val="el-GR"/>
        </w:rPr>
      </w:pPr>
    </w:p>
    <w:p w14:paraId="3FE9A483" w14:textId="77777777" w:rsidR="00171824" w:rsidRDefault="006D258C">
      <w:pPr>
        <w:widowControl/>
        <w:tabs>
          <w:tab w:val="left" w:pos="567"/>
        </w:tabs>
        <w:autoSpaceDE/>
        <w:autoSpaceDN/>
        <w:adjustRightInd/>
        <w:ind w:right="113"/>
        <w:rPr>
          <w:rFonts w:eastAsia="PMingLiU"/>
          <w:sz w:val="22"/>
          <w:szCs w:val="22"/>
          <w:lang w:val="el-GR" w:bidi="en-US"/>
        </w:rPr>
      </w:pPr>
      <w:r>
        <w:rPr>
          <w:rFonts w:eastAsia="Arial Unicode MS" w:cs="Arial Unicode MS"/>
          <w:sz w:val="22"/>
          <w:szCs w:val="22"/>
          <w:lang w:val="el-GR" w:bidi="en-US"/>
        </w:rPr>
        <w:t>0,8 ml</w:t>
      </w:r>
    </w:p>
    <w:p w14:paraId="015911E8" w14:textId="77777777" w:rsidR="00171824" w:rsidRDefault="00171824">
      <w:pPr>
        <w:widowControl/>
        <w:tabs>
          <w:tab w:val="left" w:pos="567"/>
        </w:tabs>
        <w:autoSpaceDE/>
        <w:autoSpaceDN/>
        <w:adjustRightInd/>
        <w:ind w:right="113"/>
        <w:rPr>
          <w:rFonts w:eastAsia="PMingLiU"/>
          <w:sz w:val="22"/>
          <w:szCs w:val="22"/>
          <w:lang w:val="el-GR"/>
        </w:rPr>
      </w:pPr>
    </w:p>
    <w:p w14:paraId="51109C5D" w14:textId="77777777" w:rsidR="00171824" w:rsidRDefault="00171824">
      <w:pPr>
        <w:widowControl/>
        <w:tabs>
          <w:tab w:val="left" w:pos="567"/>
        </w:tabs>
        <w:autoSpaceDE/>
        <w:autoSpaceDN/>
        <w:adjustRightInd/>
        <w:ind w:right="113"/>
        <w:rPr>
          <w:rFonts w:eastAsia="PMingLiU"/>
          <w:sz w:val="22"/>
          <w:szCs w:val="22"/>
          <w:lang w:val="el-GR"/>
        </w:rPr>
      </w:pPr>
    </w:p>
    <w:p w14:paraId="054B86A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ΑΛΛΑ ΣΤΟΙΧΕΙΑ</w:t>
      </w:r>
    </w:p>
    <w:p w14:paraId="3D78DAE8" w14:textId="77777777" w:rsidR="00171824" w:rsidRDefault="00171824">
      <w:pPr>
        <w:widowControl/>
        <w:tabs>
          <w:tab w:val="left" w:pos="567"/>
        </w:tabs>
        <w:autoSpaceDE/>
        <w:autoSpaceDN/>
        <w:adjustRightInd/>
        <w:ind w:right="113"/>
        <w:rPr>
          <w:rFonts w:eastAsia="PMingLiU"/>
          <w:sz w:val="22"/>
          <w:szCs w:val="22"/>
          <w:lang w:val="el-GR"/>
        </w:rPr>
      </w:pPr>
    </w:p>
    <w:p w14:paraId="6072B8E4" w14:textId="77777777" w:rsidR="00171824" w:rsidRDefault="00171824">
      <w:pPr>
        <w:widowControl/>
        <w:tabs>
          <w:tab w:val="left" w:pos="567"/>
        </w:tabs>
        <w:autoSpaceDE/>
        <w:autoSpaceDN/>
        <w:adjustRightInd/>
        <w:ind w:right="113"/>
        <w:rPr>
          <w:rFonts w:eastAsia="PMingLiU"/>
          <w:sz w:val="22"/>
          <w:szCs w:val="20"/>
          <w:lang w:val="el-GR"/>
        </w:rPr>
      </w:pPr>
    </w:p>
    <w:p w14:paraId="2C2BEF07" w14:textId="77777777" w:rsidR="00171824" w:rsidRDefault="006D258C">
      <w:pPr>
        <w:widowControl/>
        <w:shd w:val="clear" w:color="auto" w:fill="FFFFFF"/>
        <w:tabs>
          <w:tab w:val="left" w:pos="567"/>
        </w:tabs>
        <w:autoSpaceDE/>
        <w:autoSpaceDN/>
        <w:adjustRightInd/>
        <w:rPr>
          <w:rFonts w:eastAsia="PMingLiU"/>
          <w:sz w:val="22"/>
          <w:szCs w:val="22"/>
          <w:lang w:val="el-GR" w:bidi="en-US"/>
        </w:rPr>
      </w:pPr>
      <w:r>
        <w:rPr>
          <w:rFonts w:ascii="Arial" w:eastAsia="Arial Unicode MS" w:hAnsi="Arial" w:cs="Arial Unicode MS"/>
          <w:color w:val="000000"/>
          <w:sz w:val="22"/>
          <w:lang w:val="el-GR" w:bidi="en-US"/>
        </w:rPr>
        <w:br w:type="page"/>
      </w:r>
    </w:p>
    <w:p w14:paraId="2C7D9E1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6A276559"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0467E49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ΚΟΥΤΙ ΠΡΟΓΕΜΙΣΜΕΝΗΣ ΣΥΣΚΕΥΗΣ ΤΥΠΟΥ ΠΕΝΑΣ</w:t>
      </w:r>
    </w:p>
    <w:p w14:paraId="20BA60B6" w14:textId="77777777" w:rsidR="00171824" w:rsidRDefault="00171824">
      <w:pPr>
        <w:widowControl/>
        <w:tabs>
          <w:tab w:val="left" w:pos="567"/>
        </w:tabs>
        <w:autoSpaceDE/>
        <w:autoSpaceDN/>
        <w:adjustRightInd/>
        <w:rPr>
          <w:rFonts w:eastAsia="PMingLiU"/>
          <w:sz w:val="22"/>
          <w:szCs w:val="20"/>
          <w:lang w:val="el-GR"/>
        </w:rPr>
      </w:pPr>
    </w:p>
    <w:p w14:paraId="291CDB65" w14:textId="77777777" w:rsidR="00171824" w:rsidRDefault="00171824">
      <w:pPr>
        <w:widowControl/>
        <w:tabs>
          <w:tab w:val="left" w:pos="567"/>
        </w:tabs>
        <w:autoSpaceDE/>
        <w:autoSpaceDN/>
        <w:adjustRightInd/>
        <w:rPr>
          <w:rFonts w:eastAsia="PMingLiU"/>
          <w:sz w:val="22"/>
          <w:szCs w:val="22"/>
          <w:lang w:val="el-GR"/>
        </w:rPr>
      </w:pPr>
    </w:p>
    <w:p w14:paraId="53196AC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11228A99" w14:textId="77777777" w:rsidR="00171824" w:rsidRDefault="00171824">
      <w:pPr>
        <w:widowControl/>
        <w:tabs>
          <w:tab w:val="left" w:pos="567"/>
        </w:tabs>
        <w:autoSpaceDE/>
        <w:autoSpaceDN/>
        <w:adjustRightInd/>
        <w:rPr>
          <w:rFonts w:eastAsia="PMingLiU"/>
          <w:sz w:val="22"/>
          <w:szCs w:val="22"/>
          <w:lang w:val="el-GR"/>
        </w:rPr>
      </w:pPr>
    </w:p>
    <w:p w14:paraId="752BC06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ενέσιμο διάλυμα σε προγεμισμένη συσκευή τύπου πένας</w:t>
      </w:r>
    </w:p>
    <w:p w14:paraId="2A824CA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63C34C8D" w14:textId="77777777" w:rsidR="00171824" w:rsidRDefault="00171824">
      <w:pPr>
        <w:widowControl/>
        <w:tabs>
          <w:tab w:val="left" w:pos="567"/>
        </w:tabs>
        <w:autoSpaceDE/>
        <w:autoSpaceDN/>
        <w:adjustRightInd/>
        <w:rPr>
          <w:rFonts w:eastAsia="PMingLiU"/>
          <w:sz w:val="22"/>
          <w:szCs w:val="22"/>
          <w:lang w:val="el-GR"/>
        </w:rPr>
      </w:pPr>
    </w:p>
    <w:p w14:paraId="565CABAA" w14:textId="77777777" w:rsidR="00171824" w:rsidRDefault="00171824">
      <w:pPr>
        <w:widowControl/>
        <w:tabs>
          <w:tab w:val="left" w:pos="567"/>
        </w:tabs>
        <w:autoSpaceDE/>
        <w:autoSpaceDN/>
        <w:adjustRightInd/>
        <w:rPr>
          <w:rFonts w:eastAsia="PMingLiU"/>
          <w:sz w:val="22"/>
          <w:szCs w:val="22"/>
          <w:lang w:val="el-GR"/>
        </w:rPr>
      </w:pPr>
    </w:p>
    <w:p w14:paraId="3C328EE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7AA1B85E" w14:textId="77777777" w:rsidR="00171824" w:rsidRDefault="00171824">
      <w:pPr>
        <w:widowControl/>
        <w:tabs>
          <w:tab w:val="left" w:pos="567"/>
        </w:tabs>
        <w:autoSpaceDE/>
        <w:autoSpaceDN/>
        <w:adjustRightInd/>
        <w:rPr>
          <w:rFonts w:eastAsia="PMingLiU"/>
          <w:sz w:val="22"/>
          <w:szCs w:val="22"/>
          <w:lang w:val="el-GR"/>
        </w:rPr>
      </w:pPr>
    </w:p>
    <w:p w14:paraId="292AD6A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40 mg adalimumab σε διάλυμα 0,8 ml.</w:t>
      </w:r>
    </w:p>
    <w:p w14:paraId="6B7A6D4F" w14:textId="77777777" w:rsidR="00171824" w:rsidRDefault="00171824">
      <w:pPr>
        <w:widowControl/>
        <w:tabs>
          <w:tab w:val="left" w:pos="567"/>
        </w:tabs>
        <w:autoSpaceDE/>
        <w:autoSpaceDN/>
        <w:adjustRightInd/>
        <w:rPr>
          <w:rFonts w:eastAsia="PMingLiU"/>
          <w:sz w:val="22"/>
          <w:szCs w:val="22"/>
          <w:lang w:val="el-GR"/>
        </w:rPr>
      </w:pPr>
    </w:p>
    <w:p w14:paraId="52C04DF5" w14:textId="77777777" w:rsidR="00171824" w:rsidRDefault="00171824">
      <w:pPr>
        <w:widowControl/>
        <w:tabs>
          <w:tab w:val="left" w:pos="567"/>
        </w:tabs>
        <w:autoSpaceDE/>
        <w:autoSpaceDN/>
        <w:adjustRightInd/>
        <w:rPr>
          <w:rFonts w:eastAsia="PMingLiU"/>
          <w:sz w:val="22"/>
          <w:szCs w:val="22"/>
          <w:lang w:val="el-GR"/>
        </w:rPr>
      </w:pPr>
    </w:p>
    <w:p w14:paraId="367B9D5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3F4F5384" w14:textId="77777777" w:rsidR="00171824" w:rsidRDefault="00171824">
      <w:pPr>
        <w:widowControl/>
        <w:tabs>
          <w:tab w:val="left" w:pos="567"/>
        </w:tabs>
        <w:autoSpaceDE/>
        <w:autoSpaceDN/>
        <w:adjustRightInd/>
        <w:rPr>
          <w:rFonts w:eastAsia="PMingLiU"/>
          <w:sz w:val="22"/>
          <w:szCs w:val="22"/>
          <w:lang w:val="el-GR"/>
        </w:rPr>
      </w:pPr>
    </w:p>
    <w:p w14:paraId="6143CB0A"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Κρυσταλλικό οξικό οξύ, σακχαρόζη, πολυσορβικό 80, υδροξείδιο του νατρίου και ενέσιμο ύδωρ.</w:t>
      </w:r>
    </w:p>
    <w:p w14:paraId="00D1218B" w14:textId="77777777" w:rsidR="00171824" w:rsidRDefault="00171824">
      <w:pPr>
        <w:widowControl/>
        <w:tabs>
          <w:tab w:val="left" w:pos="567"/>
        </w:tabs>
        <w:autoSpaceDE/>
        <w:autoSpaceDN/>
        <w:adjustRightInd/>
        <w:rPr>
          <w:rFonts w:eastAsia="PMingLiU"/>
          <w:sz w:val="22"/>
          <w:szCs w:val="22"/>
          <w:lang w:val="el-GR"/>
        </w:rPr>
      </w:pPr>
    </w:p>
    <w:p w14:paraId="72007BFA" w14:textId="77777777" w:rsidR="00171824" w:rsidRDefault="00171824">
      <w:pPr>
        <w:widowControl/>
        <w:tabs>
          <w:tab w:val="left" w:pos="567"/>
        </w:tabs>
        <w:autoSpaceDE/>
        <w:autoSpaceDN/>
        <w:adjustRightInd/>
        <w:rPr>
          <w:rFonts w:eastAsia="PMingLiU"/>
          <w:sz w:val="22"/>
          <w:szCs w:val="22"/>
          <w:lang w:val="el-GR"/>
        </w:rPr>
      </w:pPr>
    </w:p>
    <w:p w14:paraId="17A125A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1C2E320A" w14:textId="77777777" w:rsidR="00171824" w:rsidRDefault="00171824">
      <w:pPr>
        <w:widowControl/>
        <w:tabs>
          <w:tab w:val="left" w:pos="567"/>
        </w:tabs>
        <w:autoSpaceDE/>
        <w:autoSpaceDN/>
        <w:adjustRightInd/>
        <w:rPr>
          <w:rFonts w:eastAsia="PMingLiU"/>
          <w:sz w:val="22"/>
          <w:szCs w:val="22"/>
          <w:lang w:val="el-GR"/>
        </w:rPr>
      </w:pPr>
    </w:p>
    <w:p w14:paraId="33427037"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16D7CBDE" w14:textId="77777777" w:rsidR="00171824" w:rsidRDefault="006D258C">
      <w:pPr>
        <w:rPr>
          <w:sz w:val="22"/>
          <w:szCs w:val="22"/>
          <w:lang w:val="el-GR" w:eastAsia="en-GB"/>
        </w:rPr>
      </w:pPr>
      <w:r>
        <w:rPr>
          <w:sz w:val="22"/>
          <w:szCs w:val="22"/>
          <w:lang w:val="el-GR" w:eastAsia="en-GB"/>
        </w:rPr>
        <w:t>40 mg/0,8 ml</w:t>
      </w:r>
    </w:p>
    <w:p w14:paraId="6FB4CDFA"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1 προγεμισμένη συσκευή τύπου πένας SureClick.</w:t>
      </w:r>
    </w:p>
    <w:p w14:paraId="064ED0DB" w14:textId="77777777" w:rsidR="00171824" w:rsidRDefault="006D258C">
      <w:pPr>
        <w:widowControl/>
        <w:tabs>
          <w:tab w:val="left" w:pos="567"/>
        </w:tabs>
        <w:autoSpaceDE/>
        <w:autoSpaceDN/>
        <w:adjustRightInd/>
        <w:rPr>
          <w:rFonts w:eastAsia="PMingLiU"/>
          <w:sz w:val="22"/>
          <w:szCs w:val="22"/>
          <w:highlight w:val="lightGray"/>
          <w:lang w:val="el-GR" w:bidi="en-US"/>
        </w:rPr>
      </w:pPr>
      <w:r>
        <w:rPr>
          <w:rFonts w:eastAsia="Arial Unicode MS" w:cs="Arial Unicode MS"/>
          <w:sz w:val="22"/>
          <w:szCs w:val="22"/>
          <w:highlight w:val="lightGray"/>
          <w:lang w:val="el-GR" w:bidi="en-US"/>
        </w:rPr>
        <w:t>2 προγεμισμένες συσκευές τύπου πένας SureClick.</w:t>
      </w:r>
    </w:p>
    <w:p w14:paraId="18AF1DBB" w14:textId="77777777" w:rsidR="00171824" w:rsidRDefault="006D258C">
      <w:pPr>
        <w:widowControl/>
        <w:tabs>
          <w:tab w:val="left" w:pos="567"/>
        </w:tabs>
        <w:autoSpaceDE/>
        <w:autoSpaceDN/>
        <w:adjustRightInd/>
        <w:rPr>
          <w:rFonts w:eastAsia="PMingLiU"/>
          <w:sz w:val="22"/>
          <w:szCs w:val="22"/>
          <w:highlight w:val="lightGray"/>
          <w:lang w:val="el-GR" w:bidi="en-US"/>
        </w:rPr>
      </w:pPr>
      <w:r>
        <w:rPr>
          <w:rFonts w:eastAsia="Arial Unicode MS" w:cs="Arial Unicode MS"/>
          <w:sz w:val="22"/>
          <w:szCs w:val="22"/>
          <w:highlight w:val="lightGray"/>
          <w:lang w:val="el-GR" w:bidi="en-US"/>
        </w:rPr>
        <w:t>4 προγεμισμένες συσκευές τύπου πένας SureClick.</w:t>
      </w:r>
    </w:p>
    <w:p w14:paraId="11143CF1" w14:textId="77777777" w:rsidR="00171824" w:rsidRDefault="00171824">
      <w:pPr>
        <w:widowControl/>
        <w:tabs>
          <w:tab w:val="left" w:pos="567"/>
        </w:tabs>
        <w:autoSpaceDE/>
        <w:autoSpaceDN/>
        <w:adjustRightInd/>
        <w:rPr>
          <w:rFonts w:eastAsia="PMingLiU"/>
          <w:sz w:val="22"/>
          <w:szCs w:val="22"/>
          <w:lang w:val="el-GR"/>
        </w:rPr>
      </w:pPr>
    </w:p>
    <w:p w14:paraId="5072B142" w14:textId="77777777" w:rsidR="00171824" w:rsidRDefault="00171824">
      <w:pPr>
        <w:widowControl/>
        <w:tabs>
          <w:tab w:val="left" w:pos="567"/>
        </w:tabs>
        <w:autoSpaceDE/>
        <w:autoSpaceDN/>
        <w:adjustRightInd/>
        <w:rPr>
          <w:rFonts w:eastAsia="PMingLiU"/>
          <w:sz w:val="22"/>
          <w:szCs w:val="22"/>
          <w:lang w:val="el-GR"/>
        </w:rPr>
      </w:pPr>
    </w:p>
    <w:p w14:paraId="5B07044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373CB0DA" w14:textId="77777777" w:rsidR="00171824" w:rsidRDefault="00171824">
      <w:pPr>
        <w:widowControl/>
        <w:tabs>
          <w:tab w:val="left" w:pos="567"/>
        </w:tabs>
        <w:autoSpaceDE/>
        <w:autoSpaceDN/>
        <w:adjustRightInd/>
        <w:rPr>
          <w:rFonts w:eastAsia="PMingLiU"/>
          <w:sz w:val="22"/>
          <w:szCs w:val="20"/>
          <w:lang w:val="el-GR"/>
        </w:rPr>
      </w:pPr>
    </w:p>
    <w:p w14:paraId="2E595B7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3517780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6065093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1F1FB7A3" w14:textId="77777777" w:rsidR="00171824" w:rsidRDefault="00171824">
      <w:pPr>
        <w:widowControl/>
        <w:tabs>
          <w:tab w:val="left" w:pos="567"/>
        </w:tabs>
        <w:autoSpaceDE/>
        <w:autoSpaceDN/>
        <w:adjustRightInd/>
        <w:rPr>
          <w:rFonts w:eastAsia="PMingLiU"/>
          <w:sz w:val="22"/>
          <w:szCs w:val="22"/>
          <w:lang w:val="el-GR"/>
        </w:rPr>
      </w:pPr>
    </w:p>
    <w:p w14:paraId="1ED49938" w14:textId="77777777" w:rsidR="00171824" w:rsidRDefault="00171824">
      <w:pPr>
        <w:widowControl/>
        <w:tabs>
          <w:tab w:val="left" w:pos="567"/>
        </w:tabs>
        <w:autoSpaceDE/>
        <w:autoSpaceDN/>
        <w:adjustRightInd/>
        <w:rPr>
          <w:rFonts w:eastAsia="PMingLiU"/>
          <w:sz w:val="22"/>
          <w:szCs w:val="22"/>
          <w:lang w:val="el-GR"/>
        </w:rPr>
      </w:pPr>
    </w:p>
    <w:p w14:paraId="5D06CB3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68AFD174" w14:textId="77777777" w:rsidR="00171824" w:rsidRDefault="00171824">
      <w:pPr>
        <w:widowControl/>
        <w:tabs>
          <w:tab w:val="left" w:pos="567"/>
        </w:tabs>
        <w:autoSpaceDE/>
        <w:autoSpaceDN/>
        <w:adjustRightInd/>
        <w:rPr>
          <w:rFonts w:eastAsia="PMingLiU"/>
          <w:sz w:val="22"/>
          <w:szCs w:val="22"/>
          <w:lang w:val="el-GR"/>
        </w:rPr>
      </w:pPr>
    </w:p>
    <w:p w14:paraId="3C03375E"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626FDE06" w14:textId="77777777" w:rsidR="00171824" w:rsidRDefault="00171824">
      <w:pPr>
        <w:widowControl/>
        <w:tabs>
          <w:tab w:val="left" w:pos="567"/>
        </w:tabs>
        <w:autoSpaceDE/>
        <w:autoSpaceDN/>
        <w:adjustRightInd/>
        <w:rPr>
          <w:rFonts w:eastAsia="PMingLiU"/>
          <w:sz w:val="22"/>
          <w:szCs w:val="22"/>
          <w:lang w:val="el-GR"/>
        </w:rPr>
      </w:pPr>
    </w:p>
    <w:p w14:paraId="78A573F4" w14:textId="77777777" w:rsidR="00171824" w:rsidRDefault="00171824">
      <w:pPr>
        <w:widowControl/>
        <w:tabs>
          <w:tab w:val="left" w:pos="567"/>
        </w:tabs>
        <w:autoSpaceDE/>
        <w:autoSpaceDN/>
        <w:adjustRightInd/>
        <w:rPr>
          <w:rFonts w:eastAsia="PMingLiU"/>
          <w:sz w:val="22"/>
          <w:szCs w:val="22"/>
          <w:lang w:val="el-GR"/>
        </w:rPr>
      </w:pPr>
    </w:p>
    <w:p w14:paraId="7E5E476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01E74778" w14:textId="77777777" w:rsidR="00171824" w:rsidRDefault="00171824">
      <w:pPr>
        <w:widowControl/>
        <w:tabs>
          <w:tab w:val="left" w:pos="567"/>
        </w:tabs>
        <w:autoSpaceDE/>
        <w:autoSpaceDN/>
        <w:adjustRightInd/>
        <w:rPr>
          <w:rFonts w:eastAsia="PMingLiU"/>
          <w:sz w:val="22"/>
          <w:szCs w:val="22"/>
          <w:lang w:val="el-GR"/>
        </w:rPr>
      </w:pPr>
    </w:p>
    <w:p w14:paraId="20AD677D" w14:textId="77777777" w:rsidR="00171824" w:rsidRDefault="00171824">
      <w:pPr>
        <w:widowControl/>
        <w:tabs>
          <w:tab w:val="left" w:pos="567"/>
          <w:tab w:val="left" w:pos="749"/>
        </w:tabs>
        <w:autoSpaceDE/>
        <w:autoSpaceDN/>
        <w:adjustRightInd/>
        <w:rPr>
          <w:rFonts w:eastAsia="PMingLiU"/>
          <w:sz w:val="22"/>
          <w:szCs w:val="20"/>
          <w:lang w:val="el-GR"/>
        </w:rPr>
      </w:pPr>
    </w:p>
    <w:p w14:paraId="3767F64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2A603120" w14:textId="77777777" w:rsidR="00171824" w:rsidRDefault="00171824">
      <w:pPr>
        <w:widowControl/>
        <w:tabs>
          <w:tab w:val="left" w:pos="567"/>
        </w:tabs>
        <w:autoSpaceDE/>
        <w:autoSpaceDN/>
        <w:adjustRightInd/>
        <w:rPr>
          <w:rFonts w:eastAsia="PMingLiU"/>
          <w:sz w:val="22"/>
          <w:szCs w:val="20"/>
          <w:lang w:val="el-GR"/>
        </w:rPr>
      </w:pPr>
    </w:p>
    <w:p w14:paraId="474973F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67F28E50" w14:textId="77777777" w:rsidR="00171824" w:rsidRDefault="00171824">
      <w:pPr>
        <w:widowControl/>
        <w:tabs>
          <w:tab w:val="left" w:pos="567"/>
        </w:tabs>
        <w:autoSpaceDE/>
        <w:autoSpaceDN/>
        <w:adjustRightInd/>
        <w:rPr>
          <w:rFonts w:eastAsia="PMingLiU"/>
          <w:sz w:val="22"/>
          <w:szCs w:val="22"/>
          <w:lang w:val="el-GR"/>
        </w:rPr>
      </w:pPr>
    </w:p>
    <w:p w14:paraId="5F4A8D1E" w14:textId="77777777" w:rsidR="00171824" w:rsidRDefault="00171824">
      <w:pPr>
        <w:widowControl/>
        <w:tabs>
          <w:tab w:val="left" w:pos="567"/>
        </w:tabs>
        <w:autoSpaceDE/>
        <w:autoSpaceDN/>
        <w:adjustRightInd/>
        <w:rPr>
          <w:rFonts w:eastAsia="PMingLiU"/>
          <w:sz w:val="22"/>
          <w:szCs w:val="22"/>
          <w:lang w:val="el-GR"/>
        </w:rPr>
      </w:pPr>
    </w:p>
    <w:p w14:paraId="4A14B3FB"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1749763C" w14:textId="77777777" w:rsidR="00171824" w:rsidRDefault="00171824">
      <w:pPr>
        <w:keepNext/>
        <w:widowControl/>
        <w:tabs>
          <w:tab w:val="left" w:pos="567"/>
        </w:tabs>
        <w:autoSpaceDE/>
        <w:autoSpaceDN/>
        <w:adjustRightInd/>
        <w:rPr>
          <w:rFonts w:eastAsia="PMingLiU"/>
          <w:sz w:val="22"/>
          <w:szCs w:val="22"/>
          <w:lang w:val="el-GR"/>
        </w:rPr>
      </w:pPr>
    </w:p>
    <w:p w14:paraId="78498B4C"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3871E8F5"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0502CCB5"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5773FD17" w14:textId="77777777" w:rsidR="00171824" w:rsidRDefault="00171824">
      <w:pPr>
        <w:widowControl/>
        <w:tabs>
          <w:tab w:val="left" w:pos="567"/>
        </w:tabs>
        <w:autoSpaceDE/>
        <w:autoSpaceDN/>
        <w:adjustRightInd/>
        <w:rPr>
          <w:rFonts w:eastAsia="SimSun"/>
          <w:sz w:val="22"/>
          <w:szCs w:val="22"/>
          <w:lang w:val="el-GR" w:eastAsia="en-GB"/>
        </w:rPr>
      </w:pPr>
    </w:p>
    <w:p w14:paraId="17C1442F" w14:textId="77777777" w:rsidR="00171824" w:rsidRDefault="00171824">
      <w:pPr>
        <w:widowControl/>
        <w:tabs>
          <w:tab w:val="left" w:pos="567"/>
        </w:tabs>
        <w:autoSpaceDE/>
        <w:autoSpaceDN/>
        <w:adjustRightInd/>
        <w:rPr>
          <w:rFonts w:eastAsia="SimSun"/>
          <w:sz w:val="22"/>
          <w:szCs w:val="22"/>
          <w:lang w:val="el-GR" w:eastAsia="en-GB"/>
        </w:rPr>
      </w:pPr>
    </w:p>
    <w:p w14:paraId="6C6176F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721DF543" w14:textId="77777777" w:rsidR="00171824" w:rsidRDefault="00171824">
      <w:pPr>
        <w:widowControl/>
        <w:tabs>
          <w:tab w:val="left" w:pos="567"/>
        </w:tabs>
        <w:autoSpaceDE/>
        <w:autoSpaceDN/>
        <w:adjustRightInd/>
        <w:rPr>
          <w:rFonts w:eastAsia="PMingLiU"/>
          <w:sz w:val="22"/>
          <w:szCs w:val="22"/>
          <w:lang w:val="el-GR"/>
        </w:rPr>
      </w:pPr>
    </w:p>
    <w:p w14:paraId="0256FE36" w14:textId="77777777" w:rsidR="00171824" w:rsidRDefault="00171824">
      <w:pPr>
        <w:widowControl/>
        <w:tabs>
          <w:tab w:val="left" w:pos="567"/>
        </w:tabs>
        <w:autoSpaceDE/>
        <w:autoSpaceDN/>
        <w:adjustRightInd/>
        <w:rPr>
          <w:rFonts w:eastAsia="PMingLiU"/>
          <w:sz w:val="22"/>
          <w:szCs w:val="22"/>
          <w:lang w:val="el-GR"/>
        </w:rPr>
      </w:pPr>
    </w:p>
    <w:p w14:paraId="5E62FC4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16747B59" w14:textId="77777777" w:rsidR="00171824" w:rsidRDefault="00171824">
      <w:pPr>
        <w:widowControl/>
        <w:tabs>
          <w:tab w:val="left" w:pos="567"/>
        </w:tabs>
        <w:autoSpaceDE/>
        <w:autoSpaceDN/>
        <w:adjustRightInd/>
        <w:rPr>
          <w:rFonts w:eastAsia="PMingLiU"/>
          <w:sz w:val="22"/>
          <w:szCs w:val="22"/>
          <w:lang w:val="el-GR"/>
        </w:rPr>
      </w:pPr>
    </w:p>
    <w:p w14:paraId="0DACCA1F"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38D2B0FF"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05DD0726"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0B67EE7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2D34CEEF" w14:textId="77777777" w:rsidR="00171824" w:rsidRDefault="00171824">
      <w:pPr>
        <w:widowControl/>
        <w:tabs>
          <w:tab w:val="left" w:pos="567"/>
        </w:tabs>
        <w:autoSpaceDE/>
        <w:autoSpaceDN/>
        <w:adjustRightInd/>
        <w:rPr>
          <w:rFonts w:eastAsia="PMingLiU"/>
          <w:sz w:val="22"/>
          <w:szCs w:val="22"/>
          <w:lang w:val="el-GR"/>
        </w:rPr>
      </w:pPr>
    </w:p>
    <w:p w14:paraId="5DF37007" w14:textId="77777777" w:rsidR="00171824" w:rsidRDefault="00171824">
      <w:pPr>
        <w:widowControl/>
        <w:tabs>
          <w:tab w:val="left" w:pos="567"/>
        </w:tabs>
        <w:autoSpaceDE/>
        <w:autoSpaceDN/>
        <w:adjustRightInd/>
        <w:rPr>
          <w:rFonts w:eastAsia="PMingLiU"/>
          <w:sz w:val="22"/>
          <w:szCs w:val="22"/>
          <w:lang w:val="el-GR"/>
        </w:rPr>
      </w:pPr>
    </w:p>
    <w:p w14:paraId="5F1DA82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0FC840A0" w14:textId="77777777" w:rsidR="00171824" w:rsidRDefault="00171824">
      <w:pPr>
        <w:widowControl/>
        <w:tabs>
          <w:tab w:val="left" w:pos="567"/>
        </w:tabs>
        <w:autoSpaceDE/>
        <w:autoSpaceDN/>
        <w:adjustRightInd/>
        <w:rPr>
          <w:rFonts w:eastAsia="PMingLiU"/>
          <w:sz w:val="22"/>
          <w:szCs w:val="22"/>
          <w:lang w:val="el-GR"/>
        </w:rPr>
      </w:pPr>
    </w:p>
    <w:p w14:paraId="106401E9"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EU/1/16/1164/006 </w:t>
      </w:r>
      <w:r>
        <w:rPr>
          <w:rFonts w:eastAsia="Arial Unicode MS" w:cs="Arial Unicode MS"/>
          <w:sz w:val="22"/>
          <w:szCs w:val="22"/>
          <w:highlight w:val="lightGray"/>
          <w:lang w:val="el-GR" w:bidi="en-US"/>
        </w:rPr>
        <w:t xml:space="preserve">1 συσκευασία </w:t>
      </w:r>
    </w:p>
    <w:p w14:paraId="67A9FB91"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highlight w:val="lightGray"/>
          <w:lang w:val="el-GR" w:bidi="en-US"/>
        </w:rPr>
        <w:t xml:space="preserve">EU/1/16/1164/007 2 συσκευασίες </w:t>
      </w:r>
    </w:p>
    <w:p w14:paraId="7F24E527"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highlight w:val="lightGray"/>
          <w:lang w:val="el-GR" w:bidi="en-US"/>
        </w:rPr>
        <w:t xml:space="preserve">EU/1/16/1164/008 4 συσκευασίες </w:t>
      </w:r>
    </w:p>
    <w:p w14:paraId="4578168F" w14:textId="77777777" w:rsidR="00171824" w:rsidRDefault="00171824">
      <w:pPr>
        <w:widowControl/>
        <w:tabs>
          <w:tab w:val="left" w:pos="567"/>
        </w:tabs>
        <w:autoSpaceDE/>
        <w:autoSpaceDN/>
        <w:adjustRightInd/>
        <w:outlineLvl w:val="0"/>
        <w:rPr>
          <w:rFonts w:eastAsia="PMingLiU"/>
          <w:sz w:val="22"/>
          <w:szCs w:val="22"/>
          <w:lang w:val="el-GR" w:bidi="en-US"/>
        </w:rPr>
      </w:pPr>
    </w:p>
    <w:p w14:paraId="2B063C80" w14:textId="77777777" w:rsidR="00171824" w:rsidRDefault="00171824">
      <w:pPr>
        <w:widowControl/>
        <w:tabs>
          <w:tab w:val="left" w:pos="567"/>
        </w:tabs>
        <w:autoSpaceDE/>
        <w:autoSpaceDN/>
        <w:adjustRightInd/>
        <w:rPr>
          <w:rFonts w:eastAsia="PMingLiU"/>
          <w:sz w:val="22"/>
          <w:szCs w:val="22"/>
          <w:lang w:val="el-GR"/>
        </w:rPr>
      </w:pPr>
    </w:p>
    <w:p w14:paraId="294BB81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58E23008" w14:textId="77777777" w:rsidR="00171824" w:rsidRDefault="00171824">
      <w:pPr>
        <w:widowControl/>
        <w:tabs>
          <w:tab w:val="left" w:pos="567"/>
        </w:tabs>
        <w:autoSpaceDE/>
        <w:autoSpaceDN/>
        <w:adjustRightInd/>
        <w:rPr>
          <w:rFonts w:eastAsia="PMingLiU"/>
          <w:i/>
          <w:sz w:val="22"/>
          <w:szCs w:val="22"/>
          <w:lang w:val="el-GR"/>
        </w:rPr>
      </w:pPr>
    </w:p>
    <w:p w14:paraId="78598F6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1EDF3CDC" w14:textId="77777777" w:rsidR="00171824" w:rsidRDefault="00171824">
      <w:pPr>
        <w:widowControl/>
        <w:tabs>
          <w:tab w:val="left" w:pos="567"/>
        </w:tabs>
        <w:autoSpaceDE/>
        <w:autoSpaceDN/>
        <w:adjustRightInd/>
        <w:rPr>
          <w:rFonts w:eastAsia="PMingLiU"/>
          <w:sz w:val="22"/>
          <w:szCs w:val="22"/>
          <w:lang w:val="el-GR"/>
        </w:rPr>
      </w:pPr>
    </w:p>
    <w:p w14:paraId="752E80B0" w14:textId="77777777" w:rsidR="00171824" w:rsidRDefault="00171824">
      <w:pPr>
        <w:widowControl/>
        <w:tabs>
          <w:tab w:val="left" w:pos="567"/>
        </w:tabs>
        <w:autoSpaceDE/>
        <w:autoSpaceDN/>
        <w:adjustRightInd/>
        <w:rPr>
          <w:rFonts w:eastAsia="PMingLiU"/>
          <w:sz w:val="22"/>
          <w:szCs w:val="22"/>
          <w:lang w:val="el-GR"/>
        </w:rPr>
      </w:pPr>
    </w:p>
    <w:p w14:paraId="140BC5B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22ABE48E" w14:textId="77777777" w:rsidR="00171824" w:rsidRDefault="00171824">
      <w:pPr>
        <w:widowControl/>
        <w:tabs>
          <w:tab w:val="left" w:pos="567"/>
        </w:tabs>
        <w:autoSpaceDE/>
        <w:autoSpaceDN/>
        <w:adjustRightInd/>
        <w:rPr>
          <w:rFonts w:eastAsia="PMingLiU"/>
          <w:i/>
          <w:sz w:val="22"/>
          <w:szCs w:val="22"/>
          <w:lang w:val="el-GR"/>
        </w:rPr>
      </w:pPr>
    </w:p>
    <w:p w14:paraId="376BD97A" w14:textId="77777777" w:rsidR="00171824" w:rsidRDefault="00171824">
      <w:pPr>
        <w:widowControl/>
        <w:tabs>
          <w:tab w:val="left" w:pos="567"/>
        </w:tabs>
        <w:autoSpaceDE/>
        <w:autoSpaceDN/>
        <w:adjustRightInd/>
        <w:rPr>
          <w:rFonts w:eastAsia="PMingLiU"/>
          <w:sz w:val="22"/>
          <w:szCs w:val="22"/>
          <w:lang w:val="el-GR"/>
        </w:rPr>
      </w:pPr>
    </w:p>
    <w:p w14:paraId="3F82F882"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1E846F3E" w14:textId="77777777" w:rsidR="00171824" w:rsidRDefault="00171824">
      <w:pPr>
        <w:widowControl/>
        <w:tabs>
          <w:tab w:val="left" w:pos="567"/>
        </w:tabs>
        <w:autoSpaceDE/>
        <w:autoSpaceDN/>
        <w:adjustRightInd/>
        <w:rPr>
          <w:rFonts w:eastAsia="PMingLiU"/>
          <w:sz w:val="22"/>
          <w:szCs w:val="22"/>
          <w:lang w:val="el-GR"/>
        </w:rPr>
      </w:pPr>
    </w:p>
    <w:p w14:paraId="59AC5319" w14:textId="77777777" w:rsidR="00171824" w:rsidRDefault="00171824">
      <w:pPr>
        <w:widowControl/>
        <w:tabs>
          <w:tab w:val="left" w:pos="567"/>
        </w:tabs>
        <w:autoSpaceDE/>
        <w:autoSpaceDN/>
        <w:adjustRightInd/>
        <w:rPr>
          <w:rFonts w:eastAsia="PMingLiU"/>
          <w:sz w:val="22"/>
          <w:szCs w:val="22"/>
          <w:lang w:val="el-GR"/>
        </w:rPr>
      </w:pPr>
    </w:p>
    <w:p w14:paraId="42FCBB0D"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74A0BACF" w14:textId="77777777" w:rsidR="00171824" w:rsidRDefault="00171824">
      <w:pPr>
        <w:widowControl/>
        <w:tabs>
          <w:tab w:val="left" w:pos="567"/>
        </w:tabs>
        <w:autoSpaceDE/>
        <w:autoSpaceDN/>
        <w:adjustRightInd/>
        <w:rPr>
          <w:rFonts w:eastAsia="PMingLiU"/>
          <w:sz w:val="22"/>
          <w:szCs w:val="20"/>
          <w:lang w:val="el-GR"/>
        </w:rPr>
      </w:pPr>
    </w:p>
    <w:p w14:paraId="552B9647"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 xml:space="preserve">AMGEVITA 40 mg/0,8 ml </w:t>
      </w:r>
      <w:r>
        <w:rPr>
          <w:rFonts w:eastAsia="Arial Unicode MS" w:cs="Arial Unicode MS"/>
          <w:sz w:val="22"/>
          <w:szCs w:val="22"/>
          <w:lang w:val="el-GR" w:bidi="en-US"/>
        </w:rPr>
        <w:t>συσκευή τύπου πένας</w:t>
      </w:r>
    </w:p>
    <w:p w14:paraId="0430FE09" w14:textId="77777777" w:rsidR="00171824" w:rsidRDefault="00171824">
      <w:pPr>
        <w:widowControl/>
        <w:tabs>
          <w:tab w:val="left" w:pos="567"/>
        </w:tabs>
        <w:autoSpaceDE/>
        <w:autoSpaceDN/>
        <w:adjustRightInd/>
        <w:rPr>
          <w:rFonts w:eastAsia="PMingLiU"/>
          <w:sz w:val="22"/>
          <w:szCs w:val="20"/>
          <w:lang w:val="el-GR" w:bidi="en-US"/>
        </w:rPr>
      </w:pPr>
    </w:p>
    <w:p w14:paraId="668E4362" w14:textId="77777777" w:rsidR="00171824" w:rsidRDefault="00171824">
      <w:pPr>
        <w:widowControl/>
        <w:tabs>
          <w:tab w:val="left" w:pos="567"/>
        </w:tabs>
        <w:autoSpaceDE/>
        <w:autoSpaceDN/>
        <w:adjustRightInd/>
        <w:rPr>
          <w:rFonts w:eastAsia="PMingLiU"/>
          <w:sz w:val="22"/>
          <w:szCs w:val="20"/>
          <w:lang w:val="el-GR" w:bidi="en-US"/>
        </w:rPr>
      </w:pPr>
    </w:p>
    <w:p w14:paraId="7ABBF591"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17C8BC41" w14:textId="77777777" w:rsidR="00171824" w:rsidRDefault="00171824">
      <w:pPr>
        <w:widowControl/>
        <w:autoSpaceDE/>
        <w:autoSpaceDN/>
        <w:adjustRightInd/>
        <w:rPr>
          <w:rFonts w:eastAsia="PMingLiU"/>
          <w:sz w:val="22"/>
          <w:szCs w:val="20"/>
          <w:lang w:val="el-GR"/>
        </w:rPr>
      </w:pPr>
    </w:p>
    <w:p w14:paraId="0AEAD7C4"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6E643EFC"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16D14003" w14:textId="77777777" w:rsidR="00171824" w:rsidRDefault="00171824">
      <w:pPr>
        <w:widowControl/>
        <w:autoSpaceDE/>
        <w:autoSpaceDN/>
        <w:adjustRightInd/>
        <w:rPr>
          <w:rFonts w:eastAsia="PMingLiU"/>
          <w:sz w:val="22"/>
          <w:szCs w:val="20"/>
          <w:lang w:val="el-GR"/>
        </w:rPr>
      </w:pPr>
    </w:p>
    <w:p w14:paraId="74916D4E"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lastRenderedPageBreak/>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0A1B4EB6" w14:textId="77777777" w:rsidR="00171824" w:rsidRDefault="00171824">
      <w:pPr>
        <w:keepNext/>
        <w:widowControl/>
        <w:autoSpaceDE/>
        <w:autoSpaceDN/>
        <w:adjustRightInd/>
        <w:rPr>
          <w:rFonts w:eastAsia="PMingLiU"/>
          <w:sz w:val="22"/>
          <w:szCs w:val="20"/>
          <w:lang w:val="el-GR"/>
        </w:rPr>
      </w:pPr>
    </w:p>
    <w:p w14:paraId="54A75BE1"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337CB6AF"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52791949"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0ACBEAD3" w14:textId="77777777" w:rsidR="00171824" w:rsidRDefault="006D258C">
      <w:pPr>
        <w:widowControl/>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4BFC6A4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2D872162"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3418676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ΕΞΩΤΕΡΙΚΟ ΚΟΥΤΙ ΓΙΑ ΠΟΛΥΣΥΣΚΕΥΑΣΙΑ ΠΡΟΓΕΜΙΣΜΕΝΩΝ ΣΥΣΚΕΥΩΝ ΤΥΠΟΥ ΠΕΝΑΣ (με blue box)</w:t>
      </w:r>
    </w:p>
    <w:p w14:paraId="27446444" w14:textId="77777777" w:rsidR="00171824" w:rsidRDefault="00171824">
      <w:pPr>
        <w:widowControl/>
        <w:tabs>
          <w:tab w:val="left" w:pos="567"/>
        </w:tabs>
        <w:autoSpaceDE/>
        <w:autoSpaceDN/>
        <w:adjustRightInd/>
        <w:rPr>
          <w:rFonts w:eastAsia="PMingLiU"/>
          <w:sz w:val="22"/>
          <w:szCs w:val="20"/>
          <w:lang w:val="el-GR"/>
        </w:rPr>
      </w:pPr>
    </w:p>
    <w:p w14:paraId="05C749DE" w14:textId="77777777" w:rsidR="00171824" w:rsidRDefault="00171824">
      <w:pPr>
        <w:widowControl/>
        <w:tabs>
          <w:tab w:val="left" w:pos="567"/>
        </w:tabs>
        <w:autoSpaceDE/>
        <w:autoSpaceDN/>
        <w:adjustRightInd/>
        <w:rPr>
          <w:rFonts w:eastAsia="PMingLiU"/>
          <w:sz w:val="22"/>
          <w:szCs w:val="22"/>
          <w:lang w:val="el-GR"/>
        </w:rPr>
      </w:pPr>
    </w:p>
    <w:p w14:paraId="49696FD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6CF53D2F" w14:textId="77777777" w:rsidR="00171824" w:rsidRDefault="00171824">
      <w:pPr>
        <w:widowControl/>
        <w:tabs>
          <w:tab w:val="left" w:pos="567"/>
        </w:tabs>
        <w:autoSpaceDE/>
        <w:autoSpaceDN/>
        <w:adjustRightInd/>
        <w:rPr>
          <w:rFonts w:eastAsia="PMingLiU"/>
          <w:sz w:val="22"/>
          <w:szCs w:val="22"/>
          <w:lang w:val="el-GR"/>
        </w:rPr>
      </w:pPr>
    </w:p>
    <w:p w14:paraId="1739345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ενέσιμο διάλυμα σε προγεμισμένη συσκευή τύπου πένας</w:t>
      </w:r>
    </w:p>
    <w:p w14:paraId="089A3957"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1F966D83" w14:textId="77777777" w:rsidR="00171824" w:rsidRDefault="00171824">
      <w:pPr>
        <w:widowControl/>
        <w:tabs>
          <w:tab w:val="left" w:pos="567"/>
        </w:tabs>
        <w:autoSpaceDE/>
        <w:autoSpaceDN/>
        <w:adjustRightInd/>
        <w:rPr>
          <w:rFonts w:eastAsia="PMingLiU"/>
          <w:sz w:val="22"/>
          <w:szCs w:val="22"/>
          <w:lang w:val="el-GR"/>
        </w:rPr>
      </w:pPr>
    </w:p>
    <w:p w14:paraId="68F40930" w14:textId="77777777" w:rsidR="00171824" w:rsidRDefault="00171824">
      <w:pPr>
        <w:widowControl/>
        <w:tabs>
          <w:tab w:val="left" w:pos="567"/>
        </w:tabs>
        <w:autoSpaceDE/>
        <w:autoSpaceDN/>
        <w:adjustRightInd/>
        <w:rPr>
          <w:rFonts w:eastAsia="PMingLiU"/>
          <w:sz w:val="22"/>
          <w:szCs w:val="22"/>
          <w:lang w:val="el-GR"/>
        </w:rPr>
      </w:pPr>
    </w:p>
    <w:p w14:paraId="7511650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375DC1A4" w14:textId="77777777" w:rsidR="00171824" w:rsidRDefault="00171824">
      <w:pPr>
        <w:widowControl/>
        <w:tabs>
          <w:tab w:val="left" w:pos="567"/>
        </w:tabs>
        <w:autoSpaceDE/>
        <w:autoSpaceDN/>
        <w:adjustRightInd/>
        <w:rPr>
          <w:rFonts w:eastAsia="PMingLiU"/>
          <w:sz w:val="22"/>
          <w:szCs w:val="22"/>
          <w:lang w:val="el-GR"/>
        </w:rPr>
      </w:pPr>
    </w:p>
    <w:p w14:paraId="22DA936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40 mg adalimumab σε διάλυμα 0,8 ml.</w:t>
      </w:r>
    </w:p>
    <w:p w14:paraId="3655ED06" w14:textId="77777777" w:rsidR="00171824" w:rsidRDefault="00171824">
      <w:pPr>
        <w:widowControl/>
        <w:tabs>
          <w:tab w:val="left" w:pos="567"/>
        </w:tabs>
        <w:autoSpaceDE/>
        <w:autoSpaceDN/>
        <w:adjustRightInd/>
        <w:rPr>
          <w:rFonts w:eastAsia="PMingLiU"/>
          <w:sz w:val="22"/>
          <w:szCs w:val="22"/>
          <w:lang w:val="el-GR"/>
        </w:rPr>
      </w:pPr>
    </w:p>
    <w:p w14:paraId="1972DCC5" w14:textId="77777777" w:rsidR="00171824" w:rsidRDefault="00171824">
      <w:pPr>
        <w:widowControl/>
        <w:tabs>
          <w:tab w:val="left" w:pos="567"/>
        </w:tabs>
        <w:autoSpaceDE/>
        <w:autoSpaceDN/>
        <w:adjustRightInd/>
        <w:rPr>
          <w:rFonts w:eastAsia="PMingLiU"/>
          <w:sz w:val="22"/>
          <w:szCs w:val="22"/>
          <w:lang w:val="el-GR"/>
        </w:rPr>
      </w:pPr>
    </w:p>
    <w:p w14:paraId="668C200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28B55156" w14:textId="77777777" w:rsidR="00171824" w:rsidRDefault="00171824">
      <w:pPr>
        <w:widowControl/>
        <w:tabs>
          <w:tab w:val="left" w:pos="567"/>
        </w:tabs>
        <w:autoSpaceDE/>
        <w:autoSpaceDN/>
        <w:adjustRightInd/>
        <w:rPr>
          <w:rFonts w:eastAsia="PMingLiU"/>
          <w:sz w:val="22"/>
          <w:szCs w:val="22"/>
          <w:lang w:val="el-GR"/>
        </w:rPr>
      </w:pPr>
    </w:p>
    <w:p w14:paraId="4EFE0AD6"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Κρυσταλλικό οξικό οξύ, σακχαρόζη, πολυσορβικό 80, υδροξείδιο του νατρίου και ενέσιμο ύδωρ.</w:t>
      </w:r>
    </w:p>
    <w:p w14:paraId="02F28F3C" w14:textId="77777777" w:rsidR="00171824" w:rsidRDefault="00171824">
      <w:pPr>
        <w:widowControl/>
        <w:tabs>
          <w:tab w:val="left" w:pos="567"/>
        </w:tabs>
        <w:autoSpaceDE/>
        <w:autoSpaceDN/>
        <w:adjustRightInd/>
        <w:rPr>
          <w:rFonts w:eastAsia="PMingLiU"/>
          <w:sz w:val="22"/>
          <w:szCs w:val="22"/>
          <w:lang w:val="el-GR"/>
        </w:rPr>
      </w:pPr>
    </w:p>
    <w:p w14:paraId="2E6D9BF5" w14:textId="77777777" w:rsidR="00171824" w:rsidRDefault="00171824">
      <w:pPr>
        <w:widowControl/>
        <w:tabs>
          <w:tab w:val="left" w:pos="567"/>
        </w:tabs>
        <w:autoSpaceDE/>
        <w:autoSpaceDN/>
        <w:adjustRightInd/>
        <w:rPr>
          <w:rFonts w:eastAsia="PMingLiU"/>
          <w:sz w:val="22"/>
          <w:szCs w:val="22"/>
          <w:lang w:val="el-GR"/>
        </w:rPr>
      </w:pPr>
    </w:p>
    <w:p w14:paraId="3E04D17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59E462F9" w14:textId="77777777" w:rsidR="00171824" w:rsidRDefault="00171824">
      <w:pPr>
        <w:widowControl/>
        <w:tabs>
          <w:tab w:val="left" w:pos="567"/>
        </w:tabs>
        <w:autoSpaceDE/>
        <w:autoSpaceDN/>
        <w:adjustRightInd/>
        <w:rPr>
          <w:rFonts w:eastAsia="PMingLiU"/>
          <w:sz w:val="22"/>
          <w:szCs w:val="22"/>
          <w:lang w:val="el-GR"/>
        </w:rPr>
      </w:pPr>
    </w:p>
    <w:p w14:paraId="29B5D2C2"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3F633052" w14:textId="77777777" w:rsidR="00171824" w:rsidRDefault="006D258C">
      <w:pPr>
        <w:rPr>
          <w:sz w:val="22"/>
          <w:szCs w:val="22"/>
          <w:lang w:val="el-GR"/>
        </w:rPr>
      </w:pPr>
      <w:r>
        <w:rPr>
          <w:sz w:val="22"/>
          <w:szCs w:val="22"/>
          <w:lang w:val="el-GR"/>
        </w:rPr>
        <w:t>40 mg/0,8 ml</w:t>
      </w:r>
    </w:p>
    <w:p w14:paraId="5B419D71"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Πολυσυσκευασία: 6 (3 κουτιά των2) προγεμισμένων συσκευώνς τύπου πένας SureClick.</w:t>
      </w:r>
    </w:p>
    <w:p w14:paraId="7F41E837" w14:textId="77777777" w:rsidR="00171824" w:rsidRDefault="00171824">
      <w:pPr>
        <w:widowControl/>
        <w:tabs>
          <w:tab w:val="left" w:pos="567"/>
        </w:tabs>
        <w:autoSpaceDE/>
        <w:autoSpaceDN/>
        <w:adjustRightInd/>
        <w:rPr>
          <w:rFonts w:eastAsia="PMingLiU"/>
          <w:sz w:val="22"/>
          <w:szCs w:val="22"/>
          <w:lang w:val="el-GR"/>
        </w:rPr>
      </w:pPr>
    </w:p>
    <w:p w14:paraId="1E7682F7" w14:textId="77777777" w:rsidR="00171824" w:rsidRDefault="00171824">
      <w:pPr>
        <w:widowControl/>
        <w:tabs>
          <w:tab w:val="left" w:pos="567"/>
        </w:tabs>
        <w:autoSpaceDE/>
        <w:autoSpaceDN/>
        <w:adjustRightInd/>
        <w:rPr>
          <w:rFonts w:eastAsia="PMingLiU"/>
          <w:sz w:val="22"/>
          <w:szCs w:val="22"/>
          <w:lang w:val="el-GR"/>
        </w:rPr>
      </w:pPr>
    </w:p>
    <w:p w14:paraId="438AF04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4431D17A" w14:textId="77777777" w:rsidR="00171824" w:rsidRDefault="00171824">
      <w:pPr>
        <w:widowControl/>
        <w:tabs>
          <w:tab w:val="left" w:pos="567"/>
        </w:tabs>
        <w:autoSpaceDE/>
        <w:autoSpaceDN/>
        <w:adjustRightInd/>
        <w:rPr>
          <w:rFonts w:eastAsia="PMingLiU"/>
          <w:sz w:val="22"/>
          <w:szCs w:val="20"/>
          <w:lang w:val="el-GR"/>
        </w:rPr>
      </w:pPr>
    </w:p>
    <w:p w14:paraId="463E19C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5770973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1565758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705B0C31" w14:textId="77777777" w:rsidR="00171824" w:rsidRDefault="00171824">
      <w:pPr>
        <w:widowControl/>
        <w:tabs>
          <w:tab w:val="left" w:pos="567"/>
        </w:tabs>
        <w:autoSpaceDE/>
        <w:autoSpaceDN/>
        <w:adjustRightInd/>
        <w:rPr>
          <w:rFonts w:eastAsia="PMingLiU"/>
          <w:sz w:val="22"/>
          <w:szCs w:val="22"/>
          <w:lang w:val="el-GR"/>
        </w:rPr>
      </w:pPr>
    </w:p>
    <w:p w14:paraId="6FEFA491" w14:textId="77777777" w:rsidR="00171824" w:rsidRDefault="00171824">
      <w:pPr>
        <w:widowControl/>
        <w:tabs>
          <w:tab w:val="left" w:pos="567"/>
        </w:tabs>
        <w:autoSpaceDE/>
        <w:autoSpaceDN/>
        <w:adjustRightInd/>
        <w:rPr>
          <w:rFonts w:eastAsia="PMingLiU"/>
          <w:sz w:val="22"/>
          <w:szCs w:val="22"/>
          <w:lang w:val="el-GR"/>
        </w:rPr>
      </w:pPr>
    </w:p>
    <w:p w14:paraId="578936C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46064921" w14:textId="77777777" w:rsidR="00171824" w:rsidRDefault="00171824">
      <w:pPr>
        <w:widowControl/>
        <w:tabs>
          <w:tab w:val="left" w:pos="567"/>
        </w:tabs>
        <w:autoSpaceDE/>
        <w:autoSpaceDN/>
        <w:adjustRightInd/>
        <w:rPr>
          <w:rFonts w:eastAsia="PMingLiU"/>
          <w:sz w:val="22"/>
          <w:szCs w:val="22"/>
          <w:lang w:val="el-GR"/>
        </w:rPr>
      </w:pPr>
    </w:p>
    <w:p w14:paraId="7A30479C"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29381699" w14:textId="77777777" w:rsidR="00171824" w:rsidRDefault="00171824">
      <w:pPr>
        <w:widowControl/>
        <w:tabs>
          <w:tab w:val="left" w:pos="567"/>
        </w:tabs>
        <w:autoSpaceDE/>
        <w:autoSpaceDN/>
        <w:adjustRightInd/>
        <w:rPr>
          <w:rFonts w:eastAsia="PMingLiU"/>
          <w:sz w:val="22"/>
          <w:szCs w:val="22"/>
          <w:lang w:val="el-GR"/>
        </w:rPr>
      </w:pPr>
    </w:p>
    <w:p w14:paraId="67C7A6D9" w14:textId="77777777" w:rsidR="00171824" w:rsidRDefault="00171824">
      <w:pPr>
        <w:widowControl/>
        <w:tabs>
          <w:tab w:val="left" w:pos="567"/>
        </w:tabs>
        <w:autoSpaceDE/>
        <w:autoSpaceDN/>
        <w:adjustRightInd/>
        <w:rPr>
          <w:rFonts w:eastAsia="PMingLiU"/>
          <w:sz w:val="22"/>
          <w:szCs w:val="22"/>
          <w:lang w:val="el-GR"/>
        </w:rPr>
      </w:pPr>
    </w:p>
    <w:p w14:paraId="7158C6A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75CA8747" w14:textId="77777777" w:rsidR="00171824" w:rsidRDefault="00171824">
      <w:pPr>
        <w:widowControl/>
        <w:tabs>
          <w:tab w:val="left" w:pos="567"/>
        </w:tabs>
        <w:autoSpaceDE/>
        <w:autoSpaceDN/>
        <w:adjustRightInd/>
        <w:rPr>
          <w:rFonts w:eastAsia="PMingLiU"/>
          <w:sz w:val="22"/>
          <w:szCs w:val="22"/>
          <w:lang w:val="el-GR"/>
        </w:rPr>
      </w:pPr>
    </w:p>
    <w:p w14:paraId="75B4A40E" w14:textId="77777777" w:rsidR="00171824" w:rsidRDefault="00171824">
      <w:pPr>
        <w:widowControl/>
        <w:tabs>
          <w:tab w:val="left" w:pos="567"/>
          <w:tab w:val="left" w:pos="749"/>
        </w:tabs>
        <w:autoSpaceDE/>
        <w:autoSpaceDN/>
        <w:adjustRightInd/>
        <w:rPr>
          <w:rFonts w:eastAsia="PMingLiU"/>
          <w:sz w:val="22"/>
          <w:szCs w:val="20"/>
          <w:lang w:val="el-GR"/>
        </w:rPr>
      </w:pPr>
    </w:p>
    <w:p w14:paraId="2E06914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4CFFB1FF" w14:textId="77777777" w:rsidR="00171824" w:rsidRDefault="00171824">
      <w:pPr>
        <w:widowControl/>
        <w:tabs>
          <w:tab w:val="left" w:pos="567"/>
        </w:tabs>
        <w:autoSpaceDE/>
        <w:autoSpaceDN/>
        <w:adjustRightInd/>
        <w:rPr>
          <w:rFonts w:eastAsia="PMingLiU"/>
          <w:sz w:val="22"/>
          <w:szCs w:val="20"/>
          <w:lang w:val="el-GR"/>
        </w:rPr>
      </w:pPr>
    </w:p>
    <w:p w14:paraId="085C6ABE"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5C77AC1A" w14:textId="77777777" w:rsidR="00171824" w:rsidRDefault="00171824">
      <w:pPr>
        <w:widowControl/>
        <w:tabs>
          <w:tab w:val="left" w:pos="567"/>
        </w:tabs>
        <w:autoSpaceDE/>
        <w:autoSpaceDN/>
        <w:adjustRightInd/>
        <w:rPr>
          <w:rFonts w:eastAsia="PMingLiU"/>
          <w:sz w:val="22"/>
          <w:szCs w:val="22"/>
          <w:lang w:val="el-GR"/>
        </w:rPr>
      </w:pPr>
    </w:p>
    <w:p w14:paraId="76123A4F" w14:textId="77777777" w:rsidR="00171824" w:rsidRDefault="00171824">
      <w:pPr>
        <w:widowControl/>
        <w:tabs>
          <w:tab w:val="left" w:pos="567"/>
        </w:tabs>
        <w:autoSpaceDE/>
        <w:autoSpaceDN/>
        <w:adjustRightInd/>
        <w:rPr>
          <w:rFonts w:eastAsia="PMingLiU"/>
          <w:sz w:val="22"/>
          <w:szCs w:val="22"/>
          <w:lang w:val="el-GR"/>
        </w:rPr>
      </w:pPr>
    </w:p>
    <w:p w14:paraId="3453D2E0"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0ECD9DB1" w14:textId="77777777" w:rsidR="00171824" w:rsidRDefault="00171824">
      <w:pPr>
        <w:keepNext/>
        <w:widowControl/>
        <w:tabs>
          <w:tab w:val="left" w:pos="567"/>
        </w:tabs>
        <w:autoSpaceDE/>
        <w:autoSpaceDN/>
        <w:adjustRightInd/>
        <w:rPr>
          <w:rFonts w:eastAsia="PMingLiU"/>
          <w:sz w:val="22"/>
          <w:szCs w:val="22"/>
          <w:lang w:val="el-GR"/>
        </w:rPr>
      </w:pPr>
    </w:p>
    <w:p w14:paraId="01273944"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58CC8E63"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3A7F5E02"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43464333" w14:textId="77777777" w:rsidR="00171824" w:rsidRDefault="00171824">
      <w:pPr>
        <w:widowControl/>
        <w:tabs>
          <w:tab w:val="left" w:pos="567"/>
        </w:tabs>
        <w:autoSpaceDE/>
        <w:autoSpaceDN/>
        <w:adjustRightInd/>
        <w:rPr>
          <w:rFonts w:eastAsia="SimSun"/>
          <w:sz w:val="22"/>
          <w:szCs w:val="22"/>
          <w:lang w:val="el-GR" w:eastAsia="en-GB"/>
        </w:rPr>
      </w:pPr>
    </w:p>
    <w:p w14:paraId="798CD883" w14:textId="77777777" w:rsidR="00171824" w:rsidRDefault="00171824">
      <w:pPr>
        <w:widowControl/>
        <w:tabs>
          <w:tab w:val="left" w:pos="567"/>
        </w:tabs>
        <w:autoSpaceDE/>
        <w:autoSpaceDN/>
        <w:adjustRightInd/>
        <w:rPr>
          <w:rFonts w:eastAsia="SimSun"/>
          <w:sz w:val="22"/>
          <w:szCs w:val="22"/>
          <w:lang w:val="el-GR" w:eastAsia="en-GB"/>
        </w:rPr>
      </w:pPr>
    </w:p>
    <w:p w14:paraId="2B5B036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5D9DD916" w14:textId="77777777" w:rsidR="00171824" w:rsidRDefault="00171824">
      <w:pPr>
        <w:widowControl/>
        <w:tabs>
          <w:tab w:val="left" w:pos="567"/>
        </w:tabs>
        <w:autoSpaceDE/>
        <w:autoSpaceDN/>
        <w:adjustRightInd/>
        <w:rPr>
          <w:rFonts w:eastAsia="PMingLiU"/>
          <w:sz w:val="22"/>
          <w:szCs w:val="22"/>
          <w:lang w:val="el-GR"/>
        </w:rPr>
      </w:pPr>
    </w:p>
    <w:p w14:paraId="0B9DFEF5" w14:textId="77777777" w:rsidR="00171824" w:rsidRDefault="00171824">
      <w:pPr>
        <w:widowControl/>
        <w:tabs>
          <w:tab w:val="left" w:pos="567"/>
        </w:tabs>
        <w:autoSpaceDE/>
        <w:autoSpaceDN/>
        <w:adjustRightInd/>
        <w:rPr>
          <w:rFonts w:eastAsia="PMingLiU"/>
          <w:sz w:val="22"/>
          <w:szCs w:val="22"/>
          <w:lang w:val="el-GR"/>
        </w:rPr>
      </w:pPr>
    </w:p>
    <w:p w14:paraId="474AA7F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16197F1A" w14:textId="77777777" w:rsidR="00171824" w:rsidRDefault="00171824">
      <w:pPr>
        <w:widowControl/>
        <w:tabs>
          <w:tab w:val="left" w:pos="567"/>
        </w:tabs>
        <w:autoSpaceDE/>
        <w:autoSpaceDN/>
        <w:adjustRightInd/>
        <w:rPr>
          <w:rFonts w:eastAsia="PMingLiU"/>
          <w:sz w:val="22"/>
          <w:szCs w:val="22"/>
          <w:lang w:val="el-GR"/>
        </w:rPr>
      </w:pPr>
    </w:p>
    <w:p w14:paraId="6B2DC4E9"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55E80EE3"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428FF833"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28319F4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12B8766F" w14:textId="77777777" w:rsidR="00171824" w:rsidRDefault="00171824">
      <w:pPr>
        <w:widowControl/>
        <w:tabs>
          <w:tab w:val="left" w:pos="567"/>
        </w:tabs>
        <w:autoSpaceDE/>
        <w:autoSpaceDN/>
        <w:adjustRightInd/>
        <w:rPr>
          <w:rFonts w:eastAsia="PMingLiU"/>
          <w:sz w:val="22"/>
          <w:szCs w:val="22"/>
          <w:lang w:val="el-GR"/>
        </w:rPr>
      </w:pPr>
    </w:p>
    <w:p w14:paraId="49A43BAB" w14:textId="77777777" w:rsidR="00171824" w:rsidRDefault="00171824">
      <w:pPr>
        <w:widowControl/>
        <w:tabs>
          <w:tab w:val="left" w:pos="567"/>
        </w:tabs>
        <w:autoSpaceDE/>
        <w:autoSpaceDN/>
        <w:adjustRightInd/>
        <w:rPr>
          <w:rFonts w:eastAsia="PMingLiU"/>
          <w:sz w:val="22"/>
          <w:szCs w:val="22"/>
          <w:lang w:val="el-GR"/>
        </w:rPr>
      </w:pPr>
    </w:p>
    <w:p w14:paraId="3C91E39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43D4005A" w14:textId="77777777" w:rsidR="00171824" w:rsidRDefault="00171824">
      <w:pPr>
        <w:widowControl/>
        <w:tabs>
          <w:tab w:val="left" w:pos="567"/>
        </w:tabs>
        <w:autoSpaceDE/>
        <w:autoSpaceDN/>
        <w:adjustRightInd/>
        <w:rPr>
          <w:rFonts w:eastAsia="PMingLiU"/>
          <w:sz w:val="22"/>
          <w:szCs w:val="22"/>
          <w:lang w:val="el-GR"/>
        </w:rPr>
      </w:pPr>
    </w:p>
    <w:p w14:paraId="371E4BE5"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EU/1/16/1164/009 </w:t>
      </w:r>
    </w:p>
    <w:p w14:paraId="205269CF" w14:textId="77777777" w:rsidR="00171824" w:rsidRDefault="00171824">
      <w:pPr>
        <w:widowControl/>
        <w:tabs>
          <w:tab w:val="left" w:pos="567"/>
        </w:tabs>
        <w:autoSpaceDE/>
        <w:autoSpaceDN/>
        <w:adjustRightInd/>
        <w:outlineLvl w:val="0"/>
        <w:rPr>
          <w:rFonts w:eastAsia="PMingLiU"/>
          <w:sz w:val="22"/>
          <w:szCs w:val="22"/>
          <w:lang w:val="el-GR" w:bidi="en-US"/>
        </w:rPr>
      </w:pPr>
    </w:p>
    <w:p w14:paraId="14B1E6F8" w14:textId="77777777" w:rsidR="00171824" w:rsidRDefault="00171824">
      <w:pPr>
        <w:widowControl/>
        <w:tabs>
          <w:tab w:val="left" w:pos="567"/>
        </w:tabs>
        <w:autoSpaceDE/>
        <w:autoSpaceDN/>
        <w:adjustRightInd/>
        <w:rPr>
          <w:rFonts w:eastAsia="PMingLiU"/>
          <w:sz w:val="22"/>
          <w:szCs w:val="22"/>
          <w:lang w:val="el-GR"/>
        </w:rPr>
      </w:pPr>
    </w:p>
    <w:p w14:paraId="07F6777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15529D27" w14:textId="77777777" w:rsidR="00171824" w:rsidRDefault="00171824">
      <w:pPr>
        <w:widowControl/>
        <w:tabs>
          <w:tab w:val="left" w:pos="567"/>
        </w:tabs>
        <w:autoSpaceDE/>
        <w:autoSpaceDN/>
        <w:adjustRightInd/>
        <w:rPr>
          <w:rFonts w:eastAsia="PMingLiU"/>
          <w:i/>
          <w:sz w:val="22"/>
          <w:szCs w:val="22"/>
          <w:lang w:val="el-GR"/>
        </w:rPr>
      </w:pPr>
    </w:p>
    <w:p w14:paraId="1D639120"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0FC335B2" w14:textId="77777777" w:rsidR="00171824" w:rsidRDefault="00171824">
      <w:pPr>
        <w:widowControl/>
        <w:tabs>
          <w:tab w:val="left" w:pos="567"/>
        </w:tabs>
        <w:autoSpaceDE/>
        <w:autoSpaceDN/>
        <w:adjustRightInd/>
        <w:rPr>
          <w:rFonts w:eastAsia="PMingLiU"/>
          <w:sz w:val="22"/>
          <w:szCs w:val="22"/>
          <w:lang w:val="el-GR"/>
        </w:rPr>
      </w:pPr>
    </w:p>
    <w:p w14:paraId="4EEFA290" w14:textId="77777777" w:rsidR="00171824" w:rsidRDefault="00171824">
      <w:pPr>
        <w:widowControl/>
        <w:tabs>
          <w:tab w:val="left" w:pos="567"/>
        </w:tabs>
        <w:autoSpaceDE/>
        <w:autoSpaceDN/>
        <w:adjustRightInd/>
        <w:rPr>
          <w:rFonts w:eastAsia="PMingLiU"/>
          <w:sz w:val="22"/>
          <w:szCs w:val="22"/>
          <w:lang w:val="el-GR"/>
        </w:rPr>
      </w:pPr>
    </w:p>
    <w:p w14:paraId="5A3C514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57078210" w14:textId="77777777" w:rsidR="00171824" w:rsidRDefault="00171824">
      <w:pPr>
        <w:widowControl/>
        <w:tabs>
          <w:tab w:val="left" w:pos="567"/>
        </w:tabs>
        <w:autoSpaceDE/>
        <w:autoSpaceDN/>
        <w:adjustRightInd/>
        <w:rPr>
          <w:rFonts w:eastAsia="PMingLiU"/>
          <w:i/>
          <w:sz w:val="22"/>
          <w:szCs w:val="22"/>
          <w:lang w:val="el-GR"/>
        </w:rPr>
      </w:pPr>
    </w:p>
    <w:p w14:paraId="56157528" w14:textId="77777777" w:rsidR="00171824" w:rsidRDefault="00171824">
      <w:pPr>
        <w:widowControl/>
        <w:tabs>
          <w:tab w:val="left" w:pos="567"/>
        </w:tabs>
        <w:autoSpaceDE/>
        <w:autoSpaceDN/>
        <w:adjustRightInd/>
        <w:rPr>
          <w:rFonts w:eastAsia="PMingLiU"/>
          <w:sz w:val="22"/>
          <w:szCs w:val="22"/>
          <w:lang w:val="el-GR"/>
        </w:rPr>
      </w:pPr>
    </w:p>
    <w:p w14:paraId="103C551A"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75998A8D" w14:textId="77777777" w:rsidR="00171824" w:rsidRDefault="00171824">
      <w:pPr>
        <w:widowControl/>
        <w:tabs>
          <w:tab w:val="left" w:pos="567"/>
        </w:tabs>
        <w:autoSpaceDE/>
        <w:autoSpaceDN/>
        <w:adjustRightInd/>
        <w:rPr>
          <w:rFonts w:eastAsia="PMingLiU"/>
          <w:sz w:val="22"/>
          <w:szCs w:val="22"/>
          <w:lang w:val="el-GR"/>
        </w:rPr>
      </w:pPr>
    </w:p>
    <w:p w14:paraId="1E6547B3" w14:textId="77777777" w:rsidR="00171824" w:rsidRDefault="00171824">
      <w:pPr>
        <w:widowControl/>
        <w:tabs>
          <w:tab w:val="left" w:pos="567"/>
        </w:tabs>
        <w:autoSpaceDE/>
        <w:autoSpaceDN/>
        <w:adjustRightInd/>
        <w:rPr>
          <w:rFonts w:eastAsia="PMingLiU"/>
          <w:sz w:val="22"/>
          <w:szCs w:val="22"/>
          <w:lang w:val="el-GR"/>
        </w:rPr>
      </w:pPr>
    </w:p>
    <w:p w14:paraId="2E7C56E6"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731E8A39" w14:textId="77777777" w:rsidR="00171824" w:rsidRDefault="00171824">
      <w:pPr>
        <w:widowControl/>
        <w:tabs>
          <w:tab w:val="left" w:pos="567"/>
        </w:tabs>
        <w:autoSpaceDE/>
        <w:autoSpaceDN/>
        <w:adjustRightInd/>
        <w:rPr>
          <w:rFonts w:eastAsia="PMingLiU"/>
          <w:sz w:val="22"/>
          <w:szCs w:val="20"/>
          <w:lang w:val="el-GR"/>
        </w:rPr>
      </w:pPr>
    </w:p>
    <w:p w14:paraId="75A99049"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 xml:space="preserve">AMGEVITA 40 mg/0,8 ml </w:t>
      </w:r>
      <w:r>
        <w:rPr>
          <w:rFonts w:eastAsia="Arial Unicode MS" w:cs="Arial Unicode MS"/>
          <w:sz w:val="22"/>
          <w:szCs w:val="22"/>
          <w:lang w:val="el-GR" w:bidi="en-US"/>
        </w:rPr>
        <w:t>συσκευή τύπου πένας</w:t>
      </w:r>
    </w:p>
    <w:p w14:paraId="051129CC"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7E7D3286"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24084075"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6B9D930E" w14:textId="77777777" w:rsidR="00171824" w:rsidRDefault="00171824">
      <w:pPr>
        <w:widowControl/>
        <w:autoSpaceDE/>
        <w:autoSpaceDN/>
        <w:adjustRightInd/>
        <w:rPr>
          <w:rFonts w:eastAsia="PMingLiU"/>
          <w:sz w:val="22"/>
          <w:szCs w:val="20"/>
          <w:lang w:val="el-GR"/>
        </w:rPr>
      </w:pPr>
    </w:p>
    <w:p w14:paraId="171F7607" w14:textId="77777777" w:rsidR="00171824" w:rsidRDefault="006D258C">
      <w:pPr>
        <w:widowControl/>
        <w:tabs>
          <w:tab w:val="left" w:pos="567"/>
        </w:tabs>
        <w:autoSpaceDE/>
        <w:autoSpaceDN/>
        <w:adjustRightInd/>
        <w:rPr>
          <w:rFonts w:eastAsia="Arial Unicode MS" w:cs="Arial Unicode MS"/>
          <w:sz w:val="22"/>
          <w:szCs w:val="20"/>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2CFF9A6C" w14:textId="77777777" w:rsidR="00171824" w:rsidRDefault="00171824">
      <w:pPr>
        <w:widowControl/>
        <w:tabs>
          <w:tab w:val="left" w:pos="567"/>
        </w:tabs>
        <w:autoSpaceDE/>
        <w:autoSpaceDN/>
        <w:adjustRightInd/>
        <w:rPr>
          <w:rFonts w:eastAsia="PMingLiU"/>
          <w:sz w:val="22"/>
          <w:szCs w:val="22"/>
          <w:shd w:val="clear" w:color="auto" w:fill="CCCCCC"/>
          <w:lang w:val="el-GR" w:bidi="en-US"/>
        </w:rPr>
      </w:pPr>
    </w:p>
    <w:p w14:paraId="64D3FDB2" w14:textId="77777777" w:rsidR="00171824" w:rsidRDefault="00171824">
      <w:pPr>
        <w:widowControl/>
        <w:tabs>
          <w:tab w:val="left" w:pos="567"/>
        </w:tabs>
        <w:autoSpaceDE/>
        <w:autoSpaceDN/>
        <w:adjustRightInd/>
        <w:rPr>
          <w:rFonts w:eastAsia="PMingLiU"/>
          <w:sz w:val="22"/>
          <w:szCs w:val="22"/>
          <w:shd w:val="clear" w:color="auto" w:fill="CCCCCC"/>
          <w:lang w:val="el-GR" w:bidi="en-US"/>
        </w:rPr>
      </w:pPr>
    </w:p>
    <w:p w14:paraId="33B8750D"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466F2FF7" w14:textId="77777777" w:rsidR="00171824" w:rsidRDefault="00171824">
      <w:pPr>
        <w:keepNext/>
        <w:widowControl/>
        <w:autoSpaceDE/>
        <w:autoSpaceDN/>
        <w:adjustRightInd/>
        <w:rPr>
          <w:rFonts w:eastAsia="PMingLiU"/>
          <w:sz w:val="22"/>
          <w:szCs w:val="20"/>
          <w:lang w:val="el-GR"/>
        </w:rPr>
      </w:pPr>
    </w:p>
    <w:p w14:paraId="328FF212"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57466020"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41E27F52"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293B4282" w14:textId="77777777" w:rsidR="00171824" w:rsidRDefault="00171824">
      <w:pPr>
        <w:keepNext/>
        <w:widowControl/>
        <w:tabs>
          <w:tab w:val="left" w:pos="567"/>
        </w:tabs>
        <w:autoSpaceDE/>
        <w:autoSpaceDN/>
        <w:adjustRightInd/>
        <w:rPr>
          <w:rFonts w:eastAsia="Arial Unicode MS" w:cs="Arial Unicode MS"/>
          <w:sz w:val="22"/>
          <w:szCs w:val="22"/>
          <w:lang w:val="el-GR" w:bidi="en-US"/>
        </w:rPr>
      </w:pPr>
    </w:p>
    <w:p w14:paraId="61734745"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br w:type="page"/>
      </w:r>
    </w:p>
    <w:p w14:paraId="1E821E4D"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00D12999" w14:textId="77777777" w:rsidR="00171824" w:rsidRDefault="00171824">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733579D7"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ΕΝΔΙΑΜΕΣΟ ΚΟΥΤΙ ΓΙΑ ΠΟΛΥΣΥΣΚΕΥΑΣΙΑ ΠΡΟΓΕΜΙΣΜΕΝΗΣ ΣΥΣΚΕΥΗΣ ΤΥΠΟΥ ΠΕΝΑΣ (χωρίς blue box)</w:t>
      </w:r>
    </w:p>
    <w:p w14:paraId="65903433" w14:textId="77777777" w:rsidR="00171824" w:rsidRDefault="00171824">
      <w:pPr>
        <w:keepNext/>
        <w:widowControl/>
        <w:tabs>
          <w:tab w:val="left" w:pos="567"/>
        </w:tabs>
        <w:autoSpaceDE/>
        <w:autoSpaceDN/>
        <w:adjustRightInd/>
        <w:rPr>
          <w:rFonts w:eastAsia="PMingLiU"/>
          <w:sz w:val="22"/>
          <w:szCs w:val="20"/>
          <w:lang w:val="el-GR"/>
        </w:rPr>
      </w:pPr>
    </w:p>
    <w:p w14:paraId="682F8116" w14:textId="77777777" w:rsidR="00171824" w:rsidRDefault="00171824">
      <w:pPr>
        <w:keepNext/>
        <w:widowControl/>
        <w:tabs>
          <w:tab w:val="left" w:pos="567"/>
        </w:tabs>
        <w:autoSpaceDE/>
        <w:autoSpaceDN/>
        <w:adjustRightInd/>
        <w:rPr>
          <w:rFonts w:eastAsia="PMingLiU"/>
          <w:sz w:val="22"/>
          <w:szCs w:val="22"/>
          <w:lang w:val="el-GR"/>
        </w:rPr>
      </w:pPr>
    </w:p>
    <w:p w14:paraId="01780CC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758FC5D9" w14:textId="77777777" w:rsidR="00171824" w:rsidRDefault="00171824">
      <w:pPr>
        <w:widowControl/>
        <w:tabs>
          <w:tab w:val="left" w:pos="567"/>
        </w:tabs>
        <w:autoSpaceDE/>
        <w:autoSpaceDN/>
        <w:adjustRightInd/>
        <w:rPr>
          <w:rFonts w:eastAsia="PMingLiU"/>
          <w:sz w:val="22"/>
          <w:szCs w:val="22"/>
          <w:lang w:val="el-GR"/>
        </w:rPr>
      </w:pPr>
    </w:p>
    <w:p w14:paraId="27A60A9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ενέσιμο διάλυμα σε προγεμισμένη συσκευή τύπου πένας</w:t>
      </w:r>
    </w:p>
    <w:p w14:paraId="27F0684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4CDCE1C1" w14:textId="77777777" w:rsidR="00171824" w:rsidRDefault="00171824">
      <w:pPr>
        <w:widowControl/>
        <w:tabs>
          <w:tab w:val="left" w:pos="567"/>
        </w:tabs>
        <w:autoSpaceDE/>
        <w:autoSpaceDN/>
        <w:adjustRightInd/>
        <w:rPr>
          <w:rFonts w:eastAsia="PMingLiU"/>
          <w:sz w:val="22"/>
          <w:szCs w:val="22"/>
          <w:lang w:val="el-GR"/>
        </w:rPr>
      </w:pPr>
    </w:p>
    <w:p w14:paraId="50CD75EA" w14:textId="77777777" w:rsidR="00171824" w:rsidRDefault="00171824">
      <w:pPr>
        <w:widowControl/>
        <w:tabs>
          <w:tab w:val="left" w:pos="567"/>
        </w:tabs>
        <w:autoSpaceDE/>
        <w:autoSpaceDN/>
        <w:adjustRightInd/>
        <w:rPr>
          <w:rFonts w:eastAsia="PMingLiU"/>
          <w:sz w:val="22"/>
          <w:szCs w:val="22"/>
          <w:lang w:val="el-GR"/>
        </w:rPr>
      </w:pPr>
    </w:p>
    <w:p w14:paraId="753172D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050E897B" w14:textId="77777777" w:rsidR="00171824" w:rsidRDefault="00171824">
      <w:pPr>
        <w:widowControl/>
        <w:tabs>
          <w:tab w:val="left" w:pos="567"/>
        </w:tabs>
        <w:autoSpaceDE/>
        <w:autoSpaceDN/>
        <w:adjustRightInd/>
        <w:rPr>
          <w:rFonts w:eastAsia="PMingLiU"/>
          <w:sz w:val="22"/>
          <w:szCs w:val="22"/>
          <w:lang w:val="el-GR"/>
        </w:rPr>
      </w:pPr>
    </w:p>
    <w:p w14:paraId="19BCE72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40 mg adalimumab σε διάλυμα 0,8 ml.</w:t>
      </w:r>
    </w:p>
    <w:p w14:paraId="7EFCE190" w14:textId="77777777" w:rsidR="00171824" w:rsidRDefault="00171824">
      <w:pPr>
        <w:widowControl/>
        <w:tabs>
          <w:tab w:val="left" w:pos="567"/>
        </w:tabs>
        <w:autoSpaceDE/>
        <w:autoSpaceDN/>
        <w:adjustRightInd/>
        <w:rPr>
          <w:rFonts w:eastAsia="PMingLiU"/>
          <w:sz w:val="22"/>
          <w:szCs w:val="22"/>
          <w:lang w:val="el-GR"/>
        </w:rPr>
      </w:pPr>
    </w:p>
    <w:p w14:paraId="46665111" w14:textId="77777777" w:rsidR="00171824" w:rsidRDefault="00171824">
      <w:pPr>
        <w:widowControl/>
        <w:tabs>
          <w:tab w:val="left" w:pos="567"/>
        </w:tabs>
        <w:autoSpaceDE/>
        <w:autoSpaceDN/>
        <w:adjustRightInd/>
        <w:rPr>
          <w:rFonts w:eastAsia="PMingLiU"/>
          <w:sz w:val="22"/>
          <w:szCs w:val="22"/>
          <w:lang w:val="el-GR"/>
        </w:rPr>
      </w:pPr>
    </w:p>
    <w:p w14:paraId="5E40C77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7631660A" w14:textId="77777777" w:rsidR="00171824" w:rsidRDefault="00171824">
      <w:pPr>
        <w:widowControl/>
        <w:tabs>
          <w:tab w:val="left" w:pos="567"/>
        </w:tabs>
        <w:autoSpaceDE/>
        <w:autoSpaceDN/>
        <w:adjustRightInd/>
        <w:rPr>
          <w:rFonts w:eastAsia="PMingLiU"/>
          <w:sz w:val="22"/>
          <w:szCs w:val="22"/>
          <w:lang w:val="el-GR"/>
        </w:rPr>
      </w:pPr>
    </w:p>
    <w:p w14:paraId="60247BDA"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Κρυσταλλικό οξικό οξύ, σακχαρόζη, πολυσορβικό 80, υδροξείδιο του νατρίου και ενέσιμο ύδωρ.</w:t>
      </w:r>
    </w:p>
    <w:p w14:paraId="72B03B86" w14:textId="77777777" w:rsidR="00171824" w:rsidRDefault="00171824">
      <w:pPr>
        <w:widowControl/>
        <w:tabs>
          <w:tab w:val="left" w:pos="567"/>
        </w:tabs>
        <w:autoSpaceDE/>
        <w:autoSpaceDN/>
        <w:adjustRightInd/>
        <w:rPr>
          <w:rFonts w:eastAsia="PMingLiU"/>
          <w:sz w:val="22"/>
          <w:szCs w:val="22"/>
          <w:lang w:val="el-GR"/>
        </w:rPr>
      </w:pPr>
    </w:p>
    <w:p w14:paraId="6DE88202" w14:textId="77777777" w:rsidR="00171824" w:rsidRDefault="00171824">
      <w:pPr>
        <w:widowControl/>
        <w:tabs>
          <w:tab w:val="left" w:pos="567"/>
        </w:tabs>
        <w:autoSpaceDE/>
        <w:autoSpaceDN/>
        <w:adjustRightInd/>
        <w:rPr>
          <w:rFonts w:eastAsia="PMingLiU"/>
          <w:sz w:val="22"/>
          <w:szCs w:val="22"/>
          <w:lang w:val="el-GR"/>
        </w:rPr>
      </w:pPr>
    </w:p>
    <w:p w14:paraId="0BD06A2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55855BDE" w14:textId="77777777" w:rsidR="00171824" w:rsidRDefault="00171824">
      <w:pPr>
        <w:widowControl/>
        <w:tabs>
          <w:tab w:val="left" w:pos="567"/>
        </w:tabs>
        <w:autoSpaceDE/>
        <w:autoSpaceDN/>
        <w:adjustRightInd/>
        <w:rPr>
          <w:rFonts w:eastAsia="PMingLiU"/>
          <w:sz w:val="22"/>
          <w:szCs w:val="22"/>
          <w:lang w:val="el-GR"/>
        </w:rPr>
      </w:pPr>
    </w:p>
    <w:p w14:paraId="78223D9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54A1EA47" w14:textId="77777777" w:rsidR="00171824" w:rsidRDefault="006D258C">
      <w:pPr>
        <w:rPr>
          <w:sz w:val="22"/>
          <w:szCs w:val="22"/>
          <w:lang w:val="el-GR"/>
        </w:rPr>
      </w:pPr>
      <w:r>
        <w:rPr>
          <w:sz w:val="22"/>
          <w:szCs w:val="22"/>
          <w:lang w:val="el-GR"/>
        </w:rPr>
        <w:t>40 mg/0,8 ml</w:t>
      </w:r>
    </w:p>
    <w:p w14:paraId="62A57B96"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2 προγεμισμένες συσκευές τύπου πένας SureClick. Μέρος πολυσυσκευασίας, δεν μπορεί να πωληθεί ξεχωριστά.</w:t>
      </w:r>
    </w:p>
    <w:p w14:paraId="01830283" w14:textId="77777777" w:rsidR="00171824" w:rsidRDefault="00171824">
      <w:pPr>
        <w:widowControl/>
        <w:tabs>
          <w:tab w:val="left" w:pos="567"/>
        </w:tabs>
        <w:autoSpaceDE/>
        <w:autoSpaceDN/>
        <w:adjustRightInd/>
        <w:rPr>
          <w:rFonts w:eastAsia="PMingLiU"/>
          <w:sz w:val="22"/>
          <w:szCs w:val="22"/>
          <w:lang w:val="el-GR"/>
        </w:rPr>
      </w:pPr>
    </w:p>
    <w:p w14:paraId="1A0406FA" w14:textId="77777777" w:rsidR="00171824" w:rsidRDefault="00171824">
      <w:pPr>
        <w:widowControl/>
        <w:tabs>
          <w:tab w:val="left" w:pos="567"/>
        </w:tabs>
        <w:autoSpaceDE/>
        <w:autoSpaceDN/>
        <w:adjustRightInd/>
        <w:rPr>
          <w:rFonts w:eastAsia="PMingLiU"/>
          <w:sz w:val="22"/>
          <w:szCs w:val="22"/>
          <w:lang w:val="el-GR"/>
        </w:rPr>
      </w:pPr>
    </w:p>
    <w:p w14:paraId="278C5ED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4F1E4D88" w14:textId="77777777" w:rsidR="00171824" w:rsidRDefault="00171824">
      <w:pPr>
        <w:widowControl/>
        <w:tabs>
          <w:tab w:val="left" w:pos="567"/>
        </w:tabs>
        <w:autoSpaceDE/>
        <w:autoSpaceDN/>
        <w:adjustRightInd/>
        <w:rPr>
          <w:rFonts w:eastAsia="PMingLiU"/>
          <w:sz w:val="22"/>
          <w:szCs w:val="20"/>
          <w:lang w:val="el-GR"/>
        </w:rPr>
      </w:pPr>
    </w:p>
    <w:p w14:paraId="5891352E"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55B214E7"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2BD8D10A"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37D82E6C" w14:textId="77777777" w:rsidR="00171824" w:rsidRDefault="00171824">
      <w:pPr>
        <w:widowControl/>
        <w:tabs>
          <w:tab w:val="left" w:pos="567"/>
        </w:tabs>
        <w:autoSpaceDE/>
        <w:autoSpaceDN/>
        <w:adjustRightInd/>
        <w:rPr>
          <w:rFonts w:eastAsia="PMingLiU"/>
          <w:sz w:val="22"/>
          <w:szCs w:val="22"/>
          <w:lang w:val="el-GR"/>
        </w:rPr>
      </w:pPr>
    </w:p>
    <w:p w14:paraId="7B79AB24" w14:textId="77777777" w:rsidR="00171824" w:rsidRDefault="00171824">
      <w:pPr>
        <w:widowControl/>
        <w:tabs>
          <w:tab w:val="left" w:pos="567"/>
        </w:tabs>
        <w:autoSpaceDE/>
        <w:autoSpaceDN/>
        <w:adjustRightInd/>
        <w:rPr>
          <w:rFonts w:eastAsia="PMingLiU"/>
          <w:sz w:val="22"/>
          <w:szCs w:val="22"/>
          <w:lang w:val="el-GR"/>
        </w:rPr>
      </w:pPr>
    </w:p>
    <w:p w14:paraId="05A76FF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037F92E1" w14:textId="77777777" w:rsidR="00171824" w:rsidRDefault="00171824">
      <w:pPr>
        <w:widowControl/>
        <w:tabs>
          <w:tab w:val="left" w:pos="567"/>
        </w:tabs>
        <w:autoSpaceDE/>
        <w:autoSpaceDN/>
        <w:adjustRightInd/>
        <w:rPr>
          <w:rFonts w:eastAsia="PMingLiU"/>
          <w:sz w:val="22"/>
          <w:szCs w:val="22"/>
          <w:lang w:val="el-GR"/>
        </w:rPr>
      </w:pPr>
    </w:p>
    <w:p w14:paraId="50327909"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3B5A2A0F" w14:textId="77777777" w:rsidR="00171824" w:rsidRDefault="00171824">
      <w:pPr>
        <w:widowControl/>
        <w:tabs>
          <w:tab w:val="left" w:pos="567"/>
        </w:tabs>
        <w:autoSpaceDE/>
        <w:autoSpaceDN/>
        <w:adjustRightInd/>
        <w:rPr>
          <w:rFonts w:eastAsia="PMingLiU"/>
          <w:sz w:val="22"/>
          <w:szCs w:val="22"/>
          <w:lang w:val="el-GR"/>
        </w:rPr>
      </w:pPr>
    </w:p>
    <w:p w14:paraId="0D0C487C" w14:textId="77777777" w:rsidR="00171824" w:rsidRDefault="00171824">
      <w:pPr>
        <w:widowControl/>
        <w:tabs>
          <w:tab w:val="left" w:pos="567"/>
        </w:tabs>
        <w:autoSpaceDE/>
        <w:autoSpaceDN/>
        <w:adjustRightInd/>
        <w:rPr>
          <w:rFonts w:eastAsia="PMingLiU"/>
          <w:sz w:val="22"/>
          <w:szCs w:val="22"/>
          <w:lang w:val="el-GR"/>
        </w:rPr>
      </w:pPr>
    </w:p>
    <w:p w14:paraId="2B45780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231A096C" w14:textId="77777777" w:rsidR="00171824" w:rsidRDefault="00171824">
      <w:pPr>
        <w:widowControl/>
        <w:tabs>
          <w:tab w:val="left" w:pos="567"/>
        </w:tabs>
        <w:autoSpaceDE/>
        <w:autoSpaceDN/>
        <w:adjustRightInd/>
        <w:rPr>
          <w:rFonts w:eastAsia="PMingLiU"/>
          <w:sz w:val="22"/>
          <w:szCs w:val="22"/>
          <w:lang w:val="el-GR"/>
        </w:rPr>
      </w:pPr>
    </w:p>
    <w:p w14:paraId="38E83127" w14:textId="77777777" w:rsidR="00171824" w:rsidRDefault="00171824">
      <w:pPr>
        <w:widowControl/>
        <w:tabs>
          <w:tab w:val="left" w:pos="567"/>
          <w:tab w:val="left" w:pos="749"/>
        </w:tabs>
        <w:autoSpaceDE/>
        <w:autoSpaceDN/>
        <w:adjustRightInd/>
        <w:rPr>
          <w:rFonts w:eastAsia="PMingLiU"/>
          <w:sz w:val="22"/>
          <w:szCs w:val="20"/>
          <w:lang w:val="el-GR"/>
        </w:rPr>
      </w:pPr>
    </w:p>
    <w:p w14:paraId="3EB2727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5EDF36FF" w14:textId="77777777" w:rsidR="00171824" w:rsidRDefault="00171824">
      <w:pPr>
        <w:widowControl/>
        <w:tabs>
          <w:tab w:val="left" w:pos="567"/>
        </w:tabs>
        <w:autoSpaceDE/>
        <w:autoSpaceDN/>
        <w:adjustRightInd/>
        <w:rPr>
          <w:rFonts w:eastAsia="PMingLiU"/>
          <w:sz w:val="22"/>
          <w:szCs w:val="20"/>
          <w:lang w:val="el-GR"/>
        </w:rPr>
      </w:pPr>
    </w:p>
    <w:p w14:paraId="344DABB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22C0F4C8" w14:textId="77777777" w:rsidR="00171824" w:rsidRDefault="00171824">
      <w:pPr>
        <w:widowControl/>
        <w:tabs>
          <w:tab w:val="left" w:pos="567"/>
        </w:tabs>
        <w:autoSpaceDE/>
        <w:autoSpaceDN/>
        <w:adjustRightInd/>
        <w:rPr>
          <w:rFonts w:eastAsia="PMingLiU"/>
          <w:sz w:val="22"/>
          <w:szCs w:val="22"/>
          <w:lang w:val="el-GR"/>
        </w:rPr>
      </w:pPr>
    </w:p>
    <w:p w14:paraId="5F7B4EB5" w14:textId="77777777" w:rsidR="00171824" w:rsidRDefault="00171824">
      <w:pPr>
        <w:widowControl/>
        <w:tabs>
          <w:tab w:val="left" w:pos="567"/>
        </w:tabs>
        <w:autoSpaceDE/>
        <w:autoSpaceDN/>
        <w:adjustRightInd/>
        <w:rPr>
          <w:rFonts w:eastAsia="PMingLiU"/>
          <w:sz w:val="22"/>
          <w:szCs w:val="22"/>
          <w:lang w:val="el-GR"/>
        </w:rPr>
      </w:pPr>
    </w:p>
    <w:p w14:paraId="18875C7C"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1BF3B5A6" w14:textId="77777777" w:rsidR="00171824" w:rsidRDefault="00171824">
      <w:pPr>
        <w:keepNext/>
        <w:widowControl/>
        <w:tabs>
          <w:tab w:val="left" w:pos="567"/>
        </w:tabs>
        <w:autoSpaceDE/>
        <w:autoSpaceDN/>
        <w:adjustRightInd/>
        <w:rPr>
          <w:rFonts w:eastAsia="PMingLiU"/>
          <w:sz w:val="22"/>
          <w:szCs w:val="22"/>
          <w:lang w:val="el-GR"/>
        </w:rPr>
      </w:pPr>
    </w:p>
    <w:p w14:paraId="6F8C6869"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788E6C71"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0AE32543"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471938B5" w14:textId="77777777" w:rsidR="00171824" w:rsidRDefault="00171824">
      <w:pPr>
        <w:widowControl/>
        <w:tabs>
          <w:tab w:val="left" w:pos="567"/>
        </w:tabs>
        <w:autoSpaceDE/>
        <w:autoSpaceDN/>
        <w:adjustRightInd/>
        <w:rPr>
          <w:rFonts w:eastAsia="SimSun"/>
          <w:sz w:val="22"/>
          <w:szCs w:val="22"/>
          <w:lang w:val="el-GR" w:eastAsia="en-GB"/>
        </w:rPr>
      </w:pPr>
    </w:p>
    <w:p w14:paraId="2DA14887" w14:textId="77777777" w:rsidR="00171824" w:rsidRDefault="00171824">
      <w:pPr>
        <w:widowControl/>
        <w:tabs>
          <w:tab w:val="left" w:pos="567"/>
        </w:tabs>
        <w:autoSpaceDE/>
        <w:autoSpaceDN/>
        <w:adjustRightInd/>
        <w:rPr>
          <w:rFonts w:eastAsia="SimSun"/>
          <w:sz w:val="22"/>
          <w:szCs w:val="22"/>
          <w:lang w:val="el-GR" w:eastAsia="en-GB"/>
        </w:rPr>
      </w:pPr>
    </w:p>
    <w:p w14:paraId="1F68358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7BDAC872" w14:textId="77777777" w:rsidR="00171824" w:rsidRDefault="00171824">
      <w:pPr>
        <w:widowControl/>
        <w:tabs>
          <w:tab w:val="left" w:pos="567"/>
        </w:tabs>
        <w:autoSpaceDE/>
        <w:autoSpaceDN/>
        <w:adjustRightInd/>
        <w:rPr>
          <w:rFonts w:eastAsia="PMingLiU"/>
          <w:sz w:val="22"/>
          <w:szCs w:val="22"/>
          <w:lang w:val="el-GR"/>
        </w:rPr>
      </w:pPr>
    </w:p>
    <w:p w14:paraId="1348AB0A" w14:textId="77777777" w:rsidR="00171824" w:rsidRDefault="00171824">
      <w:pPr>
        <w:widowControl/>
        <w:tabs>
          <w:tab w:val="left" w:pos="567"/>
        </w:tabs>
        <w:autoSpaceDE/>
        <w:autoSpaceDN/>
        <w:adjustRightInd/>
        <w:rPr>
          <w:rFonts w:eastAsia="PMingLiU"/>
          <w:sz w:val="22"/>
          <w:szCs w:val="22"/>
          <w:lang w:val="el-GR"/>
        </w:rPr>
      </w:pPr>
    </w:p>
    <w:p w14:paraId="65D6483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689D5EEA" w14:textId="77777777" w:rsidR="00171824" w:rsidRDefault="00171824">
      <w:pPr>
        <w:widowControl/>
        <w:tabs>
          <w:tab w:val="left" w:pos="567"/>
        </w:tabs>
        <w:autoSpaceDE/>
        <w:autoSpaceDN/>
        <w:adjustRightInd/>
        <w:rPr>
          <w:rFonts w:eastAsia="PMingLiU"/>
          <w:sz w:val="22"/>
          <w:szCs w:val="22"/>
          <w:lang w:val="el-GR"/>
        </w:rPr>
      </w:pPr>
    </w:p>
    <w:p w14:paraId="784F174A"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0D3D5B63"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05E78EDB"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1F600947"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4250B897" w14:textId="77777777" w:rsidR="00171824" w:rsidRDefault="00171824">
      <w:pPr>
        <w:widowControl/>
        <w:tabs>
          <w:tab w:val="left" w:pos="567"/>
        </w:tabs>
        <w:autoSpaceDE/>
        <w:autoSpaceDN/>
        <w:adjustRightInd/>
        <w:rPr>
          <w:rFonts w:eastAsia="PMingLiU"/>
          <w:sz w:val="22"/>
          <w:szCs w:val="22"/>
          <w:lang w:val="el-GR"/>
        </w:rPr>
      </w:pPr>
    </w:p>
    <w:p w14:paraId="2DC663DB" w14:textId="77777777" w:rsidR="00171824" w:rsidRDefault="00171824">
      <w:pPr>
        <w:widowControl/>
        <w:tabs>
          <w:tab w:val="left" w:pos="567"/>
        </w:tabs>
        <w:autoSpaceDE/>
        <w:autoSpaceDN/>
        <w:adjustRightInd/>
        <w:rPr>
          <w:rFonts w:eastAsia="PMingLiU"/>
          <w:sz w:val="22"/>
          <w:szCs w:val="22"/>
          <w:lang w:val="el-GR"/>
        </w:rPr>
      </w:pPr>
    </w:p>
    <w:p w14:paraId="2EF18AB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03639D99" w14:textId="77777777" w:rsidR="00171824" w:rsidRDefault="00171824">
      <w:pPr>
        <w:widowControl/>
        <w:tabs>
          <w:tab w:val="left" w:pos="567"/>
        </w:tabs>
        <w:autoSpaceDE/>
        <w:autoSpaceDN/>
        <w:adjustRightInd/>
        <w:rPr>
          <w:rFonts w:eastAsia="PMingLiU"/>
          <w:sz w:val="22"/>
          <w:szCs w:val="22"/>
          <w:lang w:val="el-GR"/>
        </w:rPr>
      </w:pPr>
    </w:p>
    <w:p w14:paraId="1FA1A783"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EU/1/16/1164/009 </w:t>
      </w:r>
    </w:p>
    <w:p w14:paraId="17A41785" w14:textId="77777777" w:rsidR="00171824" w:rsidRDefault="00171824">
      <w:pPr>
        <w:widowControl/>
        <w:tabs>
          <w:tab w:val="left" w:pos="567"/>
        </w:tabs>
        <w:autoSpaceDE/>
        <w:autoSpaceDN/>
        <w:adjustRightInd/>
        <w:outlineLvl w:val="0"/>
        <w:rPr>
          <w:rFonts w:eastAsia="PMingLiU"/>
          <w:sz w:val="22"/>
          <w:szCs w:val="22"/>
          <w:lang w:val="el-GR" w:bidi="en-US"/>
        </w:rPr>
      </w:pPr>
    </w:p>
    <w:p w14:paraId="0D27155F" w14:textId="77777777" w:rsidR="00171824" w:rsidRDefault="00171824">
      <w:pPr>
        <w:widowControl/>
        <w:tabs>
          <w:tab w:val="left" w:pos="567"/>
        </w:tabs>
        <w:autoSpaceDE/>
        <w:autoSpaceDN/>
        <w:adjustRightInd/>
        <w:rPr>
          <w:rFonts w:eastAsia="PMingLiU"/>
          <w:sz w:val="22"/>
          <w:szCs w:val="22"/>
          <w:lang w:val="el-GR"/>
        </w:rPr>
      </w:pPr>
    </w:p>
    <w:p w14:paraId="2F6B9F0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4EBF9366" w14:textId="77777777" w:rsidR="00171824" w:rsidRDefault="00171824">
      <w:pPr>
        <w:widowControl/>
        <w:tabs>
          <w:tab w:val="left" w:pos="567"/>
        </w:tabs>
        <w:autoSpaceDE/>
        <w:autoSpaceDN/>
        <w:adjustRightInd/>
        <w:rPr>
          <w:rFonts w:eastAsia="PMingLiU"/>
          <w:i/>
          <w:sz w:val="22"/>
          <w:szCs w:val="22"/>
          <w:lang w:val="el-GR"/>
        </w:rPr>
      </w:pPr>
    </w:p>
    <w:p w14:paraId="2686861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11D24E76" w14:textId="77777777" w:rsidR="00171824" w:rsidRDefault="00171824">
      <w:pPr>
        <w:widowControl/>
        <w:tabs>
          <w:tab w:val="left" w:pos="567"/>
        </w:tabs>
        <w:autoSpaceDE/>
        <w:autoSpaceDN/>
        <w:adjustRightInd/>
        <w:rPr>
          <w:rFonts w:eastAsia="PMingLiU"/>
          <w:sz w:val="22"/>
          <w:szCs w:val="22"/>
          <w:lang w:val="el-GR"/>
        </w:rPr>
      </w:pPr>
    </w:p>
    <w:p w14:paraId="4C18CA40" w14:textId="77777777" w:rsidR="00171824" w:rsidRDefault="00171824">
      <w:pPr>
        <w:widowControl/>
        <w:tabs>
          <w:tab w:val="left" w:pos="567"/>
        </w:tabs>
        <w:autoSpaceDE/>
        <w:autoSpaceDN/>
        <w:adjustRightInd/>
        <w:rPr>
          <w:rFonts w:eastAsia="PMingLiU"/>
          <w:sz w:val="22"/>
          <w:szCs w:val="22"/>
          <w:lang w:val="el-GR"/>
        </w:rPr>
      </w:pPr>
    </w:p>
    <w:p w14:paraId="6E13DAB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0ABB1DD7" w14:textId="77777777" w:rsidR="00171824" w:rsidRDefault="00171824">
      <w:pPr>
        <w:widowControl/>
        <w:tabs>
          <w:tab w:val="left" w:pos="567"/>
        </w:tabs>
        <w:autoSpaceDE/>
        <w:autoSpaceDN/>
        <w:adjustRightInd/>
        <w:rPr>
          <w:rFonts w:eastAsia="PMingLiU"/>
          <w:i/>
          <w:sz w:val="22"/>
          <w:szCs w:val="22"/>
          <w:lang w:val="el-GR"/>
        </w:rPr>
      </w:pPr>
    </w:p>
    <w:p w14:paraId="477475C8" w14:textId="77777777" w:rsidR="00171824" w:rsidRDefault="00171824">
      <w:pPr>
        <w:widowControl/>
        <w:tabs>
          <w:tab w:val="left" w:pos="567"/>
        </w:tabs>
        <w:autoSpaceDE/>
        <w:autoSpaceDN/>
        <w:adjustRightInd/>
        <w:rPr>
          <w:rFonts w:eastAsia="PMingLiU"/>
          <w:sz w:val="22"/>
          <w:szCs w:val="22"/>
          <w:lang w:val="el-GR"/>
        </w:rPr>
      </w:pPr>
    </w:p>
    <w:p w14:paraId="59D747BB"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32E7B51D" w14:textId="77777777" w:rsidR="00171824" w:rsidRDefault="00171824">
      <w:pPr>
        <w:widowControl/>
        <w:tabs>
          <w:tab w:val="left" w:pos="567"/>
        </w:tabs>
        <w:autoSpaceDE/>
        <w:autoSpaceDN/>
        <w:adjustRightInd/>
        <w:rPr>
          <w:rFonts w:eastAsia="PMingLiU"/>
          <w:sz w:val="22"/>
          <w:szCs w:val="22"/>
          <w:lang w:val="el-GR"/>
        </w:rPr>
      </w:pPr>
    </w:p>
    <w:p w14:paraId="7E1BEDC0" w14:textId="77777777" w:rsidR="00171824" w:rsidRDefault="00171824">
      <w:pPr>
        <w:widowControl/>
        <w:tabs>
          <w:tab w:val="left" w:pos="567"/>
        </w:tabs>
        <w:autoSpaceDE/>
        <w:autoSpaceDN/>
        <w:adjustRightInd/>
        <w:rPr>
          <w:rFonts w:eastAsia="PMingLiU"/>
          <w:sz w:val="22"/>
          <w:szCs w:val="22"/>
          <w:lang w:val="el-GR"/>
        </w:rPr>
      </w:pPr>
    </w:p>
    <w:p w14:paraId="107CE540"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22737D87" w14:textId="77777777" w:rsidR="00171824" w:rsidRDefault="00171824">
      <w:pPr>
        <w:widowControl/>
        <w:tabs>
          <w:tab w:val="left" w:pos="567"/>
        </w:tabs>
        <w:autoSpaceDE/>
        <w:autoSpaceDN/>
        <w:adjustRightInd/>
        <w:rPr>
          <w:rFonts w:eastAsia="PMingLiU"/>
          <w:sz w:val="22"/>
          <w:szCs w:val="20"/>
          <w:lang w:val="el-GR"/>
        </w:rPr>
      </w:pPr>
    </w:p>
    <w:p w14:paraId="43A35D23"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 xml:space="preserve">AMGEVITA 40 mg/0,8 ml </w:t>
      </w:r>
      <w:r>
        <w:rPr>
          <w:rFonts w:eastAsia="Arial Unicode MS" w:cs="Arial Unicode MS"/>
          <w:sz w:val="22"/>
          <w:szCs w:val="22"/>
          <w:lang w:val="el-GR" w:bidi="en-US"/>
        </w:rPr>
        <w:t>συσκευή τύπου πένας</w:t>
      </w:r>
    </w:p>
    <w:p w14:paraId="6D38F149"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3C8D7B1A" w14:textId="77777777" w:rsidR="00171824" w:rsidRDefault="00171824">
      <w:pPr>
        <w:widowControl/>
        <w:tabs>
          <w:tab w:val="left" w:pos="567"/>
        </w:tabs>
        <w:autoSpaceDE/>
        <w:autoSpaceDN/>
        <w:adjustRightInd/>
        <w:rPr>
          <w:rFonts w:eastAsia="Arial Unicode MS" w:cs="Arial Unicode MS"/>
          <w:sz w:val="22"/>
          <w:szCs w:val="22"/>
          <w:lang w:val="el-GR" w:bidi="en-US"/>
        </w:rPr>
      </w:pPr>
    </w:p>
    <w:tbl>
      <w:tblPr>
        <w:tblW w:w="935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56"/>
      </w:tblGrid>
      <w:tr w:rsidR="00171824" w:rsidRPr="00422380" w14:paraId="2D245DF5" w14:textId="77777777">
        <w:trPr>
          <w:trHeight w:val="61"/>
        </w:trPr>
        <w:tc>
          <w:tcPr>
            <w:tcW w:w="9356" w:type="dxa"/>
          </w:tcPr>
          <w:p w14:paraId="1AB85868" w14:textId="77777777" w:rsidR="00171824" w:rsidRDefault="006D258C">
            <w:pPr>
              <w:widowControl/>
              <w:tabs>
                <w:tab w:val="left" w:pos="567"/>
              </w:tabs>
              <w:autoSpaceDE/>
              <w:autoSpaceDN/>
              <w:adjustRightInd/>
              <w:rPr>
                <w:rFonts w:eastAsia="Arial Unicode MS" w:cs="Arial Unicode MS"/>
                <w:b/>
                <w:sz w:val="22"/>
                <w:szCs w:val="22"/>
                <w:lang w:val="el-GR" w:bidi="en-US"/>
              </w:rPr>
            </w:pPr>
            <w:r>
              <w:rPr>
                <w:rFonts w:eastAsia="Arial Unicode MS" w:cs="Arial Unicode MS"/>
                <w:b/>
                <w:sz w:val="22"/>
                <w:szCs w:val="22"/>
                <w:lang w:val="el-GR" w:bidi="en-US"/>
              </w:rPr>
              <w:t>17.</w:t>
            </w:r>
            <w:r>
              <w:rPr>
                <w:rFonts w:eastAsia="Arial Unicode MS" w:cs="Arial Unicode MS"/>
                <w:b/>
                <w:sz w:val="22"/>
                <w:szCs w:val="22"/>
                <w:lang w:val="el-GR" w:bidi="en-US"/>
              </w:rPr>
              <w:tab/>
              <w:t>ΜΟΝΑΔΙΚΟΣ ΑΝΑΓΝΩΡΙΣΤΙΚΟΣ ΚΩΔΙΚΟΣ – ΔΙΣΔΙΑΣΤΑΤΟΣ ΓΡΑΜΜΩΤΟΣ</w:t>
            </w:r>
          </w:p>
        </w:tc>
      </w:tr>
      <w:tr w:rsidR="00171824" w14:paraId="010FEFD3" w14:textId="77777777">
        <w:trPr>
          <w:trHeight w:val="363"/>
        </w:trPr>
        <w:tc>
          <w:tcPr>
            <w:tcW w:w="9356" w:type="dxa"/>
          </w:tcPr>
          <w:p w14:paraId="6735411D" w14:textId="77777777" w:rsidR="00171824" w:rsidRDefault="006D258C">
            <w:pPr>
              <w:widowControl/>
              <w:autoSpaceDE/>
              <w:autoSpaceDN/>
              <w:adjustRightInd/>
              <w:ind w:left="567"/>
              <w:rPr>
                <w:rFonts w:eastAsia="Arial Unicode MS" w:cs="Arial Unicode MS"/>
                <w:i/>
                <w:sz w:val="22"/>
                <w:szCs w:val="22"/>
                <w:lang w:val="el-GR" w:bidi="en-US"/>
              </w:rPr>
            </w:pPr>
            <w:r>
              <w:rPr>
                <w:rFonts w:eastAsia="Arial Unicode MS" w:cs="Arial Unicode MS"/>
                <w:b/>
                <w:sz w:val="22"/>
                <w:szCs w:val="22"/>
                <w:lang w:val="el-GR" w:bidi="en-US"/>
              </w:rPr>
              <w:t>ΚΩΔΙΚΑΣ (2D)</w:t>
            </w:r>
          </w:p>
        </w:tc>
      </w:tr>
    </w:tbl>
    <w:p w14:paraId="5B700F8C"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751159E7" w14:textId="77777777" w:rsidR="00171824" w:rsidRDefault="00171824">
      <w:pPr>
        <w:widowControl/>
        <w:tabs>
          <w:tab w:val="left" w:pos="567"/>
        </w:tabs>
        <w:autoSpaceDE/>
        <w:autoSpaceDN/>
        <w:adjustRightInd/>
        <w:rPr>
          <w:rFonts w:eastAsia="Arial Unicode MS" w:cs="Arial Unicode MS"/>
          <w:sz w:val="22"/>
          <w:szCs w:val="22"/>
          <w:lang w:val="el-GR" w:bidi="en-US"/>
        </w:rPr>
      </w:pPr>
    </w:p>
    <w:tbl>
      <w:tblPr>
        <w:tblW w:w="939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90"/>
      </w:tblGrid>
      <w:tr w:rsidR="00171824" w:rsidRPr="00422380" w14:paraId="2E704F36" w14:textId="77777777">
        <w:trPr>
          <w:trHeight w:val="66"/>
        </w:trPr>
        <w:tc>
          <w:tcPr>
            <w:tcW w:w="9390" w:type="dxa"/>
          </w:tcPr>
          <w:p w14:paraId="35B2FBBD" w14:textId="77777777" w:rsidR="00171824" w:rsidRDefault="006D258C">
            <w:pPr>
              <w:widowControl/>
              <w:tabs>
                <w:tab w:val="left" w:pos="567"/>
              </w:tabs>
              <w:autoSpaceDE/>
              <w:autoSpaceDN/>
              <w:adjustRightInd/>
              <w:rPr>
                <w:rFonts w:eastAsia="Arial Unicode MS" w:cs="Arial Unicode MS"/>
                <w:b/>
                <w:sz w:val="22"/>
                <w:szCs w:val="22"/>
                <w:lang w:val="el-GR" w:bidi="en-US"/>
              </w:rPr>
            </w:pPr>
            <w:r>
              <w:rPr>
                <w:rFonts w:eastAsia="Arial Unicode MS" w:cs="Arial Unicode MS"/>
                <w:b/>
                <w:sz w:val="22"/>
                <w:szCs w:val="22"/>
                <w:lang w:val="el-GR" w:bidi="en-US"/>
              </w:rPr>
              <w:t>18.</w:t>
            </w:r>
            <w:r>
              <w:rPr>
                <w:rFonts w:eastAsia="Arial Unicode MS" w:cs="Arial Unicode MS"/>
                <w:b/>
                <w:sz w:val="22"/>
                <w:szCs w:val="22"/>
                <w:lang w:val="el-GR" w:bidi="en-US"/>
              </w:rPr>
              <w:tab/>
              <w:t xml:space="preserve">ΜΟΝΑΔΙΚΟΣ ΑΝΑΓΝΩΡΙΣΤΙΚΟΣ ΚΩΔΙΚΟΣ </w:t>
            </w:r>
            <w:r>
              <w:rPr>
                <w:rFonts w:eastAsia="Arial Unicode MS" w:cs="Arial Unicode MS"/>
                <w:sz w:val="22"/>
                <w:szCs w:val="22"/>
                <w:lang w:val="el-GR" w:bidi="en-US"/>
              </w:rPr>
              <w:t>-</w:t>
            </w:r>
            <w:r>
              <w:rPr>
                <w:rFonts w:eastAsia="Arial Unicode MS" w:cs="Arial Unicode MS"/>
                <w:b/>
                <w:sz w:val="22"/>
                <w:szCs w:val="22"/>
                <w:lang w:val="el-GR" w:bidi="en-US"/>
              </w:rPr>
              <w:t xml:space="preserve"> ΔΕΔΟΜΕΝΑ ΑΝΑΓΝΩΣΙΜΑ</w:t>
            </w:r>
          </w:p>
        </w:tc>
      </w:tr>
      <w:tr w:rsidR="00171824" w14:paraId="5EFE0E4E" w14:textId="77777777">
        <w:trPr>
          <w:trHeight w:val="451"/>
        </w:trPr>
        <w:tc>
          <w:tcPr>
            <w:tcW w:w="9390" w:type="dxa"/>
          </w:tcPr>
          <w:p w14:paraId="259BA462" w14:textId="77777777" w:rsidR="00171824" w:rsidRDefault="006D258C">
            <w:pPr>
              <w:widowControl/>
              <w:autoSpaceDE/>
              <w:autoSpaceDN/>
              <w:adjustRightInd/>
              <w:ind w:left="567"/>
              <w:rPr>
                <w:rFonts w:eastAsia="Arial Unicode MS" w:cs="Arial Unicode MS"/>
                <w:i/>
                <w:sz w:val="22"/>
                <w:szCs w:val="22"/>
                <w:lang w:val="el-GR" w:bidi="en-US"/>
              </w:rPr>
            </w:pPr>
            <w:r>
              <w:rPr>
                <w:rFonts w:eastAsia="Arial Unicode MS" w:cs="Arial Unicode MS"/>
                <w:b/>
                <w:sz w:val="22"/>
                <w:szCs w:val="22"/>
                <w:lang w:val="el-GR" w:bidi="en-US"/>
              </w:rPr>
              <w:t>ΑΠΟ ΤΟΝ ΑΝΘΡΩΠΟ</w:t>
            </w:r>
          </w:p>
        </w:tc>
      </w:tr>
    </w:tbl>
    <w:p w14:paraId="5377A3D8"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2FD589AF"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2E0FCDDA"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br w:type="page"/>
      </w:r>
    </w:p>
    <w:tbl>
      <w:tblPr>
        <w:tblW w:w="938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5"/>
      </w:tblGrid>
      <w:tr w:rsidR="00171824" w:rsidRPr="00422380" w14:paraId="27000449" w14:textId="77777777">
        <w:tc>
          <w:tcPr>
            <w:tcW w:w="9385" w:type="dxa"/>
          </w:tcPr>
          <w:p w14:paraId="2F58DE6A"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lastRenderedPageBreak/>
              <w:t>ΕΛΑΧΙΣΤΕΣ ΕΝΔΕΙΞΕΙΣ ΠΟΥ ΠΡΕΠΕΙ ΝΑ ΑΝΑΓΡΑΦΟΝΤΑΙ ΣΤΙΣ ΜΙΚΡΕΣ ΣΤΟΙΧΕΙΩΔΕΙΣ ΣΥΣΚΕΥΑΣΙΕΣ</w:t>
            </w:r>
          </w:p>
          <w:p w14:paraId="7F596783" w14:textId="77777777" w:rsidR="00171824" w:rsidRDefault="00171824">
            <w:pPr>
              <w:widowControl/>
              <w:tabs>
                <w:tab w:val="left" w:pos="567"/>
              </w:tabs>
              <w:autoSpaceDE/>
              <w:autoSpaceDN/>
              <w:adjustRightInd/>
              <w:rPr>
                <w:rFonts w:eastAsia="PMingLiU"/>
                <w:b/>
                <w:sz w:val="22"/>
                <w:szCs w:val="22"/>
                <w:lang w:val="el-GR"/>
              </w:rPr>
            </w:pPr>
          </w:p>
          <w:p w14:paraId="23E51915"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ΕΠΙΣΗΜΑΝΣΗ ΠΡΟΓΕΜΙΣΜΕΝΗΣ ΣΥΣΚΕΥΗΣ ΤΥΠΟΥ ΠΕΝΑΣ</w:t>
            </w:r>
          </w:p>
        </w:tc>
      </w:tr>
    </w:tbl>
    <w:p w14:paraId="46B12D33" w14:textId="77777777" w:rsidR="00171824" w:rsidRDefault="00171824">
      <w:pPr>
        <w:widowControl/>
        <w:tabs>
          <w:tab w:val="left" w:pos="567"/>
        </w:tabs>
        <w:autoSpaceDE/>
        <w:autoSpaceDN/>
        <w:adjustRightInd/>
        <w:rPr>
          <w:rFonts w:eastAsia="PMingLiU"/>
          <w:sz w:val="22"/>
          <w:szCs w:val="22"/>
          <w:lang w:val="el-GR"/>
        </w:rPr>
      </w:pPr>
    </w:p>
    <w:p w14:paraId="161FDEB6" w14:textId="77777777" w:rsidR="00171824" w:rsidRDefault="00171824">
      <w:pPr>
        <w:widowControl/>
        <w:tabs>
          <w:tab w:val="left" w:pos="567"/>
        </w:tabs>
        <w:autoSpaceDE/>
        <w:autoSpaceDN/>
        <w:adjustRightInd/>
        <w:rPr>
          <w:rFonts w:eastAsia="PMingLiU"/>
          <w:sz w:val="22"/>
          <w:szCs w:val="22"/>
          <w:lang w:val="el-GR"/>
        </w:rPr>
      </w:pPr>
    </w:p>
    <w:p w14:paraId="5FAFB62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w:t>
      </w:r>
      <w:r>
        <w:rPr>
          <w:rFonts w:eastAsia="Arial Unicode MS" w:cs="Arial Unicode MS"/>
          <w:b/>
          <w:sz w:val="22"/>
          <w:szCs w:val="22"/>
          <w:lang w:val="el-GR" w:bidi="en-US"/>
        </w:rPr>
        <w:tab/>
        <w:t>ΟΝΟΜΑΣΙΑ ΤΟΥ ΦΑΡΜΑΚΕΥΤΙΚΟΥ ΠΡΟΪΟΝΤΟΣ ΚΑΙ ΟΔΟΣ(ΟΙ) ΧΟΡΗΓΗΣΗΣ</w:t>
      </w:r>
    </w:p>
    <w:p w14:paraId="72EB94F6" w14:textId="77777777" w:rsidR="00171824" w:rsidRDefault="00171824">
      <w:pPr>
        <w:widowControl/>
        <w:tabs>
          <w:tab w:val="left" w:pos="567"/>
        </w:tabs>
        <w:autoSpaceDE/>
        <w:autoSpaceDN/>
        <w:adjustRightInd/>
        <w:ind w:left="567" w:hanging="567"/>
        <w:rPr>
          <w:rFonts w:eastAsia="PMingLiU"/>
          <w:sz w:val="22"/>
          <w:szCs w:val="22"/>
          <w:lang w:val="el-GR"/>
        </w:rPr>
      </w:pPr>
    </w:p>
    <w:p w14:paraId="52BE944E"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ένεση</w:t>
      </w:r>
    </w:p>
    <w:p w14:paraId="744C66C0"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320EBB9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Υποδόρια</w:t>
      </w:r>
    </w:p>
    <w:p w14:paraId="7A3FD37D" w14:textId="77777777" w:rsidR="00171824" w:rsidRDefault="00171824">
      <w:pPr>
        <w:widowControl/>
        <w:tabs>
          <w:tab w:val="left" w:pos="567"/>
        </w:tabs>
        <w:autoSpaceDE/>
        <w:autoSpaceDN/>
        <w:adjustRightInd/>
        <w:rPr>
          <w:rFonts w:eastAsia="PMingLiU"/>
          <w:sz w:val="22"/>
          <w:szCs w:val="22"/>
          <w:lang w:val="el-GR"/>
        </w:rPr>
      </w:pPr>
    </w:p>
    <w:p w14:paraId="7DA16CB9" w14:textId="77777777" w:rsidR="00171824" w:rsidRDefault="00171824">
      <w:pPr>
        <w:widowControl/>
        <w:tabs>
          <w:tab w:val="left" w:pos="567"/>
        </w:tabs>
        <w:autoSpaceDE/>
        <w:autoSpaceDN/>
        <w:adjustRightInd/>
        <w:rPr>
          <w:rFonts w:eastAsia="PMingLiU"/>
          <w:sz w:val="22"/>
          <w:szCs w:val="22"/>
          <w:lang w:val="el-GR"/>
        </w:rPr>
      </w:pPr>
    </w:p>
    <w:p w14:paraId="34D5016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ΤΡΟΠΟΣ ΧΟΡΗΓΗΣΗΣ</w:t>
      </w:r>
    </w:p>
    <w:p w14:paraId="6AA37A32" w14:textId="77777777" w:rsidR="00171824" w:rsidRDefault="00171824">
      <w:pPr>
        <w:widowControl/>
        <w:tabs>
          <w:tab w:val="left" w:pos="567"/>
        </w:tabs>
        <w:autoSpaceDE/>
        <w:autoSpaceDN/>
        <w:adjustRightInd/>
        <w:rPr>
          <w:rFonts w:eastAsia="PMingLiU"/>
          <w:sz w:val="22"/>
          <w:szCs w:val="22"/>
          <w:lang w:val="el-GR"/>
        </w:rPr>
      </w:pPr>
    </w:p>
    <w:p w14:paraId="1C93CFB2" w14:textId="77777777" w:rsidR="00171824" w:rsidRDefault="00171824">
      <w:pPr>
        <w:widowControl/>
        <w:tabs>
          <w:tab w:val="left" w:pos="567"/>
        </w:tabs>
        <w:autoSpaceDE/>
        <w:autoSpaceDN/>
        <w:adjustRightInd/>
        <w:rPr>
          <w:rFonts w:eastAsia="PMingLiU"/>
          <w:sz w:val="22"/>
          <w:szCs w:val="22"/>
          <w:lang w:val="el-GR"/>
        </w:rPr>
      </w:pPr>
    </w:p>
    <w:p w14:paraId="6D9398F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ΗΜΕΡΟΜΗΝΙΑ ΛΗΞΗΣ</w:t>
      </w:r>
    </w:p>
    <w:p w14:paraId="5260D3A9" w14:textId="77777777" w:rsidR="00171824" w:rsidRDefault="00171824">
      <w:pPr>
        <w:widowControl/>
        <w:tabs>
          <w:tab w:val="left" w:pos="567"/>
        </w:tabs>
        <w:autoSpaceDE/>
        <w:autoSpaceDN/>
        <w:adjustRightInd/>
        <w:rPr>
          <w:rFonts w:eastAsia="PMingLiU"/>
          <w:sz w:val="22"/>
          <w:szCs w:val="20"/>
          <w:lang w:val="el-GR"/>
        </w:rPr>
      </w:pPr>
    </w:p>
    <w:p w14:paraId="67A4EB9C"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EXP</w:t>
      </w:r>
    </w:p>
    <w:p w14:paraId="3CEFAB1F" w14:textId="77777777" w:rsidR="00171824" w:rsidRDefault="00171824">
      <w:pPr>
        <w:widowControl/>
        <w:tabs>
          <w:tab w:val="left" w:pos="567"/>
        </w:tabs>
        <w:autoSpaceDE/>
        <w:autoSpaceDN/>
        <w:adjustRightInd/>
        <w:rPr>
          <w:rFonts w:eastAsia="PMingLiU"/>
          <w:sz w:val="22"/>
          <w:szCs w:val="20"/>
          <w:lang w:val="el-GR"/>
        </w:rPr>
      </w:pPr>
    </w:p>
    <w:p w14:paraId="518489DF" w14:textId="77777777" w:rsidR="00171824" w:rsidRDefault="00171824">
      <w:pPr>
        <w:widowControl/>
        <w:tabs>
          <w:tab w:val="left" w:pos="567"/>
        </w:tabs>
        <w:autoSpaceDE/>
        <w:autoSpaceDN/>
        <w:adjustRightInd/>
        <w:rPr>
          <w:rFonts w:eastAsia="PMingLiU"/>
          <w:sz w:val="22"/>
          <w:szCs w:val="20"/>
          <w:lang w:val="el-GR"/>
        </w:rPr>
      </w:pPr>
    </w:p>
    <w:p w14:paraId="64AA000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0"/>
          <w:lang w:val="el-GR" w:bidi="en-US"/>
        </w:rPr>
      </w:pPr>
      <w:r>
        <w:rPr>
          <w:rFonts w:eastAsia="Arial Unicode MS" w:cs="Arial Unicode MS"/>
          <w:b/>
          <w:sz w:val="22"/>
          <w:szCs w:val="20"/>
          <w:lang w:val="el-GR" w:bidi="en-US"/>
        </w:rPr>
        <w:t>4.</w:t>
      </w:r>
      <w:r>
        <w:rPr>
          <w:rFonts w:eastAsia="Arial Unicode MS" w:cs="Arial Unicode MS"/>
          <w:b/>
          <w:sz w:val="22"/>
          <w:szCs w:val="20"/>
          <w:lang w:val="el-GR" w:bidi="en-US"/>
        </w:rPr>
        <w:tab/>
        <w:t xml:space="preserve">ΑΡΙΘΜΟΣ ΠΑΡΤΙΔΑΣ </w:t>
      </w:r>
    </w:p>
    <w:p w14:paraId="68D032CF" w14:textId="77777777" w:rsidR="00171824" w:rsidRDefault="00171824">
      <w:pPr>
        <w:widowControl/>
        <w:tabs>
          <w:tab w:val="left" w:pos="567"/>
        </w:tabs>
        <w:autoSpaceDE/>
        <w:autoSpaceDN/>
        <w:adjustRightInd/>
        <w:ind w:right="113"/>
        <w:rPr>
          <w:rFonts w:eastAsia="PMingLiU"/>
          <w:sz w:val="22"/>
          <w:szCs w:val="20"/>
          <w:lang w:val="el-GR"/>
        </w:rPr>
      </w:pPr>
    </w:p>
    <w:p w14:paraId="163A0B5D" w14:textId="77777777" w:rsidR="00171824" w:rsidRDefault="006D258C">
      <w:pPr>
        <w:widowControl/>
        <w:tabs>
          <w:tab w:val="left" w:pos="567"/>
        </w:tabs>
        <w:autoSpaceDE/>
        <w:autoSpaceDN/>
        <w:adjustRightInd/>
        <w:ind w:right="113"/>
        <w:rPr>
          <w:rFonts w:eastAsia="PMingLiU"/>
          <w:sz w:val="22"/>
          <w:szCs w:val="20"/>
          <w:lang w:val="el-GR"/>
        </w:rPr>
      </w:pPr>
      <w:r>
        <w:rPr>
          <w:rFonts w:eastAsia="Arial Unicode MS" w:cs="Arial Unicode MS"/>
          <w:sz w:val="22"/>
          <w:szCs w:val="20"/>
          <w:lang w:val="el-GR" w:bidi="en-US"/>
        </w:rPr>
        <w:t>Lot</w:t>
      </w:r>
    </w:p>
    <w:p w14:paraId="4BD2B24C" w14:textId="77777777" w:rsidR="00171824" w:rsidRDefault="00171824">
      <w:pPr>
        <w:widowControl/>
        <w:tabs>
          <w:tab w:val="left" w:pos="567"/>
        </w:tabs>
        <w:autoSpaceDE/>
        <w:autoSpaceDN/>
        <w:adjustRightInd/>
        <w:ind w:right="113"/>
        <w:rPr>
          <w:rFonts w:eastAsia="PMingLiU"/>
          <w:sz w:val="22"/>
          <w:szCs w:val="20"/>
          <w:lang w:val="el-GR"/>
        </w:rPr>
      </w:pPr>
    </w:p>
    <w:p w14:paraId="6D0EDA55" w14:textId="77777777" w:rsidR="00171824" w:rsidRDefault="00171824">
      <w:pPr>
        <w:widowControl/>
        <w:tabs>
          <w:tab w:val="left" w:pos="567"/>
        </w:tabs>
        <w:autoSpaceDE/>
        <w:autoSpaceDN/>
        <w:adjustRightInd/>
        <w:ind w:right="113"/>
        <w:rPr>
          <w:rFonts w:eastAsia="PMingLiU"/>
          <w:sz w:val="22"/>
          <w:szCs w:val="20"/>
          <w:lang w:val="el-GR"/>
        </w:rPr>
      </w:pPr>
    </w:p>
    <w:p w14:paraId="6DDAEF1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ΠΕΡΙΕΧΟΜΕΝΟ ΚΑΤΑ ΒΑΡΟΣ, ΚΑΤ' ΟΓΚΟ Ή ΚΑΤΑ ΜΟΝΑΔΑ</w:t>
      </w:r>
    </w:p>
    <w:p w14:paraId="0312CA61" w14:textId="77777777" w:rsidR="00171824" w:rsidRDefault="00171824">
      <w:pPr>
        <w:widowControl/>
        <w:tabs>
          <w:tab w:val="left" w:pos="567"/>
        </w:tabs>
        <w:autoSpaceDE/>
        <w:autoSpaceDN/>
        <w:adjustRightInd/>
        <w:ind w:right="113"/>
        <w:rPr>
          <w:rFonts w:eastAsia="PMingLiU"/>
          <w:sz w:val="22"/>
          <w:szCs w:val="22"/>
          <w:lang w:val="el-GR"/>
        </w:rPr>
      </w:pPr>
    </w:p>
    <w:p w14:paraId="02EAA550" w14:textId="77777777" w:rsidR="00171824" w:rsidRDefault="006D258C">
      <w:pPr>
        <w:widowControl/>
        <w:tabs>
          <w:tab w:val="left" w:pos="567"/>
        </w:tabs>
        <w:autoSpaceDE/>
        <w:autoSpaceDN/>
        <w:adjustRightInd/>
        <w:ind w:right="113"/>
        <w:rPr>
          <w:rFonts w:eastAsia="PMingLiU"/>
          <w:sz w:val="22"/>
          <w:szCs w:val="22"/>
          <w:lang w:val="el-GR" w:bidi="en-US"/>
        </w:rPr>
      </w:pPr>
      <w:r>
        <w:rPr>
          <w:rFonts w:eastAsia="Arial Unicode MS" w:cs="Arial Unicode MS"/>
          <w:sz w:val="22"/>
          <w:szCs w:val="22"/>
          <w:lang w:val="el-GR" w:bidi="en-US"/>
        </w:rPr>
        <w:t>0,8 ml</w:t>
      </w:r>
    </w:p>
    <w:p w14:paraId="7ED498C5" w14:textId="77777777" w:rsidR="00171824" w:rsidRDefault="00171824">
      <w:pPr>
        <w:widowControl/>
        <w:tabs>
          <w:tab w:val="left" w:pos="567"/>
        </w:tabs>
        <w:autoSpaceDE/>
        <w:autoSpaceDN/>
        <w:adjustRightInd/>
        <w:ind w:right="113"/>
        <w:rPr>
          <w:rFonts w:eastAsia="PMingLiU"/>
          <w:sz w:val="22"/>
          <w:szCs w:val="22"/>
          <w:lang w:val="el-GR"/>
        </w:rPr>
      </w:pPr>
    </w:p>
    <w:p w14:paraId="3CF5C2EF" w14:textId="77777777" w:rsidR="00171824" w:rsidRDefault="00171824">
      <w:pPr>
        <w:widowControl/>
        <w:tabs>
          <w:tab w:val="left" w:pos="567"/>
        </w:tabs>
        <w:autoSpaceDE/>
        <w:autoSpaceDN/>
        <w:adjustRightInd/>
        <w:ind w:right="113"/>
        <w:rPr>
          <w:rFonts w:eastAsia="PMingLiU"/>
          <w:sz w:val="22"/>
          <w:szCs w:val="22"/>
          <w:lang w:val="el-GR"/>
        </w:rPr>
      </w:pPr>
    </w:p>
    <w:p w14:paraId="3B44297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ΑΛΛΑ ΣΤΟΙΧΕΙΑ</w:t>
      </w:r>
    </w:p>
    <w:p w14:paraId="40F75727" w14:textId="77777777" w:rsidR="00171824" w:rsidRDefault="00171824">
      <w:pPr>
        <w:widowControl/>
        <w:tabs>
          <w:tab w:val="left" w:pos="567"/>
        </w:tabs>
        <w:autoSpaceDE/>
        <w:autoSpaceDN/>
        <w:adjustRightInd/>
        <w:ind w:right="113"/>
        <w:rPr>
          <w:rFonts w:eastAsia="PMingLiU"/>
          <w:sz w:val="22"/>
          <w:szCs w:val="22"/>
          <w:lang w:val="el-GR"/>
        </w:rPr>
      </w:pPr>
    </w:p>
    <w:p w14:paraId="6BD7515A" w14:textId="77777777" w:rsidR="00171824" w:rsidRDefault="00171824">
      <w:pPr>
        <w:widowControl/>
        <w:tabs>
          <w:tab w:val="left" w:pos="567"/>
        </w:tabs>
        <w:autoSpaceDE/>
        <w:autoSpaceDN/>
        <w:adjustRightInd/>
        <w:ind w:right="113"/>
        <w:rPr>
          <w:rFonts w:eastAsia="PMingLiU"/>
          <w:sz w:val="22"/>
          <w:szCs w:val="22"/>
          <w:lang w:val="el-GR"/>
        </w:rPr>
      </w:pPr>
    </w:p>
    <w:p w14:paraId="3E58CFE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rPr>
          <w:rFonts w:eastAsia="PMingLiU"/>
          <w:b/>
          <w:sz w:val="22"/>
          <w:szCs w:val="22"/>
          <w:lang w:val="el-GR" w:bidi="en-US"/>
        </w:rPr>
      </w:pPr>
      <w:r>
        <w:rPr>
          <w:rFonts w:eastAsia="PMingLiU"/>
          <w:sz w:val="22"/>
          <w:szCs w:val="20"/>
          <w:lang w:val="el-GR"/>
        </w:rPr>
        <w:br w:type="page"/>
      </w: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702C7B1A"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757B786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ΚΟΥΤΙ ΠΡΟΓΕΜΙΣΜΕΝΗΣ ΣΥΡΙΓΓΑΣ</w:t>
      </w:r>
    </w:p>
    <w:p w14:paraId="1CC6C6E2" w14:textId="77777777" w:rsidR="00171824" w:rsidRDefault="00171824">
      <w:pPr>
        <w:widowControl/>
        <w:tabs>
          <w:tab w:val="left" w:pos="567"/>
        </w:tabs>
        <w:autoSpaceDE/>
        <w:autoSpaceDN/>
        <w:adjustRightInd/>
        <w:rPr>
          <w:rFonts w:eastAsia="PMingLiU"/>
          <w:sz w:val="22"/>
          <w:szCs w:val="20"/>
          <w:lang w:val="el-GR"/>
        </w:rPr>
      </w:pPr>
    </w:p>
    <w:p w14:paraId="10C8A040" w14:textId="77777777" w:rsidR="00171824" w:rsidRDefault="00171824">
      <w:pPr>
        <w:widowControl/>
        <w:tabs>
          <w:tab w:val="left" w:pos="567"/>
        </w:tabs>
        <w:autoSpaceDE/>
        <w:autoSpaceDN/>
        <w:adjustRightInd/>
        <w:rPr>
          <w:rFonts w:eastAsia="PMingLiU"/>
          <w:sz w:val="22"/>
          <w:szCs w:val="22"/>
          <w:lang w:val="el-GR"/>
        </w:rPr>
      </w:pPr>
    </w:p>
    <w:p w14:paraId="7BB86A0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6CC95467" w14:textId="77777777" w:rsidR="00171824" w:rsidRDefault="00171824">
      <w:pPr>
        <w:widowControl/>
        <w:tabs>
          <w:tab w:val="left" w:pos="567"/>
        </w:tabs>
        <w:autoSpaceDE/>
        <w:autoSpaceDN/>
        <w:adjustRightInd/>
        <w:rPr>
          <w:rFonts w:eastAsia="PMingLiU"/>
          <w:sz w:val="22"/>
          <w:szCs w:val="22"/>
          <w:lang w:val="el-GR"/>
        </w:rPr>
      </w:pPr>
    </w:p>
    <w:p w14:paraId="02B7F1F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20 mg ενέσιμο</w:t>
      </w:r>
      <w:r>
        <w:rPr>
          <w:rFonts w:eastAsia="Arial Unicode MS" w:cs="Arial Unicode MS"/>
          <w:sz w:val="22"/>
          <w:szCs w:val="20"/>
          <w:lang w:val="el-GR" w:bidi="en-US"/>
        </w:rPr>
        <w:t xml:space="preserve"> διάλυμα </w:t>
      </w:r>
      <w:r>
        <w:rPr>
          <w:rFonts w:eastAsia="Arial Unicode MS" w:cs="Arial Unicode MS"/>
          <w:sz w:val="22"/>
          <w:szCs w:val="22"/>
          <w:lang w:val="el-GR" w:bidi="en-US"/>
        </w:rPr>
        <w:t>σε προγεμισμένη σύριγγα</w:t>
      </w:r>
    </w:p>
    <w:p w14:paraId="65CAAF5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w:t>
      </w:r>
      <w:r>
        <w:rPr>
          <w:rFonts w:eastAsia="Arial Unicode MS" w:cs="Arial Unicode MS"/>
          <w:sz w:val="22"/>
          <w:szCs w:val="20"/>
          <w:lang w:val="el-GR" w:bidi="en-US"/>
        </w:rPr>
        <w:t>lim</w:t>
      </w:r>
      <w:r>
        <w:rPr>
          <w:rFonts w:eastAsia="Arial Unicode MS" w:cs="Arial Unicode MS"/>
          <w:sz w:val="22"/>
          <w:szCs w:val="22"/>
          <w:lang w:val="el-GR" w:bidi="en-US"/>
        </w:rPr>
        <w:t>u</w:t>
      </w:r>
      <w:r>
        <w:rPr>
          <w:rFonts w:eastAsia="Arial Unicode MS" w:cs="Arial Unicode MS"/>
          <w:sz w:val="22"/>
          <w:szCs w:val="20"/>
          <w:lang w:val="el-GR" w:bidi="en-US"/>
        </w:rPr>
        <w:t>m</w:t>
      </w:r>
      <w:r>
        <w:rPr>
          <w:rFonts w:eastAsia="Arial Unicode MS" w:cs="Arial Unicode MS"/>
          <w:sz w:val="22"/>
          <w:szCs w:val="22"/>
          <w:lang w:val="el-GR" w:bidi="en-US"/>
        </w:rPr>
        <w:t>ab</w:t>
      </w:r>
    </w:p>
    <w:p w14:paraId="2BB5FDFE" w14:textId="77777777" w:rsidR="00171824" w:rsidRDefault="00171824">
      <w:pPr>
        <w:widowControl/>
        <w:tabs>
          <w:tab w:val="left" w:pos="567"/>
        </w:tabs>
        <w:autoSpaceDE/>
        <w:autoSpaceDN/>
        <w:adjustRightInd/>
        <w:rPr>
          <w:rFonts w:eastAsia="PMingLiU"/>
          <w:sz w:val="22"/>
          <w:szCs w:val="22"/>
          <w:lang w:val="el-GR"/>
        </w:rPr>
      </w:pPr>
    </w:p>
    <w:p w14:paraId="7FDDD223" w14:textId="77777777" w:rsidR="00171824" w:rsidRDefault="00171824">
      <w:pPr>
        <w:widowControl/>
        <w:tabs>
          <w:tab w:val="left" w:pos="567"/>
        </w:tabs>
        <w:autoSpaceDE/>
        <w:autoSpaceDN/>
        <w:adjustRightInd/>
        <w:rPr>
          <w:rFonts w:eastAsia="PMingLiU"/>
          <w:sz w:val="22"/>
          <w:szCs w:val="22"/>
          <w:lang w:val="el-GR"/>
        </w:rPr>
      </w:pPr>
    </w:p>
    <w:p w14:paraId="7BD372E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79EB5723" w14:textId="77777777" w:rsidR="00171824" w:rsidRDefault="00171824">
      <w:pPr>
        <w:widowControl/>
        <w:tabs>
          <w:tab w:val="left" w:pos="567"/>
        </w:tabs>
        <w:autoSpaceDE/>
        <w:autoSpaceDN/>
        <w:adjustRightInd/>
        <w:rPr>
          <w:rFonts w:eastAsia="PMingLiU"/>
          <w:sz w:val="22"/>
          <w:szCs w:val="22"/>
          <w:lang w:val="el-GR"/>
        </w:rPr>
      </w:pPr>
    </w:p>
    <w:p w14:paraId="547AD07A" w14:textId="77777777" w:rsidR="00171824" w:rsidRDefault="006D258C">
      <w:pPr>
        <w:widowControl/>
        <w:suppressLineNumbers/>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20 mg adalimumab σε διάλυμα 0,2 ml.</w:t>
      </w:r>
    </w:p>
    <w:p w14:paraId="069CAE6B" w14:textId="77777777" w:rsidR="00171824" w:rsidRDefault="00171824">
      <w:pPr>
        <w:rPr>
          <w:sz w:val="22"/>
          <w:szCs w:val="22"/>
          <w:lang w:val="el-GR"/>
        </w:rPr>
      </w:pPr>
    </w:p>
    <w:p w14:paraId="43DBE708" w14:textId="77777777" w:rsidR="00171824" w:rsidRDefault="00171824">
      <w:pPr>
        <w:widowControl/>
        <w:tabs>
          <w:tab w:val="left" w:pos="567"/>
        </w:tabs>
        <w:autoSpaceDE/>
        <w:autoSpaceDN/>
        <w:adjustRightInd/>
        <w:rPr>
          <w:rFonts w:eastAsia="PMingLiU"/>
          <w:sz w:val="22"/>
          <w:szCs w:val="22"/>
          <w:lang w:val="el-GR"/>
        </w:rPr>
      </w:pPr>
    </w:p>
    <w:p w14:paraId="663B058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01501444" w14:textId="77777777" w:rsidR="00171824" w:rsidRDefault="00171824">
      <w:pPr>
        <w:widowControl/>
        <w:tabs>
          <w:tab w:val="left" w:pos="567"/>
        </w:tabs>
        <w:autoSpaceDE/>
        <w:autoSpaceDN/>
        <w:adjustRightInd/>
        <w:rPr>
          <w:rFonts w:eastAsia="PMingLiU"/>
          <w:sz w:val="22"/>
          <w:szCs w:val="22"/>
          <w:lang w:val="el-GR"/>
        </w:rPr>
      </w:pPr>
    </w:p>
    <w:p w14:paraId="782630B8"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 xml:space="preserve">L-γαλακτικό οξύ, σακχαρόζη, πολυσορβικό 80, υδροξείδιο του νατρίου και ενέσιμο ύδωρ. </w:t>
      </w:r>
    </w:p>
    <w:p w14:paraId="6C27EFA3" w14:textId="77777777" w:rsidR="00171824" w:rsidRDefault="00171824">
      <w:pPr>
        <w:widowControl/>
        <w:tabs>
          <w:tab w:val="left" w:pos="567"/>
        </w:tabs>
        <w:autoSpaceDE/>
        <w:autoSpaceDN/>
        <w:adjustRightInd/>
        <w:rPr>
          <w:rFonts w:eastAsia="PMingLiU"/>
          <w:sz w:val="22"/>
          <w:szCs w:val="22"/>
          <w:lang w:val="el-GR"/>
        </w:rPr>
      </w:pPr>
    </w:p>
    <w:p w14:paraId="53214211" w14:textId="77777777" w:rsidR="00171824" w:rsidRDefault="00171824">
      <w:pPr>
        <w:widowControl/>
        <w:tabs>
          <w:tab w:val="left" w:pos="567"/>
        </w:tabs>
        <w:autoSpaceDE/>
        <w:autoSpaceDN/>
        <w:adjustRightInd/>
        <w:rPr>
          <w:rFonts w:eastAsia="PMingLiU"/>
          <w:sz w:val="22"/>
          <w:szCs w:val="22"/>
          <w:lang w:val="el-GR"/>
        </w:rPr>
      </w:pPr>
    </w:p>
    <w:p w14:paraId="3DF057C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4864195A" w14:textId="77777777" w:rsidR="00171824" w:rsidRDefault="00171824">
      <w:pPr>
        <w:widowControl/>
        <w:tabs>
          <w:tab w:val="left" w:pos="567"/>
        </w:tabs>
        <w:autoSpaceDE/>
        <w:autoSpaceDN/>
        <w:adjustRightInd/>
        <w:rPr>
          <w:rFonts w:eastAsia="PMingLiU"/>
          <w:sz w:val="22"/>
          <w:szCs w:val="22"/>
          <w:lang w:val="el-GR"/>
        </w:rPr>
      </w:pPr>
    </w:p>
    <w:p w14:paraId="432D640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highlight w:val="lightGray"/>
          <w:lang w:val="el-GR" w:bidi="en-US"/>
        </w:rPr>
        <w:t>Eνέσιμο διάλυμα</w:t>
      </w:r>
    </w:p>
    <w:p w14:paraId="3F63C560" w14:textId="77777777" w:rsidR="00171824" w:rsidRDefault="006D258C">
      <w:pPr>
        <w:rPr>
          <w:sz w:val="22"/>
          <w:szCs w:val="22"/>
          <w:lang w:val="el-GR"/>
        </w:rPr>
      </w:pPr>
      <w:r>
        <w:rPr>
          <w:sz w:val="22"/>
          <w:szCs w:val="22"/>
          <w:lang w:val="el-GR"/>
        </w:rPr>
        <w:t>20 mg/0,2 ml</w:t>
      </w:r>
    </w:p>
    <w:p w14:paraId="7197C35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1 προγεμισμένη σύριγγα.</w:t>
      </w:r>
    </w:p>
    <w:p w14:paraId="662F08FF" w14:textId="77777777" w:rsidR="00171824" w:rsidRDefault="00171824">
      <w:pPr>
        <w:widowControl/>
        <w:tabs>
          <w:tab w:val="left" w:pos="567"/>
        </w:tabs>
        <w:autoSpaceDE/>
        <w:autoSpaceDN/>
        <w:adjustRightInd/>
        <w:rPr>
          <w:rFonts w:eastAsia="PMingLiU"/>
          <w:sz w:val="22"/>
          <w:szCs w:val="22"/>
          <w:lang w:val="el-GR"/>
        </w:rPr>
      </w:pPr>
    </w:p>
    <w:p w14:paraId="357917A6" w14:textId="77777777" w:rsidR="00171824" w:rsidRDefault="00171824">
      <w:pPr>
        <w:widowControl/>
        <w:tabs>
          <w:tab w:val="left" w:pos="567"/>
        </w:tabs>
        <w:autoSpaceDE/>
        <w:autoSpaceDN/>
        <w:adjustRightInd/>
        <w:rPr>
          <w:rFonts w:eastAsia="PMingLiU"/>
          <w:sz w:val="22"/>
          <w:szCs w:val="22"/>
          <w:lang w:val="el-GR"/>
        </w:rPr>
      </w:pPr>
    </w:p>
    <w:p w14:paraId="018CFC3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18B3C92E" w14:textId="77777777" w:rsidR="00171824" w:rsidRDefault="00171824">
      <w:pPr>
        <w:widowControl/>
        <w:tabs>
          <w:tab w:val="left" w:pos="567"/>
        </w:tabs>
        <w:autoSpaceDE/>
        <w:autoSpaceDN/>
        <w:adjustRightInd/>
        <w:rPr>
          <w:rFonts w:eastAsia="PMingLiU"/>
          <w:sz w:val="22"/>
          <w:szCs w:val="22"/>
          <w:lang w:val="el-GR"/>
        </w:rPr>
      </w:pPr>
    </w:p>
    <w:p w14:paraId="4439BA5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Για υποδόρια χρήση.</w:t>
      </w:r>
    </w:p>
    <w:p w14:paraId="75AE454D" w14:textId="77777777" w:rsidR="00171824" w:rsidRDefault="006D258C">
      <w:pPr>
        <w:widowControl/>
        <w:tabs>
          <w:tab w:val="left" w:pos="567"/>
        </w:tabs>
        <w:autoSpaceDE/>
        <w:autoSpaceDN/>
        <w:adjustRightInd/>
        <w:rPr>
          <w:rFonts w:eastAsia="PMingLiU"/>
          <w:b/>
          <w:sz w:val="22"/>
          <w:szCs w:val="20"/>
          <w:lang w:val="el-GR" w:bidi="en-US"/>
        </w:rPr>
      </w:pPr>
      <w:r>
        <w:rPr>
          <w:rFonts w:eastAsia="Arial Unicode MS" w:cs="Arial Unicode MS"/>
          <w:sz w:val="22"/>
          <w:szCs w:val="22"/>
          <w:lang w:val="el-GR" w:bidi="en-US"/>
        </w:rPr>
        <w:t xml:space="preserve">Διαβάστε </w:t>
      </w:r>
      <w:r>
        <w:rPr>
          <w:rFonts w:eastAsia="Arial Unicode MS" w:cs="Arial Unicode MS"/>
          <w:sz w:val="22"/>
          <w:szCs w:val="20"/>
          <w:lang w:val="el-GR" w:bidi="en-US"/>
        </w:rPr>
        <w:t xml:space="preserve">το </w:t>
      </w:r>
      <w:r>
        <w:rPr>
          <w:rFonts w:eastAsia="Arial Unicode MS" w:cs="Arial Unicode MS"/>
          <w:sz w:val="22"/>
          <w:szCs w:val="22"/>
          <w:lang w:val="el-GR" w:bidi="en-US"/>
        </w:rPr>
        <w:t>φύλλο οδηγιών χρήσης πριν από τη χορήγηση.</w:t>
      </w:r>
    </w:p>
    <w:p w14:paraId="39A58B37"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Mόνο για μία χρήση. </w:t>
      </w:r>
    </w:p>
    <w:p w14:paraId="1EDA9AB8" w14:textId="77777777" w:rsidR="00171824" w:rsidRDefault="00171824">
      <w:pPr>
        <w:widowControl/>
        <w:tabs>
          <w:tab w:val="left" w:pos="567"/>
        </w:tabs>
        <w:autoSpaceDE/>
        <w:autoSpaceDN/>
        <w:adjustRightInd/>
        <w:rPr>
          <w:rFonts w:eastAsia="PMingLiU"/>
          <w:sz w:val="22"/>
          <w:szCs w:val="20"/>
          <w:lang w:val="el-GR"/>
        </w:rPr>
      </w:pPr>
    </w:p>
    <w:p w14:paraId="436E413C" w14:textId="77777777" w:rsidR="00171824" w:rsidRDefault="00171824">
      <w:pPr>
        <w:widowControl/>
        <w:tabs>
          <w:tab w:val="left" w:pos="567"/>
        </w:tabs>
        <w:autoSpaceDE/>
        <w:autoSpaceDN/>
        <w:adjustRightInd/>
        <w:rPr>
          <w:rFonts w:eastAsia="PMingLiU"/>
          <w:sz w:val="22"/>
          <w:szCs w:val="22"/>
          <w:lang w:val="el-GR"/>
        </w:rPr>
      </w:pPr>
    </w:p>
    <w:p w14:paraId="77C9841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08DC8840" w14:textId="77777777" w:rsidR="00171824" w:rsidRDefault="00171824">
      <w:pPr>
        <w:widowControl/>
        <w:tabs>
          <w:tab w:val="left" w:pos="567"/>
        </w:tabs>
        <w:autoSpaceDE/>
        <w:autoSpaceDN/>
        <w:adjustRightInd/>
        <w:rPr>
          <w:rFonts w:eastAsia="PMingLiU"/>
          <w:sz w:val="22"/>
          <w:szCs w:val="20"/>
          <w:lang w:val="el-GR"/>
        </w:rPr>
      </w:pPr>
    </w:p>
    <w:p w14:paraId="0F63AD56" w14:textId="77777777" w:rsidR="00171824" w:rsidRDefault="006D258C">
      <w:pPr>
        <w:widowControl/>
        <w:tabs>
          <w:tab w:val="left" w:pos="567"/>
        </w:tabs>
        <w:autoSpaceDE/>
        <w:autoSpaceDN/>
        <w:adjustRightInd/>
        <w:outlineLvl w:val="0"/>
        <w:rPr>
          <w:rFonts w:eastAsia="MS Mincho"/>
          <w:sz w:val="22"/>
          <w:szCs w:val="22"/>
          <w:lang w:val="el-GR" w:bidi="en-US"/>
        </w:rPr>
      </w:pPr>
      <w:r>
        <w:rPr>
          <w:rFonts w:eastAsia="Arial Unicode MS" w:cs="Arial Unicode MS"/>
          <w:sz w:val="22"/>
          <w:szCs w:val="20"/>
          <w:lang w:val="el-GR" w:bidi="en-US"/>
        </w:rPr>
        <w:t>Να φυλάσσεται</w:t>
      </w:r>
      <w:r>
        <w:rPr>
          <w:rFonts w:eastAsia="Arial Unicode MS" w:cs="Arial Unicode MS"/>
          <w:sz w:val="22"/>
          <w:szCs w:val="22"/>
          <w:lang w:val="el-GR" w:bidi="en-US"/>
        </w:rPr>
        <w:t xml:space="preserve"> σε θέση την οποία δεν βλέπουν και δεν προσεγγίζουν τα παιδιά.</w:t>
      </w:r>
    </w:p>
    <w:p w14:paraId="7DFD648D" w14:textId="77777777" w:rsidR="00171824" w:rsidRDefault="00171824">
      <w:pPr>
        <w:widowControl/>
        <w:tabs>
          <w:tab w:val="left" w:pos="567"/>
        </w:tabs>
        <w:autoSpaceDE/>
        <w:autoSpaceDN/>
        <w:adjustRightInd/>
        <w:rPr>
          <w:rFonts w:eastAsia="PMingLiU"/>
          <w:sz w:val="22"/>
          <w:szCs w:val="22"/>
          <w:lang w:val="el-GR"/>
        </w:rPr>
      </w:pPr>
    </w:p>
    <w:p w14:paraId="7D076AC8" w14:textId="77777777" w:rsidR="00171824" w:rsidRDefault="00171824">
      <w:pPr>
        <w:widowControl/>
        <w:tabs>
          <w:tab w:val="left" w:pos="567"/>
        </w:tabs>
        <w:autoSpaceDE/>
        <w:autoSpaceDN/>
        <w:adjustRightInd/>
        <w:rPr>
          <w:rFonts w:eastAsia="PMingLiU"/>
          <w:sz w:val="22"/>
          <w:szCs w:val="22"/>
          <w:lang w:val="el-GR"/>
        </w:rPr>
      </w:pPr>
    </w:p>
    <w:p w14:paraId="20987AB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14A85BEE" w14:textId="77777777" w:rsidR="00171824" w:rsidRDefault="00171824">
      <w:pPr>
        <w:widowControl/>
        <w:tabs>
          <w:tab w:val="left" w:pos="567"/>
        </w:tabs>
        <w:autoSpaceDE/>
        <w:autoSpaceDN/>
        <w:adjustRightInd/>
        <w:rPr>
          <w:rFonts w:eastAsia="PMingLiU"/>
          <w:sz w:val="22"/>
          <w:szCs w:val="20"/>
          <w:lang w:val="el-GR"/>
        </w:rPr>
      </w:pPr>
    </w:p>
    <w:p w14:paraId="19DB7BB3" w14:textId="77777777" w:rsidR="00171824" w:rsidRDefault="00171824">
      <w:pPr>
        <w:widowControl/>
        <w:tabs>
          <w:tab w:val="left" w:pos="567"/>
          <w:tab w:val="left" w:pos="749"/>
        </w:tabs>
        <w:autoSpaceDE/>
        <w:autoSpaceDN/>
        <w:adjustRightInd/>
        <w:rPr>
          <w:rFonts w:eastAsia="PMingLiU"/>
          <w:sz w:val="22"/>
          <w:szCs w:val="20"/>
          <w:lang w:val="el-GR"/>
        </w:rPr>
      </w:pPr>
    </w:p>
    <w:p w14:paraId="14254B6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75C9C1C5" w14:textId="77777777" w:rsidR="00171824" w:rsidRDefault="00171824">
      <w:pPr>
        <w:widowControl/>
        <w:tabs>
          <w:tab w:val="left" w:pos="567"/>
        </w:tabs>
        <w:autoSpaceDE/>
        <w:autoSpaceDN/>
        <w:adjustRightInd/>
        <w:rPr>
          <w:rFonts w:eastAsia="PMingLiU"/>
          <w:sz w:val="22"/>
          <w:szCs w:val="20"/>
          <w:lang w:val="el-GR"/>
        </w:rPr>
      </w:pPr>
    </w:p>
    <w:p w14:paraId="581B943B"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2"/>
          <w:lang w:val="el-GR" w:bidi="en-US"/>
        </w:rPr>
        <w:t xml:space="preserve">ΛΗΞΗ </w:t>
      </w:r>
    </w:p>
    <w:p w14:paraId="35128A67" w14:textId="77777777" w:rsidR="00171824" w:rsidRDefault="00171824">
      <w:pPr>
        <w:widowControl/>
        <w:tabs>
          <w:tab w:val="left" w:pos="567"/>
        </w:tabs>
        <w:autoSpaceDE/>
        <w:autoSpaceDN/>
        <w:adjustRightInd/>
        <w:rPr>
          <w:rFonts w:eastAsia="PMingLiU"/>
          <w:sz w:val="22"/>
          <w:szCs w:val="22"/>
          <w:lang w:val="el-GR"/>
        </w:rPr>
      </w:pPr>
    </w:p>
    <w:p w14:paraId="23546BA2" w14:textId="77777777" w:rsidR="00171824" w:rsidRDefault="00171824">
      <w:pPr>
        <w:widowControl/>
        <w:tabs>
          <w:tab w:val="left" w:pos="567"/>
        </w:tabs>
        <w:autoSpaceDE/>
        <w:autoSpaceDN/>
        <w:adjustRightInd/>
        <w:rPr>
          <w:rFonts w:eastAsia="PMingLiU"/>
          <w:sz w:val="22"/>
          <w:szCs w:val="22"/>
          <w:lang w:val="el-GR"/>
        </w:rPr>
      </w:pPr>
    </w:p>
    <w:p w14:paraId="78B1F400" w14:textId="77777777" w:rsidR="00171824" w:rsidRDefault="006D258C" w:rsidP="00A07F46">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9.</w:t>
      </w:r>
      <w:r>
        <w:rPr>
          <w:rFonts w:eastAsia="Arial Unicode MS" w:cs="Arial Unicode MS"/>
          <w:b/>
          <w:sz w:val="22"/>
          <w:szCs w:val="22"/>
          <w:lang w:val="el-GR" w:bidi="en-US"/>
        </w:rPr>
        <w:tab/>
        <w:t>ΕΙΔΙΚΕΣ ΣΥΝΘΗΚΕΣ ΦΥΛΑΞΗΣ</w:t>
      </w:r>
    </w:p>
    <w:p w14:paraId="5DEA8F25" w14:textId="77777777" w:rsidR="00171824" w:rsidRDefault="00171824" w:rsidP="00A07F46">
      <w:pPr>
        <w:widowControl/>
        <w:tabs>
          <w:tab w:val="left" w:pos="567"/>
        </w:tabs>
        <w:autoSpaceDE/>
        <w:autoSpaceDN/>
        <w:adjustRightInd/>
        <w:rPr>
          <w:rFonts w:eastAsia="PMingLiU"/>
          <w:sz w:val="22"/>
          <w:szCs w:val="22"/>
          <w:lang w:val="el-GR"/>
        </w:rPr>
      </w:pPr>
    </w:p>
    <w:p w14:paraId="0A82750E" w14:textId="77777777" w:rsidR="00171824" w:rsidRDefault="006D258C" w:rsidP="00A07F46">
      <w:pPr>
        <w:widowControl/>
        <w:rPr>
          <w:rFonts w:eastAsia="SimSun"/>
          <w:sz w:val="22"/>
          <w:szCs w:val="22"/>
          <w:lang w:val="el-GR" w:bidi="en-US"/>
        </w:rPr>
      </w:pPr>
      <w:r>
        <w:rPr>
          <w:rFonts w:eastAsia="Arial Unicode MS" w:cs="Arial Unicode MS"/>
          <w:sz w:val="22"/>
          <w:szCs w:val="22"/>
          <w:lang w:val="el-GR" w:bidi="en-US"/>
        </w:rPr>
        <w:t>Φυλάσσετε σε ψυγείο.</w:t>
      </w:r>
    </w:p>
    <w:p w14:paraId="49D1622B" w14:textId="77777777" w:rsidR="00171824" w:rsidRDefault="006D258C" w:rsidP="00A07F46">
      <w:pPr>
        <w:widowControl/>
        <w:rPr>
          <w:rFonts w:eastAsia="SimSun"/>
          <w:sz w:val="22"/>
          <w:szCs w:val="22"/>
          <w:lang w:val="el-GR" w:bidi="en-US"/>
        </w:rPr>
      </w:pPr>
      <w:r>
        <w:rPr>
          <w:rFonts w:eastAsia="Arial Unicode MS" w:cs="Arial Unicode MS"/>
          <w:sz w:val="22"/>
          <w:szCs w:val="22"/>
          <w:lang w:val="el-GR" w:bidi="en-US"/>
        </w:rPr>
        <w:t>Μην καταψύχετε.</w:t>
      </w:r>
    </w:p>
    <w:p w14:paraId="00AFDB6D" w14:textId="77777777" w:rsidR="00171824" w:rsidRDefault="006D258C" w:rsidP="00A07F46">
      <w:pPr>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758182DE" w14:textId="77777777" w:rsidR="00171824" w:rsidRDefault="00171824">
      <w:pPr>
        <w:widowControl/>
        <w:tabs>
          <w:tab w:val="left" w:pos="567"/>
        </w:tabs>
        <w:autoSpaceDE/>
        <w:autoSpaceDN/>
        <w:adjustRightInd/>
        <w:rPr>
          <w:rFonts w:eastAsia="SimSun"/>
          <w:sz w:val="22"/>
          <w:szCs w:val="22"/>
          <w:lang w:val="el-GR" w:eastAsia="en-GB"/>
        </w:rPr>
      </w:pPr>
    </w:p>
    <w:p w14:paraId="0486672E" w14:textId="77777777" w:rsidR="00171824" w:rsidRDefault="00171824">
      <w:pPr>
        <w:widowControl/>
        <w:tabs>
          <w:tab w:val="left" w:pos="567"/>
        </w:tabs>
        <w:autoSpaceDE/>
        <w:autoSpaceDN/>
        <w:adjustRightInd/>
        <w:ind w:left="567" w:hanging="567"/>
        <w:rPr>
          <w:rFonts w:eastAsia="PMingLiU"/>
          <w:sz w:val="22"/>
          <w:szCs w:val="22"/>
          <w:lang w:val="el-GR"/>
        </w:rPr>
      </w:pPr>
    </w:p>
    <w:p w14:paraId="3330F75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788DEE8A" w14:textId="77777777" w:rsidR="00171824" w:rsidRDefault="00171824">
      <w:pPr>
        <w:widowControl/>
        <w:tabs>
          <w:tab w:val="left" w:pos="567"/>
        </w:tabs>
        <w:autoSpaceDE/>
        <w:autoSpaceDN/>
        <w:adjustRightInd/>
        <w:rPr>
          <w:rFonts w:eastAsia="PMingLiU"/>
          <w:sz w:val="22"/>
          <w:szCs w:val="22"/>
          <w:lang w:val="el-GR"/>
        </w:rPr>
      </w:pPr>
    </w:p>
    <w:p w14:paraId="780522D5" w14:textId="77777777" w:rsidR="00171824" w:rsidRDefault="00171824">
      <w:pPr>
        <w:widowControl/>
        <w:tabs>
          <w:tab w:val="left" w:pos="567"/>
        </w:tabs>
        <w:autoSpaceDE/>
        <w:autoSpaceDN/>
        <w:adjustRightInd/>
        <w:rPr>
          <w:rFonts w:eastAsia="PMingLiU"/>
          <w:sz w:val="22"/>
          <w:szCs w:val="22"/>
          <w:lang w:val="el-GR"/>
        </w:rPr>
      </w:pPr>
    </w:p>
    <w:p w14:paraId="78164B9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0A5E2C89" w14:textId="77777777" w:rsidR="00171824" w:rsidRDefault="00171824">
      <w:pPr>
        <w:widowControl/>
        <w:tabs>
          <w:tab w:val="left" w:pos="567"/>
        </w:tabs>
        <w:autoSpaceDE/>
        <w:autoSpaceDN/>
        <w:adjustRightInd/>
        <w:rPr>
          <w:rFonts w:eastAsia="PMingLiU"/>
          <w:sz w:val="22"/>
          <w:szCs w:val="22"/>
          <w:lang w:val="el-GR"/>
        </w:rPr>
      </w:pPr>
    </w:p>
    <w:p w14:paraId="59DF270F"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60EA597E"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197817F5"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2F3BDC0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26750A6E" w14:textId="77777777" w:rsidR="00171824" w:rsidRDefault="00171824">
      <w:pPr>
        <w:widowControl/>
        <w:tabs>
          <w:tab w:val="left" w:pos="567"/>
        </w:tabs>
        <w:autoSpaceDE/>
        <w:autoSpaceDN/>
        <w:adjustRightInd/>
        <w:rPr>
          <w:rFonts w:eastAsia="PMingLiU"/>
          <w:sz w:val="22"/>
          <w:szCs w:val="22"/>
          <w:lang w:val="el-GR"/>
        </w:rPr>
      </w:pPr>
    </w:p>
    <w:p w14:paraId="731DEA89" w14:textId="77777777" w:rsidR="00171824" w:rsidRDefault="00171824">
      <w:pPr>
        <w:widowControl/>
        <w:tabs>
          <w:tab w:val="left" w:pos="567"/>
        </w:tabs>
        <w:autoSpaceDE/>
        <w:autoSpaceDN/>
        <w:adjustRightInd/>
        <w:rPr>
          <w:rFonts w:eastAsia="PMingLiU"/>
          <w:sz w:val="22"/>
          <w:szCs w:val="22"/>
          <w:lang w:val="el-GR"/>
        </w:rPr>
      </w:pPr>
    </w:p>
    <w:p w14:paraId="5DBB7C0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7C923F41" w14:textId="77777777" w:rsidR="00171824" w:rsidRDefault="00171824">
      <w:pPr>
        <w:widowControl/>
        <w:tabs>
          <w:tab w:val="left" w:pos="567"/>
        </w:tabs>
        <w:autoSpaceDE/>
        <w:autoSpaceDN/>
        <w:adjustRightInd/>
        <w:rPr>
          <w:rFonts w:eastAsia="PMingLiU"/>
          <w:sz w:val="22"/>
          <w:szCs w:val="22"/>
          <w:lang w:val="el-GR"/>
        </w:rPr>
      </w:pPr>
    </w:p>
    <w:p w14:paraId="1191A697"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EU/1/16/1164/010</w:t>
      </w:r>
    </w:p>
    <w:p w14:paraId="1BB099A4" w14:textId="77777777" w:rsidR="00171824" w:rsidRDefault="00171824">
      <w:pPr>
        <w:widowControl/>
        <w:tabs>
          <w:tab w:val="left" w:pos="567"/>
        </w:tabs>
        <w:autoSpaceDE/>
        <w:autoSpaceDN/>
        <w:adjustRightInd/>
        <w:rPr>
          <w:rFonts w:eastAsia="PMingLiU"/>
          <w:sz w:val="22"/>
          <w:szCs w:val="22"/>
          <w:lang w:val="el-GR"/>
        </w:rPr>
      </w:pPr>
    </w:p>
    <w:p w14:paraId="6102F78D" w14:textId="77777777" w:rsidR="00171824" w:rsidRDefault="00171824">
      <w:pPr>
        <w:widowControl/>
        <w:tabs>
          <w:tab w:val="left" w:pos="567"/>
        </w:tabs>
        <w:autoSpaceDE/>
        <w:autoSpaceDN/>
        <w:adjustRightInd/>
        <w:rPr>
          <w:rFonts w:eastAsia="PMingLiU"/>
          <w:sz w:val="22"/>
          <w:szCs w:val="22"/>
          <w:lang w:val="el-GR"/>
        </w:rPr>
      </w:pPr>
    </w:p>
    <w:p w14:paraId="49DFC74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ΑΡΙΘΜΟΣ ΠΑΡΤΙΔΑΣ</w:t>
      </w:r>
    </w:p>
    <w:p w14:paraId="28ED77BE" w14:textId="77777777" w:rsidR="00171824" w:rsidRDefault="00171824">
      <w:pPr>
        <w:widowControl/>
        <w:tabs>
          <w:tab w:val="left" w:pos="567"/>
        </w:tabs>
        <w:autoSpaceDE/>
        <w:autoSpaceDN/>
        <w:adjustRightInd/>
        <w:rPr>
          <w:rFonts w:eastAsia="PMingLiU"/>
          <w:i/>
          <w:sz w:val="22"/>
          <w:szCs w:val="22"/>
          <w:lang w:val="el-GR"/>
        </w:rPr>
      </w:pPr>
    </w:p>
    <w:p w14:paraId="3917724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5388588C" w14:textId="77777777" w:rsidR="00171824" w:rsidRDefault="00171824">
      <w:pPr>
        <w:widowControl/>
        <w:tabs>
          <w:tab w:val="left" w:pos="567"/>
        </w:tabs>
        <w:autoSpaceDE/>
        <w:autoSpaceDN/>
        <w:adjustRightInd/>
        <w:rPr>
          <w:rFonts w:eastAsia="PMingLiU"/>
          <w:sz w:val="22"/>
          <w:szCs w:val="22"/>
          <w:lang w:val="el-GR"/>
        </w:rPr>
      </w:pPr>
    </w:p>
    <w:p w14:paraId="30B9E0A1" w14:textId="77777777" w:rsidR="00171824" w:rsidRDefault="00171824">
      <w:pPr>
        <w:widowControl/>
        <w:tabs>
          <w:tab w:val="left" w:pos="567"/>
        </w:tabs>
        <w:autoSpaceDE/>
        <w:autoSpaceDN/>
        <w:adjustRightInd/>
        <w:rPr>
          <w:rFonts w:eastAsia="PMingLiU"/>
          <w:sz w:val="22"/>
          <w:szCs w:val="22"/>
          <w:lang w:val="el-GR"/>
        </w:rPr>
      </w:pPr>
    </w:p>
    <w:p w14:paraId="65EB5E4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118D7356" w14:textId="77777777" w:rsidR="00171824" w:rsidRDefault="00171824">
      <w:pPr>
        <w:widowControl/>
        <w:tabs>
          <w:tab w:val="left" w:pos="567"/>
        </w:tabs>
        <w:autoSpaceDE/>
        <w:autoSpaceDN/>
        <w:adjustRightInd/>
        <w:rPr>
          <w:rFonts w:eastAsia="PMingLiU"/>
          <w:sz w:val="22"/>
          <w:szCs w:val="22"/>
          <w:lang w:val="el-GR"/>
        </w:rPr>
      </w:pPr>
    </w:p>
    <w:p w14:paraId="7A8E6907" w14:textId="77777777" w:rsidR="00171824" w:rsidRDefault="00171824">
      <w:pPr>
        <w:widowControl/>
        <w:tabs>
          <w:tab w:val="left" w:pos="567"/>
        </w:tabs>
        <w:autoSpaceDE/>
        <w:autoSpaceDN/>
        <w:adjustRightInd/>
        <w:rPr>
          <w:rFonts w:eastAsia="PMingLiU"/>
          <w:sz w:val="22"/>
          <w:szCs w:val="22"/>
          <w:lang w:val="el-GR"/>
        </w:rPr>
      </w:pPr>
    </w:p>
    <w:p w14:paraId="446039FD"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3A9D6FE9" w14:textId="77777777" w:rsidR="00171824" w:rsidRDefault="00171824">
      <w:pPr>
        <w:widowControl/>
        <w:tabs>
          <w:tab w:val="left" w:pos="567"/>
        </w:tabs>
        <w:autoSpaceDE/>
        <w:autoSpaceDN/>
        <w:adjustRightInd/>
        <w:rPr>
          <w:rFonts w:eastAsia="PMingLiU"/>
          <w:sz w:val="22"/>
          <w:szCs w:val="22"/>
          <w:lang w:val="el-GR"/>
        </w:rPr>
      </w:pPr>
    </w:p>
    <w:p w14:paraId="44DAFEAF" w14:textId="77777777" w:rsidR="00171824" w:rsidRDefault="00171824">
      <w:pPr>
        <w:widowControl/>
        <w:tabs>
          <w:tab w:val="left" w:pos="567"/>
        </w:tabs>
        <w:autoSpaceDE/>
        <w:autoSpaceDN/>
        <w:adjustRightInd/>
        <w:rPr>
          <w:rFonts w:eastAsia="PMingLiU"/>
          <w:sz w:val="22"/>
          <w:szCs w:val="22"/>
          <w:lang w:val="el-GR"/>
        </w:rPr>
      </w:pPr>
    </w:p>
    <w:p w14:paraId="20694C87"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02A99F6E" w14:textId="77777777" w:rsidR="00171824" w:rsidRDefault="00171824">
      <w:pPr>
        <w:widowControl/>
        <w:tabs>
          <w:tab w:val="left" w:pos="567"/>
        </w:tabs>
        <w:autoSpaceDE/>
        <w:autoSpaceDN/>
        <w:adjustRightInd/>
        <w:rPr>
          <w:rFonts w:eastAsia="PMingLiU"/>
          <w:sz w:val="22"/>
          <w:szCs w:val="20"/>
          <w:lang w:val="el-GR"/>
        </w:rPr>
      </w:pPr>
    </w:p>
    <w:p w14:paraId="4055DDE8" w14:textId="77777777" w:rsidR="00171824" w:rsidRDefault="006D258C">
      <w:pPr>
        <w:widowControl/>
        <w:tabs>
          <w:tab w:val="left" w:pos="567"/>
        </w:tabs>
        <w:autoSpaceDE/>
        <w:autoSpaceDN/>
        <w:adjustRightInd/>
        <w:rPr>
          <w:rFonts w:eastAsia="PMingLiU"/>
          <w:sz w:val="22"/>
          <w:szCs w:val="22"/>
          <w:highlight w:val="yellow"/>
          <w:shd w:val="clear" w:color="auto" w:fill="CCCCCC"/>
          <w:lang w:val="el-GR" w:bidi="en-US"/>
        </w:rPr>
      </w:pPr>
      <w:r>
        <w:rPr>
          <w:rFonts w:eastAsia="Arial Unicode MS" w:cs="Arial Unicode MS"/>
          <w:sz w:val="22"/>
          <w:szCs w:val="20"/>
          <w:lang w:val="el-GR" w:bidi="en-US"/>
        </w:rPr>
        <w:t>AMGEVITA 20 mg/0,2 ml σύριγγα</w:t>
      </w:r>
    </w:p>
    <w:p w14:paraId="392EE7CC"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577F57C6"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4B571887"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6754C576" w14:textId="77777777" w:rsidR="00171824" w:rsidRDefault="00171824">
      <w:pPr>
        <w:widowControl/>
        <w:autoSpaceDE/>
        <w:autoSpaceDN/>
        <w:adjustRightInd/>
        <w:rPr>
          <w:rFonts w:eastAsia="PMingLiU"/>
          <w:sz w:val="22"/>
          <w:szCs w:val="20"/>
          <w:lang w:val="el-GR"/>
        </w:rPr>
      </w:pPr>
    </w:p>
    <w:p w14:paraId="3A283894"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340F5125"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4AA8C7F1" w14:textId="77777777" w:rsidR="00171824" w:rsidRDefault="00171824">
      <w:pPr>
        <w:widowControl/>
        <w:autoSpaceDE/>
        <w:autoSpaceDN/>
        <w:adjustRightInd/>
        <w:rPr>
          <w:rFonts w:eastAsia="PMingLiU"/>
          <w:sz w:val="22"/>
          <w:szCs w:val="20"/>
          <w:lang w:val="el-GR"/>
        </w:rPr>
      </w:pPr>
    </w:p>
    <w:p w14:paraId="480B37AD"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7163BA7E" w14:textId="77777777" w:rsidR="00171824" w:rsidRDefault="00171824">
      <w:pPr>
        <w:keepNext/>
        <w:widowControl/>
        <w:autoSpaceDE/>
        <w:autoSpaceDN/>
        <w:adjustRightInd/>
        <w:rPr>
          <w:rFonts w:eastAsia="PMingLiU"/>
          <w:sz w:val="22"/>
          <w:szCs w:val="20"/>
          <w:lang w:val="el-GR"/>
        </w:rPr>
      </w:pPr>
    </w:p>
    <w:p w14:paraId="19F65B07"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1B0EDAB6"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23E93051" w14:textId="77777777" w:rsidR="00171824" w:rsidRDefault="006D258C">
      <w:pPr>
        <w:widowControl/>
        <w:tabs>
          <w:tab w:val="left" w:pos="567"/>
        </w:tabs>
        <w:autoSpaceDE/>
        <w:autoSpaceDN/>
        <w:adjustRightInd/>
        <w:rPr>
          <w:rFonts w:eastAsia="Arial Unicode MS" w:cs="Arial Unicode MS"/>
          <w:sz w:val="22"/>
          <w:szCs w:val="22"/>
          <w:shd w:val="clear" w:color="auto" w:fill="FFFFFF"/>
          <w:lang w:val="el-GR" w:bidi="en-US"/>
        </w:rPr>
      </w:pPr>
      <w:r>
        <w:rPr>
          <w:rFonts w:eastAsia="Arial Unicode MS" w:cs="Arial Unicode MS"/>
          <w:sz w:val="22"/>
          <w:szCs w:val="22"/>
          <w:shd w:val="clear" w:color="auto" w:fill="FFFFFF"/>
          <w:lang w:val="el-GR" w:bidi="en-US"/>
        </w:rPr>
        <w:t>NN</w:t>
      </w:r>
    </w:p>
    <w:p w14:paraId="43EF4FBE" w14:textId="77777777" w:rsidR="00171824" w:rsidRDefault="006D258C">
      <w:pPr>
        <w:widowControl/>
        <w:tabs>
          <w:tab w:val="left" w:pos="567"/>
        </w:tabs>
        <w:autoSpaceDE/>
        <w:autoSpaceDN/>
        <w:adjustRightInd/>
        <w:rPr>
          <w:rFonts w:eastAsia="PMingLiU"/>
          <w:b/>
          <w:sz w:val="22"/>
          <w:szCs w:val="22"/>
          <w:lang w:val="el-GR" w:bidi="en-US"/>
        </w:rPr>
      </w:pPr>
      <w:r>
        <w:rPr>
          <w:rFonts w:ascii="Arial" w:eastAsia="Arial Unicode MS" w:hAnsi="Arial" w:cs="Arial Unicode MS"/>
          <w:color w:val="000000"/>
          <w:sz w:val="22"/>
          <w:lang w:val="el-GR" w:bidi="en-US"/>
        </w:rPr>
        <w:br w:type="page"/>
      </w:r>
    </w:p>
    <w:p w14:paraId="4ED30E5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Arial Unicode MS" w:cs="Arial Unicode MS"/>
          <w:b/>
          <w:sz w:val="22"/>
          <w:szCs w:val="22"/>
          <w:lang w:val="el-GR" w:bidi="en-US"/>
        </w:rPr>
      </w:pPr>
      <w:r>
        <w:rPr>
          <w:rFonts w:eastAsia="Arial Unicode MS" w:cs="Arial Unicode MS"/>
          <w:b/>
          <w:sz w:val="22"/>
          <w:szCs w:val="22"/>
          <w:lang w:val="el-GR" w:bidi="en-US"/>
        </w:rPr>
        <w:lastRenderedPageBreak/>
        <w:t>ΕΛΑΧΙΣΤΕΣ ΕΝΔΕΙΞΕΙΣ ΠΟΥ ΠΡΕΠΕΙ ΝΑ ΑΝΑΓΡΑΦΟΝΤΑΙ ΣΤΙΣ ΜΙΚΡΕΣ ΣΤΟΙΧΕΙΩΔΕΙΣ ΣΥΣΚΕΥΑΣΙΕΣ</w:t>
      </w:r>
    </w:p>
    <w:p w14:paraId="11D99259"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rPr>
      </w:pPr>
    </w:p>
    <w:p w14:paraId="62D00E0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t>ΕΠΙΣΗΜΑΝΣΗ ΣΥΡΙΓΓΑΣ</w:t>
      </w:r>
    </w:p>
    <w:p w14:paraId="62B767D4" w14:textId="77777777" w:rsidR="00171824" w:rsidRDefault="00171824">
      <w:pPr>
        <w:widowControl/>
        <w:tabs>
          <w:tab w:val="left" w:pos="567"/>
        </w:tabs>
        <w:autoSpaceDE/>
        <w:autoSpaceDN/>
        <w:adjustRightInd/>
        <w:rPr>
          <w:rFonts w:eastAsia="PMingLiU"/>
          <w:sz w:val="22"/>
          <w:szCs w:val="22"/>
          <w:lang w:val="el-GR"/>
        </w:rPr>
      </w:pPr>
    </w:p>
    <w:p w14:paraId="311713D2" w14:textId="77777777" w:rsidR="00171824" w:rsidRDefault="00171824">
      <w:pPr>
        <w:widowControl/>
        <w:tabs>
          <w:tab w:val="left" w:pos="567"/>
        </w:tabs>
        <w:autoSpaceDE/>
        <w:autoSpaceDN/>
        <w:adjustRightInd/>
        <w:rPr>
          <w:rFonts w:eastAsia="PMingLiU"/>
          <w:sz w:val="22"/>
          <w:szCs w:val="22"/>
          <w:lang w:val="el-GR"/>
        </w:rPr>
      </w:pPr>
    </w:p>
    <w:p w14:paraId="5D60370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w:t>
      </w:r>
      <w:r>
        <w:rPr>
          <w:rFonts w:eastAsia="Arial Unicode MS" w:cs="Arial Unicode MS"/>
          <w:b/>
          <w:sz w:val="22"/>
          <w:szCs w:val="22"/>
          <w:lang w:val="el-GR" w:bidi="en-US"/>
        </w:rPr>
        <w:tab/>
        <w:t>ΟΝΟΜΑΣΙΑ ΤΟΥ ΦΑΡΜΑΚΕΥΤΙΚΟΥ ΠΡΟΪΟΝΤΟΣ ΚΑΙ ΟΔΟΣ(ΟΙ) ΧΟΡΗΓΗΣΗΣ</w:t>
      </w:r>
    </w:p>
    <w:p w14:paraId="4F2BFC48" w14:textId="77777777" w:rsidR="00171824" w:rsidRDefault="00171824">
      <w:pPr>
        <w:widowControl/>
        <w:tabs>
          <w:tab w:val="left" w:pos="567"/>
        </w:tabs>
        <w:autoSpaceDE/>
        <w:autoSpaceDN/>
        <w:adjustRightInd/>
        <w:ind w:left="567" w:hanging="567"/>
        <w:rPr>
          <w:rFonts w:eastAsia="PMingLiU"/>
          <w:sz w:val="22"/>
          <w:szCs w:val="22"/>
          <w:lang w:val="el-GR"/>
        </w:rPr>
      </w:pPr>
    </w:p>
    <w:p w14:paraId="657A2FD8"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20 mg ένεση</w:t>
      </w:r>
    </w:p>
    <w:p w14:paraId="1B8A5B9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25E7AB4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Υποδόρια</w:t>
      </w:r>
    </w:p>
    <w:p w14:paraId="43A3C32D" w14:textId="77777777" w:rsidR="00171824" w:rsidRDefault="00171824">
      <w:pPr>
        <w:widowControl/>
        <w:tabs>
          <w:tab w:val="left" w:pos="567"/>
        </w:tabs>
        <w:autoSpaceDE/>
        <w:autoSpaceDN/>
        <w:adjustRightInd/>
        <w:rPr>
          <w:rFonts w:eastAsia="PMingLiU"/>
          <w:sz w:val="22"/>
          <w:szCs w:val="22"/>
          <w:lang w:val="el-GR"/>
        </w:rPr>
      </w:pPr>
    </w:p>
    <w:p w14:paraId="7C836824" w14:textId="77777777" w:rsidR="00171824" w:rsidRDefault="00171824">
      <w:pPr>
        <w:widowControl/>
        <w:tabs>
          <w:tab w:val="left" w:pos="567"/>
        </w:tabs>
        <w:autoSpaceDE/>
        <w:autoSpaceDN/>
        <w:adjustRightInd/>
        <w:rPr>
          <w:rFonts w:eastAsia="PMingLiU"/>
          <w:sz w:val="22"/>
          <w:szCs w:val="22"/>
          <w:lang w:val="el-GR"/>
        </w:rPr>
      </w:pPr>
    </w:p>
    <w:p w14:paraId="583F224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ΤΡΟΠΟΣ ΧΟΡΗΓΗΣΗΣ</w:t>
      </w:r>
    </w:p>
    <w:p w14:paraId="091267D8" w14:textId="77777777" w:rsidR="00171824" w:rsidRDefault="00171824">
      <w:pPr>
        <w:widowControl/>
        <w:tabs>
          <w:tab w:val="left" w:pos="567"/>
        </w:tabs>
        <w:autoSpaceDE/>
        <w:autoSpaceDN/>
        <w:adjustRightInd/>
        <w:rPr>
          <w:rFonts w:eastAsia="PMingLiU"/>
          <w:sz w:val="22"/>
          <w:szCs w:val="22"/>
          <w:lang w:val="el-GR"/>
        </w:rPr>
      </w:pPr>
    </w:p>
    <w:p w14:paraId="2226747B" w14:textId="77777777" w:rsidR="00171824" w:rsidRDefault="00171824">
      <w:pPr>
        <w:widowControl/>
        <w:tabs>
          <w:tab w:val="left" w:pos="567"/>
        </w:tabs>
        <w:autoSpaceDE/>
        <w:autoSpaceDN/>
        <w:adjustRightInd/>
        <w:rPr>
          <w:rFonts w:eastAsia="PMingLiU"/>
          <w:sz w:val="22"/>
          <w:szCs w:val="22"/>
          <w:lang w:val="el-GR"/>
        </w:rPr>
      </w:pPr>
    </w:p>
    <w:p w14:paraId="384F503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ΗΜΕΡΟΜΗΝΙΑ ΛΗΞΗΣ</w:t>
      </w:r>
    </w:p>
    <w:p w14:paraId="55C4933C" w14:textId="77777777" w:rsidR="00171824" w:rsidRDefault="00171824">
      <w:pPr>
        <w:widowControl/>
        <w:tabs>
          <w:tab w:val="left" w:pos="567"/>
        </w:tabs>
        <w:autoSpaceDE/>
        <w:autoSpaceDN/>
        <w:adjustRightInd/>
        <w:rPr>
          <w:rFonts w:eastAsia="PMingLiU"/>
          <w:sz w:val="22"/>
          <w:szCs w:val="20"/>
          <w:lang w:val="el-GR"/>
        </w:rPr>
      </w:pPr>
    </w:p>
    <w:p w14:paraId="71515569"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EXP</w:t>
      </w:r>
    </w:p>
    <w:p w14:paraId="58469D92" w14:textId="77777777" w:rsidR="00171824" w:rsidRDefault="00171824">
      <w:pPr>
        <w:widowControl/>
        <w:tabs>
          <w:tab w:val="left" w:pos="567"/>
        </w:tabs>
        <w:autoSpaceDE/>
        <w:autoSpaceDN/>
        <w:adjustRightInd/>
        <w:rPr>
          <w:rFonts w:eastAsia="PMingLiU"/>
          <w:sz w:val="22"/>
          <w:szCs w:val="20"/>
          <w:lang w:val="el-GR" w:eastAsia="zh-TW"/>
        </w:rPr>
      </w:pPr>
    </w:p>
    <w:p w14:paraId="2817D0C4" w14:textId="77777777" w:rsidR="00171824" w:rsidRDefault="00171824">
      <w:pPr>
        <w:widowControl/>
        <w:tabs>
          <w:tab w:val="left" w:pos="567"/>
        </w:tabs>
        <w:autoSpaceDE/>
        <w:autoSpaceDN/>
        <w:adjustRightInd/>
        <w:rPr>
          <w:rFonts w:eastAsia="PMingLiU"/>
          <w:sz w:val="22"/>
          <w:szCs w:val="20"/>
          <w:lang w:val="el-GR"/>
        </w:rPr>
      </w:pPr>
    </w:p>
    <w:p w14:paraId="34B0CA2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0"/>
          <w:lang w:val="el-GR" w:bidi="en-US"/>
        </w:rPr>
      </w:pPr>
      <w:r>
        <w:rPr>
          <w:rFonts w:eastAsia="Arial Unicode MS" w:cs="Arial Unicode MS"/>
          <w:b/>
          <w:sz w:val="22"/>
          <w:szCs w:val="20"/>
          <w:lang w:val="el-GR" w:bidi="en-US"/>
        </w:rPr>
        <w:t>4.</w:t>
      </w:r>
      <w:r>
        <w:rPr>
          <w:rFonts w:eastAsia="Arial Unicode MS" w:cs="Arial Unicode MS"/>
          <w:b/>
          <w:sz w:val="22"/>
          <w:szCs w:val="20"/>
          <w:lang w:val="el-GR" w:bidi="en-US"/>
        </w:rPr>
        <w:tab/>
        <w:t xml:space="preserve">ΑΡΙΘΜΟΣ ΠΑΡΤΙΔΑΣ </w:t>
      </w:r>
    </w:p>
    <w:p w14:paraId="7D489ABA" w14:textId="77777777" w:rsidR="00171824" w:rsidRDefault="00171824">
      <w:pPr>
        <w:widowControl/>
        <w:tabs>
          <w:tab w:val="left" w:pos="567"/>
        </w:tabs>
        <w:autoSpaceDE/>
        <w:autoSpaceDN/>
        <w:adjustRightInd/>
        <w:ind w:right="113"/>
        <w:rPr>
          <w:rFonts w:eastAsia="PMingLiU"/>
          <w:sz w:val="22"/>
          <w:szCs w:val="20"/>
          <w:lang w:val="el-GR"/>
        </w:rPr>
      </w:pPr>
    </w:p>
    <w:p w14:paraId="6564B9DE" w14:textId="77777777" w:rsidR="00171824" w:rsidRDefault="006D258C">
      <w:pPr>
        <w:widowControl/>
        <w:tabs>
          <w:tab w:val="left" w:pos="567"/>
        </w:tabs>
        <w:autoSpaceDE/>
        <w:autoSpaceDN/>
        <w:adjustRightInd/>
        <w:ind w:right="113"/>
        <w:rPr>
          <w:rFonts w:eastAsia="PMingLiU"/>
          <w:sz w:val="22"/>
          <w:szCs w:val="20"/>
          <w:lang w:val="el-GR" w:bidi="en-US"/>
        </w:rPr>
      </w:pPr>
      <w:r>
        <w:rPr>
          <w:rFonts w:eastAsia="Arial Unicode MS" w:cs="Arial Unicode MS"/>
          <w:sz w:val="22"/>
          <w:szCs w:val="20"/>
          <w:lang w:val="el-GR" w:bidi="en-US"/>
        </w:rPr>
        <w:t>Lot</w:t>
      </w:r>
    </w:p>
    <w:p w14:paraId="643B73DB" w14:textId="77777777" w:rsidR="00171824" w:rsidRDefault="00171824">
      <w:pPr>
        <w:widowControl/>
        <w:tabs>
          <w:tab w:val="left" w:pos="567"/>
        </w:tabs>
        <w:autoSpaceDE/>
        <w:autoSpaceDN/>
        <w:adjustRightInd/>
        <w:ind w:right="113"/>
        <w:rPr>
          <w:rFonts w:eastAsia="PMingLiU"/>
          <w:sz w:val="22"/>
          <w:szCs w:val="20"/>
          <w:lang w:val="el-GR"/>
        </w:rPr>
      </w:pPr>
    </w:p>
    <w:p w14:paraId="57D87C36" w14:textId="77777777" w:rsidR="00171824" w:rsidRDefault="00171824">
      <w:pPr>
        <w:widowControl/>
        <w:tabs>
          <w:tab w:val="left" w:pos="567"/>
        </w:tabs>
        <w:autoSpaceDE/>
        <w:autoSpaceDN/>
        <w:adjustRightInd/>
        <w:ind w:right="113"/>
        <w:rPr>
          <w:rFonts w:eastAsia="PMingLiU"/>
          <w:sz w:val="22"/>
          <w:szCs w:val="20"/>
          <w:lang w:val="el-GR"/>
        </w:rPr>
      </w:pPr>
    </w:p>
    <w:p w14:paraId="272213C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ΠΕΡΙΕΧΟΜΕΝΟ ΚΑΤΑ ΒΑΡΟΣ, ΚΑΤ' ΟΓΚΟ Ή ΚΑΤΑ ΜΟΝΑΔΑ</w:t>
      </w:r>
    </w:p>
    <w:p w14:paraId="615DDCA3" w14:textId="77777777" w:rsidR="00171824" w:rsidRDefault="00171824">
      <w:pPr>
        <w:widowControl/>
        <w:tabs>
          <w:tab w:val="left" w:pos="567"/>
        </w:tabs>
        <w:autoSpaceDE/>
        <w:autoSpaceDN/>
        <w:adjustRightInd/>
        <w:ind w:right="113"/>
        <w:rPr>
          <w:rFonts w:eastAsia="PMingLiU"/>
          <w:sz w:val="22"/>
          <w:szCs w:val="22"/>
          <w:lang w:val="el-GR"/>
        </w:rPr>
      </w:pPr>
    </w:p>
    <w:p w14:paraId="68E63227" w14:textId="77777777" w:rsidR="00171824" w:rsidRDefault="006D258C">
      <w:pPr>
        <w:widowControl/>
        <w:tabs>
          <w:tab w:val="left" w:pos="567"/>
        </w:tabs>
        <w:autoSpaceDE/>
        <w:autoSpaceDN/>
        <w:adjustRightInd/>
        <w:ind w:right="113"/>
        <w:rPr>
          <w:rFonts w:eastAsia="PMingLiU"/>
          <w:sz w:val="22"/>
          <w:szCs w:val="22"/>
          <w:lang w:val="el-GR" w:bidi="en-US"/>
        </w:rPr>
      </w:pPr>
      <w:r>
        <w:rPr>
          <w:rFonts w:eastAsia="Arial Unicode MS" w:cs="Arial Unicode MS"/>
          <w:sz w:val="22"/>
          <w:szCs w:val="22"/>
          <w:lang w:val="el-GR" w:bidi="en-US"/>
        </w:rPr>
        <w:t>0,2 ml</w:t>
      </w:r>
    </w:p>
    <w:p w14:paraId="621EF34F" w14:textId="77777777" w:rsidR="00171824" w:rsidRDefault="00171824">
      <w:pPr>
        <w:widowControl/>
        <w:tabs>
          <w:tab w:val="left" w:pos="567"/>
        </w:tabs>
        <w:autoSpaceDE/>
        <w:autoSpaceDN/>
        <w:adjustRightInd/>
        <w:ind w:right="113"/>
        <w:rPr>
          <w:rFonts w:eastAsia="PMingLiU"/>
          <w:sz w:val="22"/>
          <w:szCs w:val="22"/>
          <w:lang w:val="el-GR"/>
        </w:rPr>
      </w:pPr>
    </w:p>
    <w:p w14:paraId="5869022D" w14:textId="77777777" w:rsidR="00171824" w:rsidRDefault="00171824">
      <w:pPr>
        <w:widowControl/>
        <w:tabs>
          <w:tab w:val="left" w:pos="567"/>
        </w:tabs>
        <w:autoSpaceDE/>
        <w:autoSpaceDN/>
        <w:adjustRightInd/>
        <w:ind w:right="113"/>
        <w:rPr>
          <w:rFonts w:eastAsia="PMingLiU"/>
          <w:sz w:val="22"/>
          <w:szCs w:val="22"/>
          <w:lang w:val="el-GR"/>
        </w:rPr>
      </w:pPr>
    </w:p>
    <w:p w14:paraId="4F85687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ΑΛΛΑ ΣΤΟΙΧΕΙΑ</w:t>
      </w:r>
    </w:p>
    <w:p w14:paraId="4C0486B3" w14:textId="77777777" w:rsidR="00171824" w:rsidRDefault="00171824">
      <w:pPr>
        <w:widowControl/>
        <w:tabs>
          <w:tab w:val="left" w:pos="567"/>
        </w:tabs>
        <w:autoSpaceDE/>
        <w:autoSpaceDN/>
        <w:adjustRightInd/>
        <w:ind w:right="113"/>
        <w:rPr>
          <w:rFonts w:eastAsia="PMingLiU"/>
          <w:sz w:val="22"/>
          <w:szCs w:val="22"/>
          <w:lang w:val="el-GR"/>
        </w:rPr>
      </w:pPr>
    </w:p>
    <w:p w14:paraId="64B05E16" w14:textId="77777777" w:rsidR="00171824" w:rsidRDefault="00171824">
      <w:pPr>
        <w:widowControl/>
        <w:tabs>
          <w:tab w:val="left" w:pos="567"/>
        </w:tabs>
        <w:autoSpaceDE/>
        <w:autoSpaceDN/>
        <w:adjustRightInd/>
        <w:ind w:right="113"/>
        <w:rPr>
          <w:rFonts w:eastAsia="PMingLiU"/>
          <w:sz w:val="22"/>
          <w:szCs w:val="20"/>
          <w:lang w:val="el-GR"/>
        </w:rPr>
      </w:pPr>
    </w:p>
    <w:p w14:paraId="5D1662C2" w14:textId="77777777" w:rsidR="00171824" w:rsidRDefault="006D258C">
      <w:pPr>
        <w:widowControl/>
        <w:shd w:val="clear" w:color="auto" w:fill="FFFFFF"/>
        <w:tabs>
          <w:tab w:val="left" w:pos="567"/>
        </w:tabs>
        <w:autoSpaceDE/>
        <w:autoSpaceDN/>
        <w:adjustRightInd/>
        <w:rPr>
          <w:rFonts w:eastAsia="PMingLiU"/>
          <w:sz w:val="22"/>
          <w:szCs w:val="22"/>
          <w:lang w:val="el-GR"/>
        </w:rPr>
      </w:pPr>
      <w:r>
        <w:rPr>
          <w:rFonts w:eastAsia="PMingLiU"/>
          <w:sz w:val="22"/>
          <w:szCs w:val="20"/>
          <w:lang w:val="el-GR"/>
        </w:rPr>
        <w:br w:type="page"/>
      </w:r>
    </w:p>
    <w:p w14:paraId="3ED7947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6F67EAA7"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00A1FCD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ΚΟΥΤΙ ΠΡΟΓΕΜΙΣΜΕΝΗΣ ΣΥΡΙΓΓΑΣ</w:t>
      </w:r>
    </w:p>
    <w:p w14:paraId="616C59A7" w14:textId="77777777" w:rsidR="00171824" w:rsidRDefault="00171824">
      <w:pPr>
        <w:widowControl/>
        <w:tabs>
          <w:tab w:val="left" w:pos="567"/>
        </w:tabs>
        <w:autoSpaceDE/>
        <w:autoSpaceDN/>
        <w:adjustRightInd/>
        <w:rPr>
          <w:rFonts w:eastAsia="PMingLiU"/>
          <w:sz w:val="22"/>
          <w:szCs w:val="20"/>
          <w:lang w:val="el-GR"/>
        </w:rPr>
      </w:pPr>
    </w:p>
    <w:p w14:paraId="14B84E50" w14:textId="77777777" w:rsidR="00171824" w:rsidRDefault="00171824">
      <w:pPr>
        <w:widowControl/>
        <w:tabs>
          <w:tab w:val="left" w:pos="567"/>
        </w:tabs>
        <w:autoSpaceDE/>
        <w:autoSpaceDN/>
        <w:adjustRightInd/>
        <w:rPr>
          <w:rFonts w:eastAsia="PMingLiU"/>
          <w:sz w:val="22"/>
          <w:szCs w:val="22"/>
          <w:lang w:val="el-GR"/>
        </w:rPr>
      </w:pPr>
    </w:p>
    <w:p w14:paraId="7DA10E8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26B83FF8" w14:textId="77777777" w:rsidR="00171824" w:rsidRDefault="00171824">
      <w:pPr>
        <w:widowControl/>
        <w:tabs>
          <w:tab w:val="left" w:pos="567"/>
        </w:tabs>
        <w:autoSpaceDE/>
        <w:autoSpaceDN/>
        <w:adjustRightInd/>
        <w:rPr>
          <w:rFonts w:eastAsia="PMingLiU"/>
          <w:sz w:val="22"/>
          <w:szCs w:val="22"/>
          <w:lang w:val="el-GR"/>
        </w:rPr>
      </w:pPr>
    </w:p>
    <w:p w14:paraId="057AD39B"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2"/>
          <w:lang w:val="el-GR" w:bidi="en-US"/>
        </w:rPr>
        <w:t>AMGEVITA</w:t>
      </w:r>
      <w:r>
        <w:rPr>
          <w:rFonts w:eastAsia="Arial Unicode MS" w:cs="Arial Unicode MS"/>
          <w:sz w:val="22"/>
          <w:szCs w:val="20"/>
          <w:lang w:val="el-GR" w:bidi="en-US"/>
        </w:rPr>
        <w:t xml:space="preserve"> 40 mg ενέσιμο διάλυμα σε προγεμισμένη σύριγγα</w:t>
      </w:r>
    </w:p>
    <w:p w14:paraId="541491D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342C99BC" w14:textId="77777777" w:rsidR="00171824" w:rsidRDefault="00171824">
      <w:pPr>
        <w:rPr>
          <w:rFonts w:eastAsia="PMingLiU"/>
          <w:sz w:val="22"/>
          <w:szCs w:val="22"/>
          <w:lang w:val="el-GR"/>
        </w:rPr>
      </w:pPr>
    </w:p>
    <w:p w14:paraId="2E12A1F5" w14:textId="77777777" w:rsidR="00171824" w:rsidRDefault="00171824">
      <w:pPr>
        <w:widowControl/>
        <w:tabs>
          <w:tab w:val="left" w:pos="567"/>
        </w:tabs>
        <w:autoSpaceDE/>
        <w:autoSpaceDN/>
        <w:adjustRightInd/>
        <w:rPr>
          <w:rFonts w:eastAsia="PMingLiU"/>
          <w:sz w:val="22"/>
          <w:szCs w:val="22"/>
          <w:lang w:val="el-GR"/>
        </w:rPr>
      </w:pPr>
    </w:p>
    <w:p w14:paraId="1BDBF39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601DD667" w14:textId="77777777" w:rsidR="00171824" w:rsidRDefault="00171824">
      <w:pPr>
        <w:widowControl/>
        <w:tabs>
          <w:tab w:val="left" w:pos="567"/>
        </w:tabs>
        <w:autoSpaceDE/>
        <w:autoSpaceDN/>
        <w:adjustRightInd/>
        <w:rPr>
          <w:rFonts w:eastAsia="PMingLiU"/>
          <w:sz w:val="22"/>
          <w:szCs w:val="22"/>
          <w:lang w:val="el-GR"/>
        </w:rPr>
      </w:pPr>
    </w:p>
    <w:p w14:paraId="73B71DBC" w14:textId="77777777" w:rsidR="00171824" w:rsidRDefault="006D258C">
      <w:pPr>
        <w:widowControl/>
        <w:suppressLineNumbers/>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40 mg adalimumab σε διάλυμα 0,4 ml.</w:t>
      </w:r>
    </w:p>
    <w:p w14:paraId="52FC99DA" w14:textId="77777777" w:rsidR="00171824" w:rsidRDefault="00171824">
      <w:pPr>
        <w:rPr>
          <w:sz w:val="22"/>
          <w:szCs w:val="22"/>
          <w:lang w:val="el-GR"/>
        </w:rPr>
      </w:pPr>
    </w:p>
    <w:p w14:paraId="3FA7110B" w14:textId="77777777" w:rsidR="00171824" w:rsidRDefault="00171824">
      <w:pPr>
        <w:widowControl/>
        <w:tabs>
          <w:tab w:val="left" w:pos="567"/>
        </w:tabs>
        <w:autoSpaceDE/>
        <w:autoSpaceDN/>
        <w:adjustRightInd/>
        <w:rPr>
          <w:rFonts w:eastAsia="PMingLiU"/>
          <w:sz w:val="22"/>
          <w:szCs w:val="22"/>
          <w:lang w:val="el-GR"/>
        </w:rPr>
      </w:pPr>
    </w:p>
    <w:p w14:paraId="0745AC7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16F60010" w14:textId="77777777" w:rsidR="00171824" w:rsidRDefault="00171824">
      <w:pPr>
        <w:widowControl/>
        <w:tabs>
          <w:tab w:val="left" w:pos="567"/>
        </w:tabs>
        <w:autoSpaceDE/>
        <w:autoSpaceDN/>
        <w:adjustRightInd/>
        <w:rPr>
          <w:rFonts w:eastAsia="PMingLiU"/>
          <w:sz w:val="22"/>
          <w:szCs w:val="22"/>
          <w:lang w:val="el-GR"/>
        </w:rPr>
      </w:pPr>
    </w:p>
    <w:p w14:paraId="766D2D71"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 xml:space="preserve">L-γαλακτικό οξύ, σακχαρόζη, πολυσορβικό 80, υδροξείδιο του νατρίου και ενέσιμο ύδωρ. </w:t>
      </w:r>
    </w:p>
    <w:p w14:paraId="55753AC4" w14:textId="77777777" w:rsidR="00171824" w:rsidRDefault="00171824">
      <w:pPr>
        <w:widowControl/>
        <w:tabs>
          <w:tab w:val="left" w:pos="567"/>
        </w:tabs>
        <w:autoSpaceDE/>
        <w:autoSpaceDN/>
        <w:adjustRightInd/>
        <w:rPr>
          <w:rFonts w:eastAsia="PMingLiU"/>
          <w:sz w:val="22"/>
          <w:szCs w:val="22"/>
          <w:lang w:val="el-GR"/>
        </w:rPr>
      </w:pPr>
    </w:p>
    <w:p w14:paraId="0D5C4EA4" w14:textId="77777777" w:rsidR="00171824" w:rsidRDefault="00171824">
      <w:pPr>
        <w:widowControl/>
        <w:tabs>
          <w:tab w:val="left" w:pos="567"/>
        </w:tabs>
        <w:autoSpaceDE/>
        <w:autoSpaceDN/>
        <w:adjustRightInd/>
        <w:rPr>
          <w:rFonts w:eastAsia="PMingLiU"/>
          <w:sz w:val="22"/>
          <w:szCs w:val="22"/>
          <w:lang w:val="el-GR"/>
        </w:rPr>
      </w:pPr>
    </w:p>
    <w:p w14:paraId="2941B07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581B7243" w14:textId="77777777" w:rsidR="00171824" w:rsidRDefault="00171824">
      <w:pPr>
        <w:widowControl/>
        <w:tabs>
          <w:tab w:val="left" w:pos="567"/>
        </w:tabs>
        <w:autoSpaceDE/>
        <w:autoSpaceDN/>
        <w:adjustRightInd/>
        <w:rPr>
          <w:rFonts w:eastAsia="PMingLiU"/>
          <w:sz w:val="22"/>
          <w:szCs w:val="22"/>
          <w:lang w:val="el-GR"/>
        </w:rPr>
      </w:pPr>
    </w:p>
    <w:p w14:paraId="2FFB548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highlight w:val="lightGray"/>
          <w:lang w:val="el-GR" w:bidi="en-US"/>
        </w:rPr>
        <w:t>Eνέσιμο διάλυμα</w:t>
      </w:r>
    </w:p>
    <w:p w14:paraId="57E76164" w14:textId="77777777" w:rsidR="00171824" w:rsidRDefault="006D258C">
      <w:pPr>
        <w:rPr>
          <w:sz w:val="22"/>
          <w:szCs w:val="22"/>
          <w:lang w:val="el-GR"/>
        </w:rPr>
      </w:pPr>
      <w:r>
        <w:rPr>
          <w:sz w:val="22"/>
          <w:szCs w:val="22"/>
          <w:lang w:val="el-GR"/>
        </w:rPr>
        <w:t>40 mg/0,4 ml</w:t>
      </w:r>
    </w:p>
    <w:p w14:paraId="62900DB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1 προγεμισμένη σύριγγα.</w:t>
      </w:r>
    </w:p>
    <w:p w14:paraId="4B6A53BC" w14:textId="77777777" w:rsidR="00171824" w:rsidRDefault="006D258C">
      <w:pPr>
        <w:widowControl/>
        <w:tabs>
          <w:tab w:val="left" w:pos="567"/>
        </w:tabs>
        <w:autoSpaceDE/>
        <w:autoSpaceDN/>
        <w:adjustRightInd/>
        <w:rPr>
          <w:rFonts w:eastAsia="PMingLiU"/>
          <w:sz w:val="22"/>
          <w:szCs w:val="22"/>
          <w:highlight w:val="lightGray"/>
          <w:lang w:val="el-GR" w:bidi="en-US"/>
        </w:rPr>
      </w:pPr>
      <w:r>
        <w:rPr>
          <w:rFonts w:eastAsia="Arial Unicode MS" w:cs="Arial Unicode MS"/>
          <w:sz w:val="22"/>
          <w:szCs w:val="22"/>
          <w:highlight w:val="lightGray"/>
          <w:lang w:val="el-GR" w:bidi="en-US"/>
        </w:rPr>
        <w:t>2 προγεμισμένες σύριγγες.</w:t>
      </w:r>
    </w:p>
    <w:p w14:paraId="491B269E" w14:textId="77777777" w:rsidR="00171824" w:rsidRDefault="00171824">
      <w:pPr>
        <w:widowControl/>
        <w:tabs>
          <w:tab w:val="left" w:pos="567"/>
        </w:tabs>
        <w:autoSpaceDE/>
        <w:autoSpaceDN/>
        <w:adjustRightInd/>
        <w:rPr>
          <w:rFonts w:eastAsia="PMingLiU"/>
          <w:sz w:val="22"/>
          <w:szCs w:val="22"/>
          <w:lang w:val="el-GR"/>
        </w:rPr>
      </w:pPr>
    </w:p>
    <w:p w14:paraId="31A554A4" w14:textId="77777777" w:rsidR="00171824" w:rsidRDefault="00171824">
      <w:pPr>
        <w:widowControl/>
        <w:tabs>
          <w:tab w:val="left" w:pos="567"/>
        </w:tabs>
        <w:autoSpaceDE/>
        <w:autoSpaceDN/>
        <w:adjustRightInd/>
        <w:rPr>
          <w:rFonts w:eastAsia="PMingLiU"/>
          <w:sz w:val="22"/>
          <w:szCs w:val="22"/>
          <w:lang w:val="el-GR"/>
        </w:rPr>
      </w:pPr>
    </w:p>
    <w:p w14:paraId="2EACD7D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37E233A5" w14:textId="77777777" w:rsidR="00171824" w:rsidRDefault="00171824">
      <w:pPr>
        <w:widowControl/>
        <w:tabs>
          <w:tab w:val="left" w:pos="567"/>
        </w:tabs>
        <w:autoSpaceDE/>
        <w:autoSpaceDN/>
        <w:adjustRightInd/>
        <w:rPr>
          <w:rFonts w:eastAsia="PMingLiU"/>
          <w:sz w:val="22"/>
          <w:szCs w:val="22"/>
          <w:lang w:val="el-GR"/>
        </w:rPr>
      </w:pPr>
    </w:p>
    <w:p w14:paraId="7BE40C2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Για υποδόρια χρήση.</w:t>
      </w:r>
    </w:p>
    <w:p w14:paraId="76B3B58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6748934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6647C9E9" w14:textId="77777777" w:rsidR="00171824" w:rsidRDefault="00171824">
      <w:pPr>
        <w:widowControl/>
        <w:tabs>
          <w:tab w:val="left" w:pos="567"/>
        </w:tabs>
        <w:autoSpaceDE/>
        <w:autoSpaceDN/>
        <w:adjustRightInd/>
        <w:rPr>
          <w:rFonts w:eastAsia="PMingLiU"/>
          <w:sz w:val="22"/>
          <w:szCs w:val="22"/>
          <w:lang w:val="el-GR"/>
        </w:rPr>
      </w:pPr>
    </w:p>
    <w:p w14:paraId="6B19E0C9" w14:textId="77777777" w:rsidR="00171824" w:rsidRDefault="00171824">
      <w:pPr>
        <w:widowControl/>
        <w:tabs>
          <w:tab w:val="left" w:pos="567"/>
        </w:tabs>
        <w:autoSpaceDE/>
        <w:autoSpaceDN/>
        <w:adjustRightInd/>
        <w:rPr>
          <w:rFonts w:eastAsia="PMingLiU"/>
          <w:sz w:val="22"/>
          <w:szCs w:val="22"/>
          <w:lang w:val="el-GR"/>
        </w:rPr>
      </w:pPr>
    </w:p>
    <w:p w14:paraId="5AD1637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2DE2EF4E" w14:textId="77777777" w:rsidR="00171824" w:rsidRDefault="00171824">
      <w:pPr>
        <w:widowControl/>
        <w:tabs>
          <w:tab w:val="left" w:pos="567"/>
        </w:tabs>
        <w:autoSpaceDE/>
        <w:autoSpaceDN/>
        <w:adjustRightInd/>
        <w:rPr>
          <w:rFonts w:eastAsia="PMingLiU"/>
          <w:sz w:val="22"/>
          <w:szCs w:val="22"/>
          <w:lang w:val="el-GR"/>
        </w:rPr>
      </w:pPr>
    </w:p>
    <w:p w14:paraId="760359F3"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799EBE94" w14:textId="77777777" w:rsidR="00171824" w:rsidRDefault="00171824">
      <w:pPr>
        <w:widowControl/>
        <w:tabs>
          <w:tab w:val="left" w:pos="567"/>
        </w:tabs>
        <w:autoSpaceDE/>
        <w:autoSpaceDN/>
        <w:adjustRightInd/>
        <w:rPr>
          <w:rFonts w:eastAsia="PMingLiU"/>
          <w:sz w:val="22"/>
          <w:szCs w:val="22"/>
          <w:lang w:val="el-GR"/>
        </w:rPr>
      </w:pPr>
    </w:p>
    <w:p w14:paraId="5A0224FB" w14:textId="77777777" w:rsidR="00171824" w:rsidRDefault="00171824">
      <w:pPr>
        <w:widowControl/>
        <w:tabs>
          <w:tab w:val="left" w:pos="567"/>
        </w:tabs>
        <w:autoSpaceDE/>
        <w:autoSpaceDN/>
        <w:adjustRightInd/>
        <w:rPr>
          <w:rFonts w:eastAsia="PMingLiU"/>
          <w:sz w:val="22"/>
          <w:szCs w:val="22"/>
          <w:lang w:val="el-GR"/>
        </w:rPr>
      </w:pPr>
    </w:p>
    <w:p w14:paraId="1F519CB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18F59855" w14:textId="77777777" w:rsidR="00171824" w:rsidRDefault="00171824">
      <w:pPr>
        <w:widowControl/>
        <w:tabs>
          <w:tab w:val="left" w:pos="567"/>
          <w:tab w:val="left" w:pos="749"/>
        </w:tabs>
        <w:autoSpaceDE/>
        <w:autoSpaceDN/>
        <w:adjustRightInd/>
        <w:rPr>
          <w:rFonts w:eastAsia="PMingLiU"/>
          <w:sz w:val="22"/>
          <w:szCs w:val="20"/>
          <w:lang w:val="el-GR"/>
        </w:rPr>
      </w:pPr>
    </w:p>
    <w:p w14:paraId="20E1C0C9" w14:textId="77777777" w:rsidR="00171824" w:rsidRDefault="00171824">
      <w:pPr>
        <w:widowControl/>
        <w:tabs>
          <w:tab w:val="left" w:pos="567"/>
          <w:tab w:val="left" w:pos="749"/>
        </w:tabs>
        <w:autoSpaceDE/>
        <w:autoSpaceDN/>
        <w:adjustRightInd/>
        <w:rPr>
          <w:rFonts w:eastAsia="PMingLiU"/>
          <w:sz w:val="22"/>
          <w:szCs w:val="20"/>
          <w:lang w:val="el-GR"/>
        </w:rPr>
      </w:pPr>
    </w:p>
    <w:p w14:paraId="0FAD929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10DCC3AF" w14:textId="77777777" w:rsidR="00171824" w:rsidRDefault="00171824">
      <w:pPr>
        <w:widowControl/>
        <w:tabs>
          <w:tab w:val="left" w:pos="567"/>
        </w:tabs>
        <w:autoSpaceDE/>
        <w:autoSpaceDN/>
        <w:adjustRightInd/>
        <w:rPr>
          <w:rFonts w:eastAsia="PMingLiU"/>
          <w:sz w:val="22"/>
          <w:szCs w:val="20"/>
          <w:lang w:val="el-GR"/>
        </w:rPr>
      </w:pPr>
    </w:p>
    <w:p w14:paraId="004BBF7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74FDA048" w14:textId="77777777" w:rsidR="00171824" w:rsidRDefault="00171824">
      <w:pPr>
        <w:widowControl/>
        <w:tabs>
          <w:tab w:val="left" w:pos="567"/>
        </w:tabs>
        <w:autoSpaceDE/>
        <w:autoSpaceDN/>
        <w:adjustRightInd/>
        <w:rPr>
          <w:rFonts w:eastAsia="PMingLiU"/>
          <w:sz w:val="22"/>
          <w:szCs w:val="22"/>
          <w:lang w:val="el-GR"/>
        </w:rPr>
      </w:pPr>
    </w:p>
    <w:p w14:paraId="40FAD8C1" w14:textId="77777777" w:rsidR="00171824" w:rsidRDefault="00171824">
      <w:pPr>
        <w:widowControl/>
        <w:tabs>
          <w:tab w:val="left" w:pos="567"/>
        </w:tabs>
        <w:autoSpaceDE/>
        <w:autoSpaceDN/>
        <w:adjustRightInd/>
        <w:rPr>
          <w:rFonts w:eastAsia="PMingLiU"/>
          <w:sz w:val="22"/>
          <w:szCs w:val="22"/>
          <w:lang w:val="el-GR"/>
        </w:rPr>
      </w:pPr>
    </w:p>
    <w:p w14:paraId="725A29DE"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08052DFA" w14:textId="77777777" w:rsidR="00171824" w:rsidRDefault="00171824">
      <w:pPr>
        <w:keepNext/>
        <w:widowControl/>
        <w:tabs>
          <w:tab w:val="left" w:pos="567"/>
        </w:tabs>
        <w:autoSpaceDE/>
        <w:autoSpaceDN/>
        <w:adjustRightInd/>
        <w:rPr>
          <w:rFonts w:eastAsia="PMingLiU"/>
          <w:sz w:val="22"/>
          <w:szCs w:val="22"/>
          <w:lang w:val="el-GR"/>
        </w:rPr>
      </w:pPr>
    </w:p>
    <w:p w14:paraId="49C17AE7"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1E94DAC5"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4F996BCA"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4BC91560" w14:textId="77777777" w:rsidR="00171824" w:rsidRDefault="00171824">
      <w:pPr>
        <w:widowControl/>
        <w:tabs>
          <w:tab w:val="left" w:pos="567"/>
        </w:tabs>
        <w:autoSpaceDE/>
        <w:autoSpaceDN/>
        <w:adjustRightInd/>
        <w:rPr>
          <w:rFonts w:eastAsia="SimSun"/>
          <w:sz w:val="22"/>
          <w:szCs w:val="22"/>
          <w:lang w:val="el-GR" w:eastAsia="en-GB"/>
        </w:rPr>
      </w:pPr>
    </w:p>
    <w:p w14:paraId="7C45DA6A" w14:textId="77777777" w:rsidR="00171824" w:rsidRDefault="00171824">
      <w:pPr>
        <w:widowControl/>
        <w:tabs>
          <w:tab w:val="left" w:pos="567"/>
        </w:tabs>
        <w:autoSpaceDE/>
        <w:autoSpaceDN/>
        <w:adjustRightInd/>
        <w:ind w:left="567" w:hanging="567"/>
        <w:rPr>
          <w:rFonts w:eastAsia="PMingLiU"/>
          <w:sz w:val="22"/>
          <w:szCs w:val="22"/>
          <w:lang w:val="el-GR"/>
        </w:rPr>
      </w:pPr>
    </w:p>
    <w:p w14:paraId="1ED90CD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07CE8986" w14:textId="77777777" w:rsidR="00171824" w:rsidRDefault="00171824">
      <w:pPr>
        <w:widowControl/>
        <w:tabs>
          <w:tab w:val="left" w:pos="567"/>
        </w:tabs>
        <w:autoSpaceDE/>
        <w:autoSpaceDN/>
        <w:adjustRightInd/>
        <w:rPr>
          <w:rFonts w:eastAsia="PMingLiU"/>
          <w:sz w:val="22"/>
          <w:szCs w:val="22"/>
          <w:lang w:val="el-GR"/>
        </w:rPr>
      </w:pPr>
    </w:p>
    <w:p w14:paraId="197E7EFF" w14:textId="77777777" w:rsidR="00171824" w:rsidRDefault="00171824">
      <w:pPr>
        <w:widowControl/>
        <w:tabs>
          <w:tab w:val="left" w:pos="567"/>
        </w:tabs>
        <w:autoSpaceDE/>
        <w:autoSpaceDN/>
        <w:adjustRightInd/>
        <w:rPr>
          <w:rFonts w:eastAsia="PMingLiU"/>
          <w:sz w:val="22"/>
          <w:szCs w:val="22"/>
          <w:lang w:val="el-GR"/>
        </w:rPr>
      </w:pPr>
    </w:p>
    <w:p w14:paraId="24DAC1A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7743BBF1" w14:textId="77777777" w:rsidR="00171824" w:rsidRDefault="00171824">
      <w:pPr>
        <w:widowControl/>
        <w:tabs>
          <w:tab w:val="left" w:pos="567"/>
        </w:tabs>
        <w:autoSpaceDE/>
        <w:autoSpaceDN/>
        <w:adjustRightInd/>
        <w:rPr>
          <w:rFonts w:eastAsia="PMingLiU"/>
          <w:sz w:val="22"/>
          <w:szCs w:val="22"/>
          <w:lang w:val="el-GR"/>
        </w:rPr>
      </w:pPr>
    </w:p>
    <w:p w14:paraId="7C8E070E"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6FB1A3B0"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0CE17DAB"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419EBDC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01E40930" w14:textId="77777777" w:rsidR="00171824" w:rsidRDefault="00171824">
      <w:pPr>
        <w:widowControl/>
        <w:tabs>
          <w:tab w:val="left" w:pos="567"/>
        </w:tabs>
        <w:autoSpaceDE/>
        <w:autoSpaceDN/>
        <w:adjustRightInd/>
        <w:rPr>
          <w:rFonts w:eastAsia="PMingLiU"/>
          <w:sz w:val="22"/>
          <w:szCs w:val="22"/>
          <w:lang w:val="el-GR"/>
        </w:rPr>
      </w:pPr>
    </w:p>
    <w:p w14:paraId="24413441" w14:textId="77777777" w:rsidR="00171824" w:rsidRDefault="00171824">
      <w:pPr>
        <w:widowControl/>
        <w:tabs>
          <w:tab w:val="left" w:pos="567"/>
        </w:tabs>
        <w:autoSpaceDE/>
        <w:autoSpaceDN/>
        <w:adjustRightInd/>
        <w:rPr>
          <w:rFonts w:eastAsia="PMingLiU"/>
          <w:sz w:val="22"/>
          <w:szCs w:val="22"/>
          <w:lang w:val="el-GR"/>
        </w:rPr>
      </w:pPr>
    </w:p>
    <w:p w14:paraId="747E75D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327B6384" w14:textId="77777777" w:rsidR="00171824" w:rsidRDefault="00171824">
      <w:pPr>
        <w:widowControl/>
        <w:tabs>
          <w:tab w:val="left" w:pos="567"/>
        </w:tabs>
        <w:autoSpaceDE/>
        <w:autoSpaceDN/>
        <w:adjustRightInd/>
        <w:rPr>
          <w:rFonts w:eastAsia="PMingLiU"/>
          <w:sz w:val="22"/>
          <w:szCs w:val="22"/>
          <w:lang w:val="el-GR"/>
        </w:rPr>
      </w:pPr>
    </w:p>
    <w:p w14:paraId="42A59199" w14:textId="77777777" w:rsidR="00171824" w:rsidRDefault="006D258C">
      <w:pPr>
        <w:widowControl/>
        <w:tabs>
          <w:tab w:val="left" w:pos="567"/>
        </w:tabs>
        <w:autoSpaceDE/>
        <w:autoSpaceDN/>
        <w:adjustRightInd/>
        <w:rPr>
          <w:sz w:val="22"/>
          <w:szCs w:val="22"/>
          <w:highlight w:val="lightGray"/>
          <w:lang w:val="el-GR"/>
        </w:rPr>
      </w:pPr>
      <w:r>
        <w:rPr>
          <w:rFonts w:eastAsia="Arial Unicode MS" w:cs="Arial Unicode MS"/>
          <w:sz w:val="22"/>
          <w:szCs w:val="22"/>
          <w:lang w:val="el-GR" w:bidi="en-US"/>
        </w:rPr>
        <w:t xml:space="preserve">EU/1/16/1164/011 </w:t>
      </w:r>
      <w:r>
        <w:rPr>
          <w:rFonts w:eastAsia="Arial Unicode MS" w:cs="Arial Unicode MS"/>
          <w:sz w:val="22"/>
          <w:szCs w:val="22"/>
          <w:highlight w:val="lightGray"/>
          <w:lang w:val="el-GR" w:bidi="en-US"/>
        </w:rPr>
        <w:t>1 συσκευασία</w:t>
      </w:r>
      <w:r>
        <w:rPr>
          <w:sz w:val="22"/>
          <w:szCs w:val="22"/>
          <w:highlight w:val="lightGray"/>
          <w:lang w:val="el-GR"/>
        </w:rPr>
        <w:t xml:space="preserve"> </w:t>
      </w:r>
    </w:p>
    <w:p w14:paraId="64CF81D5" w14:textId="77777777" w:rsidR="00171824" w:rsidRDefault="006D258C">
      <w:pPr>
        <w:widowControl/>
        <w:tabs>
          <w:tab w:val="left" w:pos="567"/>
        </w:tabs>
        <w:autoSpaceDE/>
        <w:autoSpaceDN/>
        <w:adjustRightInd/>
        <w:rPr>
          <w:sz w:val="22"/>
          <w:szCs w:val="22"/>
          <w:highlight w:val="lightGray"/>
          <w:lang w:val="el-GR"/>
        </w:rPr>
      </w:pPr>
      <w:r>
        <w:rPr>
          <w:sz w:val="22"/>
          <w:szCs w:val="22"/>
          <w:highlight w:val="lightGray"/>
          <w:lang w:val="el-GR"/>
        </w:rPr>
        <w:t xml:space="preserve">EU/1/16/1164/012 2 συσκευασίες </w:t>
      </w:r>
    </w:p>
    <w:p w14:paraId="07B4ADC3" w14:textId="77777777" w:rsidR="00171824" w:rsidRDefault="00171824">
      <w:pPr>
        <w:pStyle w:val="BodyText"/>
        <w:widowControl/>
        <w:kinsoku w:val="0"/>
        <w:overflowPunct w:val="0"/>
        <w:ind w:left="0"/>
        <w:jc w:val="both"/>
        <w:rPr>
          <w:rFonts w:eastAsia="PMingLiU"/>
          <w:lang w:val="el-GR" w:bidi="en-US"/>
        </w:rPr>
      </w:pPr>
    </w:p>
    <w:p w14:paraId="397ABC1A" w14:textId="77777777" w:rsidR="00171824" w:rsidRDefault="00171824">
      <w:pPr>
        <w:widowControl/>
        <w:tabs>
          <w:tab w:val="left" w:pos="567"/>
        </w:tabs>
        <w:autoSpaceDE/>
        <w:autoSpaceDN/>
        <w:adjustRightInd/>
        <w:rPr>
          <w:rFonts w:eastAsia="PMingLiU"/>
          <w:sz w:val="22"/>
          <w:szCs w:val="22"/>
          <w:lang w:val="el-GR"/>
        </w:rPr>
      </w:pPr>
    </w:p>
    <w:p w14:paraId="348EF60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6B8065EB" w14:textId="77777777" w:rsidR="00171824" w:rsidRDefault="00171824">
      <w:pPr>
        <w:widowControl/>
        <w:tabs>
          <w:tab w:val="left" w:pos="567"/>
        </w:tabs>
        <w:autoSpaceDE/>
        <w:autoSpaceDN/>
        <w:adjustRightInd/>
        <w:rPr>
          <w:rFonts w:eastAsia="PMingLiU"/>
          <w:i/>
          <w:sz w:val="22"/>
          <w:szCs w:val="22"/>
          <w:lang w:val="el-GR"/>
        </w:rPr>
      </w:pPr>
    </w:p>
    <w:p w14:paraId="37D2D53E"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Παρτίδα</w:t>
      </w:r>
    </w:p>
    <w:p w14:paraId="2E4B8284" w14:textId="77777777" w:rsidR="00171824" w:rsidRDefault="00171824">
      <w:pPr>
        <w:widowControl/>
        <w:tabs>
          <w:tab w:val="left" w:pos="567"/>
        </w:tabs>
        <w:autoSpaceDE/>
        <w:autoSpaceDN/>
        <w:adjustRightInd/>
        <w:rPr>
          <w:rFonts w:eastAsia="PMingLiU"/>
          <w:sz w:val="22"/>
          <w:szCs w:val="22"/>
          <w:lang w:val="el-GR" w:bidi="en-US"/>
        </w:rPr>
      </w:pPr>
    </w:p>
    <w:p w14:paraId="21DAD760" w14:textId="77777777" w:rsidR="00171824" w:rsidRDefault="00171824">
      <w:pPr>
        <w:widowControl/>
        <w:tabs>
          <w:tab w:val="left" w:pos="567"/>
        </w:tabs>
        <w:autoSpaceDE/>
        <w:autoSpaceDN/>
        <w:adjustRightInd/>
        <w:rPr>
          <w:rFonts w:eastAsia="PMingLiU"/>
          <w:sz w:val="22"/>
          <w:szCs w:val="22"/>
          <w:lang w:val="el-GR" w:bidi="en-US"/>
        </w:rPr>
      </w:pPr>
    </w:p>
    <w:p w14:paraId="6385340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082A96B7" w14:textId="77777777" w:rsidR="00171824" w:rsidRDefault="00171824">
      <w:pPr>
        <w:widowControl/>
        <w:tabs>
          <w:tab w:val="left" w:pos="567"/>
        </w:tabs>
        <w:autoSpaceDE/>
        <w:autoSpaceDN/>
        <w:adjustRightInd/>
        <w:rPr>
          <w:rFonts w:eastAsia="PMingLiU"/>
          <w:i/>
          <w:sz w:val="22"/>
          <w:szCs w:val="22"/>
          <w:lang w:val="el-GR"/>
        </w:rPr>
      </w:pPr>
    </w:p>
    <w:p w14:paraId="64E4A29A" w14:textId="77777777" w:rsidR="00171824" w:rsidRDefault="00171824">
      <w:pPr>
        <w:widowControl/>
        <w:tabs>
          <w:tab w:val="left" w:pos="567"/>
        </w:tabs>
        <w:autoSpaceDE/>
        <w:autoSpaceDN/>
        <w:adjustRightInd/>
        <w:rPr>
          <w:rFonts w:eastAsia="PMingLiU"/>
          <w:sz w:val="22"/>
          <w:szCs w:val="22"/>
          <w:lang w:val="el-GR"/>
        </w:rPr>
      </w:pPr>
    </w:p>
    <w:p w14:paraId="323EC9A9"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2DCB1876" w14:textId="77777777" w:rsidR="00171824" w:rsidRDefault="00171824">
      <w:pPr>
        <w:widowControl/>
        <w:tabs>
          <w:tab w:val="left" w:pos="567"/>
        </w:tabs>
        <w:autoSpaceDE/>
        <w:autoSpaceDN/>
        <w:adjustRightInd/>
        <w:rPr>
          <w:rFonts w:eastAsia="PMingLiU"/>
          <w:sz w:val="22"/>
          <w:szCs w:val="22"/>
          <w:lang w:val="el-GR"/>
        </w:rPr>
      </w:pPr>
    </w:p>
    <w:p w14:paraId="637625F4" w14:textId="77777777" w:rsidR="00171824" w:rsidRDefault="00171824">
      <w:pPr>
        <w:widowControl/>
        <w:tabs>
          <w:tab w:val="left" w:pos="567"/>
        </w:tabs>
        <w:autoSpaceDE/>
        <w:autoSpaceDN/>
        <w:adjustRightInd/>
        <w:rPr>
          <w:rFonts w:eastAsia="PMingLiU"/>
          <w:sz w:val="22"/>
          <w:szCs w:val="22"/>
          <w:lang w:val="el-GR"/>
        </w:rPr>
      </w:pPr>
    </w:p>
    <w:p w14:paraId="469AFF98"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434C5105" w14:textId="77777777" w:rsidR="00171824" w:rsidRDefault="00171824">
      <w:pPr>
        <w:widowControl/>
        <w:tabs>
          <w:tab w:val="left" w:pos="567"/>
        </w:tabs>
        <w:autoSpaceDE/>
        <w:autoSpaceDN/>
        <w:adjustRightInd/>
        <w:rPr>
          <w:rFonts w:eastAsia="PMingLiU"/>
          <w:sz w:val="22"/>
          <w:szCs w:val="20"/>
          <w:lang w:val="el-GR"/>
        </w:rPr>
      </w:pPr>
    </w:p>
    <w:p w14:paraId="61CD0EBF"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AMGEVITA 40 mg/0,4 ml σύριγγα</w:t>
      </w:r>
    </w:p>
    <w:p w14:paraId="12BB9EBD" w14:textId="77777777" w:rsidR="00171824" w:rsidRDefault="00171824">
      <w:pPr>
        <w:widowControl/>
        <w:tabs>
          <w:tab w:val="left" w:pos="567"/>
        </w:tabs>
        <w:autoSpaceDE/>
        <w:autoSpaceDN/>
        <w:adjustRightInd/>
        <w:rPr>
          <w:rFonts w:eastAsia="PMingLiU"/>
          <w:sz w:val="22"/>
          <w:szCs w:val="22"/>
          <w:highlight w:val="yellow"/>
          <w:shd w:val="clear" w:color="auto" w:fill="CCCCCC"/>
          <w:lang w:val="el-GR"/>
        </w:rPr>
      </w:pPr>
    </w:p>
    <w:p w14:paraId="42C57AF9"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2D0B72C8"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2B3F31B5" w14:textId="77777777" w:rsidR="00171824" w:rsidRDefault="00171824">
      <w:pPr>
        <w:widowControl/>
        <w:autoSpaceDE/>
        <w:autoSpaceDN/>
        <w:adjustRightInd/>
        <w:rPr>
          <w:rFonts w:eastAsia="PMingLiU"/>
          <w:sz w:val="22"/>
          <w:szCs w:val="20"/>
          <w:lang w:val="el-GR"/>
        </w:rPr>
      </w:pPr>
    </w:p>
    <w:p w14:paraId="3262B86F"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104A3F56"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0B6C84E3" w14:textId="77777777" w:rsidR="00171824" w:rsidRDefault="00171824">
      <w:pPr>
        <w:widowControl/>
        <w:autoSpaceDE/>
        <w:autoSpaceDN/>
        <w:adjustRightInd/>
        <w:rPr>
          <w:rFonts w:eastAsia="PMingLiU"/>
          <w:sz w:val="22"/>
          <w:szCs w:val="20"/>
          <w:lang w:val="el-GR"/>
        </w:rPr>
      </w:pPr>
    </w:p>
    <w:p w14:paraId="5D32A63F"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7B20980C" w14:textId="77777777" w:rsidR="00171824" w:rsidRDefault="00171824">
      <w:pPr>
        <w:keepNext/>
        <w:widowControl/>
        <w:autoSpaceDE/>
        <w:autoSpaceDN/>
        <w:adjustRightInd/>
        <w:rPr>
          <w:rFonts w:eastAsia="PMingLiU"/>
          <w:sz w:val="22"/>
          <w:szCs w:val="20"/>
          <w:lang w:val="el-GR"/>
        </w:rPr>
      </w:pPr>
    </w:p>
    <w:p w14:paraId="2C760A68"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477A0FF9"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30C39548"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shd w:val="clear" w:color="auto" w:fill="FFFFFF"/>
          <w:lang w:val="el-GR" w:bidi="en-US"/>
        </w:rPr>
        <w:t>NN</w:t>
      </w:r>
    </w:p>
    <w:p w14:paraId="5A42AC1E" w14:textId="77777777" w:rsidR="00171824" w:rsidRDefault="006D258C">
      <w:pPr>
        <w:widowControl/>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4AD1E73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71A12863"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4E97494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 w:val="center" w:pos="4594"/>
        </w:tabs>
        <w:autoSpaceDE/>
        <w:autoSpaceDN/>
        <w:adjustRightInd/>
        <w:rPr>
          <w:rFonts w:eastAsia="PMingLiU"/>
          <w:bCs/>
          <w:sz w:val="22"/>
          <w:szCs w:val="22"/>
          <w:lang w:val="el-GR" w:bidi="en-US"/>
        </w:rPr>
      </w:pPr>
      <w:r>
        <w:rPr>
          <w:rFonts w:eastAsia="Arial Unicode MS" w:cs="Arial Unicode MS"/>
          <w:b/>
          <w:sz w:val="22"/>
          <w:szCs w:val="22"/>
          <w:lang w:val="el-GR" w:bidi="en-US"/>
        </w:rPr>
        <w:t>ΕΞΩΤΕΡΙΚΟ ΚΟΥΤΙ ΓΙΑ ΠΟΛΥΣΥΣΚΕΥΑΣΙΑ ΠΡΟΓΕΜΙΣΜΕΝΩΝ ΣΥΡΙΓΓΩΝ (με blue box)</w:t>
      </w:r>
    </w:p>
    <w:p w14:paraId="1CE26D61" w14:textId="77777777" w:rsidR="00171824" w:rsidRDefault="00171824">
      <w:pPr>
        <w:widowControl/>
        <w:tabs>
          <w:tab w:val="left" w:pos="567"/>
        </w:tabs>
        <w:autoSpaceDE/>
        <w:autoSpaceDN/>
        <w:adjustRightInd/>
        <w:rPr>
          <w:rFonts w:eastAsia="PMingLiU"/>
          <w:sz w:val="22"/>
          <w:szCs w:val="20"/>
          <w:lang w:val="el-GR"/>
        </w:rPr>
      </w:pPr>
    </w:p>
    <w:p w14:paraId="358AD424" w14:textId="77777777" w:rsidR="00171824" w:rsidRDefault="00171824">
      <w:pPr>
        <w:widowControl/>
        <w:tabs>
          <w:tab w:val="left" w:pos="567"/>
        </w:tabs>
        <w:autoSpaceDE/>
        <w:autoSpaceDN/>
        <w:adjustRightInd/>
        <w:rPr>
          <w:rFonts w:eastAsia="PMingLiU"/>
          <w:sz w:val="22"/>
          <w:szCs w:val="22"/>
          <w:lang w:val="el-GR"/>
        </w:rPr>
      </w:pPr>
    </w:p>
    <w:p w14:paraId="29F941D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5A60C4DA" w14:textId="77777777" w:rsidR="00171824" w:rsidRDefault="00171824">
      <w:pPr>
        <w:widowControl/>
        <w:tabs>
          <w:tab w:val="left" w:pos="567"/>
        </w:tabs>
        <w:autoSpaceDE/>
        <w:autoSpaceDN/>
        <w:adjustRightInd/>
        <w:rPr>
          <w:rFonts w:eastAsia="PMingLiU"/>
          <w:sz w:val="22"/>
          <w:szCs w:val="22"/>
          <w:lang w:val="el-GR"/>
        </w:rPr>
      </w:pPr>
    </w:p>
    <w:p w14:paraId="4D6CCBEA"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2"/>
          <w:lang w:val="el-GR" w:bidi="en-US"/>
        </w:rPr>
        <w:t>AMGEVITA</w:t>
      </w:r>
      <w:r>
        <w:rPr>
          <w:rFonts w:eastAsia="Arial Unicode MS" w:cs="Arial Unicode MS"/>
          <w:sz w:val="22"/>
          <w:szCs w:val="20"/>
          <w:lang w:val="el-GR" w:bidi="en-US"/>
        </w:rPr>
        <w:t xml:space="preserve"> 40 mg ενέσιμο διάλυμα σε προγεμισμένη σύριγγα</w:t>
      </w:r>
    </w:p>
    <w:p w14:paraId="61D7BF5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2CD4B664" w14:textId="77777777" w:rsidR="00171824" w:rsidRDefault="00171824">
      <w:pPr>
        <w:widowControl/>
        <w:tabs>
          <w:tab w:val="left" w:pos="567"/>
        </w:tabs>
        <w:autoSpaceDE/>
        <w:autoSpaceDN/>
        <w:adjustRightInd/>
        <w:rPr>
          <w:rFonts w:eastAsia="PMingLiU"/>
          <w:sz w:val="22"/>
          <w:szCs w:val="22"/>
          <w:lang w:val="el-GR"/>
        </w:rPr>
      </w:pPr>
    </w:p>
    <w:p w14:paraId="7765D3DF" w14:textId="77777777" w:rsidR="00171824" w:rsidRDefault="00171824">
      <w:pPr>
        <w:widowControl/>
        <w:tabs>
          <w:tab w:val="left" w:pos="567"/>
        </w:tabs>
        <w:autoSpaceDE/>
        <w:autoSpaceDN/>
        <w:adjustRightInd/>
        <w:rPr>
          <w:rFonts w:eastAsia="PMingLiU"/>
          <w:sz w:val="22"/>
          <w:szCs w:val="22"/>
          <w:lang w:val="el-GR"/>
        </w:rPr>
      </w:pPr>
    </w:p>
    <w:p w14:paraId="187DFF0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34ADBAD6" w14:textId="77777777" w:rsidR="00171824" w:rsidRDefault="00171824">
      <w:pPr>
        <w:widowControl/>
        <w:tabs>
          <w:tab w:val="left" w:pos="567"/>
        </w:tabs>
        <w:autoSpaceDE/>
        <w:autoSpaceDN/>
        <w:adjustRightInd/>
        <w:rPr>
          <w:rFonts w:eastAsia="PMingLiU"/>
          <w:sz w:val="22"/>
          <w:szCs w:val="22"/>
          <w:lang w:val="el-GR"/>
        </w:rPr>
      </w:pPr>
    </w:p>
    <w:p w14:paraId="07E570EC" w14:textId="77777777" w:rsidR="00171824" w:rsidRDefault="006D258C">
      <w:pPr>
        <w:widowControl/>
        <w:suppressLineNumbers/>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40 mg adalimumab σε διάλυμα 0,4 ml.</w:t>
      </w:r>
    </w:p>
    <w:p w14:paraId="0829C4A9" w14:textId="77777777" w:rsidR="00171824" w:rsidRDefault="00171824">
      <w:pPr>
        <w:rPr>
          <w:sz w:val="22"/>
          <w:szCs w:val="22"/>
          <w:lang w:val="el-GR"/>
        </w:rPr>
      </w:pPr>
    </w:p>
    <w:p w14:paraId="456A4057" w14:textId="77777777" w:rsidR="00171824" w:rsidRDefault="00171824">
      <w:pPr>
        <w:widowControl/>
        <w:tabs>
          <w:tab w:val="left" w:pos="567"/>
        </w:tabs>
        <w:autoSpaceDE/>
        <w:autoSpaceDN/>
        <w:adjustRightInd/>
        <w:rPr>
          <w:rFonts w:eastAsia="PMingLiU"/>
          <w:sz w:val="22"/>
          <w:szCs w:val="22"/>
          <w:lang w:val="el-GR"/>
        </w:rPr>
      </w:pPr>
    </w:p>
    <w:p w14:paraId="1833253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7D289AFB" w14:textId="77777777" w:rsidR="00171824" w:rsidRDefault="00171824">
      <w:pPr>
        <w:widowControl/>
        <w:tabs>
          <w:tab w:val="left" w:pos="567"/>
        </w:tabs>
        <w:autoSpaceDE/>
        <w:autoSpaceDN/>
        <w:adjustRightInd/>
        <w:rPr>
          <w:rFonts w:eastAsia="PMingLiU"/>
          <w:sz w:val="22"/>
          <w:szCs w:val="22"/>
          <w:lang w:val="el-GR"/>
        </w:rPr>
      </w:pPr>
    </w:p>
    <w:p w14:paraId="19CE78C3"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 xml:space="preserve">L-γαλακτικό οξύ, σακχαρόζη, πολυσορβικό 80, υδροξείδιο του νατρίου και ενέσιμο ύδωρ. </w:t>
      </w:r>
    </w:p>
    <w:p w14:paraId="20FB81C5" w14:textId="77777777" w:rsidR="00171824" w:rsidRDefault="00171824">
      <w:pPr>
        <w:widowControl/>
        <w:tabs>
          <w:tab w:val="left" w:pos="567"/>
        </w:tabs>
        <w:autoSpaceDE/>
        <w:autoSpaceDN/>
        <w:adjustRightInd/>
        <w:rPr>
          <w:rFonts w:eastAsia="PMingLiU"/>
          <w:sz w:val="22"/>
          <w:szCs w:val="22"/>
          <w:lang w:val="el-GR"/>
        </w:rPr>
      </w:pPr>
    </w:p>
    <w:p w14:paraId="6BAE2D7E" w14:textId="77777777" w:rsidR="00171824" w:rsidRDefault="00171824">
      <w:pPr>
        <w:widowControl/>
        <w:tabs>
          <w:tab w:val="left" w:pos="567"/>
        </w:tabs>
        <w:autoSpaceDE/>
        <w:autoSpaceDN/>
        <w:adjustRightInd/>
        <w:rPr>
          <w:rFonts w:eastAsia="PMingLiU"/>
          <w:sz w:val="22"/>
          <w:szCs w:val="22"/>
          <w:lang w:val="el-GR"/>
        </w:rPr>
      </w:pPr>
    </w:p>
    <w:p w14:paraId="14142D3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6516725C" w14:textId="77777777" w:rsidR="00171824" w:rsidRDefault="00171824">
      <w:pPr>
        <w:widowControl/>
        <w:tabs>
          <w:tab w:val="left" w:pos="567"/>
        </w:tabs>
        <w:autoSpaceDE/>
        <w:autoSpaceDN/>
        <w:adjustRightInd/>
        <w:rPr>
          <w:rFonts w:eastAsia="PMingLiU"/>
          <w:sz w:val="22"/>
          <w:szCs w:val="22"/>
          <w:lang w:val="el-GR"/>
        </w:rPr>
      </w:pPr>
    </w:p>
    <w:p w14:paraId="292E3127"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highlight w:val="lightGray"/>
          <w:lang w:val="el-GR" w:bidi="en-US"/>
        </w:rPr>
        <w:t>Eνέσιμο διάλυμα</w:t>
      </w:r>
    </w:p>
    <w:p w14:paraId="6C207710" w14:textId="77777777" w:rsidR="00171824" w:rsidRDefault="006D258C">
      <w:pPr>
        <w:rPr>
          <w:sz w:val="22"/>
          <w:szCs w:val="22"/>
          <w:lang w:val="el-GR"/>
        </w:rPr>
      </w:pPr>
      <w:r>
        <w:rPr>
          <w:sz w:val="22"/>
          <w:szCs w:val="22"/>
          <w:lang w:val="el-GR"/>
        </w:rPr>
        <w:t>40 mg/0,4 ml</w:t>
      </w:r>
    </w:p>
    <w:p w14:paraId="34848F1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Πολυσυσκευασία: 6 (3 κουτιά των 2) προγεμισμένων συριγγών.</w:t>
      </w:r>
    </w:p>
    <w:p w14:paraId="5C72E708" w14:textId="77777777" w:rsidR="00171824" w:rsidRDefault="00171824">
      <w:pPr>
        <w:widowControl/>
        <w:tabs>
          <w:tab w:val="left" w:pos="567"/>
        </w:tabs>
        <w:autoSpaceDE/>
        <w:autoSpaceDN/>
        <w:adjustRightInd/>
        <w:rPr>
          <w:rFonts w:eastAsia="PMingLiU"/>
          <w:sz w:val="22"/>
          <w:szCs w:val="22"/>
          <w:lang w:val="el-GR"/>
        </w:rPr>
      </w:pPr>
    </w:p>
    <w:p w14:paraId="3F161125" w14:textId="77777777" w:rsidR="00171824" w:rsidRDefault="00171824">
      <w:pPr>
        <w:widowControl/>
        <w:tabs>
          <w:tab w:val="left" w:pos="567"/>
        </w:tabs>
        <w:autoSpaceDE/>
        <w:autoSpaceDN/>
        <w:adjustRightInd/>
        <w:rPr>
          <w:rFonts w:eastAsia="PMingLiU"/>
          <w:sz w:val="22"/>
          <w:szCs w:val="22"/>
          <w:lang w:val="el-GR"/>
        </w:rPr>
      </w:pPr>
    </w:p>
    <w:p w14:paraId="4C9CA03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2FBB4DC6" w14:textId="77777777" w:rsidR="00171824" w:rsidRDefault="00171824">
      <w:pPr>
        <w:widowControl/>
        <w:tabs>
          <w:tab w:val="left" w:pos="567"/>
        </w:tabs>
        <w:autoSpaceDE/>
        <w:autoSpaceDN/>
        <w:adjustRightInd/>
        <w:rPr>
          <w:rFonts w:eastAsia="PMingLiU"/>
          <w:sz w:val="22"/>
          <w:szCs w:val="22"/>
          <w:lang w:val="el-GR"/>
        </w:rPr>
      </w:pPr>
    </w:p>
    <w:p w14:paraId="3FA37F1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Για υποδόρια χρήση.</w:t>
      </w:r>
    </w:p>
    <w:p w14:paraId="7E4E9CB8"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28DF2E1D"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14F8DE56" w14:textId="77777777" w:rsidR="00171824" w:rsidRDefault="00171824">
      <w:pPr>
        <w:widowControl/>
        <w:tabs>
          <w:tab w:val="left" w:pos="567"/>
        </w:tabs>
        <w:autoSpaceDE/>
        <w:autoSpaceDN/>
        <w:adjustRightInd/>
        <w:rPr>
          <w:rFonts w:eastAsia="PMingLiU"/>
          <w:sz w:val="22"/>
          <w:szCs w:val="22"/>
          <w:lang w:val="el-GR"/>
        </w:rPr>
      </w:pPr>
    </w:p>
    <w:p w14:paraId="2A764DE1" w14:textId="77777777" w:rsidR="00171824" w:rsidRDefault="00171824">
      <w:pPr>
        <w:widowControl/>
        <w:tabs>
          <w:tab w:val="left" w:pos="567"/>
        </w:tabs>
        <w:autoSpaceDE/>
        <w:autoSpaceDN/>
        <w:adjustRightInd/>
        <w:rPr>
          <w:rFonts w:eastAsia="PMingLiU"/>
          <w:sz w:val="22"/>
          <w:szCs w:val="22"/>
          <w:lang w:val="el-GR"/>
        </w:rPr>
      </w:pPr>
    </w:p>
    <w:p w14:paraId="179672E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01C2CA4F" w14:textId="77777777" w:rsidR="00171824" w:rsidRDefault="00171824">
      <w:pPr>
        <w:widowControl/>
        <w:tabs>
          <w:tab w:val="left" w:pos="567"/>
        </w:tabs>
        <w:autoSpaceDE/>
        <w:autoSpaceDN/>
        <w:adjustRightInd/>
        <w:rPr>
          <w:rFonts w:eastAsia="PMingLiU"/>
          <w:sz w:val="22"/>
          <w:szCs w:val="22"/>
          <w:lang w:val="el-GR"/>
        </w:rPr>
      </w:pPr>
    </w:p>
    <w:p w14:paraId="28D7E9A1"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7E2A906A" w14:textId="77777777" w:rsidR="00171824" w:rsidRDefault="00171824">
      <w:pPr>
        <w:widowControl/>
        <w:tabs>
          <w:tab w:val="left" w:pos="567"/>
        </w:tabs>
        <w:autoSpaceDE/>
        <w:autoSpaceDN/>
        <w:adjustRightInd/>
        <w:rPr>
          <w:rFonts w:eastAsia="PMingLiU"/>
          <w:sz w:val="22"/>
          <w:szCs w:val="22"/>
          <w:lang w:val="el-GR"/>
        </w:rPr>
      </w:pPr>
    </w:p>
    <w:p w14:paraId="41F33BED" w14:textId="77777777" w:rsidR="00171824" w:rsidRDefault="00171824">
      <w:pPr>
        <w:widowControl/>
        <w:tabs>
          <w:tab w:val="left" w:pos="567"/>
        </w:tabs>
        <w:autoSpaceDE/>
        <w:autoSpaceDN/>
        <w:adjustRightInd/>
        <w:rPr>
          <w:rFonts w:eastAsia="PMingLiU"/>
          <w:sz w:val="22"/>
          <w:szCs w:val="22"/>
          <w:lang w:val="el-GR"/>
        </w:rPr>
      </w:pPr>
    </w:p>
    <w:p w14:paraId="2B4ED20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09DC5C12" w14:textId="77777777" w:rsidR="00171824" w:rsidRDefault="00171824">
      <w:pPr>
        <w:widowControl/>
        <w:tabs>
          <w:tab w:val="left" w:pos="567"/>
          <w:tab w:val="left" w:pos="749"/>
        </w:tabs>
        <w:autoSpaceDE/>
        <w:autoSpaceDN/>
        <w:adjustRightInd/>
        <w:rPr>
          <w:rFonts w:eastAsia="PMingLiU"/>
          <w:sz w:val="22"/>
          <w:szCs w:val="20"/>
          <w:lang w:val="el-GR"/>
        </w:rPr>
      </w:pPr>
    </w:p>
    <w:p w14:paraId="65C4C5E0" w14:textId="77777777" w:rsidR="00171824" w:rsidRDefault="00171824">
      <w:pPr>
        <w:widowControl/>
        <w:tabs>
          <w:tab w:val="left" w:pos="567"/>
          <w:tab w:val="left" w:pos="749"/>
        </w:tabs>
        <w:autoSpaceDE/>
        <w:autoSpaceDN/>
        <w:adjustRightInd/>
        <w:rPr>
          <w:rFonts w:eastAsia="PMingLiU"/>
          <w:sz w:val="22"/>
          <w:szCs w:val="20"/>
          <w:lang w:val="el-GR"/>
        </w:rPr>
      </w:pPr>
    </w:p>
    <w:p w14:paraId="48E80A1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08D763BB" w14:textId="77777777" w:rsidR="00171824" w:rsidRDefault="00171824">
      <w:pPr>
        <w:widowControl/>
        <w:tabs>
          <w:tab w:val="left" w:pos="567"/>
        </w:tabs>
        <w:autoSpaceDE/>
        <w:autoSpaceDN/>
        <w:adjustRightInd/>
        <w:rPr>
          <w:rFonts w:eastAsia="PMingLiU"/>
          <w:sz w:val="22"/>
          <w:szCs w:val="20"/>
          <w:lang w:val="el-GR"/>
        </w:rPr>
      </w:pPr>
    </w:p>
    <w:p w14:paraId="4A19B4D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573B162F" w14:textId="77777777" w:rsidR="00171824" w:rsidRDefault="00171824">
      <w:pPr>
        <w:widowControl/>
        <w:tabs>
          <w:tab w:val="left" w:pos="567"/>
        </w:tabs>
        <w:autoSpaceDE/>
        <w:autoSpaceDN/>
        <w:adjustRightInd/>
        <w:rPr>
          <w:rFonts w:eastAsia="PMingLiU"/>
          <w:sz w:val="22"/>
          <w:szCs w:val="22"/>
          <w:lang w:val="el-GR"/>
        </w:rPr>
      </w:pPr>
    </w:p>
    <w:p w14:paraId="10CEFBDE" w14:textId="77777777" w:rsidR="00171824" w:rsidRDefault="00171824">
      <w:pPr>
        <w:widowControl/>
        <w:tabs>
          <w:tab w:val="left" w:pos="567"/>
        </w:tabs>
        <w:autoSpaceDE/>
        <w:autoSpaceDN/>
        <w:adjustRightInd/>
        <w:rPr>
          <w:rFonts w:eastAsia="PMingLiU"/>
          <w:sz w:val="22"/>
          <w:szCs w:val="22"/>
          <w:lang w:val="el-GR"/>
        </w:rPr>
      </w:pPr>
    </w:p>
    <w:p w14:paraId="6FA1319D"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15F93632" w14:textId="77777777" w:rsidR="00171824" w:rsidRDefault="00171824">
      <w:pPr>
        <w:keepNext/>
        <w:widowControl/>
        <w:tabs>
          <w:tab w:val="left" w:pos="567"/>
        </w:tabs>
        <w:autoSpaceDE/>
        <w:autoSpaceDN/>
        <w:adjustRightInd/>
        <w:rPr>
          <w:rFonts w:eastAsia="PMingLiU"/>
          <w:sz w:val="22"/>
          <w:szCs w:val="22"/>
          <w:lang w:val="el-GR"/>
        </w:rPr>
      </w:pPr>
    </w:p>
    <w:p w14:paraId="14A0CDD8"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78059B5A"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0A25BB44"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648DE503" w14:textId="77777777" w:rsidR="00171824" w:rsidRDefault="00171824">
      <w:pPr>
        <w:widowControl/>
        <w:tabs>
          <w:tab w:val="left" w:pos="567"/>
        </w:tabs>
        <w:autoSpaceDE/>
        <w:autoSpaceDN/>
        <w:adjustRightInd/>
        <w:rPr>
          <w:rFonts w:eastAsia="SimSun"/>
          <w:sz w:val="22"/>
          <w:szCs w:val="22"/>
          <w:lang w:val="el-GR" w:eastAsia="en-GB"/>
        </w:rPr>
      </w:pPr>
    </w:p>
    <w:p w14:paraId="32977E9B" w14:textId="77777777" w:rsidR="00171824" w:rsidRDefault="00171824">
      <w:pPr>
        <w:widowControl/>
        <w:tabs>
          <w:tab w:val="left" w:pos="567"/>
        </w:tabs>
        <w:autoSpaceDE/>
        <w:autoSpaceDN/>
        <w:adjustRightInd/>
        <w:ind w:left="567" w:hanging="567"/>
        <w:rPr>
          <w:rFonts w:eastAsia="PMingLiU"/>
          <w:sz w:val="22"/>
          <w:szCs w:val="22"/>
          <w:lang w:val="el-GR"/>
        </w:rPr>
      </w:pPr>
    </w:p>
    <w:p w14:paraId="78E0C3F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61CADBC1" w14:textId="77777777" w:rsidR="00171824" w:rsidRDefault="00171824">
      <w:pPr>
        <w:widowControl/>
        <w:tabs>
          <w:tab w:val="left" w:pos="567"/>
        </w:tabs>
        <w:autoSpaceDE/>
        <w:autoSpaceDN/>
        <w:adjustRightInd/>
        <w:rPr>
          <w:rFonts w:eastAsia="PMingLiU"/>
          <w:sz w:val="22"/>
          <w:szCs w:val="22"/>
          <w:lang w:val="el-GR"/>
        </w:rPr>
      </w:pPr>
    </w:p>
    <w:p w14:paraId="3E5D7339" w14:textId="77777777" w:rsidR="00171824" w:rsidRDefault="00171824">
      <w:pPr>
        <w:widowControl/>
        <w:tabs>
          <w:tab w:val="left" w:pos="567"/>
        </w:tabs>
        <w:autoSpaceDE/>
        <w:autoSpaceDN/>
        <w:adjustRightInd/>
        <w:rPr>
          <w:rFonts w:eastAsia="PMingLiU"/>
          <w:sz w:val="22"/>
          <w:szCs w:val="22"/>
          <w:lang w:val="el-GR"/>
        </w:rPr>
      </w:pPr>
    </w:p>
    <w:p w14:paraId="221A321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61FF8047" w14:textId="77777777" w:rsidR="00171824" w:rsidRDefault="00171824">
      <w:pPr>
        <w:widowControl/>
        <w:tabs>
          <w:tab w:val="left" w:pos="567"/>
        </w:tabs>
        <w:autoSpaceDE/>
        <w:autoSpaceDN/>
        <w:adjustRightInd/>
        <w:rPr>
          <w:rFonts w:eastAsia="PMingLiU"/>
          <w:sz w:val="22"/>
          <w:szCs w:val="22"/>
          <w:lang w:val="el-GR"/>
        </w:rPr>
      </w:pPr>
    </w:p>
    <w:p w14:paraId="21E91649"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0608B6FB"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1760611A"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6779D27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478C565B" w14:textId="77777777" w:rsidR="00171824" w:rsidRDefault="00171824">
      <w:pPr>
        <w:widowControl/>
        <w:tabs>
          <w:tab w:val="left" w:pos="567"/>
        </w:tabs>
        <w:autoSpaceDE/>
        <w:autoSpaceDN/>
        <w:adjustRightInd/>
        <w:rPr>
          <w:rFonts w:eastAsia="PMingLiU"/>
          <w:sz w:val="22"/>
          <w:szCs w:val="22"/>
          <w:lang w:val="el-GR"/>
        </w:rPr>
      </w:pPr>
    </w:p>
    <w:p w14:paraId="6DD9B833" w14:textId="77777777" w:rsidR="00171824" w:rsidRDefault="00171824">
      <w:pPr>
        <w:widowControl/>
        <w:tabs>
          <w:tab w:val="left" w:pos="567"/>
        </w:tabs>
        <w:autoSpaceDE/>
        <w:autoSpaceDN/>
        <w:adjustRightInd/>
        <w:rPr>
          <w:rFonts w:eastAsia="PMingLiU"/>
          <w:sz w:val="22"/>
          <w:szCs w:val="22"/>
          <w:lang w:val="el-GR"/>
        </w:rPr>
      </w:pPr>
    </w:p>
    <w:p w14:paraId="547C5FE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4277358C" w14:textId="77777777" w:rsidR="00171824" w:rsidRDefault="00171824">
      <w:pPr>
        <w:widowControl/>
        <w:tabs>
          <w:tab w:val="left" w:pos="567"/>
        </w:tabs>
        <w:autoSpaceDE/>
        <w:autoSpaceDN/>
        <w:adjustRightInd/>
        <w:rPr>
          <w:rFonts w:eastAsia="PMingLiU"/>
          <w:sz w:val="22"/>
          <w:szCs w:val="22"/>
          <w:lang w:val="el-GR"/>
        </w:rPr>
      </w:pPr>
    </w:p>
    <w:p w14:paraId="724E0A88"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 xml:space="preserve">EU/1/16/1164/013 </w:t>
      </w:r>
    </w:p>
    <w:p w14:paraId="36F6F8F8" w14:textId="77777777" w:rsidR="00171824" w:rsidRDefault="00171824">
      <w:pPr>
        <w:widowControl/>
        <w:tabs>
          <w:tab w:val="left" w:pos="567"/>
        </w:tabs>
        <w:autoSpaceDE/>
        <w:autoSpaceDN/>
        <w:adjustRightInd/>
        <w:outlineLvl w:val="0"/>
        <w:rPr>
          <w:rFonts w:eastAsia="PMingLiU"/>
          <w:sz w:val="22"/>
          <w:szCs w:val="22"/>
          <w:lang w:val="el-GR" w:bidi="en-US"/>
        </w:rPr>
      </w:pPr>
    </w:p>
    <w:p w14:paraId="3BBA1BC9" w14:textId="77777777" w:rsidR="00171824" w:rsidRDefault="00171824">
      <w:pPr>
        <w:widowControl/>
        <w:tabs>
          <w:tab w:val="left" w:pos="567"/>
        </w:tabs>
        <w:autoSpaceDE/>
        <w:autoSpaceDN/>
        <w:adjustRightInd/>
        <w:rPr>
          <w:rFonts w:eastAsia="PMingLiU"/>
          <w:sz w:val="22"/>
          <w:szCs w:val="22"/>
          <w:lang w:val="el-GR"/>
        </w:rPr>
      </w:pPr>
    </w:p>
    <w:p w14:paraId="6DC8B1C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ΑΡΙΘΜΟΣ ΠΑΡΤΙΔΑΣ</w:t>
      </w:r>
    </w:p>
    <w:p w14:paraId="47581ABF" w14:textId="77777777" w:rsidR="00171824" w:rsidRDefault="00171824">
      <w:pPr>
        <w:widowControl/>
        <w:tabs>
          <w:tab w:val="left" w:pos="567"/>
        </w:tabs>
        <w:autoSpaceDE/>
        <w:autoSpaceDN/>
        <w:adjustRightInd/>
        <w:rPr>
          <w:rFonts w:eastAsia="PMingLiU"/>
          <w:i/>
          <w:sz w:val="22"/>
          <w:szCs w:val="22"/>
          <w:lang w:val="el-GR"/>
        </w:rPr>
      </w:pPr>
    </w:p>
    <w:p w14:paraId="1A06DEF1"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14A376F4" w14:textId="77777777" w:rsidR="00171824" w:rsidRDefault="00171824">
      <w:pPr>
        <w:widowControl/>
        <w:tabs>
          <w:tab w:val="left" w:pos="567"/>
        </w:tabs>
        <w:autoSpaceDE/>
        <w:autoSpaceDN/>
        <w:adjustRightInd/>
        <w:rPr>
          <w:rFonts w:eastAsia="PMingLiU"/>
          <w:sz w:val="22"/>
          <w:szCs w:val="22"/>
          <w:lang w:val="el-GR"/>
        </w:rPr>
      </w:pPr>
    </w:p>
    <w:p w14:paraId="5E173958" w14:textId="77777777" w:rsidR="00171824" w:rsidRDefault="00171824">
      <w:pPr>
        <w:widowControl/>
        <w:tabs>
          <w:tab w:val="left" w:pos="567"/>
        </w:tabs>
        <w:autoSpaceDE/>
        <w:autoSpaceDN/>
        <w:adjustRightInd/>
        <w:rPr>
          <w:rFonts w:eastAsia="PMingLiU"/>
          <w:sz w:val="22"/>
          <w:szCs w:val="22"/>
          <w:lang w:val="el-GR"/>
        </w:rPr>
      </w:pPr>
    </w:p>
    <w:p w14:paraId="3BFFC27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5DD4B688" w14:textId="77777777" w:rsidR="00171824" w:rsidRDefault="00171824">
      <w:pPr>
        <w:widowControl/>
        <w:tabs>
          <w:tab w:val="left" w:pos="567"/>
        </w:tabs>
        <w:autoSpaceDE/>
        <w:autoSpaceDN/>
        <w:adjustRightInd/>
        <w:rPr>
          <w:rFonts w:eastAsia="PMingLiU"/>
          <w:sz w:val="22"/>
          <w:szCs w:val="22"/>
          <w:lang w:val="el-GR"/>
        </w:rPr>
      </w:pPr>
    </w:p>
    <w:p w14:paraId="446B750B" w14:textId="77777777" w:rsidR="00171824" w:rsidRDefault="00171824">
      <w:pPr>
        <w:widowControl/>
        <w:tabs>
          <w:tab w:val="left" w:pos="567"/>
        </w:tabs>
        <w:autoSpaceDE/>
        <w:autoSpaceDN/>
        <w:adjustRightInd/>
        <w:rPr>
          <w:rFonts w:eastAsia="PMingLiU"/>
          <w:sz w:val="22"/>
          <w:szCs w:val="22"/>
          <w:lang w:val="el-GR"/>
        </w:rPr>
      </w:pPr>
    </w:p>
    <w:p w14:paraId="69760794"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700D97C6" w14:textId="77777777" w:rsidR="00171824" w:rsidRDefault="00171824">
      <w:pPr>
        <w:widowControl/>
        <w:tabs>
          <w:tab w:val="left" w:pos="567"/>
        </w:tabs>
        <w:autoSpaceDE/>
        <w:autoSpaceDN/>
        <w:adjustRightInd/>
        <w:rPr>
          <w:rFonts w:eastAsia="PMingLiU"/>
          <w:sz w:val="22"/>
          <w:szCs w:val="22"/>
          <w:lang w:val="el-GR"/>
        </w:rPr>
      </w:pPr>
    </w:p>
    <w:p w14:paraId="54846D0E" w14:textId="77777777" w:rsidR="00171824" w:rsidRDefault="00171824">
      <w:pPr>
        <w:widowControl/>
        <w:tabs>
          <w:tab w:val="left" w:pos="567"/>
        </w:tabs>
        <w:autoSpaceDE/>
        <w:autoSpaceDN/>
        <w:adjustRightInd/>
        <w:rPr>
          <w:rFonts w:eastAsia="PMingLiU"/>
          <w:sz w:val="22"/>
          <w:szCs w:val="22"/>
          <w:lang w:val="el-GR"/>
        </w:rPr>
      </w:pPr>
    </w:p>
    <w:p w14:paraId="7758A21A"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1E4FAE7E" w14:textId="77777777" w:rsidR="00171824" w:rsidRDefault="00171824">
      <w:pPr>
        <w:widowControl/>
        <w:tabs>
          <w:tab w:val="left" w:pos="567"/>
        </w:tabs>
        <w:autoSpaceDE/>
        <w:autoSpaceDN/>
        <w:adjustRightInd/>
        <w:rPr>
          <w:rFonts w:eastAsia="PMingLiU"/>
          <w:sz w:val="22"/>
          <w:szCs w:val="20"/>
          <w:lang w:val="el-GR"/>
        </w:rPr>
      </w:pPr>
    </w:p>
    <w:p w14:paraId="71E5D2BD" w14:textId="77777777" w:rsidR="00171824" w:rsidRDefault="006D258C">
      <w:pPr>
        <w:widowControl/>
        <w:tabs>
          <w:tab w:val="left" w:pos="567"/>
        </w:tabs>
        <w:autoSpaceDE/>
        <w:autoSpaceDN/>
        <w:adjustRightInd/>
        <w:rPr>
          <w:rFonts w:eastAsia="PMingLiU"/>
          <w:sz w:val="22"/>
          <w:szCs w:val="22"/>
          <w:highlight w:val="yellow"/>
          <w:shd w:val="clear" w:color="auto" w:fill="CCCCCC"/>
          <w:lang w:val="el-GR" w:bidi="en-US"/>
        </w:rPr>
      </w:pPr>
      <w:r>
        <w:rPr>
          <w:rFonts w:eastAsia="Arial Unicode MS" w:cs="Arial Unicode MS"/>
          <w:sz w:val="22"/>
          <w:szCs w:val="20"/>
          <w:lang w:val="el-GR" w:bidi="en-US"/>
        </w:rPr>
        <w:t>AMGEVITA 40 mg/0,4 ml σύριγγα</w:t>
      </w:r>
    </w:p>
    <w:p w14:paraId="18D29AFE"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6290BF57"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660947DE"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0D16F2A2" w14:textId="77777777" w:rsidR="00171824" w:rsidRDefault="00171824">
      <w:pPr>
        <w:widowControl/>
        <w:autoSpaceDE/>
        <w:autoSpaceDN/>
        <w:adjustRightInd/>
        <w:rPr>
          <w:rFonts w:eastAsia="PMingLiU"/>
          <w:sz w:val="22"/>
          <w:szCs w:val="20"/>
          <w:lang w:val="el-GR"/>
        </w:rPr>
      </w:pPr>
    </w:p>
    <w:p w14:paraId="4466E24E"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3A049FAE"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5E6EABC7"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56C0DBC4"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3FBBCC50" w14:textId="77777777" w:rsidR="00171824" w:rsidRDefault="00171824">
      <w:pPr>
        <w:keepNext/>
        <w:widowControl/>
        <w:autoSpaceDE/>
        <w:autoSpaceDN/>
        <w:adjustRightInd/>
        <w:rPr>
          <w:rFonts w:eastAsia="PMingLiU"/>
          <w:sz w:val="22"/>
          <w:szCs w:val="20"/>
          <w:lang w:val="el-GR"/>
        </w:rPr>
      </w:pPr>
    </w:p>
    <w:p w14:paraId="2299F84C"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07D75048"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6A2F975F" w14:textId="77777777" w:rsidR="00171824" w:rsidRDefault="006D258C">
      <w:pPr>
        <w:keepNext/>
        <w:widowControl/>
        <w:shd w:val="clear" w:color="auto" w:fill="FFFFFF"/>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3ECF00B6"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265B20DB"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11084A21" w14:textId="77777777" w:rsidR="00171824" w:rsidRDefault="00171824">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06107BEE"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ΕΝΔΙΑΜΕΣΟ ΚΟΥΤΙ ΓΙΑ ΠΟΛΥΣΥΣΚΕΥΑΣΙΑ ΠΡΟΓΕΜΙΣΜΕΝΗΣ ΣΥΡΙΓΓΑΣ (χωρίς blue box)</w:t>
      </w:r>
    </w:p>
    <w:p w14:paraId="416F05D2" w14:textId="77777777" w:rsidR="00171824" w:rsidRDefault="00171824">
      <w:pPr>
        <w:keepNext/>
        <w:widowControl/>
        <w:tabs>
          <w:tab w:val="left" w:pos="567"/>
        </w:tabs>
        <w:autoSpaceDE/>
        <w:autoSpaceDN/>
        <w:adjustRightInd/>
        <w:rPr>
          <w:rFonts w:eastAsia="PMingLiU"/>
          <w:sz w:val="22"/>
          <w:szCs w:val="20"/>
          <w:lang w:val="el-GR"/>
        </w:rPr>
      </w:pPr>
    </w:p>
    <w:p w14:paraId="5B3F1125" w14:textId="77777777" w:rsidR="00171824" w:rsidRDefault="00171824">
      <w:pPr>
        <w:keepNext/>
        <w:widowControl/>
        <w:tabs>
          <w:tab w:val="left" w:pos="567"/>
        </w:tabs>
        <w:autoSpaceDE/>
        <w:autoSpaceDN/>
        <w:adjustRightInd/>
        <w:rPr>
          <w:rFonts w:eastAsia="PMingLiU"/>
          <w:sz w:val="22"/>
          <w:szCs w:val="22"/>
          <w:lang w:val="el-GR"/>
        </w:rPr>
      </w:pPr>
    </w:p>
    <w:p w14:paraId="1D8199B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0FF23907" w14:textId="77777777" w:rsidR="00171824" w:rsidRDefault="00171824">
      <w:pPr>
        <w:widowControl/>
        <w:tabs>
          <w:tab w:val="left" w:pos="567"/>
        </w:tabs>
        <w:autoSpaceDE/>
        <w:autoSpaceDN/>
        <w:adjustRightInd/>
        <w:rPr>
          <w:rFonts w:eastAsia="PMingLiU"/>
          <w:sz w:val="22"/>
          <w:szCs w:val="22"/>
          <w:lang w:val="el-GR"/>
        </w:rPr>
      </w:pPr>
    </w:p>
    <w:p w14:paraId="5A82829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ενέσιμο διάλυμα σε προγεμισμένη σύριγγα</w:t>
      </w:r>
    </w:p>
    <w:p w14:paraId="5BD85B1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162AFD03" w14:textId="77777777" w:rsidR="00171824" w:rsidRDefault="00171824">
      <w:pPr>
        <w:widowControl/>
        <w:tabs>
          <w:tab w:val="left" w:pos="567"/>
        </w:tabs>
        <w:autoSpaceDE/>
        <w:autoSpaceDN/>
        <w:adjustRightInd/>
        <w:rPr>
          <w:rFonts w:eastAsia="PMingLiU"/>
          <w:sz w:val="22"/>
          <w:szCs w:val="22"/>
          <w:lang w:val="el-GR"/>
        </w:rPr>
      </w:pPr>
    </w:p>
    <w:p w14:paraId="0A392167" w14:textId="77777777" w:rsidR="00171824" w:rsidRDefault="00171824">
      <w:pPr>
        <w:widowControl/>
        <w:tabs>
          <w:tab w:val="left" w:pos="567"/>
        </w:tabs>
        <w:autoSpaceDE/>
        <w:autoSpaceDN/>
        <w:adjustRightInd/>
        <w:rPr>
          <w:rFonts w:eastAsia="PMingLiU"/>
          <w:sz w:val="22"/>
          <w:szCs w:val="22"/>
          <w:lang w:val="el-GR"/>
        </w:rPr>
      </w:pPr>
    </w:p>
    <w:p w14:paraId="4CC3209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74C544B2" w14:textId="77777777" w:rsidR="00171824" w:rsidRDefault="00171824">
      <w:pPr>
        <w:widowControl/>
        <w:tabs>
          <w:tab w:val="left" w:pos="567"/>
        </w:tabs>
        <w:autoSpaceDE/>
        <w:autoSpaceDN/>
        <w:adjustRightInd/>
        <w:rPr>
          <w:rFonts w:eastAsia="PMingLiU"/>
          <w:sz w:val="22"/>
          <w:szCs w:val="22"/>
          <w:lang w:val="el-GR"/>
        </w:rPr>
      </w:pPr>
    </w:p>
    <w:p w14:paraId="4EE961B1"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40 mg adalimumab σε διάλυμα 0,4 ml.</w:t>
      </w:r>
    </w:p>
    <w:p w14:paraId="6A55950C" w14:textId="77777777" w:rsidR="00171824" w:rsidRDefault="00171824">
      <w:pPr>
        <w:widowControl/>
        <w:tabs>
          <w:tab w:val="left" w:pos="567"/>
        </w:tabs>
        <w:autoSpaceDE/>
        <w:autoSpaceDN/>
        <w:adjustRightInd/>
        <w:rPr>
          <w:rFonts w:eastAsia="PMingLiU"/>
          <w:sz w:val="22"/>
          <w:szCs w:val="22"/>
          <w:lang w:val="el-GR"/>
        </w:rPr>
      </w:pPr>
    </w:p>
    <w:p w14:paraId="7043CDB7" w14:textId="77777777" w:rsidR="00171824" w:rsidRDefault="00171824">
      <w:pPr>
        <w:widowControl/>
        <w:tabs>
          <w:tab w:val="left" w:pos="567"/>
        </w:tabs>
        <w:autoSpaceDE/>
        <w:autoSpaceDN/>
        <w:adjustRightInd/>
        <w:rPr>
          <w:rFonts w:eastAsia="PMingLiU"/>
          <w:sz w:val="22"/>
          <w:szCs w:val="22"/>
          <w:lang w:val="el-GR"/>
        </w:rPr>
      </w:pPr>
    </w:p>
    <w:p w14:paraId="7437D5F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1D17977B" w14:textId="77777777" w:rsidR="00171824" w:rsidRDefault="00171824">
      <w:pPr>
        <w:widowControl/>
        <w:tabs>
          <w:tab w:val="left" w:pos="567"/>
        </w:tabs>
        <w:autoSpaceDE/>
        <w:autoSpaceDN/>
        <w:adjustRightInd/>
        <w:rPr>
          <w:rFonts w:eastAsia="PMingLiU"/>
          <w:sz w:val="22"/>
          <w:szCs w:val="22"/>
          <w:lang w:val="el-GR"/>
        </w:rPr>
      </w:pPr>
    </w:p>
    <w:p w14:paraId="2D1B192F"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L-γαλακτικό οξύ, σακχαρόζη, πολυσορβικό 80, υδροξείδιο του νατρίου και ενέσιμο ύδωρ.</w:t>
      </w:r>
    </w:p>
    <w:p w14:paraId="03A1EF34" w14:textId="77777777" w:rsidR="00171824" w:rsidRDefault="00171824">
      <w:pPr>
        <w:widowControl/>
        <w:tabs>
          <w:tab w:val="left" w:pos="567"/>
        </w:tabs>
        <w:autoSpaceDE/>
        <w:autoSpaceDN/>
        <w:adjustRightInd/>
        <w:rPr>
          <w:rFonts w:eastAsia="PMingLiU"/>
          <w:sz w:val="22"/>
          <w:szCs w:val="22"/>
          <w:lang w:val="el-GR"/>
        </w:rPr>
      </w:pPr>
    </w:p>
    <w:p w14:paraId="76624A2C" w14:textId="77777777" w:rsidR="00171824" w:rsidRDefault="00171824">
      <w:pPr>
        <w:widowControl/>
        <w:tabs>
          <w:tab w:val="left" w:pos="567"/>
        </w:tabs>
        <w:autoSpaceDE/>
        <w:autoSpaceDN/>
        <w:adjustRightInd/>
        <w:rPr>
          <w:rFonts w:eastAsia="PMingLiU"/>
          <w:sz w:val="22"/>
          <w:szCs w:val="22"/>
          <w:lang w:val="el-GR"/>
        </w:rPr>
      </w:pPr>
    </w:p>
    <w:p w14:paraId="33C4613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0FD32054" w14:textId="77777777" w:rsidR="00171824" w:rsidRDefault="00171824">
      <w:pPr>
        <w:widowControl/>
        <w:tabs>
          <w:tab w:val="left" w:pos="567"/>
        </w:tabs>
        <w:autoSpaceDE/>
        <w:autoSpaceDN/>
        <w:adjustRightInd/>
        <w:rPr>
          <w:rFonts w:eastAsia="PMingLiU"/>
          <w:sz w:val="22"/>
          <w:szCs w:val="22"/>
          <w:lang w:val="el-GR"/>
        </w:rPr>
      </w:pPr>
    </w:p>
    <w:p w14:paraId="318BEEB7"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60519ECC" w14:textId="77777777" w:rsidR="00171824" w:rsidRDefault="006D258C">
      <w:pPr>
        <w:widowControl/>
        <w:tabs>
          <w:tab w:val="left" w:pos="567"/>
        </w:tabs>
        <w:autoSpaceDE/>
        <w:autoSpaceDN/>
        <w:adjustRightInd/>
        <w:rPr>
          <w:sz w:val="22"/>
          <w:szCs w:val="22"/>
          <w:lang w:val="el-GR"/>
        </w:rPr>
      </w:pPr>
      <w:r>
        <w:rPr>
          <w:sz w:val="22"/>
          <w:szCs w:val="22"/>
          <w:lang w:val="el-GR"/>
        </w:rPr>
        <w:t>40 mg/0,4 ml</w:t>
      </w:r>
    </w:p>
    <w:p w14:paraId="3645DA6B"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2 προγεμισμένες σύριγγες. Μέρος πολυσυσκευασίας, δεν μπορεί να πωληθεί ξεχωριστά.</w:t>
      </w:r>
    </w:p>
    <w:p w14:paraId="30D8FA56" w14:textId="77777777" w:rsidR="00171824" w:rsidRDefault="00171824">
      <w:pPr>
        <w:widowControl/>
        <w:tabs>
          <w:tab w:val="left" w:pos="567"/>
        </w:tabs>
        <w:autoSpaceDE/>
        <w:autoSpaceDN/>
        <w:adjustRightInd/>
        <w:rPr>
          <w:rFonts w:eastAsia="PMingLiU"/>
          <w:sz w:val="22"/>
          <w:szCs w:val="22"/>
          <w:lang w:val="el-GR"/>
        </w:rPr>
      </w:pPr>
    </w:p>
    <w:p w14:paraId="0F088951" w14:textId="77777777" w:rsidR="00171824" w:rsidRDefault="00171824">
      <w:pPr>
        <w:widowControl/>
        <w:tabs>
          <w:tab w:val="left" w:pos="567"/>
        </w:tabs>
        <w:autoSpaceDE/>
        <w:autoSpaceDN/>
        <w:adjustRightInd/>
        <w:rPr>
          <w:rFonts w:eastAsia="PMingLiU"/>
          <w:sz w:val="22"/>
          <w:szCs w:val="22"/>
          <w:lang w:val="el-GR"/>
        </w:rPr>
      </w:pPr>
    </w:p>
    <w:p w14:paraId="5588944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73AC8BC7" w14:textId="77777777" w:rsidR="00171824" w:rsidRDefault="00171824">
      <w:pPr>
        <w:widowControl/>
        <w:tabs>
          <w:tab w:val="left" w:pos="567"/>
        </w:tabs>
        <w:autoSpaceDE/>
        <w:autoSpaceDN/>
        <w:adjustRightInd/>
        <w:rPr>
          <w:rFonts w:eastAsia="PMingLiU"/>
          <w:sz w:val="22"/>
          <w:szCs w:val="20"/>
          <w:lang w:val="el-GR"/>
        </w:rPr>
      </w:pPr>
    </w:p>
    <w:p w14:paraId="3D7B4F6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3EA1CA81"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5FE29785"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12DBAF4C" w14:textId="77777777" w:rsidR="00171824" w:rsidRDefault="00171824">
      <w:pPr>
        <w:widowControl/>
        <w:tabs>
          <w:tab w:val="left" w:pos="567"/>
        </w:tabs>
        <w:autoSpaceDE/>
        <w:autoSpaceDN/>
        <w:adjustRightInd/>
        <w:rPr>
          <w:rFonts w:eastAsia="PMingLiU"/>
          <w:sz w:val="22"/>
          <w:szCs w:val="22"/>
          <w:lang w:val="el-GR"/>
        </w:rPr>
      </w:pPr>
    </w:p>
    <w:p w14:paraId="10E0B241" w14:textId="77777777" w:rsidR="00171824" w:rsidRDefault="00171824">
      <w:pPr>
        <w:widowControl/>
        <w:tabs>
          <w:tab w:val="left" w:pos="567"/>
        </w:tabs>
        <w:autoSpaceDE/>
        <w:autoSpaceDN/>
        <w:adjustRightInd/>
        <w:rPr>
          <w:rFonts w:eastAsia="PMingLiU"/>
          <w:sz w:val="22"/>
          <w:szCs w:val="22"/>
          <w:lang w:val="el-GR"/>
        </w:rPr>
      </w:pPr>
    </w:p>
    <w:p w14:paraId="1723319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3C316C3B" w14:textId="77777777" w:rsidR="00171824" w:rsidRDefault="00171824">
      <w:pPr>
        <w:widowControl/>
        <w:tabs>
          <w:tab w:val="left" w:pos="567"/>
        </w:tabs>
        <w:autoSpaceDE/>
        <w:autoSpaceDN/>
        <w:adjustRightInd/>
        <w:rPr>
          <w:rFonts w:eastAsia="PMingLiU"/>
          <w:sz w:val="22"/>
          <w:szCs w:val="22"/>
          <w:lang w:val="el-GR"/>
        </w:rPr>
      </w:pPr>
    </w:p>
    <w:p w14:paraId="4F11E421"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7C69B7E0" w14:textId="77777777" w:rsidR="00171824" w:rsidRDefault="00171824">
      <w:pPr>
        <w:widowControl/>
        <w:tabs>
          <w:tab w:val="left" w:pos="567"/>
        </w:tabs>
        <w:autoSpaceDE/>
        <w:autoSpaceDN/>
        <w:adjustRightInd/>
        <w:rPr>
          <w:rFonts w:eastAsia="PMingLiU"/>
          <w:sz w:val="22"/>
          <w:szCs w:val="22"/>
          <w:lang w:val="el-GR"/>
        </w:rPr>
      </w:pPr>
    </w:p>
    <w:p w14:paraId="7EC0102C" w14:textId="77777777" w:rsidR="00171824" w:rsidRDefault="00171824">
      <w:pPr>
        <w:widowControl/>
        <w:tabs>
          <w:tab w:val="left" w:pos="567"/>
        </w:tabs>
        <w:autoSpaceDE/>
        <w:autoSpaceDN/>
        <w:adjustRightInd/>
        <w:rPr>
          <w:rFonts w:eastAsia="PMingLiU"/>
          <w:sz w:val="22"/>
          <w:szCs w:val="22"/>
          <w:lang w:val="el-GR"/>
        </w:rPr>
      </w:pPr>
    </w:p>
    <w:p w14:paraId="2939554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178A6BC7" w14:textId="77777777" w:rsidR="00171824" w:rsidRDefault="00171824">
      <w:pPr>
        <w:widowControl/>
        <w:tabs>
          <w:tab w:val="left" w:pos="567"/>
        </w:tabs>
        <w:autoSpaceDE/>
        <w:autoSpaceDN/>
        <w:adjustRightInd/>
        <w:rPr>
          <w:rFonts w:eastAsia="PMingLiU"/>
          <w:sz w:val="22"/>
          <w:szCs w:val="22"/>
          <w:lang w:val="el-GR"/>
        </w:rPr>
      </w:pPr>
    </w:p>
    <w:p w14:paraId="34556DFC" w14:textId="77777777" w:rsidR="00171824" w:rsidRDefault="00171824">
      <w:pPr>
        <w:widowControl/>
        <w:tabs>
          <w:tab w:val="left" w:pos="567"/>
          <w:tab w:val="left" w:pos="749"/>
        </w:tabs>
        <w:autoSpaceDE/>
        <w:autoSpaceDN/>
        <w:adjustRightInd/>
        <w:rPr>
          <w:rFonts w:eastAsia="PMingLiU"/>
          <w:sz w:val="22"/>
          <w:szCs w:val="20"/>
          <w:lang w:val="el-GR"/>
        </w:rPr>
      </w:pPr>
    </w:p>
    <w:p w14:paraId="4C693B5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7C15FD19" w14:textId="77777777" w:rsidR="00171824" w:rsidRDefault="00171824">
      <w:pPr>
        <w:widowControl/>
        <w:tabs>
          <w:tab w:val="left" w:pos="567"/>
        </w:tabs>
        <w:autoSpaceDE/>
        <w:autoSpaceDN/>
        <w:adjustRightInd/>
        <w:rPr>
          <w:rFonts w:eastAsia="PMingLiU"/>
          <w:sz w:val="22"/>
          <w:szCs w:val="20"/>
          <w:lang w:val="el-GR"/>
        </w:rPr>
      </w:pPr>
    </w:p>
    <w:p w14:paraId="729BA46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57FE50FD" w14:textId="77777777" w:rsidR="00171824" w:rsidRDefault="00171824">
      <w:pPr>
        <w:widowControl/>
        <w:tabs>
          <w:tab w:val="left" w:pos="567"/>
        </w:tabs>
        <w:autoSpaceDE/>
        <w:autoSpaceDN/>
        <w:adjustRightInd/>
        <w:rPr>
          <w:rFonts w:eastAsia="PMingLiU"/>
          <w:sz w:val="22"/>
          <w:szCs w:val="22"/>
          <w:lang w:val="el-GR"/>
        </w:rPr>
      </w:pPr>
    </w:p>
    <w:p w14:paraId="5275F0D2" w14:textId="77777777" w:rsidR="00171824" w:rsidRDefault="00171824">
      <w:pPr>
        <w:widowControl/>
        <w:tabs>
          <w:tab w:val="left" w:pos="567"/>
        </w:tabs>
        <w:autoSpaceDE/>
        <w:autoSpaceDN/>
        <w:adjustRightInd/>
        <w:rPr>
          <w:rFonts w:eastAsia="PMingLiU"/>
          <w:sz w:val="22"/>
          <w:szCs w:val="22"/>
          <w:lang w:val="el-GR"/>
        </w:rPr>
      </w:pPr>
    </w:p>
    <w:p w14:paraId="11A48C3F"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70A50C33" w14:textId="77777777" w:rsidR="00171824" w:rsidRDefault="00171824">
      <w:pPr>
        <w:keepNext/>
        <w:widowControl/>
        <w:tabs>
          <w:tab w:val="left" w:pos="567"/>
        </w:tabs>
        <w:autoSpaceDE/>
        <w:autoSpaceDN/>
        <w:adjustRightInd/>
        <w:rPr>
          <w:rFonts w:eastAsia="PMingLiU"/>
          <w:sz w:val="22"/>
          <w:szCs w:val="22"/>
          <w:lang w:val="el-GR"/>
        </w:rPr>
      </w:pPr>
    </w:p>
    <w:p w14:paraId="06D1ED07"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3E7ED99E"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236F6575"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0393F1EE" w14:textId="77777777" w:rsidR="00171824" w:rsidRDefault="00171824">
      <w:pPr>
        <w:widowControl/>
        <w:tabs>
          <w:tab w:val="left" w:pos="567"/>
        </w:tabs>
        <w:autoSpaceDE/>
        <w:autoSpaceDN/>
        <w:adjustRightInd/>
        <w:rPr>
          <w:rFonts w:eastAsia="SimSun"/>
          <w:sz w:val="22"/>
          <w:szCs w:val="22"/>
          <w:lang w:val="el-GR" w:eastAsia="en-GB"/>
        </w:rPr>
      </w:pPr>
    </w:p>
    <w:p w14:paraId="5DB4E252" w14:textId="77777777" w:rsidR="00171824" w:rsidRDefault="00171824">
      <w:pPr>
        <w:widowControl/>
        <w:tabs>
          <w:tab w:val="left" w:pos="567"/>
        </w:tabs>
        <w:autoSpaceDE/>
        <w:autoSpaceDN/>
        <w:adjustRightInd/>
        <w:rPr>
          <w:rFonts w:eastAsia="SimSun"/>
          <w:sz w:val="22"/>
          <w:szCs w:val="22"/>
          <w:lang w:val="el-GR" w:eastAsia="en-GB"/>
        </w:rPr>
      </w:pPr>
    </w:p>
    <w:p w14:paraId="7F5B39B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69C2A1E2" w14:textId="77777777" w:rsidR="00171824" w:rsidRDefault="00171824">
      <w:pPr>
        <w:widowControl/>
        <w:tabs>
          <w:tab w:val="left" w:pos="567"/>
        </w:tabs>
        <w:autoSpaceDE/>
        <w:autoSpaceDN/>
        <w:adjustRightInd/>
        <w:rPr>
          <w:rFonts w:eastAsia="PMingLiU"/>
          <w:sz w:val="22"/>
          <w:szCs w:val="22"/>
          <w:lang w:val="el-GR"/>
        </w:rPr>
      </w:pPr>
    </w:p>
    <w:p w14:paraId="6AC94B1E" w14:textId="77777777" w:rsidR="00171824" w:rsidRDefault="00171824">
      <w:pPr>
        <w:widowControl/>
        <w:tabs>
          <w:tab w:val="left" w:pos="567"/>
        </w:tabs>
        <w:autoSpaceDE/>
        <w:autoSpaceDN/>
        <w:adjustRightInd/>
        <w:rPr>
          <w:rFonts w:eastAsia="PMingLiU"/>
          <w:sz w:val="22"/>
          <w:szCs w:val="22"/>
          <w:lang w:val="el-GR"/>
        </w:rPr>
      </w:pPr>
    </w:p>
    <w:p w14:paraId="4753ACF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701E7AE1" w14:textId="77777777" w:rsidR="00171824" w:rsidRDefault="00171824">
      <w:pPr>
        <w:widowControl/>
        <w:tabs>
          <w:tab w:val="left" w:pos="567"/>
        </w:tabs>
        <w:autoSpaceDE/>
        <w:autoSpaceDN/>
        <w:adjustRightInd/>
        <w:rPr>
          <w:rFonts w:eastAsia="PMingLiU"/>
          <w:sz w:val="22"/>
          <w:szCs w:val="22"/>
          <w:lang w:val="el-GR"/>
        </w:rPr>
      </w:pPr>
    </w:p>
    <w:p w14:paraId="5C5D0811"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780B579A"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662CB092"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5B7EB42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26D2BB60" w14:textId="77777777" w:rsidR="00171824" w:rsidRDefault="00171824">
      <w:pPr>
        <w:widowControl/>
        <w:tabs>
          <w:tab w:val="left" w:pos="567"/>
        </w:tabs>
        <w:autoSpaceDE/>
        <w:autoSpaceDN/>
        <w:adjustRightInd/>
        <w:rPr>
          <w:rFonts w:eastAsia="PMingLiU"/>
          <w:sz w:val="22"/>
          <w:szCs w:val="22"/>
          <w:lang w:val="el-GR"/>
        </w:rPr>
      </w:pPr>
    </w:p>
    <w:p w14:paraId="7D6B1EF9" w14:textId="77777777" w:rsidR="00171824" w:rsidRDefault="00171824">
      <w:pPr>
        <w:widowControl/>
        <w:tabs>
          <w:tab w:val="left" w:pos="567"/>
        </w:tabs>
        <w:autoSpaceDE/>
        <w:autoSpaceDN/>
        <w:adjustRightInd/>
        <w:rPr>
          <w:rFonts w:eastAsia="PMingLiU"/>
          <w:sz w:val="22"/>
          <w:szCs w:val="22"/>
          <w:lang w:val="el-GR"/>
        </w:rPr>
      </w:pPr>
    </w:p>
    <w:p w14:paraId="1190332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6406A925" w14:textId="77777777" w:rsidR="00171824" w:rsidRDefault="00171824">
      <w:pPr>
        <w:widowControl/>
        <w:tabs>
          <w:tab w:val="left" w:pos="567"/>
        </w:tabs>
        <w:autoSpaceDE/>
        <w:autoSpaceDN/>
        <w:adjustRightInd/>
        <w:rPr>
          <w:rFonts w:eastAsia="PMingLiU"/>
          <w:sz w:val="22"/>
          <w:szCs w:val="22"/>
          <w:lang w:val="el-GR"/>
        </w:rPr>
      </w:pPr>
    </w:p>
    <w:p w14:paraId="6E93CBB4"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 xml:space="preserve">EU/1/16/1164/013 </w:t>
      </w:r>
    </w:p>
    <w:p w14:paraId="36FA9B5F" w14:textId="77777777" w:rsidR="00171824" w:rsidRDefault="00171824">
      <w:pPr>
        <w:widowControl/>
        <w:tabs>
          <w:tab w:val="left" w:pos="567"/>
        </w:tabs>
        <w:autoSpaceDE/>
        <w:autoSpaceDN/>
        <w:adjustRightInd/>
        <w:outlineLvl w:val="0"/>
        <w:rPr>
          <w:rFonts w:eastAsia="PMingLiU"/>
          <w:sz w:val="22"/>
          <w:szCs w:val="22"/>
          <w:lang w:val="el-GR" w:bidi="en-US"/>
        </w:rPr>
      </w:pPr>
    </w:p>
    <w:p w14:paraId="47276367" w14:textId="77777777" w:rsidR="00171824" w:rsidRDefault="00171824">
      <w:pPr>
        <w:widowControl/>
        <w:tabs>
          <w:tab w:val="left" w:pos="567"/>
        </w:tabs>
        <w:autoSpaceDE/>
        <w:autoSpaceDN/>
        <w:adjustRightInd/>
        <w:rPr>
          <w:rFonts w:eastAsia="PMingLiU"/>
          <w:sz w:val="22"/>
          <w:szCs w:val="22"/>
          <w:lang w:val="el-GR"/>
        </w:rPr>
      </w:pPr>
    </w:p>
    <w:p w14:paraId="4D1D42B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7695D161" w14:textId="77777777" w:rsidR="00171824" w:rsidRDefault="00171824">
      <w:pPr>
        <w:widowControl/>
        <w:tabs>
          <w:tab w:val="left" w:pos="567"/>
        </w:tabs>
        <w:autoSpaceDE/>
        <w:autoSpaceDN/>
        <w:adjustRightInd/>
        <w:rPr>
          <w:rFonts w:eastAsia="PMingLiU"/>
          <w:i/>
          <w:sz w:val="22"/>
          <w:szCs w:val="22"/>
          <w:lang w:val="el-GR"/>
        </w:rPr>
      </w:pPr>
    </w:p>
    <w:p w14:paraId="6C8E611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2D2F63BB" w14:textId="77777777" w:rsidR="00171824" w:rsidRDefault="00171824">
      <w:pPr>
        <w:widowControl/>
        <w:tabs>
          <w:tab w:val="left" w:pos="567"/>
        </w:tabs>
        <w:autoSpaceDE/>
        <w:autoSpaceDN/>
        <w:adjustRightInd/>
        <w:rPr>
          <w:rFonts w:eastAsia="PMingLiU"/>
          <w:sz w:val="22"/>
          <w:szCs w:val="22"/>
          <w:lang w:val="el-GR"/>
        </w:rPr>
      </w:pPr>
    </w:p>
    <w:p w14:paraId="0E11D594" w14:textId="77777777" w:rsidR="00171824" w:rsidRDefault="00171824">
      <w:pPr>
        <w:widowControl/>
        <w:tabs>
          <w:tab w:val="left" w:pos="567"/>
        </w:tabs>
        <w:autoSpaceDE/>
        <w:autoSpaceDN/>
        <w:adjustRightInd/>
        <w:rPr>
          <w:rFonts w:eastAsia="PMingLiU"/>
          <w:sz w:val="22"/>
          <w:szCs w:val="22"/>
          <w:lang w:val="el-GR"/>
        </w:rPr>
      </w:pPr>
    </w:p>
    <w:p w14:paraId="5D3B3DA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44B9BE16" w14:textId="77777777" w:rsidR="00171824" w:rsidRDefault="00171824">
      <w:pPr>
        <w:widowControl/>
        <w:tabs>
          <w:tab w:val="left" w:pos="567"/>
        </w:tabs>
        <w:autoSpaceDE/>
        <w:autoSpaceDN/>
        <w:adjustRightInd/>
        <w:rPr>
          <w:rFonts w:eastAsia="PMingLiU"/>
          <w:i/>
          <w:sz w:val="22"/>
          <w:szCs w:val="22"/>
          <w:lang w:val="el-GR"/>
        </w:rPr>
      </w:pPr>
    </w:p>
    <w:p w14:paraId="24BE1A3A" w14:textId="77777777" w:rsidR="00171824" w:rsidRDefault="00171824">
      <w:pPr>
        <w:widowControl/>
        <w:tabs>
          <w:tab w:val="left" w:pos="567"/>
        </w:tabs>
        <w:autoSpaceDE/>
        <w:autoSpaceDN/>
        <w:adjustRightInd/>
        <w:rPr>
          <w:rFonts w:eastAsia="PMingLiU"/>
          <w:sz w:val="22"/>
          <w:szCs w:val="22"/>
          <w:lang w:val="el-GR"/>
        </w:rPr>
      </w:pPr>
    </w:p>
    <w:p w14:paraId="2C00DA72"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37C903CF" w14:textId="77777777" w:rsidR="00171824" w:rsidRDefault="00171824">
      <w:pPr>
        <w:widowControl/>
        <w:tabs>
          <w:tab w:val="left" w:pos="567"/>
        </w:tabs>
        <w:autoSpaceDE/>
        <w:autoSpaceDN/>
        <w:adjustRightInd/>
        <w:rPr>
          <w:rFonts w:eastAsia="PMingLiU"/>
          <w:sz w:val="22"/>
          <w:szCs w:val="22"/>
          <w:lang w:val="el-GR"/>
        </w:rPr>
      </w:pPr>
    </w:p>
    <w:p w14:paraId="35A3DF1C" w14:textId="77777777" w:rsidR="00171824" w:rsidRDefault="00171824">
      <w:pPr>
        <w:widowControl/>
        <w:tabs>
          <w:tab w:val="left" w:pos="567"/>
        </w:tabs>
        <w:autoSpaceDE/>
        <w:autoSpaceDN/>
        <w:adjustRightInd/>
        <w:rPr>
          <w:rFonts w:eastAsia="PMingLiU"/>
          <w:sz w:val="22"/>
          <w:szCs w:val="22"/>
          <w:lang w:val="el-GR"/>
        </w:rPr>
      </w:pPr>
    </w:p>
    <w:p w14:paraId="6AB316E0"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73818A2E" w14:textId="77777777" w:rsidR="00171824" w:rsidRDefault="00171824">
      <w:pPr>
        <w:widowControl/>
        <w:tabs>
          <w:tab w:val="left" w:pos="567"/>
        </w:tabs>
        <w:autoSpaceDE/>
        <w:autoSpaceDN/>
        <w:adjustRightInd/>
        <w:rPr>
          <w:rFonts w:eastAsia="PMingLiU"/>
          <w:sz w:val="22"/>
          <w:szCs w:val="20"/>
          <w:lang w:val="el-GR"/>
        </w:rPr>
      </w:pPr>
    </w:p>
    <w:p w14:paraId="4B9EFBC0"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AMGEVITA 40 mg/0,4 ml σύριγγα</w:t>
      </w:r>
    </w:p>
    <w:p w14:paraId="2D2CC41A"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296BDAA2"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29AF53BE"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ind w:left="567" w:hanging="567"/>
        <w:rPr>
          <w:rFonts w:eastAsia="Arial Unicode MS" w:cs="Arial Unicode MS"/>
          <w:b/>
          <w:sz w:val="22"/>
          <w:szCs w:val="22"/>
          <w:lang w:val="el-GR" w:bidi="en-US"/>
        </w:rPr>
      </w:pPr>
      <w:r>
        <w:rPr>
          <w:rFonts w:eastAsia="Arial Unicode MS" w:cs="Arial Unicode MS"/>
          <w:b/>
          <w:sz w:val="22"/>
          <w:szCs w:val="22"/>
          <w:lang w:val="el-GR" w:bidi="en-US"/>
        </w:rPr>
        <w:t>17.</w:t>
      </w:r>
      <w:r>
        <w:rPr>
          <w:rFonts w:eastAsia="Arial Unicode MS" w:cs="Arial Unicode MS"/>
          <w:b/>
          <w:sz w:val="22"/>
          <w:szCs w:val="22"/>
          <w:lang w:val="el-GR" w:bidi="en-US"/>
        </w:rPr>
        <w:tab/>
        <w:t>ΜΟΝΑΔΙΚΟΣ ΑΝΑΓΝΩΡΙΣΤΙΚΟΣ ΚΩΔΙΚΟΣ – ΔΙΣΔΙΑΣΤΑΤΟΣ ΓΡΑΜΜΩΤΟΣ ΚΩΔΙΚΑΣ (2D)</w:t>
      </w:r>
    </w:p>
    <w:p w14:paraId="462C6029"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2F71F151"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414383E5"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ind w:left="567" w:hanging="567"/>
        <w:rPr>
          <w:rFonts w:eastAsia="Arial Unicode MS" w:cs="Arial Unicode MS"/>
          <w:b/>
          <w:sz w:val="22"/>
          <w:szCs w:val="22"/>
          <w:lang w:val="el-GR" w:bidi="en-US"/>
        </w:rPr>
      </w:pPr>
      <w:r>
        <w:rPr>
          <w:rFonts w:eastAsia="Arial Unicode MS" w:cs="Arial Unicode MS"/>
          <w:b/>
          <w:sz w:val="22"/>
          <w:szCs w:val="22"/>
          <w:lang w:val="el-GR" w:bidi="en-US"/>
        </w:rPr>
        <w:t>18.</w:t>
      </w:r>
      <w:r>
        <w:rPr>
          <w:rFonts w:eastAsia="Arial Unicode MS" w:cs="Arial Unicode MS"/>
          <w:b/>
          <w:sz w:val="22"/>
          <w:szCs w:val="22"/>
          <w:lang w:val="el-GR" w:bidi="en-US"/>
        </w:rPr>
        <w:tab/>
        <w:t>ΜΟΝΑΔΙΚΟΣ ΑΝΑΓΝΩΡΙΣΤΙΚΟΣ ΚΩΔΙΚΟΣ - ΔΕΔΟΜΕΝΑ ΑΝΑΓΝΩΣΙΜΑ ΑΠΟ ΤΟΝ ΑΝΘΡΩΠΟ</w:t>
      </w:r>
    </w:p>
    <w:p w14:paraId="5627CF5E"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504B278F"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6E396DB1"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2C3209D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ΕΛΑΧΙΣΤΕΣ ΕΝΔΕΙ ΞΕΙΣ ΠΟΥ ΠΡΕΠΕΙ ΝΑ ΑΝΑΓΡΑΦΟΝΤΑΙ ΣΤΙΣ ΜΙΚΡΕΣ ΣΤΟΙΧΕΙΩΔΕΙΣ ΣΥΣΚΕΥΑΣΙΕΣ</w:t>
      </w:r>
    </w:p>
    <w:p w14:paraId="16B0AF10"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rPr>
      </w:pPr>
    </w:p>
    <w:p w14:paraId="1338BB8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t>ΕΠΙΣΗΜΑΝΣΗ ΣΥΡΙΓΓΑΣ</w:t>
      </w:r>
    </w:p>
    <w:p w14:paraId="027DEA4E" w14:textId="77777777" w:rsidR="00171824" w:rsidRDefault="00171824">
      <w:pPr>
        <w:widowControl/>
        <w:tabs>
          <w:tab w:val="left" w:pos="567"/>
        </w:tabs>
        <w:autoSpaceDE/>
        <w:autoSpaceDN/>
        <w:adjustRightInd/>
        <w:rPr>
          <w:rFonts w:eastAsia="PMingLiU"/>
          <w:sz w:val="22"/>
          <w:szCs w:val="22"/>
          <w:lang w:val="el-GR"/>
        </w:rPr>
      </w:pPr>
    </w:p>
    <w:p w14:paraId="33926CC8" w14:textId="77777777" w:rsidR="00171824" w:rsidRDefault="00171824">
      <w:pPr>
        <w:widowControl/>
        <w:tabs>
          <w:tab w:val="left" w:pos="567"/>
        </w:tabs>
        <w:autoSpaceDE/>
        <w:autoSpaceDN/>
        <w:adjustRightInd/>
        <w:rPr>
          <w:rFonts w:eastAsia="PMingLiU"/>
          <w:sz w:val="22"/>
          <w:szCs w:val="22"/>
          <w:lang w:val="el-GR"/>
        </w:rPr>
      </w:pPr>
    </w:p>
    <w:p w14:paraId="1364023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w:t>
      </w:r>
      <w:r>
        <w:rPr>
          <w:rFonts w:eastAsia="Arial Unicode MS" w:cs="Arial Unicode MS"/>
          <w:b/>
          <w:sz w:val="22"/>
          <w:szCs w:val="22"/>
          <w:lang w:val="el-GR" w:bidi="en-US"/>
        </w:rPr>
        <w:tab/>
        <w:t>ΟΝΟΜΑΣΙΑ ΤΟΥ ΦΑΡΜΑΚΕΥΤΙΚΟΥ ΠΡΟΪΟΝΤΟΣ ΚΑΙ ΟΔΟΣ(ΟΙ) ΧΟΡΗΓΗΣΗΣ</w:t>
      </w:r>
    </w:p>
    <w:p w14:paraId="7EB59C04" w14:textId="77777777" w:rsidR="00171824" w:rsidRDefault="00171824">
      <w:pPr>
        <w:widowControl/>
        <w:tabs>
          <w:tab w:val="left" w:pos="567"/>
        </w:tabs>
        <w:autoSpaceDE/>
        <w:autoSpaceDN/>
        <w:adjustRightInd/>
        <w:ind w:left="567" w:hanging="567"/>
        <w:rPr>
          <w:rFonts w:eastAsia="PMingLiU"/>
          <w:sz w:val="22"/>
          <w:szCs w:val="22"/>
          <w:lang w:val="el-GR"/>
        </w:rPr>
      </w:pPr>
    </w:p>
    <w:p w14:paraId="182F53D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ένεση</w:t>
      </w:r>
    </w:p>
    <w:p w14:paraId="6AAF574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63B3731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Υποδόρια</w:t>
      </w:r>
    </w:p>
    <w:p w14:paraId="76540E34" w14:textId="77777777" w:rsidR="00171824" w:rsidRDefault="00171824">
      <w:pPr>
        <w:widowControl/>
        <w:tabs>
          <w:tab w:val="left" w:pos="567"/>
        </w:tabs>
        <w:autoSpaceDE/>
        <w:autoSpaceDN/>
        <w:adjustRightInd/>
        <w:rPr>
          <w:rFonts w:eastAsia="PMingLiU"/>
          <w:sz w:val="22"/>
          <w:szCs w:val="22"/>
          <w:lang w:val="el-GR"/>
        </w:rPr>
      </w:pPr>
    </w:p>
    <w:p w14:paraId="11B1C599" w14:textId="77777777" w:rsidR="00171824" w:rsidRDefault="00171824">
      <w:pPr>
        <w:widowControl/>
        <w:tabs>
          <w:tab w:val="left" w:pos="567"/>
        </w:tabs>
        <w:autoSpaceDE/>
        <w:autoSpaceDN/>
        <w:adjustRightInd/>
        <w:rPr>
          <w:rFonts w:eastAsia="PMingLiU"/>
          <w:sz w:val="22"/>
          <w:szCs w:val="22"/>
          <w:lang w:val="el-GR"/>
        </w:rPr>
      </w:pPr>
    </w:p>
    <w:p w14:paraId="6BF636D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ΤΡΟΠΟΣ ΧΟΡΗΓΗΣΗΣ</w:t>
      </w:r>
    </w:p>
    <w:p w14:paraId="5FA332D8" w14:textId="77777777" w:rsidR="00171824" w:rsidRDefault="00171824">
      <w:pPr>
        <w:widowControl/>
        <w:tabs>
          <w:tab w:val="left" w:pos="567"/>
        </w:tabs>
        <w:autoSpaceDE/>
        <w:autoSpaceDN/>
        <w:adjustRightInd/>
        <w:rPr>
          <w:rFonts w:eastAsia="PMingLiU"/>
          <w:sz w:val="22"/>
          <w:szCs w:val="22"/>
          <w:lang w:val="el-GR"/>
        </w:rPr>
      </w:pPr>
    </w:p>
    <w:p w14:paraId="12E266CE" w14:textId="77777777" w:rsidR="00171824" w:rsidRDefault="00171824">
      <w:pPr>
        <w:widowControl/>
        <w:tabs>
          <w:tab w:val="left" w:pos="567"/>
        </w:tabs>
        <w:autoSpaceDE/>
        <w:autoSpaceDN/>
        <w:adjustRightInd/>
        <w:rPr>
          <w:rFonts w:eastAsia="PMingLiU"/>
          <w:sz w:val="22"/>
          <w:szCs w:val="22"/>
          <w:lang w:val="el-GR"/>
        </w:rPr>
      </w:pPr>
    </w:p>
    <w:p w14:paraId="128EBA9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ΗΜΕΡΟΜΗΝΙΑ ΛΗΞΗΣ</w:t>
      </w:r>
    </w:p>
    <w:p w14:paraId="0899E158" w14:textId="77777777" w:rsidR="00171824" w:rsidRDefault="00171824">
      <w:pPr>
        <w:widowControl/>
        <w:tabs>
          <w:tab w:val="left" w:pos="567"/>
        </w:tabs>
        <w:autoSpaceDE/>
        <w:autoSpaceDN/>
        <w:adjustRightInd/>
        <w:rPr>
          <w:rFonts w:eastAsia="PMingLiU"/>
          <w:sz w:val="22"/>
          <w:szCs w:val="20"/>
          <w:lang w:val="el-GR"/>
        </w:rPr>
      </w:pPr>
    </w:p>
    <w:p w14:paraId="1266AB50"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 xml:space="preserve">EXP </w:t>
      </w:r>
    </w:p>
    <w:p w14:paraId="07C6D456" w14:textId="77777777" w:rsidR="00171824" w:rsidRDefault="00171824">
      <w:pPr>
        <w:widowControl/>
        <w:tabs>
          <w:tab w:val="left" w:pos="567"/>
        </w:tabs>
        <w:autoSpaceDE/>
        <w:autoSpaceDN/>
        <w:adjustRightInd/>
        <w:rPr>
          <w:rFonts w:eastAsia="PMingLiU"/>
          <w:sz w:val="22"/>
          <w:szCs w:val="20"/>
          <w:lang w:val="el-GR"/>
        </w:rPr>
      </w:pPr>
    </w:p>
    <w:p w14:paraId="71CCAA86" w14:textId="77777777" w:rsidR="00171824" w:rsidRDefault="00171824">
      <w:pPr>
        <w:widowControl/>
        <w:tabs>
          <w:tab w:val="left" w:pos="567"/>
        </w:tabs>
        <w:autoSpaceDE/>
        <w:autoSpaceDN/>
        <w:adjustRightInd/>
        <w:rPr>
          <w:rFonts w:eastAsia="PMingLiU"/>
          <w:sz w:val="22"/>
          <w:szCs w:val="20"/>
          <w:lang w:val="el-GR"/>
        </w:rPr>
      </w:pPr>
    </w:p>
    <w:p w14:paraId="53B6DB3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0"/>
          <w:lang w:val="el-GR" w:bidi="en-US"/>
        </w:rPr>
      </w:pPr>
      <w:r>
        <w:rPr>
          <w:rFonts w:eastAsia="Arial Unicode MS" w:cs="Arial Unicode MS"/>
          <w:b/>
          <w:sz w:val="22"/>
          <w:szCs w:val="20"/>
          <w:lang w:val="el-GR" w:bidi="en-US"/>
        </w:rPr>
        <w:t>4.</w:t>
      </w:r>
      <w:r>
        <w:rPr>
          <w:rFonts w:eastAsia="Arial Unicode MS" w:cs="Arial Unicode MS"/>
          <w:b/>
          <w:sz w:val="22"/>
          <w:szCs w:val="20"/>
          <w:lang w:val="el-GR" w:bidi="en-US"/>
        </w:rPr>
        <w:tab/>
        <w:t xml:space="preserve">ΑΡΙΘΜΟΣ ΠΑΡΤΙΔΑΣ </w:t>
      </w:r>
    </w:p>
    <w:p w14:paraId="29052659" w14:textId="77777777" w:rsidR="00171824" w:rsidRDefault="00171824">
      <w:pPr>
        <w:widowControl/>
        <w:tabs>
          <w:tab w:val="left" w:pos="567"/>
        </w:tabs>
        <w:autoSpaceDE/>
        <w:autoSpaceDN/>
        <w:adjustRightInd/>
        <w:ind w:right="113"/>
        <w:rPr>
          <w:rFonts w:eastAsia="PMingLiU"/>
          <w:sz w:val="22"/>
          <w:szCs w:val="20"/>
          <w:lang w:val="el-GR"/>
        </w:rPr>
      </w:pPr>
    </w:p>
    <w:p w14:paraId="459CFBD9" w14:textId="77777777" w:rsidR="00171824" w:rsidRDefault="006D258C">
      <w:pPr>
        <w:widowControl/>
        <w:tabs>
          <w:tab w:val="left" w:pos="567"/>
        </w:tabs>
        <w:autoSpaceDE/>
        <w:autoSpaceDN/>
        <w:adjustRightInd/>
        <w:ind w:right="113"/>
        <w:rPr>
          <w:rFonts w:eastAsia="PMingLiU"/>
          <w:sz w:val="22"/>
          <w:szCs w:val="20"/>
          <w:lang w:val="el-GR" w:bidi="en-US"/>
        </w:rPr>
      </w:pPr>
      <w:r>
        <w:rPr>
          <w:rFonts w:eastAsia="Arial Unicode MS" w:cs="Arial Unicode MS"/>
          <w:sz w:val="22"/>
          <w:szCs w:val="20"/>
          <w:lang w:val="el-GR" w:bidi="en-US"/>
        </w:rPr>
        <w:t>Lot</w:t>
      </w:r>
    </w:p>
    <w:p w14:paraId="327693AB" w14:textId="77777777" w:rsidR="00171824" w:rsidRDefault="00171824">
      <w:pPr>
        <w:widowControl/>
        <w:tabs>
          <w:tab w:val="left" w:pos="567"/>
        </w:tabs>
        <w:autoSpaceDE/>
        <w:autoSpaceDN/>
        <w:adjustRightInd/>
        <w:ind w:right="113"/>
        <w:rPr>
          <w:rFonts w:eastAsia="PMingLiU"/>
          <w:sz w:val="22"/>
          <w:szCs w:val="20"/>
          <w:lang w:val="el-GR"/>
        </w:rPr>
      </w:pPr>
    </w:p>
    <w:p w14:paraId="0A0BC6D0" w14:textId="77777777" w:rsidR="00171824" w:rsidRDefault="00171824">
      <w:pPr>
        <w:widowControl/>
        <w:tabs>
          <w:tab w:val="left" w:pos="567"/>
        </w:tabs>
        <w:autoSpaceDE/>
        <w:autoSpaceDN/>
        <w:adjustRightInd/>
        <w:ind w:right="113"/>
        <w:rPr>
          <w:rFonts w:eastAsia="PMingLiU"/>
          <w:sz w:val="22"/>
          <w:szCs w:val="20"/>
          <w:lang w:val="el-GR"/>
        </w:rPr>
      </w:pPr>
    </w:p>
    <w:p w14:paraId="00D6DC2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ΠΕΡΙΕΧΟΜΕΝΟ ΚΑΤΑ ΒΑΡΟΣ, ΚΑΤ' ΟΓΚΟ Ή ΚΑΤΑ ΜΟΝΑΔΑ</w:t>
      </w:r>
    </w:p>
    <w:p w14:paraId="4DC9702E" w14:textId="77777777" w:rsidR="00171824" w:rsidRDefault="00171824">
      <w:pPr>
        <w:widowControl/>
        <w:tabs>
          <w:tab w:val="left" w:pos="567"/>
        </w:tabs>
        <w:autoSpaceDE/>
        <w:autoSpaceDN/>
        <w:adjustRightInd/>
        <w:ind w:right="113"/>
        <w:rPr>
          <w:rFonts w:eastAsia="PMingLiU"/>
          <w:sz w:val="22"/>
          <w:szCs w:val="22"/>
          <w:lang w:val="el-GR"/>
        </w:rPr>
      </w:pPr>
    </w:p>
    <w:p w14:paraId="43E179A4" w14:textId="77777777" w:rsidR="00171824" w:rsidRDefault="006D258C">
      <w:pPr>
        <w:widowControl/>
        <w:tabs>
          <w:tab w:val="left" w:pos="567"/>
        </w:tabs>
        <w:autoSpaceDE/>
        <w:autoSpaceDN/>
        <w:adjustRightInd/>
        <w:ind w:right="113"/>
        <w:rPr>
          <w:rFonts w:eastAsia="PMingLiU"/>
          <w:sz w:val="22"/>
          <w:szCs w:val="22"/>
          <w:lang w:val="el-GR" w:bidi="en-US"/>
        </w:rPr>
      </w:pPr>
      <w:r>
        <w:rPr>
          <w:rFonts w:eastAsia="Arial Unicode MS" w:cs="Arial Unicode MS"/>
          <w:sz w:val="22"/>
          <w:szCs w:val="22"/>
          <w:lang w:val="el-GR" w:bidi="en-US"/>
        </w:rPr>
        <w:t>0,4 ml</w:t>
      </w:r>
    </w:p>
    <w:p w14:paraId="3C046138" w14:textId="77777777" w:rsidR="00171824" w:rsidRDefault="00171824">
      <w:pPr>
        <w:widowControl/>
        <w:tabs>
          <w:tab w:val="left" w:pos="567"/>
        </w:tabs>
        <w:autoSpaceDE/>
        <w:autoSpaceDN/>
        <w:adjustRightInd/>
        <w:ind w:right="113"/>
        <w:rPr>
          <w:rFonts w:eastAsia="PMingLiU"/>
          <w:sz w:val="22"/>
          <w:szCs w:val="22"/>
          <w:lang w:val="el-GR"/>
        </w:rPr>
      </w:pPr>
    </w:p>
    <w:p w14:paraId="0F12769E" w14:textId="77777777" w:rsidR="00171824" w:rsidRDefault="00171824">
      <w:pPr>
        <w:widowControl/>
        <w:tabs>
          <w:tab w:val="left" w:pos="567"/>
        </w:tabs>
        <w:autoSpaceDE/>
        <w:autoSpaceDN/>
        <w:adjustRightInd/>
        <w:ind w:right="113"/>
        <w:rPr>
          <w:rFonts w:eastAsia="PMingLiU"/>
          <w:sz w:val="22"/>
          <w:szCs w:val="22"/>
          <w:lang w:val="el-GR"/>
        </w:rPr>
      </w:pPr>
    </w:p>
    <w:p w14:paraId="525D33A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ΑΛΛΑ ΣΤΟΙΧΕΙΑ</w:t>
      </w:r>
    </w:p>
    <w:p w14:paraId="5C92BC72" w14:textId="77777777" w:rsidR="00171824" w:rsidRDefault="00171824">
      <w:pPr>
        <w:widowControl/>
        <w:tabs>
          <w:tab w:val="left" w:pos="567"/>
        </w:tabs>
        <w:autoSpaceDE/>
        <w:autoSpaceDN/>
        <w:adjustRightInd/>
        <w:ind w:right="113"/>
        <w:rPr>
          <w:rFonts w:eastAsia="PMingLiU"/>
          <w:sz w:val="22"/>
          <w:szCs w:val="22"/>
          <w:lang w:val="el-GR"/>
        </w:rPr>
      </w:pPr>
    </w:p>
    <w:p w14:paraId="04543F27" w14:textId="77777777" w:rsidR="00171824" w:rsidRDefault="00171824">
      <w:pPr>
        <w:widowControl/>
        <w:tabs>
          <w:tab w:val="left" w:pos="567"/>
        </w:tabs>
        <w:autoSpaceDE/>
        <w:autoSpaceDN/>
        <w:adjustRightInd/>
        <w:ind w:right="113"/>
        <w:rPr>
          <w:rFonts w:eastAsia="PMingLiU"/>
          <w:sz w:val="22"/>
          <w:szCs w:val="20"/>
          <w:lang w:val="el-GR"/>
        </w:rPr>
      </w:pPr>
    </w:p>
    <w:p w14:paraId="2F077790" w14:textId="77777777" w:rsidR="00171824" w:rsidRDefault="006D258C">
      <w:pPr>
        <w:widowControl/>
        <w:shd w:val="clear" w:color="auto" w:fill="FFFFFF"/>
        <w:tabs>
          <w:tab w:val="left" w:pos="567"/>
        </w:tabs>
        <w:autoSpaceDE/>
        <w:autoSpaceDN/>
        <w:adjustRightInd/>
        <w:rPr>
          <w:rFonts w:eastAsia="PMingLiU"/>
          <w:sz w:val="22"/>
          <w:szCs w:val="22"/>
          <w:lang w:val="el-GR" w:bidi="en-US"/>
        </w:rPr>
      </w:pPr>
      <w:r>
        <w:rPr>
          <w:rFonts w:eastAsia="PMingLiU"/>
          <w:sz w:val="22"/>
          <w:szCs w:val="20"/>
          <w:lang w:val="el-GR"/>
        </w:rPr>
        <w:br w:type="page"/>
      </w:r>
    </w:p>
    <w:p w14:paraId="4C82923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4830766A"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063B94F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ΚΟΥΤΙ ΠΡΟΓΕΜΙΣΜΕΝΗΣ ΣΥΣΚΕΥΗΣ ΤΥΠΟΥ ΠΕΝΑΣ</w:t>
      </w:r>
    </w:p>
    <w:p w14:paraId="36CE2351" w14:textId="77777777" w:rsidR="00171824" w:rsidRDefault="00171824">
      <w:pPr>
        <w:widowControl/>
        <w:tabs>
          <w:tab w:val="left" w:pos="567"/>
        </w:tabs>
        <w:autoSpaceDE/>
        <w:autoSpaceDN/>
        <w:adjustRightInd/>
        <w:rPr>
          <w:rFonts w:eastAsia="PMingLiU"/>
          <w:sz w:val="22"/>
          <w:szCs w:val="20"/>
          <w:lang w:val="el-GR"/>
        </w:rPr>
      </w:pPr>
    </w:p>
    <w:p w14:paraId="1D2DA9A1" w14:textId="77777777" w:rsidR="00171824" w:rsidRDefault="00171824">
      <w:pPr>
        <w:widowControl/>
        <w:tabs>
          <w:tab w:val="left" w:pos="567"/>
        </w:tabs>
        <w:autoSpaceDE/>
        <w:autoSpaceDN/>
        <w:adjustRightInd/>
        <w:rPr>
          <w:rFonts w:eastAsia="PMingLiU"/>
          <w:sz w:val="22"/>
          <w:szCs w:val="22"/>
          <w:lang w:val="el-GR"/>
        </w:rPr>
      </w:pPr>
    </w:p>
    <w:p w14:paraId="7BD138B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247A8DCB" w14:textId="77777777" w:rsidR="00171824" w:rsidRDefault="00171824">
      <w:pPr>
        <w:widowControl/>
        <w:tabs>
          <w:tab w:val="left" w:pos="567"/>
        </w:tabs>
        <w:autoSpaceDE/>
        <w:autoSpaceDN/>
        <w:adjustRightInd/>
        <w:rPr>
          <w:rFonts w:eastAsia="PMingLiU"/>
          <w:sz w:val="22"/>
          <w:szCs w:val="22"/>
          <w:lang w:val="el-GR"/>
        </w:rPr>
      </w:pPr>
    </w:p>
    <w:p w14:paraId="0C9E6437"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ενέσιμο διάλυμα σε προγεμισμένη συσκευή τύπου πένας</w:t>
      </w:r>
    </w:p>
    <w:p w14:paraId="33773FB0"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00D31523" w14:textId="77777777" w:rsidR="00171824" w:rsidRDefault="00171824">
      <w:pPr>
        <w:widowControl/>
        <w:tabs>
          <w:tab w:val="left" w:pos="567"/>
        </w:tabs>
        <w:autoSpaceDE/>
        <w:autoSpaceDN/>
        <w:adjustRightInd/>
        <w:rPr>
          <w:rFonts w:eastAsia="PMingLiU"/>
          <w:sz w:val="22"/>
          <w:szCs w:val="22"/>
          <w:lang w:val="el-GR"/>
        </w:rPr>
      </w:pPr>
    </w:p>
    <w:p w14:paraId="3CDE9D28" w14:textId="77777777" w:rsidR="00171824" w:rsidRDefault="00171824">
      <w:pPr>
        <w:widowControl/>
        <w:tabs>
          <w:tab w:val="left" w:pos="567"/>
        </w:tabs>
        <w:autoSpaceDE/>
        <w:autoSpaceDN/>
        <w:adjustRightInd/>
        <w:rPr>
          <w:rFonts w:eastAsia="PMingLiU"/>
          <w:sz w:val="22"/>
          <w:szCs w:val="22"/>
          <w:lang w:val="el-GR"/>
        </w:rPr>
      </w:pPr>
    </w:p>
    <w:p w14:paraId="433FDF4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04655A46" w14:textId="77777777" w:rsidR="00171824" w:rsidRDefault="00171824">
      <w:pPr>
        <w:widowControl/>
        <w:tabs>
          <w:tab w:val="left" w:pos="567"/>
        </w:tabs>
        <w:autoSpaceDE/>
        <w:autoSpaceDN/>
        <w:adjustRightInd/>
        <w:rPr>
          <w:rFonts w:eastAsia="PMingLiU"/>
          <w:sz w:val="22"/>
          <w:szCs w:val="22"/>
          <w:lang w:val="el-GR"/>
        </w:rPr>
      </w:pPr>
    </w:p>
    <w:p w14:paraId="3F44DAB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40 mg adalimumab σε διάλυμα 0,4 ml.</w:t>
      </w:r>
    </w:p>
    <w:p w14:paraId="4F885E0D" w14:textId="77777777" w:rsidR="00171824" w:rsidRDefault="00171824">
      <w:pPr>
        <w:widowControl/>
        <w:tabs>
          <w:tab w:val="left" w:pos="567"/>
        </w:tabs>
        <w:autoSpaceDE/>
        <w:autoSpaceDN/>
        <w:adjustRightInd/>
        <w:rPr>
          <w:rFonts w:eastAsia="PMingLiU"/>
          <w:sz w:val="22"/>
          <w:szCs w:val="22"/>
          <w:lang w:val="el-GR"/>
        </w:rPr>
      </w:pPr>
    </w:p>
    <w:p w14:paraId="3D8CE6F3" w14:textId="77777777" w:rsidR="00171824" w:rsidRDefault="00171824">
      <w:pPr>
        <w:widowControl/>
        <w:tabs>
          <w:tab w:val="left" w:pos="567"/>
        </w:tabs>
        <w:autoSpaceDE/>
        <w:autoSpaceDN/>
        <w:adjustRightInd/>
        <w:rPr>
          <w:rFonts w:eastAsia="PMingLiU"/>
          <w:sz w:val="22"/>
          <w:szCs w:val="22"/>
          <w:lang w:val="el-GR"/>
        </w:rPr>
      </w:pPr>
    </w:p>
    <w:p w14:paraId="6184C40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3D6132E2" w14:textId="77777777" w:rsidR="00171824" w:rsidRDefault="00171824">
      <w:pPr>
        <w:widowControl/>
        <w:tabs>
          <w:tab w:val="left" w:pos="567"/>
        </w:tabs>
        <w:autoSpaceDE/>
        <w:autoSpaceDN/>
        <w:adjustRightInd/>
        <w:rPr>
          <w:rFonts w:eastAsia="PMingLiU"/>
          <w:sz w:val="22"/>
          <w:szCs w:val="22"/>
          <w:lang w:val="el-GR"/>
        </w:rPr>
      </w:pPr>
    </w:p>
    <w:p w14:paraId="54E9E8FC"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L-γαλακτικό οξύ, σακχαρόζη, πολυσορβικό 80, υδροξείδιο του νατρίου και ενέσιμο ύδωρ.</w:t>
      </w:r>
    </w:p>
    <w:p w14:paraId="2C9BE011" w14:textId="77777777" w:rsidR="00171824" w:rsidRDefault="00171824">
      <w:pPr>
        <w:widowControl/>
        <w:tabs>
          <w:tab w:val="left" w:pos="567"/>
        </w:tabs>
        <w:autoSpaceDE/>
        <w:autoSpaceDN/>
        <w:adjustRightInd/>
        <w:rPr>
          <w:rFonts w:eastAsia="PMingLiU"/>
          <w:sz w:val="22"/>
          <w:szCs w:val="22"/>
          <w:lang w:val="el-GR"/>
        </w:rPr>
      </w:pPr>
    </w:p>
    <w:p w14:paraId="72EFC1D1" w14:textId="77777777" w:rsidR="00171824" w:rsidRDefault="00171824">
      <w:pPr>
        <w:widowControl/>
        <w:tabs>
          <w:tab w:val="left" w:pos="567"/>
        </w:tabs>
        <w:autoSpaceDE/>
        <w:autoSpaceDN/>
        <w:adjustRightInd/>
        <w:rPr>
          <w:rFonts w:eastAsia="PMingLiU"/>
          <w:sz w:val="22"/>
          <w:szCs w:val="22"/>
          <w:lang w:val="el-GR"/>
        </w:rPr>
      </w:pPr>
    </w:p>
    <w:p w14:paraId="72EB605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4ADCD049" w14:textId="77777777" w:rsidR="00171824" w:rsidRDefault="00171824">
      <w:pPr>
        <w:widowControl/>
        <w:tabs>
          <w:tab w:val="left" w:pos="567"/>
        </w:tabs>
        <w:autoSpaceDE/>
        <w:autoSpaceDN/>
        <w:adjustRightInd/>
        <w:rPr>
          <w:rFonts w:eastAsia="PMingLiU"/>
          <w:sz w:val="22"/>
          <w:szCs w:val="22"/>
          <w:lang w:val="el-GR"/>
        </w:rPr>
      </w:pPr>
    </w:p>
    <w:p w14:paraId="142F6E25"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7AA12AF3" w14:textId="77777777" w:rsidR="00171824" w:rsidRDefault="006D258C">
      <w:pPr>
        <w:rPr>
          <w:sz w:val="22"/>
          <w:szCs w:val="22"/>
          <w:lang w:val="el-GR"/>
        </w:rPr>
      </w:pPr>
      <w:r>
        <w:rPr>
          <w:sz w:val="22"/>
          <w:szCs w:val="22"/>
          <w:lang w:val="el-GR"/>
        </w:rPr>
        <w:t>40 mg/0,4 ml</w:t>
      </w:r>
    </w:p>
    <w:p w14:paraId="13F99E3F"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1 προγεμισμένη συσκευή τύπου πένας SureClick.</w:t>
      </w:r>
    </w:p>
    <w:p w14:paraId="6A389500" w14:textId="77777777" w:rsidR="00171824" w:rsidRDefault="006D258C">
      <w:pPr>
        <w:widowControl/>
        <w:tabs>
          <w:tab w:val="left" w:pos="567"/>
        </w:tabs>
        <w:autoSpaceDE/>
        <w:autoSpaceDN/>
        <w:adjustRightInd/>
        <w:rPr>
          <w:rFonts w:eastAsia="PMingLiU"/>
          <w:sz w:val="22"/>
          <w:szCs w:val="22"/>
          <w:highlight w:val="lightGray"/>
          <w:lang w:val="el-GR" w:bidi="en-US"/>
        </w:rPr>
      </w:pPr>
      <w:r>
        <w:rPr>
          <w:rFonts w:eastAsia="Arial Unicode MS" w:cs="Arial Unicode MS"/>
          <w:sz w:val="22"/>
          <w:szCs w:val="22"/>
          <w:highlight w:val="lightGray"/>
          <w:lang w:val="el-GR" w:bidi="en-US"/>
        </w:rPr>
        <w:t>2 προγεμισμένες συσκευές τύπου πένας SureClick.</w:t>
      </w:r>
    </w:p>
    <w:p w14:paraId="17B91118" w14:textId="77777777" w:rsidR="00171824" w:rsidRDefault="00171824">
      <w:pPr>
        <w:widowControl/>
        <w:tabs>
          <w:tab w:val="left" w:pos="567"/>
        </w:tabs>
        <w:autoSpaceDE/>
        <w:autoSpaceDN/>
        <w:adjustRightInd/>
        <w:rPr>
          <w:rFonts w:eastAsia="PMingLiU"/>
          <w:sz w:val="22"/>
          <w:szCs w:val="22"/>
          <w:lang w:val="el-GR"/>
        </w:rPr>
      </w:pPr>
    </w:p>
    <w:p w14:paraId="31D1955E" w14:textId="77777777" w:rsidR="00171824" w:rsidRDefault="00171824">
      <w:pPr>
        <w:widowControl/>
        <w:tabs>
          <w:tab w:val="left" w:pos="567"/>
        </w:tabs>
        <w:autoSpaceDE/>
        <w:autoSpaceDN/>
        <w:adjustRightInd/>
        <w:rPr>
          <w:rFonts w:eastAsia="PMingLiU"/>
          <w:sz w:val="22"/>
          <w:szCs w:val="22"/>
          <w:lang w:val="el-GR"/>
        </w:rPr>
      </w:pPr>
    </w:p>
    <w:p w14:paraId="505C143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77802605" w14:textId="77777777" w:rsidR="00171824" w:rsidRDefault="00171824">
      <w:pPr>
        <w:widowControl/>
        <w:tabs>
          <w:tab w:val="left" w:pos="567"/>
        </w:tabs>
        <w:autoSpaceDE/>
        <w:autoSpaceDN/>
        <w:adjustRightInd/>
        <w:rPr>
          <w:rFonts w:eastAsia="PMingLiU"/>
          <w:sz w:val="22"/>
          <w:szCs w:val="20"/>
          <w:lang w:val="el-GR"/>
        </w:rPr>
      </w:pPr>
    </w:p>
    <w:p w14:paraId="0A3F75D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3F97B14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3978251E"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5134B834" w14:textId="77777777" w:rsidR="00171824" w:rsidRDefault="00171824">
      <w:pPr>
        <w:widowControl/>
        <w:tabs>
          <w:tab w:val="left" w:pos="567"/>
        </w:tabs>
        <w:autoSpaceDE/>
        <w:autoSpaceDN/>
        <w:adjustRightInd/>
        <w:rPr>
          <w:rFonts w:eastAsia="PMingLiU"/>
          <w:sz w:val="22"/>
          <w:szCs w:val="22"/>
          <w:lang w:val="el-GR"/>
        </w:rPr>
      </w:pPr>
    </w:p>
    <w:p w14:paraId="6E8B8797" w14:textId="77777777" w:rsidR="00171824" w:rsidRDefault="00171824">
      <w:pPr>
        <w:widowControl/>
        <w:tabs>
          <w:tab w:val="left" w:pos="567"/>
        </w:tabs>
        <w:autoSpaceDE/>
        <w:autoSpaceDN/>
        <w:adjustRightInd/>
        <w:rPr>
          <w:rFonts w:eastAsia="PMingLiU"/>
          <w:sz w:val="22"/>
          <w:szCs w:val="22"/>
          <w:lang w:val="el-GR"/>
        </w:rPr>
      </w:pPr>
    </w:p>
    <w:p w14:paraId="79DDB0D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48D684EB" w14:textId="77777777" w:rsidR="00171824" w:rsidRDefault="00171824">
      <w:pPr>
        <w:widowControl/>
        <w:tabs>
          <w:tab w:val="left" w:pos="567"/>
        </w:tabs>
        <w:autoSpaceDE/>
        <w:autoSpaceDN/>
        <w:adjustRightInd/>
        <w:rPr>
          <w:rFonts w:eastAsia="PMingLiU"/>
          <w:sz w:val="22"/>
          <w:szCs w:val="22"/>
          <w:lang w:val="el-GR"/>
        </w:rPr>
      </w:pPr>
    </w:p>
    <w:p w14:paraId="68B61099"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2BA7A6A2" w14:textId="77777777" w:rsidR="00171824" w:rsidRDefault="00171824">
      <w:pPr>
        <w:widowControl/>
        <w:tabs>
          <w:tab w:val="left" w:pos="567"/>
        </w:tabs>
        <w:autoSpaceDE/>
        <w:autoSpaceDN/>
        <w:adjustRightInd/>
        <w:rPr>
          <w:rFonts w:eastAsia="PMingLiU"/>
          <w:sz w:val="22"/>
          <w:szCs w:val="22"/>
          <w:lang w:val="el-GR"/>
        </w:rPr>
      </w:pPr>
    </w:p>
    <w:p w14:paraId="59B061A7" w14:textId="77777777" w:rsidR="00171824" w:rsidRDefault="00171824">
      <w:pPr>
        <w:widowControl/>
        <w:tabs>
          <w:tab w:val="left" w:pos="567"/>
        </w:tabs>
        <w:autoSpaceDE/>
        <w:autoSpaceDN/>
        <w:adjustRightInd/>
        <w:rPr>
          <w:rFonts w:eastAsia="PMingLiU"/>
          <w:sz w:val="22"/>
          <w:szCs w:val="22"/>
          <w:lang w:val="el-GR"/>
        </w:rPr>
      </w:pPr>
    </w:p>
    <w:p w14:paraId="5E9F247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1A4729E0" w14:textId="77777777" w:rsidR="00171824" w:rsidRDefault="00171824">
      <w:pPr>
        <w:widowControl/>
        <w:tabs>
          <w:tab w:val="left" w:pos="567"/>
        </w:tabs>
        <w:autoSpaceDE/>
        <w:autoSpaceDN/>
        <w:adjustRightInd/>
        <w:rPr>
          <w:rFonts w:eastAsia="PMingLiU"/>
          <w:sz w:val="22"/>
          <w:szCs w:val="22"/>
          <w:lang w:val="el-GR"/>
        </w:rPr>
      </w:pPr>
    </w:p>
    <w:p w14:paraId="371E29C7" w14:textId="77777777" w:rsidR="00171824" w:rsidRDefault="00171824">
      <w:pPr>
        <w:widowControl/>
        <w:tabs>
          <w:tab w:val="left" w:pos="567"/>
          <w:tab w:val="left" w:pos="749"/>
        </w:tabs>
        <w:autoSpaceDE/>
        <w:autoSpaceDN/>
        <w:adjustRightInd/>
        <w:rPr>
          <w:rFonts w:eastAsia="PMingLiU"/>
          <w:sz w:val="22"/>
          <w:szCs w:val="20"/>
          <w:lang w:val="el-GR"/>
        </w:rPr>
      </w:pPr>
    </w:p>
    <w:p w14:paraId="1B35820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6EC8F125" w14:textId="77777777" w:rsidR="00171824" w:rsidRDefault="00171824">
      <w:pPr>
        <w:widowControl/>
        <w:tabs>
          <w:tab w:val="left" w:pos="567"/>
        </w:tabs>
        <w:autoSpaceDE/>
        <w:autoSpaceDN/>
        <w:adjustRightInd/>
        <w:rPr>
          <w:rFonts w:eastAsia="PMingLiU"/>
          <w:sz w:val="22"/>
          <w:szCs w:val="20"/>
          <w:lang w:val="el-GR"/>
        </w:rPr>
      </w:pPr>
    </w:p>
    <w:p w14:paraId="2DD80CA8"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546A5861" w14:textId="77777777" w:rsidR="00171824" w:rsidRDefault="00171824">
      <w:pPr>
        <w:widowControl/>
        <w:tabs>
          <w:tab w:val="left" w:pos="567"/>
        </w:tabs>
        <w:autoSpaceDE/>
        <w:autoSpaceDN/>
        <w:adjustRightInd/>
        <w:rPr>
          <w:rFonts w:eastAsia="PMingLiU"/>
          <w:sz w:val="22"/>
          <w:szCs w:val="22"/>
          <w:lang w:val="el-GR"/>
        </w:rPr>
      </w:pPr>
    </w:p>
    <w:p w14:paraId="0ECD68CB" w14:textId="77777777" w:rsidR="00171824" w:rsidRDefault="00171824">
      <w:pPr>
        <w:widowControl/>
        <w:tabs>
          <w:tab w:val="left" w:pos="567"/>
        </w:tabs>
        <w:autoSpaceDE/>
        <w:autoSpaceDN/>
        <w:adjustRightInd/>
        <w:rPr>
          <w:rFonts w:eastAsia="PMingLiU"/>
          <w:sz w:val="22"/>
          <w:szCs w:val="22"/>
          <w:lang w:val="el-GR"/>
        </w:rPr>
      </w:pPr>
    </w:p>
    <w:p w14:paraId="7939E845"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3D908592" w14:textId="77777777" w:rsidR="00171824" w:rsidRDefault="00171824">
      <w:pPr>
        <w:keepNext/>
        <w:widowControl/>
        <w:tabs>
          <w:tab w:val="left" w:pos="567"/>
        </w:tabs>
        <w:autoSpaceDE/>
        <w:autoSpaceDN/>
        <w:adjustRightInd/>
        <w:rPr>
          <w:rFonts w:eastAsia="PMingLiU"/>
          <w:sz w:val="22"/>
          <w:szCs w:val="22"/>
          <w:lang w:val="el-GR"/>
        </w:rPr>
      </w:pPr>
    </w:p>
    <w:p w14:paraId="6C60F818"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5F1AAA8D"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1D0DCA8D"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35204935" w14:textId="77777777" w:rsidR="00171824" w:rsidRDefault="00171824">
      <w:pPr>
        <w:widowControl/>
        <w:tabs>
          <w:tab w:val="left" w:pos="567"/>
        </w:tabs>
        <w:autoSpaceDE/>
        <w:autoSpaceDN/>
        <w:adjustRightInd/>
        <w:rPr>
          <w:rFonts w:eastAsia="SimSun"/>
          <w:sz w:val="22"/>
          <w:szCs w:val="22"/>
          <w:lang w:val="el-GR" w:eastAsia="en-GB"/>
        </w:rPr>
      </w:pPr>
    </w:p>
    <w:p w14:paraId="32A542C2" w14:textId="77777777" w:rsidR="00171824" w:rsidRDefault="00171824">
      <w:pPr>
        <w:widowControl/>
        <w:tabs>
          <w:tab w:val="left" w:pos="567"/>
        </w:tabs>
        <w:autoSpaceDE/>
        <w:autoSpaceDN/>
        <w:adjustRightInd/>
        <w:rPr>
          <w:rFonts w:eastAsia="SimSun"/>
          <w:sz w:val="22"/>
          <w:szCs w:val="22"/>
          <w:lang w:val="el-GR" w:eastAsia="en-GB"/>
        </w:rPr>
      </w:pPr>
    </w:p>
    <w:p w14:paraId="08FED16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32B4872E" w14:textId="77777777" w:rsidR="00171824" w:rsidRDefault="00171824">
      <w:pPr>
        <w:widowControl/>
        <w:tabs>
          <w:tab w:val="left" w:pos="567"/>
        </w:tabs>
        <w:autoSpaceDE/>
        <w:autoSpaceDN/>
        <w:adjustRightInd/>
        <w:rPr>
          <w:rFonts w:eastAsia="PMingLiU"/>
          <w:sz w:val="22"/>
          <w:szCs w:val="22"/>
          <w:lang w:val="el-GR"/>
        </w:rPr>
      </w:pPr>
    </w:p>
    <w:p w14:paraId="52B2C7FA" w14:textId="77777777" w:rsidR="00171824" w:rsidRDefault="00171824">
      <w:pPr>
        <w:widowControl/>
        <w:tabs>
          <w:tab w:val="left" w:pos="567"/>
        </w:tabs>
        <w:autoSpaceDE/>
        <w:autoSpaceDN/>
        <w:adjustRightInd/>
        <w:rPr>
          <w:rFonts w:eastAsia="PMingLiU"/>
          <w:sz w:val="22"/>
          <w:szCs w:val="22"/>
          <w:lang w:val="el-GR"/>
        </w:rPr>
      </w:pPr>
    </w:p>
    <w:p w14:paraId="2FAE9A9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586E35E0" w14:textId="77777777" w:rsidR="00171824" w:rsidRDefault="00171824">
      <w:pPr>
        <w:widowControl/>
        <w:tabs>
          <w:tab w:val="left" w:pos="567"/>
        </w:tabs>
        <w:autoSpaceDE/>
        <w:autoSpaceDN/>
        <w:adjustRightInd/>
        <w:rPr>
          <w:rFonts w:eastAsia="PMingLiU"/>
          <w:sz w:val="22"/>
          <w:szCs w:val="22"/>
          <w:lang w:val="el-GR"/>
        </w:rPr>
      </w:pPr>
    </w:p>
    <w:p w14:paraId="1715BF19"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3850EB10"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13569B82"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7C9883C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02040997" w14:textId="77777777" w:rsidR="00171824" w:rsidRDefault="00171824">
      <w:pPr>
        <w:widowControl/>
        <w:tabs>
          <w:tab w:val="left" w:pos="567"/>
        </w:tabs>
        <w:autoSpaceDE/>
        <w:autoSpaceDN/>
        <w:adjustRightInd/>
        <w:rPr>
          <w:rFonts w:eastAsia="PMingLiU"/>
          <w:sz w:val="22"/>
          <w:szCs w:val="22"/>
          <w:lang w:val="el-GR"/>
        </w:rPr>
      </w:pPr>
    </w:p>
    <w:p w14:paraId="6FF0A46B" w14:textId="77777777" w:rsidR="00171824" w:rsidRDefault="00171824">
      <w:pPr>
        <w:widowControl/>
        <w:tabs>
          <w:tab w:val="left" w:pos="567"/>
        </w:tabs>
        <w:autoSpaceDE/>
        <w:autoSpaceDN/>
        <w:adjustRightInd/>
        <w:rPr>
          <w:rFonts w:eastAsia="PMingLiU"/>
          <w:sz w:val="22"/>
          <w:szCs w:val="22"/>
          <w:lang w:val="el-GR"/>
        </w:rPr>
      </w:pPr>
    </w:p>
    <w:p w14:paraId="7DE0906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2B110083" w14:textId="77777777" w:rsidR="00171824" w:rsidRDefault="00171824">
      <w:pPr>
        <w:widowControl/>
        <w:tabs>
          <w:tab w:val="left" w:pos="567"/>
        </w:tabs>
        <w:autoSpaceDE/>
        <w:autoSpaceDN/>
        <w:adjustRightInd/>
        <w:rPr>
          <w:rFonts w:eastAsia="PMingLiU"/>
          <w:sz w:val="22"/>
          <w:szCs w:val="22"/>
          <w:lang w:val="el-GR"/>
        </w:rPr>
      </w:pPr>
    </w:p>
    <w:p w14:paraId="464D5883"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EU/1/16/1164/014 </w:t>
      </w:r>
      <w:r>
        <w:rPr>
          <w:rFonts w:eastAsia="Arial Unicode MS" w:cs="Arial Unicode MS"/>
          <w:sz w:val="22"/>
          <w:szCs w:val="22"/>
          <w:highlight w:val="lightGray"/>
          <w:lang w:val="el-GR" w:bidi="en-US"/>
        </w:rPr>
        <w:t>1 συσκευασία</w:t>
      </w:r>
    </w:p>
    <w:p w14:paraId="204978E7"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highlight w:val="lightGray"/>
          <w:lang w:val="el-GR" w:bidi="en-US"/>
        </w:rPr>
        <w:t>EU/1/16/1164/015 2 συσκευασίες</w:t>
      </w:r>
    </w:p>
    <w:p w14:paraId="3DAFEB31" w14:textId="77777777" w:rsidR="00171824" w:rsidRDefault="00171824">
      <w:pPr>
        <w:widowControl/>
        <w:tabs>
          <w:tab w:val="left" w:pos="567"/>
        </w:tabs>
        <w:autoSpaceDE/>
        <w:autoSpaceDN/>
        <w:adjustRightInd/>
        <w:rPr>
          <w:rFonts w:eastAsia="PMingLiU"/>
          <w:sz w:val="22"/>
          <w:szCs w:val="22"/>
          <w:lang w:val="el-GR" w:bidi="en-US"/>
        </w:rPr>
      </w:pPr>
    </w:p>
    <w:p w14:paraId="20DE9643" w14:textId="77777777" w:rsidR="00171824" w:rsidRDefault="00171824">
      <w:pPr>
        <w:widowControl/>
        <w:tabs>
          <w:tab w:val="left" w:pos="567"/>
        </w:tabs>
        <w:autoSpaceDE/>
        <w:autoSpaceDN/>
        <w:adjustRightInd/>
        <w:rPr>
          <w:rFonts w:eastAsia="PMingLiU"/>
          <w:sz w:val="22"/>
          <w:szCs w:val="22"/>
          <w:lang w:val="el-GR"/>
        </w:rPr>
      </w:pPr>
    </w:p>
    <w:p w14:paraId="16374B8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625A3770" w14:textId="77777777" w:rsidR="00171824" w:rsidRDefault="00171824">
      <w:pPr>
        <w:widowControl/>
        <w:tabs>
          <w:tab w:val="left" w:pos="567"/>
        </w:tabs>
        <w:autoSpaceDE/>
        <w:autoSpaceDN/>
        <w:adjustRightInd/>
        <w:rPr>
          <w:rFonts w:eastAsia="PMingLiU"/>
          <w:i/>
          <w:sz w:val="22"/>
          <w:szCs w:val="22"/>
          <w:lang w:val="el-GR"/>
        </w:rPr>
      </w:pPr>
    </w:p>
    <w:p w14:paraId="3A0DAE0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39D97944" w14:textId="77777777" w:rsidR="00171824" w:rsidRDefault="00171824">
      <w:pPr>
        <w:widowControl/>
        <w:tabs>
          <w:tab w:val="left" w:pos="567"/>
        </w:tabs>
        <w:autoSpaceDE/>
        <w:autoSpaceDN/>
        <w:adjustRightInd/>
        <w:rPr>
          <w:rFonts w:eastAsia="PMingLiU"/>
          <w:sz w:val="22"/>
          <w:szCs w:val="22"/>
          <w:lang w:val="el-GR"/>
        </w:rPr>
      </w:pPr>
    </w:p>
    <w:p w14:paraId="670DE6D0" w14:textId="77777777" w:rsidR="00171824" w:rsidRDefault="00171824">
      <w:pPr>
        <w:widowControl/>
        <w:tabs>
          <w:tab w:val="left" w:pos="567"/>
        </w:tabs>
        <w:autoSpaceDE/>
        <w:autoSpaceDN/>
        <w:adjustRightInd/>
        <w:rPr>
          <w:rFonts w:eastAsia="PMingLiU"/>
          <w:sz w:val="22"/>
          <w:szCs w:val="22"/>
          <w:lang w:val="el-GR"/>
        </w:rPr>
      </w:pPr>
    </w:p>
    <w:p w14:paraId="1B5CB3D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4E6C5017" w14:textId="77777777" w:rsidR="00171824" w:rsidRDefault="00171824">
      <w:pPr>
        <w:widowControl/>
        <w:tabs>
          <w:tab w:val="left" w:pos="567"/>
        </w:tabs>
        <w:autoSpaceDE/>
        <w:autoSpaceDN/>
        <w:adjustRightInd/>
        <w:rPr>
          <w:rFonts w:eastAsia="PMingLiU"/>
          <w:i/>
          <w:sz w:val="22"/>
          <w:szCs w:val="22"/>
          <w:lang w:val="el-GR"/>
        </w:rPr>
      </w:pPr>
    </w:p>
    <w:p w14:paraId="2C496E67" w14:textId="77777777" w:rsidR="00171824" w:rsidRDefault="00171824">
      <w:pPr>
        <w:widowControl/>
        <w:tabs>
          <w:tab w:val="left" w:pos="567"/>
        </w:tabs>
        <w:autoSpaceDE/>
        <w:autoSpaceDN/>
        <w:adjustRightInd/>
        <w:rPr>
          <w:rFonts w:eastAsia="PMingLiU"/>
          <w:sz w:val="22"/>
          <w:szCs w:val="22"/>
          <w:lang w:val="el-GR"/>
        </w:rPr>
      </w:pPr>
    </w:p>
    <w:p w14:paraId="181D3C6A"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34A35D90" w14:textId="77777777" w:rsidR="00171824" w:rsidRDefault="00171824">
      <w:pPr>
        <w:widowControl/>
        <w:tabs>
          <w:tab w:val="left" w:pos="567"/>
        </w:tabs>
        <w:autoSpaceDE/>
        <w:autoSpaceDN/>
        <w:adjustRightInd/>
        <w:rPr>
          <w:rFonts w:eastAsia="PMingLiU"/>
          <w:sz w:val="22"/>
          <w:szCs w:val="22"/>
          <w:lang w:val="el-GR"/>
        </w:rPr>
      </w:pPr>
    </w:p>
    <w:p w14:paraId="7A4939D9" w14:textId="77777777" w:rsidR="00171824" w:rsidRDefault="00171824">
      <w:pPr>
        <w:widowControl/>
        <w:tabs>
          <w:tab w:val="left" w:pos="567"/>
        </w:tabs>
        <w:autoSpaceDE/>
        <w:autoSpaceDN/>
        <w:adjustRightInd/>
        <w:rPr>
          <w:rFonts w:eastAsia="PMingLiU"/>
          <w:sz w:val="22"/>
          <w:szCs w:val="22"/>
          <w:lang w:val="el-GR"/>
        </w:rPr>
      </w:pPr>
    </w:p>
    <w:p w14:paraId="663D202F"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520889B5" w14:textId="77777777" w:rsidR="00171824" w:rsidRDefault="00171824">
      <w:pPr>
        <w:widowControl/>
        <w:tabs>
          <w:tab w:val="left" w:pos="567"/>
        </w:tabs>
        <w:autoSpaceDE/>
        <w:autoSpaceDN/>
        <w:adjustRightInd/>
        <w:rPr>
          <w:rFonts w:eastAsia="PMingLiU"/>
          <w:sz w:val="22"/>
          <w:szCs w:val="20"/>
          <w:lang w:val="el-GR"/>
        </w:rPr>
      </w:pPr>
    </w:p>
    <w:p w14:paraId="2C97CE68"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 xml:space="preserve">AMGEVITA 40 mg/0,4 ml </w:t>
      </w:r>
      <w:r>
        <w:rPr>
          <w:rFonts w:eastAsia="Arial Unicode MS" w:cs="Arial Unicode MS"/>
          <w:sz w:val="22"/>
          <w:szCs w:val="22"/>
          <w:lang w:val="el-GR" w:bidi="en-US"/>
        </w:rPr>
        <w:t>συσκευή τύπου πένας</w:t>
      </w:r>
    </w:p>
    <w:p w14:paraId="56D6239A" w14:textId="77777777" w:rsidR="00171824" w:rsidRDefault="00171824">
      <w:pPr>
        <w:widowControl/>
        <w:tabs>
          <w:tab w:val="left" w:pos="567"/>
        </w:tabs>
        <w:autoSpaceDE/>
        <w:autoSpaceDN/>
        <w:adjustRightInd/>
        <w:rPr>
          <w:rFonts w:eastAsia="PMingLiU"/>
          <w:sz w:val="22"/>
          <w:szCs w:val="20"/>
          <w:lang w:val="el-GR" w:bidi="en-US"/>
        </w:rPr>
      </w:pPr>
    </w:p>
    <w:p w14:paraId="7020B125" w14:textId="77777777" w:rsidR="00171824" w:rsidRDefault="00171824">
      <w:pPr>
        <w:widowControl/>
        <w:tabs>
          <w:tab w:val="left" w:pos="567"/>
        </w:tabs>
        <w:autoSpaceDE/>
        <w:autoSpaceDN/>
        <w:adjustRightInd/>
        <w:rPr>
          <w:rFonts w:eastAsia="PMingLiU"/>
          <w:sz w:val="22"/>
          <w:szCs w:val="20"/>
          <w:lang w:val="el-GR" w:bidi="en-US"/>
        </w:rPr>
      </w:pPr>
    </w:p>
    <w:p w14:paraId="3138CF5B"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6B7793B9" w14:textId="77777777" w:rsidR="00171824" w:rsidRDefault="00171824">
      <w:pPr>
        <w:widowControl/>
        <w:autoSpaceDE/>
        <w:autoSpaceDN/>
        <w:adjustRightInd/>
        <w:rPr>
          <w:rFonts w:eastAsia="PMingLiU"/>
          <w:sz w:val="22"/>
          <w:szCs w:val="20"/>
          <w:lang w:val="el-GR"/>
        </w:rPr>
      </w:pPr>
    </w:p>
    <w:p w14:paraId="656B0CDA"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56D8EFB8"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5B714E98" w14:textId="77777777" w:rsidR="00171824" w:rsidRDefault="00171824">
      <w:pPr>
        <w:widowControl/>
        <w:autoSpaceDE/>
        <w:autoSpaceDN/>
        <w:adjustRightInd/>
        <w:rPr>
          <w:rFonts w:eastAsia="PMingLiU"/>
          <w:sz w:val="22"/>
          <w:szCs w:val="20"/>
          <w:lang w:val="el-GR"/>
        </w:rPr>
      </w:pPr>
    </w:p>
    <w:p w14:paraId="24E0F483"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65111084" w14:textId="77777777" w:rsidR="00171824" w:rsidRDefault="00171824">
      <w:pPr>
        <w:keepNext/>
        <w:widowControl/>
        <w:autoSpaceDE/>
        <w:autoSpaceDN/>
        <w:adjustRightInd/>
        <w:rPr>
          <w:rFonts w:eastAsia="PMingLiU"/>
          <w:sz w:val="22"/>
          <w:szCs w:val="20"/>
          <w:lang w:val="el-GR"/>
        </w:rPr>
      </w:pPr>
    </w:p>
    <w:p w14:paraId="5AB38A5E"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34D02000"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2F687066"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54ACCF12" w14:textId="77777777" w:rsidR="00171824" w:rsidRDefault="006D258C">
      <w:pPr>
        <w:widowControl/>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0490D37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430D1B40"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68DB47B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ΕΞΩΤΕΡΙΚΟ ΚΟΥΤΙ ΓΙΑ ΠΟΛΥΣΥΣΚΕΥΑΣΙΑ ΠΡΟΓΕΜΙΣΜΕΝΩΝ ΣΥΣΚΕΥΩΝ ΤΥΠΟΥ ΠΕΝΑΣ (με blue box)</w:t>
      </w:r>
    </w:p>
    <w:p w14:paraId="3F5BB6D6" w14:textId="77777777" w:rsidR="00171824" w:rsidRDefault="00171824">
      <w:pPr>
        <w:widowControl/>
        <w:tabs>
          <w:tab w:val="left" w:pos="567"/>
        </w:tabs>
        <w:autoSpaceDE/>
        <w:autoSpaceDN/>
        <w:adjustRightInd/>
        <w:rPr>
          <w:rFonts w:eastAsia="PMingLiU"/>
          <w:sz w:val="22"/>
          <w:szCs w:val="20"/>
          <w:lang w:val="el-GR"/>
        </w:rPr>
      </w:pPr>
    </w:p>
    <w:p w14:paraId="3C820AC8" w14:textId="77777777" w:rsidR="00171824" w:rsidRDefault="00171824">
      <w:pPr>
        <w:widowControl/>
        <w:tabs>
          <w:tab w:val="left" w:pos="567"/>
        </w:tabs>
        <w:autoSpaceDE/>
        <w:autoSpaceDN/>
        <w:adjustRightInd/>
        <w:rPr>
          <w:rFonts w:eastAsia="PMingLiU"/>
          <w:sz w:val="22"/>
          <w:szCs w:val="22"/>
          <w:lang w:val="el-GR"/>
        </w:rPr>
      </w:pPr>
    </w:p>
    <w:p w14:paraId="63E468B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4C92B21D" w14:textId="77777777" w:rsidR="00171824" w:rsidRDefault="00171824">
      <w:pPr>
        <w:widowControl/>
        <w:tabs>
          <w:tab w:val="left" w:pos="567"/>
        </w:tabs>
        <w:autoSpaceDE/>
        <w:autoSpaceDN/>
        <w:adjustRightInd/>
        <w:rPr>
          <w:rFonts w:eastAsia="PMingLiU"/>
          <w:sz w:val="22"/>
          <w:szCs w:val="22"/>
          <w:lang w:val="el-GR"/>
        </w:rPr>
      </w:pPr>
    </w:p>
    <w:p w14:paraId="32C7D6C1"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ενέσιμο διάλυμα σε προγεμισμένη συσκευή τύπου πένας</w:t>
      </w:r>
    </w:p>
    <w:p w14:paraId="37868A3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3F726E73" w14:textId="77777777" w:rsidR="00171824" w:rsidRDefault="00171824">
      <w:pPr>
        <w:widowControl/>
        <w:tabs>
          <w:tab w:val="left" w:pos="567"/>
        </w:tabs>
        <w:autoSpaceDE/>
        <w:autoSpaceDN/>
        <w:adjustRightInd/>
        <w:rPr>
          <w:rFonts w:eastAsia="PMingLiU"/>
          <w:sz w:val="22"/>
          <w:szCs w:val="22"/>
          <w:lang w:val="el-GR"/>
        </w:rPr>
      </w:pPr>
    </w:p>
    <w:p w14:paraId="24040A45" w14:textId="77777777" w:rsidR="00171824" w:rsidRDefault="00171824">
      <w:pPr>
        <w:widowControl/>
        <w:tabs>
          <w:tab w:val="left" w:pos="567"/>
        </w:tabs>
        <w:autoSpaceDE/>
        <w:autoSpaceDN/>
        <w:adjustRightInd/>
        <w:rPr>
          <w:rFonts w:eastAsia="PMingLiU"/>
          <w:sz w:val="22"/>
          <w:szCs w:val="22"/>
          <w:lang w:val="el-GR"/>
        </w:rPr>
      </w:pPr>
    </w:p>
    <w:p w14:paraId="4A0AC06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1983DFE6" w14:textId="77777777" w:rsidR="00171824" w:rsidRDefault="00171824">
      <w:pPr>
        <w:widowControl/>
        <w:tabs>
          <w:tab w:val="left" w:pos="567"/>
        </w:tabs>
        <w:autoSpaceDE/>
        <w:autoSpaceDN/>
        <w:adjustRightInd/>
        <w:rPr>
          <w:rFonts w:eastAsia="PMingLiU"/>
          <w:sz w:val="22"/>
          <w:szCs w:val="22"/>
          <w:lang w:val="el-GR"/>
        </w:rPr>
      </w:pPr>
    </w:p>
    <w:p w14:paraId="7331420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40 mg adalimumab σε διάλυμα 0,4 ml.</w:t>
      </w:r>
    </w:p>
    <w:p w14:paraId="43BF380C" w14:textId="77777777" w:rsidR="00171824" w:rsidRDefault="00171824">
      <w:pPr>
        <w:widowControl/>
        <w:tabs>
          <w:tab w:val="left" w:pos="567"/>
        </w:tabs>
        <w:autoSpaceDE/>
        <w:autoSpaceDN/>
        <w:adjustRightInd/>
        <w:rPr>
          <w:rFonts w:eastAsia="PMingLiU"/>
          <w:sz w:val="22"/>
          <w:szCs w:val="22"/>
          <w:lang w:val="el-GR"/>
        </w:rPr>
      </w:pPr>
    </w:p>
    <w:p w14:paraId="19D60A0A" w14:textId="77777777" w:rsidR="00171824" w:rsidRDefault="00171824">
      <w:pPr>
        <w:widowControl/>
        <w:tabs>
          <w:tab w:val="left" w:pos="567"/>
        </w:tabs>
        <w:autoSpaceDE/>
        <w:autoSpaceDN/>
        <w:adjustRightInd/>
        <w:rPr>
          <w:rFonts w:eastAsia="PMingLiU"/>
          <w:sz w:val="22"/>
          <w:szCs w:val="22"/>
          <w:lang w:val="el-GR"/>
        </w:rPr>
      </w:pPr>
    </w:p>
    <w:p w14:paraId="434BE7C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520724A4" w14:textId="77777777" w:rsidR="00171824" w:rsidRDefault="00171824">
      <w:pPr>
        <w:widowControl/>
        <w:tabs>
          <w:tab w:val="left" w:pos="567"/>
        </w:tabs>
        <w:autoSpaceDE/>
        <w:autoSpaceDN/>
        <w:adjustRightInd/>
        <w:rPr>
          <w:rFonts w:eastAsia="PMingLiU"/>
          <w:sz w:val="22"/>
          <w:szCs w:val="22"/>
          <w:lang w:val="el-GR"/>
        </w:rPr>
      </w:pPr>
    </w:p>
    <w:p w14:paraId="77158AA1"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L-γαλακτικό οξύ, σακχαρόζη, πολυσορβικό 80, υδροξείδιο του νατρίου και ενέσιμο ύδωρ.</w:t>
      </w:r>
    </w:p>
    <w:p w14:paraId="107447A4" w14:textId="77777777" w:rsidR="00171824" w:rsidRDefault="00171824">
      <w:pPr>
        <w:widowControl/>
        <w:tabs>
          <w:tab w:val="left" w:pos="567"/>
        </w:tabs>
        <w:autoSpaceDE/>
        <w:autoSpaceDN/>
        <w:adjustRightInd/>
        <w:rPr>
          <w:rFonts w:eastAsia="PMingLiU"/>
          <w:sz w:val="22"/>
          <w:szCs w:val="22"/>
          <w:lang w:val="el-GR"/>
        </w:rPr>
      </w:pPr>
    </w:p>
    <w:p w14:paraId="57ED0983" w14:textId="77777777" w:rsidR="00171824" w:rsidRDefault="00171824">
      <w:pPr>
        <w:widowControl/>
        <w:tabs>
          <w:tab w:val="left" w:pos="567"/>
        </w:tabs>
        <w:autoSpaceDE/>
        <w:autoSpaceDN/>
        <w:adjustRightInd/>
        <w:rPr>
          <w:rFonts w:eastAsia="PMingLiU"/>
          <w:sz w:val="22"/>
          <w:szCs w:val="22"/>
          <w:lang w:val="el-GR"/>
        </w:rPr>
      </w:pPr>
    </w:p>
    <w:p w14:paraId="3B92C38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0862E856" w14:textId="77777777" w:rsidR="00171824" w:rsidRDefault="00171824">
      <w:pPr>
        <w:widowControl/>
        <w:tabs>
          <w:tab w:val="left" w:pos="567"/>
        </w:tabs>
        <w:autoSpaceDE/>
        <w:autoSpaceDN/>
        <w:adjustRightInd/>
        <w:rPr>
          <w:rFonts w:eastAsia="PMingLiU"/>
          <w:sz w:val="22"/>
          <w:szCs w:val="22"/>
          <w:lang w:val="el-GR"/>
        </w:rPr>
      </w:pPr>
    </w:p>
    <w:p w14:paraId="5577CEC2"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7043C60F" w14:textId="77777777" w:rsidR="00171824" w:rsidRDefault="006D258C">
      <w:pPr>
        <w:rPr>
          <w:sz w:val="22"/>
          <w:szCs w:val="22"/>
          <w:lang w:val="el-GR"/>
        </w:rPr>
      </w:pPr>
      <w:r>
        <w:rPr>
          <w:sz w:val="22"/>
          <w:szCs w:val="22"/>
          <w:lang w:val="el-GR"/>
        </w:rPr>
        <w:t>40 mg/0,4 ml</w:t>
      </w:r>
    </w:p>
    <w:p w14:paraId="731228A1"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Πολυσυσκευασία: 6 (3 κουτιά των 2) προγεμισμένων συσκευών τύπου πένας SureClick.</w:t>
      </w:r>
    </w:p>
    <w:p w14:paraId="1AAD9A02" w14:textId="77777777" w:rsidR="00171824" w:rsidRDefault="00171824">
      <w:pPr>
        <w:widowControl/>
        <w:tabs>
          <w:tab w:val="left" w:pos="567"/>
        </w:tabs>
        <w:autoSpaceDE/>
        <w:autoSpaceDN/>
        <w:adjustRightInd/>
        <w:rPr>
          <w:rFonts w:eastAsia="PMingLiU"/>
          <w:sz w:val="22"/>
          <w:szCs w:val="22"/>
          <w:lang w:val="el-GR"/>
        </w:rPr>
      </w:pPr>
    </w:p>
    <w:p w14:paraId="10F9F966" w14:textId="77777777" w:rsidR="00171824" w:rsidRDefault="00171824">
      <w:pPr>
        <w:widowControl/>
        <w:tabs>
          <w:tab w:val="left" w:pos="567"/>
        </w:tabs>
        <w:autoSpaceDE/>
        <w:autoSpaceDN/>
        <w:adjustRightInd/>
        <w:rPr>
          <w:rFonts w:eastAsia="PMingLiU"/>
          <w:sz w:val="22"/>
          <w:szCs w:val="22"/>
          <w:lang w:val="el-GR"/>
        </w:rPr>
      </w:pPr>
    </w:p>
    <w:p w14:paraId="60E17A2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4517D135" w14:textId="77777777" w:rsidR="00171824" w:rsidRDefault="00171824">
      <w:pPr>
        <w:widowControl/>
        <w:tabs>
          <w:tab w:val="left" w:pos="567"/>
        </w:tabs>
        <w:autoSpaceDE/>
        <w:autoSpaceDN/>
        <w:adjustRightInd/>
        <w:rPr>
          <w:rFonts w:eastAsia="PMingLiU"/>
          <w:sz w:val="22"/>
          <w:szCs w:val="20"/>
          <w:lang w:val="el-GR"/>
        </w:rPr>
      </w:pPr>
    </w:p>
    <w:p w14:paraId="3DC1AA1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49A6BA9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1C50762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55D1FE27" w14:textId="77777777" w:rsidR="00171824" w:rsidRDefault="00171824">
      <w:pPr>
        <w:widowControl/>
        <w:tabs>
          <w:tab w:val="left" w:pos="567"/>
        </w:tabs>
        <w:autoSpaceDE/>
        <w:autoSpaceDN/>
        <w:adjustRightInd/>
        <w:rPr>
          <w:rFonts w:eastAsia="PMingLiU"/>
          <w:sz w:val="22"/>
          <w:szCs w:val="22"/>
          <w:lang w:val="el-GR"/>
        </w:rPr>
      </w:pPr>
    </w:p>
    <w:p w14:paraId="740FF049" w14:textId="77777777" w:rsidR="00171824" w:rsidRDefault="00171824">
      <w:pPr>
        <w:widowControl/>
        <w:tabs>
          <w:tab w:val="left" w:pos="567"/>
        </w:tabs>
        <w:autoSpaceDE/>
        <w:autoSpaceDN/>
        <w:adjustRightInd/>
        <w:rPr>
          <w:rFonts w:eastAsia="PMingLiU"/>
          <w:sz w:val="22"/>
          <w:szCs w:val="22"/>
          <w:lang w:val="el-GR"/>
        </w:rPr>
      </w:pPr>
    </w:p>
    <w:p w14:paraId="228223B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75A125C7" w14:textId="77777777" w:rsidR="00171824" w:rsidRDefault="00171824">
      <w:pPr>
        <w:widowControl/>
        <w:tabs>
          <w:tab w:val="left" w:pos="567"/>
        </w:tabs>
        <w:autoSpaceDE/>
        <w:autoSpaceDN/>
        <w:adjustRightInd/>
        <w:rPr>
          <w:rFonts w:eastAsia="PMingLiU"/>
          <w:sz w:val="22"/>
          <w:szCs w:val="22"/>
          <w:lang w:val="el-GR"/>
        </w:rPr>
      </w:pPr>
    </w:p>
    <w:p w14:paraId="42333EA0"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42F6595D" w14:textId="77777777" w:rsidR="00171824" w:rsidRDefault="00171824">
      <w:pPr>
        <w:widowControl/>
        <w:tabs>
          <w:tab w:val="left" w:pos="567"/>
        </w:tabs>
        <w:autoSpaceDE/>
        <w:autoSpaceDN/>
        <w:adjustRightInd/>
        <w:rPr>
          <w:rFonts w:eastAsia="PMingLiU"/>
          <w:sz w:val="22"/>
          <w:szCs w:val="22"/>
          <w:lang w:val="el-GR"/>
        </w:rPr>
      </w:pPr>
    </w:p>
    <w:p w14:paraId="7FCF2B6F" w14:textId="77777777" w:rsidR="00171824" w:rsidRDefault="00171824">
      <w:pPr>
        <w:widowControl/>
        <w:tabs>
          <w:tab w:val="left" w:pos="567"/>
        </w:tabs>
        <w:autoSpaceDE/>
        <w:autoSpaceDN/>
        <w:adjustRightInd/>
        <w:rPr>
          <w:rFonts w:eastAsia="PMingLiU"/>
          <w:sz w:val="22"/>
          <w:szCs w:val="22"/>
          <w:lang w:val="el-GR"/>
        </w:rPr>
      </w:pPr>
    </w:p>
    <w:p w14:paraId="49C23BA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3B7873E1" w14:textId="77777777" w:rsidR="00171824" w:rsidRDefault="00171824">
      <w:pPr>
        <w:widowControl/>
        <w:tabs>
          <w:tab w:val="left" w:pos="567"/>
        </w:tabs>
        <w:autoSpaceDE/>
        <w:autoSpaceDN/>
        <w:adjustRightInd/>
        <w:rPr>
          <w:rFonts w:eastAsia="PMingLiU"/>
          <w:sz w:val="22"/>
          <w:szCs w:val="22"/>
          <w:lang w:val="el-GR"/>
        </w:rPr>
      </w:pPr>
    </w:p>
    <w:p w14:paraId="17024746" w14:textId="77777777" w:rsidR="00171824" w:rsidRDefault="00171824">
      <w:pPr>
        <w:widowControl/>
        <w:tabs>
          <w:tab w:val="left" w:pos="567"/>
          <w:tab w:val="left" w:pos="749"/>
        </w:tabs>
        <w:autoSpaceDE/>
        <w:autoSpaceDN/>
        <w:adjustRightInd/>
        <w:rPr>
          <w:rFonts w:eastAsia="PMingLiU"/>
          <w:sz w:val="22"/>
          <w:szCs w:val="20"/>
          <w:lang w:val="el-GR"/>
        </w:rPr>
      </w:pPr>
    </w:p>
    <w:p w14:paraId="4D74F55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1AF3D056" w14:textId="77777777" w:rsidR="00171824" w:rsidRDefault="00171824">
      <w:pPr>
        <w:widowControl/>
        <w:tabs>
          <w:tab w:val="left" w:pos="567"/>
        </w:tabs>
        <w:autoSpaceDE/>
        <w:autoSpaceDN/>
        <w:adjustRightInd/>
        <w:rPr>
          <w:rFonts w:eastAsia="PMingLiU"/>
          <w:sz w:val="22"/>
          <w:szCs w:val="20"/>
          <w:lang w:val="el-GR"/>
        </w:rPr>
      </w:pPr>
    </w:p>
    <w:p w14:paraId="168C37A8"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1C3FD54A" w14:textId="77777777" w:rsidR="00171824" w:rsidRDefault="00171824">
      <w:pPr>
        <w:widowControl/>
        <w:tabs>
          <w:tab w:val="left" w:pos="567"/>
        </w:tabs>
        <w:autoSpaceDE/>
        <w:autoSpaceDN/>
        <w:adjustRightInd/>
        <w:rPr>
          <w:rFonts w:eastAsia="PMingLiU"/>
          <w:sz w:val="22"/>
          <w:szCs w:val="22"/>
          <w:lang w:val="el-GR"/>
        </w:rPr>
      </w:pPr>
    </w:p>
    <w:p w14:paraId="57E646A2" w14:textId="77777777" w:rsidR="00171824" w:rsidRDefault="00171824">
      <w:pPr>
        <w:widowControl/>
        <w:tabs>
          <w:tab w:val="left" w:pos="567"/>
        </w:tabs>
        <w:autoSpaceDE/>
        <w:autoSpaceDN/>
        <w:adjustRightInd/>
        <w:rPr>
          <w:rFonts w:eastAsia="PMingLiU"/>
          <w:sz w:val="22"/>
          <w:szCs w:val="22"/>
          <w:lang w:val="el-GR"/>
        </w:rPr>
      </w:pPr>
    </w:p>
    <w:p w14:paraId="38308B05"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3952144F" w14:textId="77777777" w:rsidR="00171824" w:rsidRDefault="00171824">
      <w:pPr>
        <w:keepNext/>
        <w:widowControl/>
        <w:tabs>
          <w:tab w:val="left" w:pos="567"/>
        </w:tabs>
        <w:autoSpaceDE/>
        <w:autoSpaceDN/>
        <w:adjustRightInd/>
        <w:rPr>
          <w:rFonts w:eastAsia="PMingLiU"/>
          <w:sz w:val="22"/>
          <w:szCs w:val="22"/>
          <w:lang w:val="el-GR"/>
        </w:rPr>
      </w:pPr>
    </w:p>
    <w:p w14:paraId="1CE1FE35"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24E1F320"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0B38CB20"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1CD53C74" w14:textId="77777777" w:rsidR="00171824" w:rsidRDefault="00171824">
      <w:pPr>
        <w:widowControl/>
        <w:tabs>
          <w:tab w:val="left" w:pos="567"/>
        </w:tabs>
        <w:autoSpaceDE/>
        <w:autoSpaceDN/>
        <w:adjustRightInd/>
        <w:rPr>
          <w:rFonts w:eastAsia="SimSun"/>
          <w:sz w:val="22"/>
          <w:szCs w:val="22"/>
          <w:lang w:val="el-GR" w:eastAsia="en-GB"/>
        </w:rPr>
      </w:pPr>
    </w:p>
    <w:p w14:paraId="3B7CFFF7" w14:textId="77777777" w:rsidR="00171824" w:rsidRDefault="00171824">
      <w:pPr>
        <w:widowControl/>
        <w:tabs>
          <w:tab w:val="left" w:pos="567"/>
        </w:tabs>
        <w:autoSpaceDE/>
        <w:autoSpaceDN/>
        <w:adjustRightInd/>
        <w:rPr>
          <w:rFonts w:eastAsia="SimSun"/>
          <w:sz w:val="22"/>
          <w:szCs w:val="22"/>
          <w:lang w:val="el-GR" w:eastAsia="en-GB"/>
        </w:rPr>
      </w:pPr>
    </w:p>
    <w:p w14:paraId="457467B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1DBADDA6" w14:textId="77777777" w:rsidR="00171824" w:rsidRDefault="00171824">
      <w:pPr>
        <w:widowControl/>
        <w:tabs>
          <w:tab w:val="left" w:pos="567"/>
        </w:tabs>
        <w:autoSpaceDE/>
        <w:autoSpaceDN/>
        <w:adjustRightInd/>
        <w:rPr>
          <w:rFonts w:eastAsia="PMingLiU"/>
          <w:sz w:val="22"/>
          <w:szCs w:val="22"/>
          <w:lang w:val="el-GR"/>
        </w:rPr>
      </w:pPr>
    </w:p>
    <w:p w14:paraId="24D5F5CF" w14:textId="77777777" w:rsidR="00171824" w:rsidRDefault="00171824">
      <w:pPr>
        <w:widowControl/>
        <w:tabs>
          <w:tab w:val="left" w:pos="567"/>
        </w:tabs>
        <w:autoSpaceDE/>
        <w:autoSpaceDN/>
        <w:adjustRightInd/>
        <w:rPr>
          <w:rFonts w:eastAsia="PMingLiU"/>
          <w:sz w:val="22"/>
          <w:szCs w:val="22"/>
          <w:lang w:val="el-GR"/>
        </w:rPr>
      </w:pPr>
    </w:p>
    <w:p w14:paraId="3F43CB2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26D4B563" w14:textId="77777777" w:rsidR="00171824" w:rsidRDefault="00171824">
      <w:pPr>
        <w:widowControl/>
        <w:tabs>
          <w:tab w:val="left" w:pos="567"/>
        </w:tabs>
        <w:autoSpaceDE/>
        <w:autoSpaceDN/>
        <w:adjustRightInd/>
        <w:rPr>
          <w:rFonts w:eastAsia="PMingLiU"/>
          <w:sz w:val="22"/>
          <w:szCs w:val="22"/>
          <w:lang w:val="el-GR"/>
        </w:rPr>
      </w:pPr>
    </w:p>
    <w:p w14:paraId="493F6F3B"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219B033A"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52D784E9"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3112CB5E"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39109E21" w14:textId="77777777" w:rsidR="00171824" w:rsidRDefault="00171824">
      <w:pPr>
        <w:widowControl/>
        <w:tabs>
          <w:tab w:val="left" w:pos="567"/>
        </w:tabs>
        <w:autoSpaceDE/>
        <w:autoSpaceDN/>
        <w:adjustRightInd/>
        <w:rPr>
          <w:rFonts w:eastAsia="PMingLiU"/>
          <w:sz w:val="22"/>
          <w:szCs w:val="22"/>
          <w:lang w:val="el-GR"/>
        </w:rPr>
      </w:pPr>
    </w:p>
    <w:p w14:paraId="4D8F2EAE" w14:textId="77777777" w:rsidR="00171824" w:rsidRDefault="00171824">
      <w:pPr>
        <w:widowControl/>
        <w:tabs>
          <w:tab w:val="left" w:pos="567"/>
        </w:tabs>
        <w:autoSpaceDE/>
        <w:autoSpaceDN/>
        <w:adjustRightInd/>
        <w:rPr>
          <w:rFonts w:eastAsia="PMingLiU"/>
          <w:sz w:val="22"/>
          <w:szCs w:val="22"/>
          <w:lang w:val="el-GR"/>
        </w:rPr>
      </w:pPr>
    </w:p>
    <w:p w14:paraId="08FEA91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2CAAD0EC" w14:textId="77777777" w:rsidR="00171824" w:rsidRDefault="00171824">
      <w:pPr>
        <w:widowControl/>
        <w:tabs>
          <w:tab w:val="left" w:pos="567"/>
        </w:tabs>
        <w:autoSpaceDE/>
        <w:autoSpaceDN/>
        <w:adjustRightInd/>
        <w:rPr>
          <w:rFonts w:eastAsia="PMingLiU"/>
          <w:sz w:val="22"/>
          <w:szCs w:val="22"/>
          <w:lang w:val="el-GR"/>
        </w:rPr>
      </w:pPr>
    </w:p>
    <w:p w14:paraId="301DAC3A"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EU/1/16/1164/016 </w:t>
      </w:r>
    </w:p>
    <w:p w14:paraId="7D64F346" w14:textId="77777777" w:rsidR="00171824" w:rsidRDefault="00171824">
      <w:pPr>
        <w:widowControl/>
        <w:tabs>
          <w:tab w:val="left" w:pos="567"/>
        </w:tabs>
        <w:autoSpaceDE/>
        <w:autoSpaceDN/>
        <w:adjustRightInd/>
        <w:outlineLvl w:val="0"/>
        <w:rPr>
          <w:rFonts w:eastAsia="PMingLiU"/>
          <w:sz w:val="22"/>
          <w:szCs w:val="22"/>
          <w:lang w:val="el-GR" w:bidi="en-US"/>
        </w:rPr>
      </w:pPr>
    </w:p>
    <w:p w14:paraId="24D5CC34" w14:textId="77777777" w:rsidR="00171824" w:rsidRDefault="00171824">
      <w:pPr>
        <w:widowControl/>
        <w:tabs>
          <w:tab w:val="left" w:pos="567"/>
        </w:tabs>
        <w:autoSpaceDE/>
        <w:autoSpaceDN/>
        <w:adjustRightInd/>
        <w:rPr>
          <w:rFonts w:eastAsia="PMingLiU"/>
          <w:sz w:val="22"/>
          <w:szCs w:val="22"/>
          <w:lang w:val="el-GR"/>
        </w:rPr>
      </w:pPr>
    </w:p>
    <w:p w14:paraId="39079F7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747D5106" w14:textId="77777777" w:rsidR="00171824" w:rsidRDefault="00171824">
      <w:pPr>
        <w:widowControl/>
        <w:tabs>
          <w:tab w:val="left" w:pos="567"/>
        </w:tabs>
        <w:autoSpaceDE/>
        <w:autoSpaceDN/>
        <w:adjustRightInd/>
        <w:rPr>
          <w:rFonts w:eastAsia="PMingLiU"/>
          <w:i/>
          <w:sz w:val="22"/>
          <w:szCs w:val="22"/>
          <w:lang w:val="el-GR"/>
        </w:rPr>
      </w:pPr>
    </w:p>
    <w:p w14:paraId="069A473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67ABFD4C" w14:textId="77777777" w:rsidR="00171824" w:rsidRDefault="00171824">
      <w:pPr>
        <w:widowControl/>
        <w:tabs>
          <w:tab w:val="left" w:pos="567"/>
        </w:tabs>
        <w:autoSpaceDE/>
        <w:autoSpaceDN/>
        <w:adjustRightInd/>
        <w:rPr>
          <w:rFonts w:eastAsia="PMingLiU"/>
          <w:sz w:val="22"/>
          <w:szCs w:val="22"/>
          <w:lang w:val="el-GR"/>
        </w:rPr>
      </w:pPr>
    </w:p>
    <w:p w14:paraId="4C213C67" w14:textId="77777777" w:rsidR="00171824" w:rsidRDefault="00171824">
      <w:pPr>
        <w:widowControl/>
        <w:tabs>
          <w:tab w:val="left" w:pos="567"/>
        </w:tabs>
        <w:autoSpaceDE/>
        <w:autoSpaceDN/>
        <w:adjustRightInd/>
        <w:rPr>
          <w:rFonts w:eastAsia="PMingLiU"/>
          <w:sz w:val="22"/>
          <w:szCs w:val="22"/>
          <w:lang w:val="el-GR"/>
        </w:rPr>
      </w:pPr>
    </w:p>
    <w:p w14:paraId="3217158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3AA2D622" w14:textId="77777777" w:rsidR="00171824" w:rsidRDefault="00171824">
      <w:pPr>
        <w:widowControl/>
        <w:tabs>
          <w:tab w:val="left" w:pos="567"/>
        </w:tabs>
        <w:autoSpaceDE/>
        <w:autoSpaceDN/>
        <w:adjustRightInd/>
        <w:rPr>
          <w:rFonts w:eastAsia="PMingLiU"/>
          <w:i/>
          <w:sz w:val="22"/>
          <w:szCs w:val="22"/>
          <w:lang w:val="el-GR"/>
        </w:rPr>
      </w:pPr>
    </w:p>
    <w:p w14:paraId="13FD9F43" w14:textId="77777777" w:rsidR="00171824" w:rsidRDefault="00171824">
      <w:pPr>
        <w:widowControl/>
        <w:tabs>
          <w:tab w:val="left" w:pos="567"/>
        </w:tabs>
        <w:autoSpaceDE/>
        <w:autoSpaceDN/>
        <w:adjustRightInd/>
        <w:rPr>
          <w:rFonts w:eastAsia="PMingLiU"/>
          <w:sz w:val="22"/>
          <w:szCs w:val="22"/>
          <w:lang w:val="el-GR"/>
        </w:rPr>
      </w:pPr>
    </w:p>
    <w:p w14:paraId="03D376B4"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627D950E" w14:textId="77777777" w:rsidR="00171824" w:rsidRDefault="00171824">
      <w:pPr>
        <w:widowControl/>
        <w:tabs>
          <w:tab w:val="left" w:pos="567"/>
        </w:tabs>
        <w:autoSpaceDE/>
        <w:autoSpaceDN/>
        <w:adjustRightInd/>
        <w:rPr>
          <w:rFonts w:eastAsia="PMingLiU"/>
          <w:sz w:val="22"/>
          <w:szCs w:val="22"/>
          <w:lang w:val="el-GR"/>
        </w:rPr>
      </w:pPr>
    </w:p>
    <w:p w14:paraId="06CC26BC" w14:textId="77777777" w:rsidR="00171824" w:rsidRDefault="00171824">
      <w:pPr>
        <w:widowControl/>
        <w:tabs>
          <w:tab w:val="left" w:pos="567"/>
        </w:tabs>
        <w:autoSpaceDE/>
        <w:autoSpaceDN/>
        <w:adjustRightInd/>
        <w:rPr>
          <w:rFonts w:eastAsia="PMingLiU"/>
          <w:sz w:val="22"/>
          <w:szCs w:val="22"/>
          <w:lang w:val="el-GR"/>
        </w:rPr>
      </w:pPr>
    </w:p>
    <w:p w14:paraId="60F6BC4F"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74A2FD82" w14:textId="77777777" w:rsidR="00171824" w:rsidRDefault="00171824">
      <w:pPr>
        <w:widowControl/>
        <w:tabs>
          <w:tab w:val="left" w:pos="567"/>
        </w:tabs>
        <w:autoSpaceDE/>
        <w:autoSpaceDN/>
        <w:adjustRightInd/>
        <w:rPr>
          <w:rFonts w:eastAsia="PMingLiU"/>
          <w:sz w:val="22"/>
          <w:szCs w:val="20"/>
          <w:lang w:val="el-GR"/>
        </w:rPr>
      </w:pPr>
    </w:p>
    <w:p w14:paraId="2BE46A20"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 xml:space="preserve">AMGEVITA 40 mg/0,4 ml </w:t>
      </w:r>
      <w:r>
        <w:rPr>
          <w:rFonts w:eastAsia="Arial Unicode MS" w:cs="Arial Unicode MS"/>
          <w:sz w:val="22"/>
          <w:szCs w:val="22"/>
          <w:lang w:val="el-GR" w:bidi="en-US"/>
        </w:rPr>
        <w:t>συσκευή τύπου πένας</w:t>
      </w:r>
    </w:p>
    <w:p w14:paraId="74C817E0"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3B48ECCD"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77B15B32"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6A048E7D" w14:textId="77777777" w:rsidR="00171824" w:rsidRDefault="00171824">
      <w:pPr>
        <w:widowControl/>
        <w:autoSpaceDE/>
        <w:autoSpaceDN/>
        <w:adjustRightInd/>
        <w:rPr>
          <w:rFonts w:eastAsia="PMingLiU"/>
          <w:sz w:val="22"/>
          <w:szCs w:val="20"/>
          <w:lang w:val="el-GR"/>
        </w:rPr>
      </w:pPr>
    </w:p>
    <w:p w14:paraId="4BDB3F08" w14:textId="77777777" w:rsidR="00171824" w:rsidRDefault="006D258C">
      <w:pPr>
        <w:widowControl/>
        <w:tabs>
          <w:tab w:val="left" w:pos="567"/>
        </w:tabs>
        <w:autoSpaceDE/>
        <w:autoSpaceDN/>
        <w:adjustRightInd/>
        <w:rPr>
          <w:rFonts w:eastAsia="Arial Unicode MS" w:cs="Arial Unicode MS"/>
          <w:sz w:val="22"/>
          <w:szCs w:val="20"/>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350DE5C8" w14:textId="77777777" w:rsidR="00171824" w:rsidRDefault="00171824">
      <w:pPr>
        <w:widowControl/>
        <w:tabs>
          <w:tab w:val="left" w:pos="567"/>
        </w:tabs>
        <w:autoSpaceDE/>
        <w:autoSpaceDN/>
        <w:adjustRightInd/>
        <w:rPr>
          <w:rFonts w:eastAsia="PMingLiU"/>
          <w:sz w:val="22"/>
          <w:szCs w:val="22"/>
          <w:shd w:val="clear" w:color="auto" w:fill="CCCCCC"/>
          <w:lang w:val="el-GR" w:bidi="en-US"/>
        </w:rPr>
      </w:pPr>
    </w:p>
    <w:p w14:paraId="7134F542" w14:textId="77777777" w:rsidR="00171824" w:rsidRDefault="00171824">
      <w:pPr>
        <w:widowControl/>
        <w:tabs>
          <w:tab w:val="left" w:pos="567"/>
        </w:tabs>
        <w:autoSpaceDE/>
        <w:autoSpaceDN/>
        <w:adjustRightInd/>
        <w:rPr>
          <w:rFonts w:eastAsia="PMingLiU"/>
          <w:sz w:val="22"/>
          <w:szCs w:val="22"/>
          <w:shd w:val="clear" w:color="auto" w:fill="CCCCCC"/>
          <w:lang w:val="el-GR" w:bidi="en-US"/>
        </w:rPr>
      </w:pPr>
    </w:p>
    <w:p w14:paraId="17B1C962"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lastRenderedPageBreak/>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1A87775E" w14:textId="77777777" w:rsidR="00171824" w:rsidRDefault="00171824">
      <w:pPr>
        <w:keepNext/>
        <w:widowControl/>
        <w:autoSpaceDE/>
        <w:autoSpaceDN/>
        <w:adjustRightInd/>
        <w:rPr>
          <w:rFonts w:eastAsia="PMingLiU"/>
          <w:sz w:val="22"/>
          <w:szCs w:val="20"/>
          <w:lang w:val="el-GR"/>
        </w:rPr>
      </w:pPr>
    </w:p>
    <w:p w14:paraId="59FAFE8E"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0D046A47"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7D6DCD5A"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786BF24C"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603B5082"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5E8C71A7" w14:textId="77777777" w:rsidR="00171824" w:rsidRDefault="00171824">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4CF0F91F"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ΕΝΔΙΑΜΕΣΟ ΚΟΥΤΙ ΓΙΑ ΠΟΛΥΣΥΣΚΕΥΑΣΙΑ ΠΡΟΓΕΜΙΣΜΕΝΗΣ ΣΥΣΚΕΥΗΣ ΤΥΠΟΥ ΠΕΝΑΣ (χωρίς blue box)</w:t>
      </w:r>
    </w:p>
    <w:p w14:paraId="5391F1DA" w14:textId="77777777" w:rsidR="00171824" w:rsidRDefault="00171824">
      <w:pPr>
        <w:keepNext/>
        <w:widowControl/>
        <w:tabs>
          <w:tab w:val="left" w:pos="567"/>
        </w:tabs>
        <w:autoSpaceDE/>
        <w:autoSpaceDN/>
        <w:adjustRightInd/>
        <w:rPr>
          <w:rFonts w:eastAsia="PMingLiU"/>
          <w:sz w:val="22"/>
          <w:szCs w:val="20"/>
          <w:lang w:val="el-GR"/>
        </w:rPr>
      </w:pPr>
    </w:p>
    <w:p w14:paraId="20F81F00" w14:textId="77777777" w:rsidR="00171824" w:rsidRDefault="00171824">
      <w:pPr>
        <w:keepNext/>
        <w:widowControl/>
        <w:tabs>
          <w:tab w:val="left" w:pos="567"/>
        </w:tabs>
        <w:autoSpaceDE/>
        <w:autoSpaceDN/>
        <w:adjustRightInd/>
        <w:rPr>
          <w:rFonts w:eastAsia="PMingLiU"/>
          <w:sz w:val="22"/>
          <w:szCs w:val="22"/>
          <w:lang w:val="el-GR"/>
        </w:rPr>
      </w:pPr>
    </w:p>
    <w:p w14:paraId="69C9FE9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0537EA07" w14:textId="77777777" w:rsidR="00171824" w:rsidRDefault="00171824">
      <w:pPr>
        <w:widowControl/>
        <w:tabs>
          <w:tab w:val="left" w:pos="567"/>
        </w:tabs>
        <w:autoSpaceDE/>
        <w:autoSpaceDN/>
        <w:adjustRightInd/>
        <w:rPr>
          <w:rFonts w:eastAsia="PMingLiU"/>
          <w:sz w:val="22"/>
          <w:szCs w:val="22"/>
          <w:lang w:val="el-GR"/>
        </w:rPr>
      </w:pPr>
    </w:p>
    <w:p w14:paraId="4D19D0D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ενέσιμο διάλυμα σε προγεμισμένη συσκευή τύπου πένας</w:t>
      </w:r>
    </w:p>
    <w:p w14:paraId="726E31E1"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087C7A28" w14:textId="77777777" w:rsidR="00171824" w:rsidRDefault="00171824">
      <w:pPr>
        <w:widowControl/>
        <w:tabs>
          <w:tab w:val="left" w:pos="567"/>
        </w:tabs>
        <w:autoSpaceDE/>
        <w:autoSpaceDN/>
        <w:adjustRightInd/>
        <w:rPr>
          <w:rFonts w:eastAsia="PMingLiU"/>
          <w:sz w:val="22"/>
          <w:szCs w:val="22"/>
          <w:lang w:val="el-GR"/>
        </w:rPr>
      </w:pPr>
    </w:p>
    <w:p w14:paraId="2A66F5EC" w14:textId="77777777" w:rsidR="00171824" w:rsidRDefault="00171824">
      <w:pPr>
        <w:widowControl/>
        <w:tabs>
          <w:tab w:val="left" w:pos="567"/>
        </w:tabs>
        <w:autoSpaceDE/>
        <w:autoSpaceDN/>
        <w:adjustRightInd/>
        <w:rPr>
          <w:rFonts w:eastAsia="PMingLiU"/>
          <w:sz w:val="22"/>
          <w:szCs w:val="22"/>
          <w:lang w:val="el-GR"/>
        </w:rPr>
      </w:pPr>
    </w:p>
    <w:p w14:paraId="4AF52AB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3A746900" w14:textId="77777777" w:rsidR="00171824" w:rsidRDefault="00171824">
      <w:pPr>
        <w:widowControl/>
        <w:tabs>
          <w:tab w:val="left" w:pos="567"/>
        </w:tabs>
        <w:autoSpaceDE/>
        <w:autoSpaceDN/>
        <w:adjustRightInd/>
        <w:rPr>
          <w:rFonts w:eastAsia="PMingLiU"/>
          <w:sz w:val="22"/>
          <w:szCs w:val="22"/>
          <w:lang w:val="el-GR"/>
        </w:rPr>
      </w:pPr>
    </w:p>
    <w:p w14:paraId="1EECF98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40 mg adalimumab σε διάλυμα 0,4 ml.</w:t>
      </w:r>
    </w:p>
    <w:p w14:paraId="042D38F7" w14:textId="77777777" w:rsidR="00171824" w:rsidRDefault="00171824">
      <w:pPr>
        <w:rPr>
          <w:rFonts w:eastAsia="PMingLiU"/>
          <w:sz w:val="22"/>
          <w:szCs w:val="22"/>
          <w:lang w:val="el-GR"/>
        </w:rPr>
      </w:pPr>
    </w:p>
    <w:p w14:paraId="55EF0072" w14:textId="77777777" w:rsidR="00171824" w:rsidRDefault="00171824">
      <w:pPr>
        <w:widowControl/>
        <w:tabs>
          <w:tab w:val="left" w:pos="567"/>
        </w:tabs>
        <w:autoSpaceDE/>
        <w:autoSpaceDN/>
        <w:adjustRightInd/>
        <w:rPr>
          <w:rFonts w:eastAsia="PMingLiU"/>
          <w:sz w:val="22"/>
          <w:szCs w:val="22"/>
          <w:lang w:val="el-GR"/>
        </w:rPr>
      </w:pPr>
    </w:p>
    <w:p w14:paraId="4CF0EF6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521D2207" w14:textId="77777777" w:rsidR="00171824" w:rsidRDefault="00171824">
      <w:pPr>
        <w:widowControl/>
        <w:tabs>
          <w:tab w:val="left" w:pos="567"/>
        </w:tabs>
        <w:autoSpaceDE/>
        <w:autoSpaceDN/>
        <w:adjustRightInd/>
        <w:rPr>
          <w:rFonts w:eastAsia="PMingLiU"/>
          <w:sz w:val="22"/>
          <w:szCs w:val="22"/>
          <w:lang w:val="el-GR"/>
        </w:rPr>
      </w:pPr>
    </w:p>
    <w:p w14:paraId="42AF37B1"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L-γαλακτικό οξύ, σακχαρόζη, πολυσορβικό 80, υδροξείδιο του νατρίου και ενέσιμο ύδωρ.</w:t>
      </w:r>
    </w:p>
    <w:p w14:paraId="56F85046" w14:textId="77777777" w:rsidR="00171824" w:rsidRDefault="00171824">
      <w:pPr>
        <w:widowControl/>
        <w:tabs>
          <w:tab w:val="left" w:pos="567"/>
        </w:tabs>
        <w:autoSpaceDE/>
        <w:autoSpaceDN/>
        <w:adjustRightInd/>
        <w:rPr>
          <w:rFonts w:eastAsia="PMingLiU"/>
          <w:sz w:val="22"/>
          <w:szCs w:val="22"/>
          <w:lang w:val="el-GR"/>
        </w:rPr>
      </w:pPr>
    </w:p>
    <w:p w14:paraId="0F2C7881" w14:textId="77777777" w:rsidR="00171824" w:rsidRDefault="00171824">
      <w:pPr>
        <w:widowControl/>
        <w:tabs>
          <w:tab w:val="left" w:pos="567"/>
        </w:tabs>
        <w:autoSpaceDE/>
        <w:autoSpaceDN/>
        <w:adjustRightInd/>
        <w:rPr>
          <w:rFonts w:eastAsia="PMingLiU"/>
          <w:sz w:val="22"/>
          <w:szCs w:val="22"/>
          <w:lang w:val="el-GR"/>
        </w:rPr>
      </w:pPr>
    </w:p>
    <w:p w14:paraId="3817B5F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00ADB5E8" w14:textId="77777777" w:rsidR="00171824" w:rsidRDefault="00171824">
      <w:pPr>
        <w:widowControl/>
        <w:tabs>
          <w:tab w:val="left" w:pos="567"/>
        </w:tabs>
        <w:autoSpaceDE/>
        <w:autoSpaceDN/>
        <w:adjustRightInd/>
        <w:rPr>
          <w:rFonts w:eastAsia="PMingLiU"/>
          <w:sz w:val="22"/>
          <w:szCs w:val="22"/>
          <w:lang w:val="el-GR"/>
        </w:rPr>
      </w:pPr>
    </w:p>
    <w:p w14:paraId="2328369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58C2DFE6" w14:textId="77777777" w:rsidR="00171824" w:rsidRDefault="006D258C">
      <w:pPr>
        <w:rPr>
          <w:sz w:val="22"/>
          <w:szCs w:val="22"/>
          <w:lang w:val="el-GR"/>
        </w:rPr>
      </w:pPr>
      <w:r>
        <w:rPr>
          <w:sz w:val="22"/>
          <w:szCs w:val="22"/>
          <w:lang w:val="el-GR"/>
        </w:rPr>
        <w:t>40 mg/0,4 ml</w:t>
      </w:r>
    </w:p>
    <w:p w14:paraId="471463DE"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2 προγεμισμένες συσκευές τύπου πένας SureClick. Μέρος πολυσυσκευασίας, δεν μπορεί να πωληθεί ξεχωριστά.</w:t>
      </w:r>
    </w:p>
    <w:p w14:paraId="74480D9E" w14:textId="77777777" w:rsidR="00171824" w:rsidRDefault="00171824">
      <w:pPr>
        <w:widowControl/>
        <w:tabs>
          <w:tab w:val="left" w:pos="567"/>
        </w:tabs>
        <w:autoSpaceDE/>
        <w:autoSpaceDN/>
        <w:adjustRightInd/>
        <w:rPr>
          <w:rFonts w:eastAsia="PMingLiU"/>
          <w:sz w:val="22"/>
          <w:szCs w:val="22"/>
          <w:lang w:val="el-GR"/>
        </w:rPr>
      </w:pPr>
    </w:p>
    <w:p w14:paraId="0B3F5BAA" w14:textId="77777777" w:rsidR="00171824" w:rsidRDefault="00171824">
      <w:pPr>
        <w:widowControl/>
        <w:tabs>
          <w:tab w:val="left" w:pos="567"/>
        </w:tabs>
        <w:autoSpaceDE/>
        <w:autoSpaceDN/>
        <w:adjustRightInd/>
        <w:rPr>
          <w:rFonts w:eastAsia="PMingLiU"/>
          <w:sz w:val="22"/>
          <w:szCs w:val="22"/>
          <w:lang w:val="el-GR"/>
        </w:rPr>
      </w:pPr>
    </w:p>
    <w:p w14:paraId="18AC469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241C49A0" w14:textId="77777777" w:rsidR="00171824" w:rsidRDefault="00171824">
      <w:pPr>
        <w:widowControl/>
        <w:tabs>
          <w:tab w:val="left" w:pos="567"/>
        </w:tabs>
        <w:autoSpaceDE/>
        <w:autoSpaceDN/>
        <w:adjustRightInd/>
        <w:rPr>
          <w:rFonts w:eastAsia="PMingLiU"/>
          <w:sz w:val="22"/>
          <w:szCs w:val="20"/>
          <w:lang w:val="el-GR"/>
        </w:rPr>
      </w:pPr>
    </w:p>
    <w:p w14:paraId="6C4138E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1D3084C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6961B8C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64F99961" w14:textId="77777777" w:rsidR="00171824" w:rsidRDefault="00171824">
      <w:pPr>
        <w:widowControl/>
        <w:tabs>
          <w:tab w:val="left" w:pos="567"/>
        </w:tabs>
        <w:autoSpaceDE/>
        <w:autoSpaceDN/>
        <w:adjustRightInd/>
        <w:rPr>
          <w:rFonts w:eastAsia="PMingLiU"/>
          <w:sz w:val="22"/>
          <w:szCs w:val="22"/>
          <w:lang w:val="el-GR"/>
        </w:rPr>
      </w:pPr>
    </w:p>
    <w:p w14:paraId="567E1333" w14:textId="77777777" w:rsidR="00171824" w:rsidRDefault="00171824">
      <w:pPr>
        <w:widowControl/>
        <w:tabs>
          <w:tab w:val="left" w:pos="567"/>
        </w:tabs>
        <w:autoSpaceDE/>
        <w:autoSpaceDN/>
        <w:adjustRightInd/>
        <w:rPr>
          <w:rFonts w:eastAsia="PMingLiU"/>
          <w:sz w:val="22"/>
          <w:szCs w:val="22"/>
          <w:lang w:val="el-GR"/>
        </w:rPr>
      </w:pPr>
    </w:p>
    <w:p w14:paraId="3DB37A1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2960D500" w14:textId="77777777" w:rsidR="00171824" w:rsidRDefault="00171824">
      <w:pPr>
        <w:widowControl/>
        <w:tabs>
          <w:tab w:val="left" w:pos="567"/>
        </w:tabs>
        <w:autoSpaceDE/>
        <w:autoSpaceDN/>
        <w:adjustRightInd/>
        <w:rPr>
          <w:rFonts w:eastAsia="PMingLiU"/>
          <w:sz w:val="22"/>
          <w:szCs w:val="22"/>
          <w:lang w:val="el-GR"/>
        </w:rPr>
      </w:pPr>
    </w:p>
    <w:p w14:paraId="02D81D65"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37EC6E9A" w14:textId="77777777" w:rsidR="00171824" w:rsidRDefault="00171824">
      <w:pPr>
        <w:widowControl/>
        <w:tabs>
          <w:tab w:val="left" w:pos="567"/>
        </w:tabs>
        <w:autoSpaceDE/>
        <w:autoSpaceDN/>
        <w:adjustRightInd/>
        <w:rPr>
          <w:rFonts w:eastAsia="PMingLiU"/>
          <w:sz w:val="22"/>
          <w:szCs w:val="22"/>
          <w:lang w:val="el-GR"/>
        </w:rPr>
      </w:pPr>
    </w:p>
    <w:p w14:paraId="045BEBA8" w14:textId="77777777" w:rsidR="00171824" w:rsidRDefault="00171824">
      <w:pPr>
        <w:widowControl/>
        <w:tabs>
          <w:tab w:val="left" w:pos="567"/>
        </w:tabs>
        <w:autoSpaceDE/>
        <w:autoSpaceDN/>
        <w:adjustRightInd/>
        <w:rPr>
          <w:rFonts w:eastAsia="PMingLiU"/>
          <w:sz w:val="22"/>
          <w:szCs w:val="22"/>
          <w:lang w:val="el-GR"/>
        </w:rPr>
      </w:pPr>
    </w:p>
    <w:p w14:paraId="556C511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3770B182" w14:textId="77777777" w:rsidR="00171824" w:rsidRDefault="00171824">
      <w:pPr>
        <w:widowControl/>
        <w:tabs>
          <w:tab w:val="left" w:pos="567"/>
        </w:tabs>
        <w:autoSpaceDE/>
        <w:autoSpaceDN/>
        <w:adjustRightInd/>
        <w:rPr>
          <w:rFonts w:eastAsia="PMingLiU"/>
          <w:sz w:val="22"/>
          <w:szCs w:val="22"/>
          <w:lang w:val="el-GR"/>
        </w:rPr>
      </w:pPr>
    </w:p>
    <w:p w14:paraId="7956983F" w14:textId="77777777" w:rsidR="00171824" w:rsidRDefault="00171824">
      <w:pPr>
        <w:widowControl/>
        <w:tabs>
          <w:tab w:val="left" w:pos="567"/>
          <w:tab w:val="left" w:pos="749"/>
        </w:tabs>
        <w:autoSpaceDE/>
        <w:autoSpaceDN/>
        <w:adjustRightInd/>
        <w:rPr>
          <w:rFonts w:eastAsia="PMingLiU"/>
          <w:sz w:val="22"/>
          <w:szCs w:val="20"/>
          <w:lang w:val="el-GR"/>
        </w:rPr>
      </w:pPr>
    </w:p>
    <w:p w14:paraId="0A1BA8C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6227299E" w14:textId="77777777" w:rsidR="00171824" w:rsidRDefault="00171824">
      <w:pPr>
        <w:widowControl/>
        <w:tabs>
          <w:tab w:val="left" w:pos="567"/>
        </w:tabs>
        <w:autoSpaceDE/>
        <w:autoSpaceDN/>
        <w:adjustRightInd/>
        <w:rPr>
          <w:rFonts w:eastAsia="PMingLiU"/>
          <w:sz w:val="22"/>
          <w:szCs w:val="20"/>
          <w:lang w:val="el-GR"/>
        </w:rPr>
      </w:pPr>
    </w:p>
    <w:p w14:paraId="1374833E"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77DBAA20" w14:textId="77777777" w:rsidR="00171824" w:rsidRDefault="00171824">
      <w:pPr>
        <w:widowControl/>
        <w:tabs>
          <w:tab w:val="left" w:pos="567"/>
        </w:tabs>
        <w:autoSpaceDE/>
        <w:autoSpaceDN/>
        <w:adjustRightInd/>
        <w:rPr>
          <w:rFonts w:eastAsia="PMingLiU"/>
          <w:sz w:val="22"/>
          <w:szCs w:val="22"/>
          <w:lang w:val="el-GR"/>
        </w:rPr>
      </w:pPr>
    </w:p>
    <w:p w14:paraId="411A8E34" w14:textId="77777777" w:rsidR="00171824" w:rsidRDefault="00171824">
      <w:pPr>
        <w:widowControl/>
        <w:tabs>
          <w:tab w:val="left" w:pos="567"/>
        </w:tabs>
        <w:autoSpaceDE/>
        <w:autoSpaceDN/>
        <w:adjustRightInd/>
        <w:rPr>
          <w:rFonts w:eastAsia="PMingLiU"/>
          <w:sz w:val="22"/>
          <w:szCs w:val="22"/>
          <w:lang w:val="el-GR"/>
        </w:rPr>
      </w:pPr>
    </w:p>
    <w:p w14:paraId="32CE2F0B"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2AEF7DC8" w14:textId="77777777" w:rsidR="00171824" w:rsidRDefault="00171824">
      <w:pPr>
        <w:keepNext/>
        <w:widowControl/>
        <w:tabs>
          <w:tab w:val="left" w:pos="567"/>
        </w:tabs>
        <w:autoSpaceDE/>
        <w:autoSpaceDN/>
        <w:adjustRightInd/>
        <w:rPr>
          <w:rFonts w:eastAsia="PMingLiU"/>
          <w:sz w:val="22"/>
          <w:szCs w:val="22"/>
          <w:lang w:val="el-GR"/>
        </w:rPr>
      </w:pPr>
    </w:p>
    <w:p w14:paraId="40B931C1"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1BB699A0"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Μην καταψύχετε.</w:t>
      </w:r>
    </w:p>
    <w:p w14:paraId="473040CD" w14:textId="77777777" w:rsidR="00171824" w:rsidRDefault="006D258C">
      <w:pPr>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2132E2B9" w14:textId="77777777" w:rsidR="00171824" w:rsidRDefault="00171824">
      <w:pPr>
        <w:widowControl/>
        <w:tabs>
          <w:tab w:val="left" w:pos="567"/>
        </w:tabs>
        <w:autoSpaceDE/>
        <w:autoSpaceDN/>
        <w:adjustRightInd/>
        <w:rPr>
          <w:rFonts w:eastAsia="SimSun"/>
          <w:sz w:val="22"/>
          <w:szCs w:val="22"/>
          <w:lang w:val="el-GR" w:eastAsia="en-GB"/>
        </w:rPr>
      </w:pPr>
    </w:p>
    <w:p w14:paraId="38309C6A" w14:textId="77777777" w:rsidR="00171824" w:rsidRDefault="00171824">
      <w:pPr>
        <w:widowControl/>
        <w:tabs>
          <w:tab w:val="left" w:pos="567"/>
        </w:tabs>
        <w:autoSpaceDE/>
        <w:autoSpaceDN/>
        <w:adjustRightInd/>
        <w:rPr>
          <w:rFonts w:eastAsia="SimSun"/>
          <w:sz w:val="22"/>
          <w:szCs w:val="22"/>
          <w:lang w:val="el-GR" w:eastAsia="en-GB"/>
        </w:rPr>
      </w:pPr>
    </w:p>
    <w:p w14:paraId="3BED53B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1AB27392" w14:textId="77777777" w:rsidR="00171824" w:rsidRDefault="00171824">
      <w:pPr>
        <w:widowControl/>
        <w:tabs>
          <w:tab w:val="left" w:pos="567"/>
        </w:tabs>
        <w:autoSpaceDE/>
        <w:autoSpaceDN/>
        <w:adjustRightInd/>
        <w:rPr>
          <w:rFonts w:eastAsia="PMingLiU"/>
          <w:sz w:val="22"/>
          <w:szCs w:val="22"/>
          <w:lang w:val="el-GR"/>
        </w:rPr>
      </w:pPr>
    </w:p>
    <w:p w14:paraId="4B086FD2" w14:textId="77777777" w:rsidR="00171824" w:rsidRDefault="00171824">
      <w:pPr>
        <w:widowControl/>
        <w:tabs>
          <w:tab w:val="left" w:pos="567"/>
        </w:tabs>
        <w:autoSpaceDE/>
        <w:autoSpaceDN/>
        <w:adjustRightInd/>
        <w:rPr>
          <w:rFonts w:eastAsia="PMingLiU"/>
          <w:sz w:val="22"/>
          <w:szCs w:val="22"/>
          <w:lang w:val="el-GR"/>
        </w:rPr>
      </w:pPr>
    </w:p>
    <w:p w14:paraId="1DB6A59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02FAF3E3" w14:textId="77777777" w:rsidR="00171824" w:rsidRDefault="00171824">
      <w:pPr>
        <w:widowControl/>
        <w:tabs>
          <w:tab w:val="left" w:pos="567"/>
        </w:tabs>
        <w:autoSpaceDE/>
        <w:autoSpaceDN/>
        <w:adjustRightInd/>
        <w:rPr>
          <w:rFonts w:eastAsia="PMingLiU"/>
          <w:sz w:val="22"/>
          <w:szCs w:val="22"/>
          <w:lang w:val="el-GR"/>
        </w:rPr>
      </w:pPr>
    </w:p>
    <w:p w14:paraId="706B0C20"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55BD1E76"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534688EE"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53FFFA2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1E2CDFB9" w14:textId="77777777" w:rsidR="00171824" w:rsidRDefault="00171824">
      <w:pPr>
        <w:widowControl/>
        <w:tabs>
          <w:tab w:val="left" w:pos="567"/>
        </w:tabs>
        <w:autoSpaceDE/>
        <w:autoSpaceDN/>
        <w:adjustRightInd/>
        <w:rPr>
          <w:rFonts w:eastAsia="PMingLiU"/>
          <w:sz w:val="22"/>
          <w:szCs w:val="22"/>
          <w:lang w:val="el-GR"/>
        </w:rPr>
      </w:pPr>
    </w:p>
    <w:p w14:paraId="3A8F741B" w14:textId="77777777" w:rsidR="00171824" w:rsidRDefault="00171824">
      <w:pPr>
        <w:widowControl/>
        <w:tabs>
          <w:tab w:val="left" w:pos="567"/>
        </w:tabs>
        <w:autoSpaceDE/>
        <w:autoSpaceDN/>
        <w:adjustRightInd/>
        <w:rPr>
          <w:rFonts w:eastAsia="PMingLiU"/>
          <w:sz w:val="22"/>
          <w:szCs w:val="22"/>
          <w:lang w:val="el-GR"/>
        </w:rPr>
      </w:pPr>
    </w:p>
    <w:p w14:paraId="2C65F69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5EB2D7D3" w14:textId="77777777" w:rsidR="00171824" w:rsidRDefault="00171824">
      <w:pPr>
        <w:widowControl/>
        <w:tabs>
          <w:tab w:val="left" w:pos="567"/>
        </w:tabs>
        <w:autoSpaceDE/>
        <w:autoSpaceDN/>
        <w:adjustRightInd/>
        <w:rPr>
          <w:rFonts w:eastAsia="PMingLiU"/>
          <w:sz w:val="22"/>
          <w:szCs w:val="22"/>
          <w:lang w:val="el-GR"/>
        </w:rPr>
      </w:pPr>
    </w:p>
    <w:p w14:paraId="0E0E9DFC"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EU/1/16/1164/016 </w:t>
      </w:r>
    </w:p>
    <w:p w14:paraId="61CF8857" w14:textId="77777777" w:rsidR="00171824" w:rsidRDefault="00171824">
      <w:pPr>
        <w:widowControl/>
        <w:tabs>
          <w:tab w:val="left" w:pos="567"/>
        </w:tabs>
        <w:autoSpaceDE/>
        <w:autoSpaceDN/>
        <w:adjustRightInd/>
        <w:outlineLvl w:val="0"/>
        <w:rPr>
          <w:rFonts w:eastAsia="PMingLiU"/>
          <w:sz w:val="22"/>
          <w:szCs w:val="22"/>
          <w:lang w:val="el-GR" w:bidi="en-US"/>
        </w:rPr>
      </w:pPr>
    </w:p>
    <w:p w14:paraId="71AE497E" w14:textId="77777777" w:rsidR="00171824" w:rsidRDefault="00171824">
      <w:pPr>
        <w:widowControl/>
        <w:tabs>
          <w:tab w:val="left" w:pos="567"/>
        </w:tabs>
        <w:autoSpaceDE/>
        <w:autoSpaceDN/>
        <w:adjustRightInd/>
        <w:rPr>
          <w:rFonts w:eastAsia="PMingLiU"/>
          <w:sz w:val="22"/>
          <w:szCs w:val="22"/>
          <w:lang w:val="el-GR"/>
        </w:rPr>
      </w:pPr>
    </w:p>
    <w:p w14:paraId="4646697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1648323A" w14:textId="77777777" w:rsidR="00171824" w:rsidRDefault="00171824">
      <w:pPr>
        <w:widowControl/>
        <w:tabs>
          <w:tab w:val="left" w:pos="567"/>
        </w:tabs>
        <w:autoSpaceDE/>
        <w:autoSpaceDN/>
        <w:adjustRightInd/>
        <w:rPr>
          <w:rFonts w:eastAsia="PMingLiU"/>
          <w:i/>
          <w:sz w:val="22"/>
          <w:szCs w:val="22"/>
          <w:lang w:val="el-GR"/>
        </w:rPr>
      </w:pPr>
    </w:p>
    <w:p w14:paraId="6ABB9F8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3AE4E52D" w14:textId="77777777" w:rsidR="00171824" w:rsidRDefault="00171824">
      <w:pPr>
        <w:widowControl/>
        <w:tabs>
          <w:tab w:val="left" w:pos="567"/>
        </w:tabs>
        <w:autoSpaceDE/>
        <w:autoSpaceDN/>
        <w:adjustRightInd/>
        <w:rPr>
          <w:rFonts w:eastAsia="PMingLiU"/>
          <w:sz w:val="22"/>
          <w:szCs w:val="22"/>
          <w:lang w:val="el-GR"/>
        </w:rPr>
      </w:pPr>
    </w:p>
    <w:p w14:paraId="7A38B9F9" w14:textId="77777777" w:rsidR="00171824" w:rsidRDefault="00171824">
      <w:pPr>
        <w:widowControl/>
        <w:tabs>
          <w:tab w:val="left" w:pos="567"/>
        </w:tabs>
        <w:autoSpaceDE/>
        <w:autoSpaceDN/>
        <w:adjustRightInd/>
        <w:rPr>
          <w:rFonts w:eastAsia="PMingLiU"/>
          <w:sz w:val="22"/>
          <w:szCs w:val="22"/>
          <w:lang w:val="el-GR"/>
        </w:rPr>
      </w:pPr>
    </w:p>
    <w:p w14:paraId="6D43825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51ECFBD5" w14:textId="77777777" w:rsidR="00171824" w:rsidRDefault="00171824">
      <w:pPr>
        <w:widowControl/>
        <w:tabs>
          <w:tab w:val="left" w:pos="567"/>
        </w:tabs>
        <w:autoSpaceDE/>
        <w:autoSpaceDN/>
        <w:adjustRightInd/>
        <w:rPr>
          <w:rFonts w:eastAsia="PMingLiU"/>
          <w:i/>
          <w:sz w:val="22"/>
          <w:szCs w:val="22"/>
          <w:lang w:val="el-GR"/>
        </w:rPr>
      </w:pPr>
    </w:p>
    <w:p w14:paraId="0B85F053" w14:textId="77777777" w:rsidR="00171824" w:rsidRDefault="00171824">
      <w:pPr>
        <w:widowControl/>
        <w:tabs>
          <w:tab w:val="left" w:pos="567"/>
        </w:tabs>
        <w:autoSpaceDE/>
        <w:autoSpaceDN/>
        <w:adjustRightInd/>
        <w:rPr>
          <w:rFonts w:eastAsia="PMingLiU"/>
          <w:sz w:val="22"/>
          <w:szCs w:val="22"/>
          <w:lang w:val="el-GR"/>
        </w:rPr>
      </w:pPr>
    </w:p>
    <w:p w14:paraId="2C6160BE"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2EC92288" w14:textId="77777777" w:rsidR="00171824" w:rsidRDefault="00171824">
      <w:pPr>
        <w:widowControl/>
        <w:tabs>
          <w:tab w:val="left" w:pos="567"/>
        </w:tabs>
        <w:autoSpaceDE/>
        <w:autoSpaceDN/>
        <w:adjustRightInd/>
        <w:rPr>
          <w:rFonts w:eastAsia="PMingLiU"/>
          <w:sz w:val="22"/>
          <w:szCs w:val="22"/>
          <w:lang w:val="el-GR"/>
        </w:rPr>
      </w:pPr>
    </w:p>
    <w:p w14:paraId="753E7626" w14:textId="77777777" w:rsidR="00171824" w:rsidRDefault="00171824">
      <w:pPr>
        <w:widowControl/>
        <w:tabs>
          <w:tab w:val="left" w:pos="567"/>
        </w:tabs>
        <w:autoSpaceDE/>
        <w:autoSpaceDN/>
        <w:adjustRightInd/>
        <w:rPr>
          <w:rFonts w:eastAsia="PMingLiU"/>
          <w:sz w:val="22"/>
          <w:szCs w:val="22"/>
          <w:lang w:val="el-GR"/>
        </w:rPr>
      </w:pPr>
    </w:p>
    <w:p w14:paraId="7847793A"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690295C9" w14:textId="77777777" w:rsidR="00171824" w:rsidRDefault="00171824">
      <w:pPr>
        <w:widowControl/>
        <w:tabs>
          <w:tab w:val="left" w:pos="567"/>
        </w:tabs>
        <w:autoSpaceDE/>
        <w:autoSpaceDN/>
        <w:adjustRightInd/>
        <w:rPr>
          <w:rFonts w:eastAsia="PMingLiU"/>
          <w:sz w:val="22"/>
          <w:szCs w:val="20"/>
          <w:lang w:val="el-GR"/>
        </w:rPr>
      </w:pPr>
    </w:p>
    <w:p w14:paraId="233939A1"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 xml:space="preserve">AMGEVITA 40 mg/0,4ml </w:t>
      </w:r>
      <w:r>
        <w:rPr>
          <w:rFonts w:eastAsia="Arial Unicode MS" w:cs="Arial Unicode MS"/>
          <w:sz w:val="22"/>
          <w:szCs w:val="22"/>
          <w:lang w:val="el-GR" w:bidi="en-US"/>
        </w:rPr>
        <w:t>συσκευή τύπου πένας</w:t>
      </w:r>
    </w:p>
    <w:p w14:paraId="6564A7C2"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6184A83F"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393772DF"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ind w:left="567" w:hanging="567"/>
        <w:rPr>
          <w:rFonts w:eastAsia="Arial Unicode MS" w:cs="Arial Unicode MS"/>
          <w:b/>
          <w:sz w:val="22"/>
          <w:szCs w:val="22"/>
          <w:lang w:val="el-GR" w:bidi="en-US"/>
        </w:rPr>
      </w:pPr>
      <w:r>
        <w:rPr>
          <w:rFonts w:eastAsia="Arial Unicode MS" w:cs="Arial Unicode MS"/>
          <w:b/>
          <w:sz w:val="22"/>
          <w:szCs w:val="22"/>
          <w:lang w:val="el-GR" w:bidi="en-US"/>
        </w:rPr>
        <w:t>17.</w:t>
      </w:r>
      <w:r>
        <w:rPr>
          <w:rFonts w:eastAsia="Arial Unicode MS" w:cs="Arial Unicode MS"/>
          <w:b/>
          <w:sz w:val="22"/>
          <w:szCs w:val="22"/>
          <w:lang w:val="el-GR" w:bidi="en-US"/>
        </w:rPr>
        <w:tab/>
        <w:t>ΜΟΝΑΔΙΚΟΣ ΑΝΑΓΝΩΡΙΣΤΙΚΟΣ ΚΩΔΙΚΟΣ – ΔΙΣΔΙΑΣΤΑΤΟΣ ΓΡΑΜΜΩΤΟΣ ΚΩΔΙΚΑΣ (2D)</w:t>
      </w:r>
    </w:p>
    <w:p w14:paraId="1F3EA3C4"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411D4602"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1B139039"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ind w:left="567" w:hanging="567"/>
        <w:rPr>
          <w:rFonts w:eastAsia="Arial Unicode MS" w:cs="Arial Unicode MS"/>
          <w:b/>
          <w:sz w:val="22"/>
          <w:szCs w:val="22"/>
          <w:lang w:val="el-GR" w:bidi="en-US"/>
        </w:rPr>
      </w:pPr>
      <w:r>
        <w:rPr>
          <w:rFonts w:eastAsia="Arial Unicode MS" w:cs="Arial Unicode MS"/>
          <w:b/>
          <w:sz w:val="22"/>
          <w:szCs w:val="22"/>
          <w:lang w:val="el-GR" w:bidi="en-US"/>
        </w:rPr>
        <w:t>18.</w:t>
      </w:r>
      <w:r>
        <w:rPr>
          <w:rFonts w:eastAsia="Arial Unicode MS" w:cs="Arial Unicode MS"/>
          <w:b/>
          <w:sz w:val="22"/>
          <w:szCs w:val="22"/>
          <w:lang w:val="el-GR" w:bidi="en-US"/>
        </w:rPr>
        <w:tab/>
        <w:t>ΜΟΝΑΔΙΚΟΣ ΑΝΑΓΝΩΡΙΣΤΙΚΟΣ ΚΩΔΙΚΟΣ - ΔΕΔΟΜΕΝΑ ΑΝΑΓΝΩΣΙΜΑ ΑΠΟ ΤΟΝ ΑΝΘΡΩΠΟ</w:t>
      </w:r>
    </w:p>
    <w:p w14:paraId="589097D9" w14:textId="77777777" w:rsidR="00171824" w:rsidRDefault="00171824">
      <w:pPr>
        <w:widowControl/>
        <w:tabs>
          <w:tab w:val="left" w:pos="567"/>
        </w:tabs>
        <w:autoSpaceDE/>
        <w:autoSpaceDN/>
        <w:adjustRightInd/>
        <w:rPr>
          <w:rFonts w:eastAsia="PMingLiU"/>
          <w:sz w:val="22"/>
          <w:szCs w:val="22"/>
          <w:lang w:val="el-GR"/>
        </w:rPr>
      </w:pPr>
    </w:p>
    <w:p w14:paraId="3E1E4210" w14:textId="77777777" w:rsidR="00171824" w:rsidRDefault="00171824">
      <w:pPr>
        <w:widowControl/>
        <w:tabs>
          <w:tab w:val="left" w:pos="567"/>
        </w:tabs>
        <w:autoSpaceDE/>
        <w:autoSpaceDN/>
        <w:adjustRightInd/>
        <w:rPr>
          <w:rFonts w:eastAsia="PMingLiU"/>
          <w:sz w:val="22"/>
          <w:szCs w:val="22"/>
          <w:lang w:val="el-GR"/>
        </w:rPr>
      </w:pPr>
    </w:p>
    <w:p w14:paraId="29D93EA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br w:type="page"/>
      </w:r>
    </w:p>
    <w:p w14:paraId="0E4624AE" w14:textId="77777777" w:rsidR="00171824" w:rsidRDefault="006D258C">
      <w:pPr>
        <w:widowControl/>
        <w:pBdr>
          <w:top w:val="single" w:sz="4" w:space="1" w:color="auto"/>
          <w:left w:val="single" w:sz="4" w:space="4" w:color="auto"/>
          <w:bottom w:val="single" w:sz="4" w:space="1" w:color="auto"/>
          <w:right w:val="single" w:sz="4" w:space="4" w:color="auto"/>
        </w:pBdr>
        <w:autoSpaceDE/>
        <w:autoSpaceDN/>
        <w:adjustRightInd/>
        <w:outlineLvl w:val="0"/>
        <w:rPr>
          <w:rFonts w:eastAsia="Arial Unicode MS" w:cs="Arial Unicode MS"/>
          <w:b/>
          <w:sz w:val="22"/>
          <w:szCs w:val="22"/>
          <w:lang w:val="el-GR" w:bidi="en-US"/>
        </w:rPr>
      </w:pPr>
      <w:r>
        <w:rPr>
          <w:rFonts w:eastAsia="Arial Unicode MS" w:cs="Arial Unicode MS"/>
          <w:b/>
          <w:sz w:val="22"/>
          <w:szCs w:val="22"/>
          <w:lang w:val="el-GR" w:bidi="en-US"/>
        </w:rPr>
        <w:lastRenderedPageBreak/>
        <w:t>ΕΛΑΧΙΣΤΕΣ ΕΝΔΕΙΞΕΙΣ ΠΟΥ ΠΡΕΠΕΙ ΝΑ ΑΝΑΓΡΑΦΟΝΤΑΙ ΣΤΙΣ ΜΙΚΡΕΣ ΣΤΟΙΧΕΙΩΔΕΙΣ ΣΥΣΚΕΥΑΣΙΕΣ</w:t>
      </w:r>
    </w:p>
    <w:p w14:paraId="33F9D2AC" w14:textId="77777777" w:rsidR="00171824" w:rsidRDefault="00171824">
      <w:pPr>
        <w:widowControl/>
        <w:pBdr>
          <w:top w:val="single" w:sz="4" w:space="1" w:color="auto"/>
          <w:left w:val="single" w:sz="4" w:space="4" w:color="auto"/>
          <w:bottom w:val="single" w:sz="4" w:space="1" w:color="auto"/>
          <w:right w:val="single" w:sz="4" w:space="4" w:color="auto"/>
        </w:pBdr>
        <w:autoSpaceDE/>
        <w:autoSpaceDN/>
        <w:adjustRightInd/>
        <w:outlineLvl w:val="0"/>
        <w:rPr>
          <w:rFonts w:eastAsia="Arial Unicode MS" w:cs="Arial Unicode MS"/>
          <w:b/>
          <w:sz w:val="22"/>
          <w:szCs w:val="22"/>
          <w:lang w:val="el-GR" w:bidi="en-US"/>
        </w:rPr>
      </w:pPr>
    </w:p>
    <w:p w14:paraId="1213D173" w14:textId="77777777" w:rsidR="00171824" w:rsidRDefault="006D258C">
      <w:pPr>
        <w:widowControl/>
        <w:pBdr>
          <w:top w:val="single" w:sz="4" w:space="1" w:color="auto"/>
          <w:left w:val="single" w:sz="4" w:space="4" w:color="auto"/>
          <w:bottom w:val="single" w:sz="4" w:space="1" w:color="auto"/>
          <w:right w:val="single" w:sz="4" w:space="4" w:color="auto"/>
        </w:pBdr>
        <w:autoSpaceDE/>
        <w:autoSpaceDN/>
        <w:adjustRightInd/>
        <w:outlineLvl w:val="0"/>
        <w:rPr>
          <w:rFonts w:eastAsia="Arial Unicode MS" w:cs="Arial Unicode MS"/>
          <w:b/>
          <w:sz w:val="22"/>
          <w:szCs w:val="22"/>
          <w:lang w:val="el-GR" w:bidi="en-US"/>
        </w:rPr>
      </w:pPr>
      <w:r>
        <w:rPr>
          <w:rFonts w:eastAsia="Arial Unicode MS" w:cs="Arial Unicode MS"/>
          <w:b/>
          <w:sz w:val="22"/>
          <w:szCs w:val="22"/>
          <w:lang w:val="el-GR" w:bidi="en-US"/>
        </w:rPr>
        <w:t>ΕΠΙΣΗΜΑΝΣΗ ΠΡΟΓΕΜΙΣΜΕΝΗΣ ΣΥΣΚΕΥΗΣ ΤΥΠΟΥ ΠΕΝΑΣ</w:t>
      </w:r>
    </w:p>
    <w:p w14:paraId="1D56EEC3" w14:textId="77777777" w:rsidR="00171824" w:rsidRDefault="00171824">
      <w:pPr>
        <w:widowControl/>
        <w:tabs>
          <w:tab w:val="left" w:pos="567"/>
        </w:tabs>
        <w:autoSpaceDE/>
        <w:autoSpaceDN/>
        <w:adjustRightInd/>
        <w:rPr>
          <w:rFonts w:eastAsia="PMingLiU"/>
          <w:sz w:val="22"/>
          <w:szCs w:val="22"/>
          <w:lang w:val="el-GR"/>
        </w:rPr>
      </w:pPr>
    </w:p>
    <w:p w14:paraId="2B127B58" w14:textId="77777777" w:rsidR="00171824" w:rsidRDefault="00171824">
      <w:pPr>
        <w:widowControl/>
        <w:tabs>
          <w:tab w:val="left" w:pos="567"/>
        </w:tabs>
        <w:autoSpaceDE/>
        <w:autoSpaceDN/>
        <w:adjustRightInd/>
        <w:rPr>
          <w:rFonts w:eastAsia="PMingLiU"/>
          <w:sz w:val="22"/>
          <w:szCs w:val="22"/>
          <w:lang w:val="el-GR"/>
        </w:rPr>
      </w:pPr>
    </w:p>
    <w:p w14:paraId="7F12A3E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w:t>
      </w:r>
      <w:r>
        <w:rPr>
          <w:rFonts w:eastAsia="Arial Unicode MS" w:cs="Arial Unicode MS"/>
          <w:b/>
          <w:sz w:val="22"/>
          <w:szCs w:val="22"/>
          <w:lang w:val="el-GR" w:bidi="en-US"/>
        </w:rPr>
        <w:tab/>
        <w:t>ΟΝΟΜΑΣΙΑ ΤΟΥ ΦΑΡΜΑΚΕΥΤΙΚΟΥ ΠΡΟΪΟΝΤΟΣ ΚΑΙ ΟΔΟΣ(ΟΙ) ΧΟΡΗΓΗΣΗΣ</w:t>
      </w:r>
    </w:p>
    <w:p w14:paraId="0926B2F5" w14:textId="77777777" w:rsidR="00171824" w:rsidRDefault="00171824">
      <w:pPr>
        <w:widowControl/>
        <w:tabs>
          <w:tab w:val="left" w:pos="567"/>
        </w:tabs>
        <w:autoSpaceDE/>
        <w:autoSpaceDN/>
        <w:adjustRightInd/>
        <w:ind w:left="567" w:hanging="567"/>
        <w:rPr>
          <w:rFonts w:eastAsia="PMingLiU"/>
          <w:sz w:val="22"/>
          <w:szCs w:val="22"/>
          <w:lang w:val="el-GR"/>
        </w:rPr>
      </w:pPr>
    </w:p>
    <w:p w14:paraId="2CAC12F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40 mg ένεση</w:t>
      </w:r>
    </w:p>
    <w:p w14:paraId="606106F1"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05542AA4"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Υποδόρια</w:t>
      </w:r>
    </w:p>
    <w:p w14:paraId="08F475F3" w14:textId="77777777" w:rsidR="00171824" w:rsidRDefault="00171824">
      <w:pPr>
        <w:widowControl/>
        <w:tabs>
          <w:tab w:val="left" w:pos="567"/>
        </w:tabs>
        <w:autoSpaceDE/>
        <w:autoSpaceDN/>
        <w:adjustRightInd/>
        <w:rPr>
          <w:rFonts w:eastAsia="PMingLiU"/>
          <w:sz w:val="22"/>
          <w:szCs w:val="22"/>
          <w:lang w:val="el-GR"/>
        </w:rPr>
      </w:pPr>
    </w:p>
    <w:p w14:paraId="255DB0BD" w14:textId="77777777" w:rsidR="00171824" w:rsidRDefault="00171824">
      <w:pPr>
        <w:widowControl/>
        <w:tabs>
          <w:tab w:val="left" w:pos="567"/>
        </w:tabs>
        <w:autoSpaceDE/>
        <w:autoSpaceDN/>
        <w:adjustRightInd/>
        <w:rPr>
          <w:rFonts w:eastAsia="PMingLiU"/>
          <w:sz w:val="22"/>
          <w:szCs w:val="22"/>
          <w:lang w:val="el-GR"/>
        </w:rPr>
      </w:pPr>
    </w:p>
    <w:p w14:paraId="165204C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ΤΡΟΠΟΣ ΧΟΡΗΓΗΣΗΣ</w:t>
      </w:r>
    </w:p>
    <w:p w14:paraId="638CF52B" w14:textId="77777777" w:rsidR="00171824" w:rsidRDefault="00171824">
      <w:pPr>
        <w:widowControl/>
        <w:tabs>
          <w:tab w:val="left" w:pos="567"/>
        </w:tabs>
        <w:autoSpaceDE/>
        <w:autoSpaceDN/>
        <w:adjustRightInd/>
        <w:rPr>
          <w:rFonts w:eastAsia="PMingLiU"/>
          <w:sz w:val="22"/>
          <w:szCs w:val="22"/>
          <w:lang w:val="el-GR"/>
        </w:rPr>
      </w:pPr>
    </w:p>
    <w:p w14:paraId="31A64E09" w14:textId="77777777" w:rsidR="00171824" w:rsidRDefault="00171824">
      <w:pPr>
        <w:widowControl/>
        <w:tabs>
          <w:tab w:val="left" w:pos="567"/>
        </w:tabs>
        <w:autoSpaceDE/>
        <w:autoSpaceDN/>
        <w:adjustRightInd/>
        <w:rPr>
          <w:rFonts w:eastAsia="PMingLiU"/>
          <w:sz w:val="22"/>
          <w:szCs w:val="22"/>
          <w:lang w:val="el-GR"/>
        </w:rPr>
      </w:pPr>
    </w:p>
    <w:p w14:paraId="540C79D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ΗΜΕΡΟΜΗΝΙΑ ΛΗΞΗΣ</w:t>
      </w:r>
    </w:p>
    <w:p w14:paraId="7DAA6339" w14:textId="77777777" w:rsidR="00171824" w:rsidRDefault="00171824">
      <w:pPr>
        <w:widowControl/>
        <w:tabs>
          <w:tab w:val="left" w:pos="567"/>
        </w:tabs>
        <w:autoSpaceDE/>
        <w:autoSpaceDN/>
        <w:adjustRightInd/>
        <w:rPr>
          <w:rFonts w:eastAsia="PMingLiU"/>
          <w:sz w:val="22"/>
          <w:szCs w:val="20"/>
          <w:lang w:val="el-GR"/>
        </w:rPr>
      </w:pPr>
    </w:p>
    <w:p w14:paraId="0CAD7E2B"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EXP</w:t>
      </w:r>
    </w:p>
    <w:p w14:paraId="76CDDFDB" w14:textId="77777777" w:rsidR="00171824" w:rsidRDefault="00171824">
      <w:pPr>
        <w:widowControl/>
        <w:tabs>
          <w:tab w:val="left" w:pos="567"/>
        </w:tabs>
        <w:autoSpaceDE/>
        <w:autoSpaceDN/>
        <w:adjustRightInd/>
        <w:rPr>
          <w:rFonts w:eastAsia="PMingLiU"/>
          <w:sz w:val="22"/>
          <w:szCs w:val="20"/>
          <w:lang w:val="el-GR"/>
        </w:rPr>
      </w:pPr>
    </w:p>
    <w:p w14:paraId="5311C327" w14:textId="77777777" w:rsidR="00171824" w:rsidRDefault="00171824">
      <w:pPr>
        <w:widowControl/>
        <w:tabs>
          <w:tab w:val="left" w:pos="567"/>
        </w:tabs>
        <w:autoSpaceDE/>
        <w:autoSpaceDN/>
        <w:adjustRightInd/>
        <w:rPr>
          <w:rFonts w:eastAsia="PMingLiU"/>
          <w:sz w:val="22"/>
          <w:szCs w:val="20"/>
          <w:lang w:val="el-GR"/>
        </w:rPr>
      </w:pPr>
    </w:p>
    <w:p w14:paraId="6B788CE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0"/>
          <w:lang w:val="el-GR" w:bidi="en-US"/>
        </w:rPr>
      </w:pPr>
      <w:r>
        <w:rPr>
          <w:rFonts w:eastAsia="Arial Unicode MS" w:cs="Arial Unicode MS"/>
          <w:b/>
          <w:sz w:val="22"/>
          <w:szCs w:val="20"/>
          <w:lang w:val="el-GR" w:bidi="en-US"/>
        </w:rPr>
        <w:t>4.</w:t>
      </w:r>
      <w:r>
        <w:rPr>
          <w:rFonts w:eastAsia="Arial Unicode MS" w:cs="Arial Unicode MS"/>
          <w:b/>
          <w:sz w:val="22"/>
          <w:szCs w:val="20"/>
          <w:lang w:val="el-GR" w:bidi="en-US"/>
        </w:rPr>
        <w:tab/>
        <w:t xml:space="preserve">ΑΡΙΘΜΟΣ ΠΑΡΤΙΔΑΣ </w:t>
      </w:r>
    </w:p>
    <w:p w14:paraId="0AC25CAD" w14:textId="77777777" w:rsidR="00171824" w:rsidRDefault="00171824">
      <w:pPr>
        <w:widowControl/>
        <w:tabs>
          <w:tab w:val="left" w:pos="567"/>
        </w:tabs>
        <w:autoSpaceDE/>
        <w:autoSpaceDN/>
        <w:adjustRightInd/>
        <w:ind w:right="113"/>
        <w:rPr>
          <w:rFonts w:eastAsia="PMingLiU"/>
          <w:sz w:val="22"/>
          <w:szCs w:val="20"/>
          <w:lang w:val="el-GR"/>
        </w:rPr>
      </w:pPr>
    </w:p>
    <w:p w14:paraId="5D6A1BE8" w14:textId="77777777" w:rsidR="00171824" w:rsidRDefault="006D258C">
      <w:pPr>
        <w:widowControl/>
        <w:tabs>
          <w:tab w:val="left" w:pos="567"/>
        </w:tabs>
        <w:autoSpaceDE/>
        <w:autoSpaceDN/>
        <w:adjustRightInd/>
        <w:ind w:right="113"/>
        <w:rPr>
          <w:rFonts w:eastAsia="PMingLiU"/>
          <w:sz w:val="22"/>
          <w:szCs w:val="20"/>
          <w:lang w:val="el-GR"/>
        </w:rPr>
      </w:pPr>
      <w:r>
        <w:rPr>
          <w:rFonts w:eastAsia="Arial Unicode MS" w:cs="Arial Unicode MS"/>
          <w:sz w:val="22"/>
          <w:szCs w:val="20"/>
          <w:lang w:val="el-GR" w:bidi="en-US"/>
        </w:rPr>
        <w:t>Lot</w:t>
      </w:r>
    </w:p>
    <w:p w14:paraId="4ABD82ED" w14:textId="77777777" w:rsidR="00171824" w:rsidRDefault="00171824">
      <w:pPr>
        <w:widowControl/>
        <w:tabs>
          <w:tab w:val="left" w:pos="567"/>
        </w:tabs>
        <w:autoSpaceDE/>
        <w:autoSpaceDN/>
        <w:adjustRightInd/>
        <w:ind w:right="113"/>
        <w:rPr>
          <w:rFonts w:eastAsia="PMingLiU"/>
          <w:sz w:val="22"/>
          <w:szCs w:val="20"/>
          <w:lang w:val="el-GR"/>
        </w:rPr>
      </w:pPr>
    </w:p>
    <w:p w14:paraId="63548A4C" w14:textId="77777777" w:rsidR="00171824" w:rsidRDefault="00171824">
      <w:pPr>
        <w:widowControl/>
        <w:tabs>
          <w:tab w:val="left" w:pos="567"/>
        </w:tabs>
        <w:autoSpaceDE/>
        <w:autoSpaceDN/>
        <w:adjustRightInd/>
        <w:ind w:right="113"/>
        <w:rPr>
          <w:rFonts w:eastAsia="PMingLiU"/>
          <w:sz w:val="22"/>
          <w:szCs w:val="20"/>
          <w:lang w:val="el-GR"/>
        </w:rPr>
      </w:pPr>
    </w:p>
    <w:p w14:paraId="3D4A7B6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ΠΕΡΙΕΧΟΜΕΝΟ ΚΑΤΑ ΒΑΡΟΣ, ΚΑΤ' ΟΓΚΟ Ή ΚΑΤΑ ΜΟΝΑΔΑ</w:t>
      </w:r>
    </w:p>
    <w:p w14:paraId="6D6CC035" w14:textId="77777777" w:rsidR="00171824" w:rsidRDefault="00171824">
      <w:pPr>
        <w:widowControl/>
        <w:tabs>
          <w:tab w:val="left" w:pos="567"/>
        </w:tabs>
        <w:autoSpaceDE/>
        <w:autoSpaceDN/>
        <w:adjustRightInd/>
        <w:ind w:right="113"/>
        <w:rPr>
          <w:rFonts w:eastAsia="PMingLiU"/>
          <w:sz w:val="22"/>
          <w:szCs w:val="22"/>
          <w:lang w:val="el-GR"/>
        </w:rPr>
      </w:pPr>
    </w:p>
    <w:p w14:paraId="0016AE63" w14:textId="77777777" w:rsidR="00171824" w:rsidRDefault="006D258C">
      <w:pPr>
        <w:widowControl/>
        <w:tabs>
          <w:tab w:val="left" w:pos="567"/>
        </w:tabs>
        <w:autoSpaceDE/>
        <w:autoSpaceDN/>
        <w:adjustRightInd/>
        <w:ind w:right="113"/>
        <w:rPr>
          <w:rFonts w:eastAsia="PMingLiU"/>
          <w:sz w:val="22"/>
          <w:szCs w:val="22"/>
          <w:lang w:val="el-GR" w:bidi="en-US"/>
        </w:rPr>
      </w:pPr>
      <w:r>
        <w:rPr>
          <w:rFonts w:eastAsia="Arial Unicode MS" w:cs="Arial Unicode MS"/>
          <w:sz w:val="22"/>
          <w:szCs w:val="22"/>
          <w:lang w:val="el-GR" w:bidi="en-US"/>
        </w:rPr>
        <w:t>0,4 ml</w:t>
      </w:r>
    </w:p>
    <w:p w14:paraId="012CCCA2" w14:textId="77777777" w:rsidR="00171824" w:rsidRDefault="00171824">
      <w:pPr>
        <w:widowControl/>
        <w:tabs>
          <w:tab w:val="left" w:pos="567"/>
        </w:tabs>
        <w:autoSpaceDE/>
        <w:autoSpaceDN/>
        <w:adjustRightInd/>
        <w:ind w:right="113"/>
        <w:rPr>
          <w:rFonts w:eastAsia="PMingLiU"/>
          <w:sz w:val="22"/>
          <w:szCs w:val="22"/>
          <w:lang w:val="el-GR"/>
        </w:rPr>
      </w:pPr>
    </w:p>
    <w:p w14:paraId="2EB30CF7" w14:textId="77777777" w:rsidR="00171824" w:rsidRDefault="00171824">
      <w:pPr>
        <w:widowControl/>
        <w:tabs>
          <w:tab w:val="left" w:pos="567"/>
        </w:tabs>
        <w:autoSpaceDE/>
        <w:autoSpaceDN/>
        <w:adjustRightInd/>
        <w:ind w:right="113"/>
        <w:rPr>
          <w:rFonts w:eastAsia="PMingLiU"/>
          <w:sz w:val="22"/>
          <w:szCs w:val="22"/>
          <w:lang w:val="el-GR"/>
        </w:rPr>
      </w:pPr>
    </w:p>
    <w:p w14:paraId="2605240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ΑΛΛΑ ΣΤΟΙΧΕΙΑ</w:t>
      </w:r>
    </w:p>
    <w:p w14:paraId="2E433971" w14:textId="77777777" w:rsidR="00171824" w:rsidRDefault="00171824">
      <w:pPr>
        <w:widowControl/>
        <w:tabs>
          <w:tab w:val="left" w:pos="567"/>
        </w:tabs>
        <w:autoSpaceDE/>
        <w:autoSpaceDN/>
        <w:adjustRightInd/>
        <w:ind w:right="113"/>
        <w:rPr>
          <w:rFonts w:eastAsia="PMingLiU"/>
          <w:sz w:val="22"/>
          <w:szCs w:val="22"/>
          <w:lang w:val="el-GR"/>
        </w:rPr>
      </w:pPr>
    </w:p>
    <w:p w14:paraId="63FF8049" w14:textId="77777777" w:rsidR="00171824" w:rsidRDefault="00171824">
      <w:pPr>
        <w:widowControl/>
        <w:tabs>
          <w:tab w:val="left" w:pos="567"/>
        </w:tabs>
        <w:autoSpaceDE/>
        <w:autoSpaceDN/>
        <w:adjustRightInd/>
        <w:ind w:right="113"/>
        <w:rPr>
          <w:rFonts w:eastAsia="PMingLiU"/>
          <w:sz w:val="22"/>
          <w:szCs w:val="22"/>
          <w:lang w:val="el-GR"/>
        </w:rPr>
      </w:pPr>
    </w:p>
    <w:p w14:paraId="5BE9615C" w14:textId="77777777" w:rsidR="00171824" w:rsidRDefault="006D258C">
      <w:pPr>
        <w:widowControl/>
        <w:autoSpaceDE/>
        <w:autoSpaceDN/>
        <w:adjustRightInd/>
        <w:rPr>
          <w:rFonts w:eastAsia="PMingLiU"/>
          <w:sz w:val="22"/>
          <w:szCs w:val="20"/>
          <w:lang w:val="el-GR"/>
        </w:rPr>
      </w:pPr>
      <w:r>
        <w:rPr>
          <w:rFonts w:eastAsia="PMingLiU"/>
          <w:sz w:val="22"/>
          <w:szCs w:val="20"/>
          <w:lang w:val="el-GR"/>
        </w:rPr>
        <w:br w:type="page"/>
      </w:r>
    </w:p>
    <w:p w14:paraId="2348F56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40FAD78B"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722BBDA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ΚΟΥΤΙ ΠΡΟΓΕΜΙΣΜΕΝΗΣ ΣΥΡΙΓΓΑΣ</w:t>
      </w:r>
    </w:p>
    <w:p w14:paraId="13174E18" w14:textId="77777777" w:rsidR="00171824" w:rsidRDefault="00171824">
      <w:pPr>
        <w:widowControl/>
        <w:tabs>
          <w:tab w:val="left" w:pos="567"/>
        </w:tabs>
        <w:autoSpaceDE/>
        <w:autoSpaceDN/>
        <w:adjustRightInd/>
        <w:rPr>
          <w:rFonts w:eastAsia="PMingLiU"/>
          <w:sz w:val="22"/>
          <w:szCs w:val="20"/>
          <w:lang w:val="el-GR"/>
        </w:rPr>
      </w:pPr>
    </w:p>
    <w:p w14:paraId="001B989C" w14:textId="77777777" w:rsidR="00171824" w:rsidRDefault="00171824">
      <w:pPr>
        <w:widowControl/>
        <w:tabs>
          <w:tab w:val="left" w:pos="567"/>
        </w:tabs>
        <w:autoSpaceDE/>
        <w:autoSpaceDN/>
        <w:adjustRightInd/>
        <w:rPr>
          <w:rFonts w:eastAsia="PMingLiU"/>
          <w:sz w:val="22"/>
          <w:szCs w:val="22"/>
          <w:lang w:val="el-GR"/>
        </w:rPr>
      </w:pPr>
    </w:p>
    <w:p w14:paraId="3DBA3A6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2C5EDE21" w14:textId="77777777" w:rsidR="00171824" w:rsidRDefault="00171824">
      <w:pPr>
        <w:widowControl/>
        <w:tabs>
          <w:tab w:val="left" w:pos="567"/>
        </w:tabs>
        <w:autoSpaceDE/>
        <w:autoSpaceDN/>
        <w:adjustRightInd/>
        <w:rPr>
          <w:rFonts w:eastAsia="PMingLiU"/>
          <w:sz w:val="22"/>
          <w:szCs w:val="22"/>
          <w:lang w:val="el-GR"/>
        </w:rPr>
      </w:pPr>
    </w:p>
    <w:p w14:paraId="4E7C6B02"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2"/>
          <w:lang w:val="el-GR" w:bidi="en-US"/>
        </w:rPr>
        <w:t>AMGEVITA</w:t>
      </w:r>
      <w:r>
        <w:rPr>
          <w:rFonts w:eastAsia="Arial Unicode MS" w:cs="Arial Unicode MS"/>
          <w:sz w:val="22"/>
          <w:szCs w:val="20"/>
          <w:lang w:val="el-GR" w:bidi="en-US"/>
        </w:rPr>
        <w:t xml:space="preserve"> 80 mg ενέσιμο διάλυμα σε προγεμισμένη σύριγγα</w:t>
      </w:r>
    </w:p>
    <w:p w14:paraId="16220F7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33B7CC47" w14:textId="77777777" w:rsidR="00171824" w:rsidRDefault="00171824">
      <w:pPr>
        <w:widowControl/>
        <w:tabs>
          <w:tab w:val="left" w:pos="567"/>
        </w:tabs>
        <w:autoSpaceDE/>
        <w:autoSpaceDN/>
        <w:adjustRightInd/>
        <w:rPr>
          <w:rFonts w:eastAsia="PMingLiU"/>
          <w:sz w:val="22"/>
          <w:szCs w:val="22"/>
          <w:lang w:val="el-GR"/>
        </w:rPr>
      </w:pPr>
    </w:p>
    <w:p w14:paraId="2D24924A" w14:textId="77777777" w:rsidR="00171824" w:rsidRDefault="00171824">
      <w:pPr>
        <w:widowControl/>
        <w:tabs>
          <w:tab w:val="left" w:pos="567"/>
        </w:tabs>
        <w:autoSpaceDE/>
        <w:autoSpaceDN/>
        <w:adjustRightInd/>
        <w:rPr>
          <w:rFonts w:eastAsia="PMingLiU"/>
          <w:sz w:val="22"/>
          <w:szCs w:val="22"/>
          <w:lang w:val="el-GR"/>
        </w:rPr>
      </w:pPr>
    </w:p>
    <w:p w14:paraId="6F0CFA3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5FE73DC8" w14:textId="77777777" w:rsidR="00171824" w:rsidRDefault="00171824">
      <w:pPr>
        <w:widowControl/>
        <w:tabs>
          <w:tab w:val="left" w:pos="567"/>
        </w:tabs>
        <w:autoSpaceDE/>
        <w:autoSpaceDN/>
        <w:adjustRightInd/>
        <w:rPr>
          <w:rFonts w:eastAsia="PMingLiU"/>
          <w:sz w:val="22"/>
          <w:szCs w:val="22"/>
          <w:lang w:val="el-GR"/>
        </w:rPr>
      </w:pPr>
    </w:p>
    <w:p w14:paraId="453A17F8" w14:textId="77777777" w:rsidR="00171824" w:rsidRDefault="006D258C">
      <w:pPr>
        <w:widowControl/>
        <w:suppressLineNumbers/>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80 mg adalimumab σε διάλυμα 0,8 ml.</w:t>
      </w:r>
    </w:p>
    <w:p w14:paraId="60B657AA" w14:textId="77777777" w:rsidR="00171824" w:rsidRDefault="00171824">
      <w:pPr>
        <w:widowControl/>
        <w:tabs>
          <w:tab w:val="left" w:pos="567"/>
        </w:tabs>
        <w:autoSpaceDE/>
        <w:autoSpaceDN/>
        <w:adjustRightInd/>
        <w:rPr>
          <w:rFonts w:eastAsia="PMingLiU"/>
          <w:sz w:val="22"/>
          <w:szCs w:val="22"/>
          <w:lang w:val="el-GR"/>
        </w:rPr>
      </w:pPr>
    </w:p>
    <w:p w14:paraId="4E4DF50A" w14:textId="77777777" w:rsidR="00171824" w:rsidRDefault="00171824">
      <w:pPr>
        <w:widowControl/>
        <w:tabs>
          <w:tab w:val="left" w:pos="567"/>
        </w:tabs>
        <w:autoSpaceDE/>
        <w:autoSpaceDN/>
        <w:adjustRightInd/>
        <w:rPr>
          <w:rFonts w:eastAsia="PMingLiU"/>
          <w:sz w:val="22"/>
          <w:szCs w:val="22"/>
          <w:lang w:val="el-GR"/>
        </w:rPr>
      </w:pPr>
    </w:p>
    <w:p w14:paraId="1FBE6A2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66FA6A99" w14:textId="77777777" w:rsidR="00171824" w:rsidRDefault="00171824">
      <w:pPr>
        <w:widowControl/>
        <w:tabs>
          <w:tab w:val="left" w:pos="567"/>
        </w:tabs>
        <w:autoSpaceDE/>
        <w:autoSpaceDN/>
        <w:adjustRightInd/>
        <w:rPr>
          <w:rFonts w:eastAsia="PMingLiU"/>
          <w:sz w:val="22"/>
          <w:szCs w:val="22"/>
          <w:lang w:val="el-GR"/>
        </w:rPr>
      </w:pPr>
    </w:p>
    <w:p w14:paraId="2FD85E07"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 xml:space="preserve">L-γαλακτικό οξύ, σακχαρόζη, πολυσορβικό 80, υδροξείδιο του νατρίου και ενέσιμο ύδωρ. </w:t>
      </w:r>
    </w:p>
    <w:p w14:paraId="1A9C0258" w14:textId="77777777" w:rsidR="00171824" w:rsidRDefault="00171824">
      <w:pPr>
        <w:widowControl/>
        <w:tabs>
          <w:tab w:val="left" w:pos="567"/>
        </w:tabs>
        <w:autoSpaceDE/>
        <w:autoSpaceDN/>
        <w:adjustRightInd/>
        <w:rPr>
          <w:rFonts w:eastAsia="PMingLiU"/>
          <w:sz w:val="22"/>
          <w:szCs w:val="22"/>
          <w:lang w:val="el-GR"/>
        </w:rPr>
      </w:pPr>
    </w:p>
    <w:p w14:paraId="6E12AE9A" w14:textId="77777777" w:rsidR="00171824" w:rsidRDefault="00171824">
      <w:pPr>
        <w:widowControl/>
        <w:tabs>
          <w:tab w:val="left" w:pos="567"/>
        </w:tabs>
        <w:autoSpaceDE/>
        <w:autoSpaceDN/>
        <w:adjustRightInd/>
        <w:rPr>
          <w:rFonts w:eastAsia="PMingLiU"/>
          <w:sz w:val="22"/>
          <w:szCs w:val="22"/>
          <w:lang w:val="el-GR"/>
        </w:rPr>
      </w:pPr>
    </w:p>
    <w:p w14:paraId="5DC1327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57BA0E6B" w14:textId="77777777" w:rsidR="00171824" w:rsidRDefault="00171824">
      <w:pPr>
        <w:widowControl/>
        <w:tabs>
          <w:tab w:val="left" w:pos="567"/>
        </w:tabs>
        <w:autoSpaceDE/>
        <w:autoSpaceDN/>
        <w:adjustRightInd/>
        <w:rPr>
          <w:rFonts w:eastAsia="PMingLiU"/>
          <w:sz w:val="22"/>
          <w:szCs w:val="22"/>
          <w:lang w:val="el-GR"/>
        </w:rPr>
      </w:pPr>
    </w:p>
    <w:p w14:paraId="17C7FD2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highlight w:val="lightGray"/>
          <w:lang w:val="el-GR" w:bidi="en-US"/>
        </w:rPr>
        <w:t>Eνέσιμο διάλυμα</w:t>
      </w:r>
    </w:p>
    <w:p w14:paraId="6E46C828" w14:textId="77777777" w:rsidR="00171824" w:rsidRDefault="006D258C">
      <w:pPr>
        <w:rPr>
          <w:sz w:val="22"/>
          <w:szCs w:val="22"/>
          <w:lang w:val="el-GR"/>
        </w:rPr>
      </w:pPr>
      <w:r>
        <w:rPr>
          <w:sz w:val="22"/>
          <w:szCs w:val="22"/>
          <w:lang w:val="el-GR"/>
        </w:rPr>
        <w:t>80 mg/0,8 ml</w:t>
      </w:r>
    </w:p>
    <w:p w14:paraId="2C79995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1 προγεμισμένη σύριγγα.</w:t>
      </w:r>
    </w:p>
    <w:p w14:paraId="4FFBC31E" w14:textId="77777777" w:rsidR="00171824" w:rsidRDefault="006D258C">
      <w:pPr>
        <w:widowControl/>
        <w:tabs>
          <w:tab w:val="left" w:pos="567"/>
        </w:tabs>
        <w:autoSpaceDE/>
        <w:autoSpaceDN/>
        <w:adjustRightInd/>
        <w:rPr>
          <w:rFonts w:eastAsia="PMingLiU"/>
          <w:sz w:val="22"/>
          <w:szCs w:val="22"/>
          <w:highlight w:val="lightGray"/>
          <w:lang w:val="el-GR" w:bidi="en-US"/>
        </w:rPr>
      </w:pPr>
      <w:r>
        <w:rPr>
          <w:rFonts w:eastAsia="Arial Unicode MS" w:cs="Arial Unicode MS"/>
          <w:sz w:val="22"/>
          <w:szCs w:val="22"/>
          <w:highlight w:val="lightGray"/>
          <w:lang w:val="el-GR" w:bidi="en-US"/>
        </w:rPr>
        <w:t>2 προγεμισμένες σύριγγες.</w:t>
      </w:r>
    </w:p>
    <w:p w14:paraId="0879380F" w14:textId="77777777" w:rsidR="00171824" w:rsidRDefault="00171824">
      <w:pPr>
        <w:widowControl/>
        <w:tabs>
          <w:tab w:val="left" w:pos="567"/>
        </w:tabs>
        <w:autoSpaceDE/>
        <w:autoSpaceDN/>
        <w:adjustRightInd/>
        <w:rPr>
          <w:rFonts w:eastAsia="PMingLiU"/>
          <w:sz w:val="22"/>
          <w:szCs w:val="22"/>
          <w:lang w:val="el-GR"/>
        </w:rPr>
      </w:pPr>
    </w:p>
    <w:p w14:paraId="2D6848FA" w14:textId="77777777" w:rsidR="00171824" w:rsidRDefault="00171824">
      <w:pPr>
        <w:widowControl/>
        <w:tabs>
          <w:tab w:val="left" w:pos="567"/>
        </w:tabs>
        <w:autoSpaceDE/>
        <w:autoSpaceDN/>
        <w:adjustRightInd/>
        <w:rPr>
          <w:rFonts w:eastAsia="PMingLiU"/>
          <w:sz w:val="22"/>
          <w:szCs w:val="22"/>
          <w:lang w:val="el-GR"/>
        </w:rPr>
      </w:pPr>
    </w:p>
    <w:p w14:paraId="14C47B2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50B498CC" w14:textId="77777777" w:rsidR="00171824" w:rsidRDefault="00171824">
      <w:pPr>
        <w:widowControl/>
        <w:tabs>
          <w:tab w:val="left" w:pos="567"/>
        </w:tabs>
        <w:autoSpaceDE/>
        <w:autoSpaceDN/>
        <w:adjustRightInd/>
        <w:rPr>
          <w:rFonts w:eastAsia="PMingLiU"/>
          <w:sz w:val="22"/>
          <w:szCs w:val="22"/>
          <w:lang w:val="el-GR"/>
        </w:rPr>
      </w:pPr>
    </w:p>
    <w:p w14:paraId="3B56B4F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Για υποδόρια χρήση.</w:t>
      </w:r>
    </w:p>
    <w:p w14:paraId="0868F59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3DA292D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20E86560" w14:textId="77777777" w:rsidR="00171824" w:rsidRDefault="00171824">
      <w:pPr>
        <w:widowControl/>
        <w:tabs>
          <w:tab w:val="left" w:pos="567"/>
        </w:tabs>
        <w:autoSpaceDE/>
        <w:autoSpaceDN/>
        <w:adjustRightInd/>
        <w:rPr>
          <w:rFonts w:eastAsia="PMingLiU"/>
          <w:sz w:val="22"/>
          <w:szCs w:val="22"/>
          <w:lang w:val="el-GR"/>
        </w:rPr>
      </w:pPr>
    </w:p>
    <w:p w14:paraId="0E85E5DA" w14:textId="77777777" w:rsidR="00171824" w:rsidRDefault="00171824">
      <w:pPr>
        <w:widowControl/>
        <w:tabs>
          <w:tab w:val="left" w:pos="567"/>
        </w:tabs>
        <w:autoSpaceDE/>
        <w:autoSpaceDN/>
        <w:adjustRightInd/>
        <w:rPr>
          <w:rFonts w:eastAsia="PMingLiU"/>
          <w:sz w:val="22"/>
          <w:szCs w:val="22"/>
          <w:lang w:val="el-GR"/>
        </w:rPr>
      </w:pPr>
    </w:p>
    <w:p w14:paraId="41CF84B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5123DE09" w14:textId="77777777" w:rsidR="00171824" w:rsidRDefault="00171824">
      <w:pPr>
        <w:widowControl/>
        <w:tabs>
          <w:tab w:val="left" w:pos="567"/>
        </w:tabs>
        <w:autoSpaceDE/>
        <w:autoSpaceDN/>
        <w:adjustRightInd/>
        <w:rPr>
          <w:rFonts w:eastAsia="PMingLiU"/>
          <w:sz w:val="22"/>
          <w:szCs w:val="22"/>
          <w:lang w:val="el-GR"/>
        </w:rPr>
      </w:pPr>
    </w:p>
    <w:p w14:paraId="6809F2E2"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60B7AC5B" w14:textId="77777777" w:rsidR="00171824" w:rsidRDefault="00171824">
      <w:pPr>
        <w:widowControl/>
        <w:tabs>
          <w:tab w:val="left" w:pos="567"/>
        </w:tabs>
        <w:autoSpaceDE/>
        <w:autoSpaceDN/>
        <w:adjustRightInd/>
        <w:rPr>
          <w:rFonts w:eastAsia="PMingLiU"/>
          <w:sz w:val="22"/>
          <w:szCs w:val="22"/>
          <w:lang w:val="el-GR"/>
        </w:rPr>
      </w:pPr>
    </w:p>
    <w:p w14:paraId="015BFA40" w14:textId="77777777" w:rsidR="00171824" w:rsidRDefault="00171824">
      <w:pPr>
        <w:widowControl/>
        <w:tabs>
          <w:tab w:val="left" w:pos="567"/>
        </w:tabs>
        <w:autoSpaceDE/>
        <w:autoSpaceDN/>
        <w:adjustRightInd/>
        <w:rPr>
          <w:rFonts w:eastAsia="PMingLiU"/>
          <w:sz w:val="22"/>
          <w:szCs w:val="22"/>
          <w:lang w:val="el-GR"/>
        </w:rPr>
      </w:pPr>
    </w:p>
    <w:p w14:paraId="409C1EE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405A397E" w14:textId="77777777" w:rsidR="00171824" w:rsidRDefault="00171824">
      <w:pPr>
        <w:widowControl/>
        <w:tabs>
          <w:tab w:val="left" w:pos="567"/>
          <w:tab w:val="left" w:pos="749"/>
        </w:tabs>
        <w:autoSpaceDE/>
        <w:autoSpaceDN/>
        <w:adjustRightInd/>
        <w:rPr>
          <w:rFonts w:eastAsia="PMingLiU"/>
          <w:sz w:val="22"/>
          <w:szCs w:val="20"/>
          <w:lang w:val="el-GR"/>
        </w:rPr>
      </w:pPr>
    </w:p>
    <w:p w14:paraId="605C7734" w14:textId="77777777" w:rsidR="00171824" w:rsidRDefault="00171824">
      <w:pPr>
        <w:widowControl/>
        <w:tabs>
          <w:tab w:val="left" w:pos="567"/>
          <w:tab w:val="left" w:pos="749"/>
        </w:tabs>
        <w:autoSpaceDE/>
        <w:autoSpaceDN/>
        <w:adjustRightInd/>
        <w:rPr>
          <w:rFonts w:eastAsia="PMingLiU"/>
          <w:sz w:val="22"/>
          <w:szCs w:val="20"/>
          <w:lang w:val="el-GR"/>
        </w:rPr>
      </w:pPr>
    </w:p>
    <w:p w14:paraId="5655FD5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3BE44786" w14:textId="77777777" w:rsidR="00171824" w:rsidRDefault="00171824">
      <w:pPr>
        <w:widowControl/>
        <w:tabs>
          <w:tab w:val="left" w:pos="567"/>
        </w:tabs>
        <w:autoSpaceDE/>
        <w:autoSpaceDN/>
        <w:adjustRightInd/>
        <w:rPr>
          <w:rFonts w:eastAsia="PMingLiU"/>
          <w:sz w:val="22"/>
          <w:szCs w:val="20"/>
          <w:lang w:val="el-GR"/>
        </w:rPr>
      </w:pPr>
    </w:p>
    <w:p w14:paraId="3F98A88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5E857258" w14:textId="77777777" w:rsidR="00171824" w:rsidRDefault="00171824">
      <w:pPr>
        <w:widowControl/>
        <w:tabs>
          <w:tab w:val="left" w:pos="567"/>
        </w:tabs>
        <w:autoSpaceDE/>
        <w:autoSpaceDN/>
        <w:adjustRightInd/>
        <w:rPr>
          <w:rFonts w:eastAsia="PMingLiU"/>
          <w:sz w:val="22"/>
          <w:szCs w:val="22"/>
          <w:lang w:val="el-GR"/>
        </w:rPr>
      </w:pPr>
    </w:p>
    <w:p w14:paraId="4080821F" w14:textId="77777777" w:rsidR="00171824" w:rsidRDefault="00171824">
      <w:pPr>
        <w:widowControl/>
        <w:tabs>
          <w:tab w:val="left" w:pos="567"/>
        </w:tabs>
        <w:autoSpaceDE/>
        <w:autoSpaceDN/>
        <w:adjustRightInd/>
        <w:rPr>
          <w:rFonts w:eastAsia="PMingLiU"/>
          <w:sz w:val="22"/>
          <w:szCs w:val="22"/>
          <w:lang w:val="el-GR"/>
        </w:rPr>
      </w:pPr>
    </w:p>
    <w:p w14:paraId="1D0CA52C"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09294E86" w14:textId="77777777" w:rsidR="00171824" w:rsidRDefault="00171824">
      <w:pPr>
        <w:keepNext/>
        <w:widowControl/>
        <w:tabs>
          <w:tab w:val="left" w:pos="567"/>
        </w:tabs>
        <w:autoSpaceDE/>
        <w:autoSpaceDN/>
        <w:adjustRightInd/>
        <w:rPr>
          <w:rFonts w:eastAsia="PMingLiU"/>
          <w:sz w:val="22"/>
          <w:szCs w:val="22"/>
          <w:lang w:val="el-GR"/>
        </w:rPr>
      </w:pPr>
    </w:p>
    <w:p w14:paraId="10B60D60"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332BD32C"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33511AC6"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497CE4F6" w14:textId="77777777" w:rsidR="00171824" w:rsidRDefault="00171824">
      <w:pPr>
        <w:widowControl/>
        <w:tabs>
          <w:tab w:val="left" w:pos="567"/>
        </w:tabs>
        <w:autoSpaceDE/>
        <w:autoSpaceDN/>
        <w:adjustRightInd/>
        <w:rPr>
          <w:rFonts w:eastAsia="SimSun"/>
          <w:sz w:val="22"/>
          <w:szCs w:val="22"/>
          <w:lang w:val="el-GR" w:eastAsia="en-GB"/>
        </w:rPr>
      </w:pPr>
    </w:p>
    <w:p w14:paraId="576892B3" w14:textId="77777777" w:rsidR="00171824" w:rsidRDefault="00171824">
      <w:pPr>
        <w:widowControl/>
        <w:tabs>
          <w:tab w:val="left" w:pos="567"/>
        </w:tabs>
        <w:autoSpaceDE/>
        <w:autoSpaceDN/>
        <w:adjustRightInd/>
        <w:ind w:left="567" w:hanging="567"/>
        <w:rPr>
          <w:rFonts w:eastAsia="PMingLiU"/>
          <w:sz w:val="22"/>
          <w:szCs w:val="22"/>
          <w:lang w:val="el-GR"/>
        </w:rPr>
      </w:pPr>
    </w:p>
    <w:p w14:paraId="61D0B4F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1EBC578E" w14:textId="77777777" w:rsidR="00171824" w:rsidRDefault="00171824">
      <w:pPr>
        <w:widowControl/>
        <w:tabs>
          <w:tab w:val="left" w:pos="567"/>
        </w:tabs>
        <w:autoSpaceDE/>
        <w:autoSpaceDN/>
        <w:adjustRightInd/>
        <w:rPr>
          <w:rFonts w:eastAsia="PMingLiU"/>
          <w:sz w:val="22"/>
          <w:szCs w:val="22"/>
          <w:lang w:val="el-GR"/>
        </w:rPr>
      </w:pPr>
    </w:p>
    <w:p w14:paraId="3A77AFEA" w14:textId="77777777" w:rsidR="00171824" w:rsidRDefault="00171824">
      <w:pPr>
        <w:widowControl/>
        <w:tabs>
          <w:tab w:val="left" w:pos="567"/>
        </w:tabs>
        <w:autoSpaceDE/>
        <w:autoSpaceDN/>
        <w:adjustRightInd/>
        <w:rPr>
          <w:rFonts w:eastAsia="PMingLiU"/>
          <w:sz w:val="22"/>
          <w:szCs w:val="22"/>
          <w:lang w:val="el-GR"/>
        </w:rPr>
      </w:pPr>
    </w:p>
    <w:p w14:paraId="1CA468D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6A57E3B6" w14:textId="77777777" w:rsidR="00171824" w:rsidRDefault="00171824">
      <w:pPr>
        <w:widowControl/>
        <w:tabs>
          <w:tab w:val="left" w:pos="567"/>
        </w:tabs>
        <w:autoSpaceDE/>
        <w:autoSpaceDN/>
        <w:adjustRightInd/>
        <w:rPr>
          <w:rFonts w:eastAsia="PMingLiU"/>
          <w:sz w:val="22"/>
          <w:szCs w:val="22"/>
          <w:lang w:val="el-GR"/>
        </w:rPr>
      </w:pPr>
    </w:p>
    <w:p w14:paraId="48C7BFDE"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32188011"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70F5CC89"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20B4A51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4D2E7757" w14:textId="77777777" w:rsidR="00171824" w:rsidRDefault="00171824">
      <w:pPr>
        <w:widowControl/>
        <w:tabs>
          <w:tab w:val="left" w:pos="567"/>
        </w:tabs>
        <w:autoSpaceDE/>
        <w:autoSpaceDN/>
        <w:adjustRightInd/>
        <w:rPr>
          <w:rFonts w:eastAsia="PMingLiU"/>
          <w:sz w:val="22"/>
          <w:szCs w:val="22"/>
          <w:lang w:val="el-GR"/>
        </w:rPr>
      </w:pPr>
    </w:p>
    <w:p w14:paraId="0AA5147C" w14:textId="77777777" w:rsidR="00171824" w:rsidRDefault="00171824">
      <w:pPr>
        <w:widowControl/>
        <w:tabs>
          <w:tab w:val="left" w:pos="567"/>
        </w:tabs>
        <w:autoSpaceDE/>
        <w:autoSpaceDN/>
        <w:adjustRightInd/>
        <w:rPr>
          <w:rFonts w:eastAsia="PMingLiU"/>
          <w:sz w:val="22"/>
          <w:szCs w:val="22"/>
          <w:lang w:val="el-GR"/>
        </w:rPr>
      </w:pPr>
    </w:p>
    <w:p w14:paraId="7A0F7E4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3F6C9AEC" w14:textId="77777777" w:rsidR="00171824" w:rsidRDefault="00171824">
      <w:pPr>
        <w:widowControl/>
        <w:tabs>
          <w:tab w:val="left" w:pos="567"/>
        </w:tabs>
        <w:autoSpaceDE/>
        <w:autoSpaceDN/>
        <w:adjustRightInd/>
        <w:rPr>
          <w:rFonts w:eastAsia="PMingLiU"/>
          <w:sz w:val="22"/>
          <w:szCs w:val="22"/>
          <w:lang w:val="el-GR"/>
        </w:rPr>
      </w:pPr>
    </w:p>
    <w:p w14:paraId="448038DC" w14:textId="77777777" w:rsidR="00171824" w:rsidRDefault="006D258C">
      <w:pPr>
        <w:widowControl/>
        <w:tabs>
          <w:tab w:val="left" w:pos="567"/>
        </w:tabs>
        <w:autoSpaceDE/>
        <w:autoSpaceDN/>
        <w:adjustRightInd/>
        <w:rPr>
          <w:sz w:val="22"/>
          <w:szCs w:val="22"/>
          <w:highlight w:val="lightGray"/>
          <w:lang w:val="el-GR"/>
        </w:rPr>
      </w:pPr>
      <w:r>
        <w:rPr>
          <w:rFonts w:eastAsia="Arial Unicode MS" w:cs="Arial Unicode MS"/>
          <w:sz w:val="22"/>
          <w:szCs w:val="22"/>
          <w:lang w:val="el-GR" w:bidi="en-US"/>
        </w:rPr>
        <w:t xml:space="preserve">EU/1/16/1164/017 </w:t>
      </w:r>
      <w:r>
        <w:rPr>
          <w:rFonts w:eastAsia="Arial Unicode MS" w:cs="Arial Unicode MS"/>
          <w:sz w:val="22"/>
          <w:szCs w:val="22"/>
          <w:highlight w:val="lightGray"/>
          <w:lang w:val="el-GR" w:bidi="en-US"/>
        </w:rPr>
        <w:t>1 συσκευασία</w:t>
      </w:r>
      <w:r>
        <w:rPr>
          <w:sz w:val="22"/>
          <w:szCs w:val="22"/>
          <w:highlight w:val="lightGray"/>
          <w:lang w:val="el-GR"/>
        </w:rPr>
        <w:t xml:space="preserve"> </w:t>
      </w:r>
    </w:p>
    <w:p w14:paraId="061223B2" w14:textId="77777777" w:rsidR="00171824" w:rsidRDefault="006D258C">
      <w:pPr>
        <w:widowControl/>
        <w:tabs>
          <w:tab w:val="left" w:pos="567"/>
        </w:tabs>
        <w:autoSpaceDE/>
        <w:autoSpaceDN/>
        <w:adjustRightInd/>
        <w:rPr>
          <w:sz w:val="22"/>
          <w:szCs w:val="22"/>
          <w:highlight w:val="lightGray"/>
          <w:lang w:val="el-GR"/>
        </w:rPr>
      </w:pPr>
      <w:r>
        <w:rPr>
          <w:sz w:val="22"/>
          <w:szCs w:val="22"/>
          <w:highlight w:val="lightGray"/>
          <w:lang w:val="el-GR"/>
        </w:rPr>
        <w:t xml:space="preserve">EU/1/16/1164/018 2 συσκευασίες </w:t>
      </w:r>
    </w:p>
    <w:p w14:paraId="00F019FE" w14:textId="77777777" w:rsidR="00171824" w:rsidRDefault="00171824">
      <w:pPr>
        <w:pStyle w:val="BodyText"/>
        <w:widowControl/>
        <w:kinsoku w:val="0"/>
        <w:overflowPunct w:val="0"/>
        <w:ind w:left="0"/>
        <w:jc w:val="both"/>
        <w:rPr>
          <w:rFonts w:eastAsia="PMingLiU"/>
          <w:lang w:val="el-GR" w:bidi="en-US"/>
        </w:rPr>
      </w:pPr>
    </w:p>
    <w:p w14:paraId="1621CCD7" w14:textId="77777777" w:rsidR="00171824" w:rsidRDefault="00171824">
      <w:pPr>
        <w:widowControl/>
        <w:tabs>
          <w:tab w:val="left" w:pos="567"/>
        </w:tabs>
        <w:autoSpaceDE/>
        <w:autoSpaceDN/>
        <w:adjustRightInd/>
        <w:rPr>
          <w:rFonts w:eastAsia="PMingLiU"/>
          <w:sz w:val="22"/>
          <w:szCs w:val="22"/>
          <w:lang w:val="el-GR"/>
        </w:rPr>
      </w:pPr>
    </w:p>
    <w:p w14:paraId="29BC03F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2CF1C283" w14:textId="77777777" w:rsidR="00171824" w:rsidRDefault="00171824">
      <w:pPr>
        <w:widowControl/>
        <w:tabs>
          <w:tab w:val="left" w:pos="567"/>
        </w:tabs>
        <w:autoSpaceDE/>
        <w:autoSpaceDN/>
        <w:adjustRightInd/>
        <w:rPr>
          <w:rFonts w:eastAsia="PMingLiU"/>
          <w:i/>
          <w:sz w:val="22"/>
          <w:szCs w:val="22"/>
          <w:lang w:val="el-GR"/>
        </w:rPr>
      </w:pPr>
    </w:p>
    <w:p w14:paraId="51BFE342"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Παρτίδα</w:t>
      </w:r>
    </w:p>
    <w:p w14:paraId="497E3DFE" w14:textId="77777777" w:rsidR="00171824" w:rsidRDefault="00171824">
      <w:pPr>
        <w:widowControl/>
        <w:tabs>
          <w:tab w:val="left" w:pos="567"/>
        </w:tabs>
        <w:autoSpaceDE/>
        <w:autoSpaceDN/>
        <w:adjustRightInd/>
        <w:rPr>
          <w:rFonts w:eastAsia="PMingLiU"/>
          <w:sz w:val="22"/>
          <w:szCs w:val="22"/>
          <w:lang w:val="el-GR" w:bidi="en-US"/>
        </w:rPr>
      </w:pPr>
    </w:p>
    <w:p w14:paraId="0B1D27B9" w14:textId="77777777" w:rsidR="00171824" w:rsidRDefault="00171824">
      <w:pPr>
        <w:widowControl/>
        <w:tabs>
          <w:tab w:val="left" w:pos="567"/>
        </w:tabs>
        <w:autoSpaceDE/>
        <w:autoSpaceDN/>
        <w:adjustRightInd/>
        <w:rPr>
          <w:rFonts w:eastAsia="PMingLiU"/>
          <w:sz w:val="22"/>
          <w:szCs w:val="22"/>
          <w:lang w:val="el-GR" w:bidi="en-US"/>
        </w:rPr>
      </w:pPr>
    </w:p>
    <w:p w14:paraId="78898DA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500BB793" w14:textId="77777777" w:rsidR="00171824" w:rsidRDefault="00171824">
      <w:pPr>
        <w:widowControl/>
        <w:tabs>
          <w:tab w:val="left" w:pos="567"/>
        </w:tabs>
        <w:autoSpaceDE/>
        <w:autoSpaceDN/>
        <w:adjustRightInd/>
        <w:rPr>
          <w:rFonts w:eastAsia="PMingLiU"/>
          <w:i/>
          <w:sz w:val="22"/>
          <w:szCs w:val="22"/>
          <w:lang w:val="el-GR"/>
        </w:rPr>
      </w:pPr>
    </w:p>
    <w:p w14:paraId="6C8E6AED" w14:textId="77777777" w:rsidR="00171824" w:rsidRDefault="00171824">
      <w:pPr>
        <w:widowControl/>
        <w:tabs>
          <w:tab w:val="left" w:pos="567"/>
        </w:tabs>
        <w:autoSpaceDE/>
        <w:autoSpaceDN/>
        <w:adjustRightInd/>
        <w:rPr>
          <w:rFonts w:eastAsia="PMingLiU"/>
          <w:sz w:val="22"/>
          <w:szCs w:val="22"/>
          <w:lang w:val="el-GR"/>
        </w:rPr>
      </w:pPr>
    </w:p>
    <w:p w14:paraId="2EA8EED9"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21DFD247" w14:textId="77777777" w:rsidR="00171824" w:rsidRDefault="00171824">
      <w:pPr>
        <w:widowControl/>
        <w:tabs>
          <w:tab w:val="left" w:pos="567"/>
        </w:tabs>
        <w:autoSpaceDE/>
        <w:autoSpaceDN/>
        <w:adjustRightInd/>
        <w:rPr>
          <w:rFonts w:eastAsia="PMingLiU"/>
          <w:sz w:val="22"/>
          <w:szCs w:val="22"/>
          <w:lang w:val="el-GR"/>
        </w:rPr>
      </w:pPr>
    </w:p>
    <w:p w14:paraId="2292A04C" w14:textId="77777777" w:rsidR="00171824" w:rsidRDefault="00171824">
      <w:pPr>
        <w:widowControl/>
        <w:tabs>
          <w:tab w:val="left" w:pos="567"/>
        </w:tabs>
        <w:autoSpaceDE/>
        <w:autoSpaceDN/>
        <w:adjustRightInd/>
        <w:rPr>
          <w:rFonts w:eastAsia="PMingLiU"/>
          <w:sz w:val="22"/>
          <w:szCs w:val="22"/>
          <w:lang w:val="el-GR"/>
        </w:rPr>
      </w:pPr>
    </w:p>
    <w:p w14:paraId="6E1C476B"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4DECBC78" w14:textId="77777777" w:rsidR="00171824" w:rsidRDefault="00171824">
      <w:pPr>
        <w:widowControl/>
        <w:tabs>
          <w:tab w:val="left" w:pos="567"/>
        </w:tabs>
        <w:autoSpaceDE/>
        <w:autoSpaceDN/>
        <w:adjustRightInd/>
        <w:rPr>
          <w:rFonts w:eastAsia="PMingLiU"/>
          <w:sz w:val="22"/>
          <w:szCs w:val="20"/>
          <w:lang w:val="el-GR"/>
        </w:rPr>
      </w:pPr>
    </w:p>
    <w:p w14:paraId="0E073751"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AMGEVITA 80 mg/0,8 ml σύριγγα</w:t>
      </w:r>
    </w:p>
    <w:p w14:paraId="45E1CB3C" w14:textId="77777777" w:rsidR="00171824" w:rsidRDefault="00171824">
      <w:pPr>
        <w:widowControl/>
        <w:tabs>
          <w:tab w:val="left" w:pos="567"/>
        </w:tabs>
        <w:autoSpaceDE/>
        <w:autoSpaceDN/>
        <w:adjustRightInd/>
        <w:rPr>
          <w:rFonts w:eastAsia="PMingLiU"/>
          <w:sz w:val="22"/>
          <w:szCs w:val="22"/>
          <w:highlight w:val="yellow"/>
          <w:shd w:val="clear" w:color="auto" w:fill="CCCCCC"/>
          <w:lang w:val="el-GR"/>
        </w:rPr>
      </w:pPr>
    </w:p>
    <w:p w14:paraId="023E881B"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33F815FA"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4F6FEB11" w14:textId="77777777" w:rsidR="00171824" w:rsidRDefault="00171824">
      <w:pPr>
        <w:widowControl/>
        <w:autoSpaceDE/>
        <w:autoSpaceDN/>
        <w:adjustRightInd/>
        <w:rPr>
          <w:rFonts w:eastAsia="PMingLiU"/>
          <w:sz w:val="22"/>
          <w:szCs w:val="20"/>
          <w:lang w:val="el-GR"/>
        </w:rPr>
      </w:pPr>
    </w:p>
    <w:p w14:paraId="1399D474"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0F78217D"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0EA9667F" w14:textId="77777777" w:rsidR="00171824" w:rsidRDefault="00171824">
      <w:pPr>
        <w:widowControl/>
        <w:autoSpaceDE/>
        <w:autoSpaceDN/>
        <w:adjustRightInd/>
        <w:rPr>
          <w:rFonts w:eastAsia="PMingLiU"/>
          <w:sz w:val="22"/>
          <w:szCs w:val="20"/>
          <w:lang w:val="el-GR"/>
        </w:rPr>
      </w:pPr>
    </w:p>
    <w:p w14:paraId="13CDBE73"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571010FA" w14:textId="77777777" w:rsidR="00171824" w:rsidRDefault="00171824">
      <w:pPr>
        <w:keepNext/>
        <w:widowControl/>
        <w:autoSpaceDE/>
        <w:autoSpaceDN/>
        <w:adjustRightInd/>
        <w:rPr>
          <w:rFonts w:eastAsia="PMingLiU"/>
          <w:sz w:val="22"/>
          <w:szCs w:val="20"/>
          <w:lang w:val="el-GR"/>
        </w:rPr>
      </w:pPr>
    </w:p>
    <w:p w14:paraId="1E682070"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1BB12575"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75F6B8E4"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shd w:val="clear" w:color="auto" w:fill="FFFFFF"/>
          <w:lang w:val="el-GR" w:bidi="en-US"/>
        </w:rPr>
        <w:t>NN</w:t>
      </w:r>
    </w:p>
    <w:p w14:paraId="151FF64C" w14:textId="77777777" w:rsidR="00171824" w:rsidRDefault="006D258C">
      <w:pPr>
        <w:widowControl/>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063871A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3E6C649D"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5F5CB22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 w:val="center" w:pos="4594"/>
        </w:tabs>
        <w:autoSpaceDE/>
        <w:autoSpaceDN/>
        <w:adjustRightInd/>
        <w:rPr>
          <w:rFonts w:eastAsia="PMingLiU"/>
          <w:bCs/>
          <w:sz w:val="22"/>
          <w:szCs w:val="22"/>
          <w:lang w:val="el-GR" w:bidi="en-US"/>
        </w:rPr>
      </w:pPr>
      <w:r>
        <w:rPr>
          <w:rFonts w:eastAsia="Arial Unicode MS" w:cs="Arial Unicode MS"/>
          <w:b/>
          <w:sz w:val="22"/>
          <w:szCs w:val="22"/>
          <w:lang w:val="el-GR" w:bidi="en-US"/>
        </w:rPr>
        <w:t>ΕΞΩΤΕΡΙΚΟ ΚΟΥΤΙ ΓΙΑ ΠΟΛΥΣΥΣΚΕΥΑΣΙΑ ΠΡΟΓΕΜΙΣΜΕΝΩΝ ΣΥΡΙΓΓΩΝ (με blue box)</w:t>
      </w:r>
    </w:p>
    <w:p w14:paraId="022C4BB5" w14:textId="77777777" w:rsidR="00171824" w:rsidRDefault="00171824">
      <w:pPr>
        <w:widowControl/>
        <w:tabs>
          <w:tab w:val="left" w:pos="567"/>
        </w:tabs>
        <w:autoSpaceDE/>
        <w:autoSpaceDN/>
        <w:adjustRightInd/>
        <w:rPr>
          <w:rFonts w:eastAsia="PMingLiU"/>
          <w:sz w:val="22"/>
          <w:szCs w:val="20"/>
          <w:lang w:val="el-GR"/>
        </w:rPr>
      </w:pPr>
    </w:p>
    <w:p w14:paraId="78610CAF" w14:textId="77777777" w:rsidR="00171824" w:rsidRDefault="00171824">
      <w:pPr>
        <w:widowControl/>
        <w:tabs>
          <w:tab w:val="left" w:pos="567"/>
        </w:tabs>
        <w:autoSpaceDE/>
        <w:autoSpaceDN/>
        <w:adjustRightInd/>
        <w:rPr>
          <w:rFonts w:eastAsia="PMingLiU"/>
          <w:sz w:val="22"/>
          <w:szCs w:val="22"/>
          <w:lang w:val="el-GR"/>
        </w:rPr>
      </w:pPr>
    </w:p>
    <w:p w14:paraId="3E307CA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652BE75D" w14:textId="77777777" w:rsidR="00171824" w:rsidRDefault="00171824">
      <w:pPr>
        <w:widowControl/>
        <w:tabs>
          <w:tab w:val="left" w:pos="567"/>
        </w:tabs>
        <w:autoSpaceDE/>
        <w:autoSpaceDN/>
        <w:adjustRightInd/>
        <w:rPr>
          <w:rFonts w:eastAsia="PMingLiU"/>
          <w:sz w:val="22"/>
          <w:szCs w:val="22"/>
          <w:lang w:val="el-GR"/>
        </w:rPr>
      </w:pPr>
    </w:p>
    <w:p w14:paraId="6057D7EA"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2"/>
          <w:lang w:val="el-GR" w:bidi="en-US"/>
        </w:rPr>
        <w:t>AMGEVITA</w:t>
      </w:r>
      <w:r>
        <w:rPr>
          <w:rFonts w:eastAsia="Arial Unicode MS" w:cs="Arial Unicode MS"/>
          <w:sz w:val="22"/>
          <w:szCs w:val="20"/>
          <w:lang w:val="el-GR" w:bidi="en-US"/>
        </w:rPr>
        <w:t xml:space="preserve"> 80 mg ενέσιμο διάλυμα σε προγεμισμένη σύριγγα</w:t>
      </w:r>
    </w:p>
    <w:p w14:paraId="250312E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01F85101" w14:textId="77777777" w:rsidR="00171824" w:rsidRDefault="00171824">
      <w:pPr>
        <w:widowControl/>
        <w:tabs>
          <w:tab w:val="left" w:pos="567"/>
        </w:tabs>
        <w:autoSpaceDE/>
        <w:autoSpaceDN/>
        <w:adjustRightInd/>
        <w:rPr>
          <w:rFonts w:eastAsia="PMingLiU"/>
          <w:sz w:val="22"/>
          <w:szCs w:val="22"/>
          <w:lang w:val="el-GR"/>
        </w:rPr>
      </w:pPr>
    </w:p>
    <w:p w14:paraId="2E48523B" w14:textId="77777777" w:rsidR="00171824" w:rsidRDefault="00171824">
      <w:pPr>
        <w:widowControl/>
        <w:tabs>
          <w:tab w:val="left" w:pos="567"/>
        </w:tabs>
        <w:autoSpaceDE/>
        <w:autoSpaceDN/>
        <w:adjustRightInd/>
        <w:rPr>
          <w:rFonts w:eastAsia="PMingLiU"/>
          <w:sz w:val="22"/>
          <w:szCs w:val="22"/>
          <w:lang w:val="el-GR"/>
        </w:rPr>
      </w:pPr>
    </w:p>
    <w:p w14:paraId="2787642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1018DD12" w14:textId="77777777" w:rsidR="00171824" w:rsidRDefault="00171824">
      <w:pPr>
        <w:widowControl/>
        <w:tabs>
          <w:tab w:val="left" w:pos="567"/>
        </w:tabs>
        <w:autoSpaceDE/>
        <w:autoSpaceDN/>
        <w:adjustRightInd/>
        <w:rPr>
          <w:rFonts w:eastAsia="PMingLiU"/>
          <w:sz w:val="22"/>
          <w:szCs w:val="22"/>
          <w:lang w:val="el-GR"/>
        </w:rPr>
      </w:pPr>
    </w:p>
    <w:p w14:paraId="24E5ACEB" w14:textId="77777777" w:rsidR="00171824" w:rsidRDefault="006D258C">
      <w:pPr>
        <w:widowControl/>
        <w:suppressLineNumbers/>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80 mg adalimumab σε διάλυμα 0,8 ml.</w:t>
      </w:r>
    </w:p>
    <w:p w14:paraId="1A2781C0" w14:textId="77777777" w:rsidR="00171824" w:rsidRDefault="00171824">
      <w:pPr>
        <w:widowControl/>
        <w:tabs>
          <w:tab w:val="left" w:pos="567"/>
        </w:tabs>
        <w:autoSpaceDE/>
        <w:autoSpaceDN/>
        <w:adjustRightInd/>
        <w:rPr>
          <w:rFonts w:eastAsia="PMingLiU"/>
          <w:sz w:val="22"/>
          <w:szCs w:val="22"/>
          <w:lang w:val="el-GR"/>
        </w:rPr>
      </w:pPr>
    </w:p>
    <w:p w14:paraId="78A95613" w14:textId="77777777" w:rsidR="00171824" w:rsidRDefault="00171824">
      <w:pPr>
        <w:widowControl/>
        <w:tabs>
          <w:tab w:val="left" w:pos="567"/>
        </w:tabs>
        <w:autoSpaceDE/>
        <w:autoSpaceDN/>
        <w:adjustRightInd/>
        <w:rPr>
          <w:rFonts w:eastAsia="PMingLiU"/>
          <w:sz w:val="22"/>
          <w:szCs w:val="22"/>
          <w:lang w:val="el-GR"/>
        </w:rPr>
      </w:pPr>
    </w:p>
    <w:p w14:paraId="1358010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322B3EA2" w14:textId="77777777" w:rsidR="00171824" w:rsidRDefault="00171824">
      <w:pPr>
        <w:widowControl/>
        <w:tabs>
          <w:tab w:val="left" w:pos="567"/>
        </w:tabs>
        <w:autoSpaceDE/>
        <w:autoSpaceDN/>
        <w:adjustRightInd/>
        <w:rPr>
          <w:rFonts w:eastAsia="PMingLiU"/>
          <w:sz w:val="22"/>
          <w:szCs w:val="22"/>
          <w:lang w:val="el-GR"/>
        </w:rPr>
      </w:pPr>
    </w:p>
    <w:p w14:paraId="400E9A54"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 xml:space="preserve">L-γαλακτικό οξύ, σακχαρόζη, πολυσορβικό 80, υδροξείδιο του νατρίου και ενέσιμο ύδωρ. </w:t>
      </w:r>
    </w:p>
    <w:p w14:paraId="0B435B51" w14:textId="77777777" w:rsidR="00171824" w:rsidRDefault="00171824">
      <w:pPr>
        <w:widowControl/>
        <w:tabs>
          <w:tab w:val="left" w:pos="567"/>
        </w:tabs>
        <w:autoSpaceDE/>
        <w:autoSpaceDN/>
        <w:adjustRightInd/>
        <w:rPr>
          <w:rFonts w:eastAsia="PMingLiU"/>
          <w:sz w:val="22"/>
          <w:szCs w:val="22"/>
          <w:lang w:val="el-GR"/>
        </w:rPr>
      </w:pPr>
    </w:p>
    <w:p w14:paraId="3212DAE3" w14:textId="77777777" w:rsidR="00171824" w:rsidRDefault="00171824">
      <w:pPr>
        <w:widowControl/>
        <w:tabs>
          <w:tab w:val="left" w:pos="567"/>
        </w:tabs>
        <w:autoSpaceDE/>
        <w:autoSpaceDN/>
        <w:adjustRightInd/>
        <w:rPr>
          <w:rFonts w:eastAsia="PMingLiU"/>
          <w:sz w:val="22"/>
          <w:szCs w:val="22"/>
          <w:lang w:val="el-GR"/>
        </w:rPr>
      </w:pPr>
    </w:p>
    <w:p w14:paraId="1864139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5250CC51" w14:textId="77777777" w:rsidR="00171824" w:rsidRDefault="00171824">
      <w:pPr>
        <w:widowControl/>
        <w:tabs>
          <w:tab w:val="left" w:pos="567"/>
        </w:tabs>
        <w:autoSpaceDE/>
        <w:autoSpaceDN/>
        <w:adjustRightInd/>
        <w:rPr>
          <w:rFonts w:eastAsia="PMingLiU"/>
          <w:sz w:val="22"/>
          <w:szCs w:val="22"/>
          <w:lang w:val="el-GR"/>
        </w:rPr>
      </w:pPr>
    </w:p>
    <w:p w14:paraId="00BB234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highlight w:val="lightGray"/>
          <w:lang w:val="el-GR" w:bidi="en-US"/>
        </w:rPr>
        <w:t>Eνέσιμο διάλυμα</w:t>
      </w:r>
    </w:p>
    <w:p w14:paraId="2646460C" w14:textId="77777777" w:rsidR="00171824" w:rsidRDefault="006D258C">
      <w:pPr>
        <w:rPr>
          <w:sz w:val="22"/>
          <w:szCs w:val="22"/>
          <w:lang w:val="el-GR"/>
        </w:rPr>
      </w:pPr>
      <w:r>
        <w:rPr>
          <w:sz w:val="22"/>
          <w:szCs w:val="22"/>
          <w:lang w:val="el-GR"/>
        </w:rPr>
        <w:t>80 mg/0,8 ml</w:t>
      </w:r>
    </w:p>
    <w:p w14:paraId="70FA049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Πολυσυσκευασία: 3 (3 κουτιά της 1) προγεμισμένες σύριγγες.</w:t>
      </w:r>
    </w:p>
    <w:p w14:paraId="428FE09A" w14:textId="77777777" w:rsidR="00171824" w:rsidRDefault="00171824">
      <w:pPr>
        <w:widowControl/>
        <w:tabs>
          <w:tab w:val="left" w:pos="567"/>
        </w:tabs>
        <w:autoSpaceDE/>
        <w:autoSpaceDN/>
        <w:adjustRightInd/>
        <w:rPr>
          <w:rFonts w:eastAsia="PMingLiU"/>
          <w:sz w:val="22"/>
          <w:szCs w:val="22"/>
          <w:lang w:val="el-GR"/>
        </w:rPr>
      </w:pPr>
    </w:p>
    <w:p w14:paraId="24A842D9" w14:textId="77777777" w:rsidR="00171824" w:rsidRDefault="00171824">
      <w:pPr>
        <w:widowControl/>
        <w:tabs>
          <w:tab w:val="left" w:pos="567"/>
        </w:tabs>
        <w:autoSpaceDE/>
        <w:autoSpaceDN/>
        <w:adjustRightInd/>
        <w:rPr>
          <w:rFonts w:eastAsia="PMingLiU"/>
          <w:sz w:val="22"/>
          <w:szCs w:val="22"/>
          <w:lang w:val="el-GR"/>
        </w:rPr>
      </w:pPr>
    </w:p>
    <w:p w14:paraId="66193C9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7135A0A7" w14:textId="77777777" w:rsidR="00171824" w:rsidRDefault="00171824">
      <w:pPr>
        <w:widowControl/>
        <w:tabs>
          <w:tab w:val="left" w:pos="567"/>
        </w:tabs>
        <w:autoSpaceDE/>
        <w:autoSpaceDN/>
        <w:adjustRightInd/>
        <w:rPr>
          <w:rFonts w:eastAsia="PMingLiU"/>
          <w:sz w:val="22"/>
          <w:szCs w:val="22"/>
          <w:lang w:val="el-GR"/>
        </w:rPr>
      </w:pPr>
    </w:p>
    <w:p w14:paraId="31610AE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Για υποδόρια χρήση.</w:t>
      </w:r>
    </w:p>
    <w:p w14:paraId="72ECDB1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039D2B7E"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3F9A2E41" w14:textId="77777777" w:rsidR="00171824" w:rsidRDefault="00171824">
      <w:pPr>
        <w:widowControl/>
        <w:tabs>
          <w:tab w:val="left" w:pos="567"/>
        </w:tabs>
        <w:autoSpaceDE/>
        <w:autoSpaceDN/>
        <w:adjustRightInd/>
        <w:rPr>
          <w:rFonts w:eastAsia="PMingLiU"/>
          <w:sz w:val="22"/>
          <w:szCs w:val="22"/>
          <w:lang w:val="el-GR"/>
        </w:rPr>
      </w:pPr>
    </w:p>
    <w:p w14:paraId="18ED5745" w14:textId="77777777" w:rsidR="00171824" w:rsidRDefault="00171824">
      <w:pPr>
        <w:widowControl/>
        <w:tabs>
          <w:tab w:val="left" w:pos="567"/>
        </w:tabs>
        <w:autoSpaceDE/>
        <w:autoSpaceDN/>
        <w:adjustRightInd/>
        <w:rPr>
          <w:rFonts w:eastAsia="PMingLiU"/>
          <w:sz w:val="22"/>
          <w:szCs w:val="22"/>
          <w:lang w:val="el-GR"/>
        </w:rPr>
      </w:pPr>
    </w:p>
    <w:p w14:paraId="6439BBD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15E930A2" w14:textId="77777777" w:rsidR="00171824" w:rsidRDefault="00171824">
      <w:pPr>
        <w:widowControl/>
        <w:tabs>
          <w:tab w:val="left" w:pos="567"/>
        </w:tabs>
        <w:autoSpaceDE/>
        <w:autoSpaceDN/>
        <w:adjustRightInd/>
        <w:rPr>
          <w:rFonts w:eastAsia="PMingLiU"/>
          <w:sz w:val="22"/>
          <w:szCs w:val="22"/>
          <w:lang w:val="el-GR"/>
        </w:rPr>
      </w:pPr>
    </w:p>
    <w:p w14:paraId="2DFB696E"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21086BBE" w14:textId="77777777" w:rsidR="00171824" w:rsidRDefault="00171824">
      <w:pPr>
        <w:widowControl/>
        <w:tabs>
          <w:tab w:val="left" w:pos="567"/>
        </w:tabs>
        <w:autoSpaceDE/>
        <w:autoSpaceDN/>
        <w:adjustRightInd/>
        <w:rPr>
          <w:rFonts w:eastAsia="PMingLiU"/>
          <w:sz w:val="22"/>
          <w:szCs w:val="22"/>
          <w:lang w:val="el-GR"/>
        </w:rPr>
      </w:pPr>
    </w:p>
    <w:p w14:paraId="5B1A1623" w14:textId="77777777" w:rsidR="00171824" w:rsidRDefault="00171824">
      <w:pPr>
        <w:widowControl/>
        <w:tabs>
          <w:tab w:val="left" w:pos="567"/>
        </w:tabs>
        <w:autoSpaceDE/>
        <w:autoSpaceDN/>
        <w:adjustRightInd/>
        <w:rPr>
          <w:rFonts w:eastAsia="PMingLiU"/>
          <w:sz w:val="22"/>
          <w:szCs w:val="22"/>
          <w:lang w:val="el-GR"/>
        </w:rPr>
      </w:pPr>
    </w:p>
    <w:p w14:paraId="12D02CD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5753D0D9" w14:textId="77777777" w:rsidR="00171824" w:rsidRDefault="00171824">
      <w:pPr>
        <w:widowControl/>
        <w:tabs>
          <w:tab w:val="left" w:pos="567"/>
          <w:tab w:val="left" w:pos="749"/>
        </w:tabs>
        <w:autoSpaceDE/>
        <w:autoSpaceDN/>
        <w:adjustRightInd/>
        <w:rPr>
          <w:rFonts w:eastAsia="PMingLiU"/>
          <w:sz w:val="22"/>
          <w:szCs w:val="20"/>
          <w:lang w:val="el-GR"/>
        </w:rPr>
      </w:pPr>
    </w:p>
    <w:p w14:paraId="457FF1E5" w14:textId="77777777" w:rsidR="00171824" w:rsidRDefault="00171824">
      <w:pPr>
        <w:widowControl/>
        <w:tabs>
          <w:tab w:val="left" w:pos="567"/>
          <w:tab w:val="left" w:pos="749"/>
        </w:tabs>
        <w:autoSpaceDE/>
        <w:autoSpaceDN/>
        <w:adjustRightInd/>
        <w:rPr>
          <w:rFonts w:eastAsia="PMingLiU"/>
          <w:sz w:val="22"/>
          <w:szCs w:val="20"/>
          <w:lang w:val="el-GR"/>
        </w:rPr>
      </w:pPr>
    </w:p>
    <w:p w14:paraId="586FA89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4EA3B738" w14:textId="77777777" w:rsidR="00171824" w:rsidRDefault="00171824">
      <w:pPr>
        <w:widowControl/>
        <w:tabs>
          <w:tab w:val="left" w:pos="567"/>
        </w:tabs>
        <w:autoSpaceDE/>
        <w:autoSpaceDN/>
        <w:adjustRightInd/>
        <w:rPr>
          <w:rFonts w:eastAsia="PMingLiU"/>
          <w:sz w:val="22"/>
          <w:szCs w:val="20"/>
          <w:lang w:val="el-GR"/>
        </w:rPr>
      </w:pPr>
    </w:p>
    <w:p w14:paraId="79B8BDA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3F5189FD" w14:textId="77777777" w:rsidR="00171824" w:rsidRDefault="00171824">
      <w:pPr>
        <w:widowControl/>
        <w:tabs>
          <w:tab w:val="left" w:pos="567"/>
        </w:tabs>
        <w:autoSpaceDE/>
        <w:autoSpaceDN/>
        <w:adjustRightInd/>
        <w:rPr>
          <w:rFonts w:eastAsia="PMingLiU"/>
          <w:sz w:val="22"/>
          <w:szCs w:val="22"/>
          <w:lang w:val="el-GR"/>
        </w:rPr>
      </w:pPr>
    </w:p>
    <w:p w14:paraId="3627775E" w14:textId="77777777" w:rsidR="00171824" w:rsidRDefault="00171824">
      <w:pPr>
        <w:widowControl/>
        <w:tabs>
          <w:tab w:val="left" w:pos="567"/>
        </w:tabs>
        <w:autoSpaceDE/>
        <w:autoSpaceDN/>
        <w:adjustRightInd/>
        <w:rPr>
          <w:rFonts w:eastAsia="PMingLiU"/>
          <w:sz w:val="22"/>
          <w:szCs w:val="22"/>
          <w:lang w:val="el-GR"/>
        </w:rPr>
      </w:pPr>
    </w:p>
    <w:p w14:paraId="231B1D6D"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6244B4FD" w14:textId="77777777" w:rsidR="00171824" w:rsidRDefault="00171824">
      <w:pPr>
        <w:keepNext/>
        <w:widowControl/>
        <w:tabs>
          <w:tab w:val="left" w:pos="567"/>
        </w:tabs>
        <w:autoSpaceDE/>
        <w:autoSpaceDN/>
        <w:adjustRightInd/>
        <w:rPr>
          <w:rFonts w:eastAsia="PMingLiU"/>
          <w:sz w:val="22"/>
          <w:szCs w:val="22"/>
          <w:lang w:val="el-GR"/>
        </w:rPr>
      </w:pPr>
    </w:p>
    <w:p w14:paraId="00E03850"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34DD05D8"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1E35EC77"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15BD4AAA" w14:textId="77777777" w:rsidR="00171824" w:rsidRDefault="00171824">
      <w:pPr>
        <w:widowControl/>
        <w:tabs>
          <w:tab w:val="left" w:pos="567"/>
        </w:tabs>
        <w:autoSpaceDE/>
        <w:autoSpaceDN/>
        <w:adjustRightInd/>
        <w:rPr>
          <w:rFonts w:eastAsia="SimSun"/>
          <w:sz w:val="22"/>
          <w:szCs w:val="22"/>
          <w:lang w:val="el-GR" w:eastAsia="en-GB"/>
        </w:rPr>
      </w:pPr>
    </w:p>
    <w:p w14:paraId="19E62B26" w14:textId="77777777" w:rsidR="00171824" w:rsidRDefault="00171824">
      <w:pPr>
        <w:widowControl/>
        <w:tabs>
          <w:tab w:val="left" w:pos="567"/>
        </w:tabs>
        <w:autoSpaceDE/>
        <w:autoSpaceDN/>
        <w:adjustRightInd/>
        <w:ind w:left="567" w:hanging="567"/>
        <w:rPr>
          <w:rFonts w:eastAsia="PMingLiU"/>
          <w:sz w:val="22"/>
          <w:szCs w:val="22"/>
          <w:lang w:val="el-GR"/>
        </w:rPr>
      </w:pPr>
    </w:p>
    <w:p w14:paraId="2E12024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03EEE342" w14:textId="77777777" w:rsidR="00171824" w:rsidRDefault="00171824">
      <w:pPr>
        <w:widowControl/>
        <w:tabs>
          <w:tab w:val="left" w:pos="567"/>
        </w:tabs>
        <w:autoSpaceDE/>
        <w:autoSpaceDN/>
        <w:adjustRightInd/>
        <w:rPr>
          <w:rFonts w:eastAsia="PMingLiU"/>
          <w:sz w:val="22"/>
          <w:szCs w:val="22"/>
          <w:lang w:val="el-GR"/>
        </w:rPr>
      </w:pPr>
    </w:p>
    <w:p w14:paraId="7E911B4D" w14:textId="77777777" w:rsidR="00171824" w:rsidRDefault="00171824">
      <w:pPr>
        <w:widowControl/>
        <w:tabs>
          <w:tab w:val="left" w:pos="567"/>
        </w:tabs>
        <w:autoSpaceDE/>
        <w:autoSpaceDN/>
        <w:adjustRightInd/>
        <w:rPr>
          <w:rFonts w:eastAsia="PMingLiU"/>
          <w:sz w:val="22"/>
          <w:szCs w:val="22"/>
          <w:lang w:val="el-GR"/>
        </w:rPr>
      </w:pPr>
    </w:p>
    <w:p w14:paraId="1FD143A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3A1C7A3D" w14:textId="77777777" w:rsidR="00171824" w:rsidRDefault="00171824">
      <w:pPr>
        <w:widowControl/>
        <w:tabs>
          <w:tab w:val="left" w:pos="567"/>
        </w:tabs>
        <w:autoSpaceDE/>
        <w:autoSpaceDN/>
        <w:adjustRightInd/>
        <w:rPr>
          <w:rFonts w:eastAsia="PMingLiU"/>
          <w:sz w:val="22"/>
          <w:szCs w:val="22"/>
          <w:lang w:val="el-GR"/>
        </w:rPr>
      </w:pPr>
    </w:p>
    <w:p w14:paraId="718A4E93"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61F54421"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19438107"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4DB9B79E"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68C60C93" w14:textId="77777777" w:rsidR="00171824" w:rsidRDefault="00171824">
      <w:pPr>
        <w:widowControl/>
        <w:tabs>
          <w:tab w:val="left" w:pos="567"/>
        </w:tabs>
        <w:autoSpaceDE/>
        <w:autoSpaceDN/>
        <w:adjustRightInd/>
        <w:rPr>
          <w:rFonts w:eastAsia="PMingLiU"/>
          <w:sz w:val="22"/>
          <w:szCs w:val="22"/>
          <w:lang w:val="el-GR"/>
        </w:rPr>
      </w:pPr>
    </w:p>
    <w:p w14:paraId="10DD5DFD" w14:textId="77777777" w:rsidR="00171824" w:rsidRDefault="00171824">
      <w:pPr>
        <w:widowControl/>
        <w:tabs>
          <w:tab w:val="left" w:pos="567"/>
        </w:tabs>
        <w:autoSpaceDE/>
        <w:autoSpaceDN/>
        <w:adjustRightInd/>
        <w:rPr>
          <w:rFonts w:eastAsia="PMingLiU"/>
          <w:sz w:val="22"/>
          <w:szCs w:val="22"/>
          <w:lang w:val="el-GR"/>
        </w:rPr>
      </w:pPr>
    </w:p>
    <w:p w14:paraId="176B6CA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0F352AC7" w14:textId="77777777" w:rsidR="00171824" w:rsidRDefault="00171824">
      <w:pPr>
        <w:widowControl/>
        <w:tabs>
          <w:tab w:val="left" w:pos="567"/>
        </w:tabs>
        <w:autoSpaceDE/>
        <w:autoSpaceDN/>
        <w:adjustRightInd/>
        <w:rPr>
          <w:rFonts w:eastAsia="PMingLiU"/>
          <w:sz w:val="22"/>
          <w:szCs w:val="22"/>
          <w:lang w:val="el-GR"/>
        </w:rPr>
      </w:pPr>
    </w:p>
    <w:p w14:paraId="05B6C66D"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 xml:space="preserve">EU/1/16/1164/019 </w:t>
      </w:r>
    </w:p>
    <w:p w14:paraId="4FE6E491" w14:textId="77777777" w:rsidR="00171824" w:rsidRDefault="00171824">
      <w:pPr>
        <w:widowControl/>
        <w:tabs>
          <w:tab w:val="left" w:pos="567"/>
        </w:tabs>
        <w:autoSpaceDE/>
        <w:autoSpaceDN/>
        <w:adjustRightInd/>
        <w:outlineLvl w:val="0"/>
        <w:rPr>
          <w:rFonts w:eastAsia="PMingLiU"/>
          <w:sz w:val="22"/>
          <w:szCs w:val="22"/>
          <w:lang w:val="el-GR" w:bidi="en-US"/>
        </w:rPr>
      </w:pPr>
    </w:p>
    <w:p w14:paraId="67DB6584" w14:textId="77777777" w:rsidR="00171824" w:rsidRDefault="00171824">
      <w:pPr>
        <w:widowControl/>
        <w:tabs>
          <w:tab w:val="left" w:pos="567"/>
        </w:tabs>
        <w:autoSpaceDE/>
        <w:autoSpaceDN/>
        <w:adjustRightInd/>
        <w:rPr>
          <w:rFonts w:eastAsia="PMingLiU"/>
          <w:sz w:val="22"/>
          <w:szCs w:val="22"/>
          <w:lang w:val="el-GR"/>
        </w:rPr>
      </w:pPr>
    </w:p>
    <w:p w14:paraId="66D266C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ΑΡΙΘΜΟΣ ΠΑΡΤΙΔΑΣ</w:t>
      </w:r>
    </w:p>
    <w:p w14:paraId="30BE84E4" w14:textId="77777777" w:rsidR="00171824" w:rsidRDefault="00171824">
      <w:pPr>
        <w:widowControl/>
        <w:tabs>
          <w:tab w:val="left" w:pos="567"/>
        </w:tabs>
        <w:autoSpaceDE/>
        <w:autoSpaceDN/>
        <w:adjustRightInd/>
        <w:rPr>
          <w:rFonts w:eastAsia="PMingLiU"/>
          <w:i/>
          <w:sz w:val="22"/>
          <w:szCs w:val="22"/>
          <w:lang w:val="el-GR"/>
        </w:rPr>
      </w:pPr>
    </w:p>
    <w:p w14:paraId="17FCDE1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5AE017B4" w14:textId="77777777" w:rsidR="00171824" w:rsidRDefault="00171824">
      <w:pPr>
        <w:widowControl/>
        <w:tabs>
          <w:tab w:val="left" w:pos="567"/>
        </w:tabs>
        <w:autoSpaceDE/>
        <w:autoSpaceDN/>
        <w:adjustRightInd/>
        <w:rPr>
          <w:rFonts w:eastAsia="PMingLiU"/>
          <w:sz w:val="22"/>
          <w:szCs w:val="22"/>
          <w:lang w:val="el-GR"/>
        </w:rPr>
      </w:pPr>
    </w:p>
    <w:p w14:paraId="61FA32F3" w14:textId="77777777" w:rsidR="00171824" w:rsidRDefault="00171824">
      <w:pPr>
        <w:widowControl/>
        <w:tabs>
          <w:tab w:val="left" w:pos="567"/>
        </w:tabs>
        <w:autoSpaceDE/>
        <w:autoSpaceDN/>
        <w:adjustRightInd/>
        <w:rPr>
          <w:rFonts w:eastAsia="PMingLiU"/>
          <w:sz w:val="22"/>
          <w:szCs w:val="22"/>
          <w:lang w:val="el-GR"/>
        </w:rPr>
      </w:pPr>
    </w:p>
    <w:p w14:paraId="568176F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3FBD774F" w14:textId="77777777" w:rsidR="00171824" w:rsidRDefault="00171824">
      <w:pPr>
        <w:widowControl/>
        <w:tabs>
          <w:tab w:val="left" w:pos="567"/>
        </w:tabs>
        <w:autoSpaceDE/>
        <w:autoSpaceDN/>
        <w:adjustRightInd/>
        <w:rPr>
          <w:rFonts w:eastAsia="PMingLiU"/>
          <w:sz w:val="22"/>
          <w:szCs w:val="22"/>
          <w:lang w:val="el-GR"/>
        </w:rPr>
      </w:pPr>
    </w:p>
    <w:p w14:paraId="6296F786" w14:textId="77777777" w:rsidR="00171824" w:rsidRDefault="00171824">
      <w:pPr>
        <w:widowControl/>
        <w:tabs>
          <w:tab w:val="left" w:pos="567"/>
        </w:tabs>
        <w:autoSpaceDE/>
        <w:autoSpaceDN/>
        <w:adjustRightInd/>
        <w:rPr>
          <w:rFonts w:eastAsia="PMingLiU"/>
          <w:sz w:val="22"/>
          <w:szCs w:val="22"/>
          <w:lang w:val="el-GR"/>
        </w:rPr>
      </w:pPr>
    </w:p>
    <w:p w14:paraId="54A2CA1D"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04308CBC" w14:textId="77777777" w:rsidR="00171824" w:rsidRDefault="00171824">
      <w:pPr>
        <w:widowControl/>
        <w:tabs>
          <w:tab w:val="left" w:pos="567"/>
        </w:tabs>
        <w:autoSpaceDE/>
        <w:autoSpaceDN/>
        <w:adjustRightInd/>
        <w:rPr>
          <w:rFonts w:eastAsia="PMingLiU"/>
          <w:sz w:val="22"/>
          <w:szCs w:val="22"/>
          <w:lang w:val="el-GR"/>
        </w:rPr>
      </w:pPr>
    </w:p>
    <w:p w14:paraId="5593C5BD" w14:textId="77777777" w:rsidR="00171824" w:rsidRDefault="00171824">
      <w:pPr>
        <w:widowControl/>
        <w:tabs>
          <w:tab w:val="left" w:pos="567"/>
        </w:tabs>
        <w:autoSpaceDE/>
        <w:autoSpaceDN/>
        <w:adjustRightInd/>
        <w:rPr>
          <w:rFonts w:eastAsia="PMingLiU"/>
          <w:sz w:val="22"/>
          <w:szCs w:val="22"/>
          <w:lang w:val="el-GR"/>
        </w:rPr>
      </w:pPr>
    </w:p>
    <w:p w14:paraId="2115BB67"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59C32CCB" w14:textId="77777777" w:rsidR="00171824" w:rsidRDefault="00171824">
      <w:pPr>
        <w:widowControl/>
        <w:tabs>
          <w:tab w:val="left" w:pos="567"/>
        </w:tabs>
        <w:autoSpaceDE/>
        <w:autoSpaceDN/>
        <w:adjustRightInd/>
        <w:rPr>
          <w:rFonts w:eastAsia="PMingLiU"/>
          <w:sz w:val="22"/>
          <w:szCs w:val="20"/>
          <w:lang w:val="el-GR"/>
        </w:rPr>
      </w:pPr>
    </w:p>
    <w:p w14:paraId="2F9A4170" w14:textId="77777777" w:rsidR="00171824" w:rsidRDefault="006D258C">
      <w:pPr>
        <w:widowControl/>
        <w:tabs>
          <w:tab w:val="left" w:pos="567"/>
        </w:tabs>
        <w:autoSpaceDE/>
        <w:autoSpaceDN/>
        <w:adjustRightInd/>
        <w:rPr>
          <w:rFonts w:eastAsia="PMingLiU"/>
          <w:sz w:val="22"/>
          <w:szCs w:val="22"/>
          <w:highlight w:val="yellow"/>
          <w:shd w:val="clear" w:color="auto" w:fill="CCCCCC"/>
          <w:lang w:val="el-GR" w:bidi="en-US"/>
        </w:rPr>
      </w:pPr>
      <w:r>
        <w:rPr>
          <w:rFonts w:eastAsia="Arial Unicode MS" w:cs="Arial Unicode MS"/>
          <w:sz w:val="22"/>
          <w:szCs w:val="20"/>
          <w:lang w:val="el-GR" w:bidi="en-US"/>
        </w:rPr>
        <w:t>AMGEVITA 80 mg/0,8 ml σύριγγα</w:t>
      </w:r>
    </w:p>
    <w:p w14:paraId="4BCD296C"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18BAF5DE"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57771320"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0E25856D" w14:textId="77777777" w:rsidR="00171824" w:rsidRDefault="00171824">
      <w:pPr>
        <w:widowControl/>
        <w:autoSpaceDE/>
        <w:autoSpaceDN/>
        <w:adjustRightInd/>
        <w:rPr>
          <w:rFonts w:eastAsia="PMingLiU"/>
          <w:sz w:val="22"/>
          <w:szCs w:val="20"/>
          <w:lang w:val="el-GR"/>
        </w:rPr>
      </w:pPr>
    </w:p>
    <w:p w14:paraId="507C4F0F"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4BF1CF96"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16B57EDE"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4BD0C82A"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lastRenderedPageBreak/>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239BD1F8" w14:textId="77777777" w:rsidR="00171824" w:rsidRDefault="00171824">
      <w:pPr>
        <w:keepNext/>
        <w:widowControl/>
        <w:autoSpaceDE/>
        <w:autoSpaceDN/>
        <w:adjustRightInd/>
        <w:rPr>
          <w:rFonts w:eastAsia="PMingLiU"/>
          <w:sz w:val="22"/>
          <w:szCs w:val="20"/>
          <w:lang w:val="el-GR"/>
        </w:rPr>
      </w:pPr>
    </w:p>
    <w:p w14:paraId="2BD2E159"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541BED65"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4E6F2245" w14:textId="77777777" w:rsidR="00171824" w:rsidRDefault="006D258C">
      <w:pPr>
        <w:keepNext/>
        <w:widowControl/>
        <w:shd w:val="clear" w:color="auto" w:fill="FFFFFF"/>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18827E18"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612C2E11"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76F029B9" w14:textId="77777777" w:rsidR="00171824" w:rsidRDefault="00171824">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767D9F75"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ΕΝΔΙΑΜΕΣΟ ΚΟΥΤΙ ΓΙΑ ΠΟΛΥΣΥΣΚΕΥΑΣΙΑ ΠΡΟΓΕΜΙΣΜΕΝΗΣ ΣΥΡΙΓΓΑΣ (χωρίς blue box)</w:t>
      </w:r>
    </w:p>
    <w:p w14:paraId="4C5B3215" w14:textId="77777777" w:rsidR="00171824" w:rsidRDefault="00171824">
      <w:pPr>
        <w:keepNext/>
        <w:widowControl/>
        <w:tabs>
          <w:tab w:val="left" w:pos="567"/>
        </w:tabs>
        <w:autoSpaceDE/>
        <w:autoSpaceDN/>
        <w:adjustRightInd/>
        <w:rPr>
          <w:rFonts w:eastAsia="PMingLiU"/>
          <w:sz w:val="22"/>
          <w:szCs w:val="20"/>
          <w:lang w:val="el-GR"/>
        </w:rPr>
      </w:pPr>
    </w:p>
    <w:p w14:paraId="619D1CBA" w14:textId="77777777" w:rsidR="00171824" w:rsidRDefault="00171824">
      <w:pPr>
        <w:keepNext/>
        <w:widowControl/>
        <w:tabs>
          <w:tab w:val="left" w:pos="567"/>
        </w:tabs>
        <w:autoSpaceDE/>
        <w:autoSpaceDN/>
        <w:adjustRightInd/>
        <w:rPr>
          <w:rFonts w:eastAsia="PMingLiU"/>
          <w:sz w:val="22"/>
          <w:szCs w:val="22"/>
          <w:lang w:val="el-GR"/>
        </w:rPr>
      </w:pPr>
    </w:p>
    <w:p w14:paraId="6364084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0F9D62AF" w14:textId="77777777" w:rsidR="00171824" w:rsidRDefault="00171824">
      <w:pPr>
        <w:widowControl/>
        <w:tabs>
          <w:tab w:val="left" w:pos="567"/>
        </w:tabs>
        <w:autoSpaceDE/>
        <w:autoSpaceDN/>
        <w:adjustRightInd/>
        <w:rPr>
          <w:rFonts w:eastAsia="PMingLiU"/>
          <w:sz w:val="22"/>
          <w:szCs w:val="22"/>
          <w:lang w:val="el-GR"/>
        </w:rPr>
      </w:pPr>
    </w:p>
    <w:p w14:paraId="23DF887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80 mg ενέσιμο διάλυμα σε προγεμισμένη σύριγγα</w:t>
      </w:r>
    </w:p>
    <w:p w14:paraId="51836CF0"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39F70B01" w14:textId="77777777" w:rsidR="00171824" w:rsidRDefault="00171824">
      <w:pPr>
        <w:widowControl/>
        <w:tabs>
          <w:tab w:val="left" w:pos="567"/>
        </w:tabs>
        <w:autoSpaceDE/>
        <w:autoSpaceDN/>
        <w:adjustRightInd/>
        <w:rPr>
          <w:rFonts w:eastAsia="PMingLiU"/>
          <w:sz w:val="22"/>
          <w:szCs w:val="22"/>
          <w:lang w:val="el-GR"/>
        </w:rPr>
      </w:pPr>
    </w:p>
    <w:p w14:paraId="556DFAB5" w14:textId="77777777" w:rsidR="00171824" w:rsidRDefault="00171824">
      <w:pPr>
        <w:widowControl/>
        <w:tabs>
          <w:tab w:val="left" w:pos="567"/>
        </w:tabs>
        <w:autoSpaceDE/>
        <w:autoSpaceDN/>
        <w:adjustRightInd/>
        <w:rPr>
          <w:rFonts w:eastAsia="PMingLiU"/>
          <w:sz w:val="22"/>
          <w:szCs w:val="22"/>
          <w:lang w:val="el-GR"/>
        </w:rPr>
      </w:pPr>
    </w:p>
    <w:p w14:paraId="7737C75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31E67F43" w14:textId="77777777" w:rsidR="00171824" w:rsidRDefault="00171824">
      <w:pPr>
        <w:widowControl/>
        <w:tabs>
          <w:tab w:val="left" w:pos="567"/>
        </w:tabs>
        <w:autoSpaceDE/>
        <w:autoSpaceDN/>
        <w:adjustRightInd/>
        <w:rPr>
          <w:rFonts w:eastAsia="PMingLiU"/>
          <w:sz w:val="22"/>
          <w:szCs w:val="22"/>
          <w:lang w:val="el-GR"/>
        </w:rPr>
      </w:pPr>
    </w:p>
    <w:p w14:paraId="72AD0B8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σύριγγα περιέχει 80 mg adalimumab σε διάλυμα 0,8 ml.</w:t>
      </w:r>
    </w:p>
    <w:p w14:paraId="739FF9E1" w14:textId="77777777" w:rsidR="00171824" w:rsidRDefault="00171824">
      <w:pPr>
        <w:widowControl/>
        <w:tabs>
          <w:tab w:val="left" w:pos="567"/>
        </w:tabs>
        <w:autoSpaceDE/>
        <w:autoSpaceDN/>
        <w:adjustRightInd/>
        <w:rPr>
          <w:rFonts w:eastAsia="PMingLiU"/>
          <w:sz w:val="22"/>
          <w:szCs w:val="22"/>
          <w:lang w:val="el-GR"/>
        </w:rPr>
      </w:pPr>
    </w:p>
    <w:p w14:paraId="5B4223A6" w14:textId="77777777" w:rsidR="00171824" w:rsidRDefault="00171824">
      <w:pPr>
        <w:widowControl/>
        <w:tabs>
          <w:tab w:val="left" w:pos="567"/>
        </w:tabs>
        <w:autoSpaceDE/>
        <w:autoSpaceDN/>
        <w:adjustRightInd/>
        <w:rPr>
          <w:rFonts w:eastAsia="PMingLiU"/>
          <w:sz w:val="22"/>
          <w:szCs w:val="22"/>
          <w:lang w:val="el-GR"/>
        </w:rPr>
      </w:pPr>
    </w:p>
    <w:p w14:paraId="135E7B56"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2AAE5887" w14:textId="77777777" w:rsidR="00171824" w:rsidRDefault="00171824">
      <w:pPr>
        <w:widowControl/>
        <w:tabs>
          <w:tab w:val="left" w:pos="567"/>
        </w:tabs>
        <w:autoSpaceDE/>
        <w:autoSpaceDN/>
        <w:adjustRightInd/>
        <w:rPr>
          <w:rFonts w:eastAsia="PMingLiU"/>
          <w:sz w:val="22"/>
          <w:szCs w:val="22"/>
          <w:lang w:val="el-GR"/>
        </w:rPr>
      </w:pPr>
    </w:p>
    <w:p w14:paraId="7D86F50D"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L-γαλακτικό οξύ, σακχαρόζη, πολυσορβικό 80, υδροξείδιο του νατρίου και ενέσιμο ύδωρ.</w:t>
      </w:r>
    </w:p>
    <w:p w14:paraId="3D73F4E6" w14:textId="77777777" w:rsidR="00171824" w:rsidRDefault="00171824">
      <w:pPr>
        <w:widowControl/>
        <w:tabs>
          <w:tab w:val="left" w:pos="567"/>
        </w:tabs>
        <w:autoSpaceDE/>
        <w:autoSpaceDN/>
        <w:adjustRightInd/>
        <w:rPr>
          <w:rFonts w:eastAsia="PMingLiU"/>
          <w:sz w:val="22"/>
          <w:szCs w:val="22"/>
          <w:lang w:val="el-GR"/>
        </w:rPr>
      </w:pPr>
    </w:p>
    <w:p w14:paraId="2486FB17" w14:textId="77777777" w:rsidR="00171824" w:rsidRDefault="00171824">
      <w:pPr>
        <w:widowControl/>
        <w:tabs>
          <w:tab w:val="left" w:pos="567"/>
        </w:tabs>
        <w:autoSpaceDE/>
        <w:autoSpaceDN/>
        <w:adjustRightInd/>
        <w:rPr>
          <w:rFonts w:eastAsia="PMingLiU"/>
          <w:sz w:val="22"/>
          <w:szCs w:val="22"/>
          <w:lang w:val="el-GR"/>
        </w:rPr>
      </w:pPr>
    </w:p>
    <w:p w14:paraId="695B6B8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733939DD" w14:textId="77777777" w:rsidR="00171824" w:rsidRDefault="00171824">
      <w:pPr>
        <w:widowControl/>
        <w:tabs>
          <w:tab w:val="left" w:pos="567"/>
        </w:tabs>
        <w:autoSpaceDE/>
        <w:autoSpaceDN/>
        <w:adjustRightInd/>
        <w:rPr>
          <w:rFonts w:eastAsia="PMingLiU"/>
          <w:sz w:val="22"/>
          <w:szCs w:val="22"/>
          <w:lang w:val="el-GR"/>
        </w:rPr>
      </w:pPr>
    </w:p>
    <w:p w14:paraId="756DBDF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0E1E3934" w14:textId="77777777" w:rsidR="00171824" w:rsidRDefault="006D258C">
      <w:pPr>
        <w:rPr>
          <w:sz w:val="22"/>
          <w:szCs w:val="22"/>
          <w:lang w:val="el-GR"/>
        </w:rPr>
      </w:pPr>
      <w:r>
        <w:rPr>
          <w:sz w:val="22"/>
          <w:szCs w:val="22"/>
          <w:lang w:val="el-GR"/>
        </w:rPr>
        <w:t>80 mg/0,8 ml</w:t>
      </w:r>
    </w:p>
    <w:p w14:paraId="38852C79"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1 προγεμισμένη σύριγγα. Μέρος πολυσυσκευασίας, δεν μπορεί να πωληθεί ξεχωριστά.</w:t>
      </w:r>
    </w:p>
    <w:p w14:paraId="6807FAB7" w14:textId="77777777" w:rsidR="00171824" w:rsidRDefault="00171824">
      <w:pPr>
        <w:widowControl/>
        <w:tabs>
          <w:tab w:val="left" w:pos="567"/>
        </w:tabs>
        <w:autoSpaceDE/>
        <w:autoSpaceDN/>
        <w:adjustRightInd/>
        <w:rPr>
          <w:rFonts w:eastAsia="PMingLiU"/>
          <w:sz w:val="22"/>
          <w:szCs w:val="22"/>
          <w:lang w:val="el-GR"/>
        </w:rPr>
      </w:pPr>
    </w:p>
    <w:p w14:paraId="152A39BE" w14:textId="77777777" w:rsidR="00171824" w:rsidRDefault="00171824">
      <w:pPr>
        <w:widowControl/>
        <w:tabs>
          <w:tab w:val="left" w:pos="567"/>
        </w:tabs>
        <w:autoSpaceDE/>
        <w:autoSpaceDN/>
        <w:adjustRightInd/>
        <w:rPr>
          <w:rFonts w:eastAsia="PMingLiU"/>
          <w:sz w:val="22"/>
          <w:szCs w:val="22"/>
          <w:lang w:val="el-GR"/>
        </w:rPr>
      </w:pPr>
    </w:p>
    <w:p w14:paraId="0FF5D9C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65B0AA7E" w14:textId="77777777" w:rsidR="00171824" w:rsidRDefault="00171824">
      <w:pPr>
        <w:widowControl/>
        <w:tabs>
          <w:tab w:val="left" w:pos="567"/>
        </w:tabs>
        <w:autoSpaceDE/>
        <w:autoSpaceDN/>
        <w:adjustRightInd/>
        <w:rPr>
          <w:rFonts w:eastAsia="PMingLiU"/>
          <w:sz w:val="22"/>
          <w:szCs w:val="20"/>
          <w:lang w:val="el-GR"/>
        </w:rPr>
      </w:pPr>
    </w:p>
    <w:p w14:paraId="45897FA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46F25E37"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5B154131"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5972CD24" w14:textId="77777777" w:rsidR="00171824" w:rsidRDefault="00171824">
      <w:pPr>
        <w:widowControl/>
        <w:tabs>
          <w:tab w:val="left" w:pos="567"/>
        </w:tabs>
        <w:autoSpaceDE/>
        <w:autoSpaceDN/>
        <w:adjustRightInd/>
        <w:rPr>
          <w:rFonts w:eastAsia="PMingLiU"/>
          <w:sz w:val="22"/>
          <w:szCs w:val="22"/>
          <w:lang w:val="el-GR"/>
        </w:rPr>
      </w:pPr>
    </w:p>
    <w:p w14:paraId="2434BDD7" w14:textId="77777777" w:rsidR="00171824" w:rsidRDefault="00171824">
      <w:pPr>
        <w:widowControl/>
        <w:tabs>
          <w:tab w:val="left" w:pos="567"/>
        </w:tabs>
        <w:autoSpaceDE/>
        <w:autoSpaceDN/>
        <w:adjustRightInd/>
        <w:rPr>
          <w:rFonts w:eastAsia="PMingLiU"/>
          <w:sz w:val="22"/>
          <w:szCs w:val="22"/>
          <w:lang w:val="el-GR"/>
        </w:rPr>
      </w:pPr>
    </w:p>
    <w:p w14:paraId="166399D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061120C0" w14:textId="77777777" w:rsidR="00171824" w:rsidRDefault="00171824">
      <w:pPr>
        <w:widowControl/>
        <w:tabs>
          <w:tab w:val="left" w:pos="567"/>
        </w:tabs>
        <w:autoSpaceDE/>
        <w:autoSpaceDN/>
        <w:adjustRightInd/>
        <w:rPr>
          <w:rFonts w:eastAsia="PMingLiU"/>
          <w:sz w:val="22"/>
          <w:szCs w:val="22"/>
          <w:lang w:val="el-GR"/>
        </w:rPr>
      </w:pPr>
    </w:p>
    <w:p w14:paraId="5A222B35"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6BE078B4" w14:textId="77777777" w:rsidR="00171824" w:rsidRDefault="00171824">
      <w:pPr>
        <w:widowControl/>
        <w:tabs>
          <w:tab w:val="left" w:pos="567"/>
        </w:tabs>
        <w:autoSpaceDE/>
        <w:autoSpaceDN/>
        <w:adjustRightInd/>
        <w:rPr>
          <w:rFonts w:eastAsia="PMingLiU"/>
          <w:sz w:val="22"/>
          <w:szCs w:val="22"/>
          <w:lang w:val="el-GR"/>
        </w:rPr>
      </w:pPr>
    </w:p>
    <w:p w14:paraId="1D83732D" w14:textId="77777777" w:rsidR="00171824" w:rsidRDefault="00171824">
      <w:pPr>
        <w:widowControl/>
        <w:tabs>
          <w:tab w:val="left" w:pos="567"/>
        </w:tabs>
        <w:autoSpaceDE/>
        <w:autoSpaceDN/>
        <w:adjustRightInd/>
        <w:rPr>
          <w:rFonts w:eastAsia="PMingLiU"/>
          <w:sz w:val="22"/>
          <w:szCs w:val="22"/>
          <w:lang w:val="el-GR"/>
        </w:rPr>
      </w:pPr>
    </w:p>
    <w:p w14:paraId="56E63A7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595E057A" w14:textId="77777777" w:rsidR="00171824" w:rsidRDefault="00171824">
      <w:pPr>
        <w:widowControl/>
        <w:tabs>
          <w:tab w:val="left" w:pos="567"/>
        </w:tabs>
        <w:autoSpaceDE/>
        <w:autoSpaceDN/>
        <w:adjustRightInd/>
        <w:rPr>
          <w:rFonts w:eastAsia="PMingLiU"/>
          <w:sz w:val="22"/>
          <w:szCs w:val="22"/>
          <w:lang w:val="el-GR"/>
        </w:rPr>
      </w:pPr>
    </w:p>
    <w:p w14:paraId="07050B24" w14:textId="77777777" w:rsidR="00171824" w:rsidRDefault="00171824">
      <w:pPr>
        <w:widowControl/>
        <w:tabs>
          <w:tab w:val="left" w:pos="567"/>
          <w:tab w:val="left" w:pos="749"/>
        </w:tabs>
        <w:autoSpaceDE/>
        <w:autoSpaceDN/>
        <w:adjustRightInd/>
        <w:rPr>
          <w:rFonts w:eastAsia="PMingLiU"/>
          <w:sz w:val="22"/>
          <w:szCs w:val="20"/>
          <w:lang w:val="el-GR"/>
        </w:rPr>
      </w:pPr>
    </w:p>
    <w:p w14:paraId="6789142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10D81A15" w14:textId="77777777" w:rsidR="00171824" w:rsidRDefault="00171824">
      <w:pPr>
        <w:widowControl/>
        <w:tabs>
          <w:tab w:val="left" w:pos="567"/>
        </w:tabs>
        <w:autoSpaceDE/>
        <w:autoSpaceDN/>
        <w:adjustRightInd/>
        <w:rPr>
          <w:rFonts w:eastAsia="PMingLiU"/>
          <w:sz w:val="22"/>
          <w:szCs w:val="20"/>
          <w:lang w:val="el-GR"/>
        </w:rPr>
      </w:pPr>
    </w:p>
    <w:p w14:paraId="4D6D444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73E1883F" w14:textId="77777777" w:rsidR="00171824" w:rsidRDefault="00171824">
      <w:pPr>
        <w:widowControl/>
        <w:tabs>
          <w:tab w:val="left" w:pos="567"/>
        </w:tabs>
        <w:autoSpaceDE/>
        <w:autoSpaceDN/>
        <w:adjustRightInd/>
        <w:rPr>
          <w:rFonts w:eastAsia="PMingLiU"/>
          <w:sz w:val="22"/>
          <w:szCs w:val="22"/>
          <w:lang w:val="el-GR"/>
        </w:rPr>
      </w:pPr>
    </w:p>
    <w:p w14:paraId="2E34D006" w14:textId="77777777" w:rsidR="00171824" w:rsidRDefault="00171824">
      <w:pPr>
        <w:widowControl/>
        <w:tabs>
          <w:tab w:val="left" w:pos="567"/>
        </w:tabs>
        <w:autoSpaceDE/>
        <w:autoSpaceDN/>
        <w:adjustRightInd/>
        <w:rPr>
          <w:rFonts w:eastAsia="PMingLiU"/>
          <w:sz w:val="22"/>
          <w:szCs w:val="22"/>
          <w:lang w:val="el-GR"/>
        </w:rPr>
      </w:pPr>
    </w:p>
    <w:p w14:paraId="3B1D48D4"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6D7FADE7" w14:textId="77777777" w:rsidR="00171824" w:rsidRDefault="00171824">
      <w:pPr>
        <w:keepNext/>
        <w:widowControl/>
        <w:tabs>
          <w:tab w:val="left" w:pos="567"/>
        </w:tabs>
        <w:autoSpaceDE/>
        <w:autoSpaceDN/>
        <w:adjustRightInd/>
        <w:rPr>
          <w:rFonts w:eastAsia="PMingLiU"/>
          <w:sz w:val="22"/>
          <w:szCs w:val="22"/>
          <w:lang w:val="el-GR"/>
        </w:rPr>
      </w:pPr>
    </w:p>
    <w:p w14:paraId="563F5C4C"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57C4A04E"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2D46C23A"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0E960882" w14:textId="77777777" w:rsidR="00171824" w:rsidRDefault="00171824">
      <w:pPr>
        <w:widowControl/>
        <w:tabs>
          <w:tab w:val="left" w:pos="567"/>
        </w:tabs>
        <w:autoSpaceDE/>
        <w:autoSpaceDN/>
        <w:adjustRightInd/>
        <w:rPr>
          <w:rFonts w:eastAsia="SimSun"/>
          <w:sz w:val="22"/>
          <w:szCs w:val="22"/>
          <w:lang w:val="el-GR" w:eastAsia="en-GB"/>
        </w:rPr>
      </w:pPr>
    </w:p>
    <w:p w14:paraId="2CD12A1C" w14:textId="77777777" w:rsidR="00171824" w:rsidRDefault="00171824">
      <w:pPr>
        <w:widowControl/>
        <w:tabs>
          <w:tab w:val="left" w:pos="567"/>
        </w:tabs>
        <w:autoSpaceDE/>
        <w:autoSpaceDN/>
        <w:adjustRightInd/>
        <w:rPr>
          <w:rFonts w:eastAsia="SimSun"/>
          <w:sz w:val="22"/>
          <w:szCs w:val="22"/>
          <w:lang w:val="el-GR" w:eastAsia="en-GB"/>
        </w:rPr>
      </w:pPr>
    </w:p>
    <w:p w14:paraId="6F49479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694B65E2" w14:textId="77777777" w:rsidR="00171824" w:rsidRDefault="00171824">
      <w:pPr>
        <w:widowControl/>
        <w:tabs>
          <w:tab w:val="left" w:pos="567"/>
        </w:tabs>
        <w:autoSpaceDE/>
        <w:autoSpaceDN/>
        <w:adjustRightInd/>
        <w:rPr>
          <w:rFonts w:eastAsia="PMingLiU"/>
          <w:sz w:val="22"/>
          <w:szCs w:val="22"/>
          <w:lang w:val="el-GR"/>
        </w:rPr>
      </w:pPr>
    </w:p>
    <w:p w14:paraId="0C9071A3" w14:textId="77777777" w:rsidR="00171824" w:rsidRDefault="00171824">
      <w:pPr>
        <w:widowControl/>
        <w:tabs>
          <w:tab w:val="left" w:pos="567"/>
        </w:tabs>
        <w:autoSpaceDE/>
        <w:autoSpaceDN/>
        <w:adjustRightInd/>
        <w:rPr>
          <w:rFonts w:eastAsia="PMingLiU"/>
          <w:sz w:val="22"/>
          <w:szCs w:val="22"/>
          <w:lang w:val="el-GR"/>
        </w:rPr>
      </w:pPr>
    </w:p>
    <w:p w14:paraId="1C64283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4967DA6A" w14:textId="77777777" w:rsidR="00171824" w:rsidRDefault="00171824">
      <w:pPr>
        <w:widowControl/>
        <w:tabs>
          <w:tab w:val="left" w:pos="567"/>
        </w:tabs>
        <w:autoSpaceDE/>
        <w:autoSpaceDN/>
        <w:adjustRightInd/>
        <w:rPr>
          <w:rFonts w:eastAsia="PMingLiU"/>
          <w:sz w:val="22"/>
          <w:szCs w:val="22"/>
          <w:lang w:val="el-GR"/>
        </w:rPr>
      </w:pPr>
    </w:p>
    <w:p w14:paraId="3032E7D4"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2BF48942"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5F426943"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11CD29B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06C58342" w14:textId="77777777" w:rsidR="00171824" w:rsidRDefault="00171824">
      <w:pPr>
        <w:widowControl/>
        <w:tabs>
          <w:tab w:val="left" w:pos="567"/>
        </w:tabs>
        <w:autoSpaceDE/>
        <w:autoSpaceDN/>
        <w:adjustRightInd/>
        <w:rPr>
          <w:rFonts w:eastAsia="PMingLiU"/>
          <w:sz w:val="22"/>
          <w:szCs w:val="22"/>
          <w:lang w:val="el-GR"/>
        </w:rPr>
      </w:pPr>
    </w:p>
    <w:p w14:paraId="62493C89" w14:textId="77777777" w:rsidR="00171824" w:rsidRDefault="00171824">
      <w:pPr>
        <w:widowControl/>
        <w:tabs>
          <w:tab w:val="left" w:pos="567"/>
        </w:tabs>
        <w:autoSpaceDE/>
        <w:autoSpaceDN/>
        <w:adjustRightInd/>
        <w:rPr>
          <w:rFonts w:eastAsia="PMingLiU"/>
          <w:sz w:val="22"/>
          <w:szCs w:val="22"/>
          <w:lang w:val="el-GR"/>
        </w:rPr>
      </w:pPr>
    </w:p>
    <w:p w14:paraId="2EA4518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70D76D65" w14:textId="77777777" w:rsidR="00171824" w:rsidRDefault="00171824">
      <w:pPr>
        <w:widowControl/>
        <w:tabs>
          <w:tab w:val="left" w:pos="567"/>
        </w:tabs>
        <w:autoSpaceDE/>
        <w:autoSpaceDN/>
        <w:adjustRightInd/>
        <w:rPr>
          <w:rFonts w:eastAsia="PMingLiU"/>
          <w:sz w:val="22"/>
          <w:szCs w:val="22"/>
          <w:lang w:val="el-GR"/>
        </w:rPr>
      </w:pPr>
    </w:p>
    <w:p w14:paraId="138CA9FD"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 xml:space="preserve">EU/1/16/1164/019 </w:t>
      </w:r>
    </w:p>
    <w:p w14:paraId="166210C6" w14:textId="77777777" w:rsidR="00171824" w:rsidRDefault="00171824">
      <w:pPr>
        <w:widowControl/>
        <w:tabs>
          <w:tab w:val="left" w:pos="567"/>
        </w:tabs>
        <w:autoSpaceDE/>
        <w:autoSpaceDN/>
        <w:adjustRightInd/>
        <w:outlineLvl w:val="0"/>
        <w:rPr>
          <w:rFonts w:eastAsia="PMingLiU"/>
          <w:sz w:val="22"/>
          <w:szCs w:val="22"/>
          <w:lang w:val="el-GR" w:bidi="en-US"/>
        </w:rPr>
      </w:pPr>
    </w:p>
    <w:p w14:paraId="4B2A48CE" w14:textId="77777777" w:rsidR="00171824" w:rsidRDefault="00171824">
      <w:pPr>
        <w:widowControl/>
        <w:tabs>
          <w:tab w:val="left" w:pos="567"/>
        </w:tabs>
        <w:autoSpaceDE/>
        <w:autoSpaceDN/>
        <w:adjustRightInd/>
        <w:rPr>
          <w:rFonts w:eastAsia="PMingLiU"/>
          <w:sz w:val="22"/>
          <w:szCs w:val="22"/>
          <w:lang w:val="el-GR"/>
        </w:rPr>
      </w:pPr>
    </w:p>
    <w:p w14:paraId="3037EE9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6CC9C676" w14:textId="77777777" w:rsidR="00171824" w:rsidRDefault="00171824">
      <w:pPr>
        <w:widowControl/>
        <w:tabs>
          <w:tab w:val="left" w:pos="567"/>
        </w:tabs>
        <w:autoSpaceDE/>
        <w:autoSpaceDN/>
        <w:adjustRightInd/>
        <w:rPr>
          <w:rFonts w:eastAsia="PMingLiU"/>
          <w:i/>
          <w:sz w:val="22"/>
          <w:szCs w:val="22"/>
          <w:lang w:val="el-GR"/>
        </w:rPr>
      </w:pPr>
    </w:p>
    <w:p w14:paraId="13CF9D5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1ED50CC5" w14:textId="77777777" w:rsidR="00171824" w:rsidRDefault="00171824">
      <w:pPr>
        <w:widowControl/>
        <w:tabs>
          <w:tab w:val="left" w:pos="567"/>
        </w:tabs>
        <w:autoSpaceDE/>
        <w:autoSpaceDN/>
        <w:adjustRightInd/>
        <w:rPr>
          <w:rFonts w:eastAsia="PMingLiU"/>
          <w:sz w:val="22"/>
          <w:szCs w:val="22"/>
          <w:lang w:val="el-GR"/>
        </w:rPr>
      </w:pPr>
    </w:p>
    <w:p w14:paraId="6E57B170" w14:textId="77777777" w:rsidR="00171824" w:rsidRDefault="00171824">
      <w:pPr>
        <w:widowControl/>
        <w:tabs>
          <w:tab w:val="left" w:pos="567"/>
        </w:tabs>
        <w:autoSpaceDE/>
        <w:autoSpaceDN/>
        <w:adjustRightInd/>
        <w:rPr>
          <w:rFonts w:eastAsia="PMingLiU"/>
          <w:sz w:val="22"/>
          <w:szCs w:val="22"/>
          <w:lang w:val="el-GR"/>
        </w:rPr>
      </w:pPr>
    </w:p>
    <w:p w14:paraId="353F07A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4E157625" w14:textId="77777777" w:rsidR="00171824" w:rsidRDefault="00171824">
      <w:pPr>
        <w:widowControl/>
        <w:tabs>
          <w:tab w:val="left" w:pos="567"/>
        </w:tabs>
        <w:autoSpaceDE/>
        <w:autoSpaceDN/>
        <w:adjustRightInd/>
        <w:rPr>
          <w:rFonts w:eastAsia="PMingLiU"/>
          <w:i/>
          <w:sz w:val="22"/>
          <w:szCs w:val="22"/>
          <w:lang w:val="el-GR"/>
        </w:rPr>
      </w:pPr>
    </w:p>
    <w:p w14:paraId="28625989" w14:textId="77777777" w:rsidR="00171824" w:rsidRDefault="00171824">
      <w:pPr>
        <w:widowControl/>
        <w:tabs>
          <w:tab w:val="left" w:pos="567"/>
        </w:tabs>
        <w:autoSpaceDE/>
        <w:autoSpaceDN/>
        <w:adjustRightInd/>
        <w:rPr>
          <w:rFonts w:eastAsia="PMingLiU"/>
          <w:sz w:val="22"/>
          <w:szCs w:val="22"/>
          <w:lang w:val="el-GR"/>
        </w:rPr>
      </w:pPr>
    </w:p>
    <w:p w14:paraId="6011AC6B"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211061EF" w14:textId="77777777" w:rsidR="00171824" w:rsidRDefault="00171824">
      <w:pPr>
        <w:widowControl/>
        <w:tabs>
          <w:tab w:val="left" w:pos="567"/>
        </w:tabs>
        <w:autoSpaceDE/>
        <w:autoSpaceDN/>
        <w:adjustRightInd/>
        <w:rPr>
          <w:rFonts w:eastAsia="PMingLiU"/>
          <w:sz w:val="22"/>
          <w:szCs w:val="22"/>
          <w:lang w:val="el-GR"/>
        </w:rPr>
      </w:pPr>
    </w:p>
    <w:p w14:paraId="0C89D83B" w14:textId="77777777" w:rsidR="00171824" w:rsidRDefault="00171824">
      <w:pPr>
        <w:widowControl/>
        <w:tabs>
          <w:tab w:val="left" w:pos="567"/>
        </w:tabs>
        <w:autoSpaceDE/>
        <w:autoSpaceDN/>
        <w:adjustRightInd/>
        <w:rPr>
          <w:rFonts w:eastAsia="PMingLiU"/>
          <w:sz w:val="22"/>
          <w:szCs w:val="22"/>
          <w:lang w:val="el-GR"/>
        </w:rPr>
      </w:pPr>
    </w:p>
    <w:p w14:paraId="1F391113"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6B50BDDF" w14:textId="77777777" w:rsidR="00171824" w:rsidRDefault="00171824">
      <w:pPr>
        <w:widowControl/>
        <w:tabs>
          <w:tab w:val="left" w:pos="567"/>
        </w:tabs>
        <w:autoSpaceDE/>
        <w:autoSpaceDN/>
        <w:adjustRightInd/>
        <w:rPr>
          <w:rFonts w:eastAsia="PMingLiU"/>
          <w:sz w:val="22"/>
          <w:szCs w:val="20"/>
          <w:lang w:val="el-GR"/>
        </w:rPr>
      </w:pPr>
    </w:p>
    <w:p w14:paraId="13910827"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AMGEVITA 80 mg/0,8 ml σύριγγα</w:t>
      </w:r>
    </w:p>
    <w:p w14:paraId="3DF288A0"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1C702E68"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16B0FBD0"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ind w:left="567" w:hanging="567"/>
        <w:rPr>
          <w:rFonts w:eastAsia="Arial Unicode MS" w:cs="Arial Unicode MS"/>
          <w:b/>
          <w:sz w:val="22"/>
          <w:szCs w:val="22"/>
          <w:lang w:val="el-GR" w:bidi="en-US"/>
        </w:rPr>
      </w:pPr>
      <w:r>
        <w:rPr>
          <w:rFonts w:eastAsia="Arial Unicode MS" w:cs="Arial Unicode MS"/>
          <w:b/>
          <w:sz w:val="22"/>
          <w:szCs w:val="22"/>
          <w:lang w:val="el-GR" w:bidi="en-US"/>
        </w:rPr>
        <w:t>17.</w:t>
      </w:r>
      <w:r>
        <w:rPr>
          <w:rFonts w:eastAsia="Arial Unicode MS" w:cs="Arial Unicode MS"/>
          <w:b/>
          <w:sz w:val="22"/>
          <w:szCs w:val="22"/>
          <w:lang w:val="el-GR" w:bidi="en-US"/>
        </w:rPr>
        <w:tab/>
        <w:t>ΜΟΝΑΔΙΚΟΣ ΑΝΑΓΝΩΡΙΣΤΙΚΟΣ ΚΩΔΙΚΟΣ – ΔΙΣΔΙΑΣΤΑΤΟΣ ΓΡΑΜΜΩΤΟΣ ΚΩΔΙΚΑΣ (2D)</w:t>
      </w:r>
    </w:p>
    <w:p w14:paraId="1EB91E9A"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3ED7AAB9"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72BD5E8F"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ind w:left="567" w:hanging="567"/>
        <w:rPr>
          <w:rFonts w:eastAsia="Arial Unicode MS" w:cs="Arial Unicode MS"/>
          <w:b/>
          <w:sz w:val="22"/>
          <w:szCs w:val="22"/>
          <w:lang w:val="el-GR" w:bidi="en-US"/>
        </w:rPr>
      </w:pPr>
      <w:r>
        <w:rPr>
          <w:rFonts w:eastAsia="Arial Unicode MS" w:cs="Arial Unicode MS"/>
          <w:b/>
          <w:sz w:val="22"/>
          <w:szCs w:val="22"/>
          <w:lang w:val="el-GR" w:bidi="en-US"/>
        </w:rPr>
        <w:t>18.</w:t>
      </w:r>
      <w:r>
        <w:rPr>
          <w:rFonts w:eastAsia="Arial Unicode MS" w:cs="Arial Unicode MS"/>
          <w:b/>
          <w:sz w:val="22"/>
          <w:szCs w:val="22"/>
          <w:lang w:val="el-GR" w:bidi="en-US"/>
        </w:rPr>
        <w:tab/>
        <w:t>ΜΟΝΑΔΙΚΟΣ ΑΝΑΓΝΩΡΙΣΤΙΚΟΣ ΚΩΔΙΚΟΣ - ΔΕΔΟΜΕΝΑ ΑΝΑΓΝΩΣΙΜΑ ΑΠΟ ΤΟΝ ΑΝΘΡΩΠΟ</w:t>
      </w:r>
    </w:p>
    <w:p w14:paraId="65E18E9B"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1928B77D"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4A13EE75"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79AFD33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ΕΛΑΧΙΣΤΕΣ ΕΝΔΕΙ ΞΕΙΣ ΠΟΥ ΠΡΕΠΕΙ ΝΑ ΑΝΑΓΡΑΦΟΝΤΑΙ ΣΤΙΣ ΜΙΚΡΕΣ ΣΤΟΙΧΕΙΩΔΕΙΣ ΣΥΣΚΕΥΑΣΙΕΣ</w:t>
      </w:r>
    </w:p>
    <w:p w14:paraId="6948026F"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rPr>
      </w:pPr>
    </w:p>
    <w:p w14:paraId="0A92418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t>ΕΠΙΣΗΜΑΝΣΗ ΣΥΡΙΓΓΑΣ</w:t>
      </w:r>
    </w:p>
    <w:p w14:paraId="27E9A746" w14:textId="77777777" w:rsidR="00171824" w:rsidRDefault="00171824">
      <w:pPr>
        <w:widowControl/>
        <w:tabs>
          <w:tab w:val="left" w:pos="567"/>
        </w:tabs>
        <w:autoSpaceDE/>
        <w:autoSpaceDN/>
        <w:adjustRightInd/>
        <w:rPr>
          <w:rFonts w:eastAsia="PMingLiU"/>
          <w:sz w:val="22"/>
          <w:szCs w:val="22"/>
          <w:lang w:val="el-GR"/>
        </w:rPr>
      </w:pPr>
    </w:p>
    <w:p w14:paraId="49C2F53B" w14:textId="77777777" w:rsidR="00171824" w:rsidRDefault="00171824">
      <w:pPr>
        <w:widowControl/>
        <w:tabs>
          <w:tab w:val="left" w:pos="567"/>
        </w:tabs>
        <w:autoSpaceDE/>
        <w:autoSpaceDN/>
        <w:adjustRightInd/>
        <w:rPr>
          <w:rFonts w:eastAsia="PMingLiU"/>
          <w:sz w:val="22"/>
          <w:szCs w:val="22"/>
          <w:lang w:val="el-GR"/>
        </w:rPr>
      </w:pPr>
    </w:p>
    <w:p w14:paraId="5746B93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w:t>
      </w:r>
      <w:r>
        <w:rPr>
          <w:rFonts w:eastAsia="Arial Unicode MS" w:cs="Arial Unicode MS"/>
          <w:b/>
          <w:sz w:val="22"/>
          <w:szCs w:val="22"/>
          <w:lang w:val="el-GR" w:bidi="en-US"/>
        </w:rPr>
        <w:tab/>
        <w:t>ΟΝΟΜΑΣΙΑ ΤΟΥ ΦΑΡΜΑΚΕΥΤΙΚΟΥ ΠΡΟΪΟΝΤΟΣ ΚΑΙ ΟΔΟΣ(ΟΙ) ΧΟΡΗΓΗΣΗΣ</w:t>
      </w:r>
    </w:p>
    <w:p w14:paraId="4F3D4D13" w14:textId="77777777" w:rsidR="00171824" w:rsidRDefault="00171824">
      <w:pPr>
        <w:widowControl/>
        <w:tabs>
          <w:tab w:val="left" w:pos="567"/>
        </w:tabs>
        <w:autoSpaceDE/>
        <w:autoSpaceDN/>
        <w:adjustRightInd/>
        <w:ind w:left="567" w:hanging="567"/>
        <w:rPr>
          <w:rFonts w:eastAsia="PMingLiU"/>
          <w:sz w:val="22"/>
          <w:szCs w:val="22"/>
          <w:lang w:val="el-GR"/>
        </w:rPr>
      </w:pPr>
    </w:p>
    <w:p w14:paraId="7DC2ABAA"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80 mg ένεση</w:t>
      </w:r>
    </w:p>
    <w:p w14:paraId="304089D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36F4413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Υποδόρια</w:t>
      </w:r>
    </w:p>
    <w:p w14:paraId="537795FA" w14:textId="77777777" w:rsidR="00171824" w:rsidRDefault="00171824">
      <w:pPr>
        <w:widowControl/>
        <w:tabs>
          <w:tab w:val="left" w:pos="567"/>
        </w:tabs>
        <w:autoSpaceDE/>
        <w:autoSpaceDN/>
        <w:adjustRightInd/>
        <w:rPr>
          <w:rFonts w:eastAsia="PMingLiU"/>
          <w:sz w:val="22"/>
          <w:szCs w:val="22"/>
          <w:lang w:val="el-GR"/>
        </w:rPr>
      </w:pPr>
    </w:p>
    <w:p w14:paraId="2DC18957" w14:textId="77777777" w:rsidR="00171824" w:rsidRDefault="00171824">
      <w:pPr>
        <w:widowControl/>
        <w:tabs>
          <w:tab w:val="left" w:pos="567"/>
        </w:tabs>
        <w:autoSpaceDE/>
        <w:autoSpaceDN/>
        <w:adjustRightInd/>
        <w:rPr>
          <w:rFonts w:eastAsia="PMingLiU"/>
          <w:sz w:val="22"/>
          <w:szCs w:val="22"/>
          <w:lang w:val="el-GR"/>
        </w:rPr>
      </w:pPr>
    </w:p>
    <w:p w14:paraId="74BE893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ΤΡΟΠΟΣ ΧΟΡΗΓΗΣΗΣ</w:t>
      </w:r>
    </w:p>
    <w:p w14:paraId="4CA24504" w14:textId="77777777" w:rsidR="00171824" w:rsidRDefault="00171824">
      <w:pPr>
        <w:widowControl/>
        <w:tabs>
          <w:tab w:val="left" w:pos="567"/>
        </w:tabs>
        <w:autoSpaceDE/>
        <w:autoSpaceDN/>
        <w:adjustRightInd/>
        <w:rPr>
          <w:rFonts w:eastAsia="PMingLiU"/>
          <w:sz w:val="22"/>
          <w:szCs w:val="22"/>
          <w:lang w:val="el-GR"/>
        </w:rPr>
      </w:pPr>
    </w:p>
    <w:p w14:paraId="083E7C0E" w14:textId="77777777" w:rsidR="00171824" w:rsidRDefault="00171824">
      <w:pPr>
        <w:widowControl/>
        <w:tabs>
          <w:tab w:val="left" w:pos="567"/>
        </w:tabs>
        <w:autoSpaceDE/>
        <w:autoSpaceDN/>
        <w:adjustRightInd/>
        <w:rPr>
          <w:rFonts w:eastAsia="PMingLiU"/>
          <w:sz w:val="22"/>
          <w:szCs w:val="22"/>
          <w:lang w:val="el-GR"/>
        </w:rPr>
      </w:pPr>
    </w:p>
    <w:p w14:paraId="6029D12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ΗΜΕΡΟΜΗΝΙΑ ΛΗΞΗΣ</w:t>
      </w:r>
    </w:p>
    <w:p w14:paraId="3F494ACA" w14:textId="77777777" w:rsidR="00171824" w:rsidRDefault="00171824">
      <w:pPr>
        <w:widowControl/>
        <w:tabs>
          <w:tab w:val="left" w:pos="567"/>
        </w:tabs>
        <w:autoSpaceDE/>
        <w:autoSpaceDN/>
        <w:adjustRightInd/>
        <w:rPr>
          <w:rFonts w:eastAsia="PMingLiU"/>
          <w:sz w:val="22"/>
          <w:szCs w:val="20"/>
          <w:lang w:val="el-GR"/>
        </w:rPr>
      </w:pPr>
    </w:p>
    <w:p w14:paraId="79C6F2C2"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 xml:space="preserve">EXP </w:t>
      </w:r>
    </w:p>
    <w:p w14:paraId="605BF256" w14:textId="77777777" w:rsidR="00171824" w:rsidRDefault="00171824">
      <w:pPr>
        <w:widowControl/>
        <w:tabs>
          <w:tab w:val="left" w:pos="567"/>
        </w:tabs>
        <w:autoSpaceDE/>
        <w:autoSpaceDN/>
        <w:adjustRightInd/>
        <w:rPr>
          <w:rFonts w:eastAsia="PMingLiU"/>
          <w:sz w:val="22"/>
          <w:szCs w:val="20"/>
          <w:lang w:val="el-GR"/>
        </w:rPr>
      </w:pPr>
    </w:p>
    <w:p w14:paraId="426CC2CE" w14:textId="77777777" w:rsidR="00171824" w:rsidRDefault="00171824">
      <w:pPr>
        <w:widowControl/>
        <w:tabs>
          <w:tab w:val="left" w:pos="567"/>
        </w:tabs>
        <w:autoSpaceDE/>
        <w:autoSpaceDN/>
        <w:adjustRightInd/>
        <w:rPr>
          <w:rFonts w:eastAsia="PMingLiU"/>
          <w:sz w:val="22"/>
          <w:szCs w:val="20"/>
          <w:lang w:val="el-GR"/>
        </w:rPr>
      </w:pPr>
    </w:p>
    <w:p w14:paraId="617A327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0"/>
          <w:lang w:val="el-GR" w:bidi="en-US"/>
        </w:rPr>
      </w:pPr>
      <w:r>
        <w:rPr>
          <w:rFonts w:eastAsia="Arial Unicode MS" w:cs="Arial Unicode MS"/>
          <w:b/>
          <w:sz w:val="22"/>
          <w:szCs w:val="20"/>
          <w:lang w:val="el-GR" w:bidi="en-US"/>
        </w:rPr>
        <w:t>4.</w:t>
      </w:r>
      <w:r>
        <w:rPr>
          <w:rFonts w:eastAsia="Arial Unicode MS" w:cs="Arial Unicode MS"/>
          <w:b/>
          <w:sz w:val="22"/>
          <w:szCs w:val="20"/>
          <w:lang w:val="el-GR" w:bidi="en-US"/>
        </w:rPr>
        <w:tab/>
        <w:t xml:space="preserve">ΑΡΙΘΜΟΣ ΠΑΡΤΙΔΑΣ </w:t>
      </w:r>
    </w:p>
    <w:p w14:paraId="27EE48E9" w14:textId="77777777" w:rsidR="00171824" w:rsidRDefault="00171824">
      <w:pPr>
        <w:widowControl/>
        <w:tabs>
          <w:tab w:val="left" w:pos="567"/>
        </w:tabs>
        <w:autoSpaceDE/>
        <w:autoSpaceDN/>
        <w:adjustRightInd/>
        <w:ind w:right="113"/>
        <w:rPr>
          <w:rFonts w:eastAsia="PMingLiU"/>
          <w:sz w:val="22"/>
          <w:szCs w:val="20"/>
          <w:lang w:val="el-GR"/>
        </w:rPr>
      </w:pPr>
    </w:p>
    <w:p w14:paraId="7B6FD208" w14:textId="77777777" w:rsidR="00171824" w:rsidRDefault="006D258C">
      <w:pPr>
        <w:widowControl/>
        <w:tabs>
          <w:tab w:val="left" w:pos="567"/>
        </w:tabs>
        <w:autoSpaceDE/>
        <w:autoSpaceDN/>
        <w:adjustRightInd/>
        <w:ind w:right="113"/>
        <w:rPr>
          <w:rFonts w:eastAsia="PMingLiU"/>
          <w:sz w:val="22"/>
          <w:szCs w:val="20"/>
          <w:lang w:val="el-GR" w:bidi="en-US"/>
        </w:rPr>
      </w:pPr>
      <w:r>
        <w:rPr>
          <w:rFonts w:eastAsia="Arial Unicode MS" w:cs="Arial Unicode MS"/>
          <w:sz w:val="22"/>
          <w:szCs w:val="20"/>
          <w:lang w:val="el-GR" w:bidi="en-US"/>
        </w:rPr>
        <w:t>Lot</w:t>
      </w:r>
    </w:p>
    <w:p w14:paraId="0BD97060" w14:textId="77777777" w:rsidR="00171824" w:rsidRDefault="00171824">
      <w:pPr>
        <w:widowControl/>
        <w:tabs>
          <w:tab w:val="left" w:pos="567"/>
        </w:tabs>
        <w:autoSpaceDE/>
        <w:autoSpaceDN/>
        <w:adjustRightInd/>
        <w:ind w:right="113"/>
        <w:rPr>
          <w:rFonts w:eastAsia="PMingLiU"/>
          <w:sz w:val="22"/>
          <w:szCs w:val="20"/>
          <w:lang w:val="el-GR"/>
        </w:rPr>
      </w:pPr>
    </w:p>
    <w:p w14:paraId="2FB8C2E8" w14:textId="77777777" w:rsidR="00171824" w:rsidRDefault="00171824">
      <w:pPr>
        <w:widowControl/>
        <w:tabs>
          <w:tab w:val="left" w:pos="567"/>
        </w:tabs>
        <w:autoSpaceDE/>
        <w:autoSpaceDN/>
        <w:adjustRightInd/>
        <w:ind w:right="113"/>
        <w:rPr>
          <w:rFonts w:eastAsia="PMingLiU"/>
          <w:sz w:val="22"/>
          <w:szCs w:val="20"/>
          <w:lang w:val="el-GR"/>
        </w:rPr>
      </w:pPr>
    </w:p>
    <w:p w14:paraId="5E1A025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ΠΕΡΙΕΧΟΜΕΝΟ ΚΑΤΑ ΒΑΡΟΣ, ΚΑΤ' ΟΓΚΟ Ή ΚΑΤΑ ΜΟΝΑΔΑ</w:t>
      </w:r>
    </w:p>
    <w:p w14:paraId="26D7B492" w14:textId="77777777" w:rsidR="00171824" w:rsidRDefault="00171824">
      <w:pPr>
        <w:widowControl/>
        <w:tabs>
          <w:tab w:val="left" w:pos="567"/>
        </w:tabs>
        <w:autoSpaceDE/>
        <w:autoSpaceDN/>
        <w:adjustRightInd/>
        <w:ind w:right="113"/>
        <w:rPr>
          <w:rFonts w:eastAsia="PMingLiU"/>
          <w:sz w:val="22"/>
          <w:szCs w:val="22"/>
          <w:lang w:val="el-GR"/>
        </w:rPr>
      </w:pPr>
    </w:p>
    <w:p w14:paraId="3C370208" w14:textId="77777777" w:rsidR="00171824" w:rsidRDefault="006D258C">
      <w:pPr>
        <w:widowControl/>
        <w:tabs>
          <w:tab w:val="left" w:pos="567"/>
        </w:tabs>
        <w:autoSpaceDE/>
        <w:autoSpaceDN/>
        <w:adjustRightInd/>
        <w:ind w:right="113"/>
        <w:rPr>
          <w:rFonts w:eastAsia="PMingLiU"/>
          <w:sz w:val="22"/>
          <w:szCs w:val="22"/>
          <w:lang w:val="el-GR" w:bidi="en-US"/>
        </w:rPr>
      </w:pPr>
      <w:r>
        <w:rPr>
          <w:rFonts w:eastAsia="Arial Unicode MS" w:cs="Arial Unicode MS"/>
          <w:sz w:val="22"/>
          <w:szCs w:val="22"/>
          <w:lang w:val="el-GR" w:bidi="en-US"/>
        </w:rPr>
        <w:t>0,8 ml</w:t>
      </w:r>
    </w:p>
    <w:p w14:paraId="2555C134" w14:textId="77777777" w:rsidR="00171824" w:rsidRDefault="00171824">
      <w:pPr>
        <w:widowControl/>
        <w:tabs>
          <w:tab w:val="left" w:pos="567"/>
        </w:tabs>
        <w:autoSpaceDE/>
        <w:autoSpaceDN/>
        <w:adjustRightInd/>
        <w:ind w:right="113"/>
        <w:rPr>
          <w:rFonts w:eastAsia="PMingLiU"/>
          <w:sz w:val="22"/>
          <w:szCs w:val="22"/>
          <w:lang w:val="el-GR"/>
        </w:rPr>
      </w:pPr>
    </w:p>
    <w:p w14:paraId="65E1A8A0" w14:textId="77777777" w:rsidR="00171824" w:rsidRDefault="00171824">
      <w:pPr>
        <w:widowControl/>
        <w:tabs>
          <w:tab w:val="left" w:pos="567"/>
        </w:tabs>
        <w:autoSpaceDE/>
        <w:autoSpaceDN/>
        <w:adjustRightInd/>
        <w:ind w:right="113"/>
        <w:rPr>
          <w:rFonts w:eastAsia="PMingLiU"/>
          <w:sz w:val="22"/>
          <w:szCs w:val="22"/>
          <w:lang w:val="el-GR"/>
        </w:rPr>
      </w:pPr>
    </w:p>
    <w:p w14:paraId="1D0EFFE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ΑΛΛΑ ΣΤΟΙΧΕΙΑ</w:t>
      </w:r>
    </w:p>
    <w:p w14:paraId="637D2653" w14:textId="77777777" w:rsidR="00171824" w:rsidRDefault="00171824">
      <w:pPr>
        <w:widowControl/>
        <w:tabs>
          <w:tab w:val="left" w:pos="567"/>
        </w:tabs>
        <w:autoSpaceDE/>
        <w:autoSpaceDN/>
        <w:adjustRightInd/>
        <w:ind w:right="113"/>
        <w:rPr>
          <w:rFonts w:eastAsia="PMingLiU"/>
          <w:sz w:val="22"/>
          <w:szCs w:val="22"/>
          <w:lang w:val="el-GR"/>
        </w:rPr>
      </w:pPr>
    </w:p>
    <w:p w14:paraId="53342853" w14:textId="77777777" w:rsidR="00171824" w:rsidRDefault="00171824">
      <w:pPr>
        <w:widowControl/>
        <w:tabs>
          <w:tab w:val="left" w:pos="567"/>
        </w:tabs>
        <w:autoSpaceDE/>
        <w:autoSpaceDN/>
        <w:adjustRightInd/>
        <w:ind w:right="113"/>
        <w:rPr>
          <w:rFonts w:eastAsia="PMingLiU"/>
          <w:sz w:val="22"/>
          <w:szCs w:val="20"/>
          <w:lang w:val="el-GR"/>
        </w:rPr>
      </w:pPr>
    </w:p>
    <w:p w14:paraId="12FBE0C1" w14:textId="77777777" w:rsidR="00171824" w:rsidRDefault="006D258C">
      <w:pPr>
        <w:widowControl/>
        <w:shd w:val="clear" w:color="auto" w:fill="FFFFFF"/>
        <w:tabs>
          <w:tab w:val="left" w:pos="567"/>
        </w:tabs>
        <w:autoSpaceDE/>
        <w:autoSpaceDN/>
        <w:adjustRightInd/>
        <w:rPr>
          <w:rFonts w:eastAsia="PMingLiU"/>
          <w:sz w:val="22"/>
          <w:szCs w:val="22"/>
          <w:lang w:val="el-GR" w:bidi="en-US"/>
        </w:rPr>
      </w:pPr>
      <w:r>
        <w:rPr>
          <w:rFonts w:ascii="Arial" w:eastAsia="Arial Unicode MS" w:hAnsi="Arial" w:cs="Arial Unicode MS"/>
          <w:color w:val="000000"/>
          <w:sz w:val="22"/>
          <w:lang w:val="el-GR" w:bidi="en-US"/>
        </w:rPr>
        <w:br w:type="page"/>
      </w:r>
    </w:p>
    <w:p w14:paraId="63EA157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26466FC4"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773A7D8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ΚΟΥΤΙ ΠΡΟΓΕΜΙΣΜΕΝΗΣ ΣΥΣΚΕΥΗΣ ΤΥΠΟΥ ΠΕΝΑΣ</w:t>
      </w:r>
    </w:p>
    <w:p w14:paraId="19EDACC3" w14:textId="77777777" w:rsidR="00171824" w:rsidRDefault="00171824">
      <w:pPr>
        <w:widowControl/>
        <w:tabs>
          <w:tab w:val="left" w:pos="567"/>
        </w:tabs>
        <w:autoSpaceDE/>
        <w:autoSpaceDN/>
        <w:adjustRightInd/>
        <w:rPr>
          <w:rFonts w:eastAsia="PMingLiU"/>
          <w:sz w:val="22"/>
          <w:szCs w:val="20"/>
          <w:lang w:val="el-GR"/>
        </w:rPr>
      </w:pPr>
    </w:p>
    <w:p w14:paraId="4E0961B9" w14:textId="77777777" w:rsidR="00171824" w:rsidRDefault="00171824">
      <w:pPr>
        <w:widowControl/>
        <w:tabs>
          <w:tab w:val="left" w:pos="567"/>
        </w:tabs>
        <w:autoSpaceDE/>
        <w:autoSpaceDN/>
        <w:adjustRightInd/>
        <w:rPr>
          <w:rFonts w:eastAsia="PMingLiU"/>
          <w:sz w:val="22"/>
          <w:szCs w:val="22"/>
          <w:lang w:val="el-GR"/>
        </w:rPr>
      </w:pPr>
    </w:p>
    <w:p w14:paraId="58F6C87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0E75DB19" w14:textId="77777777" w:rsidR="00171824" w:rsidRDefault="00171824">
      <w:pPr>
        <w:widowControl/>
        <w:tabs>
          <w:tab w:val="left" w:pos="567"/>
        </w:tabs>
        <w:autoSpaceDE/>
        <w:autoSpaceDN/>
        <w:adjustRightInd/>
        <w:rPr>
          <w:rFonts w:eastAsia="PMingLiU"/>
          <w:sz w:val="22"/>
          <w:szCs w:val="22"/>
          <w:lang w:val="el-GR"/>
        </w:rPr>
      </w:pPr>
    </w:p>
    <w:p w14:paraId="5A62FB5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80 mg ενέσιμο διάλυμα σε προγεμισμένη συσκευή τύπου πένας</w:t>
      </w:r>
    </w:p>
    <w:p w14:paraId="2251075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1994043B" w14:textId="77777777" w:rsidR="00171824" w:rsidRDefault="00171824">
      <w:pPr>
        <w:widowControl/>
        <w:tabs>
          <w:tab w:val="left" w:pos="567"/>
        </w:tabs>
        <w:autoSpaceDE/>
        <w:autoSpaceDN/>
        <w:adjustRightInd/>
        <w:rPr>
          <w:rFonts w:eastAsia="PMingLiU"/>
          <w:sz w:val="22"/>
          <w:szCs w:val="22"/>
          <w:lang w:val="el-GR"/>
        </w:rPr>
      </w:pPr>
    </w:p>
    <w:p w14:paraId="5E72FA90" w14:textId="77777777" w:rsidR="00171824" w:rsidRDefault="00171824">
      <w:pPr>
        <w:widowControl/>
        <w:tabs>
          <w:tab w:val="left" w:pos="567"/>
        </w:tabs>
        <w:autoSpaceDE/>
        <w:autoSpaceDN/>
        <w:adjustRightInd/>
        <w:rPr>
          <w:rFonts w:eastAsia="PMingLiU"/>
          <w:sz w:val="22"/>
          <w:szCs w:val="22"/>
          <w:lang w:val="el-GR"/>
        </w:rPr>
      </w:pPr>
    </w:p>
    <w:p w14:paraId="7C0349D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2533B929" w14:textId="77777777" w:rsidR="00171824" w:rsidRDefault="00171824">
      <w:pPr>
        <w:widowControl/>
        <w:tabs>
          <w:tab w:val="left" w:pos="567"/>
        </w:tabs>
        <w:autoSpaceDE/>
        <w:autoSpaceDN/>
        <w:adjustRightInd/>
        <w:rPr>
          <w:rFonts w:eastAsia="PMingLiU"/>
          <w:sz w:val="22"/>
          <w:szCs w:val="22"/>
          <w:lang w:val="el-GR"/>
        </w:rPr>
      </w:pPr>
    </w:p>
    <w:p w14:paraId="4C531277"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80 mg adalimumab σε διάλυμα 0,8 ml.</w:t>
      </w:r>
    </w:p>
    <w:p w14:paraId="29F83E64" w14:textId="77777777" w:rsidR="00171824" w:rsidRDefault="00171824">
      <w:pPr>
        <w:widowControl/>
        <w:tabs>
          <w:tab w:val="left" w:pos="567"/>
        </w:tabs>
        <w:autoSpaceDE/>
        <w:autoSpaceDN/>
        <w:adjustRightInd/>
        <w:rPr>
          <w:rFonts w:eastAsia="PMingLiU"/>
          <w:sz w:val="22"/>
          <w:szCs w:val="22"/>
          <w:lang w:val="el-GR"/>
        </w:rPr>
      </w:pPr>
    </w:p>
    <w:p w14:paraId="337E5008" w14:textId="77777777" w:rsidR="00171824" w:rsidRDefault="00171824">
      <w:pPr>
        <w:widowControl/>
        <w:tabs>
          <w:tab w:val="left" w:pos="567"/>
        </w:tabs>
        <w:autoSpaceDE/>
        <w:autoSpaceDN/>
        <w:adjustRightInd/>
        <w:rPr>
          <w:rFonts w:eastAsia="PMingLiU"/>
          <w:sz w:val="22"/>
          <w:szCs w:val="22"/>
          <w:lang w:val="el-GR"/>
        </w:rPr>
      </w:pPr>
    </w:p>
    <w:p w14:paraId="0FD1043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609CA759" w14:textId="77777777" w:rsidR="00171824" w:rsidRDefault="00171824">
      <w:pPr>
        <w:widowControl/>
        <w:tabs>
          <w:tab w:val="left" w:pos="567"/>
        </w:tabs>
        <w:autoSpaceDE/>
        <w:autoSpaceDN/>
        <w:adjustRightInd/>
        <w:rPr>
          <w:rFonts w:eastAsia="PMingLiU"/>
          <w:sz w:val="22"/>
          <w:szCs w:val="22"/>
          <w:lang w:val="el-GR"/>
        </w:rPr>
      </w:pPr>
    </w:p>
    <w:p w14:paraId="74CCDF97"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L-γαλακτικό οξύ, σακχαρόζη, πολυσορβικό 80, υδροξείδιο του νατρίου και ενέσιμο ύδωρ.</w:t>
      </w:r>
    </w:p>
    <w:p w14:paraId="72AA9106" w14:textId="77777777" w:rsidR="00171824" w:rsidRDefault="00171824">
      <w:pPr>
        <w:widowControl/>
        <w:tabs>
          <w:tab w:val="left" w:pos="567"/>
        </w:tabs>
        <w:autoSpaceDE/>
        <w:autoSpaceDN/>
        <w:adjustRightInd/>
        <w:rPr>
          <w:rFonts w:eastAsia="PMingLiU"/>
          <w:sz w:val="22"/>
          <w:szCs w:val="22"/>
          <w:lang w:val="el-GR"/>
        </w:rPr>
      </w:pPr>
    </w:p>
    <w:p w14:paraId="148A860C" w14:textId="77777777" w:rsidR="00171824" w:rsidRDefault="00171824">
      <w:pPr>
        <w:widowControl/>
        <w:tabs>
          <w:tab w:val="left" w:pos="567"/>
        </w:tabs>
        <w:autoSpaceDE/>
        <w:autoSpaceDN/>
        <w:adjustRightInd/>
        <w:rPr>
          <w:rFonts w:eastAsia="PMingLiU"/>
          <w:sz w:val="22"/>
          <w:szCs w:val="22"/>
          <w:lang w:val="el-GR"/>
        </w:rPr>
      </w:pPr>
    </w:p>
    <w:p w14:paraId="21453F5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789CDE26" w14:textId="77777777" w:rsidR="00171824" w:rsidRDefault="00171824">
      <w:pPr>
        <w:widowControl/>
        <w:tabs>
          <w:tab w:val="left" w:pos="567"/>
        </w:tabs>
        <w:autoSpaceDE/>
        <w:autoSpaceDN/>
        <w:adjustRightInd/>
        <w:rPr>
          <w:rFonts w:eastAsia="PMingLiU"/>
          <w:sz w:val="22"/>
          <w:szCs w:val="22"/>
          <w:lang w:val="el-GR"/>
        </w:rPr>
      </w:pPr>
    </w:p>
    <w:p w14:paraId="3503525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5B79A04D" w14:textId="77777777" w:rsidR="00171824" w:rsidRDefault="006D258C">
      <w:pPr>
        <w:rPr>
          <w:sz w:val="22"/>
          <w:szCs w:val="22"/>
          <w:lang w:val="el-GR"/>
        </w:rPr>
      </w:pPr>
      <w:r>
        <w:rPr>
          <w:sz w:val="22"/>
          <w:szCs w:val="22"/>
          <w:lang w:val="el-GR"/>
        </w:rPr>
        <w:t>80 mg/0,8 ml</w:t>
      </w:r>
    </w:p>
    <w:p w14:paraId="6407909F"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1 προγεμισμένη συσκευή τύπου πένας SureClick.</w:t>
      </w:r>
    </w:p>
    <w:p w14:paraId="11441E1F" w14:textId="77777777" w:rsidR="00171824" w:rsidRDefault="006D258C">
      <w:pPr>
        <w:widowControl/>
        <w:tabs>
          <w:tab w:val="left" w:pos="567"/>
        </w:tabs>
        <w:autoSpaceDE/>
        <w:autoSpaceDN/>
        <w:adjustRightInd/>
        <w:rPr>
          <w:rFonts w:eastAsia="PMingLiU"/>
          <w:sz w:val="22"/>
          <w:szCs w:val="22"/>
          <w:highlight w:val="lightGray"/>
          <w:lang w:val="el-GR" w:bidi="en-US"/>
        </w:rPr>
      </w:pPr>
      <w:r>
        <w:rPr>
          <w:rFonts w:eastAsia="Arial Unicode MS" w:cs="Arial Unicode MS"/>
          <w:sz w:val="22"/>
          <w:szCs w:val="22"/>
          <w:highlight w:val="lightGray"/>
          <w:lang w:val="el-GR" w:bidi="en-US"/>
        </w:rPr>
        <w:t>2 προγεμισμένες συσκευές τύπου πένας SureClick.</w:t>
      </w:r>
    </w:p>
    <w:p w14:paraId="7D44567C" w14:textId="77777777" w:rsidR="00171824" w:rsidRDefault="00171824">
      <w:pPr>
        <w:widowControl/>
        <w:tabs>
          <w:tab w:val="left" w:pos="567"/>
        </w:tabs>
        <w:autoSpaceDE/>
        <w:autoSpaceDN/>
        <w:adjustRightInd/>
        <w:rPr>
          <w:rFonts w:eastAsia="PMingLiU"/>
          <w:sz w:val="22"/>
          <w:szCs w:val="22"/>
          <w:lang w:val="el-GR"/>
        </w:rPr>
      </w:pPr>
    </w:p>
    <w:p w14:paraId="41B6E156" w14:textId="77777777" w:rsidR="00171824" w:rsidRDefault="00171824">
      <w:pPr>
        <w:widowControl/>
        <w:tabs>
          <w:tab w:val="left" w:pos="567"/>
        </w:tabs>
        <w:autoSpaceDE/>
        <w:autoSpaceDN/>
        <w:adjustRightInd/>
        <w:rPr>
          <w:rFonts w:eastAsia="PMingLiU"/>
          <w:sz w:val="22"/>
          <w:szCs w:val="22"/>
          <w:lang w:val="el-GR"/>
        </w:rPr>
      </w:pPr>
    </w:p>
    <w:p w14:paraId="1FEF77B0"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40CF4D70" w14:textId="77777777" w:rsidR="00171824" w:rsidRDefault="00171824">
      <w:pPr>
        <w:widowControl/>
        <w:tabs>
          <w:tab w:val="left" w:pos="567"/>
        </w:tabs>
        <w:autoSpaceDE/>
        <w:autoSpaceDN/>
        <w:adjustRightInd/>
        <w:rPr>
          <w:rFonts w:eastAsia="PMingLiU"/>
          <w:sz w:val="22"/>
          <w:szCs w:val="20"/>
          <w:lang w:val="el-GR"/>
        </w:rPr>
      </w:pPr>
    </w:p>
    <w:p w14:paraId="6BDAABD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3EFFFF86"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7DFA810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0E350971" w14:textId="77777777" w:rsidR="00171824" w:rsidRDefault="00171824">
      <w:pPr>
        <w:widowControl/>
        <w:tabs>
          <w:tab w:val="left" w:pos="567"/>
        </w:tabs>
        <w:autoSpaceDE/>
        <w:autoSpaceDN/>
        <w:adjustRightInd/>
        <w:rPr>
          <w:rFonts w:eastAsia="PMingLiU"/>
          <w:sz w:val="22"/>
          <w:szCs w:val="22"/>
          <w:lang w:val="el-GR"/>
        </w:rPr>
      </w:pPr>
    </w:p>
    <w:p w14:paraId="23B7FF81" w14:textId="77777777" w:rsidR="00171824" w:rsidRDefault="00171824">
      <w:pPr>
        <w:widowControl/>
        <w:tabs>
          <w:tab w:val="left" w:pos="567"/>
        </w:tabs>
        <w:autoSpaceDE/>
        <w:autoSpaceDN/>
        <w:adjustRightInd/>
        <w:rPr>
          <w:rFonts w:eastAsia="PMingLiU"/>
          <w:sz w:val="22"/>
          <w:szCs w:val="22"/>
          <w:lang w:val="el-GR"/>
        </w:rPr>
      </w:pPr>
    </w:p>
    <w:p w14:paraId="64D1CE5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5FE55DE1" w14:textId="77777777" w:rsidR="00171824" w:rsidRDefault="00171824">
      <w:pPr>
        <w:widowControl/>
        <w:tabs>
          <w:tab w:val="left" w:pos="567"/>
        </w:tabs>
        <w:autoSpaceDE/>
        <w:autoSpaceDN/>
        <w:adjustRightInd/>
        <w:rPr>
          <w:rFonts w:eastAsia="PMingLiU"/>
          <w:sz w:val="22"/>
          <w:szCs w:val="22"/>
          <w:lang w:val="el-GR"/>
        </w:rPr>
      </w:pPr>
    </w:p>
    <w:p w14:paraId="7D4F7A1E"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6D0CDAFD" w14:textId="77777777" w:rsidR="00171824" w:rsidRDefault="00171824">
      <w:pPr>
        <w:widowControl/>
        <w:tabs>
          <w:tab w:val="left" w:pos="567"/>
        </w:tabs>
        <w:autoSpaceDE/>
        <w:autoSpaceDN/>
        <w:adjustRightInd/>
        <w:rPr>
          <w:rFonts w:eastAsia="PMingLiU"/>
          <w:sz w:val="22"/>
          <w:szCs w:val="22"/>
          <w:lang w:val="el-GR"/>
        </w:rPr>
      </w:pPr>
    </w:p>
    <w:p w14:paraId="213A1320" w14:textId="77777777" w:rsidR="00171824" w:rsidRDefault="00171824">
      <w:pPr>
        <w:widowControl/>
        <w:tabs>
          <w:tab w:val="left" w:pos="567"/>
        </w:tabs>
        <w:autoSpaceDE/>
        <w:autoSpaceDN/>
        <w:adjustRightInd/>
        <w:rPr>
          <w:rFonts w:eastAsia="PMingLiU"/>
          <w:sz w:val="22"/>
          <w:szCs w:val="22"/>
          <w:lang w:val="el-GR"/>
        </w:rPr>
      </w:pPr>
    </w:p>
    <w:p w14:paraId="4BFC65C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2CDA45A3" w14:textId="77777777" w:rsidR="00171824" w:rsidRDefault="00171824">
      <w:pPr>
        <w:widowControl/>
        <w:tabs>
          <w:tab w:val="left" w:pos="567"/>
        </w:tabs>
        <w:autoSpaceDE/>
        <w:autoSpaceDN/>
        <w:adjustRightInd/>
        <w:rPr>
          <w:rFonts w:eastAsia="PMingLiU"/>
          <w:sz w:val="22"/>
          <w:szCs w:val="22"/>
          <w:lang w:val="el-GR"/>
        </w:rPr>
      </w:pPr>
    </w:p>
    <w:p w14:paraId="4CAE41BA" w14:textId="77777777" w:rsidR="00171824" w:rsidRDefault="00171824">
      <w:pPr>
        <w:widowControl/>
        <w:tabs>
          <w:tab w:val="left" w:pos="567"/>
          <w:tab w:val="left" w:pos="749"/>
        </w:tabs>
        <w:autoSpaceDE/>
        <w:autoSpaceDN/>
        <w:adjustRightInd/>
        <w:rPr>
          <w:rFonts w:eastAsia="PMingLiU"/>
          <w:sz w:val="22"/>
          <w:szCs w:val="20"/>
          <w:lang w:val="el-GR"/>
        </w:rPr>
      </w:pPr>
    </w:p>
    <w:p w14:paraId="541C494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5C34C272" w14:textId="77777777" w:rsidR="00171824" w:rsidRDefault="00171824">
      <w:pPr>
        <w:widowControl/>
        <w:tabs>
          <w:tab w:val="left" w:pos="567"/>
        </w:tabs>
        <w:autoSpaceDE/>
        <w:autoSpaceDN/>
        <w:adjustRightInd/>
        <w:rPr>
          <w:rFonts w:eastAsia="PMingLiU"/>
          <w:sz w:val="22"/>
          <w:szCs w:val="20"/>
          <w:lang w:val="el-GR"/>
        </w:rPr>
      </w:pPr>
    </w:p>
    <w:p w14:paraId="6F14877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019D202C" w14:textId="77777777" w:rsidR="00171824" w:rsidRDefault="00171824">
      <w:pPr>
        <w:widowControl/>
        <w:tabs>
          <w:tab w:val="left" w:pos="567"/>
        </w:tabs>
        <w:autoSpaceDE/>
        <w:autoSpaceDN/>
        <w:adjustRightInd/>
        <w:rPr>
          <w:rFonts w:eastAsia="PMingLiU"/>
          <w:sz w:val="22"/>
          <w:szCs w:val="22"/>
          <w:lang w:val="el-GR"/>
        </w:rPr>
      </w:pPr>
    </w:p>
    <w:p w14:paraId="03E7DFED" w14:textId="77777777" w:rsidR="00171824" w:rsidRDefault="00171824">
      <w:pPr>
        <w:widowControl/>
        <w:tabs>
          <w:tab w:val="left" w:pos="567"/>
        </w:tabs>
        <w:autoSpaceDE/>
        <w:autoSpaceDN/>
        <w:adjustRightInd/>
        <w:rPr>
          <w:rFonts w:eastAsia="PMingLiU"/>
          <w:sz w:val="22"/>
          <w:szCs w:val="22"/>
          <w:lang w:val="el-GR"/>
        </w:rPr>
      </w:pPr>
    </w:p>
    <w:p w14:paraId="71863374"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4470E2DB" w14:textId="77777777" w:rsidR="00171824" w:rsidRDefault="00171824">
      <w:pPr>
        <w:keepNext/>
        <w:widowControl/>
        <w:tabs>
          <w:tab w:val="left" w:pos="567"/>
        </w:tabs>
        <w:autoSpaceDE/>
        <w:autoSpaceDN/>
        <w:adjustRightInd/>
        <w:rPr>
          <w:rFonts w:eastAsia="PMingLiU"/>
          <w:sz w:val="22"/>
          <w:szCs w:val="22"/>
          <w:lang w:val="el-GR"/>
        </w:rPr>
      </w:pPr>
    </w:p>
    <w:p w14:paraId="39BBD3EF"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75BE52A2"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Μην καταψύχετε.</w:t>
      </w:r>
    </w:p>
    <w:p w14:paraId="217516C0" w14:textId="77777777" w:rsidR="00171824" w:rsidRDefault="006D258C">
      <w:pPr>
        <w:keepNext/>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23F68E02" w14:textId="77777777" w:rsidR="00171824" w:rsidRDefault="00171824">
      <w:pPr>
        <w:widowControl/>
        <w:tabs>
          <w:tab w:val="left" w:pos="567"/>
        </w:tabs>
        <w:autoSpaceDE/>
        <w:autoSpaceDN/>
        <w:adjustRightInd/>
        <w:rPr>
          <w:rFonts w:eastAsia="SimSun"/>
          <w:sz w:val="22"/>
          <w:szCs w:val="22"/>
          <w:lang w:val="el-GR" w:eastAsia="en-GB"/>
        </w:rPr>
      </w:pPr>
    </w:p>
    <w:p w14:paraId="44B2966D" w14:textId="77777777" w:rsidR="00171824" w:rsidRDefault="00171824">
      <w:pPr>
        <w:widowControl/>
        <w:tabs>
          <w:tab w:val="left" w:pos="567"/>
        </w:tabs>
        <w:autoSpaceDE/>
        <w:autoSpaceDN/>
        <w:adjustRightInd/>
        <w:rPr>
          <w:rFonts w:eastAsia="SimSun"/>
          <w:sz w:val="22"/>
          <w:szCs w:val="22"/>
          <w:lang w:val="el-GR" w:eastAsia="en-GB"/>
        </w:rPr>
      </w:pPr>
    </w:p>
    <w:p w14:paraId="1241BA2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7E901D5F" w14:textId="77777777" w:rsidR="00171824" w:rsidRDefault="00171824">
      <w:pPr>
        <w:widowControl/>
        <w:tabs>
          <w:tab w:val="left" w:pos="567"/>
        </w:tabs>
        <w:autoSpaceDE/>
        <w:autoSpaceDN/>
        <w:adjustRightInd/>
        <w:rPr>
          <w:rFonts w:eastAsia="PMingLiU"/>
          <w:sz w:val="22"/>
          <w:szCs w:val="22"/>
          <w:lang w:val="el-GR"/>
        </w:rPr>
      </w:pPr>
    </w:p>
    <w:p w14:paraId="79C3BB39" w14:textId="77777777" w:rsidR="00171824" w:rsidRDefault="00171824">
      <w:pPr>
        <w:widowControl/>
        <w:tabs>
          <w:tab w:val="left" w:pos="567"/>
        </w:tabs>
        <w:autoSpaceDE/>
        <w:autoSpaceDN/>
        <w:adjustRightInd/>
        <w:rPr>
          <w:rFonts w:eastAsia="PMingLiU"/>
          <w:sz w:val="22"/>
          <w:szCs w:val="22"/>
          <w:lang w:val="el-GR"/>
        </w:rPr>
      </w:pPr>
    </w:p>
    <w:p w14:paraId="64F2615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418CDBCF" w14:textId="77777777" w:rsidR="00171824" w:rsidRDefault="00171824">
      <w:pPr>
        <w:widowControl/>
        <w:tabs>
          <w:tab w:val="left" w:pos="567"/>
        </w:tabs>
        <w:autoSpaceDE/>
        <w:autoSpaceDN/>
        <w:adjustRightInd/>
        <w:rPr>
          <w:rFonts w:eastAsia="PMingLiU"/>
          <w:sz w:val="22"/>
          <w:szCs w:val="22"/>
          <w:lang w:val="el-GR"/>
        </w:rPr>
      </w:pPr>
    </w:p>
    <w:p w14:paraId="53D97D8C"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59B24C88"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282EF418"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2C570BC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226B503F" w14:textId="77777777" w:rsidR="00171824" w:rsidRDefault="00171824">
      <w:pPr>
        <w:widowControl/>
        <w:tabs>
          <w:tab w:val="left" w:pos="567"/>
        </w:tabs>
        <w:autoSpaceDE/>
        <w:autoSpaceDN/>
        <w:adjustRightInd/>
        <w:rPr>
          <w:rFonts w:eastAsia="PMingLiU"/>
          <w:sz w:val="22"/>
          <w:szCs w:val="22"/>
          <w:lang w:val="el-GR"/>
        </w:rPr>
      </w:pPr>
    </w:p>
    <w:p w14:paraId="09F245E6" w14:textId="77777777" w:rsidR="00171824" w:rsidRDefault="00171824">
      <w:pPr>
        <w:widowControl/>
        <w:tabs>
          <w:tab w:val="left" w:pos="567"/>
        </w:tabs>
        <w:autoSpaceDE/>
        <w:autoSpaceDN/>
        <w:adjustRightInd/>
        <w:rPr>
          <w:rFonts w:eastAsia="PMingLiU"/>
          <w:sz w:val="22"/>
          <w:szCs w:val="22"/>
          <w:lang w:val="el-GR"/>
        </w:rPr>
      </w:pPr>
    </w:p>
    <w:p w14:paraId="2E70473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24681D4F" w14:textId="77777777" w:rsidR="00171824" w:rsidRDefault="00171824">
      <w:pPr>
        <w:widowControl/>
        <w:tabs>
          <w:tab w:val="left" w:pos="567"/>
        </w:tabs>
        <w:autoSpaceDE/>
        <w:autoSpaceDN/>
        <w:adjustRightInd/>
        <w:rPr>
          <w:rFonts w:eastAsia="PMingLiU"/>
          <w:sz w:val="22"/>
          <w:szCs w:val="22"/>
          <w:lang w:val="el-GR"/>
        </w:rPr>
      </w:pPr>
    </w:p>
    <w:p w14:paraId="493938DD"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EU/1/16/1164/020 </w:t>
      </w:r>
      <w:r>
        <w:rPr>
          <w:rFonts w:eastAsia="Arial Unicode MS" w:cs="Arial Unicode MS"/>
          <w:sz w:val="22"/>
          <w:szCs w:val="22"/>
          <w:highlight w:val="lightGray"/>
          <w:lang w:val="el-GR" w:bidi="en-US"/>
        </w:rPr>
        <w:t xml:space="preserve">1 συσκευασία </w:t>
      </w:r>
    </w:p>
    <w:p w14:paraId="334755F8"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highlight w:val="lightGray"/>
          <w:lang w:val="el-GR" w:bidi="en-US"/>
        </w:rPr>
        <w:t xml:space="preserve">EU/1/16/1164/021 2 συσκευασίες </w:t>
      </w:r>
    </w:p>
    <w:p w14:paraId="52B9E335" w14:textId="77777777" w:rsidR="00171824" w:rsidRDefault="00171824">
      <w:pPr>
        <w:widowControl/>
        <w:tabs>
          <w:tab w:val="left" w:pos="567"/>
        </w:tabs>
        <w:autoSpaceDE/>
        <w:autoSpaceDN/>
        <w:adjustRightInd/>
        <w:rPr>
          <w:rFonts w:eastAsia="PMingLiU"/>
          <w:sz w:val="22"/>
          <w:szCs w:val="22"/>
          <w:lang w:val="el-GR" w:bidi="en-US"/>
        </w:rPr>
      </w:pPr>
    </w:p>
    <w:p w14:paraId="404E5979" w14:textId="77777777" w:rsidR="00171824" w:rsidRDefault="00171824">
      <w:pPr>
        <w:widowControl/>
        <w:tabs>
          <w:tab w:val="left" w:pos="567"/>
        </w:tabs>
        <w:autoSpaceDE/>
        <w:autoSpaceDN/>
        <w:adjustRightInd/>
        <w:rPr>
          <w:rFonts w:eastAsia="PMingLiU"/>
          <w:sz w:val="22"/>
          <w:szCs w:val="22"/>
          <w:lang w:val="el-GR"/>
        </w:rPr>
      </w:pPr>
    </w:p>
    <w:p w14:paraId="18CB3C0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47CB379B" w14:textId="77777777" w:rsidR="00171824" w:rsidRDefault="00171824">
      <w:pPr>
        <w:widowControl/>
        <w:tabs>
          <w:tab w:val="left" w:pos="567"/>
        </w:tabs>
        <w:autoSpaceDE/>
        <w:autoSpaceDN/>
        <w:adjustRightInd/>
        <w:rPr>
          <w:rFonts w:eastAsia="PMingLiU"/>
          <w:i/>
          <w:sz w:val="22"/>
          <w:szCs w:val="22"/>
          <w:lang w:val="el-GR"/>
        </w:rPr>
      </w:pPr>
    </w:p>
    <w:p w14:paraId="5A21055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3FD6676B" w14:textId="77777777" w:rsidR="00171824" w:rsidRDefault="00171824">
      <w:pPr>
        <w:widowControl/>
        <w:tabs>
          <w:tab w:val="left" w:pos="567"/>
        </w:tabs>
        <w:autoSpaceDE/>
        <w:autoSpaceDN/>
        <w:adjustRightInd/>
        <w:rPr>
          <w:rFonts w:eastAsia="PMingLiU"/>
          <w:sz w:val="22"/>
          <w:szCs w:val="22"/>
          <w:lang w:val="el-GR"/>
        </w:rPr>
      </w:pPr>
    </w:p>
    <w:p w14:paraId="1F4A5009" w14:textId="77777777" w:rsidR="00171824" w:rsidRDefault="00171824">
      <w:pPr>
        <w:widowControl/>
        <w:tabs>
          <w:tab w:val="left" w:pos="567"/>
        </w:tabs>
        <w:autoSpaceDE/>
        <w:autoSpaceDN/>
        <w:adjustRightInd/>
        <w:rPr>
          <w:rFonts w:eastAsia="PMingLiU"/>
          <w:sz w:val="22"/>
          <w:szCs w:val="22"/>
          <w:lang w:val="el-GR"/>
        </w:rPr>
      </w:pPr>
    </w:p>
    <w:p w14:paraId="00ED2CC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25DBC162" w14:textId="77777777" w:rsidR="00171824" w:rsidRDefault="00171824">
      <w:pPr>
        <w:widowControl/>
        <w:tabs>
          <w:tab w:val="left" w:pos="567"/>
        </w:tabs>
        <w:autoSpaceDE/>
        <w:autoSpaceDN/>
        <w:adjustRightInd/>
        <w:rPr>
          <w:rFonts w:eastAsia="PMingLiU"/>
          <w:i/>
          <w:sz w:val="22"/>
          <w:szCs w:val="22"/>
          <w:lang w:val="el-GR"/>
        </w:rPr>
      </w:pPr>
    </w:p>
    <w:p w14:paraId="7A96A670" w14:textId="77777777" w:rsidR="00171824" w:rsidRDefault="00171824">
      <w:pPr>
        <w:widowControl/>
        <w:tabs>
          <w:tab w:val="left" w:pos="567"/>
        </w:tabs>
        <w:autoSpaceDE/>
        <w:autoSpaceDN/>
        <w:adjustRightInd/>
        <w:rPr>
          <w:rFonts w:eastAsia="PMingLiU"/>
          <w:sz w:val="22"/>
          <w:szCs w:val="22"/>
          <w:lang w:val="el-GR"/>
        </w:rPr>
      </w:pPr>
    </w:p>
    <w:p w14:paraId="007C1A3A"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3406E4C9" w14:textId="77777777" w:rsidR="00171824" w:rsidRDefault="00171824">
      <w:pPr>
        <w:widowControl/>
        <w:tabs>
          <w:tab w:val="left" w:pos="567"/>
        </w:tabs>
        <w:autoSpaceDE/>
        <w:autoSpaceDN/>
        <w:adjustRightInd/>
        <w:rPr>
          <w:rFonts w:eastAsia="PMingLiU"/>
          <w:sz w:val="22"/>
          <w:szCs w:val="22"/>
          <w:lang w:val="el-GR"/>
        </w:rPr>
      </w:pPr>
    </w:p>
    <w:p w14:paraId="0783B1F7" w14:textId="77777777" w:rsidR="00171824" w:rsidRDefault="00171824">
      <w:pPr>
        <w:widowControl/>
        <w:tabs>
          <w:tab w:val="left" w:pos="567"/>
        </w:tabs>
        <w:autoSpaceDE/>
        <w:autoSpaceDN/>
        <w:adjustRightInd/>
        <w:rPr>
          <w:rFonts w:eastAsia="PMingLiU"/>
          <w:sz w:val="22"/>
          <w:szCs w:val="22"/>
          <w:lang w:val="el-GR"/>
        </w:rPr>
      </w:pPr>
    </w:p>
    <w:p w14:paraId="624EFF85"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0BAD8F03" w14:textId="77777777" w:rsidR="00171824" w:rsidRDefault="00171824">
      <w:pPr>
        <w:widowControl/>
        <w:tabs>
          <w:tab w:val="left" w:pos="567"/>
        </w:tabs>
        <w:autoSpaceDE/>
        <w:autoSpaceDN/>
        <w:adjustRightInd/>
        <w:rPr>
          <w:rFonts w:eastAsia="PMingLiU"/>
          <w:sz w:val="22"/>
          <w:szCs w:val="20"/>
          <w:lang w:val="el-GR"/>
        </w:rPr>
      </w:pPr>
    </w:p>
    <w:p w14:paraId="1C542149"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 xml:space="preserve">AMGEVITA 80 mg/0,8 ml </w:t>
      </w:r>
      <w:r>
        <w:rPr>
          <w:rFonts w:eastAsia="Arial Unicode MS" w:cs="Arial Unicode MS"/>
          <w:sz w:val="22"/>
          <w:szCs w:val="22"/>
          <w:lang w:val="el-GR" w:bidi="en-US"/>
        </w:rPr>
        <w:t>συσκευή τύπου πένας</w:t>
      </w:r>
    </w:p>
    <w:p w14:paraId="628DB406" w14:textId="77777777" w:rsidR="00171824" w:rsidRDefault="00171824">
      <w:pPr>
        <w:widowControl/>
        <w:tabs>
          <w:tab w:val="left" w:pos="567"/>
        </w:tabs>
        <w:autoSpaceDE/>
        <w:autoSpaceDN/>
        <w:adjustRightInd/>
        <w:rPr>
          <w:rFonts w:eastAsia="PMingLiU"/>
          <w:sz w:val="22"/>
          <w:szCs w:val="20"/>
          <w:lang w:val="el-GR" w:bidi="en-US"/>
        </w:rPr>
      </w:pPr>
    </w:p>
    <w:p w14:paraId="71404775" w14:textId="77777777" w:rsidR="00171824" w:rsidRDefault="00171824">
      <w:pPr>
        <w:widowControl/>
        <w:tabs>
          <w:tab w:val="left" w:pos="567"/>
        </w:tabs>
        <w:autoSpaceDE/>
        <w:autoSpaceDN/>
        <w:adjustRightInd/>
        <w:rPr>
          <w:rFonts w:eastAsia="PMingLiU"/>
          <w:sz w:val="22"/>
          <w:szCs w:val="20"/>
          <w:lang w:val="el-GR" w:bidi="en-US"/>
        </w:rPr>
      </w:pPr>
    </w:p>
    <w:p w14:paraId="4A024851"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549D2C28" w14:textId="77777777" w:rsidR="00171824" w:rsidRDefault="00171824">
      <w:pPr>
        <w:widowControl/>
        <w:autoSpaceDE/>
        <w:autoSpaceDN/>
        <w:adjustRightInd/>
        <w:rPr>
          <w:rFonts w:eastAsia="PMingLiU"/>
          <w:sz w:val="22"/>
          <w:szCs w:val="20"/>
          <w:lang w:val="el-GR"/>
        </w:rPr>
      </w:pPr>
    </w:p>
    <w:p w14:paraId="2CB3E77A" w14:textId="77777777" w:rsidR="00171824" w:rsidRDefault="006D258C">
      <w:pPr>
        <w:widowControl/>
        <w:tabs>
          <w:tab w:val="left" w:pos="567"/>
        </w:tabs>
        <w:autoSpaceDE/>
        <w:autoSpaceDN/>
        <w:adjustRightInd/>
        <w:rPr>
          <w:rFonts w:eastAsia="PMingLiU"/>
          <w:sz w:val="22"/>
          <w:szCs w:val="22"/>
          <w:shd w:val="clear" w:color="auto" w:fill="CCCCCC"/>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0CC41135"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58D4E895" w14:textId="77777777" w:rsidR="00171824" w:rsidRDefault="00171824">
      <w:pPr>
        <w:widowControl/>
        <w:autoSpaceDE/>
        <w:autoSpaceDN/>
        <w:adjustRightInd/>
        <w:rPr>
          <w:rFonts w:eastAsia="PMingLiU"/>
          <w:sz w:val="22"/>
          <w:szCs w:val="20"/>
          <w:lang w:val="el-GR"/>
        </w:rPr>
      </w:pPr>
    </w:p>
    <w:p w14:paraId="7AEB7D28"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372D705A" w14:textId="77777777" w:rsidR="00171824" w:rsidRDefault="00171824">
      <w:pPr>
        <w:keepNext/>
        <w:widowControl/>
        <w:autoSpaceDE/>
        <w:autoSpaceDN/>
        <w:adjustRightInd/>
        <w:rPr>
          <w:rFonts w:eastAsia="PMingLiU"/>
          <w:sz w:val="22"/>
          <w:szCs w:val="20"/>
          <w:lang w:val="el-GR"/>
        </w:rPr>
      </w:pPr>
    </w:p>
    <w:p w14:paraId="653BFA3F"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48FC1CA7"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0AE3FD60"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677C0305" w14:textId="77777777" w:rsidR="00171824" w:rsidRDefault="006D258C">
      <w:pPr>
        <w:widowControl/>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1B8CCB08"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0355C12F" w14:textId="77777777" w:rsidR="00171824" w:rsidRDefault="00171824">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0BE0E24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ΕΞΩΤΕΡΙΚΟ ΚΟΥΤΙ ΓΙΑ ΠΟΛΥΣΥΣΚΕΥΑΣΙΑ ΠΡΟΓΕΜΙΣΜΕΝΩΝ ΣΥΣΚΕΥΩΝ ΤΥΠΟΥ ΠΕΝΑΣ (με blue box)</w:t>
      </w:r>
    </w:p>
    <w:p w14:paraId="4D563641" w14:textId="77777777" w:rsidR="00171824" w:rsidRDefault="00171824">
      <w:pPr>
        <w:widowControl/>
        <w:tabs>
          <w:tab w:val="left" w:pos="567"/>
        </w:tabs>
        <w:autoSpaceDE/>
        <w:autoSpaceDN/>
        <w:adjustRightInd/>
        <w:rPr>
          <w:rFonts w:eastAsia="PMingLiU"/>
          <w:sz w:val="22"/>
          <w:szCs w:val="20"/>
          <w:lang w:val="el-GR"/>
        </w:rPr>
      </w:pPr>
    </w:p>
    <w:p w14:paraId="7F6C41BD" w14:textId="77777777" w:rsidR="00171824" w:rsidRDefault="00171824">
      <w:pPr>
        <w:widowControl/>
        <w:tabs>
          <w:tab w:val="left" w:pos="567"/>
        </w:tabs>
        <w:autoSpaceDE/>
        <w:autoSpaceDN/>
        <w:adjustRightInd/>
        <w:rPr>
          <w:rFonts w:eastAsia="PMingLiU"/>
          <w:sz w:val="22"/>
          <w:szCs w:val="22"/>
          <w:lang w:val="el-GR"/>
        </w:rPr>
      </w:pPr>
    </w:p>
    <w:p w14:paraId="7722DF9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0FE8FF2D" w14:textId="77777777" w:rsidR="00171824" w:rsidRDefault="00171824">
      <w:pPr>
        <w:widowControl/>
        <w:tabs>
          <w:tab w:val="left" w:pos="567"/>
        </w:tabs>
        <w:autoSpaceDE/>
        <w:autoSpaceDN/>
        <w:adjustRightInd/>
        <w:rPr>
          <w:rFonts w:eastAsia="PMingLiU"/>
          <w:sz w:val="22"/>
          <w:szCs w:val="22"/>
          <w:lang w:val="el-GR"/>
        </w:rPr>
      </w:pPr>
    </w:p>
    <w:p w14:paraId="789207E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80 mg ενέσιμο διάλυμα σε προγεμισμένη συσκευή τύπου πένας</w:t>
      </w:r>
    </w:p>
    <w:p w14:paraId="15474A92"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6B04887F" w14:textId="77777777" w:rsidR="00171824" w:rsidRDefault="00171824">
      <w:pPr>
        <w:widowControl/>
        <w:tabs>
          <w:tab w:val="left" w:pos="567"/>
        </w:tabs>
        <w:autoSpaceDE/>
        <w:autoSpaceDN/>
        <w:adjustRightInd/>
        <w:rPr>
          <w:rFonts w:eastAsia="PMingLiU"/>
          <w:sz w:val="22"/>
          <w:szCs w:val="22"/>
          <w:lang w:val="el-GR"/>
        </w:rPr>
      </w:pPr>
    </w:p>
    <w:p w14:paraId="27F55897" w14:textId="77777777" w:rsidR="00171824" w:rsidRDefault="00171824">
      <w:pPr>
        <w:widowControl/>
        <w:tabs>
          <w:tab w:val="left" w:pos="567"/>
        </w:tabs>
        <w:autoSpaceDE/>
        <w:autoSpaceDN/>
        <w:adjustRightInd/>
        <w:rPr>
          <w:rFonts w:eastAsia="PMingLiU"/>
          <w:sz w:val="22"/>
          <w:szCs w:val="22"/>
          <w:lang w:val="el-GR"/>
        </w:rPr>
      </w:pPr>
    </w:p>
    <w:p w14:paraId="0A54546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60379C95" w14:textId="77777777" w:rsidR="00171824" w:rsidRDefault="00171824">
      <w:pPr>
        <w:widowControl/>
        <w:tabs>
          <w:tab w:val="left" w:pos="567"/>
        </w:tabs>
        <w:autoSpaceDE/>
        <w:autoSpaceDN/>
        <w:adjustRightInd/>
        <w:rPr>
          <w:rFonts w:eastAsia="PMingLiU"/>
          <w:sz w:val="22"/>
          <w:szCs w:val="22"/>
          <w:lang w:val="el-GR"/>
        </w:rPr>
      </w:pPr>
    </w:p>
    <w:p w14:paraId="507EE8CE"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80 mg adalimumab σε διάλυμα 0,8 ml.</w:t>
      </w:r>
    </w:p>
    <w:p w14:paraId="2FB5F729" w14:textId="77777777" w:rsidR="00171824" w:rsidRDefault="00171824">
      <w:pPr>
        <w:widowControl/>
        <w:tabs>
          <w:tab w:val="left" w:pos="567"/>
        </w:tabs>
        <w:autoSpaceDE/>
        <w:autoSpaceDN/>
        <w:adjustRightInd/>
        <w:rPr>
          <w:rFonts w:eastAsia="PMingLiU"/>
          <w:sz w:val="22"/>
          <w:szCs w:val="22"/>
          <w:lang w:val="el-GR"/>
        </w:rPr>
      </w:pPr>
    </w:p>
    <w:p w14:paraId="72D7AEF1" w14:textId="77777777" w:rsidR="00171824" w:rsidRDefault="00171824">
      <w:pPr>
        <w:widowControl/>
        <w:tabs>
          <w:tab w:val="left" w:pos="567"/>
        </w:tabs>
        <w:autoSpaceDE/>
        <w:autoSpaceDN/>
        <w:adjustRightInd/>
        <w:rPr>
          <w:rFonts w:eastAsia="PMingLiU"/>
          <w:sz w:val="22"/>
          <w:szCs w:val="22"/>
          <w:lang w:val="el-GR"/>
        </w:rPr>
      </w:pPr>
    </w:p>
    <w:p w14:paraId="575F459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7CFD9D60" w14:textId="77777777" w:rsidR="00171824" w:rsidRDefault="00171824">
      <w:pPr>
        <w:widowControl/>
        <w:tabs>
          <w:tab w:val="left" w:pos="567"/>
        </w:tabs>
        <w:autoSpaceDE/>
        <w:autoSpaceDN/>
        <w:adjustRightInd/>
        <w:rPr>
          <w:rFonts w:eastAsia="PMingLiU"/>
          <w:sz w:val="22"/>
          <w:szCs w:val="22"/>
          <w:lang w:val="el-GR"/>
        </w:rPr>
      </w:pPr>
    </w:p>
    <w:p w14:paraId="288B5ED1"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L-γαλακτικό οξύ, σακχαρόζη, πολυσορβικό 80, υδροξείδιο του νατρίου και ενέσιμο ύδωρ.</w:t>
      </w:r>
    </w:p>
    <w:p w14:paraId="05C143FB" w14:textId="77777777" w:rsidR="00171824" w:rsidRDefault="00171824">
      <w:pPr>
        <w:widowControl/>
        <w:tabs>
          <w:tab w:val="left" w:pos="567"/>
        </w:tabs>
        <w:autoSpaceDE/>
        <w:autoSpaceDN/>
        <w:adjustRightInd/>
        <w:rPr>
          <w:rFonts w:eastAsia="PMingLiU"/>
          <w:sz w:val="22"/>
          <w:szCs w:val="22"/>
          <w:lang w:val="el-GR"/>
        </w:rPr>
      </w:pPr>
    </w:p>
    <w:p w14:paraId="6259B5AB" w14:textId="77777777" w:rsidR="00171824" w:rsidRDefault="00171824">
      <w:pPr>
        <w:widowControl/>
        <w:tabs>
          <w:tab w:val="left" w:pos="567"/>
        </w:tabs>
        <w:autoSpaceDE/>
        <w:autoSpaceDN/>
        <w:adjustRightInd/>
        <w:rPr>
          <w:rFonts w:eastAsia="PMingLiU"/>
          <w:sz w:val="22"/>
          <w:szCs w:val="22"/>
          <w:lang w:val="el-GR"/>
        </w:rPr>
      </w:pPr>
    </w:p>
    <w:p w14:paraId="269B57E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30874F1F" w14:textId="77777777" w:rsidR="00171824" w:rsidRDefault="00171824">
      <w:pPr>
        <w:widowControl/>
        <w:tabs>
          <w:tab w:val="left" w:pos="567"/>
        </w:tabs>
        <w:autoSpaceDE/>
        <w:autoSpaceDN/>
        <w:adjustRightInd/>
        <w:rPr>
          <w:rFonts w:eastAsia="PMingLiU"/>
          <w:sz w:val="22"/>
          <w:szCs w:val="22"/>
          <w:lang w:val="el-GR"/>
        </w:rPr>
      </w:pPr>
    </w:p>
    <w:p w14:paraId="51F31FD1"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771880AB" w14:textId="77777777" w:rsidR="00171824" w:rsidRDefault="006D258C">
      <w:pPr>
        <w:rPr>
          <w:sz w:val="22"/>
          <w:szCs w:val="22"/>
          <w:lang w:val="el-GR"/>
        </w:rPr>
      </w:pPr>
      <w:r>
        <w:rPr>
          <w:sz w:val="22"/>
          <w:szCs w:val="22"/>
          <w:lang w:val="el-GR"/>
        </w:rPr>
        <w:t>80 mg/0,8 ml</w:t>
      </w:r>
    </w:p>
    <w:p w14:paraId="020D27F8"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Πολυσυσκευασία: 3 (3 κουτιά της 1) προγεμισμένες συσκευές τύπου πένας SureClick.</w:t>
      </w:r>
    </w:p>
    <w:p w14:paraId="4DC314B5" w14:textId="77777777" w:rsidR="00171824" w:rsidRDefault="00171824">
      <w:pPr>
        <w:widowControl/>
        <w:tabs>
          <w:tab w:val="left" w:pos="567"/>
        </w:tabs>
        <w:autoSpaceDE/>
        <w:autoSpaceDN/>
        <w:adjustRightInd/>
        <w:rPr>
          <w:rFonts w:eastAsia="PMingLiU"/>
          <w:sz w:val="22"/>
          <w:szCs w:val="22"/>
          <w:lang w:val="el-GR"/>
        </w:rPr>
      </w:pPr>
    </w:p>
    <w:p w14:paraId="4FFE45C3" w14:textId="77777777" w:rsidR="00171824" w:rsidRDefault="00171824">
      <w:pPr>
        <w:widowControl/>
        <w:tabs>
          <w:tab w:val="left" w:pos="567"/>
        </w:tabs>
        <w:autoSpaceDE/>
        <w:autoSpaceDN/>
        <w:adjustRightInd/>
        <w:rPr>
          <w:rFonts w:eastAsia="PMingLiU"/>
          <w:sz w:val="22"/>
          <w:szCs w:val="22"/>
          <w:lang w:val="el-GR"/>
        </w:rPr>
      </w:pPr>
    </w:p>
    <w:p w14:paraId="68C72AC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3BC1AF99" w14:textId="77777777" w:rsidR="00171824" w:rsidRDefault="00171824">
      <w:pPr>
        <w:widowControl/>
        <w:tabs>
          <w:tab w:val="left" w:pos="567"/>
        </w:tabs>
        <w:autoSpaceDE/>
        <w:autoSpaceDN/>
        <w:adjustRightInd/>
        <w:rPr>
          <w:rFonts w:eastAsia="PMingLiU"/>
          <w:sz w:val="22"/>
          <w:szCs w:val="20"/>
          <w:lang w:val="el-GR"/>
        </w:rPr>
      </w:pPr>
    </w:p>
    <w:p w14:paraId="107A521B"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3FACA143"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5CB35DCE"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68229933" w14:textId="77777777" w:rsidR="00171824" w:rsidRDefault="00171824">
      <w:pPr>
        <w:widowControl/>
        <w:tabs>
          <w:tab w:val="left" w:pos="567"/>
        </w:tabs>
        <w:autoSpaceDE/>
        <w:autoSpaceDN/>
        <w:adjustRightInd/>
        <w:rPr>
          <w:rFonts w:eastAsia="PMingLiU"/>
          <w:sz w:val="22"/>
          <w:szCs w:val="22"/>
          <w:lang w:val="el-GR"/>
        </w:rPr>
      </w:pPr>
    </w:p>
    <w:p w14:paraId="125C32EA" w14:textId="77777777" w:rsidR="00171824" w:rsidRDefault="00171824">
      <w:pPr>
        <w:widowControl/>
        <w:tabs>
          <w:tab w:val="left" w:pos="567"/>
        </w:tabs>
        <w:autoSpaceDE/>
        <w:autoSpaceDN/>
        <w:adjustRightInd/>
        <w:rPr>
          <w:rFonts w:eastAsia="PMingLiU"/>
          <w:sz w:val="22"/>
          <w:szCs w:val="22"/>
          <w:lang w:val="el-GR"/>
        </w:rPr>
      </w:pPr>
    </w:p>
    <w:p w14:paraId="7619F85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5D5A4BA5" w14:textId="77777777" w:rsidR="00171824" w:rsidRDefault="00171824">
      <w:pPr>
        <w:widowControl/>
        <w:tabs>
          <w:tab w:val="left" w:pos="567"/>
        </w:tabs>
        <w:autoSpaceDE/>
        <w:autoSpaceDN/>
        <w:adjustRightInd/>
        <w:rPr>
          <w:rFonts w:eastAsia="PMingLiU"/>
          <w:sz w:val="22"/>
          <w:szCs w:val="22"/>
          <w:lang w:val="el-GR"/>
        </w:rPr>
      </w:pPr>
    </w:p>
    <w:p w14:paraId="6C14F1F3"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7A92DE86" w14:textId="77777777" w:rsidR="00171824" w:rsidRDefault="00171824">
      <w:pPr>
        <w:widowControl/>
        <w:tabs>
          <w:tab w:val="left" w:pos="567"/>
        </w:tabs>
        <w:autoSpaceDE/>
        <w:autoSpaceDN/>
        <w:adjustRightInd/>
        <w:rPr>
          <w:rFonts w:eastAsia="PMingLiU"/>
          <w:sz w:val="22"/>
          <w:szCs w:val="22"/>
          <w:lang w:val="el-GR"/>
        </w:rPr>
      </w:pPr>
    </w:p>
    <w:p w14:paraId="6F6FC691" w14:textId="77777777" w:rsidR="00171824" w:rsidRDefault="00171824">
      <w:pPr>
        <w:widowControl/>
        <w:tabs>
          <w:tab w:val="left" w:pos="567"/>
        </w:tabs>
        <w:autoSpaceDE/>
        <w:autoSpaceDN/>
        <w:adjustRightInd/>
        <w:rPr>
          <w:rFonts w:eastAsia="PMingLiU"/>
          <w:sz w:val="22"/>
          <w:szCs w:val="22"/>
          <w:lang w:val="el-GR"/>
        </w:rPr>
      </w:pPr>
    </w:p>
    <w:p w14:paraId="2E21ADA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5D108935" w14:textId="77777777" w:rsidR="00171824" w:rsidRDefault="00171824">
      <w:pPr>
        <w:widowControl/>
        <w:tabs>
          <w:tab w:val="left" w:pos="567"/>
        </w:tabs>
        <w:autoSpaceDE/>
        <w:autoSpaceDN/>
        <w:adjustRightInd/>
        <w:rPr>
          <w:rFonts w:eastAsia="PMingLiU"/>
          <w:sz w:val="22"/>
          <w:szCs w:val="22"/>
          <w:lang w:val="el-GR"/>
        </w:rPr>
      </w:pPr>
    </w:p>
    <w:p w14:paraId="5E6C9B68" w14:textId="77777777" w:rsidR="00171824" w:rsidRDefault="00171824">
      <w:pPr>
        <w:widowControl/>
        <w:tabs>
          <w:tab w:val="left" w:pos="567"/>
          <w:tab w:val="left" w:pos="749"/>
        </w:tabs>
        <w:autoSpaceDE/>
        <w:autoSpaceDN/>
        <w:adjustRightInd/>
        <w:rPr>
          <w:rFonts w:eastAsia="PMingLiU"/>
          <w:sz w:val="22"/>
          <w:szCs w:val="20"/>
          <w:lang w:val="el-GR"/>
        </w:rPr>
      </w:pPr>
    </w:p>
    <w:p w14:paraId="0792C6D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24E3DD36" w14:textId="77777777" w:rsidR="00171824" w:rsidRDefault="00171824">
      <w:pPr>
        <w:widowControl/>
        <w:tabs>
          <w:tab w:val="left" w:pos="567"/>
        </w:tabs>
        <w:autoSpaceDE/>
        <w:autoSpaceDN/>
        <w:adjustRightInd/>
        <w:rPr>
          <w:rFonts w:eastAsia="PMingLiU"/>
          <w:sz w:val="22"/>
          <w:szCs w:val="20"/>
          <w:lang w:val="el-GR"/>
        </w:rPr>
      </w:pPr>
    </w:p>
    <w:p w14:paraId="54AA1AB0"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1CCEA303" w14:textId="77777777" w:rsidR="00171824" w:rsidRDefault="00171824">
      <w:pPr>
        <w:widowControl/>
        <w:tabs>
          <w:tab w:val="left" w:pos="567"/>
        </w:tabs>
        <w:autoSpaceDE/>
        <w:autoSpaceDN/>
        <w:adjustRightInd/>
        <w:rPr>
          <w:rFonts w:eastAsia="PMingLiU"/>
          <w:sz w:val="22"/>
          <w:szCs w:val="22"/>
          <w:lang w:val="el-GR"/>
        </w:rPr>
      </w:pPr>
    </w:p>
    <w:p w14:paraId="3E507219" w14:textId="77777777" w:rsidR="00171824" w:rsidRDefault="00171824">
      <w:pPr>
        <w:widowControl/>
        <w:tabs>
          <w:tab w:val="left" w:pos="567"/>
        </w:tabs>
        <w:autoSpaceDE/>
        <w:autoSpaceDN/>
        <w:adjustRightInd/>
        <w:rPr>
          <w:rFonts w:eastAsia="PMingLiU"/>
          <w:sz w:val="22"/>
          <w:szCs w:val="22"/>
          <w:lang w:val="el-GR"/>
        </w:rPr>
      </w:pPr>
    </w:p>
    <w:p w14:paraId="2F35F1EA"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9.</w:t>
      </w:r>
      <w:r>
        <w:rPr>
          <w:rFonts w:eastAsia="Arial Unicode MS" w:cs="Arial Unicode MS"/>
          <w:b/>
          <w:sz w:val="22"/>
          <w:szCs w:val="22"/>
          <w:lang w:val="el-GR" w:bidi="en-US"/>
        </w:rPr>
        <w:tab/>
        <w:t>ΕΙΔΙΚΕΣ ΣΥΝΘΗΚΕΣ ΦΥΛΑΞΗΣ</w:t>
      </w:r>
    </w:p>
    <w:p w14:paraId="438E66C3" w14:textId="77777777" w:rsidR="00171824" w:rsidRDefault="00171824">
      <w:pPr>
        <w:keepNext/>
        <w:widowControl/>
        <w:tabs>
          <w:tab w:val="left" w:pos="567"/>
        </w:tabs>
        <w:autoSpaceDE/>
        <w:autoSpaceDN/>
        <w:adjustRightInd/>
        <w:rPr>
          <w:rFonts w:eastAsia="PMingLiU"/>
          <w:sz w:val="22"/>
          <w:szCs w:val="22"/>
          <w:lang w:val="el-GR"/>
        </w:rPr>
      </w:pPr>
    </w:p>
    <w:p w14:paraId="49092EFD"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005C8C30"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Μην καταψύχετε.</w:t>
      </w:r>
    </w:p>
    <w:p w14:paraId="797AAC9B" w14:textId="77777777" w:rsidR="00171824" w:rsidRDefault="006D258C">
      <w:pPr>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lastRenderedPageBreak/>
        <w:t>Φυλάσσετε στο κουτί του για να προστατεύεται από το φως.</w:t>
      </w:r>
    </w:p>
    <w:p w14:paraId="723CA5BA" w14:textId="77777777" w:rsidR="00171824" w:rsidRDefault="00171824">
      <w:pPr>
        <w:widowControl/>
        <w:tabs>
          <w:tab w:val="left" w:pos="567"/>
        </w:tabs>
        <w:autoSpaceDE/>
        <w:autoSpaceDN/>
        <w:adjustRightInd/>
        <w:rPr>
          <w:rFonts w:eastAsia="SimSun"/>
          <w:sz w:val="22"/>
          <w:szCs w:val="22"/>
          <w:lang w:val="el-GR" w:eastAsia="en-GB"/>
        </w:rPr>
      </w:pPr>
    </w:p>
    <w:p w14:paraId="1BAEBCB2" w14:textId="77777777" w:rsidR="00171824" w:rsidRDefault="00171824">
      <w:pPr>
        <w:widowControl/>
        <w:tabs>
          <w:tab w:val="left" w:pos="567"/>
        </w:tabs>
        <w:autoSpaceDE/>
        <w:autoSpaceDN/>
        <w:adjustRightInd/>
        <w:rPr>
          <w:rFonts w:eastAsia="SimSun"/>
          <w:sz w:val="22"/>
          <w:szCs w:val="22"/>
          <w:lang w:val="el-GR" w:eastAsia="en-GB"/>
        </w:rPr>
      </w:pPr>
    </w:p>
    <w:p w14:paraId="1989B05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523EAB82" w14:textId="77777777" w:rsidR="00171824" w:rsidRDefault="00171824">
      <w:pPr>
        <w:widowControl/>
        <w:tabs>
          <w:tab w:val="left" w:pos="567"/>
        </w:tabs>
        <w:autoSpaceDE/>
        <w:autoSpaceDN/>
        <w:adjustRightInd/>
        <w:rPr>
          <w:rFonts w:eastAsia="PMingLiU"/>
          <w:sz w:val="22"/>
          <w:szCs w:val="22"/>
          <w:lang w:val="el-GR"/>
        </w:rPr>
      </w:pPr>
    </w:p>
    <w:p w14:paraId="49467304" w14:textId="77777777" w:rsidR="00171824" w:rsidRDefault="00171824">
      <w:pPr>
        <w:widowControl/>
        <w:tabs>
          <w:tab w:val="left" w:pos="567"/>
        </w:tabs>
        <w:autoSpaceDE/>
        <w:autoSpaceDN/>
        <w:adjustRightInd/>
        <w:rPr>
          <w:rFonts w:eastAsia="PMingLiU"/>
          <w:sz w:val="22"/>
          <w:szCs w:val="22"/>
          <w:lang w:val="el-GR"/>
        </w:rPr>
      </w:pPr>
    </w:p>
    <w:p w14:paraId="2EB743A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47AB70C1" w14:textId="77777777" w:rsidR="00171824" w:rsidRDefault="00171824">
      <w:pPr>
        <w:widowControl/>
        <w:tabs>
          <w:tab w:val="left" w:pos="567"/>
        </w:tabs>
        <w:autoSpaceDE/>
        <w:autoSpaceDN/>
        <w:adjustRightInd/>
        <w:rPr>
          <w:rFonts w:eastAsia="PMingLiU"/>
          <w:sz w:val="22"/>
          <w:szCs w:val="22"/>
          <w:lang w:val="el-GR"/>
        </w:rPr>
      </w:pPr>
    </w:p>
    <w:p w14:paraId="17116519"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1160206A"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2FC83C0E"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2FB4ABBF"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412D7CE1" w14:textId="77777777" w:rsidR="00171824" w:rsidRDefault="00171824">
      <w:pPr>
        <w:widowControl/>
        <w:tabs>
          <w:tab w:val="left" w:pos="567"/>
        </w:tabs>
        <w:autoSpaceDE/>
        <w:autoSpaceDN/>
        <w:adjustRightInd/>
        <w:rPr>
          <w:rFonts w:eastAsia="PMingLiU"/>
          <w:sz w:val="22"/>
          <w:szCs w:val="22"/>
          <w:lang w:val="el-GR"/>
        </w:rPr>
      </w:pPr>
    </w:p>
    <w:p w14:paraId="091C89F3" w14:textId="77777777" w:rsidR="00171824" w:rsidRDefault="00171824">
      <w:pPr>
        <w:widowControl/>
        <w:tabs>
          <w:tab w:val="left" w:pos="567"/>
        </w:tabs>
        <w:autoSpaceDE/>
        <w:autoSpaceDN/>
        <w:adjustRightInd/>
        <w:rPr>
          <w:rFonts w:eastAsia="PMingLiU"/>
          <w:sz w:val="22"/>
          <w:szCs w:val="22"/>
          <w:lang w:val="el-GR"/>
        </w:rPr>
      </w:pPr>
    </w:p>
    <w:p w14:paraId="26E4EA5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36FE2AB9" w14:textId="77777777" w:rsidR="00171824" w:rsidRDefault="00171824">
      <w:pPr>
        <w:widowControl/>
        <w:tabs>
          <w:tab w:val="left" w:pos="567"/>
        </w:tabs>
        <w:autoSpaceDE/>
        <w:autoSpaceDN/>
        <w:adjustRightInd/>
        <w:rPr>
          <w:rFonts w:eastAsia="PMingLiU"/>
          <w:sz w:val="22"/>
          <w:szCs w:val="22"/>
          <w:lang w:val="el-GR"/>
        </w:rPr>
      </w:pPr>
    </w:p>
    <w:p w14:paraId="4FB9DA5E"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EU/1/16/1164/022 </w:t>
      </w:r>
    </w:p>
    <w:p w14:paraId="27FB15DA" w14:textId="77777777" w:rsidR="00171824" w:rsidRDefault="00171824">
      <w:pPr>
        <w:widowControl/>
        <w:tabs>
          <w:tab w:val="left" w:pos="567"/>
        </w:tabs>
        <w:autoSpaceDE/>
        <w:autoSpaceDN/>
        <w:adjustRightInd/>
        <w:outlineLvl w:val="0"/>
        <w:rPr>
          <w:rFonts w:eastAsia="PMingLiU"/>
          <w:sz w:val="22"/>
          <w:szCs w:val="22"/>
          <w:lang w:val="el-GR" w:bidi="en-US"/>
        </w:rPr>
      </w:pPr>
    </w:p>
    <w:p w14:paraId="66820D88" w14:textId="77777777" w:rsidR="00171824" w:rsidRDefault="00171824">
      <w:pPr>
        <w:widowControl/>
        <w:tabs>
          <w:tab w:val="left" w:pos="567"/>
        </w:tabs>
        <w:autoSpaceDE/>
        <w:autoSpaceDN/>
        <w:adjustRightInd/>
        <w:rPr>
          <w:rFonts w:eastAsia="PMingLiU"/>
          <w:sz w:val="22"/>
          <w:szCs w:val="22"/>
          <w:lang w:val="el-GR"/>
        </w:rPr>
      </w:pPr>
    </w:p>
    <w:p w14:paraId="264E033C"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19DECCB2" w14:textId="77777777" w:rsidR="00171824" w:rsidRDefault="00171824">
      <w:pPr>
        <w:widowControl/>
        <w:tabs>
          <w:tab w:val="left" w:pos="567"/>
        </w:tabs>
        <w:autoSpaceDE/>
        <w:autoSpaceDN/>
        <w:adjustRightInd/>
        <w:rPr>
          <w:rFonts w:eastAsia="PMingLiU"/>
          <w:i/>
          <w:sz w:val="22"/>
          <w:szCs w:val="22"/>
          <w:lang w:val="el-GR"/>
        </w:rPr>
      </w:pPr>
    </w:p>
    <w:p w14:paraId="135F8F7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540FE162" w14:textId="77777777" w:rsidR="00171824" w:rsidRDefault="00171824">
      <w:pPr>
        <w:widowControl/>
        <w:tabs>
          <w:tab w:val="left" w:pos="567"/>
        </w:tabs>
        <w:autoSpaceDE/>
        <w:autoSpaceDN/>
        <w:adjustRightInd/>
        <w:rPr>
          <w:rFonts w:eastAsia="PMingLiU"/>
          <w:sz w:val="22"/>
          <w:szCs w:val="22"/>
          <w:lang w:val="el-GR"/>
        </w:rPr>
      </w:pPr>
    </w:p>
    <w:p w14:paraId="004650EF" w14:textId="77777777" w:rsidR="00171824" w:rsidRDefault="00171824">
      <w:pPr>
        <w:widowControl/>
        <w:tabs>
          <w:tab w:val="left" w:pos="567"/>
        </w:tabs>
        <w:autoSpaceDE/>
        <w:autoSpaceDN/>
        <w:adjustRightInd/>
        <w:rPr>
          <w:rFonts w:eastAsia="PMingLiU"/>
          <w:sz w:val="22"/>
          <w:szCs w:val="22"/>
          <w:lang w:val="el-GR"/>
        </w:rPr>
      </w:pPr>
    </w:p>
    <w:p w14:paraId="249B9C9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00D4314C" w14:textId="77777777" w:rsidR="00171824" w:rsidRDefault="00171824">
      <w:pPr>
        <w:widowControl/>
        <w:tabs>
          <w:tab w:val="left" w:pos="567"/>
        </w:tabs>
        <w:autoSpaceDE/>
        <w:autoSpaceDN/>
        <w:adjustRightInd/>
        <w:rPr>
          <w:rFonts w:eastAsia="PMingLiU"/>
          <w:i/>
          <w:sz w:val="22"/>
          <w:szCs w:val="22"/>
          <w:lang w:val="el-GR"/>
        </w:rPr>
      </w:pPr>
    </w:p>
    <w:p w14:paraId="6773CE94" w14:textId="77777777" w:rsidR="00171824" w:rsidRDefault="00171824">
      <w:pPr>
        <w:widowControl/>
        <w:tabs>
          <w:tab w:val="left" w:pos="567"/>
        </w:tabs>
        <w:autoSpaceDE/>
        <w:autoSpaceDN/>
        <w:adjustRightInd/>
        <w:rPr>
          <w:rFonts w:eastAsia="PMingLiU"/>
          <w:sz w:val="22"/>
          <w:szCs w:val="22"/>
          <w:lang w:val="el-GR"/>
        </w:rPr>
      </w:pPr>
    </w:p>
    <w:p w14:paraId="60C8F6C8"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18B034FE" w14:textId="77777777" w:rsidR="00171824" w:rsidRDefault="00171824">
      <w:pPr>
        <w:widowControl/>
        <w:tabs>
          <w:tab w:val="left" w:pos="567"/>
        </w:tabs>
        <w:autoSpaceDE/>
        <w:autoSpaceDN/>
        <w:adjustRightInd/>
        <w:rPr>
          <w:rFonts w:eastAsia="PMingLiU"/>
          <w:sz w:val="22"/>
          <w:szCs w:val="22"/>
          <w:lang w:val="el-GR"/>
        </w:rPr>
      </w:pPr>
    </w:p>
    <w:p w14:paraId="3AEDC20D" w14:textId="77777777" w:rsidR="00171824" w:rsidRDefault="00171824">
      <w:pPr>
        <w:widowControl/>
        <w:tabs>
          <w:tab w:val="left" w:pos="567"/>
        </w:tabs>
        <w:autoSpaceDE/>
        <w:autoSpaceDN/>
        <w:adjustRightInd/>
        <w:rPr>
          <w:rFonts w:eastAsia="PMingLiU"/>
          <w:sz w:val="22"/>
          <w:szCs w:val="22"/>
          <w:lang w:val="el-GR"/>
        </w:rPr>
      </w:pPr>
    </w:p>
    <w:p w14:paraId="4E3A3507"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2A113240" w14:textId="77777777" w:rsidR="00171824" w:rsidRDefault="00171824">
      <w:pPr>
        <w:widowControl/>
        <w:tabs>
          <w:tab w:val="left" w:pos="567"/>
        </w:tabs>
        <w:autoSpaceDE/>
        <w:autoSpaceDN/>
        <w:adjustRightInd/>
        <w:rPr>
          <w:rFonts w:eastAsia="PMingLiU"/>
          <w:sz w:val="22"/>
          <w:szCs w:val="20"/>
          <w:lang w:val="el-GR"/>
        </w:rPr>
      </w:pPr>
    </w:p>
    <w:p w14:paraId="70C17985"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 xml:space="preserve">AMGEVITA 80 mg/0,8 ml </w:t>
      </w:r>
      <w:r>
        <w:rPr>
          <w:rFonts w:eastAsia="Arial Unicode MS" w:cs="Arial Unicode MS"/>
          <w:sz w:val="22"/>
          <w:szCs w:val="22"/>
          <w:lang w:val="el-GR" w:bidi="en-US"/>
        </w:rPr>
        <w:t>συσκευή τύπου πένας</w:t>
      </w:r>
    </w:p>
    <w:p w14:paraId="495FCCF7"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7B46FE10" w14:textId="77777777" w:rsidR="00171824" w:rsidRDefault="00171824">
      <w:pPr>
        <w:widowControl/>
        <w:tabs>
          <w:tab w:val="left" w:pos="567"/>
        </w:tabs>
        <w:autoSpaceDE/>
        <w:autoSpaceDN/>
        <w:adjustRightInd/>
        <w:rPr>
          <w:rFonts w:eastAsia="PMingLiU"/>
          <w:sz w:val="22"/>
          <w:szCs w:val="22"/>
          <w:shd w:val="clear" w:color="auto" w:fill="CCCCCC"/>
          <w:lang w:val="el-GR"/>
        </w:rPr>
      </w:pPr>
    </w:p>
    <w:p w14:paraId="6D8D9FF3" w14:textId="77777777" w:rsidR="00171824" w:rsidRDefault="006D258C">
      <w:pPr>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t>17.</w:t>
      </w:r>
      <w:r>
        <w:rPr>
          <w:rFonts w:eastAsia="Arial Unicode MS" w:cs="Arial Unicode MS"/>
          <w:b/>
          <w:sz w:val="22"/>
          <w:szCs w:val="20"/>
          <w:lang w:val="el-GR" w:bidi="en-US"/>
        </w:rPr>
        <w:tab/>
        <w:t>ΜΟΝΑΔΙΚΟΣ ΑΝΑΓΝΩΡΙΣΤΙΚΟΣ ΚΩΔΙΚΟΣ – ΔΙΣΔΙΑΣΤΑΤΟΣ ΓΡΑΜΜΩΤΟΣ ΚΩΔΙΚΑΣ (2D)</w:t>
      </w:r>
    </w:p>
    <w:p w14:paraId="6D3E1C18" w14:textId="77777777" w:rsidR="00171824" w:rsidRDefault="00171824">
      <w:pPr>
        <w:widowControl/>
        <w:autoSpaceDE/>
        <w:autoSpaceDN/>
        <w:adjustRightInd/>
        <w:rPr>
          <w:rFonts w:eastAsia="PMingLiU"/>
          <w:sz w:val="22"/>
          <w:szCs w:val="20"/>
          <w:lang w:val="el-GR"/>
        </w:rPr>
      </w:pPr>
    </w:p>
    <w:p w14:paraId="02C8B770" w14:textId="77777777" w:rsidR="00171824" w:rsidRDefault="006D258C">
      <w:pPr>
        <w:widowControl/>
        <w:tabs>
          <w:tab w:val="left" w:pos="567"/>
        </w:tabs>
        <w:autoSpaceDE/>
        <w:autoSpaceDN/>
        <w:adjustRightInd/>
        <w:rPr>
          <w:rFonts w:eastAsia="Arial Unicode MS" w:cs="Arial Unicode MS"/>
          <w:sz w:val="22"/>
          <w:szCs w:val="20"/>
          <w:lang w:val="el-GR" w:bidi="en-US"/>
        </w:rPr>
      </w:pPr>
      <w:r>
        <w:rPr>
          <w:rFonts w:eastAsia="Arial Unicode MS" w:cs="Arial Unicode MS"/>
          <w:sz w:val="22"/>
          <w:szCs w:val="20"/>
          <w:highlight w:val="lightGray"/>
          <w:lang w:val="el-GR" w:bidi="en-US"/>
        </w:rPr>
        <w:t>Δισδιάστατος γραμμωτός κώδικας (2D) που φέρει τον περιληφθέντα μοναδικό αναγνωριστικό κωδικό.</w:t>
      </w:r>
    </w:p>
    <w:p w14:paraId="6931FAC2" w14:textId="77777777" w:rsidR="00171824" w:rsidRDefault="00171824">
      <w:pPr>
        <w:widowControl/>
        <w:tabs>
          <w:tab w:val="left" w:pos="567"/>
        </w:tabs>
        <w:autoSpaceDE/>
        <w:autoSpaceDN/>
        <w:adjustRightInd/>
        <w:rPr>
          <w:rFonts w:eastAsia="PMingLiU"/>
          <w:sz w:val="22"/>
          <w:szCs w:val="22"/>
          <w:shd w:val="clear" w:color="auto" w:fill="CCCCCC"/>
          <w:lang w:val="el-GR" w:bidi="en-US"/>
        </w:rPr>
      </w:pPr>
    </w:p>
    <w:p w14:paraId="3D6DD1BA" w14:textId="77777777" w:rsidR="00171824" w:rsidRDefault="00171824">
      <w:pPr>
        <w:widowControl/>
        <w:tabs>
          <w:tab w:val="left" w:pos="567"/>
        </w:tabs>
        <w:autoSpaceDE/>
        <w:autoSpaceDN/>
        <w:adjustRightInd/>
        <w:rPr>
          <w:rFonts w:eastAsia="PMingLiU"/>
          <w:sz w:val="22"/>
          <w:szCs w:val="22"/>
          <w:shd w:val="clear" w:color="auto" w:fill="CCCCCC"/>
          <w:lang w:val="el-GR" w:bidi="en-US"/>
        </w:rPr>
      </w:pPr>
    </w:p>
    <w:p w14:paraId="3913909B" w14:textId="77777777" w:rsidR="00171824" w:rsidRDefault="006D258C">
      <w:pPr>
        <w:keepNext/>
        <w:widowControl/>
        <w:pBdr>
          <w:top w:val="single" w:sz="4" w:space="1" w:color="auto"/>
          <w:left w:val="single" w:sz="4" w:space="4" w:color="auto"/>
          <w:bottom w:val="single" w:sz="4" w:space="0" w:color="auto"/>
          <w:right w:val="single" w:sz="4" w:space="4" w:color="auto"/>
        </w:pBdr>
        <w:autoSpaceDE/>
        <w:autoSpaceDN/>
        <w:adjustRightInd/>
        <w:ind w:left="567" w:hanging="567"/>
        <w:rPr>
          <w:rFonts w:eastAsia="PMingLiU"/>
          <w:i/>
          <w:sz w:val="22"/>
          <w:szCs w:val="20"/>
          <w:lang w:val="el-GR" w:bidi="en-US"/>
        </w:rPr>
      </w:pPr>
      <w:r>
        <w:rPr>
          <w:rFonts w:eastAsia="Arial Unicode MS" w:cs="Arial Unicode MS"/>
          <w:b/>
          <w:sz w:val="22"/>
          <w:szCs w:val="20"/>
          <w:lang w:val="el-GR" w:bidi="en-US"/>
        </w:rPr>
        <w:lastRenderedPageBreak/>
        <w:t>18.</w:t>
      </w:r>
      <w:r>
        <w:rPr>
          <w:rFonts w:eastAsia="Arial Unicode MS" w:cs="Arial Unicode MS"/>
          <w:b/>
          <w:sz w:val="22"/>
          <w:szCs w:val="20"/>
          <w:lang w:val="el-GR" w:bidi="en-US"/>
        </w:rPr>
        <w:tab/>
        <w:t xml:space="preserve">ΜΟΝΑΔΙΚΟΣ ΑΝΑΓΝΩΡΙΣΤΙΚΟΣ ΚΩΔΙΚΟΣ </w:t>
      </w:r>
      <w:r>
        <w:rPr>
          <w:rFonts w:eastAsia="Arial Unicode MS" w:cs="Arial Unicode MS"/>
          <w:sz w:val="22"/>
          <w:szCs w:val="20"/>
          <w:lang w:val="el-GR" w:bidi="en-US"/>
        </w:rPr>
        <w:t>-</w:t>
      </w:r>
      <w:r>
        <w:rPr>
          <w:rFonts w:eastAsia="Arial Unicode MS" w:cs="Arial Unicode MS"/>
          <w:b/>
          <w:sz w:val="22"/>
          <w:szCs w:val="20"/>
          <w:lang w:val="el-GR" w:bidi="en-US"/>
        </w:rPr>
        <w:t xml:space="preserve"> ΔΕΔΟΜΕΝΑ ΑΝΑΓΝΩΣΙΜΑ ΑΠΟ ΤΟΝ ΑΝΘΡΩΠΟ</w:t>
      </w:r>
    </w:p>
    <w:p w14:paraId="3E9F6173" w14:textId="77777777" w:rsidR="00171824" w:rsidRDefault="00171824">
      <w:pPr>
        <w:keepNext/>
        <w:widowControl/>
        <w:autoSpaceDE/>
        <w:autoSpaceDN/>
        <w:adjustRightInd/>
        <w:rPr>
          <w:rFonts w:eastAsia="PMingLiU"/>
          <w:sz w:val="22"/>
          <w:szCs w:val="20"/>
          <w:lang w:val="el-GR"/>
        </w:rPr>
      </w:pPr>
    </w:p>
    <w:p w14:paraId="036A5C23"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PC</w:t>
      </w:r>
    </w:p>
    <w:p w14:paraId="225D58A6" w14:textId="77777777" w:rsidR="00171824" w:rsidRDefault="006D258C">
      <w:pPr>
        <w:keepNext/>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SN</w:t>
      </w:r>
    </w:p>
    <w:p w14:paraId="721E990A"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t>NN</w:t>
      </w:r>
    </w:p>
    <w:p w14:paraId="1AE21271" w14:textId="77777777" w:rsidR="00171824" w:rsidRDefault="006D258C">
      <w:pPr>
        <w:keepNext/>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2"/>
          <w:lang w:val="el-GR" w:bidi="en-US"/>
        </w:rPr>
        <w:br w:type="page"/>
      </w:r>
    </w:p>
    <w:p w14:paraId="6DEA2BA0"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
          <w:sz w:val="22"/>
          <w:szCs w:val="22"/>
          <w:lang w:val="el-GR" w:bidi="en-US"/>
        </w:rPr>
      </w:pPr>
      <w:r>
        <w:rPr>
          <w:rFonts w:eastAsia="Arial Unicode MS" w:cs="Arial Unicode MS"/>
          <w:b/>
          <w:sz w:val="22"/>
          <w:szCs w:val="22"/>
          <w:lang w:val="el-GR" w:bidi="en-US"/>
        </w:rPr>
        <w:lastRenderedPageBreak/>
        <w:t xml:space="preserve">ΕΝΔΕΙΞΕΙΣ ΠΟΥ ΠΡΕΠΕΙ ΝΑ ΑΝΑΓΡΑΦΟΝΤΑΙ ΣΤΗΝ ΕΞΩΤΕΡΙΚΗ ΣΥΣΚΕΥΑΣΙΑ </w:t>
      </w:r>
    </w:p>
    <w:p w14:paraId="4B988A44" w14:textId="77777777" w:rsidR="00171824" w:rsidRDefault="00171824">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rPr>
          <w:rFonts w:eastAsia="PMingLiU"/>
          <w:bCs/>
          <w:sz w:val="22"/>
          <w:szCs w:val="22"/>
          <w:lang w:val="el-GR"/>
        </w:rPr>
      </w:pPr>
    </w:p>
    <w:p w14:paraId="35FD3755"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rFonts w:eastAsia="PMingLiU"/>
          <w:bCs/>
          <w:sz w:val="22"/>
          <w:szCs w:val="22"/>
          <w:lang w:val="el-GR" w:bidi="en-US"/>
        </w:rPr>
      </w:pPr>
      <w:r>
        <w:rPr>
          <w:rFonts w:eastAsia="Arial Unicode MS" w:cs="Arial Unicode MS"/>
          <w:b/>
          <w:sz w:val="22"/>
          <w:szCs w:val="22"/>
          <w:lang w:val="el-GR" w:bidi="en-US"/>
        </w:rPr>
        <w:t>ΕΝΔΙΑΜΕΣΟ ΚΟΥΤΙ ΓΙΑ ΠΟΛΥΣΥΣΚΕΥΑΣΙΑ ΠΡΟΓΕΜΙΣΜΕΝΗΣ ΣΥΣΚΕΥΗΣ ΤΥΠΟΥ ΠΕΝΑΣ (χωρίς blue box)</w:t>
      </w:r>
    </w:p>
    <w:p w14:paraId="4E408F8B" w14:textId="77777777" w:rsidR="00171824" w:rsidRDefault="00171824">
      <w:pPr>
        <w:keepNext/>
        <w:widowControl/>
        <w:tabs>
          <w:tab w:val="left" w:pos="567"/>
        </w:tabs>
        <w:autoSpaceDE/>
        <w:autoSpaceDN/>
        <w:adjustRightInd/>
        <w:rPr>
          <w:rFonts w:eastAsia="PMingLiU"/>
          <w:sz w:val="22"/>
          <w:szCs w:val="20"/>
          <w:lang w:val="el-GR"/>
        </w:rPr>
      </w:pPr>
    </w:p>
    <w:p w14:paraId="1DCFB545" w14:textId="77777777" w:rsidR="00171824" w:rsidRDefault="00171824">
      <w:pPr>
        <w:keepNext/>
        <w:widowControl/>
        <w:tabs>
          <w:tab w:val="left" w:pos="567"/>
        </w:tabs>
        <w:autoSpaceDE/>
        <w:autoSpaceDN/>
        <w:adjustRightInd/>
        <w:rPr>
          <w:rFonts w:eastAsia="PMingLiU"/>
          <w:sz w:val="22"/>
          <w:szCs w:val="22"/>
          <w:lang w:val="el-GR"/>
        </w:rPr>
      </w:pPr>
    </w:p>
    <w:p w14:paraId="4469CF8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1.</w:t>
      </w:r>
      <w:r>
        <w:rPr>
          <w:rFonts w:eastAsia="Arial Unicode MS" w:cs="Arial Unicode MS"/>
          <w:b/>
          <w:sz w:val="22"/>
          <w:szCs w:val="20"/>
          <w:lang w:val="el-GR" w:bidi="en-US"/>
        </w:rPr>
        <w:tab/>
        <w:t>ΟΝΟΜΑΣΙΑ ΤΟΥ ΦΑΡΜΑΚΕΥΤΙΚΟΥ ΠΡΟΪΟΝΤΟΣ</w:t>
      </w:r>
    </w:p>
    <w:p w14:paraId="2A4ABE51" w14:textId="77777777" w:rsidR="00171824" w:rsidRDefault="00171824">
      <w:pPr>
        <w:widowControl/>
        <w:tabs>
          <w:tab w:val="left" w:pos="567"/>
        </w:tabs>
        <w:autoSpaceDE/>
        <w:autoSpaceDN/>
        <w:adjustRightInd/>
        <w:rPr>
          <w:rFonts w:eastAsia="PMingLiU"/>
          <w:sz w:val="22"/>
          <w:szCs w:val="22"/>
          <w:lang w:val="el-GR"/>
        </w:rPr>
      </w:pPr>
    </w:p>
    <w:p w14:paraId="1073E838"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80 mg ενέσιμο διάλυμα σε προγεμισμένη συσκευή τύπου πένας</w:t>
      </w:r>
    </w:p>
    <w:p w14:paraId="49A06810"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adalimumab</w:t>
      </w:r>
    </w:p>
    <w:p w14:paraId="29C4FEBD" w14:textId="77777777" w:rsidR="00171824" w:rsidRDefault="00171824">
      <w:pPr>
        <w:widowControl/>
        <w:tabs>
          <w:tab w:val="left" w:pos="567"/>
        </w:tabs>
        <w:autoSpaceDE/>
        <w:autoSpaceDN/>
        <w:adjustRightInd/>
        <w:rPr>
          <w:rFonts w:eastAsia="PMingLiU"/>
          <w:sz w:val="22"/>
          <w:szCs w:val="22"/>
          <w:lang w:val="el-GR"/>
        </w:rPr>
      </w:pPr>
    </w:p>
    <w:p w14:paraId="056D52BC" w14:textId="77777777" w:rsidR="00171824" w:rsidRDefault="00171824">
      <w:pPr>
        <w:widowControl/>
        <w:tabs>
          <w:tab w:val="left" w:pos="567"/>
        </w:tabs>
        <w:autoSpaceDE/>
        <w:autoSpaceDN/>
        <w:adjustRightInd/>
        <w:rPr>
          <w:rFonts w:eastAsia="PMingLiU"/>
          <w:sz w:val="22"/>
          <w:szCs w:val="22"/>
          <w:lang w:val="el-GR"/>
        </w:rPr>
      </w:pPr>
    </w:p>
    <w:p w14:paraId="4E0BA10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ΣΥΝΘΕΣΗ ΣΕ ΔΡΑΣΤΙΚΗ(ΕΣ) ΟΥΣΙΑ(ΕΣ)</w:t>
      </w:r>
    </w:p>
    <w:p w14:paraId="2F2C91BC" w14:textId="77777777" w:rsidR="00171824" w:rsidRDefault="00171824">
      <w:pPr>
        <w:widowControl/>
        <w:tabs>
          <w:tab w:val="left" w:pos="567"/>
        </w:tabs>
        <w:autoSpaceDE/>
        <w:autoSpaceDN/>
        <w:adjustRightInd/>
        <w:rPr>
          <w:rFonts w:eastAsia="PMingLiU"/>
          <w:sz w:val="22"/>
          <w:szCs w:val="22"/>
          <w:lang w:val="el-GR"/>
        </w:rPr>
      </w:pPr>
    </w:p>
    <w:p w14:paraId="5BDFA220"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Κάθε προγεμισμένη συσκευή τύπου πένας περιέχει 80 mg adalimumab σε διάλυμα 0,8 ml.</w:t>
      </w:r>
    </w:p>
    <w:p w14:paraId="2D5B94BF" w14:textId="77777777" w:rsidR="00171824" w:rsidRDefault="00171824">
      <w:pPr>
        <w:widowControl/>
        <w:tabs>
          <w:tab w:val="left" w:pos="567"/>
        </w:tabs>
        <w:autoSpaceDE/>
        <w:autoSpaceDN/>
        <w:adjustRightInd/>
        <w:rPr>
          <w:rFonts w:eastAsia="PMingLiU"/>
          <w:sz w:val="22"/>
          <w:szCs w:val="22"/>
          <w:lang w:val="el-GR"/>
        </w:rPr>
      </w:pPr>
    </w:p>
    <w:p w14:paraId="2D66252D" w14:textId="77777777" w:rsidR="00171824" w:rsidRDefault="00171824">
      <w:pPr>
        <w:widowControl/>
        <w:tabs>
          <w:tab w:val="left" w:pos="567"/>
        </w:tabs>
        <w:autoSpaceDE/>
        <w:autoSpaceDN/>
        <w:adjustRightInd/>
        <w:rPr>
          <w:rFonts w:eastAsia="PMingLiU"/>
          <w:sz w:val="22"/>
          <w:szCs w:val="22"/>
          <w:lang w:val="el-GR"/>
        </w:rPr>
      </w:pPr>
    </w:p>
    <w:p w14:paraId="42ACF54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ΚΑΤΑΛΟΓΟΣ ΕΚΔΟΧΩΝ</w:t>
      </w:r>
    </w:p>
    <w:p w14:paraId="0049AA84" w14:textId="77777777" w:rsidR="00171824" w:rsidRDefault="00171824">
      <w:pPr>
        <w:widowControl/>
        <w:tabs>
          <w:tab w:val="left" w:pos="567"/>
        </w:tabs>
        <w:autoSpaceDE/>
        <w:autoSpaceDN/>
        <w:adjustRightInd/>
        <w:rPr>
          <w:rFonts w:eastAsia="PMingLiU"/>
          <w:sz w:val="22"/>
          <w:szCs w:val="22"/>
          <w:lang w:val="el-GR"/>
        </w:rPr>
      </w:pPr>
    </w:p>
    <w:p w14:paraId="251F2CA6" w14:textId="77777777" w:rsidR="00171824" w:rsidRDefault="006D258C">
      <w:pPr>
        <w:widowControl/>
        <w:rPr>
          <w:rFonts w:eastAsia="PMingLiU"/>
          <w:sz w:val="22"/>
          <w:szCs w:val="22"/>
          <w:lang w:val="el-GR" w:bidi="en-US"/>
        </w:rPr>
      </w:pPr>
      <w:r>
        <w:rPr>
          <w:rFonts w:eastAsia="Arial Unicode MS" w:cs="Arial Unicode MS"/>
          <w:sz w:val="22"/>
          <w:szCs w:val="22"/>
          <w:lang w:val="el-GR" w:bidi="en-US"/>
        </w:rPr>
        <w:t>L-γαλακτικό οξύ, σακχαρόζη, πολυσορβικό 80, υδροξείδιο του νατρίου και ενέσιμο ύδωρ.</w:t>
      </w:r>
    </w:p>
    <w:p w14:paraId="3800939B" w14:textId="77777777" w:rsidR="00171824" w:rsidRDefault="00171824">
      <w:pPr>
        <w:widowControl/>
        <w:tabs>
          <w:tab w:val="left" w:pos="567"/>
        </w:tabs>
        <w:autoSpaceDE/>
        <w:autoSpaceDN/>
        <w:adjustRightInd/>
        <w:rPr>
          <w:rFonts w:eastAsia="PMingLiU"/>
          <w:sz w:val="22"/>
          <w:szCs w:val="22"/>
          <w:lang w:val="el-GR"/>
        </w:rPr>
      </w:pPr>
    </w:p>
    <w:p w14:paraId="092B651F" w14:textId="77777777" w:rsidR="00171824" w:rsidRDefault="00171824">
      <w:pPr>
        <w:widowControl/>
        <w:tabs>
          <w:tab w:val="left" w:pos="567"/>
        </w:tabs>
        <w:autoSpaceDE/>
        <w:autoSpaceDN/>
        <w:adjustRightInd/>
        <w:rPr>
          <w:rFonts w:eastAsia="PMingLiU"/>
          <w:sz w:val="22"/>
          <w:szCs w:val="22"/>
          <w:lang w:val="el-GR"/>
        </w:rPr>
      </w:pPr>
    </w:p>
    <w:p w14:paraId="60D3187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4.</w:t>
      </w:r>
      <w:r>
        <w:rPr>
          <w:rFonts w:eastAsia="Arial Unicode MS" w:cs="Arial Unicode MS"/>
          <w:b/>
          <w:sz w:val="22"/>
          <w:szCs w:val="22"/>
          <w:lang w:val="el-GR" w:bidi="en-US"/>
        </w:rPr>
        <w:tab/>
        <w:t>ΦΑΡΜΑΚΟΤΕΧΝΙΚΗ ΜΟΡΦΗ ΚΑΙ ΠΕΡΙΕΧΟΜΕΝΟ</w:t>
      </w:r>
    </w:p>
    <w:p w14:paraId="1D5FAFDB" w14:textId="77777777" w:rsidR="00171824" w:rsidRDefault="00171824">
      <w:pPr>
        <w:widowControl/>
        <w:tabs>
          <w:tab w:val="left" w:pos="567"/>
        </w:tabs>
        <w:autoSpaceDE/>
        <w:autoSpaceDN/>
        <w:adjustRightInd/>
        <w:rPr>
          <w:rFonts w:eastAsia="PMingLiU"/>
          <w:sz w:val="22"/>
          <w:szCs w:val="22"/>
          <w:lang w:val="el-GR"/>
        </w:rPr>
      </w:pPr>
    </w:p>
    <w:p w14:paraId="7AEA37BA"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highlight w:val="lightGray"/>
          <w:lang w:val="el-GR"/>
        </w:rPr>
        <w:t>Ενέσιμο διάλυμα</w:t>
      </w:r>
    </w:p>
    <w:p w14:paraId="0668CC3E" w14:textId="77777777" w:rsidR="00171824" w:rsidRDefault="006D258C">
      <w:pPr>
        <w:rPr>
          <w:sz w:val="22"/>
          <w:szCs w:val="22"/>
          <w:lang w:val="el-GR"/>
        </w:rPr>
      </w:pPr>
      <w:r>
        <w:rPr>
          <w:sz w:val="22"/>
          <w:szCs w:val="22"/>
          <w:lang w:val="el-GR"/>
        </w:rPr>
        <w:t>80 mg/0,8 ml</w:t>
      </w:r>
    </w:p>
    <w:p w14:paraId="7D7008C3" w14:textId="77777777" w:rsidR="00171824" w:rsidRDefault="006D258C">
      <w:pPr>
        <w:widowControl/>
        <w:tabs>
          <w:tab w:val="left" w:pos="567"/>
        </w:tabs>
        <w:autoSpaceDE/>
        <w:autoSpaceDN/>
        <w:adjustRightInd/>
        <w:rPr>
          <w:rFonts w:eastAsia="PMingLiU"/>
          <w:sz w:val="22"/>
          <w:szCs w:val="22"/>
          <w:lang w:val="el-GR"/>
        </w:rPr>
      </w:pPr>
      <w:r>
        <w:rPr>
          <w:rFonts w:eastAsia="Arial Unicode MS" w:cs="Arial Unicode MS"/>
          <w:sz w:val="22"/>
          <w:szCs w:val="22"/>
          <w:lang w:val="el-GR" w:bidi="en-US"/>
        </w:rPr>
        <w:t>1 προγεμισμένη συσκευή τύπου πένας SureClick. Μέρος πολυσυσκευασίας, δεν μπορεί να πωληθεί ξεχωριστά.</w:t>
      </w:r>
    </w:p>
    <w:p w14:paraId="4E0D216B" w14:textId="77777777" w:rsidR="00171824" w:rsidRDefault="00171824">
      <w:pPr>
        <w:widowControl/>
        <w:tabs>
          <w:tab w:val="left" w:pos="567"/>
        </w:tabs>
        <w:autoSpaceDE/>
        <w:autoSpaceDN/>
        <w:adjustRightInd/>
        <w:rPr>
          <w:rFonts w:eastAsia="PMingLiU"/>
          <w:sz w:val="22"/>
          <w:szCs w:val="22"/>
          <w:lang w:val="el-GR"/>
        </w:rPr>
      </w:pPr>
    </w:p>
    <w:p w14:paraId="68C7D405" w14:textId="77777777" w:rsidR="00171824" w:rsidRDefault="00171824">
      <w:pPr>
        <w:widowControl/>
        <w:tabs>
          <w:tab w:val="left" w:pos="567"/>
        </w:tabs>
        <w:autoSpaceDE/>
        <w:autoSpaceDN/>
        <w:adjustRightInd/>
        <w:rPr>
          <w:rFonts w:eastAsia="PMingLiU"/>
          <w:sz w:val="22"/>
          <w:szCs w:val="22"/>
          <w:lang w:val="el-GR"/>
        </w:rPr>
      </w:pPr>
    </w:p>
    <w:p w14:paraId="551DAEF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ΤΡΟΠΟΣ ΚΑΙ ΟΔΟΣ(ΟΙ) ΧΟΡΗΓΗΣΗΣ</w:t>
      </w:r>
    </w:p>
    <w:p w14:paraId="6ECE09D4" w14:textId="77777777" w:rsidR="00171824" w:rsidRDefault="00171824">
      <w:pPr>
        <w:widowControl/>
        <w:tabs>
          <w:tab w:val="left" w:pos="567"/>
        </w:tabs>
        <w:autoSpaceDE/>
        <w:autoSpaceDN/>
        <w:adjustRightInd/>
        <w:rPr>
          <w:rFonts w:eastAsia="PMingLiU"/>
          <w:sz w:val="22"/>
          <w:szCs w:val="20"/>
          <w:lang w:val="el-GR"/>
        </w:rPr>
      </w:pPr>
    </w:p>
    <w:p w14:paraId="715BEA85"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0"/>
          <w:lang w:val="el-GR" w:bidi="en-US"/>
        </w:rPr>
        <w:t>Γ</w:t>
      </w:r>
      <w:r>
        <w:rPr>
          <w:rFonts w:eastAsia="Arial Unicode MS" w:cs="Arial Unicode MS"/>
          <w:sz w:val="22"/>
          <w:szCs w:val="22"/>
          <w:lang w:val="el-GR" w:bidi="en-US"/>
        </w:rPr>
        <w:t>ια</w:t>
      </w:r>
      <w:r>
        <w:rPr>
          <w:rFonts w:eastAsia="Arial Unicode MS" w:cs="Arial Unicode MS"/>
          <w:sz w:val="22"/>
          <w:szCs w:val="20"/>
          <w:lang w:val="el-GR" w:bidi="en-US"/>
        </w:rPr>
        <w:t xml:space="preserve"> </w:t>
      </w:r>
      <w:r>
        <w:rPr>
          <w:rFonts w:eastAsia="Arial Unicode MS" w:cs="Arial Unicode MS"/>
          <w:sz w:val="22"/>
          <w:szCs w:val="22"/>
          <w:lang w:val="el-GR" w:bidi="en-US"/>
        </w:rPr>
        <w:t>υποδόρια χρήση.</w:t>
      </w:r>
    </w:p>
    <w:p w14:paraId="6E40EEB8"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Διαβάστε το φύλλο οδηγιών χρήσης πριν από τη χρήση.</w:t>
      </w:r>
    </w:p>
    <w:p w14:paraId="4C12F32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Μόνο για μία χρήση.</w:t>
      </w:r>
    </w:p>
    <w:p w14:paraId="0E0788DF" w14:textId="77777777" w:rsidR="00171824" w:rsidRDefault="00171824">
      <w:pPr>
        <w:widowControl/>
        <w:tabs>
          <w:tab w:val="left" w:pos="567"/>
        </w:tabs>
        <w:autoSpaceDE/>
        <w:autoSpaceDN/>
        <w:adjustRightInd/>
        <w:rPr>
          <w:rFonts w:eastAsia="PMingLiU"/>
          <w:sz w:val="22"/>
          <w:szCs w:val="22"/>
          <w:lang w:val="el-GR"/>
        </w:rPr>
      </w:pPr>
    </w:p>
    <w:p w14:paraId="521A9B18" w14:textId="77777777" w:rsidR="00171824" w:rsidRDefault="00171824">
      <w:pPr>
        <w:widowControl/>
        <w:tabs>
          <w:tab w:val="left" w:pos="567"/>
        </w:tabs>
        <w:autoSpaceDE/>
        <w:autoSpaceDN/>
        <w:adjustRightInd/>
        <w:rPr>
          <w:rFonts w:eastAsia="PMingLiU"/>
          <w:sz w:val="22"/>
          <w:szCs w:val="22"/>
          <w:lang w:val="el-GR"/>
        </w:rPr>
      </w:pPr>
    </w:p>
    <w:p w14:paraId="61BCB784"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ΕΙΔΙΚΗ ΠΡΟΕΙΔΟΠΟΙΗΣΗ ΣΥΜΦΩΝΑ ΜΕ ΤΗΝ ΟΠΟΙΑ ΤΟ ΦΑΡΜΑΚΕΥΤΙΚΟ ΠΡΟΪΟΝ ΠΡΕΠΕΙ ΝΑ ΦΥΛΑΣΣΕΤΑΙ ΣΕ ΘΕΣΗ ΤΗΝ ΟΠΟΙΑ ΔΕΝ ΒΛΕΠΟΥΝ ΚΑΙ ΔΕΝ ΠΡΟΣΕΓΓΙΖΟΥΝ ΤΑ ΠΑΙΔΙΑ</w:t>
      </w:r>
    </w:p>
    <w:p w14:paraId="1FD92DF4" w14:textId="77777777" w:rsidR="00171824" w:rsidRDefault="00171824">
      <w:pPr>
        <w:widowControl/>
        <w:tabs>
          <w:tab w:val="left" w:pos="567"/>
        </w:tabs>
        <w:autoSpaceDE/>
        <w:autoSpaceDN/>
        <w:adjustRightInd/>
        <w:rPr>
          <w:rFonts w:eastAsia="PMingLiU"/>
          <w:sz w:val="22"/>
          <w:szCs w:val="22"/>
          <w:lang w:val="el-GR"/>
        </w:rPr>
      </w:pPr>
    </w:p>
    <w:p w14:paraId="69C4ABCD" w14:textId="77777777" w:rsidR="00171824" w:rsidRDefault="006D258C">
      <w:pPr>
        <w:widowControl/>
        <w:tabs>
          <w:tab w:val="left" w:pos="567"/>
        </w:tabs>
        <w:autoSpaceDE/>
        <w:autoSpaceDN/>
        <w:adjustRightInd/>
        <w:outlineLvl w:val="0"/>
        <w:rPr>
          <w:rFonts w:eastAsia="PMingLiU"/>
          <w:sz w:val="22"/>
          <w:szCs w:val="22"/>
          <w:lang w:val="el-GR" w:bidi="en-US"/>
        </w:rPr>
      </w:pPr>
      <w:r>
        <w:rPr>
          <w:rFonts w:eastAsia="Arial Unicode MS" w:cs="Arial Unicode MS"/>
          <w:sz w:val="22"/>
          <w:szCs w:val="22"/>
          <w:lang w:val="el-GR" w:bidi="en-US"/>
        </w:rPr>
        <w:t>Να φυλάσσεται σε θέση, την οποία δεν βλέπουν και δεν προσεγγίζουν τα παιδιά.</w:t>
      </w:r>
    </w:p>
    <w:p w14:paraId="38FFC039" w14:textId="77777777" w:rsidR="00171824" w:rsidRDefault="00171824">
      <w:pPr>
        <w:widowControl/>
        <w:tabs>
          <w:tab w:val="left" w:pos="567"/>
        </w:tabs>
        <w:autoSpaceDE/>
        <w:autoSpaceDN/>
        <w:adjustRightInd/>
        <w:rPr>
          <w:rFonts w:eastAsia="PMingLiU"/>
          <w:sz w:val="22"/>
          <w:szCs w:val="22"/>
          <w:lang w:val="el-GR"/>
        </w:rPr>
      </w:pPr>
    </w:p>
    <w:p w14:paraId="467E2200" w14:textId="77777777" w:rsidR="00171824" w:rsidRDefault="00171824">
      <w:pPr>
        <w:widowControl/>
        <w:tabs>
          <w:tab w:val="left" w:pos="567"/>
        </w:tabs>
        <w:autoSpaceDE/>
        <w:autoSpaceDN/>
        <w:adjustRightInd/>
        <w:rPr>
          <w:rFonts w:eastAsia="PMingLiU"/>
          <w:sz w:val="22"/>
          <w:szCs w:val="22"/>
          <w:lang w:val="el-GR"/>
        </w:rPr>
      </w:pPr>
    </w:p>
    <w:p w14:paraId="6FEB24ED"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t>7.</w:t>
      </w:r>
      <w:r>
        <w:rPr>
          <w:rFonts w:eastAsia="Arial Unicode MS" w:cs="Arial Unicode MS"/>
          <w:b/>
          <w:sz w:val="22"/>
          <w:szCs w:val="22"/>
          <w:lang w:val="el-GR" w:bidi="en-US"/>
        </w:rPr>
        <w:tab/>
        <w:t>ΑΛΛΗ(ΕΣ) ΕΙΔΙΚΗ(ΕΣ) ΠΡΟΕΙΔΟΠΟΙΗΣΗ(ΕΙΣ), ΕΑΝ ΕΙΝΑΙ ΑΠΑΡΑΙΤΗΤΗ(ΕΣ)</w:t>
      </w:r>
    </w:p>
    <w:p w14:paraId="2AF48A84" w14:textId="77777777" w:rsidR="00171824" w:rsidRDefault="00171824">
      <w:pPr>
        <w:widowControl/>
        <w:tabs>
          <w:tab w:val="left" w:pos="567"/>
        </w:tabs>
        <w:autoSpaceDE/>
        <w:autoSpaceDN/>
        <w:adjustRightInd/>
        <w:rPr>
          <w:rFonts w:eastAsia="PMingLiU"/>
          <w:sz w:val="22"/>
          <w:szCs w:val="22"/>
          <w:lang w:val="el-GR"/>
        </w:rPr>
      </w:pPr>
    </w:p>
    <w:p w14:paraId="0272AB85" w14:textId="77777777" w:rsidR="00171824" w:rsidRDefault="00171824">
      <w:pPr>
        <w:widowControl/>
        <w:tabs>
          <w:tab w:val="left" w:pos="567"/>
          <w:tab w:val="left" w:pos="749"/>
        </w:tabs>
        <w:autoSpaceDE/>
        <w:autoSpaceDN/>
        <w:adjustRightInd/>
        <w:rPr>
          <w:rFonts w:eastAsia="PMingLiU"/>
          <w:sz w:val="22"/>
          <w:szCs w:val="20"/>
          <w:lang w:val="el-GR"/>
        </w:rPr>
      </w:pPr>
    </w:p>
    <w:p w14:paraId="042ABE53"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0"/>
          <w:lang w:val="el-GR" w:bidi="en-US"/>
        </w:rPr>
      </w:pPr>
      <w:r>
        <w:rPr>
          <w:rFonts w:eastAsia="Arial Unicode MS" w:cs="Arial Unicode MS"/>
          <w:b/>
          <w:sz w:val="22"/>
          <w:szCs w:val="20"/>
          <w:lang w:val="el-GR" w:bidi="en-US"/>
        </w:rPr>
        <w:t>8.</w:t>
      </w:r>
      <w:r>
        <w:rPr>
          <w:rFonts w:eastAsia="Arial Unicode MS" w:cs="Arial Unicode MS"/>
          <w:b/>
          <w:sz w:val="22"/>
          <w:szCs w:val="20"/>
          <w:lang w:val="el-GR" w:bidi="en-US"/>
        </w:rPr>
        <w:tab/>
        <w:t>ΗΜΕΡΟΜΗΝΙΑ ΛΗΞΗΣ</w:t>
      </w:r>
    </w:p>
    <w:p w14:paraId="76D421AF" w14:textId="77777777" w:rsidR="00171824" w:rsidRDefault="00171824">
      <w:pPr>
        <w:widowControl/>
        <w:tabs>
          <w:tab w:val="left" w:pos="567"/>
        </w:tabs>
        <w:autoSpaceDE/>
        <w:autoSpaceDN/>
        <w:adjustRightInd/>
        <w:rPr>
          <w:rFonts w:eastAsia="PMingLiU"/>
          <w:sz w:val="22"/>
          <w:szCs w:val="20"/>
          <w:lang w:val="el-GR"/>
        </w:rPr>
      </w:pPr>
    </w:p>
    <w:p w14:paraId="431D3BD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 xml:space="preserve">ΛΗΞΗ </w:t>
      </w:r>
    </w:p>
    <w:p w14:paraId="538E5D3C" w14:textId="77777777" w:rsidR="00171824" w:rsidRDefault="00171824">
      <w:pPr>
        <w:widowControl/>
        <w:tabs>
          <w:tab w:val="left" w:pos="567"/>
        </w:tabs>
        <w:autoSpaceDE/>
        <w:autoSpaceDN/>
        <w:adjustRightInd/>
        <w:rPr>
          <w:rFonts w:eastAsia="PMingLiU"/>
          <w:sz w:val="22"/>
          <w:szCs w:val="22"/>
          <w:lang w:val="el-GR"/>
        </w:rPr>
      </w:pPr>
    </w:p>
    <w:p w14:paraId="179B995F" w14:textId="77777777" w:rsidR="00171824" w:rsidRDefault="00171824">
      <w:pPr>
        <w:widowControl/>
        <w:tabs>
          <w:tab w:val="left" w:pos="567"/>
        </w:tabs>
        <w:autoSpaceDE/>
        <w:autoSpaceDN/>
        <w:adjustRightInd/>
        <w:rPr>
          <w:rFonts w:eastAsia="PMingLiU"/>
          <w:sz w:val="22"/>
          <w:szCs w:val="22"/>
          <w:lang w:val="el-GR"/>
        </w:rPr>
      </w:pPr>
    </w:p>
    <w:p w14:paraId="47578B6E" w14:textId="77777777" w:rsidR="00171824" w:rsidRDefault="006D258C">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sz w:val="22"/>
          <w:szCs w:val="22"/>
          <w:lang w:val="el-GR" w:bidi="en-US"/>
        </w:rPr>
      </w:pPr>
      <w:r>
        <w:rPr>
          <w:rFonts w:eastAsia="Arial Unicode MS" w:cs="Arial Unicode MS"/>
          <w:b/>
          <w:sz w:val="22"/>
          <w:szCs w:val="22"/>
          <w:lang w:val="el-GR" w:bidi="en-US"/>
        </w:rPr>
        <w:lastRenderedPageBreak/>
        <w:t>9.</w:t>
      </w:r>
      <w:r>
        <w:rPr>
          <w:rFonts w:eastAsia="Arial Unicode MS" w:cs="Arial Unicode MS"/>
          <w:b/>
          <w:sz w:val="22"/>
          <w:szCs w:val="22"/>
          <w:lang w:val="el-GR" w:bidi="en-US"/>
        </w:rPr>
        <w:tab/>
        <w:t>ΕΙΔΙΚΕΣ ΣΥΝΘΗΚΕΣ ΦΥΛΑΞΗΣ</w:t>
      </w:r>
    </w:p>
    <w:p w14:paraId="048CE477" w14:textId="77777777" w:rsidR="00171824" w:rsidRDefault="00171824">
      <w:pPr>
        <w:keepNext/>
        <w:widowControl/>
        <w:tabs>
          <w:tab w:val="left" w:pos="567"/>
        </w:tabs>
        <w:autoSpaceDE/>
        <w:autoSpaceDN/>
        <w:adjustRightInd/>
        <w:rPr>
          <w:rFonts w:eastAsia="PMingLiU"/>
          <w:sz w:val="22"/>
          <w:szCs w:val="22"/>
          <w:lang w:val="el-GR"/>
        </w:rPr>
      </w:pPr>
    </w:p>
    <w:p w14:paraId="2C25531E" w14:textId="77777777" w:rsidR="00171824" w:rsidRDefault="006D258C">
      <w:pPr>
        <w:keepNext/>
        <w:widowControl/>
        <w:rPr>
          <w:rFonts w:eastAsia="SimSun"/>
          <w:sz w:val="22"/>
          <w:szCs w:val="22"/>
          <w:lang w:val="el-GR" w:bidi="en-US"/>
        </w:rPr>
      </w:pPr>
      <w:r>
        <w:rPr>
          <w:rFonts w:eastAsia="Arial Unicode MS" w:cs="Arial Unicode MS"/>
          <w:sz w:val="22"/>
          <w:szCs w:val="22"/>
          <w:lang w:val="el-GR" w:bidi="en-US"/>
        </w:rPr>
        <w:t>Φυλάσσετε σε ψυγείο.</w:t>
      </w:r>
    </w:p>
    <w:p w14:paraId="2EF26DFB"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Μην καταψύχετε.</w:t>
      </w:r>
    </w:p>
    <w:p w14:paraId="257205FC" w14:textId="77777777" w:rsidR="00171824" w:rsidRDefault="006D258C">
      <w:pPr>
        <w:widowControl/>
        <w:tabs>
          <w:tab w:val="left" w:pos="567"/>
        </w:tabs>
        <w:autoSpaceDE/>
        <w:autoSpaceDN/>
        <w:adjustRightInd/>
        <w:rPr>
          <w:rFonts w:eastAsia="SimSun"/>
          <w:sz w:val="22"/>
          <w:szCs w:val="22"/>
          <w:lang w:val="el-GR" w:bidi="en-US"/>
        </w:rPr>
      </w:pPr>
      <w:r>
        <w:rPr>
          <w:rFonts w:eastAsia="Arial Unicode MS" w:cs="Arial Unicode MS"/>
          <w:sz w:val="22"/>
          <w:szCs w:val="22"/>
          <w:lang w:val="el-GR" w:bidi="en-US"/>
        </w:rPr>
        <w:t>Φυλάσσετε στο κουτί του για να προστατεύεται από το φως.</w:t>
      </w:r>
    </w:p>
    <w:p w14:paraId="225C592F" w14:textId="77777777" w:rsidR="00171824" w:rsidRDefault="00171824">
      <w:pPr>
        <w:widowControl/>
        <w:tabs>
          <w:tab w:val="left" w:pos="567"/>
        </w:tabs>
        <w:autoSpaceDE/>
        <w:autoSpaceDN/>
        <w:adjustRightInd/>
        <w:rPr>
          <w:rFonts w:eastAsia="SimSun"/>
          <w:sz w:val="22"/>
          <w:szCs w:val="22"/>
          <w:lang w:val="el-GR" w:eastAsia="en-GB"/>
        </w:rPr>
      </w:pPr>
    </w:p>
    <w:p w14:paraId="4BD6223C" w14:textId="77777777" w:rsidR="00171824" w:rsidRDefault="00171824">
      <w:pPr>
        <w:widowControl/>
        <w:tabs>
          <w:tab w:val="left" w:pos="567"/>
        </w:tabs>
        <w:autoSpaceDE/>
        <w:autoSpaceDN/>
        <w:adjustRightInd/>
        <w:rPr>
          <w:rFonts w:eastAsia="SimSun"/>
          <w:sz w:val="22"/>
          <w:szCs w:val="22"/>
          <w:lang w:val="el-GR" w:eastAsia="en-GB"/>
        </w:rPr>
      </w:pPr>
    </w:p>
    <w:p w14:paraId="70EC408B"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outlineLvl w:val="0"/>
        <w:rPr>
          <w:rFonts w:eastAsia="PMingLiU"/>
          <w:b/>
          <w:sz w:val="22"/>
          <w:szCs w:val="22"/>
          <w:lang w:val="el-GR" w:bidi="en-US"/>
        </w:rPr>
      </w:pPr>
      <w:r>
        <w:rPr>
          <w:rFonts w:eastAsia="Arial Unicode MS" w:cs="Arial Unicode MS"/>
          <w:b/>
          <w:sz w:val="22"/>
          <w:szCs w:val="22"/>
          <w:lang w:val="el-GR" w:bidi="en-US"/>
        </w:rPr>
        <w:t>10.</w:t>
      </w:r>
      <w:r>
        <w:rPr>
          <w:rFonts w:eastAsia="Arial Unicode MS" w:cs="Arial Unicode MS"/>
          <w:b/>
          <w:sz w:val="22"/>
          <w:szCs w:val="22"/>
          <w:lang w:val="el-GR" w:bidi="en-US"/>
        </w:rPr>
        <w:tab/>
        <w:t>ΙΔΙΑΙΤΕΡΕΣ ΠΡΟΦΥΛΑΞΕΙΣ ΓΙΑ ΤΗΝ ΑΠΟΡΡΙΨΗ ΤΩΝ ΜΗ ΧΡΗΣΙΜΟΠΟΙΗΘΕΝΤΩΝ ΦΑΡΜΑΚΕΥΤΙΚΩΝ ΠΡΟΪΟΝΤΩΝ Ή ΤΩΝ ΥΠΟΛΕΙΜΜΑΤΩΝ ΠΟΥ ΠΡΟΕΡΧΟΝΤΑΙ ΑΠΟ ΑΥΤΑ, ΕΦΟΣΟΝ ΑΠΑΙΤΕΙΤΑΙ</w:t>
      </w:r>
    </w:p>
    <w:p w14:paraId="32751227" w14:textId="77777777" w:rsidR="00171824" w:rsidRDefault="00171824">
      <w:pPr>
        <w:widowControl/>
        <w:tabs>
          <w:tab w:val="left" w:pos="567"/>
        </w:tabs>
        <w:autoSpaceDE/>
        <w:autoSpaceDN/>
        <w:adjustRightInd/>
        <w:rPr>
          <w:rFonts w:eastAsia="PMingLiU"/>
          <w:sz w:val="22"/>
          <w:szCs w:val="22"/>
          <w:lang w:val="el-GR"/>
        </w:rPr>
      </w:pPr>
    </w:p>
    <w:p w14:paraId="50462D2C" w14:textId="77777777" w:rsidR="00171824" w:rsidRDefault="00171824">
      <w:pPr>
        <w:widowControl/>
        <w:tabs>
          <w:tab w:val="left" w:pos="567"/>
        </w:tabs>
        <w:autoSpaceDE/>
        <w:autoSpaceDN/>
        <w:adjustRightInd/>
        <w:rPr>
          <w:rFonts w:eastAsia="PMingLiU"/>
          <w:sz w:val="22"/>
          <w:szCs w:val="22"/>
          <w:lang w:val="el-GR"/>
        </w:rPr>
      </w:pPr>
    </w:p>
    <w:p w14:paraId="2F3FC402"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11.</w:t>
      </w:r>
      <w:r>
        <w:rPr>
          <w:rFonts w:eastAsia="Arial Unicode MS" w:cs="Arial Unicode MS"/>
          <w:b/>
          <w:sz w:val="22"/>
          <w:szCs w:val="22"/>
          <w:lang w:val="el-GR" w:bidi="en-US"/>
        </w:rPr>
        <w:tab/>
        <w:t>ΟΝΟΜΑ ΚΑΙ ΔΙΕΥΘΥΝΣΗ ΚΑΤΟΧΟΥ ΤΗΣ ΑΔΕΙΑΣ ΚΥΚΛΟΦΟΡΙΑΣ</w:t>
      </w:r>
    </w:p>
    <w:p w14:paraId="3C4F3E18" w14:textId="77777777" w:rsidR="00171824" w:rsidRDefault="00171824">
      <w:pPr>
        <w:widowControl/>
        <w:tabs>
          <w:tab w:val="left" w:pos="567"/>
        </w:tabs>
        <w:autoSpaceDE/>
        <w:autoSpaceDN/>
        <w:adjustRightInd/>
        <w:rPr>
          <w:rFonts w:eastAsia="PMingLiU"/>
          <w:sz w:val="22"/>
          <w:szCs w:val="22"/>
          <w:lang w:val="el-GR"/>
        </w:rPr>
      </w:pPr>
    </w:p>
    <w:p w14:paraId="470DEF7E"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Amgen Europe B.V.</w:t>
      </w:r>
    </w:p>
    <w:p w14:paraId="7CA98744" w14:textId="77777777" w:rsidR="00171824" w:rsidRPr="00422380" w:rsidRDefault="006D258C">
      <w:pPr>
        <w:widowControl/>
        <w:rPr>
          <w:rFonts w:eastAsia="SimSun"/>
          <w:sz w:val="22"/>
          <w:szCs w:val="22"/>
          <w:lang w:val="sv-SE" w:bidi="en-US"/>
        </w:rPr>
      </w:pPr>
      <w:r w:rsidRPr="00422380">
        <w:rPr>
          <w:rFonts w:eastAsia="Arial Unicode MS" w:cs="Arial Unicode MS"/>
          <w:sz w:val="22"/>
          <w:szCs w:val="22"/>
          <w:lang w:val="sv-SE" w:bidi="en-US"/>
        </w:rPr>
        <w:t>Minervum 7061,</w:t>
      </w:r>
    </w:p>
    <w:p w14:paraId="0EB73B62" w14:textId="77777777" w:rsidR="00171824" w:rsidRDefault="006D258C">
      <w:pPr>
        <w:widowControl/>
        <w:rPr>
          <w:rFonts w:eastAsia="SimSun"/>
          <w:sz w:val="22"/>
          <w:szCs w:val="22"/>
          <w:lang w:val="el-GR" w:bidi="en-US"/>
        </w:rPr>
      </w:pPr>
      <w:r>
        <w:rPr>
          <w:rFonts w:eastAsia="Arial Unicode MS" w:cs="Arial Unicode MS"/>
          <w:sz w:val="22"/>
          <w:szCs w:val="22"/>
          <w:lang w:val="el-GR" w:bidi="en-US"/>
        </w:rPr>
        <w:t>4817 ZK Breda,</w:t>
      </w:r>
    </w:p>
    <w:p w14:paraId="266DE5D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Ολλανδία</w:t>
      </w:r>
      <w:r>
        <w:rPr>
          <w:rFonts w:eastAsia="Arial Unicode MS" w:cs="Arial Unicode MS"/>
          <w:i/>
          <w:sz w:val="22"/>
          <w:szCs w:val="22"/>
          <w:lang w:val="el-GR" w:bidi="en-US"/>
        </w:rPr>
        <w:t xml:space="preserve"> </w:t>
      </w:r>
    </w:p>
    <w:p w14:paraId="6117F8CB" w14:textId="77777777" w:rsidR="00171824" w:rsidRDefault="00171824">
      <w:pPr>
        <w:widowControl/>
        <w:tabs>
          <w:tab w:val="left" w:pos="567"/>
        </w:tabs>
        <w:autoSpaceDE/>
        <w:autoSpaceDN/>
        <w:adjustRightInd/>
        <w:rPr>
          <w:rFonts w:eastAsia="PMingLiU"/>
          <w:sz w:val="22"/>
          <w:szCs w:val="22"/>
          <w:lang w:val="el-GR"/>
        </w:rPr>
      </w:pPr>
    </w:p>
    <w:p w14:paraId="6FB075B6" w14:textId="77777777" w:rsidR="00171824" w:rsidRDefault="00171824">
      <w:pPr>
        <w:widowControl/>
        <w:tabs>
          <w:tab w:val="left" w:pos="567"/>
        </w:tabs>
        <w:autoSpaceDE/>
        <w:autoSpaceDN/>
        <w:adjustRightInd/>
        <w:rPr>
          <w:rFonts w:eastAsia="PMingLiU"/>
          <w:sz w:val="22"/>
          <w:szCs w:val="22"/>
          <w:lang w:val="el-GR"/>
        </w:rPr>
      </w:pPr>
    </w:p>
    <w:p w14:paraId="5FA0AB85"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12.</w:t>
      </w:r>
      <w:r>
        <w:rPr>
          <w:rFonts w:eastAsia="Arial Unicode MS" w:cs="Arial Unicode MS"/>
          <w:b/>
          <w:sz w:val="22"/>
          <w:szCs w:val="22"/>
          <w:lang w:val="el-GR" w:bidi="en-US"/>
        </w:rPr>
        <w:tab/>
        <w:t xml:space="preserve">ΑΡΙΘΜΟΣ(ΟΙ) ΑΔΕΙΑΣ ΚΥΚΛΟΦΟΡΙΑΣ </w:t>
      </w:r>
    </w:p>
    <w:p w14:paraId="31E0F671" w14:textId="77777777" w:rsidR="00171824" w:rsidRDefault="00171824">
      <w:pPr>
        <w:widowControl/>
        <w:tabs>
          <w:tab w:val="left" w:pos="567"/>
        </w:tabs>
        <w:autoSpaceDE/>
        <w:autoSpaceDN/>
        <w:adjustRightInd/>
        <w:rPr>
          <w:rFonts w:eastAsia="PMingLiU"/>
          <w:sz w:val="22"/>
          <w:szCs w:val="22"/>
          <w:lang w:val="el-GR"/>
        </w:rPr>
      </w:pPr>
    </w:p>
    <w:p w14:paraId="1E5B20D3" w14:textId="77777777" w:rsidR="00171824" w:rsidRDefault="006D258C">
      <w:pPr>
        <w:widowControl/>
        <w:tabs>
          <w:tab w:val="left" w:pos="567"/>
        </w:tabs>
        <w:autoSpaceDE/>
        <w:autoSpaceDN/>
        <w:adjustRightInd/>
        <w:rPr>
          <w:rFonts w:eastAsia="Arial Unicode MS" w:cs="Arial Unicode MS"/>
          <w:sz w:val="22"/>
          <w:szCs w:val="22"/>
          <w:highlight w:val="lightGray"/>
          <w:lang w:val="el-GR" w:bidi="en-US"/>
        </w:rPr>
      </w:pPr>
      <w:r>
        <w:rPr>
          <w:rFonts w:eastAsia="Arial Unicode MS" w:cs="Arial Unicode MS"/>
          <w:sz w:val="22"/>
          <w:szCs w:val="22"/>
          <w:lang w:val="el-GR" w:bidi="en-US"/>
        </w:rPr>
        <w:t xml:space="preserve">EU/1/16/1164/022 </w:t>
      </w:r>
    </w:p>
    <w:p w14:paraId="2906F4FA" w14:textId="77777777" w:rsidR="00171824" w:rsidRDefault="00171824">
      <w:pPr>
        <w:widowControl/>
        <w:tabs>
          <w:tab w:val="left" w:pos="567"/>
        </w:tabs>
        <w:autoSpaceDE/>
        <w:autoSpaceDN/>
        <w:adjustRightInd/>
        <w:outlineLvl w:val="0"/>
        <w:rPr>
          <w:rFonts w:eastAsia="PMingLiU"/>
          <w:sz w:val="22"/>
          <w:szCs w:val="22"/>
          <w:lang w:val="el-GR" w:bidi="en-US"/>
        </w:rPr>
      </w:pPr>
    </w:p>
    <w:p w14:paraId="0AF0E8C0" w14:textId="77777777" w:rsidR="00171824" w:rsidRDefault="00171824">
      <w:pPr>
        <w:widowControl/>
        <w:tabs>
          <w:tab w:val="left" w:pos="567"/>
        </w:tabs>
        <w:autoSpaceDE/>
        <w:autoSpaceDN/>
        <w:adjustRightInd/>
        <w:rPr>
          <w:rFonts w:eastAsia="PMingLiU"/>
          <w:sz w:val="22"/>
          <w:szCs w:val="22"/>
          <w:lang w:val="el-GR"/>
        </w:rPr>
      </w:pPr>
    </w:p>
    <w:p w14:paraId="571DBDA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13.</w:t>
      </w:r>
      <w:r>
        <w:rPr>
          <w:rFonts w:eastAsia="Arial Unicode MS" w:cs="Arial Unicode MS"/>
          <w:b/>
          <w:sz w:val="22"/>
          <w:szCs w:val="22"/>
          <w:lang w:val="el-GR" w:bidi="en-US"/>
        </w:rPr>
        <w:tab/>
        <w:t xml:space="preserve">ΑΡΙΘΜΟΣ ΠΑΡΤΙΔΑΣ </w:t>
      </w:r>
    </w:p>
    <w:p w14:paraId="2B00A5F4" w14:textId="77777777" w:rsidR="00171824" w:rsidRDefault="00171824">
      <w:pPr>
        <w:widowControl/>
        <w:tabs>
          <w:tab w:val="left" w:pos="567"/>
        </w:tabs>
        <w:autoSpaceDE/>
        <w:autoSpaceDN/>
        <w:adjustRightInd/>
        <w:rPr>
          <w:rFonts w:eastAsia="PMingLiU"/>
          <w:i/>
          <w:sz w:val="22"/>
          <w:szCs w:val="22"/>
          <w:lang w:val="el-GR"/>
        </w:rPr>
      </w:pPr>
    </w:p>
    <w:p w14:paraId="52EB3AA9"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Παρτίδα</w:t>
      </w:r>
    </w:p>
    <w:p w14:paraId="25364801" w14:textId="77777777" w:rsidR="00171824" w:rsidRDefault="00171824">
      <w:pPr>
        <w:widowControl/>
        <w:tabs>
          <w:tab w:val="left" w:pos="567"/>
        </w:tabs>
        <w:autoSpaceDE/>
        <w:autoSpaceDN/>
        <w:adjustRightInd/>
        <w:rPr>
          <w:rFonts w:eastAsia="PMingLiU"/>
          <w:sz w:val="22"/>
          <w:szCs w:val="22"/>
          <w:lang w:val="el-GR"/>
        </w:rPr>
      </w:pPr>
    </w:p>
    <w:p w14:paraId="2E750357" w14:textId="77777777" w:rsidR="00171824" w:rsidRDefault="00171824">
      <w:pPr>
        <w:widowControl/>
        <w:tabs>
          <w:tab w:val="left" w:pos="567"/>
        </w:tabs>
        <w:autoSpaceDE/>
        <w:autoSpaceDN/>
        <w:adjustRightInd/>
        <w:rPr>
          <w:rFonts w:eastAsia="PMingLiU"/>
          <w:sz w:val="22"/>
          <w:szCs w:val="22"/>
          <w:lang w:val="el-GR"/>
        </w:rPr>
      </w:pPr>
    </w:p>
    <w:p w14:paraId="5A0DE43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14.</w:t>
      </w:r>
      <w:r>
        <w:rPr>
          <w:rFonts w:eastAsia="Arial Unicode MS" w:cs="Arial Unicode MS"/>
          <w:b/>
          <w:sz w:val="22"/>
          <w:szCs w:val="22"/>
          <w:lang w:val="el-GR" w:bidi="en-US"/>
        </w:rPr>
        <w:tab/>
        <w:t>ΓΕΝΙΚΗ ΚΑΤΑΤΑΞΗ ΓΙΑ ΤΗ ΔΙΑΘΕΣΗ</w:t>
      </w:r>
    </w:p>
    <w:p w14:paraId="61F7FF7E" w14:textId="77777777" w:rsidR="00171824" w:rsidRDefault="00171824">
      <w:pPr>
        <w:widowControl/>
        <w:tabs>
          <w:tab w:val="left" w:pos="567"/>
        </w:tabs>
        <w:autoSpaceDE/>
        <w:autoSpaceDN/>
        <w:adjustRightInd/>
        <w:rPr>
          <w:rFonts w:eastAsia="PMingLiU"/>
          <w:i/>
          <w:sz w:val="22"/>
          <w:szCs w:val="22"/>
          <w:lang w:val="el-GR"/>
        </w:rPr>
      </w:pPr>
    </w:p>
    <w:p w14:paraId="021180DC" w14:textId="77777777" w:rsidR="00171824" w:rsidRDefault="00171824">
      <w:pPr>
        <w:widowControl/>
        <w:tabs>
          <w:tab w:val="left" w:pos="567"/>
        </w:tabs>
        <w:autoSpaceDE/>
        <w:autoSpaceDN/>
        <w:adjustRightInd/>
        <w:rPr>
          <w:rFonts w:eastAsia="PMingLiU"/>
          <w:sz w:val="22"/>
          <w:szCs w:val="22"/>
          <w:lang w:val="el-GR"/>
        </w:rPr>
      </w:pPr>
    </w:p>
    <w:p w14:paraId="7489239A" w14:textId="77777777" w:rsidR="00171824" w:rsidRDefault="006D258C">
      <w:pPr>
        <w:widowControl/>
        <w:pBdr>
          <w:top w:val="single" w:sz="4" w:space="2" w:color="auto"/>
          <w:left w:val="single" w:sz="4" w:space="4" w:color="auto"/>
          <w:bottom w:val="single" w:sz="4" w:space="1" w:color="auto"/>
          <w:right w:val="single" w:sz="4" w:space="4" w:color="auto"/>
        </w:pBdr>
        <w:tabs>
          <w:tab w:val="left" w:pos="567"/>
        </w:tabs>
        <w:autoSpaceDE/>
        <w:autoSpaceDN/>
        <w:adjustRightInd/>
        <w:outlineLvl w:val="0"/>
        <w:rPr>
          <w:rFonts w:eastAsia="PMingLiU"/>
          <w:sz w:val="22"/>
          <w:szCs w:val="22"/>
          <w:lang w:val="el-GR" w:bidi="en-US"/>
        </w:rPr>
      </w:pPr>
      <w:r>
        <w:rPr>
          <w:rFonts w:eastAsia="Arial Unicode MS" w:cs="Arial Unicode MS"/>
          <w:b/>
          <w:sz w:val="22"/>
          <w:szCs w:val="22"/>
          <w:lang w:val="el-GR" w:bidi="en-US"/>
        </w:rPr>
        <w:t>15.</w:t>
      </w:r>
      <w:r>
        <w:rPr>
          <w:rFonts w:eastAsia="Arial Unicode MS" w:cs="Arial Unicode MS"/>
          <w:b/>
          <w:sz w:val="22"/>
          <w:szCs w:val="22"/>
          <w:lang w:val="el-GR" w:bidi="en-US"/>
        </w:rPr>
        <w:tab/>
        <w:t>ΟΔΗΓΙΕΣ ΧΡΗΣΗΣ</w:t>
      </w:r>
    </w:p>
    <w:p w14:paraId="4C27C72E" w14:textId="77777777" w:rsidR="00171824" w:rsidRDefault="00171824">
      <w:pPr>
        <w:widowControl/>
        <w:tabs>
          <w:tab w:val="left" w:pos="567"/>
        </w:tabs>
        <w:autoSpaceDE/>
        <w:autoSpaceDN/>
        <w:adjustRightInd/>
        <w:rPr>
          <w:rFonts w:eastAsia="PMingLiU"/>
          <w:sz w:val="22"/>
          <w:szCs w:val="22"/>
          <w:lang w:val="el-GR"/>
        </w:rPr>
      </w:pPr>
    </w:p>
    <w:p w14:paraId="2D110069" w14:textId="77777777" w:rsidR="00171824" w:rsidRDefault="00171824">
      <w:pPr>
        <w:widowControl/>
        <w:tabs>
          <w:tab w:val="left" w:pos="567"/>
        </w:tabs>
        <w:autoSpaceDE/>
        <w:autoSpaceDN/>
        <w:adjustRightInd/>
        <w:rPr>
          <w:rFonts w:eastAsia="PMingLiU"/>
          <w:sz w:val="22"/>
          <w:szCs w:val="22"/>
          <w:lang w:val="el-GR"/>
        </w:rPr>
      </w:pPr>
    </w:p>
    <w:p w14:paraId="004987AD"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rPr>
          <w:rFonts w:eastAsia="PMingLiU"/>
          <w:sz w:val="22"/>
          <w:szCs w:val="22"/>
          <w:lang w:val="el-GR" w:bidi="en-US"/>
        </w:rPr>
      </w:pPr>
      <w:r>
        <w:rPr>
          <w:rFonts w:eastAsia="Arial Unicode MS" w:cs="Arial Unicode MS"/>
          <w:b/>
          <w:sz w:val="22"/>
          <w:szCs w:val="22"/>
          <w:lang w:val="el-GR" w:bidi="en-US"/>
        </w:rPr>
        <w:t>16.</w:t>
      </w:r>
      <w:r>
        <w:rPr>
          <w:rFonts w:eastAsia="Arial Unicode MS" w:cs="Arial Unicode MS"/>
          <w:b/>
          <w:sz w:val="22"/>
          <w:szCs w:val="22"/>
          <w:lang w:val="el-GR" w:bidi="en-US"/>
        </w:rPr>
        <w:tab/>
        <w:t>ΠΛΗΡΟΦΟΡΙΕΣ ΣΕ BRAILLE</w:t>
      </w:r>
    </w:p>
    <w:p w14:paraId="1FE6AEEC" w14:textId="77777777" w:rsidR="00171824" w:rsidRDefault="00171824">
      <w:pPr>
        <w:widowControl/>
        <w:tabs>
          <w:tab w:val="left" w:pos="567"/>
        </w:tabs>
        <w:autoSpaceDE/>
        <w:autoSpaceDN/>
        <w:adjustRightInd/>
        <w:rPr>
          <w:rFonts w:eastAsia="PMingLiU"/>
          <w:sz w:val="22"/>
          <w:szCs w:val="20"/>
          <w:lang w:val="el-GR"/>
        </w:rPr>
      </w:pPr>
    </w:p>
    <w:p w14:paraId="6FD15A9E" w14:textId="77777777" w:rsidR="00171824" w:rsidRDefault="006D258C">
      <w:pPr>
        <w:widowControl/>
        <w:tabs>
          <w:tab w:val="left" w:pos="567"/>
        </w:tabs>
        <w:autoSpaceDE/>
        <w:autoSpaceDN/>
        <w:adjustRightInd/>
        <w:rPr>
          <w:rFonts w:eastAsia="Arial Unicode MS" w:cs="Arial Unicode MS"/>
          <w:sz w:val="22"/>
          <w:szCs w:val="22"/>
          <w:lang w:val="el-GR" w:bidi="en-US"/>
        </w:rPr>
      </w:pPr>
      <w:r>
        <w:rPr>
          <w:rFonts w:eastAsia="Arial Unicode MS" w:cs="Arial Unicode MS"/>
          <w:sz w:val="22"/>
          <w:szCs w:val="20"/>
          <w:lang w:val="el-GR" w:bidi="en-US"/>
        </w:rPr>
        <w:t xml:space="preserve">AMGEVITA 80 mg/0,8 ml </w:t>
      </w:r>
      <w:r>
        <w:rPr>
          <w:rFonts w:eastAsia="Arial Unicode MS" w:cs="Arial Unicode MS"/>
          <w:sz w:val="22"/>
          <w:szCs w:val="22"/>
          <w:lang w:val="el-GR" w:bidi="en-US"/>
        </w:rPr>
        <w:t>συσκευή τύπου πένας</w:t>
      </w:r>
    </w:p>
    <w:p w14:paraId="4D8E412E"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65675D32" w14:textId="77777777" w:rsidR="00171824" w:rsidRDefault="00171824">
      <w:pPr>
        <w:widowControl/>
        <w:tabs>
          <w:tab w:val="left" w:pos="567"/>
        </w:tabs>
        <w:autoSpaceDE/>
        <w:autoSpaceDN/>
        <w:adjustRightInd/>
        <w:rPr>
          <w:rFonts w:eastAsia="Arial Unicode MS" w:cs="Arial Unicode MS"/>
          <w:sz w:val="22"/>
          <w:szCs w:val="22"/>
          <w:lang w:val="el-GR" w:bidi="en-US"/>
        </w:rPr>
      </w:pPr>
    </w:p>
    <w:p w14:paraId="496F3F0D"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ind w:left="567" w:hanging="567"/>
        <w:rPr>
          <w:rFonts w:eastAsia="Arial Unicode MS" w:cs="Arial Unicode MS"/>
          <w:b/>
          <w:sz w:val="22"/>
          <w:szCs w:val="22"/>
          <w:lang w:val="el-GR" w:bidi="en-US"/>
        </w:rPr>
      </w:pPr>
      <w:r>
        <w:rPr>
          <w:rFonts w:eastAsia="Arial Unicode MS" w:cs="Arial Unicode MS"/>
          <w:b/>
          <w:sz w:val="22"/>
          <w:szCs w:val="22"/>
          <w:lang w:val="el-GR" w:bidi="en-US"/>
        </w:rPr>
        <w:t>17.</w:t>
      </w:r>
      <w:r>
        <w:rPr>
          <w:rFonts w:eastAsia="Arial Unicode MS" w:cs="Arial Unicode MS"/>
          <w:b/>
          <w:sz w:val="22"/>
          <w:szCs w:val="22"/>
          <w:lang w:val="el-GR" w:bidi="en-US"/>
        </w:rPr>
        <w:tab/>
        <w:t>ΜΟΝΑΔΙΚΟΣ ΑΝΑΓΝΩΡΙΣΤΙΚΟΣ ΚΩΔΙΚΟΣ – ΔΙΣΔΙΑΣΤΑΤΟΣ ΓΡΑΜΜΩΤΟΣ ΚΩΔΙΚΑΣ (2D)</w:t>
      </w:r>
    </w:p>
    <w:p w14:paraId="4BD2A12D" w14:textId="77777777" w:rsidR="00171824" w:rsidRDefault="00171824">
      <w:pPr>
        <w:widowControl/>
        <w:tabs>
          <w:tab w:val="left" w:pos="567"/>
        </w:tabs>
        <w:autoSpaceDE/>
        <w:autoSpaceDN/>
        <w:adjustRightInd/>
        <w:rPr>
          <w:rFonts w:eastAsia="PMingLiU"/>
          <w:sz w:val="22"/>
          <w:szCs w:val="22"/>
          <w:lang w:val="el-GR"/>
        </w:rPr>
      </w:pPr>
    </w:p>
    <w:p w14:paraId="6A7E11D0" w14:textId="77777777" w:rsidR="00171824" w:rsidRDefault="00171824">
      <w:pPr>
        <w:widowControl/>
        <w:tabs>
          <w:tab w:val="left" w:pos="567"/>
        </w:tabs>
        <w:autoSpaceDE/>
        <w:autoSpaceDN/>
        <w:adjustRightInd/>
        <w:rPr>
          <w:rFonts w:eastAsia="PMingLiU"/>
          <w:sz w:val="22"/>
          <w:szCs w:val="22"/>
          <w:lang w:val="el-GR"/>
        </w:rPr>
      </w:pPr>
    </w:p>
    <w:p w14:paraId="017E49EF" w14:textId="77777777" w:rsidR="00171824" w:rsidRDefault="006D258C">
      <w:pPr>
        <w:widowControl/>
        <w:pBdr>
          <w:top w:val="single" w:sz="4" w:space="1" w:color="auto"/>
          <w:left w:val="single" w:sz="4" w:space="4" w:color="auto"/>
          <w:bottom w:val="single" w:sz="4" w:space="0" w:color="auto"/>
          <w:right w:val="single" w:sz="4" w:space="4" w:color="auto"/>
        </w:pBdr>
        <w:tabs>
          <w:tab w:val="left" w:pos="567"/>
        </w:tabs>
        <w:autoSpaceDE/>
        <w:autoSpaceDN/>
        <w:adjustRightInd/>
        <w:ind w:left="567" w:hanging="567"/>
        <w:rPr>
          <w:rFonts w:eastAsia="Arial Unicode MS" w:cs="Arial Unicode MS"/>
          <w:b/>
          <w:sz w:val="22"/>
          <w:szCs w:val="22"/>
          <w:lang w:val="el-GR" w:bidi="en-US"/>
        </w:rPr>
      </w:pPr>
      <w:r>
        <w:rPr>
          <w:rFonts w:eastAsia="Arial Unicode MS" w:cs="Arial Unicode MS"/>
          <w:b/>
          <w:sz w:val="22"/>
          <w:szCs w:val="22"/>
          <w:lang w:val="el-GR" w:bidi="en-US"/>
        </w:rPr>
        <w:t>18.</w:t>
      </w:r>
      <w:r>
        <w:rPr>
          <w:rFonts w:eastAsia="Arial Unicode MS" w:cs="Arial Unicode MS"/>
          <w:b/>
          <w:sz w:val="22"/>
          <w:szCs w:val="22"/>
          <w:lang w:val="el-GR" w:bidi="en-US"/>
        </w:rPr>
        <w:tab/>
        <w:t>ΜΟΝΑΔΙΚΟΣ ΑΝΑΓΝΩΡΙΣΤΙΚΟΣ ΚΩΔΙΚΟΣ - ΔΕΔΟΜΕΝΑ ΑΝΑΓΝΩΣΙΜΑ ΑΠΟ ΤΟΝ ΑΝΘΡΩΠΟ</w:t>
      </w:r>
    </w:p>
    <w:p w14:paraId="64E7027B" w14:textId="77777777" w:rsidR="00171824" w:rsidRDefault="00171824">
      <w:pPr>
        <w:widowControl/>
        <w:tabs>
          <w:tab w:val="left" w:pos="567"/>
        </w:tabs>
        <w:autoSpaceDE/>
        <w:autoSpaceDN/>
        <w:adjustRightInd/>
        <w:rPr>
          <w:rFonts w:eastAsia="PMingLiU"/>
          <w:sz w:val="22"/>
          <w:szCs w:val="22"/>
          <w:lang w:val="el-GR"/>
        </w:rPr>
      </w:pPr>
    </w:p>
    <w:p w14:paraId="0D570C6B" w14:textId="77777777" w:rsidR="00171824" w:rsidRDefault="00171824">
      <w:pPr>
        <w:widowControl/>
        <w:tabs>
          <w:tab w:val="left" w:pos="567"/>
        </w:tabs>
        <w:autoSpaceDE/>
        <w:autoSpaceDN/>
        <w:adjustRightInd/>
        <w:rPr>
          <w:rFonts w:eastAsia="PMingLiU"/>
          <w:sz w:val="22"/>
          <w:szCs w:val="22"/>
          <w:lang w:val="el-GR"/>
        </w:rPr>
      </w:pPr>
    </w:p>
    <w:p w14:paraId="5F841ABE"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br w:type="page"/>
      </w:r>
    </w:p>
    <w:p w14:paraId="6A02DBDD" w14:textId="77777777" w:rsidR="00171824" w:rsidRDefault="006D258C">
      <w:pPr>
        <w:widowControl/>
        <w:pBdr>
          <w:top w:val="single" w:sz="4" w:space="1" w:color="auto"/>
          <w:left w:val="single" w:sz="4" w:space="4" w:color="auto"/>
          <w:bottom w:val="single" w:sz="4" w:space="1" w:color="auto"/>
          <w:right w:val="single" w:sz="4" w:space="4" w:color="auto"/>
        </w:pBdr>
        <w:autoSpaceDE/>
        <w:autoSpaceDN/>
        <w:adjustRightInd/>
        <w:outlineLvl w:val="0"/>
        <w:rPr>
          <w:rFonts w:eastAsia="Arial Unicode MS" w:cs="Arial Unicode MS"/>
          <w:b/>
          <w:sz w:val="22"/>
          <w:szCs w:val="22"/>
          <w:lang w:val="el-GR" w:bidi="en-US"/>
        </w:rPr>
      </w:pPr>
      <w:r>
        <w:rPr>
          <w:rFonts w:eastAsia="Arial Unicode MS" w:cs="Arial Unicode MS"/>
          <w:b/>
          <w:sz w:val="22"/>
          <w:szCs w:val="22"/>
          <w:lang w:val="el-GR" w:bidi="en-US"/>
        </w:rPr>
        <w:lastRenderedPageBreak/>
        <w:t>ΕΛΑΧΙΣΤΕΣ ΕΝΔΕΙΞΕΙΣ ΠΟΥ ΠΡΕΠΕΙ ΝΑ ΑΝΑΓΡΑΦΟΝΤΑΙ ΣΤΙΣ ΜΙΚΡΕΣ ΣΤΟΙΧΕΙΩΔΕΙΣ ΣΥΣΚΕΥΑΣΙΕΣ</w:t>
      </w:r>
    </w:p>
    <w:p w14:paraId="0AB99C42" w14:textId="77777777" w:rsidR="00171824" w:rsidRDefault="00171824">
      <w:pPr>
        <w:widowControl/>
        <w:pBdr>
          <w:top w:val="single" w:sz="4" w:space="1" w:color="auto"/>
          <w:left w:val="single" w:sz="4" w:space="4" w:color="auto"/>
          <w:bottom w:val="single" w:sz="4" w:space="1" w:color="auto"/>
          <w:right w:val="single" w:sz="4" w:space="4" w:color="auto"/>
        </w:pBdr>
        <w:autoSpaceDE/>
        <w:autoSpaceDN/>
        <w:adjustRightInd/>
        <w:outlineLvl w:val="0"/>
        <w:rPr>
          <w:rFonts w:eastAsia="Arial Unicode MS" w:cs="Arial Unicode MS"/>
          <w:b/>
          <w:sz w:val="22"/>
          <w:szCs w:val="22"/>
          <w:lang w:val="el-GR" w:bidi="en-US"/>
        </w:rPr>
      </w:pPr>
    </w:p>
    <w:p w14:paraId="0DAC43D5" w14:textId="77777777" w:rsidR="00171824" w:rsidRDefault="006D258C">
      <w:pPr>
        <w:widowControl/>
        <w:pBdr>
          <w:top w:val="single" w:sz="4" w:space="1" w:color="auto"/>
          <w:left w:val="single" w:sz="4" w:space="4" w:color="auto"/>
          <w:bottom w:val="single" w:sz="4" w:space="1" w:color="auto"/>
          <w:right w:val="single" w:sz="4" w:space="4" w:color="auto"/>
        </w:pBdr>
        <w:autoSpaceDE/>
        <w:autoSpaceDN/>
        <w:adjustRightInd/>
        <w:outlineLvl w:val="0"/>
        <w:rPr>
          <w:rFonts w:eastAsia="Arial Unicode MS" w:cs="Arial Unicode MS"/>
          <w:b/>
          <w:sz w:val="22"/>
          <w:szCs w:val="22"/>
          <w:lang w:val="el-GR" w:bidi="en-US"/>
        </w:rPr>
      </w:pPr>
      <w:r>
        <w:rPr>
          <w:rFonts w:eastAsia="Arial Unicode MS" w:cs="Arial Unicode MS"/>
          <w:b/>
          <w:sz w:val="22"/>
          <w:szCs w:val="22"/>
          <w:lang w:val="el-GR" w:bidi="en-US"/>
        </w:rPr>
        <w:t>ΕΠΙΣΗΜΑΝΣΗ ΠΡΟΓΕΜΙΣΜΕΝΗΣ ΣΥΣΚΕΥΗΣ ΤΥΠΟΥ ΠΕΝΑΣ</w:t>
      </w:r>
    </w:p>
    <w:p w14:paraId="24B2EA2B" w14:textId="77777777" w:rsidR="00171824" w:rsidRDefault="00171824">
      <w:pPr>
        <w:widowControl/>
        <w:tabs>
          <w:tab w:val="left" w:pos="567"/>
        </w:tabs>
        <w:autoSpaceDE/>
        <w:autoSpaceDN/>
        <w:adjustRightInd/>
        <w:rPr>
          <w:rFonts w:eastAsia="PMingLiU"/>
          <w:sz w:val="22"/>
          <w:szCs w:val="22"/>
          <w:lang w:val="el-GR"/>
        </w:rPr>
      </w:pPr>
    </w:p>
    <w:p w14:paraId="7ECE3867" w14:textId="77777777" w:rsidR="00171824" w:rsidRDefault="00171824">
      <w:pPr>
        <w:widowControl/>
        <w:tabs>
          <w:tab w:val="left" w:pos="567"/>
        </w:tabs>
        <w:autoSpaceDE/>
        <w:autoSpaceDN/>
        <w:adjustRightInd/>
        <w:rPr>
          <w:rFonts w:eastAsia="PMingLiU"/>
          <w:sz w:val="22"/>
          <w:szCs w:val="22"/>
          <w:lang w:val="el-GR"/>
        </w:rPr>
      </w:pPr>
    </w:p>
    <w:p w14:paraId="4856BDE1"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1.</w:t>
      </w:r>
      <w:r>
        <w:rPr>
          <w:rFonts w:eastAsia="Arial Unicode MS" w:cs="Arial Unicode MS"/>
          <w:b/>
          <w:sz w:val="22"/>
          <w:szCs w:val="22"/>
          <w:lang w:val="el-GR" w:bidi="en-US"/>
        </w:rPr>
        <w:tab/>
        <w:t>ΟΝΟΜΑΣΙΑ ΤΟΥ ΦΑΡΜΑΚΕΥΤΙΚΟΥ ΠΡΟΪΟΝΤΟΣ ΚΑΙ ΟΔΟΣ(ΟΙ) ΧΟΡΗΓΗΣΗΣ</w:t>
      </w:r>
    </w:p>
    <w:p w14:paraId="42BF4152" w14:textId="77777777" w:rsidR="00171824" w:rsidRDefault="00171824">
      <w:pPr>
        <w:widowControl/>
        <w:tabs>
          <w:tab w:val="left" w:pos="567"/>
        </w:tabs>
        <w:autoSpaceDE/>
        <w:autoSpaceDN/>
        <w:adjustRightInd/>
        <w:ind w:left="567" w:hanging="567"/>
        <w:rPr>
          <w:rFonts w:eastAsia="PMingLiU"/>
          <w:sz w:val="22"/>
          <w:szCs w:val="22"/>
          <w:lang w:val="el-GR"/>
        </w:rPr>
      </w:pPr>
    </w:p>
    <w:p w14:paraId="3E39C5CC"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AMGEVITA 80 mg ένεση</w:t>
      </w:r>
    </w:p>
    <w:p w14:paraId="4966093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adalimumab</w:t>
      </w:r>
    </w:p>
    <w:p w14:paraId="6A7D32BD" w14:textId="77777777" w:rsidR="00171824" w:rsidRDefault="006D258C">
      <w:pPr>
        <w:widowControl/>
        <w:tabs>
          <w:tab w:val="left" w:pos="567"/>
        </w:tabs>
        <w:autoSpaceDE/>
        <w:autoSpaceDN/>
        <w:adjustRightInd/>
        <w:rPr>
          <w:rFonts w:eastAsia="PMingLiU"/>
          <w:sz w:val="22"/>
          <w:szCs w:val="22"/>
          <w:lang w:val="el-GR" w:bidi="en-US"/>
        </w:rPr>
      </w:pPr>
      <w:r>
        <w:rPr>
          <w:rFonts w:eastAsia="Arial Unicode MS" w:cs="Arial Unicode MS"/>
          <w:sz w:val="22"/>
          <w:szCs w:val="22"/>
          <w:lang w:val="el-GR" w:bidi="en-US"/>
        </w:rPr>
        <w:t>Υποδόρια</w:t>
      </w:r>
    </w:p>
    <w:p w14:paraId="601064BC" w14:textId="77777777" w:rsidR="00171824" w:rsidRDefault="00171824">
      <w:pPr>
        <w:widowControl/>
        <w:tabs>
          <w:tab w:val="left" w:pos="567"/>
        </w:tabs>
        <w:autoSpaceDE/>
        <w:autoSpaceDN/>
        <w:adjustRightInd/>
        <w:rPr>
          <w:rFonts w:eastAsia="PMingLiU"/>
          <w:sz w:val="22"/>
          <w:szCs w:val="22"/>
          <w:lang w:val="el-GR"/>
        </w:rPr>
      </w:pPr>
    </w:p>
    <w:p w14:paraId="6FF56599" w14:textId="77777777" w:rsidR="00171824" w:rsidRDefault="00171824">
      <w:pPr>
        <w:widowControl/>
        <w:tabs>
          <w:tab w:val="left" w:pos="567"/>
        </w:tabs>
        <w:autoSpaceDE/>
        <w:autoSpaceDN/>
        <w:adjustRightInd/>
        <w:rPr>
          <w:rFonts w:eastAsia="PMingLiU"/>
          <w:sz w:val="22"/>
          <w:szCs w:val="22"/>
          <w:lang w:val="el-GR"/>
        </w:rPr>
      </w:pPr>
    </w:p>
    <w:p w14:paraId="34478E9A"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2.</w:t>
      </w:r>
      <w:r>
        <w:rPr>
          <w:rFonts w:eastAsia="Arial Unicode MS" w:cs="Arial Unicode MS"/>
          <w:b/>
          <w:sz w:val="22"/>
          <w:szCs w:val="22"/>
          <w:lang w:val="el-GR" w:bidi="en-US"/>
        </w:rPr>
        <w:tab/>
        <w:t>ΤΡΟΠΟΣ ΧΟΡΗΓΗΣΗΣ</w:t>
      </w:r>
    </w:p>
    <w:p w14:paraId="383672B4" w14:textId="77777777" w:rsidR="00171824" w:rsidRDefault="00171824">
      <w:pPr>
        <w:widowControl/>
        <w:tabs>
          <w:tab w:val="left" w:pos="567"/>
        </w:tabs>
        <w:autoSpaceDE/>
        <w:autoSpaceDN/>
        <w:adjustRightInd/>
        <w:rPr>
          <w:rFonts w:eastAsia="PMingLiU"/>
          <w:sz w:val="22"/>
          <w:szCs w:val="22"/>
          <w:lang w:val="el-GR"/>
        </w:rPr>
      </w:pPr>
    </w:p>
    <w:p w14:paraId="1BDB252E" w14:textId="77777777" w:rsidR="00171824" w:rsidRDefault="00171824">
      <w:pPr>
        <w:widowControl/>
        <w:tabs>
          <w:tab w:val="left" w:pos="567"/>
        </w:tabs>
        <w:autoSpaceDE/>
        <w:autoSpaceDN/>
        <w:adjustRightInd/>
        <w:rPr>
          <w:rFonts w:eastAsia="PMingLiU"/>
          <w:sz w:val="22"/>
          <w:szCs w:val="22"/>
          <w:lang w:val="el-GR"/>
        </w:rPr>
      </w:pPr>
    </w:p>
    <w:p w14:paraId="412E1B9F"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3.</w:t>
      </w:r>
      <w:r>
        <w:rPr>
          <w:rFonts w:eastAsia="Arial Unicode MS" w:cs="Arial Unicode MS"/>
          <w:b/>
          <w:sz w:val="22"/>
          <w:szCs w:val="22"/>
          <w:lang w:val="el-GR" w:bidi="en-US"/>
        </w:rPr>
        <w:tab/>
        <w:t>ΗΜΕΡΟΜΗΝΙΑ ΛΗΞΗΣ</w:t>
      </w:r>
    </w:p>
    <w:p w14:paraId="20E6684C" w14:textId="77777777" w:rsidR="00171824" w:rsidRDefault="00171824">
      <w:pPr>
        <w:widowControl/>
        <w:tabs>
          <w:tab w:val="left" w:pos="567"/>
        </w:tabs>
        <w:autoSpaceDE/>
        <w:autoSpaceDN/>
        <w:adjustRightInd/>
        <w:rPr>
          <w:rFonts w:eastAsia="PMingLiU"/>
          <w:sz w:val="22"/>
          <w:szCs w:val="20"/>
          <w:lang w:val="el-GR"/>
        </w:rPr>
      </w:pPr>
    </w:p>
    <w:p w14:paraId="423BF4AA"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EXP</w:t>
      </w:r>
    </w:p>
    <w:p w14:paraId="1125FB6C" w14:textId="77777777" w:rsidR="00171824" w:rsidRDefault="00171824">
      <w:pPr>
        <w:widowControl/>
        <w:tabs>
          <w:tab w:val="left" w:pos="567"/>
        </w:tabs>
        <w:autoSpaceDE/>
        <w:autoSpaceDN/>
        <w:adjustRightInd/>
        <w:rPr>
          <w:rFonts w:eastAsia="PMingLiU"/>
          <w:sz w:val="22"/>
          <w:szCs w:val="20"/>
          <w:lang w:val="el-GR"/>
        </w:rPr>
      </w:pPr>
    </w:p>
    <w:p w14:paraId="792B13A8" w14:textId="77777777" w:rsidR="00171824" w:rsidRDefault="00171824">
      <w:pPr>
        <w:widowControl/>
        <w:tabs>
          <w:tab w:val="left" w:pos="567"/>
        </w:tabs>
        <w:autoSpaceDE/>
        <w:autoSpaceDN/>
        <w:adjustRightInd/>
        <w:rPr>
          <w:rFonts w:eastAsia="PMingLiU"/>
          <w:sz w:val="22"/>
          <w:szCs w:val="20"/>
          <w:lang w:val="el-GR"/>
        </w:rPr>
      </w:pPr>
    </w:p>
    <w:p w14:paraId="049E016E"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0"/>
          <w:lang w:val="el-GR" w:bidi="en-US"/>
        </w:rPr>
      </w:pPr>
      <w:r>
        <w:rPr>
          <w:rFonts w:eastAsia="Arial Unicode MS" w:cs="Arial Unicode MS"/>
          <w:b/>
          <w:sz w:val="22"/>
          <w:szCs w:val="20"/>
          <w:lang w:val="el-GR" w:bidi="en-US"/>
        </w:rPr>
        <w:t>4.</w:t>
      </w:r>
      <w:r>
        <w:rPr>
          <w:rFonts w:eastAsia="Arial Unicode MS" w:cs="Arial Unicode MS"/>
          <w:b/>
          <w:sz w:val="22"/>
          <w:szCs w:val="20"/>
          <w:lang w:val="el-GR" w:bidi="en-US"/>
        </w:rPr>
        <w:tab/>
        <w:t xml:space="preserve">ΑΡΙΘΜΟΣ ΠΑΡΤΙΔΑΣ </w:t>
      </w:r>
    </w:p>
    <w:p w14:paraId="3CA993EE" w14:textId="77777777" w:rsidR="00171824" w:rsidRDefault="00171824">
      <w:pPr>
        <w:widowControl/>
        <w:tabs>
          <w:tab w:val="left" w:pos="567"/>
        </w:tabs>
        <w:autoSpaceDE/>
        <w:autoSpaceDN/>
        <w:adjustRightInd/>
        <w:ind w:right="113"/>
        <w:rPr>
          <w:rFonts w:eastAsia="PMingLiU"/>
          <w:sz w:val="22"/>
          <w:szCs w:val="20"/>
          <w:lang w:val="el-GR"/>
        </w:rPr>
      </w:pPr>
    </w:p>
    <w:p w14:paraId="509CE96D" w14:textId="77777777" w:rsidR="00171824" w:rsidRDefault="006D258C">
      <w:pPr>
        <w:widowControl/>
        <w:tabs>
          <w:tab w:val="left" w:pos="567"/>
        </w:tabs>
        <w:autoSpaceDE/>
        <w:autoSpaceDN/>
        <w:adjustRightInd/>
        <w:ind w:right="113"/>
        <w:rPr>
          <w:rFonts w:eastAsia="PMingLiU"/>
          <w:sz w:val="22"/>
          <w:szCs w:val="20"/>
          <w:lang w:val="el-GR"/>
        </w:rPr>
      </w:pPr>
      <w:r>
        <w:rPr>
          <w:rFonts w:eastAsia="Arial Unicode MS" w:cs="Arial Unicode MS"/>
          <w:sz w:val="22"/>
          <w:szCs w:val="20"/>
          <w:lang w:val="el-GR" w:bidi="en-US"/>
        </w:rPr>
        <w:t>Lot</w:t>
      </w:r>
    </w:p>
    <w:p w14:paraId="2EB3DDE1" w14:textId="77777777" w:rsidR="00171824" w:rsidRDefault="00171824">
      <w:pPr>
        <w:widowControl/>
        <w:tabs>
          <w:tab w:val="left" w:pos="567"/>
        </w:tabs>
        <w:autoSpaceDE/>
        <w:autoSpaceDN/>
        <w:adjustRightInd/>
        <w:ind w:right="113"/>
        <w:rPr>
          <w:rFonts w:eastAsia="PMingLiU"/>
          <w:sz w:val="22"/>
          <w:szCs w:val="20"/>
          <w:lang w:val="el-GR"/>
        </w:rPr>
      </w:pPr>
    </w:p>
    <w:p w14:paraId="4553CE10" w14:textId="77777777" w:rsidR="00171824" w:rsidRDefault="00171824">
      <w:pPr>
        <w:widowControl/>
        <w:tabs>
          <w:tab w:val="left" w:pos="567"/>
        </w:tabs>
        <w:autoSpaceDE/>
        <w:autoSpaceDN/>
        <w:adjustRightInd/>
        <w:ind w:right="113"/>
        <w:rPr>
          <w:rFonts w:eastAsia="PMingLiU"/>
          <w:sz w:val="22"/>
          <w:szCs w:val="20"/>
          <w:lang w:val="el-GR"/>
        </w:rPr>
      </w:pPr>
    </w:p>
    <w:p w14:paraId="3B152709"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5.</w:t>
      </w:r>
      <w:r>
        <w:rPr>
          <w:rFonts w:eastAsia="Arial Unicode MS" w:cs="Arial Unicode MS"/>
          <w:b/>
          <w:sz w:val="22"/>
          <w:szCs w:val="22"/>
          <w:lang w:val="el-GR" w:bidi="en-US"/>
        </w:rPr>
        <w:tab/>
        <w:t>ΠΕΡΙΕΧΟΜΕΝΟ ΚΑΤΑ ΒΑΡΟΣ, ΚΑΤ' ΟΓΚΟ Ή ΚΑΤΑ ΜΟΝΑΔΑ</w:t>
      </w:r>
    </w:p>
    <w:p w14:paraId="35875B56" w14:textId="77777777" w:rsidR="00171824" w:rsidRDefault="00171824">
      <w:pPr>
        <w:widowControl/>
        <w:tabs>
          <w:tab w:val="left" w:pos="567"/>
        </w:tabs>
        <w:autoSpaceDE/>
        <w:autoSpaceDN/>
        <w:adjustRightInd/>
        <w:ind w:right="113"/>
        <w:rPr>
          <w:rFonts w:eastAsia="PMingLiU"/>
          <w:sz w:val="22"/>
          <w:szCs w:val="22"/>
          <w:lang w:val="el-GR"/>
        </w:rPr>
      </w:pPr>
    </w:p>
    <w:p w14:paraId="24C7CEA1" w14:textId="77777777" w:rsidR="00171824" w:rsidRDefault="006D258C">
      <w:pPr>
        <w:widowControl/>
        <w:tabs>
          <w:tab w:val="left" w:pos="567"/>
        </w:tabs>
        <w:autoSpaceDE/>
        <w:autoSpaceDN/>
        <w:adjustRightInd/>
        <w:ind w:right="113"/>
        <w:rPr>
          <w:rFonts w:eastAsia="PMingLiU"/>
          <w:sz w:val="22"/>
          <w:szCs w:val="22"/>
          <w:lang w:val="el-GR" w:bidi="en-US"/>
        </w:rPr>
      </w:pPr>
      <w:r>
        <w:rPr>
          <w:rFonts w:eastAsia="Arial Unicode MS" w:cs="Arial Unicode MS"/>
          <w:sz w:val="22"/>
          <w:szCs w:val="22"/>
          <w:lang w:val="el-GR" w:bidi="en-US"/>
        </w:rPr>
        <w:t>0,8 ml</w:t>
      </w:r>
    </w:p>
    <w:p w14:paraId="204ECEE8" w14:textId="77777777" w:rsidR="00171824" w:rsidRDefault="00171824">
      <w:pPr>
        <w:widowControl/>
        <w:tabs>
          <w:tab w:val="left" w:pos="567"/>
        </w:tabs>
        <w:autoSpaceDE/>
        <w:autoSpaceDN/>
        <w:adjustRightInd/>
        <w:ind w:right="113"/>
        <w:rPr>
          <w:rFonts w:eastAsia="PMingLiU"/>
          <w:sz w:val="22"/>
          <w:szCs w:val="22"/>
          <w:lang w:val="el-GR"/>
        </w:rPr>
      </w:pPr>
    </w:p>
    <w:p w14:paraId="0A645AA6" w14:textId="77777777" w:rsidR="00171824" w:rsidRDefault="00171824">
      <w:pPr>
        <w:widowControl/>
        <w:tabs>
          <w:tab w:val="left" w:pos="567"/>
        </w:tabs>
        <w:autoSpaceDE/>
        <w:autoSpaceDN/>
        <w:adjustRightInd/>
        <w:ind w:right="113"/>
        <w:rPr>
          <w:rFonts w:eastAsia="PMingLiU"/>
          <w:sz w:val="22"/>
          <w:szCs w:val="22"/>
          <w:lang w:val="el-GR"/>
        </w:rPr>
      </w:pPr>
    </w:p>
    <w:p w14:paraId="46F646E7" w14:textId="77777777" w:rsidR="00171824" w:rsidRDefault="006D258C">
      <w:pPr>
        <w:widowControl/>
        <w:pBdr>
          <w:top w:val="single" w:sz="4" w:space="1" w:color="auto"/>
          <w:left w:val="single" w:sz="4" w:space="4" w:color="auto"/>
          <w:bottom w:val="single" w:sz="4" w:space="1" w:color="auto"/>
          <w:right w:val="single" w:sz="4" w:space="4" w:color="auto"/>
        </w:pBdr>
        <w:tabs>
          <w:tab w:val="left" w:pos="567"/>
        </w:tabs>
        <w:autoSpaceDE/>
        <w:autoSpaceDN/>
        <w:adjustRightInd/>
        <w:outlineLvl w:val="0"/>
        <w:rPr>
          <w:rFonts w:eastAsia="PMingLiU"/>
          <w:b/>
          <w:sz w:val="22"/>
          <w:szCs w:val="22"/>
          <w:lang w:val="el-GR" w:bidi="en-US"/>
        </w:rPr>
      </w:pPr>
      <w:r>
        <w:rPr>
          <w:rFonts w:eastAsia="Arial Unicode MS" w:cs="Arial Unicode MS"/>
          <w:b/>
          <w:sz w:val="22"/>
          <w:szCs w:val="22"/>
          <w:lang w:val="el-GR" w:bidi="en-US"/>
        </w:rPr>
        <w:t>6.</w:t>
      </w:r>
      <w:r>
        <w:rPr>
          <w:rFonts w:eastAsia="Arial Unicode MS" w:cs="Arial Unicode MS"/>
          <w:b/>
          <w:sz w:val="22"/>
          <w:szCs w:val="22"/>
          <w:lang w:val="el-GR" w:bidi="en-US"/>
        </w:rPr>
        <w:tab/>
        <w:t>ΑΛΛΑ ΣΤΟΙΧΕΙΑ</w:t>
      </w:r>
    </w:p>
    <w:p w14:paraId="710AF963" w14:textId="77777777" w:rsidR="00171824" w:rsidRDefault="00171824">
      <w:pPr>
        <w:widowControl/>
        <w:tabs>
          <w:tab w:val="left" w:pos="567"/>
        </w:tabs>
        <w:autoSpaceDE/>
        <w:autoSpaceDN/>
        <w:adjustRightInd/>
        <w:ind w:right="113"/>
        <w:rPr>
          <w:rFonts w:eastAsia="PMingLiU"/>
          <w:sz w:val="22"/>
          <w:szCs w:val="22"/>
          <w:lang w:val="el-GR"/>
        </w:rPr>
      </w:pPr>
    </w:p>
    <w:p w14:paraId="4D0E3344" w14:textId="77777777" w:rsidR="00171824" w:rsidRDefault="00171824">
      <w:pPr>
        <w:widowControl/>
        <w:tabs>
          <w:tab w:val="left" w:pos="567"/>
        </w:tabs>
        <w:autoSpaceDE/>
        <w:autoSpaceDN/>
        <w:adjustRightInd/>
        <w:rPr>
          <w:rFonts w:eastAsia="PMingLiU"/>
          <w:sz w:val="22"/>
          <w:szCs w:val="20"/>
          <w:lang w:val="el-GR"/>
        </w:rPr>
      </w:pPr>
    </w:p>
    <w:p w14:paraId="34D18B8D"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br w:type="page"/>
      </w:r>
    </w:p>
    <w:p w14:paraId="65E35D83" w14:textId="77777777" w:rsidR="00171824" w:rsidRDefault="00171824">
      <w:pPr>
        <w:widowControl/>
        <w:shd w:val="clear" w:color="auto" w:fill="FFFFFF"/>
        <w:tabs>
          <w:tab w:val="left" w:pos="567"/>
        </w:tabs>
        <w:autoSpaceDE/>
        <w:autoSpaceDN/>
        <w:adjustRightInd/>
        <w:rPr>
          <w:rFonts w:eastAsia="PMingLiU"/>
          <w:sz w:val="22"/>
          <w:szCs w:val="22"/>
          <w:lang w:val="el-GR"/>
        </w:rPr>
      </w:pPr>
    </w:p>
    <w:p w14:paraId="5E875AC2" w14:textId="77777777" w:rsidR="00171824" w:rsidRDefault="00171824">
      <w:pPr>
        <w:widowControl/>
        <w:tabs>
          <w:tab w:val="left" w:pos="567"/>
        </w:tabs>
        <w:autoSpaceDE/>
        <w:autoSpaceDN/>
        <w:adjustRightInd/>
        <w:rPr>
          <w:rFonts w:eastAsia="PMingLiU"/>
          <w:sz w:val="22"/>
          <w:szCs w:val="20"/>
          <w:lang w:val="el-GR"/>
        </w:rPr>
      </w:pPr>
    </w:p>
    <w:p w14:paraId="09B19B19" w14:textId="77777777" w:rsidR="00171824" w:rsidRDefault="00171824">
      <w:pPr>
        <w:widowControl/>
        <w:tabs>
          <w:tab w:val="left" w:pos="567"/>
        </w:tabs>
        <w:autoSpaceDE/>
        <w:autoSpaceDN/>
        <w:adjustRightInd/>
        <w:ind w:right="113"/>
        <w:rPr>
          <w:rFonts w:eastAsia="PMingLiU"/>
          <w:sz w:val="22"/>
          <w:szCs w:val="20"/>
          <w:lang w:val="el-GR"/>
        </w:rPr>
      </w:pPr>
    </w:p>
    <w:p w14:paraId="7D97C0A8" w14:textId="77777777" w:rsidR="00171824" w:rsidRDefault="00171824">
      <w:pPr>
        <w:widowControl/>
        <w:tabs>
          <w:tab w:val="left" w:pos="567"/>
        </w:tabs>
        <w:autoSpaceDE/>
        <w:autoSpaceDN/>
        <w:adjustRightInd/>
        <w:outlineLvl w:val="0"/>
        <w:rPr>
          <w:rFonts w:eastAsia="PMingLiU"/>
          <w:b/>
          <w:sz w:val="22"/>
          <w:szCs w:val="20"/>
          <w:lang w:val="el-GR"/>
        </w:rPr>
      </w:pPr>
    </w:p>
    <w:p w14:paraId="41C6DE2C" w14:textId="77777777" w:rsidR="00171824" w:rsidRDefault="00171824">
      <w:pPr>
        <w:widowControl/>
        <w:tabs>
          <w:tab w:val="left" w:pos="567"/>
        </w:tabs>
        <w:autoSpaceDE/>
        <w:autoSpaceDN/>
        <w:adjustRightInd/>
        <w:outlineLvl w:val="0"/>
        <w:rPr>
          <w:rFonts w:eastAsia="PMingLiU"/>
          <w:b/>
          <w:sz w:val="22"/>
          <w:szCs w:val="20"/>
          <w:lang w:val="el-GR"/>
        </w:rPr>
      </w:pPr>
    </w:p>
    <w:p w14:paraId="0546229E" w14:textId="77777777" w:rsidR="00171824" w:rsidRDefault="00171824">
      <w:pPr>
        <w:widowControl/>
        <w:tabs>
          <w:tab w:val="left" w:pos="567"/>
        </w:tabs>
        <w:autoSpaceDE/>
        <w:autoSpaceDN/>
        <w:adjustRightInd/>
        <w:outlineLvl w:val="0"/>
        <w:rPr>
          <w:rFonts w:eastAsia="PMingLiU"/>
          <w:b/>
          <w:sz w:val="22"/>
          <w:szCs w:val="20"/>
          <w:lang w:val="el-GR"/>
        </w:rPr>
      </w:pPr>
    </w:p>
    <w:p w14:paraId="6EAAB8B3" w14:textId="77777777" w:rsidR="00171824" w:rsidRDefault="00171824">
      <w:pPr>
        <w:widowControl/>
        <w:tabs>
          <w:tab w:val="left" w:pos="567"/>
        </w:tabs>
        <w:autoSpaceDE/>
        <w:autoSpaceDN/>
        <w:adjustRightInd/>
        <w:outlineLvl w:val="0"/>
        <w:rPr>
          <w:rFonts w:eastAsia="PMingLiU"/>
          <w:b/>
          <w:sz w:val="22"/>
          <w:szCs w:val="20"/>
          <w:lang w:val="el-GR"/>
        </w:rPr>
      </w:pPr>
    </w:p>
    <w:p w14:paraId="267C98CD" w14:textId="77777777" w:rsidR="00171824" w:rsidRDefault="00171824">
      <w:pPr>
        <w:widowControl/>
        <w:tabs>
          <w:tab w:val="left" w:pos="567"/>
        </w:tabs>
        <w:autoSpaceDE/>
        <w:autoSpaceDN/>
        <w:adjustRightInd/>
        <w:outlineLvl w:val="0"/>
        <w:rPr>
          <w:rFonts w:eastAsia="PMingLiU"/>
          <w:b/>
          <w:sz w:val="22"/>
          <w:szCs w:val="20"/>
          <w:lang w:val="el-GR"/>
        </w:rPr>
      </w:pPr>
    </w:p>
    <w:p w14:paraId="14FEA7FF" w14:textId="77777777" w:rsidR="00171824" w:rsidRDefault="00171824">
      <w:pPr>
        <w:widowControl/>
        <w:tabs>
          <w:tab w:val="left" w:pos="567"/>
        </w:tabs>
        <w:autoSpaceDE/>
        <w:autoSpaceDN/>
        <w:adjustRightInd/>
        <w:outlineLvl w:val="0"/>
        <w:rPr>
          <w:rFonts w:eastAsia="PMingLiU"/>
          <w:b/>
          <w:sz w:val="22"/>
          <w:szCs w:val="20"/>
          <w:lang w:val="el-GR"/>
        </w:rPr>
      </w:pPr>
    </w:p>
    <w:p w14:paraId="087FABF8" w14:textId="77777777" w:rsidR="00171824" w:rsidRDefault="00171824">
      <w:pPr>
        <w:widowControl/>
        <w:tabs>
          <w:tab w:val="left" w:pos="567"/>
        </w:tabs>
        <w:autoSpaceDE/>
        <w:autoSpaceDN/>
        <w:adjustRightInd/>
        <w:outlineLvl w:val="0"/>
        <w:rPr>
          <w:rFonts w:eastAsia="PMingLiU"/>
          <w:b/>
          <w:sz w:val="22"/>
          <w:szCs w:val="20"/>
          <w:lang w:val="el-GR"/>
        </w:rPr>
      </w:pPr>
    </w:p>
    <w:p w14:paraId="24F503C4" w14:textId="77777777" w:rsidR="00171824" w:rsidRDefault="00171824">
      <w:pPr>
        <w:widowControl/>
        <w:tabs>
          <w:tab w:val="left" w:pos="567"/>
        </w:tabs>
        <w:autoSpaceDE/>
        <w:autoSpaceDN/>
        <w:adjustRightInd/>
        <w:outlineLvl w:val="0"/>
        <w:rPr>
          <w:rFonts w:eastAsia="PMingLiU"/>
          <w:b/>
          <w:sz w:val="22"/>
          <w:szCs w:val="20"/>
          <w:lang w:val="el-GR"/>
        </w:rPr>
      </w:pPr>
    </w:p>
    <w:p w14:paraId="669E324B" w14:textId="77777777" w:rsidR="00171824" w:rsidRDefault="00171824">
      <w:pPr>
        <w:widowControl/>
        <w:tabs>
          <w:tab w:val="left" w:pos="567"/>
        </w:tabs>
        <w:autoSpaceDE/>
        <w:autoSpaceDN/>
        <w:adjustRightInd/>
        <w:outlineLvl w:val="0"/>
        <w:rPr>
          <w:rFonts w:eastAsia="PMingLiU"/>
          <w:b/>
          <w:sz w:val="22"/>
          <w:szCs w:val="20"/>
          <w:lang w:val="el-GR"/>
        </w:rPr>
      </w:pPr>
    </w:p>
    <w:p w14:paraId="5DFC5B02" w14:textId="77777777" w:rsidR="00171824" w:rsidRDefault="00171824">
      <w:pPr>
        <w:widowControl/>
        <w:tabs>
          <w:tab w:val="left" w:pos="567"/>
        </w:tabs>
        <w:autoSpaceDE/>
        <w:autoSpaceDN/>
        <w:adjustRightInd/>
        <w:outlineLvl w:val="0"/>
        <w:rPr>
          <w:rFonts w:eastAsia="PMingLiU"/>
          <w:b/>
          <w:sz w:val="22"/>
          <w:szCs w:val="20"/>
          <w:lang w:val="el-GR"/>
        </w:rPr>
      </w:pPr>
    </w:p>
    <w:p w14:paraId="353C4DEB" w14:textId="77777777" w:rsidR="00171824" w:rsidRDefault="00171824">
      <w:pPr>
        <w:widowControl/>
        <w:tabs>
          <w:tab w:val="left" w:pos="567"/>
        </w:tabs>
        <w:autoSpaceDE/>
        <w:autoSpaceDN/>
        <w:adjustRightInd/>
        <w:outlineLvl w:val="0"/>
        <w:rPr>
          <w:rFonts w:eastAsia="PMingLiU"/>
          <w:b/>
          <w:sz w:val="22"/>
          <w:szCs w:val="20"/>
          <w:lang w:val="el-GR"/>
        </w:rPr>
      </w:pPr>
    </w:p>
    <w:p w14:paraId="65860351" w14:textId="77777777" w:rsidR="00171824" w:rsidRDefault="00171824">
      <w:pPr>
        <w:widowControl/>
        <w:tabs>
          <w:tab w:val="left" w:pos="567"/>
        </w:tabs>
        <w:autoSpaceDE/>
        <w:autoSpaceDN/>
        <w:adjustRightInd/>
        <w:outlineLvl w:val="0"/>
        <w:rPr>
          <w:rFonts w:eastAsia="PMingLiU"/>
          <w:b/>
          <w:sz w:val="22"/>
          <w:szCs w:val="20"/>
          <w:lang w:val="el-GR"/>
        </w:rPr>
      </w:pPr>
    </w:p>
    <w:p w14:paraId="613A172F" w14:textId="77777777" w:rsidR="00171824" w:rsidRDefault="00171824">
      <w:pPr>
        <w:widowControl/>
        <w:tabs>
          <w:tab w:val="left" w:pos="567"/>
        </w:tabs>
        <w:autoSpaceDE/>
        <w:autoSpaceDN/>
        <w:adjustRightInd/>
        <w:outlineLvl w:val="0"/>
        <w:rPr>
          <w:rFonts w:eastAsia="PMingLiU"/>
          <w:b/>
          <w:sz w:val="22"/>
          <w:szCs w:val="20"/>
          <w:lang w:val="el-GR"/>
        </w:rPr>
      </w:pPr>
    </w:p>
    <w:p w14:paraId="0C986156" w14:textId="77777777" w:rsidR="00171824" w:rsidRDefault="00171824">
      <w:pPr>
        <w:widowControl/>
        <w:tabs>
          <w:tab w:val="left" w:pos="567"/>
        </w:tabs>
        <w:autoSpaceDE/>
        <w:autoSpaceDN/>
        <w:adjustRightInd/>
        <w:outlineLvl w:val="0"/>
        <w:rPr>
          <w:rFonts w:eastAsia="PMingLiU"/>
          <w:b/>
          <w:sz w:val="22"/>
          <w:szCs w:val="20"/>
          <w:lang w:val="el-GR"/>
        </w:rPr>
      </w:pPr>
    </w:p>
    <w:p w14:paraId="4CDACC00" w14:textId="77777777" w:rsidR="00171824" w:rsidRDefault="00171824">
      <w:pPr>
        <w:widowControl/>
        <w:tabs>
          <w:tab w:val="left" w:pos="567"/>
        </w:tabs>
        <w:autoSpaceDE/>
        <w:autoSpaceDN/>
        <w:adjustRightInd/>
        <w:outlineLvl w:val="0"/>
        <w:rPr>
          <w:rFonts w:eastAsia="PMingLiU"/>
          <w:b/>
          <w:sz w:val="22"/>
          <w:szCs w:val="20"/>
          <w:lang w:val="el-GR"/>
        </w:rPr>
      </w:pPr>
    </w:p>
    <w:p w14:paraId="00D0F8D7" w14:textId="77777777" w:rsidR="00171824" w:rsidRDefault="00171824">
      <w:pPr>
        <w:widowControl/>
        <w:tabs>
          <w:tab w:val="left" w:pos="567"/>
        </w:tabs>
        <w:autoSpaceDE/>
        <w:autoSpaceDN/>
        <w:adjustRightInd/>
        <w:outlineLvl w:val="0"/>
        <w:rPr>
          <w:rFonts w:eastAsia="PMingLiU"/>
          <w:b/>
          <w:sz w:val="22"/>
          <w:szCs w:val="20"/>
          <w:lang w:val="el-GR"/>
        </w:rPr>
      </w:pPr>
    </w:p>
    <w:p w14:paraId="6BE7059A" w14:textId="77777777" w:rsidR="00171824" w:rsidRDefault="00171824">
      <w:pPr>
        <w:widowControl/>
        <w:tabs>
          <w:tab w:val="left" w:pos="567"/>
        </w:tabs>
        <w:autoSpaceDE/>
        <w:autoSpaceDN/>
        <w:adjustRightInd/>
        <w:outlineLvl w:val="0"/>
        <w:rPr>
          <w:rFonts w:eastAsia="PMingLiU"/>
          <w:b/>
          <w:sz w:val="22"/>
          <w:szCs w:val="20"/>
          <w:lang w:val="el-GR"/>
        </w:rPr>
      </w:pPr>
    </w:p>
    <w:p w14:paraId="18CED950" w14:textId="77777777" w:rsidR="00171824" w:rsidRDefault="00171824">
      <w:pPr>
        <w:widowControl/>
        <w:tabs>
          <w:tab w:val="left" w:pos="567"/>
        </w:tabs>
        <w:autoSpaceDE/>
        <w:autoSpaceDN/>
        <w:adjustRightInd/>
        <w:outlineLvl w:val="0"/>
        <w:rPr>
          <w:rFonts w:eastAsia="PMingLiU"/>
          <w:b/>
          <w:sz w:val="22"/>
          <w:szCs w:val="20"/>
          <w:lang w:val="el-GR"/>
        </w:rPr>
      </w:pPr>
    </w:p>
    <w:p w14:paraId="52739486" w14:textId="77777777" w:rsidR="00171824" w:rsidRDefault="00171824">
      <w:pPr>
        <w:widowControl/>
        <w:tabs>
          <w:tab w:val="left" w:pos="567"/>
        </w:tabs>
        <w:autoSpaceDE/>
        <w:autoSpaceDN/>
        <w:adjustRightInd/>
        <w:outlineLvl w:val="0"/>
        <w:rPr>
          <w:rFonts w:eastAsia="PMingLiU"/>
          <w:b/>
          <w:sz w:val="22"/>
          <w:szCs w:val="20"/>
          <w:lang w:val="el-GR"/>
        </w:rPr>
      </w:pPr>
    </w:p>
    <w:p w14:paraId="3715B6F1" w14:textId="77777777" w:rsidR="00171824" w:rsidRDefault="006D258C">
      <w:pPr>
        <w:pStyle w:val="TitleA"/>
        <w:widowControl/>
        <w:rPr>
          <w:rFonts w:eastAsia="PMingLiU"/>
          <w:szCs w:val="20"/>
        </w:rPr>
      </w:pPr>
      <w:r>
        <w:rPr>
          <w:rFonts w:eastAsia="PMingLiU"/>
          <w:szCs w:val="22"/>
        </w:rPr>
        <w:t xml:space="preserve">B. </w:t>
      </w:r>
      <w:r>
        <w:t>ΦΥΛΛΟ ΟΔΗΓΙΩΝ ΧΡΗΣ</w:t>
      </w:r>
      <w:r>
        <w:rPr>
          <w:szCs w:val="22"/>
        </w:rPr>
        <w:t>H</w:t>
      </w:r>
      <w:r>
        <w:t>Σ</w:t>
      </w:r>
    </w:p>
    <w:p w14:paraId="5718025B" w14:textId="77777777" w:rsidR="00171824" w:rsidRDefault="006D258C">
      <w:pPr>
        <w:widowControl/>
        <w:jc w:val="center"/>
        <w:rPr>
          <w:b/>
          <w:bCs/>
          <w:sz w:val="22"/>
          <w:szCs w:val="22"/>
          <w:lang w:val="el-GR"/>
        </w:rPr>
      </w:pPr>
      <w:r>
        <w:rPr>
          <w:rFonts w:eastAsia="PMingLiU"/>
          <w:sz w:val="22"/>
          <w:szCs w:val="22"/>
          <w:lang w:val="el-GR"/>
        </w:rPr>
        <w:br w:type="page"/>
      </w:r>
      <w:r>
        <w:rPr>
          <w:b/>
          <w:bCs/>
          <w:sz w:val="22"/>
          <w:szCs w:val="22"/>
          <w:lang w:val="el-GR"/>
        </w:rPr>
        <w:lastRenderedPageBreak/>
        <w:t>Φύλλο οδηγιών χρήσης: Πληροφορίες για τον ασθενή</w:t>
      </w:r>
    </w:p>
    <w:p w14:paraId="4F1F4FD9" w14:textId="77777777" w:rsidR="00171824" w:rsidRDefault="00171824">
      <w:pPr>
        <w:widowControl/>
        <w:kinsoku w:val="0"/>
        <w:overflowPunct w:val="0"/>
        <w:rPr>
          <w:sz w:val="22"/>
          <w:szCs w:val="22"/>
          <w:lang w:val="el-GR"/>
        </w:rPr>
      </w:pPr>
    </w:p>
    <w:p w14:paraId="7F471C28" w14:textId="77777777" w:rsidR="00171824" w:rsidRDefault="006D258C">
      <w:pPr>
        <w:widowControl/>
        <w:kinsoku w:val="0"/>
        <w:overflowPunct w:val="0"/>
        <w:jc w:val="center"/>
        <w:rPr>
          <w:b/>
          <w:bCs/>
          <w:sz w:val="22"/>
          <w:szCs w:val="22"/>
          <w:lang w:val="el-GR"/>
        </w:rPr>
      </w:pPr>
      <w:r>
        <w:rPr>
          <w:b/>
          <w:bCs/>
          <w:sz w:val="22"/>
          <w:szCs w:val="22"/>
          <w:lang w:val="el-GR"/>
        </w:rPr>
        <w:t>AMGEVITA 20 mg ενέσιμο διάλυμα σε προγεμισμένη σύριγγα</w:t>
      </w:r>
    </w:p>
    <w:p w14:paraId="6610330C" w14:textId="77777777" w:rsidR="00171824" w:rsidRDefault="006D258C">
      <w:pPr>
        <w:widowControl/>
        <w:kinsoku w:val="0"/>
        <w:overflowPunct w:val="0"/>
        <w:jc w:val="center"/>
        <w:rPr>
          <w:sz w:val="22"/>
          <w:szCs w:val="22"/>
          <w:lang w:val="el-GR"/>
        </w:rPr>
      </w:pPr>
      <w:r>
        <w:rPr>
          <w:b/>
          <w:bCs/>
          <w:sz w:val="22"/>
          <w:szCs w:val="22"/>
          <w:lang w:val="el-GR"/>
        </w:rPr>
        <w:t>AMGEVITA 40 mg ενέσιμο διάλυμα σε προγεμισμένη σύριγγα</w:t>
      </w:r>
    </w:p>
    <w:p w14:paraId="168351C4" w14:textId="77777777" w:rsidR="00171824" w:rsidRDefault="006D258C">
      <w:pPr>
        <w:pStyle w:val="BodyText"/>
        <w:widowControl/>
        <w:kinsoku w:val="0"/>
        <w:overflowPunct w:val="0"/>
        <w:ind w:left="0"/>
        <w:jc w:val="center"/>
        <w:rPr>
          <w:lang w:val="el-GR"/>
        </w:rPr>
      </w:pPr>
      <w:r>
        <w:rPr>
          <w:lang w:val="el-GR"/>
        </w:rPr>
        <w:t>adalimumab</w:t>
      </w:r>
    </w:p>
    <w:p w14:paraId="46E49017" w14:textId="77777777" w:rsidR="00171824" w:rsidRDefault="00171824">
      <w:pPr>
        <w:widowControl/>
        <w:kinsoku w:val="0"/>
        <w:overflowPunct w:val="0"/>
        <w:rPr>
          <w:sz w:val="22"/>
          <w:szCs w:val="22"/>
          <w:lang w:val="el-GR"/>
        </w:rPr>
      </w:pPr>
    </w:p>
    <w:p w14:paraId="49788B8F" w14:textId="77777777" w:rsidR="00171824" w:rsidRDefault="00171824">
      <w:pPr>
        <w:widowControl/>
        <w:kinsoku w:val="0"/>
        <w:overflowPunct w:val="0"/>
        <w:rPr>
          <w:sz w:val="22"/>
          <w:szCs w:val="22"/>
          <w:lang w:val="el-GR"/>
        </w:rPr>
      </w:pPr>
    </w:p>
    <w:p w14:paraId="308ED88C" w14:textId="77777777" w:rsidR="00171824" w:rsidRDefault="006D258C">
      <w:pPr>
        <w:pStyle w:val="Heading1"/>
        <w:widowControl/>
        <w:kinsoku w:val="0"/>
        <w:overflowPunct w:val="0"/>
        <w:ind w:left="0"/>
        <w:rPr>
          <w:b w:val="0"/>
          <w:bCs w:val="0"/>
          <w:lang w:val="el-GR"/>
        </w:rPr>
      </w:pPr>
      <w:r>
        <w:rPr>
          <w:lang w:val="el-GR"/>
        </w:rPr>
        <w:t>Διαβάστε προσεκτικά ολόκληρο το φύλλο οδηγιών χρήσης πριν αρχίσετε να χρησιμοποιείτε αυτό το φάρμακο, διότι περιλαμβάνει σημαντικές πληροφορίες για σας.</w:t>
      </w:r>
    </w:p>
    <w:p w14:paraId="73164667"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Φυλάξτε αυτό το φύλλο οδηγιών χρήσης. Ίσως χρειαστεί να το διαβάσετε ξανά.</w:t>
      </w:r>
    </w:p>
    <w:p w14:paraId="3897CB90"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 xml:space="preserve">Ο γιατρός σας θα σας δώσει μια </w:t>
      </w:r>
      <w:r>
        <w:rPr>
          <w:b/>
          <w:lang w:val="el-GR"/>
        </w:rPr>
        <w:t>Κάρτα Υπενθύμισης του Ασθενούς</w:t>
      </w:r>
      <w:r>
        <w:rPr>
          <w:lang w:val="el-GR"/>
        </w:rPr>
        <w:t xml:space="preserve">, η οποία περιέχει σημαντικές πληροφορίες για την ασφάλεια του φαρμάκου τις οποίες θα πρέπει να γνωρίζετε πριν λάβετε AMGEVITA καθώς και κατά τη διάρκεια της θεραπείας με AMGEVITA. Φυλάξτε την </w:t>
      </w:r>
      <w:r>
        <w:rPr>
          <w:b/>
          <w:lang w:val="el-GR"/>
        </w:rPr>
        <w:t>Κάρτα Υπενθύμισης του Ασθενούς</w:t>
      </w:r>
      <w:r>
        <w:rPr>
          <w:lang w:val="el-GR"/>
        </w:rPr>
        <w:t xml:space="preserve"> μαζί με το φύλλο οδηγιών χρήσης.</w:t>
      </w:r>
    </w:p>
    <w:p w14:paraId="32692DC1"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Εάν έχετε περαιτέρω απορίες, ρωτήστε τον γιατρό ή τον φαρμακοποιό σας.</w:t>
      </w:r>
    </w:p>
    <w:p w14:paraId="080D01CF"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Η συνταγή για αυτό το φάρμακο χορηγήθηκε αποκλειστικά για σας. Δεν πρέπει να δώσετε το φάρμακο σε άλλους. Μπορεί να τους προκαλέσει βλάβη, ακόμα και όταν τα συμπτώματα της ασθένειάς τους είναι ίδια με τα δικά σας.</w:t>
      </w:r>
    </w:p>
    <w:p w14:paraId="760B1A9E"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(βλέπε παράγραφο 4).</w:t>
      </w:r>
    </w:p>
    <w:p w14:paraId="230916FC" w14:textId="77777777" w:rsidR="00171824" w:rsidRDefault="00171824">
      <w:pPr>
        <w:widowControl/>
        <w:kinsoku w:val="0"/>
        <w:overflowPunct w:val="0"/>
        <w:rPr>
          <w:sz w:val="22"/>
          <w:szCs w:val="22"/>
          <w:lang w:val="el-GR"/>
        </w:rPr>
      </w:pPr>
    </w:p>
    <w:p w14:paraId="2EC3977E" w14:textId="77777777" w:rsidR="00171824" w:rsidRDefault="006D258C">
      <w:pPr>
        <w:pStyle w:val="Heading1"/>
        <w:widowControl/>
        <w:kinsoku w:val="0"/>
        <w:overflowPunct w:val="0"/>
        <w:ind w:left="0"/>
        <w:rPr>
          <w:b w:val="0"/>
          <w:bCs w:val="0"/>
          <w:lang w:val="el-GR"/>
        </w:rPr>
      </w:pPr>
      <w:r>
        <w:rPr>
          <w:lang w:val="el-GR"/>
        </w:rPr>
        <w:t>Τι περιέχει το παρόν φύλλο οδηγιών:</w:t>
      </w:r>
    </w:p>
    <w:p w14:paraId="20977D5D" w14:textId="77777777" w:rsidR="00171824" w:rsidRDefault="006D258C">
      <w:pPr>
        <w:pStyle w:val="BodyText"/>
        <w:widowControl/>
        <w:numPr>
          <w:ilvl w:val="0"/>
          <w:numId w:val="21"/>
        </w:numPr>
        <w:tabs>
          <w:tab w:val="left" w:pos="567"/>
        </w:tabs>
        <w:kinsoku w:val="0"/>
        <w:overflowPunct w:val="0"/>
        <w:ind w:left="567"/>
        <w:rPr>
          <w:lang w:val="el-GR"/>
        </w:rPr>
      </w:pPr>
      <w:r>
        <w:rPr>
          <w:lang w:val="el-GR"/>
        </w:rPr>
        <w:t>Τι είναι το AMGEVITA και ποια είναι η χρήση του</w:t>
      </w:r>
    </w:p>
    <w:p w14:paraId="6EB1224A" w14:textId="77777777" w:rsidR="00171824" w:rsidRDefault="006D258C">
      <w:pPr>
        <w:pStyle w:val="BodyText"/>
        <w:widowControl/>
        <w:numPr>
          <w:ilvl w:val="0"/>
          <w:numId w:val="21"/>
        </w:numPr>
        <w:tabs>
          <w:tab w:val="left" w:pos="567"/>
        </w:tabs>
        <w:kinsoku w:val="0"/>
        <w:overflowPunct w:val="0"/>
        <w:ind w:left="567"/>
        <w:rPr>
          <w:lang w:val="el-GR"/>
        </w:rPr>
      </w:pPr>
      <w:r>
        <w:rPr>
          <w:lang w:val="el-GR"/>
        </w:rPr>
        <w:t xml:space="preserve">Τι πρέπει να γνωρίζετε πριν χρησιμοποιήσετε το AMGEVITA </w:t>
      </w:r>
    </w:p>
    <w:p w14:paraId="1C7D51FE" w14:textId="77777777" w:rsidR="00171824" w:rsidRDefault="006D258C">
      <w:pPr>
        <w:pStyle w:val="BodyText"/>
        <w:widowControl/>
        <w:numPr>
          <w:ilvl w:val="0"/>
          <w:numId w:val="21"/>
        </w:numPr>
        <w:tabs>
          <w:tab w:val="left" w:pos="567"/>
        </w:tabs>
        <w:kinsoku w:val="0"/>
        <w:overflowPunct w:val="0"/>
        <w:ind w:left="567"/>
        <w:rPr>
          <w:lang w:val="el-GR"/>
        </w:rPr>
      </w:pPr>
      <w:r>
        <w:rPr>
          <w:lang w:val="el-GR"/>
        </w:rPr>
        <w:t xml:space="preserve">Πώς να χρησιμοποιήσετε το AMGEVITA </w:t>
      </w:r>
    </w:p>
    <w:p w14:paraId="0EBF4056" w14:textId="77777777" w:rsidR="00171824" w:rsidRDefault="006D258C">
      <w:pPr>
        <w:pStyle w:val="BodyText"/>
        <w:widowControl/>
        <w:numPr>
          <w:ilvl w:val="0"/>
          <w:numId w:val="21"/>
        </w:numPr>
        <w:tabs>
          <w:tab w:val="left" w:pos="567"/>
        </w:tabs>
        <w:kinsoku w:val="0"/>
        <w:overflowPunct w:val="0"/>
        <w:ind w:left="567"/>
        <w:rPr>
          <w:lang w:val="el-GR"/>
        </w:rPr>
      </w:pPr>
      <w:r>
        <w:rPr>
          <w:lang w:val="el-GR"/>
        </w:rPr>
        <w:t>Πιθανές ανεπιθύμητες ενέργειες</w:t>
      </w:r>
    </w:p>
    <w:p w14:paraId="5A13EC85" w14:textId="77777777" w:rsidR="00171824" w:rsidRDefault="006D258C">
      <w:pPr>
        <w:pStyle w:val="BodyText"/>
        <w:widowControl/>
        <w:numPr>
          <w:ilvl w:val="0"/>
          <w:numId w:val="21"/>
        </w:numPr>
        <w:tabs>
          <w:tab w:val="left" w:pos="567"/>
        </w:tabs>
        <w:kinsoku w:val="0"/>
        <w:overflowPunct w:val="0"/>
        <w:ind w:left="567"/>
        <w:rPr>
          <w:lang w:val="el-GR"/>
        </w:rPr>
      </w:pPr>
      <w:r>
        <w:rPr>
          <w:lang w:val="el-GR"/>
        </w:rPr>
        <w:t xml:space="preserve">Πώς να φυλάσσετε το AMGEVITA </w:t>
      </w:r>
    </w:p>
    <w:p w14:paraId="49659CE2" w14:textId="77777777" w:rsidR="00171824" w:rsidRDefault="006D258C">
      <w:pPr>
        <w:pStyle w:val="BodyText"/>
        <w:widowControl/>
        <w:numPr>
          <w:ilvl w:val="0"/>
          <w:numId w:val="21"/>
        </w:numPr>
        <w:tabs>
          <w:tab w:val="left" w:pos="567"/>
        </w:tabs>
        <w:kinsoku w:val="0"/>
        <w:overflowPunct w:val="0"/>
        <w:ind w:left="567"/>
        <w:rPr>
          <w:lang w:val="el-GR"/>
        </w:rPr>
      </w:pPr>
      <w:r>
        <w:rPr>
          <w:lang w:val="el-GR"/>
        </w:rPr>
        <w:t>Περιεχόμενο της συσκευασίας και λοιπές πληροφορίες</w:t>
      </w:r>
    </w:p>
    <w:p w14:paraId="5A405986" w14:textId="77777777" w:rsidR="00171824" w:rsidRDefault="00171824">
      <w:pPr>
        <w:widowControl/>
        <w:kinsoku w:val="0"/>
        <w:overflowPunct w:val="0"/>
        <w:rPr>
          <w:sz w:val="22"/>
          <w:szCs w:val="22"/>
          <w:lang w:val="el-GR"/>
        </w:rPr>
      </w:pPr>
    </w:p>
    <w:p w14:paraId="71B75832" w14:textId="77777777" w:rsidR="00171824" w:rsidRDefault="00171824">
      <w:pPr>
        <w:widowControl/>
        <w:kinsoku w:val="0"/>
        <w:overflowPunct w:val="0"/>
        <w:rPr>
          <w:sz w:val="22"/>
          <w:szCs w:val="22"/>
          <w:lang w:val="el-GR"/>
        </w:rPr>
      </w:pPr>
    </w:p>
    <w:p w14:paraId="21BF734C" w14:textId="77777777" w:rsidR="00171824" w:rsidRDefault="006D258C">
      <w:pPr>
        <w:pStyle w:val="Heading1"/>
        <w:widowControl/>
        <w:numPr>
          <w:ilvl w:val="0"/>
          <w:numId w:val="22"/>
        </w:numPr>
        <w:tabs>
          <w:tab w:val="left" w:pos="567"/>
        </w:tabs>
        <w:kinsoku w:val="0"/>
        <w:overflowPunct w:val="0"/>
        <w:ind w:left="567"/>
        <w:rPr>
          <w:b w:val="0"/>
          <w:bCs w:val="0"/>
          <w:lang w:val="el-GR"/>
        </w:rPr>
      </w:pPr>
      <w:r>
        <w:rPr>
          <w:lang w:val="el-GR"/>
        </w:rPr>
        <w:t>Τι είναι το AMGEVITA και ποια είναι η χρήση του</w:t>
      </w:r>
    </w:p>
    <w:p w14:paraId="48B6EB46" w14:textId="77777777" w:rsidR="00171824" w:rsidRDefault="00171824">
      <w:pPr>
        <w:widowControl/>
        <w:kinsoku w:val="0"/>
        <w:overflowPunct w:val="0"/>
        <w:rPr>
          <w:sz w:val="22"/>
          <w:szCs w:val="22"/>
          <w:lang w:val="el-GR"/>
        </w:rPr>
      </w:pPr>
    </w:p>
    <w:p w14:paraId="2C6CACE7" w14:textId="77777777" w:rsidR="00171824" w:rsidRDefault="006D258C">
      <w:pPr>
        <w:pStyle w:val="BodyText"/>
        <w:widowControl/>
        <w:kinsoku w:val="0"/>
        <w:overflowPunct w:val="0"/>
        <w:ind w:left="0"/>
        <w:rPr>
          <w:lang w:val="el-GR"/>
        </w:rPr>
      </w:pPr>
      <w:r>
        <w:rPr>
          <w:lang w:val="el-GR"/>
        </w:rPr>
        <w:t xml:space="preserve">Το AMGEVITA περιέχει τη δραστική ουσία adalimumab, ένα φάρμακο που δρα στο ανοσοποιητικό (αμυντικό) σύστημα του οργανισμού σας. </w:t>
      </w:r>
    </w:p>
    <w:p w14:paraId="6031F6E7" w14:textId="77777777" w:rsidR="00171824" w:rsidRDefault="00171824">
      <w:pPr>
        <w:pStyle w:val="BodyText"/>
        <w:widowControl/>
        <w:kinsoku w:val="0"/>
        <w:overflowPunct w:val="0"/>
        <w:ind w:left="0"/>
        <w:rPr>
          <w:lang w:val="el-GR"/>
        </w:rPr>
      </w:pPr>
    </w:p>
    <w:p w14:paraId="77D9E5B7" w14:textId="77777777" w:rsidR="00171824" w:rsidRDefault="006D258C">
      <w:pPr>
        <w:pStyle w:val="BodyText"/>
        <w:widowControl/>
        <w:kinsoku w:val="0"/>
        <w:overflowPunct w:val="0"/>
        <w:ind w:left="0"/>
        <w:rPr>
          <w:lang w:val="el-GR"/>
        </w:rPr>
      </w:pPr>
      <w:r>
        <w:rPr>
          <w:lang w:val="el-GR"/>
        </w:rPr>
        <w:t xml:space="preserve">Το AMGEVITA προορίζεται για τη θεραπεία των φλεγμονώδων νοσημάτων που περιγράφονται παρακάτω: </w:t>
      </w:r>
    </w:p>
    <w:p w14:paraId="7D4E8999" w14:textId="77777777" w:rsidR="00171824" w:rsidRDefault="006D258C">
      <w:pPr>
        <w:pStyle w:val="BodyText"/>
        <w:widowControl/>
        <w:numPr>
          <w:ilvl w:val="0"/>
          <w:numId w:val="23"/>
        </w:numPr>
        <w:kinsoku w:val="0"/>
        <w:overflowPunct w:val="0"/>
        <w:ind w:left="567" w:hanging="567"/>
        <w:rPr>
          <w:lang w:val="el-GR"/>
        </w:rPr>
      </w:pPr>
      <w:r>
        <w:rPr>
          <w:lang w:val="el-GR"/>
        </w:rPr>
        <w:t>Ρευματοειδής αρθρίτιδα</w:t>
      </w:r>
    </w:p>
    <w:p w14:paraId="4901B6FB" w14:textId="77777777" w:rsidR="00171824" w:rsidRDefault="006D258C">
      <w:pPr>
        <w:pStyle w:val="BodyText"/>
        <w:widowControl/>
        <w:numPr>
          <w:ilvl w:val="0"/>
          <w:numId w:val="23"/>
        </w:numPr>
        <w:kinsoku w:val="0"/>
        <w:overflowPunct w:val="0"/>
        <w:ind w:left="567" w:hanging="567"/>
        <w:rPr>
          <w:lang w:val="el-GR"/>
        </w:rPr>
      </w:pPr>
      <w:r>
        <w:rPr>
          <w:lang w:val="el-GR"/>
        </w:rPr>
        <w:t>Πολυαρθρική νεανική ιδιοπαθής αρθρίτιδα</w:t>
      </w:r>
    </w:p>
    <w:p w14:paraId="61D59386" w14:textId="77777777" w:rsidR="00171824" w:rsidRDefault="006D258C">
      <w:pPr>
        <w:pStyle w:val="BodyText"/>
        <w:widowControl/>
        <w:numPr>
          <w:ilvl w:val="0"/>
          <w:numId w:val="23"/>
        </w:numPr>
        <w:kinsoku w:val="0"/>
        <w:overflowPunct w:val="0"/>
        <w:ind w:left="567" w:hanging="567"/>
        <w:rPr>
          <w:lang w:val="el-GR"/>
        </w:rPr>
      </w:pPr>
      <w:r>
        <w:rPr>
          <w:lang w:val="el-GR"/>
        </w:rPr>
        <w:t>Αρθρίτιδα σχετιζόμενη με ενθεσίτιδα</w:t>
      </w:r>
    </w:p>
    <w:p w14:paraId="59895B70" w14:textId="77777777" w:rsidR="00171824" w:rsidRDefault="006D258C">
      <w:pPr>
        <w:pStyle w:val="BodyText"/>
        <w:widowControl/>
        <w:numPr>
          <w:ilvl w:val="0"/>
          <w:numId w:val="23"/>
        </w:numPr>
        <w:kinsoku w:val="0"/>
        <w:overflowPunct w:val="0"/>
        <w:ind w:left="567" w:hanging="567"/>
        <w:rPr>
          <w:lang w:val="el-GR"/>
        </w:rPr>
      </w:pPr>
      <w:r>
        <w:rPr>
          <w:lang w:val="el-GR"/>
        </w:rPr>
        <w:t>Αγκυλοποιητική σπονδυλίτιδα</w:t>
      </w:r>
    </w:p>
    <w:p w14:paraId="0585B6C7" w14:textId="77777777" w:rsidR="00171824" w:rsidRDefault="006D258C">
      <w:pPr>
        <w:pStyle w:val="BodyText"/>
        <w:widowControl/>
        <w:numPr>
          <w:ilvl w:val="0"/>
          <w:numId w:val="23"/>
        </w:numPr>
        <w:kinsoku w:val="0"/>
        <w:overflowPunct w:val="0"/>
        <w:ind w:left="567" w:hanging="567"/>
        <w:rPr>
          <w:lang w:val="el-GR"/>
        </w:rPr>
      </w:pPr>
      <w:r>
        <w:rPr>
          <w:lang w:val="el-GR"/>
        </w:rPr>
        <w:t>Αξονική σπονδυλαρθρίτιδα χωρίς ακτινολογικά ευρήματα αγκυλοποιητικής σπονδυλίτιδας</w:t>
      </w:r>
    </w:p>
    <w:p w14:paraId="75C190A9" w14:textId="77777777" w:rsidR="00171824" w:rsidRDefault="006D258C">
      <w:pPr>
        <w:pStyle w:val="BodyText"/>
        <w:widowControl/>
        <w:numPr>
          <w:ilvl w:val="0"/>
          <w:numId w:val="23"/>
        </w:numPr>
        <w:kinsoku w:val="0"/>
        <w:overflowPunct w:val="0"/>
        <w:ind w:left="567" w:hanging="567"/>
        <w:rPr>
          <w:lang w:val="el-GR"/>
        </w:rPr>
      </w:pPr>
      <w:r>
        <w:rPr>
          <w:lang w:val="el-GR"/>
        </w:rPr>
        <w:t>Ψωριασική αρθρίτιδα</w:t>
      </w:r>
    </w:p>
    <w:p w14:paraId="1DD78F38" w14:textId="77777777" w:rsidR="00171824" w:rsidRDefault="006D258C">
      <w:pPr>
        <w:pStyle w:val="BodyText"/>
        <w:widowControl/>
        <w:numPr>
          <w:ilvl w:val="0"/>
          <w:numId w:val="23"/>
        </w:numPr>
        <w:kinsoku w:val="0"/>
        <w:overflowPunct w:val="0"/>
        <w:ind w:left="567" w:hanging="567"/>
        <w:rPr>
          <w:lang w:val="el-GR"/>
        </w:rPr>
      </w:pPr>
      <w:r>
        <w:rPr>
          <w:lang w:val="el-GR"/>
        </w:rPr>
        <w:t xml:space="preserve">Ψωρίαση κατά πλάκας </w:t>
      </w:r>
    </w:p>
    <w:p w14:paraId="719E1981" w14:textId="77777777" w:rsidR="00171824" w:rsidRDefault="006D258C">
      <w:pPr>
        <w:pStyle w:val="BodyText"/>
        <w:widowControl/>
        <w:numPr>
          <w:ilvl w:val="0"/>
          <w:numId w:val="23"/>
        </w:numPr>
        <w:kinsoku w:val="0"/>
        <w:overflowPunct w:val="0"/>
        <w:ind w:left="567" w:hanging="567"/>
        <w:rPr>
          <w:lang w:val="el-GR"/>
        </w:rPr>
      </w:pPr>
      <w:r>
        <w:rPr>
          <w:lang w:val="el-GR"/>
        </w:rPr>
        <w:t>Διαπυητική ιδρωταδενίτιδα</w:t>
      </w:r>
    </w:p>
    <w:p w14:paraId="5945529D" w14:textId="77777777" w:rsidR="00171824" w:rsidRDefault="006D258C">
      <w:pPr>
        <w:pStyle w:val="BodyText"/>
        <w:widowControl/>
        <w:numPr>
          <w:ilvl w:val="0"/>
          <w:numId w:val="23"/>
        </w:numPr>
        <w:kinsoku w:val="0"/>
        <w:overflowPunct w:val="0"/>
        <w:ind w:left="567" w:hanging="567"/>
        <w:rPr>
          <w:lang w:val="el-GR"/>
        </w:rPr>
      </w:pPr>
      <w:r>
        <w:rPr>
          <w:lang w:val="el-GR"/>
        </w:rPr>
        <w:t xml:space="preserve">Νόσος του Crohn </w:t>
      </w:r>
    </w:p>
    <w:p w14:paraId="537F287A" w14:textId="77777777" w:rsidR="00171824" w:rsidRDefault="006D258C">
      <w:pPr>
        <w:pStyle w:val="BodyText"/>
        <w:widowControl/>
        <w:numPr>
          <w:ilvl w:val="0"/>
          <w:numId w:val="23"/>
        </w:numPr>
        <w:kinsoku w:val="0"/>
        <w:overflowPunct w:val="0"/>
        <w:ind w:left="567" w:hanging="567"/>
        <w:rPr>
          <w:lang w:val="el-GR"/>
        </w:rPr>
      </w:pPr>
      <w:r>
        <w:rPr>
          <w:lang w:val="el-GR"/>
        </w:rPr>
        <w:t>Ελκώδης κολίτιδα</w:t>
      </w:r>
    </w:p>
    <w:p w14:paraId="5040A92F" w14:textId="77777777" w:rsidR="00171824" w:rsidRDefault="006D258C">
      <w:pPr>
        <w:pStyle w:val="BodyText"/>
        <w:widowControl/>
        <w:numPr>
          <w:ilvl w:val="0"/>
          <w:numId w:val="23"/>
        </w:numPr>
        <w:kinsoku w:val="0"/>
        <w:overflowPunct w:val="0"/>
        <w:ind w:left="567" w:hanging="567"/>
        <w:rPr>
          <w:lang w:val="el-GR"/>
        </w:rPr>
      </w:pPr>
      <w:r>
        <w:rPr>
          <w:lang w:val="el-GR"/>
        </w:rPr>
        <w:t>Μη λοιμώδης ραγοειδίτιδα</w:t>
      </w:r>
    </w:p>
    <w:p w14:paraId="5BA75A3F" w14:textId="77777777" w:rsidR="00171824" w:rsidRDefault="00171824">
      <w:pPr>
        <w:pStyle w:val="BodyText"/>
        <w:widowControl/>
        <w:kinsoku w:val="0"/>
        <w:overflowPunct w:val="0"/>
        <w:ind w:left="0"/>
        <w:rPr>
          <w:lang w:val="el-GR"/>
        </w:rPr>
      </w:pPr>
    </w:p>
    <w:p w14:paraId="3E3E0B7D" w14:textId="77777777" w:rsidR="00171824" w:rsidRDefault="006D258C">
      <w:pPr>
        <w:pStyle w:val="BodyText"/>
        <w:widowControl/>
        <w:kinsoku w:val="0"/>
        <w:overflowPunct w:val="0"/>
        <w:ind w:left="0"/>
        <w:rPr>
          <w:lang w:val="el-GR"/>
        </w:rPr>
      </w:pPr>
      <w:r>
        <w:rPr>
          <w:lang w:val="el-GR"/>
        </w:rPr>
        <w:t xml:space="preserve">Η δραστική ουσία του AMGEVITA, το adalimumab, είναι ένα ανθρώπινο μονοκλωνικό αντίσωμα. Τα μονοκλωνικά αντίσωματα είναι πρωτεΐνες που συνδέονται με έναν συγκεκριμένο στόχο. </w:t>
      </w:r>
    </w:p>
    <w:p w14:paraId="6D4B83C3" w14:textId="77777777" w:rsidR="00171824" w:rsidRDefault="00171824">
      <w:pPr>
        <w:pStyle w:val="BodyText"/>
        <w:widowControl/>
        <w:kinsoku w:val="0"/>
        <w:overflowPunct w:val="0"/>
        <w:ind w:left="0"/>
        <w:rPr>
          <w:lang w:val="el-GR"/>
        </w:rPr>
      </w:pPr>
    </w:p>
    <w:p w14:paraId="050AC961" w14:textId="77777777" w:rsidR="00171824" w:rsidRDefault="006D258C">
      <w:pPr>
        <w:pStyle w:val="BodyText"/>
        <w:widowControl/>
        <w:kinsoku w:val="0"/>
        <w:overflowPunct w:val="0"/>
        <w:ind w:left="0"/>
        <w:rPr>
          <w:lang w:val="el-GR"/>
        </w:rPr>
      </w:pPr>
      <w:r>
        <w:rPr>
          <w:lang w:val="el-GR"/>
        </w:rPr>
        <w:t xml:space="preserve">Ο στόχος του adalimumab είναι μία πρωτεΐνη που ονομάζεται παράγοντας νέκρωσης όγκων (TNFα), η οποία εμπλέκεται στο ανοσολογικό (αμυντικό) σύστημα και παρουσιάζεται σε αυξημένα επίπεδα </w:t>
      </w:r>
      <w:r>
        <w:rPr>
          <w:lang w:val="el-GR"/>
        </w:rPr>
        <w:lastRenderedPageBreak/>
        <w:t>στις φλεγμονώδεις νόσους που αναφέρονται ανωτέρω. Συνδέοντας με τον TNFa, το AMGEVITA μειώνει τη διαδικασία της φλεγμονής σε αυτές τις ασθένειες.</w:t>
      </w:r>
    </w:p>
    <w:p w14:paraId="09DC3355" w14:textId="77777777" w:rsidR="00171824" w:rsidRDefault="00171824">
      <w:pPr>
        <w:widowControl/>
        <w:kinsoku w:val="0"/>
        <w:overflowPunct w:val="0"/>
        <w:rPr>
          <w:sz w:val="22"/>
          <w:szCs w:val="22"/>
          <w:lang w:val="el-GR"/>
        </w:rPr>
      </w:pPr>
    </w:p>
    <w:p w14:paraId="5FA9F3FB" w14:textId="77777777" w:rsidR="00171824" w:rsidRDefault="006D258C">
      <w:pPr>
        <w:pStyle w:val="BodyText"/>
        <w:keepNext/>
        <w:widowControl/>
        <w:kinsoku w:val="0"/>
        <w:overflowPunct w:val="0"/>
        <w:ind w:left="0"/>
        <w:rPr>
          <w:lang w:val="el-GR"/>
        </w:rPr>
      </w:pPr>
      <w:r>
        <w:rPr>
          <w:u w:val="single"/>
          <w:lang w:val="el-GR"/>
        </w:rPr>
        <w:t>Ρευματοειδής αρθρίτιδα</w:t>
      </w:r>
    </w:p>
    <w:p w14:paraId="1601D58E" w14:textId="77777777" w:rsidR="00171824" w:rsidRDefault="00171824">
      <w:pPr>
        <w:keepNext/>
        <w:widowControl/>
        <w:kinsoku w:val="0"/>
        <w:overflowPunct w:val="0"/>
        <w:rPr>
          <w:sz w:val="22"/>
          <w:szCs w:val="22"/>
          <w:lang w:val="el-GR"/>
        </w:rPr>
      </w:pPr>
    </w:p>
    <w:p w14:paraId="5F6A553E" w14:textId="77777777" w:rsidR="00171824" w:rsidRDefault="006D258C">
      <w:pPr>
        <w:pStyle w:val="BodyText"/>
        <w:widowControl/>
        <w:kinsoku w:val="0"/>
        <w:overflowPunct w:val="0"/>
        <w:ind w:left="0"/>
        <w:rPr>
          <w:lang w:val="el-GR"/>
        </w:rPr>
      </w:pPr>
      <w:r>
        <w:rPr>
          <w:lang w:val="el-GR"/>
        </w:rPr>
        <w:t>Η ρευματοειδής αρθρίτιδα είναι μια φλεγμονώδης νόσος των αρθρώσεων.</w:t>
      </w:r>
    </w:p>
    <w:p w14:paraId="0D550F42" w14:textId="77777777" w:rsidR="00171824" w:rsidRDefault="00171824">
      <w:pPr>
        <w:widowControl/>
        <w:kinsoku w:val="0"/>
        <w:overflowPunct w:val="0"/>
        <w:rPr>
          <w:sz w:val="22"/>
          <w:szCs w:val="22"/>
          <w:lang w:val="el-GR"/>
        </w:rPr>
      </w:pPr>
    </w:p>
    <w:p w14:paraId="13370164"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ρευματοειδούς αρθρίτιδας στους ενήλικες. Εάν υποφέρετε από μετρίως έως σοβαρή ενεργό ρευματοειδή αρθρίτιδα, μπορεί αρχικά να σας χορηγηθούν άλλα τροποποιητικά της νόσου φάρμακα, όπως η μεθοτρεξάτη. Εάν δεν ανταποκριθείτε ικανοποιητικά σε αυτά τα φάρμακα, θα σας χορηγηθεί το AMGEVITA για τη θεραπεία της ρευματοειδούς αρθρίτιδας.</w:t>
      </w:r>
    </w:p>
    <w:p w14:paraId="403D0576" w14:textId="77777777" w:rsidR="00171824" w:rsidRDefault="00171824">
      <w:pPr>
        <w:widowControl/>
        <w:kinsoku w:val="0"/>
        <w:overflowPunct w:val="0"/>
        <w:rPr>
          <w:sz w:val="22"/>
          <w:szCs w:val="22"/>
          <w:lang w:val="el-GR"/>
        </w:rPr>
      </w:pPr>
    </w:p>
    <w:p w14:paraId="00075930" w14:textId="77777777" w:rsidR="00171824" w:rsidRDefault="006D258C">
      <w:pPr>
        <w:pStyle w:val="BodyText"/>
        <w:widowControl/>
        <w:kinsoku w:val="0"/>
        <w:overflowPunct w:val="0"/>
        <w:ind w:left="0"/>
        <w:rPr>
          <w:lang w:val="el-GR"/>
        </w:rPr>
      </w:pPr>
      <w:r>
        <w:rPr>
          <w:lang w:val="el-GR"/>
        </w:rPr>
        <w:t>Το AMGEVITA μπορεί επίσης να χορηγηθεί για τη θεραπεία της σοβαρής, ενεργού και εξελισσόμενης ρευματοειδούς αρθρίτιδας χωρίς να έχει προηγηθεί θεραπεία με μεθοτρεξάτη.</w:t>
      </w:r>
    </w:p>
    <w:p w14:paraId="34F52755" w14:textId="77777777" w:rsidR="00171824" w:rsidRDefault="00171824">
      <w:pPr>
        <w:widowControl/>
        <w:kinsoku w:val="0"/>
        <w:overflowPunct w:val="0"/>
        <w:rPr>
          <w:sz w:val="22"/>
          <w:szCs w:val="22"/>
          <w:lang w:val="el-GR"/>
        </w:rPr>
      </w:pPr>
    </w:p>
    <w:p w14:paraId="3BF2B7C1" w14:textId="77777777" w:rsidR="00171824" w:rsidRDefault="006D258C">
      <w:pPr>
        <w:pStyle w:val="BodyText"/>
        <w:widowControl/>
        <w:kinsoku w:val="0"/>
        <w:overflowPunct w:val="0"/>
        <w:ind w:left="0"/>
        <w:rPr>
          <w:lang w:val="el-GR"/>
        </w:rPr>
      </w:pPr>
      <w:r>
        <w:rPr>
          <w:lang w:val="el-GR"/>
        </w:rPr>
        <w:t>Το AMGEVITA επιβραδύνει τις βλάβες στο χόνδρο και στα οστά των αρθρώσεών σας που προκαλούνται από τη νόσο και βελτιώνει τη λειτουργικότητα.</w:t>
      </w:r>
    </w:p>
    <w:p w14:paraId="6980405A" w14:textId="77777777" w:rsidR="00171824" w:rsidRDefault="00171824">
      <w:pPr>
        <w:widowControl/>
        <w:kinsoku w:val="0"/>
        <w:overflowPunct w:val="0"/>
        <w:rPr>
          <w:sz w:val="22"/>
          <w:szCs w:val="22"/>
          <w:lang w:val="el-GR"/>
        </w:rPr>
      </w:pPr>
    </w:p>
    <w:p w14:paraId="7831A358" w14:textId="77777777" w:rsidR="00171824" w:rsidRDefault="006D258C">
      <w:pPr>
        <w:pStyle w:val="BodyText"/>
        <w:widowControl/>
        <w:kinsoku w:val="0"/>
        <w:overflowPunct w:val="0"/>
        <w:ind w:left="0"/>
        <w:rPr>
          <w:lang w:val="el-GR"/>
        </w:rPr>
      </w:pPr>
      <w:r>
        <w:rPr>
          <w:lang w:val="el-GR"/>
        </w:rPr>
        <w:t>Συνήθως το AMGEVITA χορηγείται με μεθοτρεξάτη. Εάν ο γιατρός σας καθορίσει ότι η χορήγηση της μεθοτρεξάτης είναι ακατάλληλη, τότε το AMGEVITA μπορεί να χορηγηθεί μόνο του.</w:t>
      </w:r>
    </w:p>
    <w:p w14:paraId="23546154" w14:textId="77777777" w:rsidR="00171824" w:rsidRDefault="00171824">
      <w:pPr>
        <w:widowControl/>
        <w:kinsoku w:val="0"/>
        <w:overflowPunct w:val="0"/>
        <w:rPr>
          <w:sz w:val="22"/>
          <w:szCs w:val="22"/>
          <w:lang w:val="el-GR"/>
        </w:rPr>
      </w:pPr>
    </w:p>
    <w:p w14:paraId="77269ED1" w14:textId="77777777" w:rsidR="00171824" w:rsidRDefault="006D258C">
      <w:pPr>
        <w:pStyle w:val="BodyText"/>
        <w:widowControl/>
        <w:kinsoku w:val="0"/>
        <w:overflowPunct w:val="0"/>
        <w:ind w:left="0"/>
        <w:rPr>
          <w:lang w:val="el-GR"/>
        </w:rPr>
      </w:pPr>
      <w:r>
        <w:rPr>
          <w:u w:val="single"/>
          <w:lang w:val="el-GR"/>
        </w:rPr>
        <w:t>Πολυαρθρική νεανική ιδιοπαθής αρθρίτιδα και αρθρίτιδα σχετιζόμενη με ενθεσίτιδα</w:t>
      </w:r>
    </w:p>
    <w:p w14:paraId="1FA7A6D2" w14:textId="77777777" w:rsidR="00171824" w:rsidRDefault="00171824">
      <w:pPr>
        <w:widowControl/>
        <w:kinsoku w:val="0"/>
        <w:overflowPunct w:val="0"/>
        <w:rPr>
          <w:sz w:val="22"/>
          <w:szCs w:val="22"/>
          <w:lang w:val="el-GR"/>
        </w:rPr>
      </w:pPr>
    </w:p>
    <w:p w14:paraId="7DB79988" w14:textId="77777777" w:rsidR="00171824" w:rsidRDefault="006D258C">
      <w:pPr>
        <w:pStyle w:val="BodyText"/>
        <w:widowControl/>
        <w:kinsoku w:val="0"/>
        <w:overflowPunct w:val="0"/>
        <w:ind w:left="0"/>
        <w:rPr>
          <w:lang w:val="el-GR"/>
        </w:rPr>
      </w:pPr>
      <w:r>
        <w:rPr>
          <w:lang w:val="el-GR"/>
        </w:rPr>
        <w:t>Η πολυαρθρική νεανική ιδιοπαθής αρθρίτιδα και η αρθρίτιδα σχετιζόμενη με ενθεσίτιδα είναι φλεγμονώδεις νόσοι των αρθρώσεων που συνήθως εμφανίζονται για πρώτη φορά στην παιδική ηλικία.</w:t>
      </w:r>
    </w:p>
    <w:p w14:paraId="0789EF0B" w14:textId="77777777" w:rsidR="00171824" w:rsidRDefault="00171824">
      <w:pPr>
        <w:widowControl/>
        <w:kinsoku w:val="0"/>
        <w:overflowPunct w:val="0"/>
        <w:rPr>
          <w:sz w:val="22"/>
          <w:szCs w:val="22"/>
          <w:lang w:val="el-GR"/>
        </w:rPr>
      </w:pPr>
    </w:p>
    <w:p w14:paraId="51A43D8E"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πολυαρθρικής νεανικής ιδιοπαθούς αρθρίτιδας σε ασθενείς από την ηλικία των 2 ετών και της αρθρίτιδας σχετιζόμενης με ενθεσίτιδα σε ασθενείς από την ηλικία των 6 ετών. Μπορεί να λάβετε πρώτα άλλα τροποποιητικά της νόσου φάρμακα όπως μεθοτρεξάτη. Εάν δεν ανταποκριθείτε αρκετά καλά στα φάρμακα αυτά, θα σας χορηγηθεί το AMGEVITA για τη θεραπεία της πολυαρθρικής νεανικής ιδιοπαθούς αρθρίτιδάς σας ή της αρθρίτιδας σχετιζόμενης με ενθεσίτιδα.</w:t>
      </w:r>
    </w:p>
    <w:p w14:paraId="24DA5225" w14:textId="77777777" w:rsidR="00171824" w:rsidRDefault="00171824">
      <w:pPr>
        <w:widowControl/>
        <w:kinsoku w:val="0"/>
        <w:overflowPunct w:val="0"/>
        <w:rPr>
          <w:sz w:val="22"/>
          <w:szCs w:val="22"/>
          <w:lang w:val="el-GR"/>
        </w:rPr>
      </w:pPr>
    </w:p>
    <w:p w14:paraId="668E1BF2" w14:textId="77777777" w:rsidR="00171824" w:rsidRDefault="006D258C">
      <w:pPr>
        <w:pStyle w:val="BodyText"/>
        <w:widowControl/>
        <w:kinsoku w:val="0"/>
        <w:overflowPunct w:val="0"/>
        <w:ind w:left="0"/>
        <w:rPr>
          <w:lang w:val="el-GR"/>
        </w:rPr>
      </w:pPr>
      <w:r>
        <w:rPr>
          <w:u w:val="single"/>
          <w:lang w:val="el-GR"/>
        </w:rPr>
        <w:t>Αγκυλοποιητική σπονδυλίτιδα και αξονική σπονδυλαρθρίτιδα χωρίς ακτινολογικά ευρήματα</w:t>
      </w:r>
      <w:r>
        <w:rPr>
          <w:lang w:val="el-GR"/>
        </w:rPr>
        <w:t xml:space="preserve"> </w:t>
      </w:r>
      <w:r>
        <w:rPr>
          <w:u w:val="single"/>
          <w:lang w:val="el-GR"/>
        </w:rPr>
        <w:t>αγκυλοποιητικής σπονδυλίτιδας</w:t>
      </w:r>
    </w:p>
    <w:p w14:paraId="74D31031" w14:textId="77777777" w:rsidR="00171824" w:rsidRDefault="00171824">
      <w:pPr>
        <w:widowControl/>
        <w:kinsoku w:val="0"/>
        <w:overflowPunct w:val="0"/>
        <w:rPr>
          <w:sz w:val="22"/>
          <w:szCs w:val="22"/>
          <w:lang w:val="el-GR"/>
        </w:rPr>
      </w:pPr>
    </w:p>
    <w:p w14:paraId="60211C9D" w14:textId="77777777" w:rsidR="00171824" w:rsidRDefault="006D258C">
      <w:pPr>
        <w:pStyle w:val="BodyText"/>
        <w:widowControl/>
        <w:kinsoku w:val="0"/>
        <w:overflowPunct w:val="0"/>
        <w:ind w:left="0"/>
        <w:rPr>
          <w:lang w:val="el-GR"/>
        </w:rPr>
      </w:pPr>
      <w:r>
        <w:rPr>
          <w:lang w:val="el-GR"/>
        </w:rPr>
        <w:t>Η αγκυλοποιητική σπονδυλίτιδα και η αξονική σπονδυλαρθρίτιδα χωρίς ακτινολογικά ευρήματα αγκυλοποιητικής σπονδυλίτιδας είναι φλεγμονώδεις νόσοι της σπονδυλικής στήλης.</w:t>
      </w:r>
    </w:p>
    <w:p w14:paraId="715393C4" w14:textId="77777777" w:rsidR="00171824" w:rsidRDefault="00171824">
      <w:pPr>
        <w:widowControl/>
        <w:kinsoku w:val="0"/>
        <w:overflowPunct w:val="0"/>
        <w:rPr>
          <w:sz w:val="22"/>
          <w:szCs w:val="22"/>
          <w:lang w:val="el-GR"/>
        </w:rPr>
      </w:pPr>
    </w:p>
    <w:p w14:paraId="2E58B326"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αγκυλοποιητικής σπονδυλίτιδας και της αξονικής σπονδυλαρθρίτιδας χωρίς ακτινολογικά ευρήματα αγκυλοποιητικής σπονδυλίτιδας στους ενήλικες. Εάν πάσχετε από αγκυλοποιητική σπονδυλίτιδα ή αξονική σπονδυλαρθρίτιδα χωρίς ακτινολογικά ευρήματα αγκυλοποιητικής σπονδυλίτιδας, θα σας χορηγηθούν αρχικά άλλα φάρμακα. Εάν δεν ανταποκριθείτε αρκετά καλά σε αυτά, θα σας χορηγηθεί AMGEVITA ώστε να μειωθούν τα σημεία και τα συμπτώματα της νόσου σας.</w:t>
      </w:r>
    </w:p>
    <w:p w14:paraId="1BDD96D8" w14:textId="77777777" w:rsidR="00171824" w:rsidRDefault="00171824">
      <w:pPr>
        <w:widowControl/>
        <w:kinsoku w:val="0"/>
        <w:overflowPunct w:val="0"/>
        <w:rPr>
          <w:sz w:val="22"/>
          <w:szCs w:val="22"/>
          <w:lang w:val="el-GR"/>
        </w:rPr>
      </w:pPr>
    </w:p>
    <w:p w14:paraId="1EF08E60" w14:textId="77777777" w:rsidR="00171824" w:rsidRDefault="006D258C">
      <w:pPr>
        <w:pStyle w:val="BodyText"/>
        <w:widowControl/>
        <w:kinsoku w:val="0"/>
        <w:overflowPunct w:val="0"/>
        <w:ind w:left="0"/>
        <w:rPr>
          <w:lang w:val="el-GR"/>
        </w:rPr>
      </w:pPr>
      <w:r>
        <w:rPr>
          <w:u w:val="single"/>
          <w:lang w:val="el-GR"/>
        </w:rPr>
        <w:t>Ψωριασική αρθρίτιδα</w:t>
      </w:r>
    </w:p>
    <w:p w14:paraId="0D92AB4E" w14:textId="77777777" w:rsidR="00171824" w:rsidRDefault="00171824">
      <w:pPr>
        <w:widowControl/>
        <w:kinsoku w:val="0"/>
        <w:overflowPunct w:val="0"/>
        <w:rPr>
          <w:sz w:val="22"/>
          <w:szCs w:val="22"/>
          <w:lang w:val="el-GR"/>
        </w:rPr>
      </w:pPr>
    </w:p>
    <w:p w14:paraId="4EC28C2D" w14:textId="77777777" w:rsidR="00171824" w:rsidRDefault="006D258C">
      <w:pPr>
        <w:pStyle w:val="BodyText"/>
        <w:widowControl/>
        <w:kinsoku w:val="0"/>
        <w:overflowPunct w:val="0"/>
        <w:ind w:left="0"/>
        <w:rPr>
          <w:lang w:val="el-GR"/>
        </w:rPr>
      </w:pPr>
      <w:r>
        <w:rPr>
          <w:lang w:val="el-GR"/>
        </w:rPr>
        <w:t>Η ψωριασική αρθρίτιδα είναι μια φλεγμονή των αρθρώσεων που συνδέεται με ψωρίαση.</w:t>
      </w:r>
    </w:p>
    <w:p w14:paraId="18888712" w14:textId="77777777" w:rsidR="00171824" w:rsidRDefault="00171824">
      <w:pPr>
        <w:widowControl/>
        <w:kinsoku w:val="0"/>
        <w:overflowPunct w:val="0"/>
        <w:rPr>
          <w:sz w:val="22"/>
          <w:szCs w:val="22"/>
          <w:lang w:val="el-GR"/>
        </w:rPr>
      </w:pPr>
    </w:p>
    <w:p w14:paraId="48B28685"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ψωριασικής αρθρίτιδας στους ενήλικες. Το AMGEVITA επιβραδύνει τις βλάβες στο χόνδρο και στα οστά των αρθρώσεών σας που προκαλούνται από τη νόσο και βελτιώνει τη λειτουργικότητα.</w:t>
      </w:r>
    </w:p>
    <w:p w14:paraId="03DF7303" w14:textId="77777777" w:rsidR="00171824" w:rsidRDefault="00171824">
      <w:pPr>
        <w:widowControl/>
        <w:kinsoku w:val="0"/>
        <w:overflowPunct w:val="0"/>
        <w:rPr>
          <w:sz w:val="22"/>
          <w:szCs w:val="22"/>
          <w:lang w:val="el-GR"/>
        </w:rPr>
      </w:pPr>
    </w:p>
    <w:p w14:paraId="2E4BF3A3" w14:textId="77777777" w:rsidR="00171824" w:rsidRDefault="006D258C">
      <w:pPr>
        <w:pStyle w:val="BodyText"/>
        <w:keepNext/>
        <w:widowControl/>
        <w:kinsoku w:val="0"/>
        <w:overflowPunct w:val="0"/>
        <w:ind w:left="0"/>
        <w:rPr>
          <w:lang w:val="el-GR"/>
        </w:rPr>
      </w:pPr>
      <w:r>
        <w:rPr>
          <w:u w:val="single"/>
          <w:lang w:val="el-GR"/>
        </w:rPr>
        <w:lastRenderedPageBreak/>
        <w:t>Ψωρίαση κατά πλάκας σε ενήλικες και παιδιά</w:t>
      </w:r>
    </w:p>
    <w:p w14:paraId="32CE7AE0" w14:textId="77777777" w:rsidR="00171824" w:rsidRDefault="00171824">
      <w:pPr>
        <w:keepNext/>
        <w:widowControl/>
        <w:kinsoku w:val="0"/>
        <w:overflowPunct w:val="0"/>
        <w:rPr>
          <w:sz w:val="22"/>
          <w:szCs w:val="22"/>
          <w:lang w:val="el-GR"/>
        </w:rPr>
      </w:pPr>
    </w:p>
    <w:p w14:paraId="364CA1DE" w14:textId="77777777" w:rsidR="00171824" w:rsidRDefault="006D258C">
      <w:pPr>
        <w:pStyle w:val="BodyText"/>
        <w:widowControl/>
        <w:kinsoku w:val="0"/>
        <w:overflowPunct w:val="0"/>
        <w:ind w:left="0"/>
        <w:rPr>
          <w:lang w:val="el-GR"/>
        </w:rPr>
      </w:pPr>
      <w:r>
        <w:rPr>
          <w:lang w:val="el-GR"/>
        </w:rPr>
        <w:t>Η ψωρίαση κατά πλάκας είναι μια δερματοπάθεια που προκαλεί ερυθρές, φολιδωτές, λεπιδώδεις πλάκες δέρματος που καλύπτονται από αργυρόχροα λέπια. Η ψωρίαση κατά πλάκας μπορεί επίσης να προσβάλει τα νύχια, προκαλώντας απώλεια του νυχιού, πάχυνση και αποκόλληση από την κοίτη του νυχιού, το οποίο μπορεί να είναι επώδυνο. Η ψωρίαση πιστεύεται ότι προκαλείται από ένα πρόβλημα στο ανοσοποιητικό σύστημα του οργανισμού, που οδηγεί σε αυξημένη παραγωγή επιδερμιδικών κυττάρων.</w:t>
      </w:r>
    </w:p>
    <w:p w14:paraId="34EA87DB" w14:textId="77777777" w:rsidR="00171824" w:rsidRDefault="00171824">
      <w:pPr>
        <w:widowControl/>
        <w:kinsoku w:val="0"/>
        <w:overflowPunct w:val="0"/>
        <w:rPr>
          <w:sz w:val="22"/>
          <w:szCs w:val="22"/>
          <w:lang w:val="el-GR"/>
        </w:rPr>
      </w:pPr>
    </w:p>
    <w:p w14:paraId="246ABDF8"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μέτριας έως σοβαρής ψωρίασης κατά πλάκας στους ενήλικες. Το AMGEVITA χρησιμοποιείται επίσης και για τη θεραπεία της σοβαρής ψωρίασης κατά πλάκας σε παιδιά και εφήβους ηλικίας 4 μέχρι 17 ετών για τους οποίους η τοπική θεραπεία και οι φωτοθεραπείες είτε δεν λειτούργησαν πολύ καλά ή δεν ήταν κατάλληλες.</w:t>
      </w:r>
    </w:p>
    <w:p w14:paraId="2E068BAB" w14:textId="77777777" w:rsidR="00171824" w:rsidRDefault="00171824">
      <w:pPr>
        <w:pStyle w:val="BodyText"/>
        <w:widowControl/>
        <w:kinsoku w:val="0"/>
        <w:overflowPunct w:val="0"/>
        <w:ind w:left="0"/>
        <w:rPr>
          <w:lang w:val="el-GR"/>
        </w:rPr>
      </w:pPr>
    </w:p>
    <w:p w14:paraId="4C28D7EB" w14:textId="77777777" w:rsidR="00171824" w:rsidRDefault="006D258C">
      <w:pPr>
        <w:pStyle w:val="BodyText"/>
        <w:widowControl/>
        <w:kinsoku w:val="0"/>
        <w:overflowPunct w:val="0"/>
        <w:ind w:left="0"/>
        <w:rPr>
          <w:lang w:val="el-GR"/>
        </w:rPr>
      </w:pPr>
      <w:r>
        <w:rPr>
          <w:u w:val="single"/>
          <w:lang w:val="el-GR"/>
        </w:rPr>
        <w:t>Διαπυητική ιδρωταδενίτιδα σε ενήλικες και παιδιά</w:t>
      </w:r>
    </w:p>
    <w:p w14:paraId="55F02012" w14:textId="77777777" w:rsidR="00171824" w:rsidRDefault="00171824">
      <w:pPr>
        <w:widowControl/>
        <w:kinsoku w:val="0"/>
        <w:overflowPunct w:val="0"/>
        <w:rPr>
          <w:sz w:val="22"/>
          <w:szCs w:val="22"/>
          <w:lang w:val="el-GR"/>
        </w:rPr>
      </w:pPr>
    </w:p>
    <w:p w14:paraId="780B3A3D" w14:textId="77777777" w:rsidR="00171824" w:rsidRDefault="006D258C">
      <w:pPr>
        <w:pStyle w:val="BodyText"/>
        <w:widowControl/>
        <w:kinsoku w:val="0"/>
        <w:overflowPunct w:val="0"/>
        <w:ind w:left="0"/>
        <w:rPr>
          <w:lang w:val="el-GR"/>
        </w:rPr>
      </w:pPr>
      <w:r>
        <w:rPr>
          <w:lang w:val="el-GR"/>
        </w:rPr>
        <w:t>Η διαπυητική ιδρωταδενίτιδα (ονομάζεται και ανάστροφη ακµή) είναι μία χρόνια και συχνά επώδυνη φλεγμονώδης νόσος του δέρματος. Τα συμπτώματα μπορεί να περιλαμβάνουν ευαίσθητα οζίδια (εξογκώματα) και αποστήματα (δοθιήνες) που μπορεί να εκκρίνουν πύον. Εμφανίζεται συχνότερα σε συγκεκριμένες περιοχές του δέρματος, όπως κάτω από το στήθος, στις μασχάλες, στο εσωτερικό των μηρών, στη βουβωνική χώρα και τους γλουτούς. Στις προσβεβλημένες περιοχές μπορεί επίσης να εμφανιστούν ουλές.</w:t>
      </w:r>
    </w:p>
    <w:p w14:paraId="61C61EFC" w14:textId="77777777" w:rsidR="00171824" w:rsidRDefault="00171824">
      <w:pPr>
        <w:widowControl/>
        <w:kinsoku w:val="0"/>
        <w:overflowPunct w:val="0"/>
        <w:rPr>
          <w:sz w:val="22"/>
          <w:szCs w:val="22"/>
          <w:lang w:val="el-GR"/>
        </w:rPr>
      </w:pPr>
    </w:p>
    <w:p w14:paraId="089F87E3"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διαπυητικής ιδρωταδενίτιδας σε ενήλικες και παιδιά από την ηλικία των 12 ετών. Το AMGEVITA μπορεί να μειώσει τον αριθμό των οζιδίων και των αποστημάτων, καθώς και τον πόνο που συνδέεται συχνά με τη νόσο.</w:t>
      </w:r>
      <w:r>
        <w:rPr>
          <w:rFonts w:ascii="Arial" w:hAnsi="Arial" w:cs="Arial"/>
          <w:color w:val="222222"/>
          <w:lang w:val="el-GR"/>
        </w:rPr>
        <w:t xml:space="preserve"> </w:t>
      </w:r>
      <w:r>
        <w:rPr>
          <w:lang w:val="el-GR"/>
        </w:rPr>
        <w:t>Μπορεί πρώτα να σας χορηγηθούν άλλα φάρμακα. Αν δεν ανταποκριθείτε καλά σε αυτά τα φάρμακα, θα σας δοθεί το AMGEVITA.</w:t>
      </w:r>
    </w:p>
    <w:p w14:paraId="6B2CB6E0" w14:textId="77777777" w:rsidR="00171824" w:rsidRDefault="00171824">
      <w:pPr>
        <w:widowControl/>
        <w:kinsoku w:val="0"/>
        <w:overflowPunct w:val="0"/>
        <w:rPr>
          <w:sz w:val="22"/>
          <w:szCs w:val="22"/>
          <w:lang w:val="el-GR"/>
        </w:rPr>
      </w:pPr>
    </w:p>
    <w:p w14:paraId="2D709E0C" w14:textId="77777777" w:rsidR="00171824" w:rsidRDefault="006D258C">
      <w:pPr>
        <w:pStyle w:val="BodyText"/>
        <w:widowControl/>
        <w:kinsoku w:val="0"/>
        <w:overflowPunct w:val="0"/>
        <w:ind w:left="0"/>
        <w:rPr>
          <w:lang w:val="el-GR"/>
        </w:rPr>
      </w:pPr>
      <w:r>
        <w:rPr>
          <w:u w:val="single"/>
          <w:lang w:val="el-GR"/>
        </w:rPr>
        <w:t>Nόσος του Crohn σε ενήλικες και παιδιά</w:t>
      </w:r>
    </w:p>
    <w:p w14:paraId="546BF0C6" w14:textId="77777777" w:rsidR="00171824" w:rsidRDefault="00171824">
      <w:pPr>
        <w:widowControl/>
        <w:kinsoku w:val="0"/>
        <w:overflowPunct w:val="0"/>
        <w:rPr>
          <w:sz w:val="22"/>
          <w:szCs w:val="22"/>
          <w:lang w:val="el-GR"/>
        </w:rPr>
      </w:pPr>
    </w:p>
    <w:p w14:paraId="4C00C188" w14:textId="77777777" w:rsidR="00171824" w:rsidRDefault="006D258C">
      <w:pPr>
        <w:pStyle w:val="BodyText"/>
        <w:widowControl/>
        <w:kinsoku w:val="0"/>
        <w:overflowPunct w:val="0"/>
        <w:ind w:left="0"/>
        <w:rPr>
          <w:lang w:val="el-GR"/>
        </w:rPr>
      </w:pPr>
      <w:r>
        <w:rPr>
          <w:lang w:val="el-GR"/>
        </w:rPr>
        <w:t>H νόσος του Crohn είναι μια φλεγμονώδης νόσος του πεπτικού συστήματος.</w:t>
      </w:r>
    </w:p>
    <w:p w14:paraId="540D63EF" w14:textId="77777777" w:rsidR="00171824" w:rsidRDefault="00171824">
      <w:pPr>
        <w:widowControl/>
        <w:kinsoku w:val="0"/>
        <w:overflowPunct w:val="0"/>
        <w:rPr>
          <w:sz w:val="22"/>
          <w:szCs w:val="22"/>
          <w:lang w:val="el-GR"/>
        </w:rPr>
      </w:pPr>
    </w:p>
    <w:p w14:paraId="20BFA663"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νόσου του Crohn σε ενήλικες και παιδιά ηλικίας 6 έως 17 ετών. Εάν πάσχετε από νόσο του Crohn θα πρέπει να σας δοθεί αρχικά άλλη φαρμακευτική αγωγή. Εάν δεν ανταποκριθείτε αρκετά καλά σε αυτή τη φαρμακευτική αγωγή, θα σας δοθεί AMGEVITA ώστε να μειωθούν τα σημεία και τα συμπτώματα της νόσου του Crohn.</w:t>
      </w:r>
    </w:p>
    <w:p w14:paraId="735EE048" w14:textId="77777777" w:rsidR="00171824" w:rsidRDefault="00171824">
      <w:pPr>
        <w:widowControl/>
        <w:kinsoku w:val="0"/>
        <w:overflowPunct w:val="0"/>
        <w:rPr>
          <w:sz w:val="22"/>
          <w:szCs w:val="22"/>
          <w:lang w:val="el-GR"/>
        </w:rPr>
      </w:pPr>
    </w:p>
    <w:p w14:paraId="19CF0C77" w14:textId="77777777" w:rsidR="00171824" w:rsidRDefault="006D258C">
      <w:pPr>
        <w:pStyle w:val="BodyText"/>
        <w:widowControl/>
        <w:kinsoku w:val="0"/>
        <w:overflowPunct w:val="0"/>
        <w:ind w:left="0"/>
        <w:rPr>
          <w:lang w:val="el-GR"/>
        </w:rPr>
      </w:pPr>
      <w:r>
        <w:rPr>
          <w:u w:val="single"/>
          <w:lang w:val="el-GR"/>
        </w:rPr>
        <w:t>Ελκώδης κολίτιδα σε ενήλικες και παιδιά</w:t>
      </w:r>
    </w:p>
    <w:p w14:paraId="371DF0B2" w14:textId="77777777" w:rsidR="00171824" w:rsidRDefault="00171824">
      <w:pPr>
        <w:widowControl/>
        <w:kinsoku w:val="0"/>
        <w:overflowPunct w:val="0"/>
        <w:rPr>
          <w:sz w:val="22"/>
          <w:szCs w:val="22"/>
          <w:lang w:val="el-GR"/>
        </w:rPr>
      </w:pPr>
    </w:p>
    <w:p w14:paraId="12A7B0BD" w14:textId="77777777" w:rsidR="00171824" w:rsidRDefault="006D258C">
      <w:pPr>
        <w:pStyle w:val="BodyText"/>
        <w:widowControl/>
        <w:kinsoku w:val="0"/>
        <w:overflowPunct w:val="0"/>
        <w:ind w:left="0"/>
        <w:rPr>
          <w:lang w:val="el-GR"/>
        </w:rPr>
      </w:pPr>
      <w:r>
        <w:rPr>
          <w:lang w:val="el-GR"/>
        </w:rPr>
        <w:t>Η ελκώδης κολίτιδα είναι μία φλεγμονώδης νόσος του παχέος εντέρου.</w:t>
      </w:r>
    </w:p>
    <w:p w14:paraId="4633EE7E" w14:textId="77777777" w:rsidR="00171824" w:rsidRDefault="00171824">
      <w:pPr>
        <w:widowControl/>
        <w:kinsoku w:val="0"/>
        <w:overflowPunct w:val="0"/>
        <w:rPr>
          <w:sz w:val="22"/>
          <w:szCs w:val="22"/>
          <w:lang w:val="el-GR"/>
        </w:rPr>
      </w:pPr>
    </w:p>
    <w:p w14:paraId="51513B94"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μέτριας έως σοβαρής ελκώδους κολίτιδας σε ενήλικες και παιδιά ηλικίας 6 έως 17 ετών. Αν έχετε ελκώδη κολίτιδα, μπορεί πρώτα να σας χορηγηθούν άλλα φάρμακα. Αν δεν ανταποκριθείτε αρκετά καλά σε αυτά τα φάρμακα, θα σας δοθεί AMGEVITA για να μειωθούν τα σημεία και τα συμπτώματα της νόσου σας.</w:t>
      </w:r>
    </w:p>
    <w:p w14:paraId="34677482" w14:textId="77777777" w:rsidR="00171824" w:rsidRDefault="00171824">
      <w:pPr>
        <w:widowControl/>
        <w:kinsoku w:val="0"/>
        <w:overflowPunct w:val="0"/>
        <w:rPr>
          <w:sz w:val="22"/>
          <w:szCs w:val="22"/>
          <w:lang w:val="el-GR"/>
        </w:rPr>
      </w:pPr>
    </w:p>
    <w:p w14:paraId="7FED6D99" w14:textId="77777777" w:rsidR="00171824" w:rsidRDefault="006D258C">
      <w:pPr>
        <w:pStyle w:val="BodyText"/>
        <w:widowControl/>
        <w:kinsoku w:val="0"/>
        <w:overflowPunct w:val="0"/>
        <w:ind w:left="0"/>
        <w:rPr>
          <w:lang w:val="el-GR"/>
        </w:rPr>
      </w:pPr>
      <w:r>
        <w:rPr>
          <w:u w:val="single"/>
          <w:lang w:val="el-GR"/>
        </w:rPr>
        <w:t>Μη-λοιμώδης ραγοειδίτιδα σε ενήλικες και παιδιά</w:t>
      </w:r>
    </w:p>
    <w:p w14:paraId="529286A2" w14:textId="77777777" w:rsidR="00171824" w:rsidRDefault="00171824">
      <w:pPr>
        <w:widowControl/>
        <w:kinsoku w:val="0"/>
        <w:overflowPunct w:val="0"/>
        <w:rPr>
          <w:sz w:val="22"/>
          <w:szCs w:val="22"/>
          <w:lang w:val="el-GR"/>
        </w:rPr>
      </w:pPr>
    </w:p>
    <w:p w14:paraId="5A43DF06" w14:textId="77777777" w:rsidR="00171824" w:rsidRDefault="006D258C">
      <w:pPr>
        <w:pStyle w:val="BodyText"/>
        <w:widowControl/>
        <w:kinsoku w:val="0"/>
        <w:overflowPunct w:val="0"/>
        <w:ind w:left="0"/>
        <w:rPr>
          <w:lang w:val="el-GR"/>
        </w:rPr>
      </w:pPr>
      <w:r>
        <w:rPr>
          <w:lang w:val="el-GR"/>
        </w:rPr>
        <w:t xml:space="preserve">Η μη-λοιμώδης ραγοειδίτιδα είναι μία φλεγμονώδης ασθένεια που επηρεάζει ορισμένα τμήματα του οφθαλμού. </w:t>
      </w:r>
    </w:p>
    <w:p w14:paraId="78CFD1C7" w14:textId="77777777" w:rsidR="00171824" w:rsidRDefault="00171824">
      <w:pPr>
        <w:pStyle w:val="BodyText"/>
        <w:widowControl/>
        <w:kinsoku w:val="0"/>
        <w:overflowPunct w:val="0"/>
        <w:ind w:left="0"/>
        <w:rPr>
          <w:lang w:val="el-GR"/>
        </w:rPr>
      </w:pPr>
    </w:p>
    <w:p w14:paraId="57AFAF03" w14:textId="77777777" w:rsidR="00171824" w:rsidRDefault="006D258C">
      <w:pPr>
        <w:pStyle w:val="BodyText"/>
        <w:widowControl/>
        <w:kinsoku w:val="0"/>
        <w:overflowPunct w:val="0"/>
        <w:ind w:left="0"/>
        <w:rPr>
          <w:lang w:val="el-GR"/>
        </w:rPr>
      </w:pPr>
      <w:r>
        <w:rPr>
          <w:lang w:val="el-GR"/>
        </w:rPr>
        <w:t xml:space="preserve">Το AMGEVITA χρησιμοποιείται για τη θεραπεία </w:t>
      </w:r>
    </w:p>
    <w:p w14:paraId="09D9D957" w14:textId="77777777" w:rsidR="00171824" w:rsidRDefault="006D258C">
      <w:pPr>
        <w:pStyle w:val="BodyText"/>
        <w:widowControl/>
        <w:numPr>
          <w:ilvl w:val="0"/>
          <w:numId w:val="23"/>
        </w:numPr>
        <w:kinsoku w:val="0"/>
        <w:overflowPunct w:val="0"/>
        <w:ind w:left="567" w:hanging="567"/>
        <w:rPr>
          <w:lang w:val="el-GR"/>
        </w:rPr>
      </w:pPr>
      <w:r>
        <w:rPr>
          <w:lang w:val="el-GR"/>
        </w:rPr>
        <w:t xml:space="preserve">Ενηλίκων με μη-λοιμώδη ραγοειδίτιδα με φλεγμονή που επηρεάζει το οπίσθιο μέρος του οφθαλμού. </w:t>
      </w:r>
    </w:p>
    <w:p w14:paraId="05738A84" w14:textId="77777777" w:rsidR="00171824" w:rsidRDefault="006D258C">
      <w:pPr>
        <w:pStyle w:val="BodyText"/>
        <w:widowControl/>
        <w:numPr>
          <w:ilvl w:val="0"/>
          <w:numId w:val="23"/>
        </w:numPr>
        <w:kinsoku w:val="0"/>
        <w:overflowPunct w:val="0"/>
        <w:ind w:left="567" w:hanging="567"/>
        <w:rPr>
          <w:lang w:val="el-GR"/>
        </w:rPr>
      </w:pPr>
      <w:r>
        <w:rPr>
          <w:lang w:val="el-GR"/>
        </w:rPr>
        <w:t xml:space="preserve">Παιδιά από την ηλικία των 2 ετών με μη-λοιμώδη ραγοειδίτιδα με φλεγμονή που επηρεάζει το μπροστινό μέρος του οφθαλμού. </w:t>
      </w:r>
    </w:p>
    <w:p w14:paraId="3C95AE5D" w14:textId="77777777" w:rsidR="00171824" w:rsidRDefault="00171824">
      <w:pPr>
        <w:pStyle w:val="BodyText"/>
        <w:widowControl/>
        <w:kinsoku w:val="0"/>
        <w:overflowPunct w:val="0"/>
        <w:ind w:left="0"/>
        <w:rPr>
          <w:lang w:val="el-GR"/>
        </w:rPr>
      </w:pPr>
    </w:p>
    <w:p w14:paraId="554EF967" w14:textId="77777777" w:rsidR="00171824" w:rsidRDefault="006D258C">
      <w:pPr>
        <w:pStyle w:val="BodyText"/>
        <w:widowControl/>
        <w:kinsoku w:val="0"/>
        <w:overflowPunct w:val="0"/>
        <w:ind w:left="0"/>
        <w:rPr>
          <w:lang w:val="el-GR"/>
        </w:rPr>
      </w:pPr>
      <w:r>
        <w:rPr>
          <w:lang w:val="el-GR"/>
        </w:rPr>
        <w:t>Η φλεγμονή αυτή μπορεί να οδηγήσει σε μείωση της όρασης και/ή στην παρουσία εξιδρωμάτων στον οφθαλμό (μαύρες κουκίδες ή ψιλές γραμμές που κινούνται σε όλο το πεδίο της όρασης). Το AMGEVITA δρα μειώνοντας αυτήν τη φλεγμονή.</w:t>
      </w:r>
    </w:p>
    <w:p w14:paraId="51C2D988" w14:textId="77777777" w:rsidR="00171824" w:rsidRDefault="00171824">
      <w:pPr>
        <w:widowControl/>
        <w:kinsoku w:val="0"/>
        <w:overflowPunct w:val="0"/>
        <w:rPr>
          <w:sz w:val="22"/>
          <w:szCs w:val="22"/>
          <w:lang w:val="el-GR"/>
        </w:rPr>
      </w:pPr>
    </w:p>
    <w:p w14:paraId="3B200C93" w14:textId="77777777" w:rsidR="00171824" w:rsidRDefault="00171824">
      <w:pPr>
        <w:widowControl/>
        <w:kinsoku w:val="0"/>
        <w:overflowPunct w:val="0"/>
        <w:rPr>
          <w:sz w:val="22"/>
          <w:szCs w:val="22"/>
          <w:lang w:val="el-GR"/>
        </w:rPr>
      </w:pPr>
    </w:p>
    <w:p w14:paraId="578F38E5" w14:textId="77777777" w:rsidR="00171824" w:rsidRDefault="006D258C">
      <w:pPr>
        <w:pStyle w:val="Heading1"/>
        <w:keepNext/>
        <w:widowControl/>
        <w:numPr>
          <w:ilvl w:val="0"/>
          <w:numId w:val="22"/>
        </w:numPr>
        <w:tabs>
          <w:tab w:val="left" w:pos="567"/>
        </w:tabs>
        <w:kinsoku w:val="0"/>
        <w:overflowPunct w:val="0"/>
        <w:ind w:left="567"/>
        <w:rPr>
          <w:b w:val="0"/>
          <w:bCs w:val="0"/>
          <w:lang w:val="el-GR"/>
        </w:rPr>
      </w:pPr>
      <w:r>
        <w:rPr>
          <w:lang w:val="el-GR"/>
        </w:rPr>
        <w:t xml:space="preserve">Τι πρέπει να γνωρίζετε πριν χρησιμοποιήσετε το AMGEVITA </w:t>
      </w:r>
    </w:p>
    <w:p w14:paraId="2C868CB3" w14:textId="77777777" w:rsidR="00171824" w:rsidRDefault="00171824">
      <w:pPr>
        <w:pStyle w:val="Heading1"/>
        <w:keepNext/>
        <w:widowControl/>
        <w:tabs>
          <w:tab w:val="left" w:pos="684"/>
        </w:tabs>
        <w:kinsoku w:val="0"/>
        <w:overflowPunct w:val="0"/>
        <w:ind w:left="0"/>
        <w:rPr>
          <w:b w:val="0"/>
          <w:bCs w:val="0"/>
          <w:lang w:val="el-GR"/>
        </w:rPr>
      </w:pPr>
    </w:p>
    <w:p w14:paraId="40D06AE5" w14:textId="77777777" w:rsidR="00171824" w:rsidRDefault="006D258C">
      <w:pPr>
        <w:pStyle w:val="Heading1"/>
        <w:keepNext/>
        <w:widowControl/>
        <w:tabs>
          <w:tab w:val="left" w:pos="684"/>
        </w:tabs>
        <w:kinsoku w:val="0"/>
        <w:overflowPunct w:val="0"/>
        <w:ind w:left="0"/>
        <w:rPr>
          <w:lang w:val="el-GR"/>
        </w:rPr>
      </w:pPr>
      <w:r>
        <w:rPr>
          <w:lang w:val="el-GR"/>
        </w:rPr>
        <w:t xml:space="preserve">Μην χρησιμοποιήσετε το AMGEVITA: </w:t>
      </w:r>
    </w:p>
    <w:p w14:paraId="16A1B20E" w14:textId="77777777" w:rsidR="00171824" w:rsidRDefault="00171824">
      <w:pPr>
        <w:keepNext/>
        <w:widowControl/>
        <w:rPr>
          <w:sz w:val="22"/>
          <w:szCs w:val="22"/>
          <w:lang w:val="el-GR"/>
        </w:rPr>
      </w:pPr>
    </w:p>
    <w:p w14:paraId="543874EA"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Σε περίπτωση αλλεργίας στο adalimumab ή σε οποιοδήποτε άλλο από τα συστατικά αυτού του φαρμάκου (αναφέρονται στην παράγραφο 6).</w:t>
      </w:r>
    </w:p>
    <w:p w14:paraId="14EA06D5"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Σε περίπτωση σοβαρής λοίμωξης, συμπεριλαμβανομένης και της ενεργού φυματίωσης, σηψαιμίας (λοίμωξης του αίματος) ή άλλων ευκαιριακών λοιμώξεων (ασυνήθιστων λοιμώξεων που συσχετίζονται με εξασθενημένο ανοσοποιητικό σύστημα) (βλέπε «Προειδοποιήσεις και Προφυλάξεις»). Είναι σημαντικό να ενημερώσετε τον γιατρό σας εάν έχετε συμπτώματα λοίμωξης, όπως π.χ. πυρετό, πληγές, αίσθημα κόπωσης ή οδοντικά προβλήματα.</w:t>
      </w:r>
    </w:p>
    <w:p w14:paraId="7114DA57"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Σε περίπτωση μέτριας ή σοβαρής καρδιακής ανεπάρκειας. Είναι σημαντικό να ενημερώσετε τον γιατρό σας εάν είχατε ή έχετε σοβαρή καρδιακή νόσο (βλέπε «Προειδοποιήσεις και Προφυλάξεις»).</w:t>
      </w:r>
    </w:p>
    <w:p w14:paraId="480927F4" w14:textId="77777777" w:rsidR="00171824" w:rsidRDefault="00171824">
      <w:pPr>
        <w:widowControl/>
        <w:kinsoku w:val="0"/>
        <w:overflowPunct w:val="0"/>
        <w:rPr>
          <w:sz w:val="22"/>
          <w:szCs w:val="22"/>
          <w:lang w:val="el-GR"/>
        </w:rPr>
      </w:pPr>
    </w:p>
    <w:p w14:paraId="224E884B" w14:textId="77777777" w:rsidR="00171824" w:rsidRDefault="006D258C">
      <w:pPr>
        <w:pStyle w:val="Heading1"/>
        <w:widowControl/>
        <w:kinsoku w:val="0"/>
        <w:overflowPunct w:val="0"/>
        <w:ind w:left="0"/>
        <w:rPr>
          <w:b w:val="0"/>
          <w:bCs w:val="0"/>
          <w:lang w:val="el-GR"/>
        </w:rPr>
      </w:pPr>
      <w:r>
        <w:rPr>
          <w:lang w:val="el-GR"/>
        </w:rPr>
        <w:t>Προειδοποιήσεις και προφυλάξεις</w:t>
      </w:r>
    </w:p>
    <w:p w14:paraId="39CF781E" w14:textId="77777777" w:rsidR="00171824" w:rsidRDefault="00171824">
      <w:pPr>
        <w:widowControl/>
        <w:kinsoku w:val="0"/>
        <w:overflowPunct w:val="0"/>
        <w:rPr>
          <w:sz w:val="22"/>
          <w:szCs w:val="22"/>
          <w:lang w:val="el-GR"/>
        </w:rPr>
      </w:pPr>
    </w:p>
    <w:p w14:paraId="673FECB0" w14:textId="77777777" w:rsidR="00171824" w:rsidRDefault="006D258C">
      <w:pPr>
        <w:pStyle w:val="BodyText"/>
        <w:widowControl/>
        <w:kinsoku w:val="0"/>
        <w:overflowPunct w:val="0"/>
        <w:ind w:left="0"/>
        <w:rPr>
          <w:lang w:val="el-GR"/>
        </w:rPr>
      </w:pPr>
      <w:r>
        <w:rPr>
          <w:lang w:val="el-GR"/>
        </w:rPr>
        <w:t xml:space="preserve">Απευθυνθείτε στον γιατρό ή τον φαρμακοποιό σας πριν χρησιμοποιήσετε το AMGEVITA: </w:t>
      </w:r>
    </w:p>
    <w:p w14:paraId="1A681B51" w14:textId="77777777" w:rsidR="00171824" w:rsidRDefault="00171824">
      <w:pPr>
        <w:widowControl/>
        <w:kinsoku w:val="0"/>
        <w:overflowPunct w:val="0"/>
        <w:rPr>
          <w:sz w:val="22"/>
          <w:szCs w:val="22"/>
          <w:lang w:val="el-GR"/>
        </w:rPr>
      </w:pPr>
    </w:p>
    <w:p w14:paraId="26ECC42D" w14:textId="77777777" w:rsidR="00171824" w:rsidRDefault="006D258C">
      <w:pPr>
        <w:widowControl/>
        <w:kinsoku w:val="0"/>
        <w:overflowPunct w:val="0"/>
        <w:rPr>
          <w:sz w:val="22"/>
          <w:szCs w:val="22"/>
          <w:lang w:val="el-GR"/>
        </w:rPr>
      </w:pPr>
      <w:r>
        <w:rPr>
          <w:sz w:val="22"/>
          <w:szCs w:val="22"/>
          <w:lang w:val="el-GR"/>
        </w:rPr>
        <w:t>Αλλεργικές αντιδράσεις</w:t>
      </w:r>
    </w:p>
    <w:p w14:paraId="642EAC57" w14:textId="77777777" w:rsidR="00171824" w:rsidRDefault="00171824">
      <w:pPr>
        <w:widowControl/>
        <w:kinsoku w:val="0"/>
        <w:overflowPunct w:val="0"/>
        <w:rPr>
          <w:sz w:val="22"/>
          <w:szCs w:val="22"/>
          <w:lang w:val="el-GR"/>
        </w:rPr>
      </w:pPr>
    </w:p>
    <w:p w14:paraId="6D967612"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Εάν εμφανίσετε αλλεργικές αντιδράσεις με συμπτώματα όπως αίσθημα σφιξίματος στο θώρακα, δύσπνοια, ζάλη, οίδημα ή εξάνθημα διακόψτε τις ενέσεις AMGEVITA και επικοινωνήστε αμέσως με τον γιατρό σας δεδομένου ότι, σε σπάνιες περιπτώσεις, αυτές οι αντιδράσεις μπορεί να είναι απειλητικές για τη ζωή.</w:t>
      </w:r>
    </w:p>
    <w:p w14:paraId="403C8308" w14:textId="77777777" w:rsidR="00171824" w:rsidRDefault="00171824">
      <w:pPr>
        <w:pStyle w:val="BodyText"/>
        <w:widowControl/>
        <w:tabs>
          <w:tab w:val="left" w:pos="567"/>
        </w:tabs>
        <w:kinsoku w:val="0"/>
        <w:overflowPunct w:val="0"/>
        <w:ind w:left="567"/>
        <w:rPr>
          <w:lang w:val="el-GR"/>
        </w:rPr>
      </w:pPr>
    </w:p>
    <w:p w14:paraId="6C7B925C" w14:textId="77777777" w:rsidR="00171824" w:rsidRDefault="006D258C">
      <w:pPr>
        <w:pStyle w:val="BodyText"/>
        <w:widowControl/>
        <w:tabs>
          <w:tab w:val="left" w:pos="567"/>
        </w:tabs>
        <w:kinsoku w:val="0"/>
        <w:overflowPunct w:val="0"/>
        <w:ind w:left="0"/>
        <w:rPr>
          <w:lang w:val="el-GR"/>
        </w:rPr>
      </w:pPr>
      <w:r>
        <w:rPr>
          <w:lang w:val="el-GR"/>
        </w:rPr>
        <w:t>Λοιμώξεις</w:t>
      </w:r>
    </w:p>
    <w:p w14:paraId="5BAAC610" w14:textId="77777777" w:rsidR="00171824" w:rsidRDefault="00171824">
      <w:pPr>
        <w:widowControl/>
        <w:kinsoku w:val="0"/>
        <w:overflowPunct w:val="0"/>
        <w:rPr>
          <w:sz w:val="22"/>
          <w:szCs w:val="22"/>
          <w:lang w:val="el-GR"/>
        </w:rPr>
      </w:pPr>
    </w:p>
    <w:p w14:paraId="417D2A5B"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Εάν έχετε μια λοίμωξη, συμπεριλαμβανομένων των μακροχρόνιων ή των τοπικών λοιμώξεων (για παράδειγμα, έλκος κάτω άκρου) συμβουλευθείτε τον γιατρό σας πριν αρχίσετε την αγωγή με το AMGEVITA. Εάν δεν είστε βέβαιος, επικοινωνήσετε με τον γιατρό σας.</w:t>
      </w:r>
    </w:p>
    <w:p w14:paraId="79CEB707"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Μπορεί να εμφανίσετε λοιμώξεις ευκολότερα ενώ λαμβάνετε τη θεραπεία AMGEVITA. Ο κίνδυνος ενδέχεται να αυξηθεί εάν η πνευμονική λειτουργία σας είναι επηρεασμένη. Οι λοιμώξεις αυτές μπορεί να είναι επικίνδυνες και συμπεριλαμβάνουν φυματίωση, λοιμώξεις που προκαλούνται από ιούς, μύκητες ή βακτήρια ή άλλες ευκαιριακές λοιμώξεις και σηψαιμία, η οποία σε σπάνιες περιπτώσεις είναι πιθανό να είναι απειλητική για τη ζωή. Είναι σημαντικό να ενημερώσετε τον γιατρό σας εάν παρουσιάσετε συμπτώματα όπως πυρετό, πληγές, αίσθημα κόπωσης ή οδοντικά προβλήματα. Ο γιατρός σας είναι πιθανό να συστήσει προσωρινή διακοπή της θεραπείας με AMGEVITA.</w:t>
      </w:r>
    </w:p>
    <w:p w14:paraId="0A507CCF" w14:textId="77777777" w:rsidR="00171824" w:rsidRDefault="00171824">
      <w:pPr>
        <w:pStyle w:val="ListParagraph"/>
        <w:rPr>
          <w:lang w:val="el-GR"/>
        </w:rPr>
      </w:pPr>
    </w:p>
    <w:p w14:paraId="4CD0CF04" w14:textId="77777777" w:rsidR="00171824" w:rsidRDefault="006D258C">
      <w:pPr>
        <w:pStyle w:val="BodyText"/>
        <w:widowControl/>
        <w:tabs>
          <w:tab w:val="left" w:pos="567"/>
        </w:tabs>
        <w:kinsoku w:val="0"/>
        <w:overflowPunct w:val="0"/>
        <w:ind w:left="0"/>
        <w:rPr>
          <w:lang w:val="el-GR"/>
        </w:rPr>
      </w:pPr>
      <w:r>
        <w:rPr>
          <w:lang w:val="el-GR"/>
        </w:rPr>
        <w:t>Φυματίωση</w:t>
      </w:r>
    </w:p>
    <w:p w14:paraId="01A2A0AD" w14:textId="77777777" w:rsidR="00171824" w:rsidRDefault="00171824">
      <w:pPr>
        <w:widowControl/>
        <w:kinsoku w:val="0"/>
        <w:overflowPunct w:val="0"/>
        <w:rPr>
          <w:sz w:val="22"/>
          <w:szCs w:val="22"/>
          <w:lang w:val="el-GR"/>
        </w:rPr>
      </w:pPr>
    </w:p>
    <w:p w14:paraId="56FAC69E"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 xml:space="preserve">Επειδή έχουν αναφερθεί περιπτώσεις φυματίωσης σε ασθενείς που έλαβαν το adalimumab, ο γιατρός σας θα σας εξετάσει για σημεία και συμπτώματα φυματίωσης πριν αρχίσετε να λαμβάνετε το AMGEVITA. Η εξέταση αυτή θα περιλαμβάνει πλήρη ιατρική εκτίμηση συμπεριλαμβανομένου του ιατρικού ιστορικού σας και κατάλληλο έλεγχο (για παράδειγμα, ακτινογραφία θώρακος και δοκιμασία φυματίνης). Τα αποτελέσματα αυτών των δοκιμασιών θα πρέπει να καταγράφονται στην </w:t>
      </w:r>
      <w:r>
        <w:rPr>
          <w:b/>
          <w:lang w:val="el-GR"/>
        </w:rPr>
        <w:t>Κάρτα Υπενθύμισης του</w:t>
      </w:r>
      <w:r>
        <w:rPr>
          <w:lang w:val="el-GR"/>
        </w:rPr>
        <w:t> </w:t>
      </w:r>
      <w:r>
        <w:rPr>
          <w:b/>
          <w:lang w:val="el-GR"/>
        </w:rPr>
        <w:t>Ασθενούς</w:t>
      </w:r>
      <w:r>
        <w:rPr>
          <w:lang w:val="el-GR"/>
        </w:rPr>
        <w:t xml:space="preserve">. Είναι πολύ σημαντικό να ενημερώσετε τον γιατρό σας εάν είχατε ποτέ φυματίωση ή εάν ήλθατε σε στενή επαφή με κάποιον που είχε φυματίωση. </w:t>
      </w:r>
    </w:p>
    <w:p w14:paraId="6DA276F6"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lastRenderedPageBreak/>
        <w:t xml:space="preserve">Φυματίωση μπορεί να αναπτυχθεί κατά τη διάρκεια της θεραπείας ακόμη και εάν έχετε λάβει προληπτική θεραπεία για φυματίωση. </w:t>
      </w:r>
    </w:p>
    <w:p w14:paraId="0CBA9F53"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Εάν συμπτώματα φυματίωσης (επίμονος βήχας, απώλεια βάρους, αφηρημάδα, ήπιος πυρετός) ή οποιαδήποτε άλλη λοίμωξη εμφανισθεί κατά τη διάρκεια της θεραπείας ή μετά από αυτή θα πρέπει να ενημερώσετε αμέσως τον γιατρό σας.</w:t>
      </w:r>
    </w:p>
    <w:p w14:paraId="6E7EF29D" w14:textId="77777777" w:rsidR="00171824" w:rsidRDefault="00171824">
      <w:pPr>
        <w:pStyle w:val="BodyText"/>
        <w:widowControl/>
        <w:tabs>
          <w:tab w:val="left" w:pos="567"/>
        </w:tabs>
        <w:kinsoku w:val="0"/>
        <w:overflowPunct w:val="0"/>
        <w:rPr>
          <w:lang w:val="el-GR"/>
        </w:rPr>
      </w:pPr>
    </w:p>
    <w:p w14:paraId="172E6B79" w14:textId="77777777" w:rsidR="00171824" w:rsidRDefault="006D258C">
      <w:pPr>
        <w:pStyle w:val="BodyText"/>
        <w:kinsoku w:val="0"/>
        <w:overflowPunct w:val="0"/>
        <w:ind w:left="0"/>
        <w:rPr>
          <w:lang w:val="el-GR"/>
        </w:rPr>
      </w:pPr>
      <w:r>
        <w:rPr>
          <w:lang w:val="el-GR"/>
        </w:rPr>
        <w:t>Ταξιδιωτικές / υποτροπιάζουσες λοιμώξεις</w:t>
      </w:r>
    </w:p>
    <w:p w14:paraId="6ADDACF0" w14:textId="77777777" w:rsidR="00171824" w:rsidRDefault="00171824">
      <w:pPr>
        <w:pStyle w:val="BodyText"/>
        <w:widowControl/>
        <w:tabs>
          <w:tab w:val="left" w:pos="567"/>
        </w:tabs>
        <w:kinsoku w:val="0"/>
        <w:overflowPunct w:val="0"/>
        <w:rPr>
          <w:lang w:val="el-GR"/>
        </w:rPr>
      </w:pPr>
    </w:p>
    <w:p w14:paraId="554064ED"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Συμβουλευτείτε τον γιατρό σας εάν κατοικείτε ή ταξιδεύετε σε περιοχές όπου μυκητιασικές λοιμώξεις, όπως ιστοπλάσμωση, κοκκιδιοειδομυκητίαση ή βλαστομυκητίαση είναι ενδημικές.</w:t>
      </w:r>
    </w:p>
    <w:p w14:paraId="226CCE1D"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Ενημερώστε τον γιατρό σας εάν έχετε ιστορικό υποτροπιαζουσών λοιμώξεων ή άλλες καταστάσεις που μπορεί να αυξήσουν τον κίνδυνο για λοιμώξεις.</w:t>
      </w:r>
    </w:p>
    <w:p w14:paraId="432BE53C" w14:textId="77777777" w:rsidR="00171824" w:rsidRDefault="00171824">
      <w:pPr>
        <w:widowControl/>
        <w:kinsoku w:val="0"/>
        <w:overflowPunct w:val="0"/>
        <w:rPr>
          <w:sz w:val="22"/>
          <w:szCs w:val="22"/>
          <w:lang w:val="el-GR"/>
        </w:rPr>
      </w:pPr>
    </w:p>
    <w:p w14:paraId="0605F934" w14:textId="77777777" w:rsidR="00171824" w:rsidRDefault="006D258C">
      <w:pPr>
        <w:widowControl/>
        <w:kinsoku w:val="0"/>
        <w:overflowPunct w:val="0"/>
        <w:rPr>
          <w:sz w:val="22"/>
          <w:szCs w:val="22"/>
          <w:lang w:val="el-GR"/>
        </w:rPr>
      </w:pPr>
      <w:r>
        <w:rPr>
          <w:sz w:val="22"/>
          <w:szCs w:val="22"/>
          <w:lang w:val="el-GR"/>
        </w:rPr>
        <w:t>Ιός της ηπατίτιδας Β</w:t>
      </w:r>
    </w:p>
    <w:p w14:paraId="2E360187" w14:textId="77777777" w:rsidR="00171824" w:rsidRDefault="00171824">
      <w:pPr>
        <w:widowControl/>
        <w:kinsoku w:val="0"/>
        <w:overflowPunct w:val="0"/>
        <w:rPr>
          <w:sz w:val="22"/>
          <w:szCs w:val="22"/>
          <w:lang w:val="el-GR"/>
        </w:rPr>
      </w:pPr>
    </w:p>
    <w:p w14:paraId="68E57660"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Ενημερώστε τον γιατρό σας εάν είστε φορέας του ιού της ηπατίτιδας Β, εάν έχετε ενεργό ηπατίτιδα Β, ή υποψιάζεστε ότι βρίσκεστε σε κίνδυνο να μολυνθείτε με τον ιό της ηπατίτιδας. Ο γιατρός σας θα πρέπει να σας εξετάσει για ιό της ηπατίτιδας Β. Το AMGEVITA είναι πιθανό να προκαλέσει επανενεργοποίηση της ηπατίτιδας Β σε ασθενείς οι οποίοι μεταφέρουν τον ιό. Σε κάποιες σπάνιες περιπτώσεις, ειδικά εάν λαμβάνετε και άλλα φάρμακα τα οποία καταστέλλουν το ανοσολογικό σύστημα, η επανενεργοποίηση του ιού της ηπατίτιδας Β, είναι πιθανό να αποδειχθεί απειλητική για τη ζωή.</w:t>
      </w:r>
    </w:p>
    <w:p w14:paraId="45FB3504" w14:textId="77777777" w:rsidR="00171824" w:rsidRDefault="00171824">
      <w:pPr>
        <w:widowControl/>
        <w:kinsoku w:val="0"/>
        <w:overflowPunct w:val="0"/>
        <w:rPr>
          <w:sz w:val="22"/>
          <w:szCs w:val="22"/>
          <w:lang w:val="el-GR"/>
        </w:rPr>
      </w:pPr>
    </w:p>
    <w:p w14:paraId="512DA2C2" w14:textId="77777777" w:rsidR="00171824" w:rsidRDefault="006D258C">
      <w:pPr>
        <w:widowControl/>
        <w:kinsoku w:val="0"/>
        <w:overflowPunct w:val="0"/>
        <w:rPr>
          <w:sz w:val="22"/>
          <w:szCs w:val="22"/>
          <w:lang w:val="el-GR"/>
        </w:rPr>
      </w:pPr>
      <w:r>
        <w:rPr>
          <w:sz w:val="22"/>
          <w:szCs w:val="22"/>
          <w:lang w:val="el-GR"/>
        </w:rPr>
        <w:t>Ηλικία άνω των 65 ετών</w:t>
      </w:r>
    </w:p>
    <w:p w14:paraId="5EC9D12E" w14:textId="77777777" w:rsidR="00171824" w:rsidRDefault="00171824">
      <w:pPr>
        <w:widowControl/>
        <w:kinsoku w:val="0"/>
        <w:overflowPunct w:val="0"/>
        <w:rPr>
          <w:sz w:val="22"/>
          <w:szCs w:val="22"/>
          <w:lang w:val="el-GR"/>
        </w:rPr>
      </w:pPr>
    </w:p>
    <w:p w14:paraId="7F6AB058"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Εάν είστε άνω των 65 ετών μπορεί να είστε πιο ευάλωτοι σε λοιμώξεις ενώ λαμβάνετε AMGEVITA. Εσείς και ο γιατρός σας πρέπει να δείξετε ιδιαίτερη προσοχή σε σημεία λοίμωξης ενώ λαμβάνετε θεραπεία με AMGEVITA. Είναι σημαντικό να πείτε στον γιατρό σας εάν έχετε συμπτώματα λοίμωξης, όπως είναι ο πυρετός, τραύματα, αίσθημα κόπωσης ή προβλήματα στα δόντια.</w:t>
      </w:r>
    </w:p>
    <w:p w14:paraId="3AFC099E" w14:textId="77777777" w:rsidR="00171824" w:rsidRDefault="00171824">
      <w:pPr>
        <w:widowControl/>
        <w:kinsoku w:val="0"/>
        <w:overflowPunct w:val="0"/>
        <w:rPr>
          <w:sz w:val="22"/>
          <w:szCs w:val="22"/>
          <w:lang w:val="el-GR"/>
        </w:rPr>
      </w:pPr>
    </w:p>
    <w:p w14:paraId="7209D0BB" w14:textId="77777777" w:rsidR="00171824" w:rsidRDefault="006D258C">
      <w:pPr>
        <w:widowControl/>
        <w:kinsoku w:val="0"/>
        <w:overflowPunct w:val="0"/>
        <w:rPr>
          <w:sz w:val="22"/>
          <w:szCs w:val="22"/>
          <w:lang w:val="el-GR"/>
        </w:rPr>
      </w:pPr>
      <w:r>
        <w:rPr>
          <w:sz w:val="22"/>
          <w:szCs w:val="22"/>
          <w:lang w:val="el-GR"/>
        </w:rPr>
        <w:t>Χειρουργικές ή οδοντιατρικές επεμβάσεις</w:t>
      </w:r>
    </w:p>
    <w:p w14:paraId="7D998A12" w14:textId="77777777" w:rsidR="00171824" w:rsidRDefault="00171824">
      <w:pPr>
        <w:widowControl/>
        <w:kinsoku w:val="0"/>
        <w:overflowPunct w:val="0"/>
        <w:rPr>
          <w:sz w:val="22"/>
          <w:szCs w:val="22"/>
          <w:lang w:val="el-GR"/>
        </w:rPr>
      </w:pPr>
    </w:p>
    <w:p w14:paraId="0652C35D"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Εάν πρόκειται να υποβληθείτε σε εγχείρηση ή σε επέμβαση στα δόντια ενημερώστε τον γιατρό σας ότι λαμβάνετε AMGEVITA. Ο γιατρός σας είναι πιθανό να συστήσει προσωρινή διακοπή της θεραπείας με AMGEVITA.</w:t>
      </w:r>
    </w:p>
    <w:p w14:paraId="301D6CC6" w14:textId="77777777" w:rsidR="00171824" w:rsidRDefault="00171824">
      <w:pPr>
        <w:widowControl/>
        <w:kinsoku w:val="0"/>
        <w:overflowPunct w:val="0"/>
        <w:rPr>
          <w:sz w:val="22"/>
          <w:szCs w:val="22"/>
          <w:lang w:val="el-GR"/>
        </w:rPr>
      </w:pPr>
    </w:p>
    <w:p w14:paraId="73E2C54A" w14:textId="77777777" w:rsidR="00171824" w:rsidRDefault="006D258C">
      <w:pPr>
        <w:widowControl/>
        <w:kinsoku w:val="0"/>
        <w:overflowPunct w:val="0"/>
        <w:rPr>
          <w:sz w:val="22"/>
          <w:szCs w:val="22"/>
          <w:lang w:val="el-GR"/>
        </w:rPr>
      </w:pPr>
      <w:r>
        <w:rPr>
          <w:sz w:val="22"/>
          <w:szCs w:val="22"/>
          <w:lang w:val="el-GR"/>
        </w:rPr>
        <w:t>Απομυελινωτική νόσος</w:t>
      </w:r>
    </w:p>
    <w:p w14:paraId="5DB78E29" w14:textId="77777777" w:rsidR="00171824" w:rsidRDefault="00171824">
      <w:pPr>
        <w:widowControl/>
        <w:kinsoku w:val="0"/>
        <w:overflowPunct w:val="0"/>
        <w:rPr>
          <w:sz w:val="22"/>
          <w:szCs w:val="22"/>
          <w:lang w:val="el-GR"/>
        </w:rPr>
      </w:pPr>
    </w:p>
    <w:p w14:paraId="65D5927C"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Εάν υποφέρετε ή εμφανίσετε μια απομυελινωτική νόσο, όπως η σκλήρυνση κατά πλάκας, ο γιατρός σας θα αποφασίσει εάν πρέπει να λάβετε ή να συνεχίσετε να λαμβάνετε το AMGEVITA. Ενημερώστε αμέσως τον γιατρό σας εάν βιώσετε συμπτώματα, όπως αλλαγές στην όραση, αδυναμία στα χέρια ή τα πόδια, ή μούδιασμα ή μυρμήγκιασμα σε οποιοδήποτε μέρος του σώματός σας.</w:t>
      </w:r>
    </w:p>
    <w:p w14:paraId="4D6185D9" w14:textId="77777777" w:rsidR="00171824" w:rsidRDefault="00171824">
      <w:pPr>
        <w:widowControl/>
        <w:kinsoku w:val="0"/>
        <w:overflowPunct w:val="0"/>
        <w:rPr>
          <w:sz w:val="22"/>
          <w:szCs w:val="22"/>
          <w:lang w:val="el-GR"/>
        </w:rPr>
      </w:pPr>
    </w:p>
    <w:p w14:paraId="3158B7C4" w14:textId="77777777" w:rsidR="00171824" w:rsidRDefault="006D258C">
      <w:pPr>
        <w:widowControl/>
        <w:kinsoku w:val="0"/>
        <w:overflowPunct w:val="0"/>
        <w:rPr>
          <w:sz w:val="22"/>
          <w:szCs w:val="22"/>
          <w:lang w:val="el-GR"/>
        </w:rPr>
      </w:pPr>
      <w:r>
        <w:rPr>
          <w:sz w:val="22"/>
          <w:szCs w:val="22"/>
          <w:lang w:val="el-GR"/>
        </w:rPr>
        <w:t>Εμβολιασμοί</w:t>
      </w:r>
    </w:p>
    <w:p w14:paraId="338E9D31" w14:textId="77777777" w:rsidR="00171824" w:rsidRDefault="00171824">
      <w:pPr>
        <w:widowControl/>
        <w:kinsoku w:val="0"/>
        <w:overflowPunct w:val="0"/>
        <w:rPr>
          <w:sz w:val="22"/>
          <w:szCs w:val="22"/>
          <w:lang w:val="el-GR"/>
        </w:rPr>
      </w:pPr>
    </w:p>
    <w:p w14:paraId="0131231E"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 xml:space="preserve">Ορισμένα εμβόλια περιέχουν ζωντανές αλλά εξασθενημένες μορφές παθογόνων βακτηρίων ή ιών που ενδέχεται να προκαλέσουν λοιμώξεις και δε θα πρέπει να γίνονται ενώ λαμβάνετε το AMGEVITA. Ρωτήστε τον γιατρό σας πριν λάβετε οποιοδήποτε εμβόλιο. Συνιστάται, εφ’ όσον είναι εφικτό, τα παιδιά να έχουν πραγματοποιήσει τους απαραίτητους εμβολιασμούς σύμφωνα με τις ισχύουσες κατευθυντήριες οδηγίες για την ανοσοποίηση πριν από την έναρξη της θεραπείας με AMGEVITA. </w:t>
      </w:r>
    </w:p>
    <w:p w14:paraId="551CDFDB"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 xml:space="preserve">Εάν λάβατε AMGEVITA ενώ ήσασταν έγκυος, το μωρό σας μπορεί να διατρέχει μεγαλύτερο κίνδυνο εμφάνισης τέτοιας λοίμωξης για διάστημα έως πέντε περίπου μήνες μετά την τελευταία δόση που λάβατε κατά τη διάρκεια της εγκυμοσύνης. Είναι σημαντικό να ενημερώσετε τους </w:t>
      </w:r>
      <w:r>
        <w:rPr>
          <w:lang w:val="el-GR"/>
        </w:rPr>
        <w:lastRenderedPageBreak/>
        <w:t>γιατρούς του μωρού σας και άλλους επαγγελματίες υγείας σχετικά με τη χρήση AMGEVITA κατά τη διάρκεια της εγκυμοσύνης σας, ώστε να μπορούν να αποφασίζουν πότε το μωρό σας θα πρέπει να λάβει κάποιο εμβόλιο.</w:t>
      </w:r>
    </w:p>
    <w:p w14:paraId="4FC4C9F9" w14:textId="77777777" w:rsidR="00171824" w:rsidRDefault="00171824">
      <w:pPr>
        <w:widowControl/>
        <w:kinsoku w:val="0"/>
        <w:overflowPunct w:val="0"/>
        <w:rPr>
          <w:sz w:val="22"/>
          <w:szCs w:val="22"/>
          <w:lang w:val="el-GR"/>
        </w:rPr>
      </w:pPr>
    </w:p>
    <w:p w14:paraId="4B852C99" w14:textId="77777777" w:rsidR="00171824" w:rsidRDefault="006D258C">
      <w:pPr>
        <w:widowControl/>
        <w:kinsoku w:val="0"/>
        <w:overflowPunct w:val="0"/>
        <w:rPr>
          <w:sz w:val="22"/>
          <w:szCs w:val="22"/>
          <w:lang w:val="el-GR"/>
        </w:rPr>
      </w:pPr>
      <w:r>
        <w:rPr>
          <w:sz w:val="22"/>
          <w:szCs w:val="22"/>
          <w:lang w:val="el-GR"/>
        </w:rPr>
        <w:t>Καρδιακή ανεπάρκεια</w:t>
      </w:r>
    </w:p>
    <w:p w14:paraId="4F0CCCF0" w14:textId="77777777" w:rsidR="00171824" w:rsidRDefault="00171824">
      <w:pPr>
        <w:widowControl/>
        <w:kinsoku w:val="0"/>
        <w:overflowPunct w:val="0"/>
        <w:rPr>
          <w:sz w:val="22"/>
          <w:szCs w:val="22"/>
          <w:lang w:val="el-GR"/>
        </w:rPr>
      </w:pPr>
    </w:p>
    <w:p w14:paraId="391EE77C"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Εάν υποφέρετε από ήπια καρδιακή ανεπάρκεια και λαμβάνετε θεραπεία με AMGEVITA, η καρδιακή ανεπάρκεια θα πρέπει να παρακολουθείται στενά από τον γιατρό σας. Είναι σημαντικό να πείτε στον γιατρό σας εάν είχατε στο παρελθόν ή υποφέρετε από σοβαρό καρδιακό πρόβλημα. Εάν παρουσιάσετε νέα συμπτώματα ή επιδείνωση των συμπτωμάτων της καρδιακής ανεπάρκειας (π.χ. δύσπνοια ή πρήξιμο ποδιών) θα πρέπει να επικοινωνήσετε αμέσως με τον γιατρό σας. Ο γιατρός σας θα αποφασίσει εάν πρέπει να λάβετε το AMGEVITA.</w:t>
      </w:r>
    </w:p>
    <w:p w14:paraId="71A340C8" w14:textId="77777777" w:rsidR="00171824" w:rsidRDefault="00171824">
      <w:pPr>
        <w:tabs>
          <w:tab w:val="left" w:pos="567"/>
        </w:tabs>
        <w:ind w:left="567"/>
        <w:rPr>
          <w:sz w:val="22"/>
          <w:szCs w:val="22"/>
          <w:lang w:val="el-GR" w:eastAsia="en-GB"/>
        </w:rPr>
      </w:pPr>
    </w:p>
    <w:p w14:paraId="1EF93677" w14:textId="77777777" w:rsidR="00171824" w:rsidRDefault="006D258C">
      <w:pPr>
        <w:tabs>
          <w:tab w:val="left" w:pos="0"/>
        </w:tabs>
        <w:rPr>
          <w:sz w:val="22"/>
          <w:szCs w:val="22"/>
          <w:lang w:val="el-GR" w:eastAsia="en-GB"/>
        </w:rPr>
      </w:pPr>
      <w:r>
        <w:rPr>
          <w:sz w:val="22"/>
          <w:szCs w:val="22"/>
          <w:lang w:val="el-GR" w:eastAsia="en-GB"/>
        </w:rPr>
        <w:t>Πυρετός, μώλωπες, αιμορραγία ή ωχρότητα</w:t>
      </w:r>
    </w:p>
    <w:p w14:paraId="59AB25CE" w14:textId="77777777" w:rsidR="00171824" w:rsidRDefault="00171824">
      <w:pPr>
        <w:widowControl/>
        <w:kinsoku w:val="0"/>
        <w:overflowPunct w:val="0"/>
        <w:rPr>
          <w:sz w:val="22"/>
          <w:szCs w:val="22"/>
          <w:lang w:val="el-GR"/>
        </w:rPr>
      </w:pPr>
    </w:p>
    <w:p w14:paraId="15D640FB"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Σε μερικούς ασθενείς ο οργανισμός είναι πιθανό να αποτύχει να παραγάγει αρκετή ποσότητα κυττάρων του αίματος τα οποία βοηθούν τον οργανισμό σας να αντιμετωπίσει τις λοιμώξεις ή σας βοηθά στη διακοπή της αιμορραγίας. Εάν εμφανίσετε πυρετό ο οποίος δεν υποχωρεί, ή μώλωπα ή αιμορραγείτε πολύ εύκολα ή φαίνεστε πολύ χλωμοί, επικοινωνήστε με τον γιατρό σας αμέσως. Ο γιατρός σας είναι πιθανό να αποφασίσει να διακόψει τη θεραπεία.</w:t>
      </w:r>
    </w:p>
    <w:p w14:paraId="57879B4C" w14:textId="77777777" w:rsidR="00171824" w:rsidRDefault="00171824">
      <w:pPr>
        <w:widowControl/>
        <w:kinsoku w:val="0"/>
        <w:overflowPunct w:val="0"/>
        <w:rPr>
          <w:sz w:val="22"/>
          <w:szCs w:val="22"/>
          <w:lang w:val="el-GR"/>
        </w:rPr>
      </w:pPr>
    </w:p>
    <w:p w14:paraId="085DA2B5" w14:textId="77777777" w:rsidR="00171824" w:rsidRDefault="006D258C">
      <w:pPr>
        <w:widowControl/>
        <w:kinsoku w:val="0"/>
        <w:overflowPunct w:val="0"/>
        <w:rPr>
          <w:sz w:val="22"/>
          <w:szCs w:val="22"/>
          <w:lang w:val="el-GR"/>
        </w:rPr>
      </w:pPr>
      <w:r>
        <w:rPr>
          <w:sz w:val="22"/>
          <w:szCs w:val="22"/>
          <w:lang w:val="el-GR"/>
        </w:rPr>
        <w:t>Καρκίνος</w:t>
      </w:r>
    </w:p>
    <w:p w14:paraId="0B37A30B" w14:textId="77777777" w:rsidR="00171824" w:rsidRDefault="00171824">
      <w:pPr>
        <w:widowControl/>
        <w:kinsoku w:val="0"/>
        <w:overflowPunct w:val="0"/>
        <w:rPr>
          <w:sz w:val="22"/>
          <w:szCs w:val="22"/>
          <w:lang w:val="el-GR"/>
        </w:rPr>
      </w:pPr>
    </w:p>
    <w:p w14:paraId="707693B1"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 xml:space="preserve">Υπάρχουν πολύ σπάνιες περιπτώσεις εμφάνισης συγκεκριμένων ειδών καρκίνου σε παιδιά και ενήλικες ασθενείς που λαμβάνουν adalimumab ή άλλο TNF-ανταγωνιστή. Ασθενείς με πιο σοβαρή ρευματοειδή αρθρίτιδα οι οποίοι πάσχουν από μακροχρόνια νόσο είναι πιθανό να έχουν μεγαλύτερο του μέσου όρου κίνδυνο εμφάνισης λεμφώματος (ένας καρκίνος που επηρεάζει το λεμφικό σύστημα), και λευχαιμία (ένας καρκίνος που επηρεάζει το αίμα και το μυελό των οστών). </w:t>
      </w:r>
    </w:p>
    <w:p w14:paraId="100CDE12"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 xml:space="preserve">Αν πάρετε το AMGEVITA, μπορεί να αυξηθεί ο κίνδυνος εμφάνισης λεμφώματος, λευχαιμίας ή άλλων μορφών καρκίνου. Σε σπάνιες περιπτώσεις, ένας ειδικός και σοβαρός τύπος λεμφώματος έχει παρατηρηθεί σε ασθενείς που λαμβάνουν adalimumab. Σε κάποιους από αυτούς τους ασθενείς χορηγήθηκε επίσης azathiοprine ή 6-mercaptopurine. Ενημερώστε τον γιατρό σας εάν λαμβάνετε azathiοprine ή 6-mercaptopurine με AMGEVITA. </w:t>
      </w:r>
    </w:p>
    <w:p w14:paraId="58B01A40"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Επιπλέον, περιπτώσεις μη μελανωματικού καρκίνου του δέρματος έχουν παρατηρηθεί σε ασθενείς οι οποίοι λαμβάνουν adalimumab. Εάν νέες δερματικές βλάβες εμφανιστούν κατά τη διάρκεια ή μετά τη θεραπεία ή εάν υπάρχουσες δερματικές βλάβες αλλάξουν μορφή, ενημερώστε τον γιατρό σας.</w:t>
      </w:r>
    </w:p>
    <w:p w14:paraId="76EBEE8D"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Υπήρξαν περιπτώσεις καρκίνων, εκτός του λεμφώματος, σε ασθενείς με συγκεκριμένου τύπου πνευμονοπάθεια η οποία καλείται Χρόνια Αποφρακτική Πνευμονοπάθεια (ΧΑΠ) στους οποίους έχει χορηγηθεί άλλος ΤΝF-ανταγωνιστής. Εάν πάσχετε από ΧΑΠ ή καπνίζετε πολύ, θα πρέπει να συζητήσετε με τον γιατρό σας εάν η θεραπεία με έναν TNF-ανταγωνιστή είναι κατάλληλη για εσάς.</w:t>
      </w:r>
    </w:p>
    <w:p w14:paraId="542B873D" w14:textId="77777777" w:rsidR="00171824" w:rsidRDefault="00171824">
      <w:pPr>
        <w:pStyle w:val="ListParagraph"/>
        <w:rPr>
          <w:sz w:val="22"/>
          <w:lang w:val="el-GR"/>
        </w:rPr>
      </w:pPr>
    </w:p>
    <w:p w14:paraId="24F01E48" w14:textId="77777777" w:rsidR="00171824" w:rsidRDefault="006D258C">
      <w:pPr>
        <w:pStyle w:val="ListParagraph"/>
        <w:rPr>
          <w:sz w:val="22"/>
          <w:lang w:val="el-GR"/>
        </w:rPr>
      </w:pPr>
      <w:r>
        <w:rPr>
          <w:sz w:val="22"/>
          <w:lang w:val="el-GR"/>
        </w:rPr>
        <w:t>Αυτοάνοσ</w:t>
      </w:r>
      <w:ins w:id="104" w:author="Author">
        <w:r>
          <w:rPr>
            <w:sz w:val="22"/>
            <w:lang w:val="el-GR"/>
          </w:rPr>
          <w:t>ο νόσημα</w:t>
        </w:r>
      </w:ins>
      <w:del w:id="105" w:author="Author">
        <w:r>
          <w:rPr>
            <w:sz w:val="22"/>
            <w:lang w:val="el-GR"/>
          </w:rPr>
          <w:delText>α νοσήματα</w:delText>
        </w:r>
      </w:del>
    </w:p>
    <w:p w14:paraId="2AC671F2" w14:textId="77777777" w:rsidR="00171824" w:rsidRDefault="00171824">
      <w:pPr>
        <w:pStyle w:val="ListParagraph"/>
        <w:rPr>
          <w:sz w:val="22"/>
          <w:lang w:val="el-GR"/>
        </w:rPr>
      </w:pPr>
    </w:p>
    <w:p w14:paraId="1A0E16D3"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Σε σπάνιες περιπτώσεις, η θεραπεία με AMGEVITA μπορεί να οδηγήσει σε σύνδρομο τύπου λύκου. Επικοινωνήστε με το γιατρό σας εάν εμφανιστούν συμπτώματα όπως διαρκές ανεξήγητο εξάνθημα, πυρετός, πόνος στις αρθρώσεις ή κόπωση.</w:t>
      </w:r>
    </w:p>
    <w:p w14:paraId="298E6230" w14:textId="77777777" w:rsidR="00171824" w:rsidRDefault="00171824">
      <w:pPr>
        <w:widowControl/>
        <w:kinsoku w:val="0"/>
        <w:overflowPunct w:val="0"/>
        <w:rPr>
          <w:sz w:val="22"/>
          <w:szCs w:val="22"/>
          <w:lang w:val="el-GR"/>
        </w:rPr>
      </w:pPr>
    </w:p>
    <w:p w14:paraId="5659947E" w14:textId="77777777" w:rsidR="00171824" w:rsidRDefault="006D258C">
      <w:pPr>
        <w:widowControl/>
        <w:rPr>
          <w:b/>
          <w:sz w:val="22"/>
          <w:szCs w:val="22"/>
          <w:lang w:val="el-GR"/>
        </w:rPr>
      </w:pPr>
      <w:r>
        <w:rPr>
          <w:sz w:val="22"/>
          <w:szCs w:val="22"/>
          <w:lang w:val="el-GR"/>
        </w:rPr>
        <w:t>Προκειμένου να βελτιωθεί η ιχνηλασιμότητα αυτού του φαρμάκου, ο γιατρός ή ο φαρμακοποιός σας θα πρέπει να καταγράφει την ονομασία και τον αριθμό παρτίδας του προϊόντος που σας έχει δοθεί στον φάκελο ασθενούς. Θα ήταν ίσως καλό να σημειώσετε κάπου αυτά τα στοιχεία, σε περίπτωση κατά την οποία σας ζητηθούν οι συγκεκριμένες πληροφορίες στο μέλλον.</w:t>
      </w:r>
    </w:p>
    <w:p w14:paraId="45A2836F" w14:textId="77777777" w:rsidR="00171824" w:rsidRDefault="00171824">
      <w:pPr>
        <w:widowControl/>
        <w:kinsoku w:val="0"/>
        <w:overflowPunct w:val="0"/>
        <w:rPr>
          <w:sz w:val="22"/>
          <w:szCs w:val="22"/>
          <w:lang w:val="el-GR"/>
        </w:rPr>
      </w:pPr>
    </w:p>
    <w:p w14:paraId="0699151D" w14:textId="77777777" w:rsidR="00171824" w:rsidRDefault="006D258C">
      <w:pPr>
        <w:pStyle w:val="Heading1"/>
        <w:keepNext/>
        <w:keepLines/>
        <w:widowControl/>
        <w:kinsoku w:val="0"/>
        <w:overflowPunct w:val="0"/>
        <w:ind w:left="0"/>
        <w:rPr>
          <w:b w:val="0"/>
          <w:bCs w:val="0"/>
          <w:lang w:val="el-GR"/>
        </w:rPr>
      </w:pPr>
      <w:r>
        <w:rPr>
          <w:lang w:val="el-GR"/>
        </w:rPr>
        <w:lastRenderedPageBreak/>
        <w:t>Παιδιά και έφηβοι</w:t>
      </w:r>
    </w:p>
    <w:p w14:paraId="39CBC091" w14:textId="77777777" w:rsidR="00171824" w:rsidRDefault="00171824">
      <w:pPr>
        <w:keepNext/>
        <w:keepLines/>
        <w:widowControl/>
        <w:kinsoku w:val="0"/>
        <w:overflowPunct w:val="0"/>
        <w:rPr>
          <w:sz w:val="22"/>
          <w:szCs w:val="22"/>
          <w:lang w:val="el-GR"/>
        </w:rPr>
      </w:pPr>
    </w:p>
    <w:p w14:paraId="58A75C02"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Εμβολιασμοί: εάν είναι δυνατόν το παιδί σας θα πρέπει να έχει πραγματοποιήσει τους απαραίτητους εμβολιασμούς πριν χρησιμοποιήσει το AMGEVITA.</w:t>
      </w:r>
    </w:p>
    <w:p w14:paraId="278190B2" w14:textId="77777777" w:rsidR="00171824" w:rsidRDefault="00171824">
      <w:pPr>
        <w:widowControl/>
        <w:kinsoku w:val="0"/>
        <w:overflowPunct w:val="0"/>
        <w:rPr>
          <w:sz w:val="22"/>
          <w:szCs w:val="22"/>
          <w:lang w:val="el-GR"/>
        </w:rPr>
      </w:pPr>
    </w:p>
    <w:p w14:paraId="3098B995" w14:textId="77777777" w:rsidR="00171824" w:rsidRDefault="006D258C">
      <w:pPr>
        <w:pStyle w:val="BodyText"/>
        <w:widowControl/>
        <w:numPr>
          <w:ilvl w:val="0"/>
          <w:numId w:val="24"/>
        </w:numPr>
        <w:tabs>
          <w:tab w:val="left" w:pos="567"/>
        </w:tabs>
        <w:kinsoku w:val="0"/>
        <w:overflowPunct w:val="0"/>
        <w:ind w:left="567" w:hanging="567"/>
        <w:rPr>
          <w:lang w:val="el-GR"/>
        </w:rPr>
      </w:pPr>
      <w:r>
        <w:rPr>
          <w:lang w:val="el-GR"/>
        </w:rPr>
        <w:t>Μην χορηγείτε AMGEVITA σε παιδιά με πολυαρθρική νεανική αρθρίτιδα ηλικίας κάτω των 2 ετών.</w:t>
      </w:r>
    </w:p>
    <w:p w14:paraId="6E145674" w14:textId="77777777" w:rsidR="00171824" w:rsidRDefault="00171824">
      <w:pPr>
        <w:pStyle w:val="ListParagraph"/>
        <w:rPr>
          <w:lang w:val="el-GR"/>
        </w:rPr>
      </w:pPr>
    </w:p>
    <w:p w14:paraId="1D458B5E" w14:textId="77777777" w:rsidR="00171824" w:rsidRDefault="006D258C">
      <w:pPr>
        <w:pStyle w:val="BodyText"/>
        <w:numPr>
          <w:ilvl w:val="0"/>
          <w:numId w:val="24"/>
        </w:numPr>
        <w:kinsoku w:val="0"/>
        <w:overflowPunct w:val="0"/>
        <w:ind w:left="567" w:hanging="567"/>
        <w:rPr>
          <w:lang w:val="el-GR"/>
        </w:rPr>
      </w:pPr>
      <w:r>
        <w:rPr>
          <w:lang w:val="el-GR"/>
        </w:rPr>
        <w:t>Μην χορηγείτε AMGEVITA σε παιδιά με ψωρίαση κατά πλάκας ηλικίας κάτω των 4 ετών.</w:t>
      </w:r>
    </w:p>
    <w:p w14:paraId="100045EE" w14:textId="77777777" w:rsidR="00171824" w:rsidRDefault="00171824">
      <w:pPr>
        <w:pStyle w:val="BodyText"/>
        <w:tabs>
          <w:tab w:val="left" w:pos="567"/>
        </w:tabs>
        <w:kinsoku w:val="0"/>
        <w:overflowPunct w:val="0"/>
        <w:ind w:left="0"/>
        <w:rPr>
          <w:lang w:val="el-GR"/>
        </w:rPr>
      </w:pPr>
    </w:p>
    <w:p w14:paraId="75877873" w14:textId="77777777" w:rsidR="00171824" w:rsidRDefault="006D258C">
      <w:pPr>
        <w:pStyle w:val="BodyText"/>
        <w:numPr>
          <w:ilvl w:val="0"/>
          <w:numId w:val="24"/>
        </w:numPr>
        <w:kinsoku w:val="0"/>
        <w:overflowPunct w:val="0"/>
        <w:ind w:left="567" w:hanging="567"/>
        <w:rPr>
          <w:lang w:val="el-GR"/>
        </w:rPr>
      </w:pPr>
      <w:r>
        <w:rPr>
          <w:lang w:val="el-GR"/>
        </w:rPr>
        <w:t xml:space="preserve">Μην χορηγείτε AMGEVITA σε παιδιά με νόσο του Crohn ή ελκώδη κολίτιδα ηλικίας κάτω των 6 ετών. </w:t>
      </w:r>
    </w:p>
    <w:p w14:paraId="6924CE6F" w14:textId="77777777" w:rsidR="00171824" w:rsidRDefault="00171824">
      <w:pPr>
        <w:widowControl/>
        <w:kinsoku w:val="0"/>
        <w:overflowPunct w:val="0"/>
        <w:rPr>
          <w:sz w:val="22"/>
          <w:szCs w:val="22"/>
          <w:lang w:val="el-GR"/>
        </w:rPr>
      </w:pPr>
    </w:p>
    <w:p w14:paraId="44105F80" w14:textId="77777777" w:rsidR="00171824" w:rsidRDefault="006D258C">
      <w:pPr>
        <w:pStyle w:val="Heading1"/>
        <w:keepNext/>
        <w:widowControl/>
        <w:kinsoku w:val="0"/>
        <w:overflowPunct w:val="0"/>
        <w:ind w:left="0"/>
        <w:rPr>
          <w:b w:val="0"/>
          <w:bCs w:val="0"/>
          <w:lang w:val="el-GR"/>
        </w:rPr>
      </w:pPr>
      <w:r>
        <w:rPr>
          <w:lang w:val="el-GR"/>
        </w:rPr>
        <w:t xml:space="preserve">Άλλα φάρμακα και AMGEVITA </w:t>
      </w:r>
    </w:p>
    <w:p w14:paraId="432C8FE9" w14:textId="77777777" w:rsidR="00171824" w:rsidRDefault="00171824">
      <w:pPr>
        <w:keepNext/>
        <w:widowControl/>
        <w:kinsoku w:val="0"/>
        <w:overflowPunct w:val="0"/>
        <w:rPr>
          <w:sz w:val="22"/>
          <w:szCs w:val="22"/>
          <w:lang w:val="el-GR"/>
        </w:rPr>
      </w:pPr>
    </w:p>
    <w:p w14:paraId="1F99B264" w14:textId="77777777" w:rsidR="00171824" w:rsidRDefault="006D258C">
      <w:pPr>
        <w:pStyle w:val="BodyText"/>
        <w:widowControl/>
        <w:kinsoku w:val="0"/>
        <w:overflowPunct w:val="0"/>
        <w:ind w:left="0"/>
        <w:rPr>
          <w:lang w:val="el-GR"/>
        </w:rPr>
      </w:pPr>
      <w:r>
        <w:rPr>
          <w:lang w:val="el-GR"/>
        </w:rPr>
        <w:t>Ενημερώστε τον γιατρό ή τον φαρμακοποιό σας εάν παίρνετε, έχετε πρόσφατα πάρει ή μπορεί να πάρετε άλλα φάρμακα.</w:t>
      </w:r>
    </w:p>
    <w:p w14:paraId="665D6A83" w14:textId="77777777" w:rsidR="00171824" w:rsidRDefault="00171824">
      <w:pPr>
        <w:widowControl/>
        <w:kinsoku w:val="0"/>
        <w:overflowPunct w:val="0"/>
        <w:rPr>
          <w:sz w:val="22"/>
          <w:szCs w:val="22"/>
          <w:lang w:val="el-GR"/>
        </w:rPr>
      </w:pPr>
    </w:p>
    <w:p w14:paraId="28CC08AB" w14:textId="77777777" w:rsidR="00171824" w:rsidRDefault="006D258C">
      <w:pPr>
        <w:pStyle w:val="BodyText"/>
        <w:widowControl/>
        <w:kinsoku w:val="0"/>
        <w:overflowPunct w:val="0"/>
        <w:ind w:left="0"/>
        <w:rPr>
          <w:lang w:val="el-GR"/>
        </w:rPr>
      </w:pPr>
      <w:r>
        <w:rPr>
          <w:lang w:val="el-GR"/>
        </w:rPr>
        <w:t>Μπορείτε να λαμβάνετε το AMGEVITA μαζί με μεθοτρεξάτη ή με συγκεκριμένα τροποποιητικά της νόσου αντιρευματικά φάρμακα (σουλφασαλαζίνη, υδροξυχλωροκίνη, λεφλουνομίδη και ενέσιμα σκευάσματα χρυσού), στεροειδή ή αναλγητικά φάρμακα συμπεριλαμβανομένων των μη στεροειδών αντιφλεγμονωδών φαρμάκων (ΜΣΑΦ).</w:t>
      </w:r>
    </w:p>
    <w:p w14:paraId="3675633C" w14:textId="77777777" w:rsidR="00171824" w:rsidRDefault="00171824">
      <w:pPr>
        <w:widowControl/>
        <w:kinsoku w:val="0"/>
        <w:overflowPunct w:val="0"/>
        <w:rPr>
          <w:sz w:val="22"/>
          <w:szCs w:val="22"/>
          <w:lang w:val="el-GR"/>
        </w:rPr>
      </w:pPr>
    </w:p>
    <w:p w14:paraId="506CC9D7" w14:textId="77777777" w:rsidR="00171824" w:rsidRDefault="006D258C">
      <w:pPr>
        <w:pStyle w:val="BodyText"/>
        <w:widowControl/>
        <w:kinsoku w:val="0"/>
        <w:overflowPunct w:val="0"/>
        <w:ind w:left="0"/>
        <w:rPr>
          <w:lang w:val="el-GR"/>
        </w:rPr>
      </w:pPr>
      <w:r>
        <w:rPr>
          <w:lang w:val="el-GR"/>
        </w:rPr>
        <w:t>Δε θα πρέπει να λαμβάνετε AMGEVITA με φάρμακα τα οποία περιέχουν τις δραστικές ουσίες anakinra ή abatacept εξαιτίας υψηλού κινδύνου εκδήλωσης σοβαρής λοίμωξης. Εάν έχετε ερωτήσεις, παρακαλείσθε να απευθυνθείτε στον γιατρό σας.</w:t>
      </w:r>
    </w:p>
    <w:p w14:paraId="78881D29" w14:textId="77777777" w:rsidR="00171824" w:rsidRDefault="00171824">
      <w:pPr>
        <w:widowControl/>
        <w:kinsoku w:val="0"/>
        <w:overflowPunct w:val="0"/>
        <w:rPr>
          <w:sz w:val="22"/>
          <w:szCs w:val="22"/>
          <w:lang w:val="el-GR"/>
        </w:rPr>
      </w:pPr>
    </w:p>
    <w:p w14:paraId="18D3A8DB" w14:textId="77777777" w:rsidR="00171824" w:rsidRDefault="006D258C">
      <w:pPr>
        <w:pStyle w:val="Heading1"/>
        <w:widowControl/>
        <w:kinsoku w:val="0"/>
        <w:overflowPunct w:val="0"/>
        <w:ind w:left="0"/>
        <w:rPr>
          <w:b w:val="0"/>
          <w:bCs w:val="0"/>
          <w:lang w:val="el-GR"/>
        </w:rPr>
      </w:pPr>
      <w:r>
        <w:rPr>
          <w:lang w:val="el-GR"/>
        </w:rPr>
        <w:t>Κύηση και θηλασμός</w:t>
      </w:r>
    </w:p>
    <w:p w14:paraId="0B018FE3" w14:textId="77777777" w:rsidR="00171824" w:rsidRDefault="00171824">
      <w:pPr>
        <w:widowControl/>
        <w:kinsoku w:val="0"/>
        <w:overflowPunct w:val="0"/>
        <w:rPr>
          <w:sz w:val="22"/>
          <w:szCs w:val="22"/>
          <w:lang w:val="el-GR"/>
        </w:rPr>
      </w:pPr>
    </w:p>
    <w:p w14:paraId="55F99F07"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 xml:space="preserve">Θα πρέπει να εξετάζετε την χρήση κατάλληλης αντισύλληψης για την πρόληψη της εγκυμοσύνης και να συνεχίσετε την χρήση της για τουλάχιστον 5 μήνες μετά την τελευταία θεραπεία με AMGEVITA. </w:t>
      </w:r>
    </w:p>
    <w:p w14:paraId="6456A5C9"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Εάν είστε έγκυος, νομίζετε ότι μπορεί να είστε έγκυος ή σχεδιάζετε να αποκτήσετε παιδί, ζητήστε τη συμβουλή του γιατρού σας προτού χρησιμοποιήσετε αυτό το φάρμακο.</w:t>
      </w:r>
    </w:p>
    <w:p w14:paraId="6B22EC7B" w14:textId="77777777" w:rsidR="00171824" w:rsidRDefault="006D258C">
      <w:pPr>
        <w:widowControl/>
        <w:numPr>
          <w:ilvl w:val="0"/>
          <w:numId w:val="25"/>
        </w:numPr>
        <w:autoSpaceDE/>
        <w:autoSpaceDN/>
        <w:adjustRightInd/>
        <w:ind w:left="567" w:hanging="567"/>
        <w:rPr>
          <w:sz w:val="22"/>
          <w:szCs w:val="22"/>
          <w:lang w:val="el-GR"/>
        </w:rPr>
      </w:pPr>
      <w:r>
        <w:rPr>
          <w:sz w:val="22"/>
          <w:szCs w:val="22"/>
          <w:lang w:val="el-GR"/>
        </w:rPr>
        <w:t>Το AMGEVITA πρέπει να χρησιμοποιείται κατά την διάρκεια της εγκυμοσύνης μόνο εφόσον χρειάζεται.</w:t>
      </w:r>
    </w:p>
    <w:p w14:paraId="35D70A11" w14:textId="77777777" w:rsidR="00171824" w:rsidRDefault="006D258C">
      <w:pPr>
        <w:keepNext/>
        <w:keepLines/>
        <w:numPr>
          <w:ilvl w:val="0"/>
          <w:numId w:val="25"/>
        </w:numPr>
        <w:autoSpaceDE/>
        <w:autoSpaceDN/>
        <w:adjustRightInd/>
        <w:ind w:left="567" w:right="-2" w:hanging="567"/>
        <w:rPr>
          <w:sz w:val="22"/>
          <w:szCs w:val="22"/>
          <w:lang w:val="el-GR"/>
        </w:rPr>
      </w:pPr>
      <w:r>
        <w:rPr>
          <w:sz w:val="22"/>
          <w:szCs w:val="22"/>
          <w:lang w:val="el-GR"/>
        </w:rPr>
        <w:t>Σύμφωνα με μια μελέτη για την εγκυμοσύνη, δεν υπήρχε μεγαλύτερος κίνδυνος για συγγενείς δυσπλασίες όταν η μητέρα είχε λάβει AMGEVITA κατά την εγκυμοσύνη σε σύγκριση με τις μητέρες που έπασχαν από την ίδια νόσο και οι οποίες δεν έλαβαν AMGEVITA.</w:t>
      </w:r>
    </w:p>
    <w:p w14:paraId="15AA10DC"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Το AMGEVITA μπορεί να χρησιμοποιηθεί κατά την διάρκεια του θηλασμού.</w:t>
      </w:r>
    </w:p>
    <w:p w14:paraId="385583DE"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 xml:space="preserve">Εάν λαμβάνετε AMGEVITA κατά την εγκυμοσύνη σας, το μωρό σας μπορεί να διατρέχει μεγαλύτερο κίνδυνο εμφάνισης λοίμωξης. </w:t>
      </w:r>
    </w:p>
    <w:p w14:paraId="43B09B1D"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Είναι σημαντικό να ενημερώσετε τους γιατρούς του μωρού σας και άλλους επαγγελματίες υγείας σχετικά με τη χρήση AMGEVITA κατά τη διάρκεια της εγκυμοσύνης σας, πριν το μωρό σας λάβει κάποιο εμβόλιο. Για περισσότερες πληροφορίες σχετικά με τον εμβολιασμό βλέπε παράγραφο «Προειδοποιήσεις και προφυλάξεις».</w:t>
      </w:r>
    </w:p>
    <w:p w14:paraId="693B7B9A" w14:textId="77777777" w:rsidR="00171824" w:rsidRDefault="00171824">
      <w:pPr>
        <w:widowControl/>
        <w:kinsoku w:val="0"/>
        <w:overflowPunct w:val="0"/>
        <w:rPr>
          <w:sz w:val="22"/>
          <w:szCs w:val="22"/>
          <w:lang w:val="el-GR"/>
        </w:rPr>
      </w:pPr>
    </w:p>
    <w:p w14:paraId="2A01BB82" w14:textId="77777777" w:rsidR="00171824" w:rsidRDefault="006D258C">
      <w:pPr>
        <w:pStyle w:val="Heading1"/>
        <w:keepNext/>
        <w:widowControl/>
        <w:kinsoku w:val="0"/>
        <w:overflowPunct w:val="0"/>
        <w:ind w:left="0"/>
        <w:rPr>
          <w:b w:val="0"/>
          <w:bCs w:val="0"/>
          <w:lang w:val="el-GR"/>
        </w:rPr>
      </w:pPr>
      <w:r>
        <w:rPr>
          <w:lang w:val="el-GR"/>
        </w:rPr>
        <w:t>Οδήγηση και χειρισμός μηχανημάτων</w:t>
      </w:r>
    </w:p>
    <w:p w14:paraId="1F8327AC" w14:textId="77777777" w:rsidR="00171824" w:rsidRDefault="00171824">
      <w:pPr>
        <w:keepNext/>
        <w:widowControl/>
        <w:kinsoku w:val="0"/>
        <w:overflowPunct w:val="0"/>
        <w:rPr>
          <w:sz w:val="22"/>
          <w:szCs w:val="22"/>
          <w:lang w:val="el-GR"/>
        </w:rPr>
      </w:pPr>
    </w:p>
    <w:p w14:paraId="0595A2DE" w14:textId="77777777" w:rsidR="00171824" w:rsidRDefault="006D258C">
      <w:pPr>
        <w:pStyle w:val="BodyText"/>
        <w:widowControl/>
        <w:kinsoku w:val="0"/>
        <w:overflowPunct w:val="0"/>
        <w:ind w:left="0"/>
        <w:rPr>
          <w:lang w:val="el-GR"/>
        </w:rPr>
      </w:pPr>
      <w:r>
        <w:rPr>
          <w:lang w:val="el-GR"/>
        </w:rPr>
        <w:t>Το AMGEVITA μπορεί να έχει μικρή επίδραση στην ικανότητά σας για οδήγηση, ποδηλασία ή χειρισμού μηχανημάτων. Αίσθηση στροβιλισμού του δωματίου (ίλιγγος) και διαταραχές της όρασης μπορεί να προκύψουν μετά τη λήψη του AMGEVITA.</w:t>
      </w:r>
    </w:p>
    <w:p w14:paraId="5895C6A9" w14:textId="77777777" w:rsidR="00171824" w:rsidRDefault="00171824">
      <w:pPr>
        <w:pStyle w:val="BodyText"/>
        <w:widowControl/>
        <w:kinsoku w:val="0"/>
        <w:overflowPunct w:val="0"/>
        <w:ind w:left="0"/>
        <w:rPr>
          <w:lang w:val="el-GR"/>
        </w:rPr>
      </w:pPr>
    </w:p>
    <w:p w14:paraId="04F31B16" w14:textId="77777777" w:rsidR="00171824" w:rsidRDefault="006D258C">
      <w:pPr>
        <w:keepNext/>
        <w:keepLines/>
        <w:widowControl/>
        <w:numPr>
          <w:ilvl w:val="12"/>
          <w:numId w:val="0"/>
        </w:numPr>
        <w:outlineLvl w:val="0"/>
        <w:rPr>
          <w:b/>
          <w:sz w:val="22"/>
          <w:szCs w:val="22"/>
          <w:lang w:val="el-GR"/>
        </w:rPr>
      </w:pPr>
      <w:r>
        <w:rPr>
          <w:b/>
          <w:sz w:val="22"/>
          <w:szCs w:val="22"/>
          <w:lang w:val="el-GR"/>
        </w:rPr>
        <w:lastRenderedPageBreak/>
        <w:t>Το AMGEVITA περιέχει νάτριο</w:t>
      </w:r>
    </w:p>
    <w:p w14:paraId="7D62DEB9" w14:textId="77777777" w:rsidR="00171824" w:rsidRDefault="00171824">
      <w:pPr>
        <w:keepNext/>
        <w:keepLines/>
        <w:widowControl/>
        <w:numPr>
          <w:ilvl w:val="12"/>
          <w:numId w:val="0"/>
        </w:numPr>
        <w:rPr>
          <w:sz w:val="22"/>
          <w:szCs w:val="22"/>
          <w:lang w:val="el-GR"/>
        </w:rPr>
      </w:pPr>
    </w:p>
    <w:p w14:paraId="55076733" w14:textId="77777777" w:rsidR="00171824" w:rsidRDefault="006D258C">
      <w:pPr>
        <w:widowControl/>
        <w:numPr>
          <w:ilvl w:val="12"/>
          <w:numId w:val="0"/>
        </w:numPr>
        <w:rPr>
          <w:sz w:val="22"/>
          <w:szCs w:val="22"/>
          <w:lang w:val="el-GR"/>
        </w:rPr>
      </w:pPr>
      <w:r>
        <w:rPr>
          <w:sz w:val="22"/>
          <w:szCs w:val="22"/>
          <w:lang w:val="el-GR"/>
        </w:rPr>
        <w:t>Αυτό το φάρμακο περιέχει λιγότερο από 1 mmol νατρίου (23 mg) ανά δόση των 0,8 ml, είναι αυτό που ονομάζουμε «ελεύθερο νατρίου».</w:t>
      </w:r>
    </w:p>
    <w:p w14:paraId="180F0372" w14:textId="77777777" w:rsidR="00171824" w:rsidRDefault="00171824">
      <w:pPr>
        <w:pStyle w:val="BodyText"/>
        <w:widowControl/>
        <w:kinsoku w:val="0"/>
        <w:overflowPunct w:val="0"/>
        <w:ind w:left="0"/>
        <w:rPr>
          <w:lang w:val="el-GR"/>
        </w:rPr>
      </w:pPr>
    </w:p>
    <w:p w14:paraId="1303DFD1" w14:textId="77777777" w:rsidR="00171824" w:rsidRDefault="00171824">
      <w:pPr>
        <w:pStyle w:val="BodyText"/>
        <w:widowControl/>
        <w:kinsoku w:val="0"/>
        <w:overflowPunct w:val="0"/>
        <w:ind w:left="0"/>
        <w:rPr>
          <w:lang w:val="el-GR"/>
        </w:rPr>
      </w:pPr>
    </w:p>
    <w:p w14:paraId="16AE1FA2" w14:textId="77777777" w:rsidR="00171824" w:rsidRDefault="006D258C">
      <w:pPr>
        <w:pStyle w:val="Heading1"/>
        <w:keepNext/>
        <w:widowControl/>
        <w:numPr>
          <w:ilvl w:val="0"/>
          <w:numId w:val="22"/>
        </w:numPr>
        <w:tabs>
          <w:tab w:val="left" w:pos="567"/>
        </w:tabs>
        <w:kinsoku w:val="0"/>
        <w:overflowPunct w:val="0"/>
        <w:ind w:left="567"/>
        <w:rPr>
          <w:b w:val="0"/>
          <w:bCs w:val="0"/>
          <w:lang w:val="el-GR"/>
        </w:rPr>
      </w:pPr>
      <w:r>
        <w:rPr>
          <w:lang w:val="el-GR"/>
        </w:rPr>
        <w:t xml:space="preserve">Πώς να χρησιμοποιήσετε το AMGEVITA </w:t>
      </w:r>
    </w:p>
    <w:p w14:paraId="31004100" w14:textId="77777777" w:rsidR="00171824" w:rsidRDefault="00171824">
      <w:pPr>
        <w:widowControl/>
        <w:kinsoku w:val="0"/>
        <w:overflowPunct w:val="0"/>
        <w:rPr>
          <w:sz w:val="22"/>
          <w:szCs w:val="22"/>
          <w:lang w:val="el-GR"/>
        </w:rPr>
      </w:pPr>
    </w:p>
    <w:p w14:paraId="71CA6AD9" w14:textId="77777777" w:rsidR="00171824" w:rsidRDefault="006D258C">
      <w:pPr>
        <w:pStyle w:val="BodyText"/>
        <w:widowControl/>
        <w:kinsoku w:val="0"/>
        <w:overflowPunct w:val="0"/>
        <w:ind w:left="0"/>
        <w:rPr>
          <w:lang w:val="el-GR"/>
        </w:rPr>
      </w:pPr>
      <w:r>
        <w:rPr>
          <w:lang w:val="el-GR"/>
        </w:rPr>
        <w:t>Πάντοτε να χρησιμοποιείτε το φάρμακο αυτό αυστηρά σύμφωνα με τις οδηγίες του γιατρού ή του φαρμακοποιού σας. Εάν έχετε αμφιβολίες, ρωτήστε τον γιατρό ή τον φαρμακοποιό σας.</w:t>
      </w:r>
      <w:r>
        <w:rPr>
          <w:rFonts w:ascii="Arial" w:hAnsi="Arial" w:cs="Arial"/>
          <w:color w:val="222222"/>
          <w:lang w:val="el-GR"/>
        </w:rPr>
        <w:t xml:space="preserve"> </w:t>
      </w:r>
    </w:p>
    <w:p w14:paraId="7D71FC77" w14:textId="77777777" w:rsidR="00171824" w:rsidRDefault="00171824">
      <w:pPr>
        <w:widowControl/>
        <w:kinsoku w:val="0"/>
        <w:overflowPunct w:val="0"/>
        <w:rPr>
          <w:sz w:val="22"/>
          <w:szCs w:val="22"/>
          <w:lang w:val="el-GR"/>
        </w:rPr>
      </w:pPr>
    </w:p>
    <w:p w14:paraId="18EF6854" w14:textId="77777777" w:rsidR="00171824" w:rsidRDefault="006D258C">
      <w:pPr>
        <w:pStyle w:val="BodyText"/>
        <w:widowControl/>
        <w:kinsoku w:val="0"/>
        <w:overflowPunct w:val="0"/>
        <w:ind w:left="0"/>
        <w:rPr>
          <w:lang w:val="el-GR"/>
        </w:rPr>
      </w:pPr>
      <w:r>
        <w:rPr>
          <w:u w:val="single"/>
          <w:lang w:val="el-GR"/>
        </w:rPr>
        <w:t>Ενήλικες με ρευματοειδή αρθρίτιδα, ψωριασική αρθρίτιδα, αγκυλοποιητική σπονδυλίτιδα ή αξονική</w:t>
      </w:r>
      <w:r>
        <w:rPr>
          <w:lang w:val="el-GR"/>
        </w:rPr>
        <w:t xml:space="preserve"> </w:t>
      </w:r>
      <w:r>
        <w:rPr>
          <w:u w:val="single"/>
          <w:lang w:val="el-GR"/>
        </w:rPr>
        <w:t>σπονδυλαρθρίτιδα χωρίς ακτινολογικά ευρήματα αγκυλοποιητικής σπονδυλίτιδας</w:t>
      </w:r>
    </w:p>
    <w:p w14:paraId="3382252D" w14:textId="77777777" w:rsidR="00171824" w:rsidRDefault="00171824">
      <w:pPr>
        <w:widowControl/>
        <w:kinsoku w:val="0"/>
        <w:overflowPunct w:val="0"/>
        <w:rPr>
          <w:sz w:val="22"/>
          <w:szCs w:val="22"/>
          <w:lang w:val="el-GR"/>
        </w:rPr>
      </w:pPr>
    </w:p>
    <w:p w14:paraId="22D8EDD7" w14:textId="77777777" w:rsidR="00171824" w:rsidRDefault="006D258C">
      <w:pPr>
        <w:pStyle w:val="BodyText"/>
        <w:widowControl/>
        <w:kinsoku w:val="0"/>
        <w:overflowPunct w:val="0"/>
        <w:ind w:left="0"/>
        <w:rPr>
          <w:lang w:val="el-GR"/>
        </w:rPr>
      </w:pPr>
      <w:r>
        <w:rPr>
          <w:lang w:val="el-GR"/>
        </w:rPr>
        <w:t>Το AMGEVITA ενίεται κάτω από το δέρμα (υποδόρια χρήση). Η συνηθισμένη δοσολογία για ενήλικες με ρευματοειδή αρθρίτιδα, αγκυλοποιητική σπονδυλίτιδα, αξονική σπονδυλαρθρίτιδα χωρίς ακτινολογικά ευρήματα αγκυλοποιητικής σπονδυλίτιδας και για ασθενείς με ψωριασική αρθρίτιδα είναι 40 mg ανά δεύτερη εβδομάδα ως εφάπαξ δόση.</w:t>
      </w:r>
    </w:p>
    <w:p w14:paraId="7729174F" w14:textId="77777777" w:rsidR="00171824" w:rsidRDefault="00171824">
      <w:pPr>
        <w:widowControl/>
        <w:kinsoku w:val="0"/>
        <w:overflowPunct w:val="0"/>
        <w:rPr>
          <w:sz w:val="22"/>
          <w:szCs w:val="22"/>
          <w:lang w:val="el-GR"/>
        </w:rPr>
      </w:pPr>
    </w:p>
    <w:p w14:paraId="7E703977" w14:textId="77777777" w:rsidR="00171824" w:rsidRDefault="006D258C">
      <w:pPr>
        <w:pStyle w:val="BodyText"/>
        <w:widowControl/>
        <w:kinsoku w:val="0"/>
        <w:overflowPunct w:val="0"/>
        <w:ind w:left="0"/>
        <w:jc w:val="both"/>
        <w:rPr>
          <w:lang w:val="el-GR"/>
        </w:rPr>
      </w:pPr>
      <w:r>
        <w:rPr>
          <w:lang w:val="el-GR"/>
        </w:rPr>
        <w:t>Στη ρευματοειδή αρθρίτιδα η χορήγηση της μεθοτρεξάτης συνεχίζεται όσο χορηγείται το AMGEVITA. Eάν ο γιατρός σας καθορίσει ότι η χορήγηση της μεθοτρεξάτης είναι ακατάλληλη, τότε το AMGEVITA μπορεί να χορηγηθεί μόνο του.</w:t>
      </w:r>
    </w:p>
    <w:p w14:paraId="32598F87" w14:textId="77777777" w:rsidR="00171824" w:rsidRDefault="00171824">
      <w:pPr>
        <w:widowControl/>
        <w:kinsoku w:val="0"/>
        <w:overflowPunct w:val="0"/>
        <w:rPr>
          <w:sz w:val="22"/>
          <w:szCs w:val="22"/>
          <w:lang w:val="el-GR"/>
        </w:rPr>
      </w:pPr>
    </w:p>
    <w:p w14:paraId="30E40D47" w14:textId="77777777" w:rsidR="00171824" w:rsidRDefault="006D258C">
      <w:pPr>
        <w:pStyle w:val="BodyText"/>
        <w:widowControl/>
        <w:kinsoku w:val="0"/>
        <w:overflowPunct w:val="0"/>
        <w:ind w:left="0"/>
        <w:rPr>
          <w:lang w:val="el-GR"/>
        </w:rPr>
      </w:pPr>
      <w:r>
        <w:rPr>
          <w:lang w:val="el-GR"/>
        </w:rPr>
        <w:t>Εάν πάσχετε από ρευματοειδή αρθρίτιδα και δε λαμβάνετε μεθοτρεξάτη μαζί με το AMGEVITA, o γιατρός σας μπορεί να αποφασίσει να σας χορηγήσει 40 mg κάθε εβδομάδα ή 80 mg κάθε δεύτερη εβδομάδα.</w:t>
      </w:r>
    </w:p>
    <w:p w14:paraId="37DE3176" w14:textId="77777777" w:rsidR="00171824" w:rsidRDefault="00171824">
      <w:pPr>
        <w:widowControl/>
        <w:kinsoku w:val="0"/>
        <w:overflowPunct w:val="0"/>
        <w:rPr>
          <w:sz w:val="22"/>
          <w:szCs w:val="22"/>
          <w:lang w:val="el-GR"/>
        </w:rPr>
      </w:pPr>
    </w:p>
    <w:p w14:paraId="621C5F72" w14:textId="77777777" w:rsidR="00171824" w:rsidRDefault="006D258C">
      <w:pPr>
        <w:pStyle w:val="BodyText"/>
        <w:widowControl/>
        <w:kinsoku w:val="0"/>
        <w:overflowPunct w:val="0"/>
        <w:ind w:left="0"/>
        <w:rPr>
          <w:u w:val="single"/>
          <w:lang w:val="el-GR"/>
        </w:rPr>
      </w:pPr>
      <w:r>
        <w:rPr>
          <w:u w:val="single"/>
          <w:lang w:val="el-GR"/>
        </w:rPr>
        <w:t>Παιδιά, έφηβοι και ενήλικες με πολυαρθρική νεανική ιδιοπαθή αρθρίτιδα</w:t>
      </w:r>
    </w:p>
    <w:p w14:paraId="7586819C" w14:textId="77777777" w:rsidR="00171824" w:rsidRDefault="00171824">
      <w:pPr>
        <w:pStyle w:val="BodyText"/>
        <w:widowControl/>
        <w:kinsoku w:val="0"/>
        <w:overflowPunct w:val="0"/>
        <w:ind w:left="0"/>
        <w:rPr>
          <w:u w:val="single"/>
          <w:lang w:val="el-GR"/>
        </w:rPr>
      </w:pPr>
    </w:p>
    <w:p w14:paraId="44273EC6" w14:textId="77777777" w:rsidR="00171824" w:rsidRDefault="006D258C">
      <w:pPr>
        <w:pStyle w:val="BodyText"/>
        <w:widowControl/>
        <w:kinsoku w:val="0"/>
        <w:overflowPunct w:val="0"/>
        <w:ind w:left="0"/>
        <w:rPr>
          <w:i/>
          <w:lang w:val="el-GR"/>
        </w:rPr>
      </w:pPr>
      <w:r>
        <w:rPr>
          <w:i/>
          <w:lang w:val="el-GR"/>
        </w:rPr>
        <w:t>Παιδιά και έφηβοι από την ηλικία των 2 ετών με βάρος 10 kg έως 30 kg</w:t>
      </w:r>
    </w:p>
    <w:p w14:paraId="30A00A92" w14:textId="77777777" w:rsidR="00171824" w:rsidRDefault="00171824">
      <w:pPr>
        <w:widowControl/>
        <w:kinsoku w:val="0"/>
        <w:overflowPunct w:val="0"/>
        <w:rPr>
          <w:sz w:val="22"/>
          <w:szCs w:val="22"/>
          <w:lang w:val="el-GR"/>
        </w:rPr>
      </w:pPr>
    </w:p>
    <w:p w14:paraId="06C25850" w14:textId="77777777" w:rsidR="00171824" w:rsidRDefault="006D258C">
      <w:pPr>
        <w:pStyle w:val="BodyText"/>
        <w:widowControl/>
        <w:kinsoku w:val="0"/>
        <w:overflowPunct w:val="0"/>
        <w:ind w:left="0"/>
        <w:rPr>
          <w:lang w:val="el-GR"/>
        </w:rPr>
      </w:pPr>
      <w:r>
        <w:rPr>
          <w:lang w:val="el-GR"/>
        </w:rPr>
        <w:t>Η συνιστώμενη δόση του AMGEVITA είναι 20 mg κάθε δεύτερη εβδομάδα.</w:t>
      </w:r>
    </w:p>
    <w:p w14:paraId="68C29D4C" w14:textId="77777777" w:rsidR="00171824" w:rsidRDefault="00171824">
      <w:pPr>
        <w:widowControl/>
        <w:kinsoku w:val="0"/>
        <w:overflowPunct w:val="0"/>
        <w:rPr>
          <w:sz w:val="22"/>
          <w:szCs w:val="22"/>
          <w:lang w:val="el-GR"/>
        </w:rPr>
      </w:pPr>
    </w:p>
    <w:p w14:paraId="0D195B35" w14:textId="77777777" w:rsidR="00171824" w:rsidRDefault="006D258C">
      <w:pPr>
        <w:pStyle w:val="BodyText"/>
        <w:widowControl/>
        <w:kinsoku w:val="0"/>
        <w:overflowPunct w:val="0"/>
        <w:ind w:left="0"/>
        <w:rPr>
          <w:i/>
          <w:lang w:val="el-GR"/>
        </w:rPr>
      </w:pPr>
      <w:r>
        <w:rPr>
          <w:i/>
          <w:lang w:val="el-GR"/>
        </w:rPr>
        <w:t xml:space="preserve">Παιδιά, έφηβοι και ενήλικες ηλικίας από 2 ετών που ζυγίζουν 30 kg ή άνω </w:t>
      </w:r>
    </w:p>
    <w:p w14:paraId="20CCB7A1" w14:textId="77777777" w:rsidR="00171824" w:rsidRDefault="00171824">
      <w:pPr>
        <w:widowControl/>
        <w:kinsoku w:val="0"/>
        <w:overflowPunct w:val="0"/>
        <w:rPr>
          <w:sz w:val="22"/>
          <w:u w:val="single"/>
          <w:lang w:val="el-GR"/>
        </w:rPr>
      </w:pPr>
    </w:p>
    <w:p w14:paraId="68AD57E1" w14:textId="77777777" w:rsidR="00171824" w:rsidRDefault="006D258C">
      <w:pPr>
        <w:pStyle w:val="BodyText"/>
        <w:widowControl/>
        <w:kinsoku w:val="0"/>
        <w:overflowPunct w:val="0"/>
        <w:ind w:left="0"/>
        <w:rPr>
          <w:lang w:val="el-GR"/>
        </w:rPr>
      </w:pPr>
      <w:r>
        <w:rPr>
          <w:lang w:val="el-GR"/>
        </w:rPr>
        <w:t>Η συνιστώμενη δόση του AMGEVITA είναι 40 mg χορηγούμενο κάθε δύο εβδομάδες.</w:t>
      </w:r>
    </w:p>
    <w:p w14:paraId="5D113C03" w14:textId="77777777" w:rsidR="00171824" w:rsidRDefault="00171824">
      <w:pPr>
        <w:widowControl/>
        <w:kinsoku w:val="0"/>
        <w:overflowPunct w:val="0"/>
        <w:rPr>
          <w:sz w:val="22"/>
          <w:szCs w:val="22"/>
          <w:lang w:val="el-GR"/>
        </w:rPr>
      </w:pPr>
    </w:p>
    <w:p w14:paraId="793820CB" w14:textId="77777777" w:rsidR="00171824" w:rsidRDefault="006D258C">
      <w:pPr>
        <w:pStyle w:val="BodyText"/>
        <w:keepNext/>
        <w:widowControl/>
        <w:kinsoku w:val="0"/>
        <w:overflowPunct w:val="0"/>
        <w:ind w:left="0"/>
        <w:rPr>
          <w:u w:val="single"/>
          <w:lang w:val="el-GR"/>
        </w:rPr>
      </w:pPr>
      <w:r>
        <w:rPr>
          <w:u w:val="single"/>
          <w:lang w:val="el-GR"/>
        </w:rPr>
        <w:t>Παιδιά, έφηβοι και ενήλικες με αρθρίτιδα σχετιζόμενη με ενθεσίτιδα</w:t>
      </w:r>
    </w:p>
    <w:p w14:paraId="794F068D" w14:textId="77777777" w:rsidR="00171824" w:rsidRDefault="00171824">
      <w:pPr>
        <w:pStyle w:val="BodyText"/>
        <w:keepNext/>
        <w:widowControl/>
        <w:kinsoku w:val="0"/>
        <w:overflowPunct w:val="0"/>
        <w:ind w:left="0"/>
        <w:rPr>
          <w:lang w:val="el-GR"/>
        </w:rPr>
      </w:pPr>
    </w:p>
    <w:p w14:paraId="67BB4455" w14:textId="77777777" w:rsidR="00171824" w:rsidRDefault="006D258C">
      <w:pPr>
        <w:pStyle w:val="BodyText"/>
        <w:keepNext/>
        <w:widowControl/>
        <w:kinsoku w:val="0"/>
        <w:overflowPunct w:val="0"/>
        <w:ind w:left="0"/>
        <w:rPr>
          <w:i/>
          <w:lang w:val="el-GR"/>
        </w:rPr>
      </w:pPr>
      <w:r>
        <w:rPr>
          <w:i/>
          <w:lang w:val="el-GR"/>
        </w:rPr>
        <w:t xml:space="preserve">Παιδιά, και έφηβοι ηλικίας από 6 ετών που ζυγίζουν 15 kg ή λιγότερο από 30 mg </w:t>
      </w:r>
    </w:p>
    <w:p w14:paraId="16396D7D" w14:textId="77777777" w:rsidR="00171824" w:rsidRDefault="00171824">
      <w:pPr>
        <w:pStyle w:val="BodyText"/>
        <w:widowControl/>
        <w:kinsoku w:val="0"/>
        <w:overflowPunct w:val="0"/>
        <w:ind w:left="0"/>
        <w:rPr>
          <w:lang w:val="el-GR"/>
        </w:rPr>
      </w:pPr>
    </w:p>
    <w:p w14:paraId="342A0A82"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20 mg χορηγούμενο κάθε κάθε δεύτερη εβδομάδα.</w:t>
      </w:r>
    </w:p>
    <w:p w14:paraId="4BE1FC9C" w14:textId="77777777" w:rsidR="00171824" w:rsidRDefault="00171824">
      <w:pPr>
        <w:pStyle w:val="BodyText"/>
        <w:widowControl/>
        <w:kinsoku w:val="0"/>
        <w:overflowPunct w:val="0"/>
        <w:ind w:left="0"/>
        <w:rPr>
          <w:lang w:val="el-GR"/>
        </w:rPr>
      </w:pPr>
    </w:p>
    <w:p w14:paraId="37A4CF47" w14:textId="77777777" w:rsidR="00171824" w:rsidRDefault="006D258C">
      <w:pPr>
        <w:pStyle w:val="BodyText"/>
        <w:widowControl/>
        <w:kinsoku w:val="0"/>
        <w:overflowPunct w:val="0"/>
        <w:ind w:left="0"/>
        <w:rPr>
          <w:i/>
          <w:u w:val="single"/>
          <w:lang w:val="el-GR"/>
        </w:rPr>
      </w:pPr>
      <w:r>
        <w:rPr>
          <w:i/>
          <w:lang w:val="el-GR"/>
        </w:rPr>
        <w:t>Παιδιά, έφηβοι και ενήλικες από την ηλικία των 6 ετών με βάρος 30 kg ή περισσότερο</w:t>
      </w:r>
    </w:p>
    <w:p w14:paraId="48B0B221" w14:textId="77777777" w:rsidR="00171824" w:rsidRDefault="00171824">
      <w:pPr>
        <w:widowControl/>
        <w:kinsoku w:val="0"/>
        <w:overflowPunct w:val="0"/>
        <w:rPr>
          <w:sz w:val="22"/>
          <w:szCs w:val="22"/>
          <w:u w:val="single"/>
          <w:lang w:val="el-GR"/>
        </w:rPr>
      </w:pPr>
    </w:p>
    <w:p w14:paraId="3DAE85F0" w14:textId="77777777" w:rsidR="00171824" w:rsidRDefault="006D258C">
      <w:pPr>
        <w:pStyle w:val="BodyText"/>
        <w:widowControl/>
        <w:kinsoku w:val="0"/>
        <w:overflowPunct w:val="0"/>
        <w:ind w:left="0"/>
        <w:rPr>
          <w:lang w:val="el-GR"/>
        </w:rPr>
      </w:pPr>
      <w:r>
        <w:rPr>
          <w:lang w:val="el-GR"/>
        </w:rPr>
        <w:t>Η συνιστώμενη δόση του ΑΜGEVITAείναι 40 mg κάθε δεύτερη εβδομάδα.</w:t>
      </w:r>
    </w:p>
    <w:p w14:paraId="6B551BE1" w14:textId="77777777" w:rsidR="00171824" w:rsidRDefault="00171824">
      <w:pPr>
        <w:widowControl/>
        <w:kinsoku w:val="0"/>
        <w:overflowPunct w:val="0"/>
        <w:rPr>
          <w:sz w:val="22"/>
          <w:szCs w:val="22"/>
          <w:lang w:val="el-GR"/>
        </w:rPr>
      </w:pPr>
    </w:p>
    <w:p w14:paraId="3B1B82D2" w14:textId="77777777" w:rsidR="00171824" w:rsidRDefault="006D258C">
      <w:pPr>
        <w:pStyle w:val="BodyText"/>
        <w:keepNext/>
        <w:widowControl/>
        <w:kinsoku w:val="0"/>
        <w:overflowPunct w:val="0"/>
        <w:ind w:left="0"/>
        <w:rPr>
          <w:lang w:val="el-GR"/>
        </w:rPr>
      </w:pPr>
      <w:r>
        <w:rPr>
          <w:u w:val="single"/>
          <w:lang w:val="el-GR"/>
        </w:rPr>
        <w:t>Ενήλικες με ψωρίαση κατά πλάκας</w:t>
      </w:r>
    </w:p>
    <w:p w14:paraId="29768456" w14:textId="77777777" w:rsidR="00171824" w:rsidRDefault="00171824">
      <w:pPr>
        <w:keepNext/>
        <w:widowControl/>
        <w:kinsoku w:val="0"/>
        <w:overflowPunct w:val="0"/>
        <w:rPr>
          <w:sz w:val="22"/>
          <w:szCs w:val="22"/>
          <w:lang w:val="el-GR"/>
        </w:rPr>
      </w:pPr>
    </w:p>
    <w:p w14:paraId="42BFAD1C" w14:textId="77777777" w:rsidR="00171824" w:rsidRDefault="006D258C">
      <w:pPr>
        <w:pStyle w:val="BodyText"/>
        <w:widowControl/>
        <w:kinsoku w:val="0"/>
        <w:overflowPunct w:val="0"/>
        <w:ind w:left="0"/>
        <w:rPr>
          <w:lang w:val="el-GR"/>
        </w:rPr>
      </w:pPr>
      <w:r>
        <w:rPr>
          <w:lang w:val="el-GR"/>
        </w:rPr>
        <w:t>Η συνήθης δόση για τους ενήλικες με ψωρίαση κατά πλάκας είναι αρχική δόση 80 mg, (ως δύο ενέσεις των 40 mg σε μία μέρα) η οποία ακολουθείται από 40 mg χορηγούμενη κάθε δεύτερη εβδομάδα ξεκινώντας μια εβδομάδα μετά την αρχική δόση. Θα πρέπει να συνεχίσετε τις ενέσεις AMGEVITA για όσο χρόνο σας υποδείξει ο γιατρός σας. Ανάλογα με την ανταπόκρισή σας, ο γιατρός σας μπορεί να αυξήσει τη δόση σε 40 mg κάθε εβδομάδα ή 80 mg κάθε δεύτερη εβδομάδα.</w:t>
      </w:r>
    </w:p>
    <w:p w14:paraId="4E60EB28" w14:textId="77777777" w:rsidR="00171824" w:rsidRDefault="00171824">
      <w:pPr>
        <w:keepNext/>
        <w:widowControl/>
        <w:kinsoku w:val="0"/>
        <w:overflowPunct w:val="0"/>
        <w:rPr>
          <w:sz w:val="22"/>
          <w:szCs w:val="22"/>
          <w:lang w:val="el-GR"/>
        </w:rPr>
      </w:pPr>
    </w:p>
    <w:p w14:paraId="772A2B27" w14:textId="77777777" w:rsidR="00171824" w:rsidRDefault="006D258C">
      <w:pPr>
        <w:pStyle w:val="BodyText"/>
        <w:keepNext/>
        <w:keepLines/>
        <w:widowControl/>
        <w:kinsoku w:val="0"/>
        <w:overflowPunct w:val="0"/>
        <w:ind w:left="0"/>
        <w:rPr>
          <w:u w:val="single"/>
          <w:lang w:val="el-GR"/>
        </w:rPr>
      </w:pPr>
      <w:r>
        <w:rPr>
          <w:u w:val="single"/>
          <w:lang w:val="el-GR"/>
        </w:rPr>
        <w:t>Παιδιά και έφηβοι με ψωρίαση κατά πλάκας</w:t>
      </w:r>
    </w:p>
    <w:p w14:paraId="27C67E44" w14:textId="77777777" w:rsidR="00171824" w:rsidRDefault="00171824">
      <w:pPr>
        <w:pStyle w:val="BodyText"/>
        <w:keepNext/>
        <w:keepLines/>
        <w:widowControl/>
        <w:kinsoku w:val="0"/>
        <w:overflowPunct w:val="0"/>
        <w:ind w:left="0"/>
        <w:rPr>
          <w:u w:val="single"/>
          <w:lang w:val="el-GR"/>
        </w:rPr>
      </w:pPr>
    </w:p>
    <w:p w14:paraId="04E6BD5D" w14:textId="77777777" w:rsidR="00171824" w:rsidRDefault="006D258C">
      <w:pPr>
        <w:pStyle w:val="BodyText"/>
        <w:widowControl/>
        <w:kinsoku w:val="0"/>
        <w:overflowPunct w:val="0"/>
        <w:ind w:left="0"/>
        <w:rPr>
          <w:i/>
          <w:lang w:val="el-GR"/>
        </w:rPr>
      </w:pPr>
      <w:r>
        <w:rPr>
          <w:i/>
          <w:lang w:val="el-GR"/>
        </w:rPr>
        <w:t>Παιδιά, και έφηβοι από την ηλικία των 4 έως 17 ετών με βάρος από 15 kg έως 30 kg</w:t>
      </w:r>
    </w:p>
    <w:p w14:paraId="22FB5747" w14:textId="77777777" w:rsidR="00171824" w:rsidRDefault="00171824">
      <w:pPr>
        <w:widowControl/>
        <w:kinsoku w:val="0"/>
        <w:overflowPunct w:val="0"/>
        <w:rPr>
          <w:sz w:val="22"/>
          <w:szCs w:val="22"/>
          <w:lang w:val="el-GR"/>
        </w:rPr>
      </w:pPr>
    </w:p>
    <w:p w14:paraId="1F500501" w14:textId="77777777" w:rsidR="00171824" w:rsidRDefault="006D258C">
      <w:pPr>
        <w:pStyle w:val="BodyText"/>
        <w:widowControl/>
        <w:kinsoku w:val="0"/>
        <w:overflowPunct w:val="0"/>
        <w:ind w:left="0"/>
        <w:rPr>
          <w:lang w:val="el-GR"/>
        </w:rPr>
      </w:pPr>
      <w:r>
        <w:rPr>
          <w:lang w:val="el-GR"/>
        </w:rPr>
        <w:t>Η συνιστώμενη δόση του AMGEVITA είναι η αρχική δόση των 20 mg, ακολουθούμενη από 20 mg μία εβδομάδα αργότερα. Συνεπώς, η συνήθης δόση είναι 40 mg κάθε δεύτερη</w:t>
      </w:r>
      <w:r>
        <w:rPr>
          <w:rFonts w:ascii="Arial" w:hAnsi="Arial" w:cs="Arial"/>
          <w:color w:val="222222"/>
          <w:lang w:val="el-GR"/>
        </w:rPr>
        <w:t xml:space="preserve"> </w:t>
      </w:r>
      <w:r>
        <w:rPr>
          <w:lang w:val="el-GR"/>
        </w:rPr>
        <w:t>εβδομάδα.</w:t>
      </w:r>
    </w:p>
    <w:p w14:paraId="5BDCB268" w14:textId="77777777" w:rsidR="00171824" w:rsidRDefault="00171824">
      <w:pPr>
        <w:pStyle w:val="BodyText"/>
        <w:widowControl/>
        <w:kinsoku w:val="0"/>
        <w:overflowPunct w:val="0"/>
        <w:ind w:left="0"/>
        <w:rPr>
          <w:lang w:val="el-GR"/>
        </w:rPr>
      </w:pPr>
    </w:p>
    <w:p w14:paraId="3CB51EB7" w14:textId="77777777" w:rsidR="00171824" w:rsidRDefault="006D258C">
      <w:pPr>
        <w:keepNext/>
        <w:keepLines/>
        <w:widowControl/>
        <w:kinsoku w:val="0"/>
        <w:overflowPunct w:val="0"/>
        <w:rPr>
          <w:i/>
          <w:sz w:val="22"/>
          <w:szCs w:val="22"/>
          <w:lang w:val="el-GR"/>
        </w:rPr>
      </w:pPr>
      <w:r>
        <w:rPr>
          <w:i/>
          <w:sz w:val="22"/>
          <w:szCs w:val="22"/>
          <w:lang w:val="el-GR"/>
        </w:rPr>
        <w:t>Παιδιά και έφηβοι από την ηλικία των 4 έως 17 ετών με βάρος 30 kg ή περισσότερο</w:t>
      </w:r>
    </w:p>
    <w:p w14:paraId="0B6831A5" w14:textId="77777777" w:rsidR="00171824" w:rsidRDefault="00171824">
      <w:pPr>
        <w:widowControl/>
        <w:kinsoku w:val="0"/>
        <w:overflowPunct w:val="0"/>
        <w:rPr>
          <w:sz w:val="22"/>
          <w:szCs w:val="22"/>
          <w:lang w:val="el-GR"/>
        </w:rPr>
      </w:pPr>
    </w:p>
    <w:p w14:paraId="37452E48"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η αρχική δόση των 40 mg, ακολουθούμενη από 40mg μία εβδομάδα αργότερα. Συνεπώς, η συνήθης δόση είναι 40 mg κάθε δεύτερη</w:t>
      </w:r>
      <w:r>
        <w:rPr>
          <w:rFonts w:ascii="Arial" w:hAnsi="Arial" w:cs="Arial"/>
          <w:color w:val="222222"/>
          <w:sz w:val="22"/>
          <w:szCs w:val="22"/>
          <w:lang w:val="el-GR"/>
        </w:rPr>
        <w:t xml:space="preserve"> </w:t>
      </w:r>
      <w:r>
        <w:rPr>
          <w:sz w:val="22"/>
          <w:szCs w:val="22"/>
          <w:lang w:val="el-GR"/>
        </w:rPr>
        <w:t>εβδομάδα.</w:t>
      </w:r>
    </w:p>
    <w:p w14:paraId="740D417E" w14:textId="77777777" w:rsidR="00171824" w:rsidRDefault="00171824">
      <w:pPr>
        <w:pStyle w:val="BodyText"/>
        <w:widowControl/>
        <w:kinsoku w:val="0"/>
        <w:overflowPunct w:val="0"/>
        <w:ind w:left="0"/>
        <w:rPr>
          <w:lang w:val="el-GR"/>
        </w:rPr>
      </w:pPr>
    </w:p>
    <w:p w14:paraId="3B966799" w14:textId="77777777" w:rsidR="00171824" w:rsidRDefault="006D258C">
      <w:pPr>
        <w:pStyle w:val="BodyText"/>
        <w:keepNext/>
        <w:widowControl/>
        <w:kinsoku w:val="0"/>
        <w:overflowPunct w:val="0"/>
        <w:ind w:left="0"/>
        <w:rPr>
          <w:lang w:val="el-GR"/>
        </w:rPr>
      </w:pPr>
      <w:r>
        <w:rPr>
          <w:u w:val="single"/>
          <w:lang w:val="el-GR"/>
        </w:rPr>
        <w:t>Ενήλικες με διαπυητική ιδρωταδενίτιδα</w:t>
      </w:r>
    </w:p>
    <w:p w14:paraId="141136EB" w14:textId="77777777" w:rsidR="00171824" w:rsidRDefault="00171824">
      <w:pPr>
        <w:keepNext/>
        <w:widowControl/>
        <w:kinsoku w:val="0"/>
        <w:overflowPunct w:val="0"/>
        <w:rPr>
          <w:sz w:val="22"/>
          <w:szCs w:val="22"/>
          <w:lang w:val="el-GR"/>
        </w:rPr>
      </w:pPr>
    </w:p>
    <w:p w14:paraId="7374A325" w14:textId="77777777" w:rsidR="00171824" w:rsidRDefault="006D258C">
      <w:pPr>
        <w:pStyle w:val="BodyText"/>
        <w:widowControl/>
        <w:kinsoku w:val="0"/>
        <w:overflowPunct w:val="0"/>
        <w:ind w:left="0"/>
        <w:jc w:val="both"/>
        <w:rPr>
          <w:lang w:val="el-GR"/>
        </w:rPr>
      </w:pPr>
      <w:r>
        <w:rPr>
          <w:lang w:val="el-GR"/>
        </w:rPr>
        <w:t>Το σύνηθες δοσολογικό σχήμα για τη διαπυητική ιδρωταδενίτιδα είναι μια αρχική δόση 160 mg (δηλ τέσσερις ενέσεις 40 mg σε μία ημέρα ή δύο ενέσεις 40 mg ημερησίως για δύο συνεχόμενες ημέρες), ακολουθούμενη από μία δόση 80 mg (δηλ δύο ενέσεις 40 mg σε μία ημέρα) δύο εβδομάδες αργότερα. Μετά από δύο επιπλέον εβδομάδες, συνεχίστε με μια δόση 40 mg κάθε εβδομάδα ή 80 mg κάθε δεύτερη εβδομάδα όπως σας έχει συνταγογραφήσει ο γιατρός σας. Συνιστάται η καθημερινή χρήση αντισηπτικού σαπουνιού στις προσβεβλημένες περιοχές.</w:t>
      </w:r>
    </w:p>
    <w:p w14:paraId="5CA3B11C" w14:textId="77777777" w:rsidR="00171824" w:rsidRDefault="00171824">
      <w:pPr>
        <w:widowControl/>
        <w:kinsoku w:val="0"/>
        <w:overflowPunct w:val="0"/>
        <w:rPr>
          <w:sz w:val="22"/>
          <w:szCs w:val="22"/>
          <w:lang w:val="el-GR"/>
        </w:rPr>
      </w:pPr>
    </w:p>
    <w:p w14:paraId="0ECE63F4" w14:textId="77777777" w:rsidR="00171824" w:rsidRDefault="006D258C">
      <w:pPr>
        <w:rPr>
          <w:sz w:val="22"/>
          <w:szCs w:val="22"/>
          <w:u w:val="single"/>
          <w:lang w:val="el-GR"/>
        </w:rPr>
      </w:pPr>
      <w:r>
        <w:rPr>
          <w:sz w:val="22"/>
          <w:szCs w:val="22"/>
          <w:u w:val="single"/>
          <w:lang w:val="el-GR"/>
        </w:rPr>
        <w:t>Έφηβοι με διαπυητική ιδρωταδενίτιδα από 12 έως 17 ετών βάρους 30 kg και άνω</w:t>
      </w:r>
    </w:p>
    <w:p w14:paraId="1EDD46E2" w14:textId="77777777" w:rsidR="00171824" w:rsidRDefault="00171824">
      <w:pPr>
        <w:rPr>
          <w:sz w:val="22"/>
          <w:szCs w:val="22"/>
          <w:lang w:val="el-GR"/>
        </w:rPr>
      </w:pPr>
    </w:p>
    <w:p w14:paraId="29F50B45" w14:textId="77777777" w:rsidR="00171824" w:rsidRDefault="006D258C">
      <w:pPr>
        <w:rPr>
          <w:sz w:val="22"/>
          <w:szCs w:val="22"/>
          <w:lang w:val="el-GR"/>
        </w:rPr>
      </w:pPr>
      <w:r>
        <w:rPr>
          <w:sz w:val="22"/>
          <w:szCs w:val="22"/>
          <w:lang w:val="el-GR"/>
        </w:rPr>
        <w:t>Η συνιστώμενη δόση του AMGEVITA είναι μία αρχική δόση 80 mg (ως δυο ενέσεις 40 mg σε μία ημέρα), ακολουθούμενη από 40 mg κάθε δεύτερη εβδομάδα, ξεκινώντας μια εβδομάδα αργότερα. Εάν έχετε ανεπαρκή ανταπόκριση στο AMGEVITA 40 mg κάθε δεύτερη εβδομάδα, ο γιατρός σας μπορεί να αυξήσει τη δόση σας σε 40 mg κάθε εβδομάδα ή 80 mg κάθε δεύτερη εβδομάδα.</w:t>
      </w:r>
    </w:p>
    <w:p w14:paraId="38BE0E43" w14:textId="77777777" w:rsidR="00171824" w:rsidRDefault="00171824">
      <w:pPr>
        <w:rPr>
          <w:sz w:val="22"/>
          <w:szCs w:val="22"/>
          <w:lang w:val="el-GR"/>
        </w:rPr>
      </w:pPr>
    </w:p>
    <w:p w14:paraId="6E360305" w14:textId="77777777" w:rsidR="00171824" w:rsidRDefault="006D258C">
      <w:pPr>
        <w:rPr>
          <w:sz w:val="22"/>
          <w:szCs w:val="22"/>
          <w:lang w:val="el-GR"/>
        </w:rPr>
      </w:pPr>
      <w:r>
        <w:rPr>
          <w:sz w:val="22"/>
          <w:szCs w:val="22"/>
          <w:lang w:val="el-GR"/>
        </w:rPr>
        <w:t>Συνιστάται η καθημερινή χρήση αντισηπτικού σαπουνιού στις προσβεβλημένες περιοχές.</w:t>
      </w:r>
    </w:p>
    <w:p w14:paraId="291EB920" w14:textId="77777777" w:rsidR="00171824" w:rsidRDefault="00171824">
      <w:pPr>
        <w:widowControl/>
        <w:kinsoku w:val="0"/>
        <w:overflowPunct w:val="0"/>
        <w:rPr>
          <w:sz w:val="22"/>
          <w:szCs w:val="22"/>
          <w:lang w:val="el-GR"/>
        </w:rPr>
      </w:pPr>
    </w:p>
    <w:p w14:paraId="1AB0C018" w14:textId="77777777" w:rsidR="00171824" w:rsidRDefault="006D258C">
      <w:pPr>
        <w:pStyle w:val="BodyText"/>
        <w:widowControl/>
        <w:kinsoku w:val="0"/>
        <w:overflowPunct w:val="0"/>
        <w:ind w:left="0"/>
        <w:rPr>
          <w:lang w:val="el-GR"/>
        </w:rPr>
      </w:pPr>
      <w:r>
        <w:rPr>
          <w:u w:val="single"/>
          <w:lang w:val="el-GR"/>
        </w:rPr>
        <w:t>Ενήλικες με νόσο του Crohn</w:t>
      </w:r>
    </w:p>
    <w:p w14:paraId="09C6066E" w14:textId="77777777" w:rsidR="00171824" w:rsidRDefault="00171824">
      <w:pPr>
        <w:widowControl/>
        <w:kinsoku w:val="0"/>
        <w:overflowPunct w:val="0"/>
        <w:rPr>
          <w:sz w:val="22"/>
          <w:szCs w:val="22"/>
          <w:lang w:val="el-GR"/>
        </w:rPr>
      </w:pPr>
    </w:p>
    <w:p w14:paraId="0CF155CC" w14:textId="77777777" w:rsidR="00171824" w:rsidRDefault="006D258C">
      <w:pPr>
        <w:pStyle w:val="BodyText"/>
        <w:widowControl/>
        <w:kinsoku w:val="0"/>
        <w:overflowPunct w:val="0"/>
        <w:ind w:left="0"/>
        <w:rPr>
          <w:lang w:val="el-GR"/>
        </w:rPr>
      </w:pPr>
      <w:r>
        <w:rPr>
          <w:lang w:val="el-GR"/>
        </w:rPr>
        <w:t>Το σύνηθες δοσολογικό σχήμα για τη νόσο του Crohn είναι 80 mg (ως δύο ενέσεις των 40 mg σε μία μέρα) αρχικά ακολουθούμενο από 40 mg κάθε δεύτερη εβδομάδα, δύο εβδομάδες αργότερα. Εάν απαιτείται πιο γρήγορη ανταπόκριση στη θεραπεία, ο γιατρός σας μπορεί να σας συνταγογραφήσει μία αρχική δόση των 160 mg (η δόση μπορεί να χορηγηθεί ως τέσσερις ενέσεις 40 mg σε μία ημέρα ή ως δύο ενέσεις 40 mg ημερησίως για δύο συνεχόμενες ημέρες), ακολουθούμενη από 80 mg (ως δύο ενέσεις των 40 mg σε μία μέρα) δύο εβδομάδες αργότερα, και ακολούθως 40 mg κάθε δεύτερη εβδομάδα. Ανάλογα με την ανταπόκρισή σας στη θεραπεία, ο γιατρός σας είναι πιθανό να αυξήσει τη δόση σε 40 mg κάθε εβδομάδα ή 80 mg κάθε δεύτερη εβδομάδα.</w:t>
      </w:r>
    </w:p>
    <w:p w14:paraId="2175308E" w14:textId="77777777" w:rsidR="00171824" w:rsidRDefault="00171824">
      <w:pPr>
        <w:widowControl/>
        <w:kinsoku w:val="0"/>
        <w:overflowPunct w:val="0"/>
        <w:rPr>
          <w:sz w:val="22"/>
          <w:szCs w:val="22"/>
          <w:lang w:val="el-GR"/>
        </w:rPr>
      </w:pPr>
    </w:p>
    <w:p w14:paraId="27D468F7" w14:textId="77777777" w:rsidR="00171824" w:rsidRDefault="006D258C">
      <w:pPr>
        <w:pStyle w:val="BodyText"/>
        <w:keepNext/>
        <w:widowControl/>
        <w:kinsoku w:val="0"/>
        <w:overflowPunct w:val="0"/>
        <w:ind w:left="0"/>
        <w:rPr>
          <w:lang w:val="el-GR"/>
        </w:rPr>
      </w:pPr>
      <w:r>
        <w:rPr>
          <w:u w:val="single"/>
          <w:lang w:val="el-GR"/>
        </w:rPr>
        <w:t>Παιδιά και έφηβοι με νόσο του Crohn</w:t>
      </w:r>
    </w:p>
    <w:p w14:paraId="1ACB9A1C" w14:textId="77777777" w:rsidR="00171824" w:rsidRDefault="00171824">
      <w:pPr>
        <w:keepNext/>
        <w:widowControl/>
        <w:kinsoku w:val="0"/>
        <w:overflowPunct w:val="0"/>
        <w:rPr>
          <w:sz w:val="22"/>
          <w:szCs w:val="22"/>
          <w:lang w:val="el-GR"/>
        </w:rPr>
      </w:pPr>
    </w:p>
    <w:p w14:paraId="0FE3D780" w14:textId="77777777" w:rsidR="00171824" w:rsidRDefault="006D258C">
      <w:pPr>
        <w:pStyle w:val="BodyText"/>
        <w:keepNext/>
        <w:widowControl/>
        <w:kinsoku w:val="0"/>
        <w:overflowPunct w:val="0"/>
        <w:ind w:left="0"/>
        <w:rPr>
          <w:i/>
          <w:lang w:val="el-GR"/>
        </w:rPr>
      </w:pPr>
      <w:r>
        <w:rPr>
          <w:i/>
          <w:lang w:val="el-GR"/>
        </w:rPr>
        <w:t>Παιδιά και έφηβοι από την ηλικία των 6 έως 17 ετών με βάρος λιγότερο από 40 kg:</w:t>
      </w:r>
    </w:p>
    <w:p w14:paraId="32CF0D3C" w14:textId="77777777" w:rsidR="00171824" w:rsidRDefault="00171824">
      <w:pPr>
        <w:keepNext/>
        <w:widowControl/>
        <w:kinsoku w:val="0"/>
        <w:overflowPunct w:val="0"/>
        <w:rPr>
          <w:sz w:val="22"/>
          <w:szCs w:val="22"/>
          <w:lang w:val="el-GR"/>
        </w:rPr>
      </w:pPr>
    </w:p>
    <w:p w14:paraId="4C3B986E" w14:textId="77777777" w:rsidR="00171824" w:rsidRDefault="006D258C">
      <w:pPr>
        <w:pStyle w:val="BodyText"/>
        <w:keepNext/>
        <w:widowControl/>
        <w:kinsoku w:val="0"/>
        <w:overflowPunct w:val="0"/>
        <w:ind w:left="0"/>
        <w:rPr>
          <w:lang w:val="el-GR"/>
        </w:rPr>
      </w:pPr>
      <w:r>
        <w:rPr>
          <w:lang w:val="el-GR"/>
        </w:rPr>
        <w:t>Το συνιστώμενο δοσολογικό σχήμα είναι αρχικά 40 mg, ακολουθούμενο από 20 mg δύο εβδομάδες αργότερα. Εάν απαιτείται πιο γρήγορη ανταπόκριση, ο γιατρός του παιδιού σας μπορεί να συνταγογραφήσει μία αρχική δόση των 80 mg (ως δύο ενέσεις 40 mg σε μία μέρα), ακολουθούμενη από 40 mg δύο εβδομάδες αργότερα.</w:t>
      </w:r>
    </w:p>
    <w:p w14:paraId="25538170" w14:textId="77777777" w:rsidR="00171824" w:rsidRDefault="00171824">
      <w:pPr>
        <w:widowControl/>
        <w:kinsoku w:val="0"/>
        <w:overflowPunct w:val="0"/>
        <w:rPr>
          <w:sz w:val="22"/>
          <w:szCs w:val="22"/>
          <w:lang w:val="el-GR"/>
        </w:rPr>
      </w:pPr>
    </w:p>
    <w:p w14:paraId="0F99787D" w14:textId="77777777" w:rsidR="00171824" w:rsidRDefault="006D258C">
      <w:pPr>
        <w:pStyle w:val="BodyText"/>
        <w:widowControl/>
        <w:kinsoku w:val="0"/>
        <w:overflowPunct w:val="0"/>
        <w:ind w:left="0"/>
        <w:jc w:val="both"/>
        <w:rPr>
          <w:lang w:val="el-GR"/>
        </w:rPr>
      </w:pPr>
      <w:r>
        <w:rPr>
          <w:lang w:val="el-GR"/>
        </w:rPr>
        <w:t>Κατόπιν, η συνήθης δόση είναι 20 mg κάθε δεύτερη εβδομάδα. Ανάλογα με την ανταπόκριση του παιδιού σας, ο γιατρός του παιδιού σας μπορεί να αυξήσει τη συχνότητα της δόσης σε 20 mg κάθε εβδομάδα.</w:t>
      </w:r>
    </w:p>
    <w:p w14:paraId="0DAFFBE0" w14:textId="77777777" w:rsidR="00171824" w:rsidRDefault="00171824">
      <w:pPr>
        <w:widowControl/>
        <w:kinsoku w:val="0"/>
        <w:overflowPunct w:val="0"/>
        <w:rPr>
          <w:sz w:val="22"/>
          <w:szCs w:val="22"/>
          <w:lang w:val="el-GR"/>
        </w:rPr>
      </w:pPr>
    </w:p>
    <w:p w14:paraId="335E7726" w14:textId="77777777" w:rsidR="00171824" w:rsidRDefault="006D258C">
      <w:pPr>
        <w:pStyle w:val="BodyText"/>
        <w:keepNext/>
        <w:keepLines/>
        <w:widowControl/>
        <w:kinsoku w:val="0"/>
        <w:overflowPunct w:val="0"/>
        <w:ind w:left="0"/>
        <w:rPr>
          <w:i/>
          <w:lang w:val="el-GR"/>
        </w:rPr>
      </w:pPr>
      <w:r>
        <w:rPr>
          <w:i/>
          <w:lang w:val="el-GR"/>
        </w:rPr>
        <w:lastRenderedPageBreak/>
        <w:t>Παιδιά και έφηβοι ηλικίας από 6 έως 17 ετών με βάρος 40 kg ή περισσότερο</w:t>
      </w:r>
    </w:p>
    <w:p w14:paraId="4A0DBE2D" w14:textId="77777777" w:rsidR="00171824" w:rsidRDefault="00171824">
      <w:pPr>
        <w:keepNext/>
        <w:keepLines/>
        <w:widowControl/>
        <w:kinsoku w:val="0"/>
        <w:overflowPunct w:val="0"/>
        <w:rPr>
          <w:sz w:val="22"/>
          <w:szCs w:val="22"/>
          <w:lang w:val="el-GR"/>
        </w:rPr>
      </w:pPr>
    </w:p>
    <w:p w14:paraId="0C45A83B" w14:textId="77777777" w:rsidR="00171824" w:rsidRDefault="006D258C">
      <w:pPr>
        <w:pStyle w:val="BodyText"/>
        <w:widowControl/>
        <w:kinsoku w:val="0"/>
        <w:overflowPunct w:val="0"/>
        <w:ind w:left="0"/>
        <w:rPr>
          <w:lang w:val="el-GR"/>
        </w:rPr>
      </w:pPr>
      <w:r>
        <w:rPr>
          <w:lang w:val="el-GR"/>
        </w:rPr>
        <w:t>Το συνιστώμενο δοσολογικό σχήμα είναι αρχικά 80 mg (ως δύο ενέσεις των 40 mg σε μία μέρα) ακολουθούμενο από 40 mg δύο εβδομάδες αργότερα. Εάν απαιτείται πιο γρήγορη ανταπόκριση, ο γιατρός του παιδιού σας μπορεί να συνταγογραφήσει μία αρχική δόση των 160 mg (ως τέσσερις ενέσεις 40 mg σε μία μέρα ή ως δύο ενέσεις 40 mg την ημέρα για δύο συνεχείς ημέρες), ακολουθούμενη από 80 mg (ως δύο ενέσεις των 40 mg σε μία μέρα) δύο εβδομάδες αργότερα.</w:t>
      </w:r>
    </w:p>
    <w:p w14:paraId="675397C7" w14:textId="77777777" w:rsidR="00171824" w:rsidRDefault="00171824">
      <w:pPr>
        <w:widowControl/>
        <w:kinsoku w:val="0"/>
        <w:overflowPunct w:val="0"/>
        <w:rPr>
          <w:sz w:val="22"/>
          <w:szCs w:val="22"/>
          <w:lang w:val="el-GR"/>
        </w:rPr>
      </w:pPr>
    </w:p>
    <w:p w14:paraId="0CF29DEA" w14:textId="77777777" w:rsidR="00171824" w:rsidRDefault="006D258C">
      <w:pPr>
        <w:pStyle w:val="BodyText"/>
        <w:widowControl/>
        <w:kinsoku w:val="0"/>
        <w:overflowPunct w:val="0"/>
        <w:ind w:left="0"/>
        <w:jc w:val="both"/>
        <w:rPr>
          <w:lang w:val="el-GR"/>
        </w:rPr>
      </w:pPr>
      <w:r>
        <w:rPr>
          <w:lang w:val="el-GR"/>
        </w:rPr>
        <w:t>Κατόπιν, η συνήθης δόση είναι 40 mg κάθε δεύτερη εβδομάδα. Ανάλογα με την ανταπόκριση του παιδιού σας, ο γιατρός του παιδιού σας μπορεί να αυξήσει τη δόση σε 40 mg κάθε εβδομάδα ή 80 mg κάθε δεύτερη εβδομάδα.</w:t>
      </w:r>
    </w:p>
    <w:p w14:paraId="52A0CDB5" w14:textId="77777777" w:rsidR="00171824" w:rsidRDefault="00171824">
      <w:pPr>
        <w:widowControl/>
        <w:kinsoku w:val="0"/>
        <w:overflowPunct w:val="0"/>
        <w:rPr>
          <w:sz w:val="22"/>
          <w:szCs w:val="22"/>
          <w:lang w:val="el-GR"/>
        </w:rPr>
      </w:pPr>
    </w:p>
    <w:p w14:paraId="7E007F54" w14:textId="77777777" w:rsidR="00171824" w:rsidRDefault="006D258C">
      <w:pPr>
        <w:pStyle w:val="BodyText"/>
        <w:keepNext/>
        <w:widowControl/>
        <w:kinsoku w:val="0"/>
        <w:overflowPunct w:val="0"/>
        <w:ind w:left="0"/>
        <w:rPr>
          <w:lang w:val="el-GR"/>
        </w:rPr>
      </w:pPr>
      <w:r>
        <w:rPr>
          <w:u w:val="single"/>
          <w:lang w:val="el-GR"/>
        </w:rPr>
        <w:t>Ενήλικες με ελκώδη κολίτιδα</w:t>
      </w:r>
    </w:p>
    <w:p w14:paraId="7421ACE7" w14:textId="77777777" w:rsidR="00171824" w:rsidRDefault="00171824">
      <w:pPr>
        <w:keepNext/>
        <w:widowControl/>
        <w:kinsoku w:val="0"/>
        <w:overflowPunct w:val="0"/>
        <w:rPr>
          <w:sz w:val="22"/>
          <w:szCs w:val="22"/>
          <w:lang w:val="el-GR"/>
        </w:rPr>
      </w:pPr>
    </w:p>
    <w:p w14:paraId="4AF30FA1" w14:textId="77777777" w:rsidR="00171824" w:rsidRDefault="006D258C">
      <w:pPr>
        <w:pStyle w:val="BodyText"/>
        <w:widowControl/>
        <w:kinsoku w:val="0"/>
        <w:overflowPunct w:val="0"/>
        <w:ind w:left="0"/>
        <w:rPr>
          <w:lang w:val="el-GR"/>
        </w:rPr>
      </w:pPr>
      <w:r>
        <w:rPr>
          <w:lang w:val="el-GR"/>
        </w:rPr>
        <w:t>Η συνήθης δόση AMGEVITA για ενήλικες με ελκώδη κολίτιδα είναι 160 mg αρχικά (ως τέσσερις ενέσεις 40 mg σε μία μέρα ή ως δύο ενέσεις 40 mg ημερησίως για δύο συνεχόμενες ημέρες) ακολουθούμενη από 80 mg (ως δύο ενέσεις των 40 mg σε μία μέρα) δύο εβδομάδες αργότερα και στη συνέχεια 40 mg κάθε δεύτερη εβδομάδα. Ανάλογα με την ανταπόκρισή σας, ο γιατρός σας μπορεί να αυξήσει τη δόση σε 40 mg κάθε εβδομάδα ή 80 mg κάθε δεύτερη εβδομάδα.</w:t>
      </w:r>
    </w:p>
    <w:p w14:paraId="69AB7B1D" w14:textId="77777777" w:rsidR="00171824" w:rsidRDefault="00171824">
      <w:pPr>
        <w:widowControl/>
        <w:kinsoku w:val="0"/>
        <w:overflowPunct w:val="0"/>
        <w:rPr>
          <w:sz w:val="22"/>
          <w:szCs w:val="22"/>
          <w:lang w:val="el-GR"/>
        </w:rPr>
      </w:pPr>
    </w:p>
    <w:p w14:paraId="729EE964" w14:textId="77777777" w:rsidR="00171824" w:rsidRDefault="006D258C">
      <w:pPr>
        <w:widowControl/>
        <w:rPr>
          <w:color w:val="000000"/>
          <w:sz w:val="22"/>
          <w:szCs w:val="22"/>
          <w:u w:val="single"/>
          <w:lang w:val="el-GR" w:eastAsia="ja-JP"/>
        </w:rPr>
      </w:pPr>
      <w:r>
        <w:rPr>
          <w:color w:val="000000"/>
          <w:sz w:val="22"/>
          <w:szCs w:val="22"/>
          <w:u w:val="single"/>
          <w:lang w:val="el-GR" w:eastAsia="ja-JP"/>
        </w:rPr>
        <w:t>Παιδιά και έφηβοι με ελκώδη κολίτιδα</w:t>
      </w:r>
    </w:p>
    <w:p w14:paraId="556C83B5" w14:textId="77777777" w:rsidR="00171824" w:rsidRDefault="006D258C">
      <w:pPr>
        <w:widowControl/>
        <w:rPr>
          <w:color w:val="000000"/>
          <w:sz w:val="22"/>
          <w:szCs w:val="22"/>
          <w:lang w:val="el-GR" w:eastAsia="ja-JP"/>
        </w:rPr>
      </w:pPr>
      <w:r>
        <w:rPr>
          <w:color w:val="000000"/>
          <w:sz w:val="22"/>
          <w:szCs w:val="22"/>
          <w:lang w:val="el-GR" w:eastAsia="ja-JP"/>
        </w:rPr>
        <w:t xml:space="preserve"> </w:t>
      </w:r>
    </w:p>
    <w:p w14:paraId="3F05A3A0" w14:textId="77777777" w:rsidR="00171824" w:rsidRDefault="006D258C">
      <w:pPr>
        <w:widowControl/>
        <w:rPr>
          <w:color w:val="000000"/>
          <w:sz w:val="22"/>
          <w:szCs w:val="22"/>
          <w:lang w:val="el-GR" w:eastAsia="ja-JP"/>
        </w:rPr>
      </w:pPr>
      <w:r>
        <w:rPr>
          <w:i/>
          <w:iCs/>
          <w:color w:val="000000"/>
          <w:sz w:val="22"/>
          <w:szCs w:val="22"/>
          <w:lang w:val="el-GR" w:eastAsia="ja-JP"/>
        </w:rPr>
        <w:t xml:space="preserve">Παιδιά και έφηβοι από την ηλικία των 6 ετών με βάρος λιγότερο από 40 kg </w:t>
      </w:r>
    </w:p>
    <w:p w14:paraId="5663080A" w14:textId="77777777" w:rsidR="00171824" w:rsidRDefault="00171824">
      <w:pPr>
        <w:widowControl/>
        <w:rPr>
          <w:color w:val="000000"/>
          <w:sz w:val="22"/>
          <w:szCs w:val="22"/>
          <w:lang w:val="el-GR" w:eastAsia="ja-JP"/>
        </w:rPr>
      </w:pPr>
    </w:p>
    <w:p w14:paraId="30385C73"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80 mg (ως δύο ενέσεις των 40 mg σε μία ημέρα) αρχικά, ακολουθούμενη από 40 mg (ως μία ένεση των 40 mg) δύο εβδομάδες μετά. Στη συνέχεια, η συνήθης δόση είναι 40 mg κάθε δεύτερη εβδομάδα. </w:t>
      </w:r>
    </w:p>
    <w:p w14:paraId="7D3F6211" w14:textId="77777777" w:rsidR="00171824" w:rsidRDefault="00171824">
      <w:pPr>
        <w:widowControl/>
        <w:rPr>
          <w:color w:val="000000"/>
          <w:sz w:val="22"/>
          <w:szCs w:val="22"/>
          <w:lang w:val="el-GR" w:eastAsia="ja-JP"/>
        </w:rPr>
      </w:pPr>
    </w:p>
    <w:p w14:paraId="03A23285" w14:textId="77777777" w:rsidR="00171824" w:rsidRDefault="006D258C">
      <w:pPr>
        <w:widowControl/>
        <w:rPr>
          <w:color w:val="000000"/>
          <w:sz w:val="22"/>
          <w:szCs w:val="22"/>
          <w:lang w:val="el-GR" w:eastAsia="ja-JP"/>
        </w:rPr>
      </w:pPr>
      <w:r>
        <w:rPr>
          <w:color w:val="000000"/>
          <w:sz w:val="22"/>
          <w:szCs w:val="22"/>
          <w:lang w:val="el-GR" w:eastAsia="ja-JP"/>
        </w:rPr>
        <w:t xml:space="preserve">Οι ασθενείς που γίνονται 18 ετών ενώ λαμβάνουν 40 mg κάθε δεύτερη εβδομάδα θα πρέπει να συνεχίζουν τη συνιστώμενη δόση τους. </w:t>
      </w:r>
    </w:p>
    <w:p w14:paraId="0078D40A" w14:textId="77777777" w:rsidR="00171824" w:rsidRDefault="00171824">
      <w:pPr>
        <w:widowControl/>
        <w:rPr>
          <w:i/>
          <w:iCs/>
          <w:color w:val="000000"/>
          <w:sz w:val="22"/>
          <w:szCs w:val="22"/>
          <w:lang w:val="el-GR" w:eastAsia="ja-JP"/>
        </w:rPr>
      </w:pPr>
    </w:p>
    <w:p w14:paraId="366B2E31" w14:textId="77777777" w:rsidR="00171824" w:rsidRDefault="006D258C">
      <w:pPr>
        <w:widowControl/>
        <w:rPr>
          <w:color w:val="000000"/>
          <w:sz w:val="22"/>
          <w:szCs w:val="22"/>
          <w:lang w:val="el-GR" w:eastAsia="ja-JP"/>
        </w:rPr>
      </w:pPr>
      <w:r>
        <w:rPr>
          <w:i/>
          <w:iCs/>
          <w:color w:val="000000"/>
          <w:sz w:val="22"/>
          <w:szCs w:val="22"/>
          <w:lang w:val="el-GR" w:eastAsia="ja-JP"/>
        </w:rPr>
        <w:t>Παιδιά και έφηβοι από την ηλικία των 6 ετών με βάρος 40</w:t>
      </w:r>
      <w:r>
        <w:rPr>
          <w:color w:val="000000"/>
          <w:sz w:val="22"/>
          <w:szCs w:val="22"/>
          <w:lang w:val="el-GR" w:eastAsia="ja-JP"/>
        </w:rPr>
        <w:t> </w:t>
      </w:r>
      <w:r>
        <w:rPr>
          <w:i/>
          <w:iCs/>
          <w:color w:val="000000"/>
          <w:sz w:val="22"/>
          <w:szCs w:val="22"/>
          <w:lang w:val="el-GR" w:eastAsia="ja-JP"/>
        </w:rPr>
        <w:t xml:space="preserve">kg ή περισσότερο </w:t>
      </w:r>
    </w:p>
    <w:p w14:paraId="48D7EE3C" w14:textId="77777777" w:rsidR="00171824" w:rsidRDefault="00171824">
      <w:pPr>
        <w:widowControl/>
        <w:rPr>
          <w:color w:val="000000"/>
          <w:sz w:val="22"/>
          <w:szCs w:val="22"/>
          <w:lang w:val="el-GR" w:eastAsia="ja-JP"/>
        </w:rPr>
      </w:pPr>
    </w:p>
    <w:p w14:paraId="1EDB5056"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160 mg (ως τέσσερις ενέσεις των 40 mg σε μία ημέρα ή δύο ενέσεις των 40 mg ανά ημέρα για δύο διαδοχικές ημέρες) αρχικά, ακολουθούμενη από 80 mg (ως δύο ενέσεις των 40 mg σε μία ημέρα), δύο εβδομάδες μετά. Στη συνέχεια, η συνήθης δόση είναι 80 mg κάθε δεύτερη εβδομάδα. </w:t>
      </w:r>
    </w:p>
    <w:p w14:paraId="5EA5B33B" w14:textId="77777777" w:rsidR="00171824" w:rsidRDefault="00171824">
      <w:pPr>
        <w:widowControl/>
        <w:kinsoku w:val="0"/>
        <w:overflowPunct w:val="0"/>
        <w:rPr>
          <w:color w:val="000000"/>
          <w:sz w:val="22"/>
          <w:szCs w:val="22"/>
          <w:lang w:val="el-GR" w:eastAsia="ja-JP"/>
        </w:rPr>
      </w:pPr>
    </w:p>
    <w:p w14:paraId="15D9BCEC" w14:textId="77777777" w:rsidR="00171824" w:rsidRDefault="006D258C">
      <w:pPr>
        <w:widowControl/>
        <w:kinsoku w:val="0"/>
        <w:overflowPunct w:val="0"/>
        <w:rPr>
          <w:color w:val="000000"/>
          <w:sz w:val="22"/>
          <w:szCs w:val="22"/>
          <w:lang w:val="el-GR" w:eastAsia="ja-JP"/>
        </w:rPr>
      </w:pPr>
      <w:r>
        <w:rPr>
          <w:color w:val="000000"/>
          <w:sz w:val="22"/>
          <w:szCs w:val="22"/>
          <w:lang w:val="el-GR" w:eastAsia="ja-JP"/>
        </w:rPr>
        <w:t>Οι ασθενείς που γίνονται 18 ετών ενώ λαμβάνουν 80 mg κάθε δεύτερη εβδομάδα θα πρέπει να συνεχίζουν τη συνιστώμενη δόση τους.</w:t>
      </w:r>
    </w:p>
    <w:p w14:paraId="5D315F15" w14:textId="77777777" w:rsidR="00171824" w:rsidRDefault="00171824">
      <w:pPr>
        <w:pStyle w:val="BodyText"/>
        <w:widowControl/>
        <w:kinsoku w:val="0"/>
        <w:overflowPunct w:val="0"/>
        <w:ind w:left="0"/>
        <w:rPr>
          <w:u w:val="single"/>
          <w:lang w:val="el-GR"/>
        </w:rPr>
      </w:pPr>
    </w:p>
    <w:p w14:paraId="4A198F0E" w14:textId="77777777" w:rsidR="00171824" w:rsidRDefault="006D258C">
      <w:pPr>
        <w:pStyle w:val="BodyText"/>
        <w:widowControl/>
        <w:kinsoku w:val="0"/>
        <w:overflowPunct w:val="0"/>
        <w:ind w:left="0"/>
        <w:rPr>
          <w:lang w:val="el-GR"/>
        </w:rPr>
      </w:pPr>
      <w:r>
        <w:rPr>
          <w:u w:val="single"/>
          <w:lang w:val="el-GR"/>
        </w:rPr>
        <w:t>Ενήλικες με μη-λοιμώδη ραγοειδίτιδα</w:t>
      </w:r>
    </w:p>
    <w:p w14:paraId="5191F18A" w14:textId="77777777" w:rsidR="00171824" w:rsidRDefault="00171824">
      <w:pPr>
        <w:widowControl/>
        <w:kinsoku w:val="0"/>
        <w:overflowPunct w:val="0"/>
        <w:rPr>
          <w:sz w:val="22"/>
          <w:szCs w:val="22"/>
          <w:lang w:val="el-GR"/>
        </w:rPr>
      </w:pPr>
    </w:p>
    <w:p w14:paraId="66EC12B9" w14:textId="77777777" w:rsidR="00171824" w:rsidRDefault="006D258C">
      <w:pPr>
        <w:pStyle w:val="BodyText"/>
        <w:widowControl/>
        <w:kinsoku w:val="0"/>
        <w:overflowPunct w:val="0"/>
        <w:ind w:left="0"/>
        <w:rPr>
          <w:lang w:val="el-GR"/>
        </w:rPr>
      </w:pPr>
      <w:r>
        <w:rPr>
          <w:lang w:val="el-GR"/>
        </w:rPr>
        <w:t>Η συνήθης δόση για ενήλικες με μη-λοιμώδη ραγοειδίτιδα είναι μία αρχική δόση 80 mg ( ως δύο ενέσεις 40 mg σε μία μέρα), ακολουθούμενη από 40 mg κάθε δεύτερη εβδομάδα, αρχίζοντας μία εβδομάδα μετά την αρχική δόση. Πρέπει να συνεχίσετε τις ενέσεις AMGEVITA για όσο διάστημα σας έχει υποδείξει ο γιατρός σας.</w:t>
      </w:r>
    </w:p>
    <w:p w14:paraId="09972A03" w14:textId="77777777" w:rsidR="00171824" w:rsidRDefault="00171824">
      <w:pPr>
        <w:widowControl/>
        <w:kinsoku w:val="0"/>
        <w:overflowPunct w:val="0"/>
        <w:rPr>
          <w:sz w:val="22"/>
          <w:szCs w:val="22"/>
          <w:lang w:val="el-GR"/>
        </w:rPr>
      </w:pPr>
    </w:p>
    <w:p w14:paraId="073370A9" w14:textId="77777777" w:rsidR="00171824" w:rsidRDefault="006D258C">
      <w:pPr>
        <w:pStyle w:val="BodyText"/>
        <w:widowControl/>
        <w:kinsoku w:val="0"/>
        <w:overflowPunct w:val="0"/>
        <w:ind w:left="0"/>
        <w:rPr>
          <w:lang w:val="el-GR"/>
        </w:rPr>
      </w:pPr>
      <w:r>
        <w:rPr>
          <w:lang w:val="el-GR"/>
        </w:rPr>
        <w:t>Στη μη-λοιμώδη ραγοειδίτιδα, τα κορτικοστεροειδή ή άλλα φάρμακα που επηρεάζουν το ανοσοποιητικό σύστημα μπορεί να συνεχίζονται όταν λαμβάνετε AMGEVITA. Το AMGEVITA μπορεί επίσης να χορηγηθεί μόνο του.</w:t>
      </w:r>
    </w:p>
    <w:p w14:paraId="5B75C661" w14:textId="77777777" w:rsidR="00171824" w:rsidRDefault="00171824">
      <w:pPr>
        <w:widowControl/>
        <w:kinsoku w:val="0"/>
        <w:overflowPunct w:val="0"/>
        <w:rPr>
          <w:sz w:val="22"/>
          <w:szCs w:val="22"/>
          <w:lang w:val="el-GR"/>
        </w:rPr>
      </w:pPr>
    </w:p>
    <w:p w14:paraId="50485FEA" w14:textId="77777777" w:rsidR="00171824" w:rsidRDefault="006D258C">
      <w:pPr>
        <w:numPr>
          <w:ilvl w:val="12"/>
          <w:numId w:val="0"/>
        </w:numPr>
        <w:tabs>
          <w:tab w:val="left" w:pos="708"/>
        </w:tabs>
        <w:ind w:right="-2"/>
        <w:rPr>
          <w:sz w:val="22"/>
          <w:szCs w:val="22"/>
          <w:u w:val="single"/>
          <w:lang w:val="el-GR"/>
        </w:rPr>
      </w:pPr>
      <w:r>
        <w:rPr>
          <w:sz w:val="22"/>
          <w:szCs w:val="22"/>
          <w:u w:val="single"/>
          <w:lang w:val="el-GR"/>
        </w:rPr>
        <w:t>Παιδιά και έφηβοι με χρόνια μη-λοιμώδη ραγοειδίτιδα από την ηλικία των 2 ετών</w:t>
      </w:r>
    </w:p>
    <w:p w14:paraId="03946456" w14:textId="77777777" w:rsidR="00171824" w:rsidRDefault="00171824">
      <w:pPr>
        <w:numPr>
          <w:ilvl w:val="12"/>
          <w:numId w:val="0"/>
        </w:numPr>
        <w:tabs>
          <w:tab w:val="left" w:pos="708"/>
        </w:tabs>
        <w:ind w:right="-2"/>
        <w:rPr>
          <w:sz w:val="22"/>
          <w:szCs w:val="22"/>
          <w:lang w:val="el-GR"/>
        </w:rPr>
      </w:pPr>
    </w:p>
    <w:p w14:paraId="6ED9DFED" w14:textId="77777777" w:rsidR="00171824" w:rsidRDefault="006D258C">
      <w:pPr>
        <w:numPr>
          <w:ilvl w:val="12"/>
          <w:numId w:val="0"/>
        </w:numPr>
        <w:tabs>
          <w:tab w:val="left" w:pos="708"/>
        </w:tabs>
        <w:ind w:right="-2"/>
        <w:rPr>
          <w:i/>
          <w:sz w:val="22"/>
          <w:szCs w:val="22"/>
          <w:lang w:val="el-GR"/>
        </w:rPr>
      </w:pPr>
      <w:r>
        <w:rPr>
          <w:i/>
          <w:sz w:val="22"/>
          <w:szCs w:val="22"/>
          <w:lang w:val="el-GR"/>
        </w:rPr>
        <w:t>Παιδιά και έφηβοι 2 ετών και άνω με βάρος λιγότερο από 30 kg:</w:t>
      </w:r>
    </w:p>
    <w:p w14:paraId="37707924" w14:textId="77777777" w:rsidR="00171824" w:rsidRDefault="00171824">
      <w:pPr>
        <w:numPr>
          <w:ilvl w:val="12"/>
          <w:numId w:val="0"/>
        </w:numPr>
        <w:tabs>
          <w:tab w:val="left" w:pos="708"/>
        </w:tabs>
        <w:ind w:right="-2"/>
        <w:rPr>
          <w:sz w:val="22"/>
          <w:szCs w:val="22"/>
          <w:lang w:val="el-GR"/>
        </w:rPr>
      </w:pPr>
    </w:p>
    <w:p w14:paraId="70E41F3C"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20 mg κάθε δεύτερη βδομάδα με μεθοτρεξάτη.</w:t>
      </w:r>
    </w:p>
    <w:p w14:paraId="7A8F33BC" w14:textId="77777777" w:rsidR="00171824" w:rsidRDefault="00171824">
      <w:pPr>
        <w:rPr>
          <w:sz w:val="22"/>
          <w:szCs w:val="22"/>
          <w:lang w:val="el-GR"/>
        </w:rPr>
      </w:pPr>
    </w:p>
    <w:p w14:paraId="62C0A5B6" w14:textId="77777777" w:rsidR="00171824" w:rsidRDefault="006D258C">
      <w:pPr>
        <w:rPr>
          <w:sz w:val="22"/>
          <w:szCs w:val="22"/>
          <w:lang w:val="el-GR"/>
        </w:rPr>
      </w:pPr>
      <w:r>
        <w:rPr>
          <w:sz w:val="22"/>
          <w:szCs w:val="22"/>
          <w:lang w:val="el-GR"/>
        </w:rPr>
        <w:t>Ο γιατρός του παιδιού σας μπορεί επίσης να συνταγογραφήσει μία αρχική δόση των 40 mg η οποία μπορεί να χορηγηθεί μία εβδομάδα πριν την έναρξη της συνήθους δόσης.</w:t>
      </w:r>
    </w:p>
    <w:p w14:paraId="13A21F0C" w14:textId="77777777" w:rsidR="00171824" w:rsidRDefault="00171824">
      <w:pPr>
        <w:rPr>
          <w:sz w:val="22"/>
          <w:szCs w:val="22"/>
          <w:lang w:val="el-GR"/>
        </w:rPr>
      </w:pPr>
    </w:p>
    <w:p w14:paraId="4D8DC05D" w14:textId="77777777" w:rsidR="00171824" w:rsidRDefault="006D258C">
      <w:pPr>
        <w:keepNext/>
        <w:widowControl/>
        <w:rPr>
          <w:i/>
          <w:sz w:val="22"/>
          <w:szCs w:val="22"/>
          <w:lang w:val="el-GR"/>
        </w:rPr>
      </w:pPr>
      <w:r>
        <w:rPr>
          <w:i/>
          <w:sz w:val="22"/>
          <w:szCs w:val="22"/>
          <w:lang w:val="el-GR"/>
        </w:rPr>
        <w:t>Παιδιά και έφηβοι 2 ετών και άνω με βάρος 30 kg ή περισσότερο:</w:t>
      </w:r>
    </w:p>
    <w:p w14:paraId="521981AE" w14:textId="77777777" w:rsidR="00171824" w:rsidRDefault="00171824">
      <w:pPr>
        <w:keepNext/>
        <w:widowControl/>
        <w:rPr>
          <w:sz w:val="22"/>
          <w:szCs w:val="22"/>
          <w:lang w:val="el-GR"/>
        </w:rPr>
      </w:pPr>
    </w:p>
    <w:p w14:paraId="3790DE82"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40 mg κάθε δεύτερη βδομάδα με μεθοτρεξάτη.</w:t>
      </w:r>
    </w:p>
    <w:p w14:paraId="4BB4E317" w14:textId="77777777" w:rsidR="00171824" w:rsidRDefault="00171824">
      <w:pPr>
        <w:rPr>
          <w:sz w:val="22"/>
          <w:szCs w:val="22"/>
          <w:lang w:val="el-GR"/>
        </w:rPr>
      </w:pPr>
    </w:p>
    <w:p w14:paraId="7578B63B" w14:textId="77777777" w:rsidR="00171824" w:rsidRDefault="006D258C">
      <w:pPr>
        <w:keepNext/>
        <w:keepLines/>
        <w:rPr>
          <w:sz w:val="22"/>
          <w:szCs w:val="22"/>
          <w:lang w:val="el-GR"/>
        </w:rPr>
      </w:pPr>
      <w:r>
        <w:rPr>
          <w:sz w:val="22"/>
          <w:szCs w:val="22"/>
          <w:lang w:val="el-GR"/>
        </w:rPr>
        <w:t>Ο γιατρός του παιδιού σας μπορεί επίσης να συνταγογραφήσει μία αρχική δόση των 80 mg η οποία μπορεί να χορηγηθεί μία εβδομάδα πριν την έναρξη της συνήθους δόσης.</w:t>
      </w:r>
    </w:p>
    <w:p w14:paraId="32F3DD36" w14:textId="77777777" w:rsidR="00171824" w:rsidRDefault="00171824">
      <w:pPr>
        <w:widowControl/>
        <w:kinsoku w:val="0"/>
        <w:overflowPunct w:val="0"/>
        <w:rPr>
          <w:sz w:val="22"/>
          <w:szCs w:val="22"/>
          <w:lang w:val="el-GR"/>
        </w:rPr>
      </w:pPr>
    </w:p>
    <w:p w14:paraId="507A2A1F" w14:textId="77777777" w:rsidR="00171824" w:rsidRDefault="006D258C">
      <w:pPr>
        <w:pStyle w:val="Heading1"/>
        <w:widowControl/>
        <w:kinsoku w:val="0"/>
        <w:overflowPunct w:val="0"/>
        <w:ind w:left="0"/>
        <w:rPr>
          <w:b w:val="0"/>
          <w:bCs w:val="0"/>
          <w:lang w:val="el-GR"/>
        </w:rPr>
      </w:pPr>
      <w:r>
        <w:rPr>
          <w:lang w:val="el-GR"/>
        </w:rPr>
        <w:t>Τρόπος και οδός χορήγησης</w:t>
      </w:r>
    </w:p>
    <w:p w14:paraId="79AEC85E" w14:textId="77777777" w:rsidR="00171824" w:rsidRDefault="00171824">
      <w:pPr>
        <w:widowControl/>
        <w:kinsoku w:val="0"/>
        <w:overflowPunct w:val="0"/>
        <w:rPr>
          <w:sz w:val="22"/>
          <w:szCs w:val="22"/>
          <w:lang w:val="el-GR"/>
        </w:rPr>
      </w:pPr>
    </w:p>
    <w:p w14:paraId="4149A793" w14:textId="77777777" w:rsidR="00171824" w:rsidRDefault="006D258C">
      <w:pPr>
        <w:pStyle w:val="BodyText"/>
        <w:widowControl/>
        <w:kinsoku w:val="0"/>
        <w:overflowPunct w:val="0"/>
        <w:ind w:left="0"/>
        <w:rPr>
          <w:lang w:val="el-GR"/>
        </w:rPr>
      </w:pPr>
      <w:r>
        <w:rPr>
          <w:lang w:val="el-GR"/>
        </w:rPr>
        <w:t>Το AMGEVITA χορηγείται με ένεση κάτω από το δέρμα (υποδόρια ένεση).</w:t>
      </w:r>
    </w:p>
    <w:p w14:paraId="41AE7BC2" w14:textId="77777777" w:rsidR="00171824" w:rsidRDefault="00171824">
      <w:pPr>
        <w:widowControl/>
        <w:kinsoku w:val="0"/>
        <w:overflowPunct w:val="0"/>
        <w:rPr>
          <w:sz w:val="22"/>
          <w:szCs w:val="22"/>
          <w:lang w:val="el-GR"/>
        </w:rPr>
      </w:pPr>
    </w:p>
    <w:p w14:paraId="5DCE94A5" w14:textId="77777777" w:rsidR="00171824" w:rsidRDefault="006D258C">
      <w:pPr>
        <w:widowControl/>
        <w:kinsoku w:val="0"/>
        <w:overflowPunct w:val="0"/>
        <w:rPr>
          <w:sz w:val="22"/>
          <w:szCs w:val="22"/>
          <w:lang w:val="el-GR"/>
        </w:rPr>
      </w:pPr>
      <w:r>
        <w:rPr>
          <w:sz w:val="22"/>
          <w:szCs w:val="22"/>
          <w:lang w:val="el-GR"/>
        </w:rPr>
        <w:t xml:space="preserve">Λεπτομερείς οδηγίες σχετικά με τον τρόπο που πρέπει να κάνετε την ένεση του AMGEVITA παρέχονται στην παράγραφο «Οδηγίες χρήσης». </w:t>
      </w:r>
    </w:p>
    <w:p w14:paraId="59296F9B" w14:textId="77777777" w:rsidR="00171824" w:rsidRDefault="00171824">
      <w:pPr>
        <w:widowControl/>
        <w:kinsoku w:val="0"/>
        <w:overflowPunct w:val="0"/>
        <w:rPr>
          <w:sz w:val="22"/>
          <w:szCs w:val="22"/>
          <w:lang w:val="el-GR"/>
        </w:rPr>
      </w:pPr>
    </w:p>
    <w:p w14:paraId="25AB7C34" w14:textId="77777777" w:rsidR="00171824" w:rsidRDefault="006D258C">
      <w:pPr>
        <w:pStyle w:val="Heading1"/>
        <w:widowControl/>
        <w:kinsoku w:val="0"/>
        <w:overflowPunct w:val="0"/>
        <w:ind w:left="0"/>
        <w:rPr>
          <w:b w:val="0"/>
          <w:bCs w:val="0"/>
          <w:lang w:val="el-GR"/>
        </w:rPr>
      </w:pPr>
      <w:r>
        <w:rPr>
          <w:lang w:val="el-GR"/>
        </w:rPr>
        <w:t>Εάν χρησιμοποιήσετε μεγαλύτερη δόση AMGEVITA από την κανονική:</w:t>
      </w:r>
    </w:p>
    <w:p w14:paraId="3EC8AA23" w14:textId="77777777" w:rsidR="00171824" w:rsidRDefault="00171824">
      <w:pPr>
        <w:widowControl/>
        <w:kinsoku w:val="0"/>
        <w:overflowPunct w:val="0"/>
        <w:rPr>
          <w:sz w:val="22"/>
          <w:szCs w:val="22"/>
          <w:lang w:val="el-GR"/>
        </w:rPr>
      </w:pPr>
    </w:p>
    <w:p w14:paraId="3333D2FD" w14:textId="77777777" w:rsidR="00171824" w:rsidRDefault="006D258C">
      <w:pPr>
        <w:pStyle w:val="BodyText"/>
        <w:widowControl/>
        <w:kinsoku w:val="0"/>
        <w:overflowPunct w:val="0"/>
        <w:ind w:left="0"/>
        <w:rPr>
          <w:lang w:val="el-GR"/>
        </w:rPr>
      </w:pPr>
      <w:r>
        <w:rPr>
          <w:lang w:val="el-GR"/>
        </w:rPr>
        <w:t>Εάν κατά λάθος κάνετε την ένεση του AMGEVITA πιο συχνά από ό,τι σας είπε ο/η γιατρός ή ο φαρμακοποιός σας, καλέσετε τον γιατρό ή τον φαρμακοποιός σας και να του/της πείτε ότι πήρατε μεγαλύτερη δόση. Θα πρέπει να έχετε πάντοτε την εξωτερική συσκευασία αυτού του φαρμάκου μαζί σας, ακόμη και όταν είναι άδεια.</w:t>
      </w:r>
    </w:p>
    <w:p w14:paraId="6631F851" w14:textId="77777777" w:rsidR="00171824" w:rsidRDefault="00171824">
      <w:pPr>
        <w:widowControl/>
        <w:kinsoku w:val="0"/>
        <w:overflowPunct w:val="0"/>
        <w:rPr>
          <w:sz w:val="22"/>
          <w:szCs w:val="22"/>
          <w:lang w:val="el-GR"/>
        </w:rPr>
      </w:pPr>
    </w:p>
    <w:p w14:paraId="26103569" w14:textId="77777777" w:rsidR="00171824" w:rsidRDefault="006D258C">
      <w:pPr>
        <w:pStyle w:val="Heading1"/>
        <w:widowControl/>
        <w:kinsoku w:val="0"/>
        <w:overflowPunct w:val="0"/>
        <w:ind w:left="0"/>
        <w:rPr>
          <w:b w:val="0"/>
          <w:bCs w:val="0"/>
          <w:lang w:val="el-GR"/>
        </w:rPr>
      </w:pPr>
      <w:r>
        <w:rPr>
          <w:lang w:val="el-GR"/>
        </w:rPr>
        <w:t>Εάν ξεχάσετε να χρησιμοποιήσετε το AMGEVITA:</w:t>
      </w:r>
    </w:p>
    <w:p w14:paraId="56DDCBE5" w14:textId="77777777" w:rsidR="00171824" w:rsidRDefault="00171824">
      <w:pPr>
        <w:widowControl/>
        <w:kinsoku w:val="0"/>
        <w:overflowPunct w:val="0"/>
        <w:rPr>
          <w:sz w:val="22"/>
          <w:szCs w:val="22"/>
          <w:lang w:val="el-GR"/>
        </w:rPr>
      </w:pPr>
    </w:p>
    <w:p w14:paraId="15E3E65D" w14:textId="77777777" w:rsidR="00171824" w:rsidRDefault="006D258C">
      <w:pPr>
        <w:pStyle w:val="BodyText"/>
        <w:widowControl/>
        <w:kinsoku w:val="0"/>
        <w:overflowPunct w:val="0"/>
        <w:ind w:left="0"/>
        <w:rPr>
          <w:lang w:val="el-GR"/>
        </w:rPr>
      </w:pPr>
      <w:r>
        <w:rPr>
          <w:lang w:val="el-GR"/>
        </w:rPr>
        <w:t>Εάν ξεχάσετε να κάνετε την ένεση, θα πρέπει να κάνετε την επόμενη δόση της ένεσης του AMGEVITA αμέσως μόλις το θυμηθείτε. Κατόπιν θα συνεχίσετε την επόμενη δόση την ημέρα που είχε αρχικά προγραμματισθεί, εάν δεν είχατε ξεχάσει τη δόση.</w:t>
      </w:r>
    </w:p>
    <w:p w14:paraId="63092CEA" w14:textId="77777777" w:rsidR="00171824" w:rsidRDefault="00171824">
      <w:pPr>
        <w:widowControl/>
        <w:kinsoku w:val="0"/>
        <w:overflowPunct w:val="0"/>
        <w:rPr>
          <w:sz w:val="22"/>
          <w:szCs w:val="22"/>
          <w:lang w:val="el-GR"/>
        </w:rPr>
      </w:pPr>
    </w:p>
    <w:p w14:paraId="720CF083" w14:textId="77777777" w:rsidR="00171824" w:rsidRDefault="006D258C">
      <w:pPr>
        <w:pStyle w:val="Heading1"/>
        <w:keepNext/>
        <w:widowControl/>
        <w:kinsoku w:val="0"/>
        <w:overflowPunct w:val="0"/>
        <w:ind w:left="0"/>
        <w:rPr>
          <w:b w:val="0"/>
          <w:bCs w:val="0"/>
          <w:lang w:val="el-GR"/>
        </w:rPr>
      </w:pPr>
      <w:r>
        <w:rPr>
          <w:lang w:val="el-GR"/>
        </w:rPr>
        <w:t>Εάν σταματήσετε να χρησιμοποιείτε το AMGEVITA:</w:t>
      </w:r>
    </w:p>
    <w:p w14:paraId="7573B3D1" w14:textId="77777777" w:rsidR="00171824" w:rsidRDefault="00171824">
      <w:pPr>
        <w:keepNext/>
        <w:widowControl/>
        <w:kinsoku w:val="0"/>
        <w:overflowPunct w:val="0"/>
        <w:rPr>
          <w:sz w:val="22"/>
          <w:szCs w:val="22"/>
          <w:lang w:val="el-GR"/>
        </w:rPr>
      </w:pPr>
    </w:p>
    <w:p w14:paraId="72C65E38" w14:textId="77777777" w:rsidR="00171824" w:rsidRDefault="006D258C">
      <w:pPr>
        <w:pStyle w:val="BodyText"/>
        <w:widowControl/>
        <w:kinsoku w:val="0"/>
        <w:overflowPunct w:val="0"/>
        <w:ind w:left="0"/>
        <w:rPr>
          <w:lang w:val="el-GR"/>
        </w:rPr>
      </w:pPr>
      <w:r>
        <w:rPr>
          <w:lang w:val="el-GR"/>
        </w:rPr>
        <w:t>Η απόφαση να σταματήσετε να χρησιμοποιείτε το AMGEVITA θα πρέπει να συζητηθεί με τον γιατρό σας. Τα συμπτώματά σας μπορεί να επανέλθουν μετά την διακοπή.</w:t>
      </w:r>
    </w:p>
    <w:p w14:paraId="3F198FF1" w14:textId="77777777" w:rsidR="00171824" w:rsidRDefault="00171824">
      <w:pPr>
        <w:widowControl/>
        <w:kinsoku w:val="0"/>
        <w:overflowPunct w:val="0"/>
        <w:rPr>
          <w:sz w:val="22"/>
          <w:szCs w:val="22"/>
          <w:lang w:val="el-GR"/>
        </w:rPr>
      </w:pPr>
    </w:p>
    <w:p w14:paraId="52B3E54B" w14:textId="77777777" w:rsidR="00171824" w:rsidRDefault="006D258C">
      <w:pPr>
        <w:pStyle w:val="BodyText"/>
        <w:widowControl/>
        <w:kinsoku w:val="0"/>
        <w:overflowPunct w:val="0"/>
        <w:ind w:left="0"/>
        <w:rPr>
          <w:lang w:val="el-GR"/>
        </w:rPr>
      </w:pPr>
      <w:r>
        <w:rPr>
          <w:lang w:val="el-GR"/>
        </w:rPr>
        <w:t>Εάν έχετε περισσότερες ερωτήσεις σχετικά με τη χρήση αυτού του φαρμάκου ρωτήστε τον γιατρό ή τον φαρμακοποιό σας.</w:t>
      </w:r>
    </w:p>
    <w:p w14:paraId="5A7058CB" w14:textId="77777777" w:rsidR="00171824" w:rsidRDefault="00171824">
      <w:pPr>
        <w:widowControl/>
        <w:kinsoku w:val="0"/>
        <w:overflowPunct w:val="0"/>
        <w:rPr>
          <w:sz w:val="22"/>
          <w:szCs w:val="22"/>
          <w:lang w:val="el-GR"/>
        </w:rPr>
      </w:pPr>
    </w:p>
    <w:p w14:paraId="230B48D4" w14:textId="77777777" w:rsidR="00171824" w:rsidRDefault="00171824">
      <w:pPr>
        <w:widowControl/>
        <w:kinsoku w:val="0"/>
        <w:overflowPunct w:val="0"/>
        <w:rPr>
          <w:sz w:val="22"/>
          <w:szCs w:val="22"/>
          <w:lang w:val="el-GR"/>
        </w:rPr>
      </w:pPr>
    </w:p>
    <w:p w14:paraId="02F5A1C5" w14:textId="77777777" w:rsidR="00171824" w:rsidRDefault="006D258C">
      <w:pPr>
        <w:pStyle w:val="Heading1"/>
        <w:widowControl/>
        <w:numPr>
          <w:ilvl w:val="0"/>
          <w:numId w:val="22"/>
        </w:numPr>
        <w:kinsoku w:val="0"/>
        <w:overflowPunct w:val="0"/>
        <w:ind w:left="567"/>
        <w:rPr>
          <w:b w:val="0"/>
          <w:bCs w:val="0"/>
          <w:lang w:val="el-GR"/>
        </w:rPr>
      </w:pPr>
      <w:r>
        <w:rPr>
          <w:lang w:val="el-GR"/>
        </w:rPr>
        <w:t>Πιθανές ανεπιθύμητες ενέργειες</w:t>
      </w:r>
    </w:p>
    <w:p w14:paraId="244BB140" w14:textId="77777777" w:rsidR="00171824" w:rsidRDefault="00171824">
      <w:pPr>
        <w:widowControl/>
        <w:kinsoku w:val="0"/>
        <w:overflowPunct w:val="0"/>
        <w:rPr>
          <w:sz w:val="22"/>
          <w:szCs w:val="22"/>
          <w:lang w:val="el-GR"/>
        </w:rPr>
      </w:pPr>
    </w:p>
    <w:p w14:paraId="06DB9DF3" w14:textId="77777777" w:rsidR="00171824" w:rsidRDefault="006D258C">
      <w:pPr>
        <w:pStyle w:val="BodyText"/>
        <w:widowControl/>
        <w:kinsoku w:val="0"/>
        <w:overflowPunct w:val="0"/>
        <w:ind w:left="0"/>
        <w:rPr>
          <w:lang w:val="el-GR"/>
        </w:rPr>
      </w:pPr>
      <w:r>
        <w:rPr>
          <w:lang w:val="el-GR"/>
        </w:rPr>
        <w:t>Όπως όλα τα φάρμακα, έτσι και αυτό το φάρμακο μπορεί να προκαλέσει ανεπιθύμητες ενέργειες, αν και δεν παρουσιάζονται σε όλους τους ανθρώπους. Οι περισσότερες ανεπιθύμητες ενέργειες είναι ελαφρές έως μέτριες. Όμως κάποιες μπορεί να είναι σοβαρές και να απαιτούν θεραπεία. Ανεπιθύμητες ενέργειες μπορεί να εμφανιστούν το λιγότερο μέσα σε διάστημα 4 μηνών μετά την τελευταία ένεση AMGEVITA.</w:t>
      </w:r>
    </w:p>
    <w:p w14:paraId="32473883" w14:textId="77777777" w:rsidR="00171824" w:rsidRDefault="00171824">
      <w:pPr>
        <w:widowControl/>
        <w:kinsoku w:val="0"/>
        <w:overflowPunct w:val="0"/>
        <w:rPr>
          <w:sz w:val="22"/>
          <w:szCs w:val="22"/>
          <w:lang w:val="el-GR"/>
        </w:rPr>
      </w:pPr>
    </w:p>
    <w:p w14:paraId="714FCD22" w14:textId="77777777" w:rsidR="00171824" w:rsidRDefault="006D258C">
      <w:pPr>
        <w:pStyle w:val="BodyText"/>
        <w:widowControl/>
        <w:kinsoku w:val="0"/>
        <w:overflowPunct w:val="0"/>
        <w:ind w:left="0"/>
        <w:rPr>
          <w:lang w:val="el-GR"/>
        </w:rPr>
      </w:pPr>
      <w:r>
        <w:rPr>
          <w:lang w:val="el-GR"/>
        </w:rPr>
        <w:t>Ενημερώστε αμέσως τον γιατρό σας εάν παρατηρήσετε κάποιο από τα ακόλουθα σημεία αλλεργικής αντίδρασης ή καρδιακής ανεπάρκειας:</w:t>
      </w:r>
    </w:p>
    <w:p w14:paraId="1D7D7F8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Σοβαρό εξάνθημα, κνίδωση ή άλλα σημεία αλλεργικής αντίδρασης,</w:t>
      </w:r>
    </w:p>
    <w:p w14:paraId="7291059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Οίδημα προσώπου, χεριών και ποδιών,</w:t>
      </w:r>
    </w:p>
    <w:p w14:paraId="408FBB7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Αναπνευστικό πρόβλημα, δυσκολία κατάποσης,</w:t>
      </w:r>
    </w:p>
    <w:p w14:paraId="6517567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Δυσκολία αναπνοής κατά την προσπάθεια ή κατά την κατάκλιση ή οίδημα στα πόδια.</w:t>
      </w:r>
    </w:p>
    <w:p w14:paraId="4B5BE5D9" w14:textId="77777777" w:rsidR="00171824" w:rsidRDefault="00171824">
      <w:pPr>
        <w:widowControl/>
        <w:kinsoku w:val="0"/>
        <w:overflowPunct w:val="0"/>
        <w:rPr>
          <w:sz w:val="22"/>
          <w:szCs w:val="22"/>
          <w:lang w:val="el-GR"/>
        </w:rPr>
      </w:pPr>
    </w:p>
    <w:p w14:paraId="1F8D8389" w14:textId="77777777" w:rsidR="00171824" w:rsidRDefault="006D258C">
      <w:pPr>
        <w:pStyle w:val="BodyText"/>
        <w:keepNext/>
        <w:keepLines/>
        <w:widowControl/>
        <w:kinsoku w:val="0"/>
        <w:overflowPunct w:val="0"/>
        <w:ind w:left="0"/>
        <w:rPr>
          <w:lang w:val="el-GR"/>
        </w:rPr>
      </w:pPr>
      <w:r>
        <w:rPr>
          <w:lang w:val="el-GR"/>
        </w:rPr>
        <w:lastRenderedPageBreak/>
        <w:t>Ενημερώστε αμέσως τον γιατρό σας εάν παρατηρήσετε κάποιο από τα ακόλουθα:</w:t>
      </w:r>
    </w:p>
    <w:p w14:paraId="12FBE01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Σημεία λοίμωξης, όπως πυρετός, αίσθημα ασθένειας, πληγές, οδοντικά προβλήματα, αίσθηση καύσου κατά την ούρηση,</w:t>
      </w:r>
    </w:p>
    <w:p w14:paraId="63D154A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Αίσθημα αδυναμίας ή κόπωσης,</w:t>
      </w:r>
    </w:p>
    <w:p w14:paraId="70A8A91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Βήχα,</w:t>
      </w:r>
    </w:p>
    <w:p w14:paraId="116C845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Κνησμό,</w:t>
      </w:r>
    </w:p>
    <w:p w14:paraId="0B1DF07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Μούδιασμα,</w:t>
      </w:r>
    </w:p>
    <w:p w14:paraId="169F16E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Διπλή όραση,</w:t>
      </w:r>
    </w:p>
    <w:p w14:paraId="703E06D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Αδυναμία χεριών ή ποδιών,</w:t>
      </w:r>
    </w:p>
    <w:p w14:paraId="169A248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Σημεία καρκίνου του δέρματος όπως τοπικό πρήξιμο, ή ανοιχτό έλκος το οποίο δε θεραπεύεται,</w:t>
      </w:r>
    </w:p>
    <w:p w14:paraId="32790E2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Σημεία και συμπτώματα ύποπτα για αιματολογικές διαταραχές, όπως παρατεινόμενος πυρετός, μώλωπες, αιμορραγία, ωχρότητα.</w:t>
      </w:r>
    </w:p>
    <w:p w14:paraId="69212C09" w14:textId="77777777" w:rsidR="00171824" w:rsidRDefault="00171824">
      <w:pPr>
        <w:widowControl/>
        <w:kinsoku w:val="0"/>
        <w:overflowPunct w:val="0"/>
        <w:rPr>
          <w:sz w:val="22"/>
          <w:szCs w:val="22"/>
          <w:lang w:val="el-GR"/>
        </w:rPr>
      </w:pPr>
    </w:p>
    <w:p w14:paraId="38A339C0" w14:textId="77777777" w:rsidR="00171824" w:rsidRDefault="006D258C">
      <w:pPr>
        <w:pStyle w:val="BodyText"/>
        <w:widowControl/>
        <w:kinsoku w:val="0"/>
        <w:overflowPunct w:val="0"/>
        <w:ind w:left="0"/>
        <w:rPr>
          <w:lang w:val="el-GR"/>
        </w:rPr>
      </w:pPr>
      <w:r>
        <w:rPr>
          <w:lang w:val="el-GR"/>
        </w:rPr>
        <w:t>Τα παραπάνω συμπτώματα μπορεί να αποτελούν ένδειξη για τις ακόλουθες ανεπιθύμητες ενέργειες, οι οποίες έχουν παρατηρηθεί με το adalimumab.</w:t>
      </w:r>
    </w:p>
    <w:p w14:paraId="68EB447A" w14:textId="77777777" w:rsidR="00171824" w:rsidRDefault="00171824">
      <w:pPr>
        <w:widowControl/>
        <w:kinsoku w:val="0"/>
        <w:overflowPunct w:val="0"/>
        <w:rPr>
          <w:sz w:val="22"/>
          <w:szCs w:val="22"/>
          <w:lang w:val="el-GR"/>
        </w:rPr>
      </w:pPr>
    </w:p>
    <w:p w14:paraId="24AEF256" w14:textId="77777777" w:rsidR="00171824" w:rsidRDefault="006D258C">
      <w:pPr>
        <w:pStyle w:val="BodyText"/>
        <w:widowControl/>
        <w:kinsoku w:val="0"/>
        <w:overflowPunct w:val="0"/>
        <w:ind w:left="0"/>
        <w:rPr>
          <w:lang w:val="el-GR"/>
        </w:rPr>
      </w:pPr>
      <w:r>
        <w:rPr>
          <w:lang w:val="el-GR"/>
        </w:rPr>
        <w:t xml:space="preserve">Πολύ συχνές </w:t>
      </w:r>
      <w:r>
        <w:rPr>
          <w:b/>
          <w:lang w:val="el-GR"/>
        </w:rPr>
        <w:t>(</w:t>
      </w:r>
      <w:r>
        <w:rPr>
          <w:lang w:val="el-GR"/>
        </w:rPr>
        <w:t>μπορεί να επηρεάσουν περισσότερους από 1 στους 10 ανθρώπους)</w:t>
      </w:r>
    </w:p>
    <w:p w14:paraId="669383F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αντιδράσεις της θέσης ένεσης (που συμπεριλαμβάνουν άλγος, οίδημα, ερυθρότητα ή κνησμό),</w:t>
      </w:r>
    </w:p>
    <w:p w14:paraId="44397EF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αναπνευστικού συστήματος (συμπεριλαμβάνεται κρυολόγημα, καταρροή, ιγμορίτιδα, πνευμονία),</w:t>
      </w:r>
    </w:p>
    <w:p w14:paraId="6CC83EA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πονοκέφαλος,</w:t>
      </w:r>
    </w:p>
    <w:p w14:paraId="5917F7E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πόνος στην κοιλιά,</w:t>
      </w:r>
    </w:p>
    <w:p w14:paraId="078E99D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ναυτία και έμετος,</w:t>
      </w:r>
    </w:p>
    <w:p w14:paraId="04B15C3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εξάνθημα,</w:t>
      </w:r>
    </w:p>
    <w:p w14:paraId="232ACAC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μυοσκελετικός πόνος.</w:t>
      </w:r>
    </w:p>
    <w:p w14:paraId="3BB0E065" w14:textId="77777777" w:rsidR="00171824" w:rsidRDefault="00171824">
      <w:pPr>
        <w:widowControl/>
        <w:kinsoku w:val="0"/>
        <w:overflowPunct w:val="0"/>
        <w:rPr>
          <w:sz w:val="22"/>
          <w:szCs w:val="22"/>
          <w:lang w:val="el-GR"/>
        </w:rPr>
      </w:pPr>
    </w:p>
    <w:p w14:paraId="0B9D68D2" w14:textId="77777777" w:rsidR="00171824" w:rsidRDefault="006D258C">
      <w:pPr>
        <w:pStyle w:val="BodyText"/>
        <w:widowControl/>
        <w:kinsoku w:val="0"/>
        <w:overflowPunct w:val="0"/>
        <w:ind w:left="0"/>
        <w:rPr>
          <w:lang w:val="el-GR"/>
        </w:rPr>
      </w:pPr>
      <w:r>
        <w:rPr>
          <w:lang w:val="el-GR"/>
        </w:rPr>
        <w:t>Συχνές</w:t>
      </w:r>
      <w:r>
        <w:rPr>
          <w:b/>
          <w:lang w:val="el-GR"/>
        </w:rPr>
        <w:t xml:space="preserve"> </w:t>
      </w:r>
      <w:r>
        <w:rPr>
          <w:lang w:val="el-GR"/>
        </w:rPr>
        <w:t>(μπορεί να επηρεάσουν έως 1 στους 10 ανθρώπους)</w:t>
      </w:r>
    </w:p>
    <w:p w14:paraId="30CB09D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σοβαρές λοιμώξεις (συμπεριλαμβάνεται σηψαιμία και γρίπη),</w:t>
      </w:r>
    </w:p>
    <w:p w14:paraId="784671B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εντερικές λοιμώξεις (συμπεριλαμβάνεται γαστρεντερίτιδα),</w:t>
      </w:r>
    </w:p>
    <w:p w14:paraId="4185AB8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του δέρματος (συμπεριλαμβάνεται κυτταρίτιδα και έρπης),</w:t>
      </w:r>
    </w:p>
    <w:p w14:paraId="40118A3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του αυτιού,</w:t>
      </w:r>
    </w:p>
    <w:p w14:paraId="7BF15B9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στοματικές λοιμώξεις (συμπεριλαμβάνονται λοιμώξεις των δοντιών και πόνοι από κρυολόγημα),</w:t>
      </w:r>
    </w:p>
    <w:p w14:paraId="7552AAD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του αναπαραγωγικού συστήματος,</w:t>
      </w:r>
    </w:p>
    <w:p w14:paraId="7F71840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του ουροποιητικού συστήματος,</w:t>
      </w:r>
    </w:p>
    <w:p w14:paraId="40E2CCB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μυκητιασικές λοιμώξεις,</w:t>
      </w:r>
    </w:p>
    <w:p w14:paraId="57D58AE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των αρθρώσεων,</w:t>
      </w:r>
    </w:p>
    <w:p w14:paraId="363DF59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καλοήθεις όγκοι,</w:t>
      </w:r>
    </w:p>
    <w:p w14:paraId="0203748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καρκίνος δέρματος,</w:t>
      </w:r>
    </w:p>
    <w:p w14:paraId="599939C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αλλεργικές αντιδράσεις (συμπεριλαμβάνεται εποχική αλλεργία),</w:t>
      </w:r>
    </w:p>
    <w:p w14:paraId="6649602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αφυδάτωση,</w:t>
      </w:r>
    </w:p>
    <w:p w14:paraId="27F9B99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αλλαγές της διάθεσης (συμπεριλαμβάνεται κατάθλιψη),</w:t>
      </w:r>
    </w:p>
    <w:p w14:paraId="32529DE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άγχος,</w:t>
      </w:r>
    </w:p>
    <w:p w14:paraId="2680163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δυσκολίες στον ύπνο,</w:t>
      </w:r>
    </w:p>
    <w:p w14:paraId="1AE0DC0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διαταραχές της αίσθησης όπως μυρμήγκιασμα, αίσθημα τσιμπήματος ή μούδιασμα,</w:t>
      </w:r>
    </w:p>
    <w:p w14:paraId="3F66AEA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ημικρανία,</w:t>
      </w:r>
    </w:p>
    <w:p w14:paraId="6147CF0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συμπίεση νευρικής ρίζας (συμπεριλαμβάνεται πόνος χαμηλά στη μέση και πόνος στο πόδι),</w:t>
      </w:r>
    </w:p>
    <w:p w14:paraId="1ADF2C5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διαταραχές όρασης,</w:t>
      </w:r>
    </w:p>
    <w:p w14:paraId="7EB5FBA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οφθαλμική φλεγμονή,</w:t>
      </w:r>
    </w:p>
    <w:p w14:paraId="2683DF8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φλεγμονή των βλεφάρων και πρήξιμο του ματιού,</w:t>
      </w:r>
    </w:p>
    <w:p w14:paraId="2C2412B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ίλιγγος (αίσθηση ζάλης ή στροβιλισμού του δωματίου),</w:t>
      </w:r>
    </w:p>
    <w:p w14:paraId="7EEFD9C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αίσθημα γρήγορου καρδιακού παλμού,</w:t>
      </w:r>
    </w:p>
    <w:p w14:paraId="5283014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υψηλή αρτηριακή πίεση,</w:t>
      </w:r>
    </w:p>
    <w:p w14:paraId="06D429F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κοκκίνισμα,</w:t>
      </w:r>
    </w:p>
    <w:p w14:paraId="145A3B7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lastRenderedPageBreak/>
        <w:t>αιμάτωμα,</w:t>
      </w:r>
    </w:p>
    <w:p w14:paraId="64A875E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βήχας,</w:t>
      </w:r>
    </w:p>
    <w:p w14:paraId="2DBF52A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άσθμα,</w:t>
      </w:r>
    </w:p>
    <w:p w14:paraId="1FD23AD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κόψιμο της αναπνοής (δύσπνοια),</w:t>
      </w:r>
    </w:p>
    <w:p w14:paraId="5F290F9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γαστρεντερική αιμορραγία,</w:t>
      </w:r>
    </w:p>
    <w:p w14:paraId="454815D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δυσπεψία (δυσπεψία, φούσκωμα, καούρα),</w:t>
      </w:r>
    </w:p>
    <w:p w14:paraId="797B520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παλινδρόμηση,</w:t>
      </w:r>
    </w:p>
    <w:p w14:paraId="0B064D0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σύνδρομο ξηρότητας (συμπεριλαμβάνονται ξηρότητα στα μάτια και ξηροστομία),</w:t>
      </w:r>
    </w:p>
    <w:p w14:paraId="0BC5DCD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κνησμός,</w:t>
      </w:r>
    </w:p>
    <w:p w14:paraId="40B5C8A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εξάνθημα με φαγούρα,</w:t>
      </w:r>
    </w:p>
    <w:p w14:paraId="18E03A8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μώλωπες,</w:t>
      </w:r>
    </w:p>
    <w:p w14:paraId="6D32819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φλεγμονή του δέρματος (όπως έκζεμα),</w:t>
      </w:r>
    </w:p>
    <w:p w14:paraId="45A3812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σπάσιμο των νυχιών του χεριού και του ποδιού,</w:t>
      </w:r>
    </w:p>
    <w:p w14:paraId="2C9ED7F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αυξημένη εφίδρωση,</w:t>
      </w:r>
    </w:p>
    <w:p w14:paraId="64D0D36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απώλεια τριχών (αλωπεκία),</w:t>
      </w:r>
    </w:p>
    <w:p w14:paraId="3A4C30F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πρόσφατη έναρξη ή επιδείνωση των συμπτωμάτων ψωρίασης,</w:t>
      </w:r>
    </w:p>
    <w:p w14:paraId="17FEBC2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μυϊκοί σπασμοί,</w:t>
      </w:r>
    </w:p>
    <w:p w14:paraId="228446B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αιματουρία,</w:t>
      </w:r>
    </w:p>
    <w:p w14:paraId="479A60B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προβλήματα στους νεφρούς,</w:t>
      </w:r>
    </w:p>
    <w:p w14:paraId="087DB5E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πόνος στο στήθος,</w:t>
      </w:r>
    </w:p>
    <w:p w14:paraId="59B771A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οίδημα,</w:t>
      </w:r>
    </w:p>
    <w:p w14:paraId="6D90B3C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πυρετός,</w:t>
      </w:r>
    </w:p>
    <w:p w14:paraId="634D4FB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μείωση των αιμοπεταλίων του αίματος που αυξάνει τον κίνδυνο αιμορραγίας ή εμφάνισης μωλώπων,</w:t>
      </w:r>
    </w:p>
    <w:p w14:paraId="27F77CA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δυσχερής επούλωση.</w:t>
      </w:r>
    </w:p>
    <w:p w14:paraId="5C7567A8" w14:textId="77777777" w:rsidR="00171824" w:rsidRDefault="00171824">
      <w:pPr>
        <w:widowControl/>
        <w:kinsoku w:val="0"/>
        <w:overflowPunct w:val="0"/>
        <w:rPr>
          <w:sz w:val="22"/>
          <w:szCs w:val="22"/>
          <w:lang w:val="el-GR"/>
        </w:rPr>
      </w:pPr>
    </w:p>
    <w:p w14:paraId="1F168E32" w14:textId="77777777" w:rsidR="00171824" w:rsidRDefault="006D258C">
      <w:pPr>
        <w:pStyle w:val="BodyText"/>
        <w:widowControl/>
        <w:kinsoku w:val="0"/>
        <w:overflowPunct w:val="0"/>
        <w:ind w:left="0"/>
        <w:rPr>
          <w:lang w:val="el-GR"/>
        </w:rPr>
      </w:pPr>
      <w:r>
        <w:rPr>
          <w:lang w:val="el-GR"/>
        </w:rPr>
        <w:t xml:space="preserve">Όχι συχνές </w:t>
      </w:r>
      <w:r>
        <w:rPr>
          <w:b/>
          <w:lang w:val="el-GR"/>
        </w:rPr>
        <w:t>(</w:t>
      </w:r>
      <w:r>
        <w:rPr>
          <w:lang w:val="el-GR"/>
        </w:rPr>
        <w:t>μπορεί να επηρεάσουν έως 1 στους 100 ανθρώπους)</w:t>
      </w:r>
    </w:p>
    <w:p w14:paraId="3F59D8C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ευκαιριακές λοιμώξεις (που συμπεριλαμβάνουν φυματίωση και άλλες λοιμώξεις που προκύπτουν όταν μειώνεται η αντίσταση στη νόσο),</w:t>
      </w:r>
    </w:p>
    <w:p w14:paraId="74DEF2A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νευρολογικές λοιμώξεις (συμπεριλαμβάνεται ιογενής μηνιγγίτιδα),</w:t>
      </w:r>
    </w:p>
    <w:p w14:paraId="280F199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οφθαλμικές λοιμώξεις,</w:t>
      </w:r>
    </w:p>
    <w:p w14:paraId="6656006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βακτηριακές λοιμώξεις,</w:t>
      </w:r>
    </w:p>
    <w:p w14:paraId="0C59AED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εκκολπωματίτιδα (φλεγμονή και λοίμωξη του παχέος εντέρου),</w:t>
      </w:r>
    </w:p>
    <w:p w14:paraId="6794E53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καρκίνος, συμπεριλαμβανομένου του καρκίνου που επηρεάζει το λεμφικό σύστημα (λέμφωμα) και του μελανώματος (καρκίνος του δέρματος),</w:t>
      </w:r>
    </w:p>
    <w:p w14:paraId="56294B0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διαταραχές του ανοσοποιητικού συστήματος που μπορεί να επηρεάσουν τους πνεύμονες, το δέρμα και τους λεμφαδένες (παρουσιάζονται συνηθέστερα ως σαρκοείδωση),</w:t>
      </w:r>
    </w:p>
    <w:p w14:paraId="093087F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αγγειίτιδα (φλεγμονή αιμοφόρων αγγείων),</w:t>
      </w:r>
    </w:p>
    <w:p w14:paraId="25DDC81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τρόμος,</w:t>
      </w:r>
    </w:p>
    <w:p w14:paraId="485198E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νευροπάθεια,</w:t>
      </w:r>
    </w:p>
    <w:p w14:paraId="7D64D15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εγκεφαλικό επεισόδιο,</w:t>
      </w:r>
    </w:p>
    <w:p w14:paraId="1FC0634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απώλεια ακοής, βουητό,</w:t>
      </w:r>
    </w:p>
    <w:p w14:paraId="32AE79A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αίσθημα ανώμαλου καρδιακού ρυθμού όπως παράλειψη καρδιακών παλμών,</w:t>
      </w:r>
    </w:p>
    <w:p w14:paraId="6A7EF9F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καρδιολογικά προβλήματα που μπορεί να προκαλέσουν κόψιμο της αναπνοής (δύσπνοια) ή πρήξιμο των αστραγάλων,</w:t>
      </w:r>
    </w:p>
    <w:p w14:paraId="2447D52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καρδιακή προσβολή,</w:t>
      </w:r>
    </w:p>
    <w:p w14:paraId="72C8953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ένα σάκο στο τοίχωμα μιας μεγάλης αρτηρίας (ανεύρυσμα), φλεγμονή και θρόμβωση μίας φλέβας, απόφραξη ενός αιμοφόρου αγγείου,</w:t>
      </w:r>
    </w:p>
    <w:p w14:paraId="1410BE8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πνευμονικές νόσοι που προκαλούν κόψιμο της αναπνοής (δύσπνοια) (συμπεριλαμβάνεται φλεγμονή),</w:t>
      </w:r>
    </w:p>
    <w:p w14:paraId="616A751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πνευμονική εμβολή (απόφραξη μίας αρτηρίας των πνευμόνων),</w:t>
      </w:r>
    </w:p>
    <w:p w14:paraId="4C1B061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υπεζωκοτική συλλογή (μη φυσιολογική συλλογή υγρού στη περιοχή των πλευρών),</w:t>
      </w:r>
    </w:p>
    <w:p w14:paraId="43C486A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φλεγμονή του παγκρέατος που προκαλεί σοβαρό πόνο στην κοιλιά και την πλάτη,</w:t>
      </w:r>
    </w:p>
    <w:p w14:paraId="656F862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δυσκολία στην κατάποση,</w:t>
      </w:r>
    </w:p>
    <w:p w14:paraId="027A177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lastRenderedPageBreak/>
        <w:t>οίδημα προσώπου,</w:t>
      </w:r>
    </w:p>
    <w:p w14:paraId="20E37B9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φλεγμονή της χοληδόχου κύστης, πέτρες στη χολή,</w:t>
      </w:r>
    </w:p>
    <w:p w14:paraId="5209024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λιπώδες ήπαρ,</w:t>
      </w:r>
    </w:p>
    <w:p w14:paraId="3EA97E5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νυκτερινοί ιδρώτες,</w:t>
      </w:r>
    </w:p>
    <w:p w14:paraId="0761997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ουλή,</w:t>
      </w:r>
    </w:p>
    <w:p w14:paraId="46484DD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ανώμαλη μυϊκή κατάπτωση,</w:t>
      </w:r>
    </w:p>
    <w:p w14:paraId="5EDFA12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συστηματικός ερυθηματώδης λύκος (συμπεριλαμβάνονται φλεγμονές του δέρματος, της καρδιάς, του πνεύμονα, των αρθρώσεων και άλλων οργανικών συστημάτων),</w:t>
      </w:r>
    </w:p>
    <w:p w14:paraId="4437144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διαταραχές του ύπνου,</w:t>
      </w:r>
    </w:p>
    <w:p w14:paraId="101225A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ανικανότητα,</w:t>
      </w:r>
    </w:p>
    <w:p w14:paraId="233BA8E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φλεγμονές.</w:t>
      </w:r>
    </w:p>
    <w:p w14:paraId="42CA631B" w14:textId="77777777" w:rsidR="00171824" w:rsidRDefault="00171824">
      <w:pPr>
        <w:widowControl/>
        <w:kinsoku w:val="0"/>
        <w:overflowPunct w:val="0"/>
        <w:rPr>
          <w:sz w:val="22"/>
          <w:szCs w:val="22"/>
          <w:lang w:val="el-GR"/>
        </w:rPr>
      </w:pPr>
    </w:p>
    <w:p w14:paraId="6948D275" w14:textId="77777777" w:rsidR="00171824" w:rsidRDefault="006D258C">
      <w:pPr>
        <w:pStyle w:val="BodyText"/>
        <w:keepNext/>
        <w:widowControl/>
        <w:kinsoku w:val="0"/>
        <w:overflowPunct w:val="0"/>
        <w:ind w:left="0"/>
        <w:rPr>
          <w:lang w:val="el-GR"/>
        </w:rPr>
      </w:pPr>
      <w:r>
        <w:rPr>
          <w:lang w:val="el-GR"/>
        </w:rPr>
        <w:t xml:space="preserve">Σπάνιες </w:t>
      </w:r>
      <w:r>
        <w:rPr>
          <w:b/>
          <w:lang w:val="el-GR"/>
        </w:rPr>
        <w:t>(</w:t>
      </w:r>
      <w:r>
        <w:rPr>
          <w:lang w:val="el-GR"/>
        </w:rPr>
        <w:t>μπορεί να επηρεάσουν έως 1 στους 1.000 ανθρώπους)</w:t>
      </w:r>
    </w:p>
    <w:p w14:paraId="29BEAF9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λευχαιμία (καρκίνος που επηρεάζει το αίμα και το μυελό των οστών),</w:t>
      </w:r>
    </w:p>
    <w:p w14:paraId="1362181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σοβαρή αλλεργική αντίδραση με καταπληξία,</w:t>
      </w:r>
    </w:p>
    <w:p w14:paraId="35429F4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σκλήρυνση κατά πλάκας,</w:t>
      </w:r>
    </w:p>
    <w:p w14:paraId="57E4D20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νευρολογικές διαταραχές (όπως φλεγμονή του οφθαλμικού νεύρου και σύνδρομο Guillain</w:t>
      </w:r>
      <w:r>
        <w:rPr>
          <w:lang w:val="el-GR"/>
        </w:rPr>
        <w:noBreakHyphen/>
        <w:t>Barré που μπορεί να προκαλέσει μυϊκή αδυναμία, παθολογική αίσθηση (αισθητικότητα)), μυρμηκίαση στους βραχίονες και στο άνω μέρος του σώματος,</w:t>
      </w:r>
    </w:p>
    <w:p w14:paraId="005A976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καρδιακή ανακοπή,</w:t>
      </w:r>
    </w:p>
    <w:p w14:paraId="2E6F5F7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πνευμονική ίνωση (ουλές στον πνεύμονα),</w:t>
      </w:r>
    </w:p>
    <w:p w14:paraId="01ADA37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διάτρηση του εντέρου (τρύπα στο τοίχωμα του εντέρου),</w:t>
      </w:r>
    </w:p>
    <w:p w14:paraId="7D6592B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ηπατίτιδα (φλεγμονή του ήπατος),</w:t>
      </w:r>
    </w:p>
    <w:p w14:paraId="3CB9E83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επανενεργοποίηση της ηπατίτιδας B,</w:t>
      </w:r>
    </w:p>
    <w:p w14:paraId="430F962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αυτοάνοση ηπατίτιδα (φλεγμονή του ήπατος που προκαλείται από το ανοσοποιητικό σας σύστημα),</w:t>
      </w:r>
    </w:p>
    <w:p w14:paraId="4800F54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δερματική αγγειίτιδα (φλεγμονή των αιμοφόρων αγγείων του δέρματος),</w:t>
      </w:r>
    </w:p>
    <w:p w14:paraId="67CF19E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σύνδρομο Stevens-Johnson (αντίδραση απειλητική για τη ζωή με γριποειδή συμπτώματα και φυσαλιδώδες εξάνθημα),</w:t>
      </w:r>
    </w:p>
    <w:p w14:paraId="0F20D29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οίδημα προσώπου που συνοδεύεται από αλλεργικές αντιδράσεις,</w:t>
      </w:r>
    </w:p>
    <w:p w14:paraId="793AA18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πολύμορφο ερύθημα (φλεγμονώδες εξάνθημα δέρματος),</w:t>
      </w:r>
    </w:p>
    <w:p w14:paraId="595368E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σύνδρομο προσομοιάζον με λύκο,</w:t>
      </w:r>
    </w:p>
    <w:p w14:paraId="6FEC038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αγγειοοίδημα (τοπικό πρήξιμο δέρματος),</w:t>
      </w:r>
    </w:p>
    <w:p w14:paraId="4C4FAF2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 xml:space="preserve">λειχηνοειδής αντίδραση δέρματος </w:t>
      </w:r>
      <w:r>
        <w:rPr>
          <w:szCs w:val="24"/>
          <w:lang w:val="el-GR"/>
        </w:rPr>
        <w:t>(κνησμώδες ερυθρό-μωβ εξάνθημα στο δέρμα)</w:t>
      </w:r>
      <w:r>
        <w:rPr>
          <w:lang w:val="el-GR"/>
        </w:rPr>
        <w:t>.</w:t>
      </w:r>
    </w:p>
    <w:p w14:paraId="27FE4641" w14:textId="77777777" w:rsidR="00171824" w:rsidRDefault="00171824">
      <w:pPr>
        <w:widowControl/>
        <w:kinsoku w:val="0"/>
        <w:overflowPunct w:val="0"/>
        <w:rPr>
          <w:sz w:val="22"/>
          <w:szCs w:val="22"/>
          <w:lang w:val="el-GR"/>
        </w:rPr>
      </w:pPr>
    </w:p>
    <w:p w14:paraId="60D9E71B" w14:textId="77777777" w:rsidR="00171824" w:rsidRDefault="006D258C">
      <w:pPr>
        <w:pStyle w:val="BodyText"/>
        <w:keepNext/>
        <w:widowControl/>
        <w:kinsoku w:val="0"/>
        <w:overflowPunct w:val="0"/>
        <w:ind w:left="0"/>
        <w:rPr>
          <w:lang w:val="el-GR"/>
        </w:rPr>
      </w:pPr>
      <w:r>
        <w:rPr>
          <w:lang w:val="el-GR"/>
        </w:rPr>
        <w:t>Mη γνωστές (η συχνότητα δεν μπορεί να εκτιμηθεί με βάση τα διαθέσιμα δεδομένα)</w:t>
      </w:r>
    </w:p>
    <w:p w14:paraId="2283D93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ηπατοσπληνικό λέμφωμα εκ Τ-κυττάρων (ένα σπάνιο είδος καρκίνου του αίματος που συχνά είναι θανατηφόρο),</w:t>
      </w:r>
    </w:p>
    <w:p w14:paraId="372FF33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καρκίνωμα εκ κυττάρων Merkel (τύπος καρκίνου του δέρματος),</w:t>
      </w:r>
    </w:p>
    <w:p w14:paraId="459314BF" w14:textId="77777777" w:rsidR="00171824" w:rsidRDefault="006D258C">
      <w:pPr>
        <w:pStyle w:val="BodyText"/>
        <w:widowControl/>
        <w:numPr>
          <w:ilvl w:val="0"/>
          <w:numId w:val="26"/>
        </w:numPr>
        <w:tabs>
          <w:tab w:val="left" w:pos="567"/>
        </w:tabs>
        <w:kinsoku w:val="0"/>
        <w:overflowPunct w:val="0"/>
        <w:ind w:left="567" w:hanging="567"/>
        <w:rPr>
          <w:color w:val="000000"/>
          <w:lang w:val="el-GR" w:eastAsia="ja-JP"/>
        </w:rPr>
      </w:pPr>
      <w:r>
        <w:rPr>
          <w:lang w:val="el-GR"/>
        </w:rPr>
        <w:t>Σάρκωμα</w:t>
      </w:r>
      <w:r>
        <w:rPr>
          <w:color w:val="000000"/>
          <w:lang w:val="el-GR" w:eastAsia="ja-JP"/>
        </w:rPr>
        <w:t xml:space="preserve"> Kaposi, μια σπάνια μορφή καρκίνου που σχετίζεται με λοίμωξη από τον ιό του ανθρώπινου έρπητα τύπου 8. Το σάρκωμα Kaposi εμφανίζεται συχνότερα με τη μορφή πορφυρών βλαβών του δέρματος,</w:t>
      </w:r>
    </w:p>
    <w:p w14:paraId="368FB5F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ηπατική ανεπάρκεια,</w:t>
      </w:r>
    </w:p>
    <w:p w14:paraId="4244584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επιδείνωση μίας κατάστασης η οποία ονομάζεται δερματομυοσίτιδα (εμφανίζεται ως δερματικό εξάνθημα συνοδευόμενο από μυϊκή αδυναμία),</w:t>
      </w:r>
    </w:p>
    <w:p w14:paraId="52FBD20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αύξηση βάρους (για τους περισσότερους ασθενείς, η αύξηση βάρους ήταν μικρή).</w:t>
      </w:r>
    </w:p>
    <w:p w14:paraId="21B4DA11" w14:textId="77777777" w:rsidR="00171824" w:rsidRDefault="00171824">
      <w:pPr>
        <w:widowControl/>
        <w:kinsoku w:val="0"/>
        <w:overflowPunct w:val="0"/>
        <w:rPr>
          <w:sz w:val="22"/>
          <w:szCs w:val="22"/>
          <w:lang w:val="el-GR"/>
        </w:rPr>
      </w:pPr>
    </w:p>
    <w:p w14:paraId="321E8642" w14:textId="77777777" w:rsidR="00171824" w:rsidRDefault="006D258C">
      <w:pPr>
        <w:pStyle w:val="BodyText"/>
        <w:widowControl/>
        <w:kinsoku w:val="0"/>
        <w:overflowPunct w:val="0"/>
        <w:ind w:left="0"/>
        <w:rPr>
          <w:lang w:val="el-GR"/>
        </w:rPr>
      </w:pPr>
      <w:r>
        <w:rPr>
          <w:lang w:val="el-GR"/>
        </w:rPr>
        <w:t>Κάποιες ανεπιθύμητες ενέργειες που παρουσιάστηκαν με το adalimumab μπορεί να μην έχουν συμπτώματα και μπορεί να ανακαλυφθούν μόνο με εξετάσεις αίματος. Αυτές συμπεριλαμβάνουν:</w:t>
      </w:r>
    </w:p>
    <w:p w14:paraId="581161C6" w14:textId="77777777" w:rsidR="00171824" w:rsidRDefault="00171824">
      <w:pPr>
        <w:widowControl/>
        <w:kinsoku w:val="0"/>
        <w:overflowPunct w:val="0"/>
        <w:rPr>
          <w:sz w:val="22"/>
          <w:szCs w:val="22"/>
          <w:lang w:val="el-GR"/>
        </w:rPr>
      </w:pPr>
    </w:p>
    <w:p w14:paraId="2DE0D3EE" w14:textId="77777777" w:rsidR="00171824" w:rsidRDefault="006D258C">
      <w:pPr>
        <w:pStyle w:val="BodyText"/>
        <w:keepNext/>
        <w:widowControl/>
        <w:kinsoku w:val="0"/>
        <w:overflowPunct w:val="0"/>
        <w:ind w:left="0"/>
        <w:rPr>
          <w:lang w:val="el-GR"/>
        </w:rPr>
      </w:pPr>
      <w:r>
        <w:rPr>
          <w:lang w:val="el-GR"/>
        </w:rPr>
        <w:t>Πολύ συχνές (μπορεί να επηρεάσουν περισσότερους από 1 στους 10 ανθρώπους)</w:t>
      </w:r>
    </w:p>
    <w:p w14:paraId="252F13A0" w14:textId="77777777" w:rsidR="00171824" w:rsidRDefault="006D258C">
      <w:pPr>
        <w:pStyle w:val="BodyText"/>
        <w:keepNext/>
        <w:widowControl/>
        <w:numPr>
          <w:ilvl w:val="0"/>
          <w:numId w:val="26"/>
        </w:numPr>
        <w:tabs>
          <w:tab w:val="left" w:pos="567"/>
        </w:tabs>
        <w:kinsoku w:val="0"/>
        <w:overflowPunct w:val="0"/>
        <w:ind w:left="567" w:hanging="567"/>
        <w:rPr>
          <w:lang w:val="el-GR"/>
        </w:rPr>
      </w:pPr>
      <w:r>
        <w:rPr>
          <w:lang w:val="el-GR"/>
        </w:rPr>
        <w:t>χαμηλές τιμές των λευκοκυττάρων,</w:t>
      </w:r>
    </w:p>
    <w:p w14:paraId="1A10A384" w14:textId="77777777" w:rsidR="00171824" w:rsidRDefault="006D258C">
      <w:pPr>
        <w:pStyle w:val="BodyText"/>
        <w:keepNext/>
        <w:widowControl/>
        <w:numPr>
          <w:ilvl w:val="0"/>
          <w:numId w:val="26"/>
        </w:numPr>
        <w:tabs>
          <w:tab w:val="left" w:pos="567"/>
        </w:tabs>
        <w:kinsoku w:val="0"/>
        <w:overflowPunct w:val="0"/>
        <w:ind w:left="567" w:hanging="567"/>
        <w:rPr>
          <w:lang w:val="el-GR"/>
        </w:rPr>
      </w:pPr>
      <w:r>
        <w:rPr>
          <w:lang w:val="el-GR"/>
        </w:rPr>
        <w:t>χαμηλές τιμές των ερυθροκυττάρων,</w:t>
      </w:r>
    </w:p>
    <w:p w14:paraId="0B5DAFE3" w14:textId="77777777" w:rsidR="00171824" w:rsidRDefault="006D258C">
      <w:pPr>
        <w:pStyle w:val="BodyText"/>
        <w:keepNext/>
        <w:widowControl/>
        <w:numPr>
          <w:ilvl w:val="0"/>
          <w:numId w:val="26"/>
        </w:numPr>
        <w:tabs>
          <w:tab w:val="left" w:pos="567"/>
        </w:tabs>
        <w:kinsoku w:val="0"/>
        <w:overflowPunct w:val="0"/>
        <w:ind w:left="567" w:hanging="567"/>
        <w:rPr>
          <w:lang w:val="el-GR"/>
        </w:rPr>
      </w:pPr>
      <w:r>
        <w:rPr>
          <w:lang w:val="el-GR"/>
        </w:rPr>
        <w:t>αυξημένα λιπίδια αίματος,</w:t>
      </w:r>
    </w:p>
    <w:p w14:paraId="24313C0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αυξημένα ηπατικά ένζυμα.</w:t>
      </w:r>
    </w:p>
    <w:p w14:paraId="0FD8CAF6" w14:textId="77777777" w:rsidR="00171824" w:rsidRDefault="00171824">
      <w:pPr>
        <w:widowControl/>
        <w:kinsoku w:val="0"/>
        <w:overflowPunct w:val="0"/>
        <w:rPr>
          <w:sz w:val="22"/>
          <w:szCs w:val="22"/>
          <w:lang w:val="el-GR"/>
        </w:rPr>
      </w:pPr>
    </w:p>
    <w:p w14:paraId="0AEF00DC" w14:textId="77777777" w:rsidR="00171824" w:rsidRDefault="006D258C">
      <w:pPr>
        <w:pStyle w:val="BodyText"/>
        <w:widowControl/>
        <w:kinsoku w:val="0"/>
        <w:overflowPunct w:val="0"/>
        <w:ind w:left="0"/>
        <w:rPr>
          <w:lang w:val="el-GR"/>
        </w:rPr>
      </w:pPr>
      <w:r>
        <w:rPr>
          <w:lang w:val="el-GR"/>
        </w:rPr>
        <w:t>Συχνές (μπορεί να επηρεάσουν έως 1 στους 10 ανθρώπους)</w:t>
      </w:r>
    </w:p>
    <w:p w14:paraId="0E00A1F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υψηλές τιμές των λευκοκυττάρων,</w:t>
      </w:r>
    </w:p>
    <w:p w14:paraId="49520A0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χαμηλές τιμές των αιμοπεταλίων του αίματος</w:t>
      </w:r>
    </w:p>
    <w:p w14:paraId="6B574FB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αυξημένο ουρικό οξύ αίματος,</w:t>
      </w:r>
    </w:p>
    <w:p w14:paraId="0F9ACB0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μη φυσιολογικές τιμές νατρίου του αίματος,</w:t>
      </w:r>
    </w:p>
    <w:p w14:paraId="406C46A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χαμηλές τιμές ασβεστίου αίματος,</w:t>
      </w:r>
    </w:p>
    <w:p w14:paraId="14DE5BF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χαμηλές τιμές φωσφόρου του αίματος,</w:t>
      </w:r>
    </w:p>
    <w:p w14:paraId="317AE58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υψηλό σάκχαρο αίματος,</w:t>
      </w:r>
    </w:p>
    <w:p w14:paraId="52C43AD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υψηλές τιμές αίματος της γαλακτικής αφυδρογονάσης,</w:t>
      </w:r>
    </w:p>
    <w:p w14:paraId="4D1333C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παρουσία αυτοαντισωμάτων στο αίμα,</w:t>
      </w:r>
    </w:p>
    <w:p w14:paraId="74B6776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χαμηλό κάλιο αίματος.</w:t>
      </w:r>
    </w:p>
    <w:p w14:paraId="170F1B36" w14:textId="77777777" w:rsidR="00171824" w:rsidRDefault="00171824">
      <w:pPr>
        <w:widowControl/>
        <w:kinsoku w:val="0"/>
        <w:overflowPunct w:val="0"/>
        <w:rPr>
          <w:sz w:val="22"/>
          <w:szCs w:val="22"/>
          <w:lang w:val="el-GR"/>
        </w:rPr>
      </w:pPr>
    </w:p>
    <w:p w14:paraId="39939F0A" w14:textId="77777777" w:rsidR="00171824" w:rsidRDefault="006D258C">
      <w:pPr>
        <w:pStyle w:val="BodyText"/>
        <w:widowControl/>
        <w:suppressAutoHyphens/>
        <w:kinsoku w:val="0"/>
        <w:overflowPunct w:val="0"/>
        <w:ind w:left="0"/>
        <w:rPr>
          <w:lang w:val="el-GR"/>
        </w:rPr>
      </w:pPr>
      <w:r>
        <w:rPr>
          <w:lang w:val="el-GR"/>
        </w:rPr>
        <w:t xml:space="preserve">Όχι συχνές </w:t>
      </w:r>
      <w:r>
        <w:rPr>
          <w:b/>
          <w:lang w:val="el-GR"/>
        </w:rPr>
        <w:t>(</w:t>
      </w:r>
      <w:r>
        <w:rPr>
          <w:lang w:val="el-GR"/>
        </w:rPr>
        <w:t xml:space="preserve">μπορεί να επηρεάσουν έως 1 στους 100 ανθρώπους) </w:t>
      </w:r>
    </w:p>
    <w:p w14:paraId="6F4913D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υψηλή μέτρηση χολερυθρίνης (ηπατικές δοκιμασίες αίματος).</w:t>
      </w:r>
    </w:p>
    <w:p w14:paraId="618B8E80" w14:textId="77777777" w:rsidR="00171824" w:rsidRDefault="00171824">
      <w:pPr>
        <w:pStyle w:val="BodyText"/>
        <w:widowControl/>
        <w:tabs>
          <w:tab w:val="left" w:pos="567"/>
        </w:tabs>
        <w:kinsoku w:val="0"/>
        <w:overflowPunct w:val="0"/>
        <w:ind w:left="567"/>
        <w:rPr>
          <w:lang w:val="el-GR"/>
        </w:rPr>
      </w:pPr>
    </w:p>
    <w:p w14:paraId="41E6AB87" w14:textId="77777777" w:rsidR="00171824" w:rsidRDefault="006D258C">
      <w:pPr>
        <w:pStyle w:val="BodyText"/>
        <w:widowControl/>
        <w:kinsoku w:val="0"/>
        <w:overflowPunct w:val="0"/>
        <w:ind w:left="0"/>
        <w:rPr>
          <w:lang w:val="el-GR"/>
        </w:rPr>
      </w:pPr>
      <w:r>
        <w:rPr>
          <w:lang w:val="el-GR"/>
        </w:rPr>
        <w:t>Σπάνιες (μπορεί να επηρεάσουν έως 1 στους 1.000 ανθρώπους)</w:t>
      </w:r>
    </w:p>
    <w:p w14:paraId="494F2A8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χαμηλές τιμές των λευκοκυττάρων, των ερυθροκυττάρων και των αιμοπεταλίων του αίματος.</w:t>
      </w:r>
    </w:p>
    <w:p w14:paraId="7D1EE6F0" w14:textId="77777777" w:rsidR="00171824" w:rsidRDefault="00171824">
      <w:pPr>
        <w:pStyle w:val="BodyText"/>
        <w:widowControl/>
        <w:tabs>
          <w:tab w:val="left" w:pos="567"/>
        </w:tabs>
        <w:kinsoku w:val="0"/>
        <w:overflowPunct w:val="0"/>
        <w:ind w:left="0"/>
        <w:rPr>
          <w:lang w:val="el-GR"/>
        </w:rPr>
      </w:pPr>
    </w:p>
    <w:p w14:paraId="258E6EFD" w14:textId="77777777" w:rsidR="00171824" w:rsidRDefault="006D258C">
      <w:pPr>
        <w:pStyle w:val="BodyText"/>
        <w:keepNext/>
        <w:widowControl/>
        <w:tabs>
          <w:tab w:val="left" w:pos="567"/>
        </w:tabs>
        <w:kinsoku w:val="0"/>
        <w:overflowPunct w:val="0"/>
        <w:ind w:left="0"/>
        <w:rPr>
          <w:b/>
          <w:lang w:val="el-GR"/>
        </w:rPr>
      </w:pPr>
      <w:r>
        <w:rPr>
          <w:b/>
          <w:lang w:val="el-GR"/>
        </w:rPr>
        <w:t>Αναφορά ανεπιθύμητων ενεργειών</w:t>
      </w:r>
    </w:p>
    <w:p w14:paraId="6444A5AB" w14:textId="77777777" w:rsidR="00171824" w:rsidRDefault="00171824">
      <w:pPr>
        <w:pStyle w:val="BodyText"/>
        <w:keepNext/>
        <w:widowControl/>
        <w:tabs>
          <w:tab w:val="left" w:pos="567"/>
        </w:tabs>
        <w:kinsoku w:val="0"/>
        <w:overflowPunct w:val="0"/>
        <w:ind w:left="0"/>
        <w:rPr>
          <w:lang w:val="el-GR"/>
        </w:rPr>
      </w:pPr>
    </w:p>
    <w:p w14:paraId="38946F15" w14:textId="77777777" w:rsidR="00171824" w:rsidRDefault="006D258C">
      <w:pPr>
        <w:pStyle w:val="BodyText"/>
        <w:widowControl/>
        <w:ind w:left="0"/>
        <w:rPr>
          <w:lang w:val="el-GR"/>
        </w:rPr>
      </w:pPr>
      <w:r>
        <w:rPr>
          <w:lang w:val="el-GR"/>
        </w:rPr>
        <w:t xml:space="preserve">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Μπορείτε επίσης να αναφέρετε ανεπιθύμητες ενέργειες απευθείας, μέσω </w:t>
      </w:r>
      <w:r>
        <w:rPr>
          <w:highlight w:val="lightGray"/>
          <w:lang w:val="el-GR"/>
        </w:rPr>
        <w:t xml:space="preserve">του εθνικού συστήματος αναφοράς που αναγράφεται στο </w:t>
      </w:r>
      <w:hyperlink r:id="rId23" w:history="1">
        <w:r>
          <w:rPr>
            <w:rStyle w:val="Hyperlink"/>
            <w:color w:val="0000FF"/>
            <w:highlight w:val="lightGray"/>
            <w:lang w:val="el-GR"/>
          </w:rPr>
          <w:t>Παράρτημα V</w:t>
        </w:r>
      </w:hyperlink>
      <w:r>
        <w:rPr>
          <w:lang w:val="el-GR"/>
        </w:rPr>
        <w:t>. Μέσω της αναφοράς ανεπιθύμητων ενεργειών, μπορείτε να βοηθήσετε στη συλλογή περισσότερων πληροφοριών σχετικά με την ασφάλεια του παρόντος φαρμάκου.</w:t>
      </w:r>
    </w:p>
    <w:p w14:paraId="317649ED" w14:textId="77777777" w:rsidR="00171824" w:rsidRDefault="00171824">
      <w:pPr>
        <w:pStyle w:val="BodyText"/>
        <w:widowControl/>
        <w:ind w:left="0"/>
        <w:rPr>
          <w:lang w:val="el-GR"/>
        </w:rPr>
      </w:pPr>
    </w:p>
    <w:p w14:paraId="21FEE603" w14:textId="77777777" w:rsidR="00171824" w:rsidRDefault="00171824">
      <w:pPr>
        <w:pStyle w:val="BodyText"/>
        <w:widowControl/>
        <w:ind w:left="0"/>
        <w:rPr>
          <w:lang w:val="el-GR"/>
        </w:rPr>
      </w:pPr>
    </w:p>
    <w:p w14:paraId="4ACABD8F" w14:textId="77777777" w:rsidR="00171824" w:rsidRDefault="006D258C">
      <w:pPr>
        <w:pStyle w:val="Heading1"/>
        <w:widowControl/>
        <w:numPr>
          <w:ilvl w:val="0"/>
          <w:numId w:val="22"/>
        </w:numPr>
        <w:tabs>
          <w:tab w:val="left" w:pos="567"/>
        </w:tabs>
        <w:kinsoku w:val="0"/>
        <w:overflowPunct w:val="0"/>
        <w:ind w:left="567"/>
        <w:rPr>
          <w:b w:val="0"/>
          <w:bCs w:val="0"/>
          <w:lang w:val="el-GR"/>
        </w:rPr>
      </w:pPr>
      <w:r>
        <w:rPr>
          <w:lang w:val="el-GR"/>
        </w:rPr>
        <w:t xml:space="preserve">Πώς να φυλάσσετε το AMGEVITA </w:t>
      </w:r>
    </w:p>
    <w:p w14:paraId="5ED6E0D4" w14:textId="77777777" w:rsidR="00171824" w:rsidRDefault="00171824">
      <w:pPr>
        <w:pStyle w:val="BodyText"/>
        <w:widowControl/>
        <w:kinsoku w:val="0"/>
        <w:overflowPunct w:val="0"/>
        <w:ind w:left="0"/>
        <w:rPr>
          <w:lang w:val="el-GR"/>
        </w:rPr>
      </w:pPr>
    </w:p>
    <w:p w14:paraId="747C0299" w14:textId="77777777" w:rsidR="00171824" w:rsidRDefault="006D258C">
      <w:pPr>
        <w:pStyle w:val="BodyText"/>
        <w:widowControl/>
        <w:kinsoku w:val="0"/>
        <w:overflowPunct w:val="0"/>
        <w:ind w:left="0"/>
        <w:rPr>
          <w:lang w:val="el-GR"/>
        </w:rPr>
      </w:pPr>
      <w:r>
        <w:rPr>
          <w:lang w:val="el-GR"/>
        </w:rPr>
        <w:t>Το φάρμακο αυτό πρέπει να φυλάσσεται σε μέρη που δεν το βλέπουν και δεν το φθάνουν τα παιδιά.</w:t>
      </w:r>
    </w:p>
    <w:p w14:paraId="547CA2C3" w14:textId="77777777" w:rsidR="00171824" w:rsidRDefault="00171824">
      <w:pPr>
        <w:pStyle w:val="BodyText"/>
        <w:widowControl/>
        <w:kinsoku w:val="0"/>
        <w:overflowPunct w:val="0"/>
        <w:ind w:left="0"/>
        <w:rPr>
          <w:lang w:val="el-GR"/>
        </w:rPr>
      </w:pPr>
    </w:p>
    <w:p w14:paraId="4C7D045B" w14:textId="77777777" w:rsidR="00171824" w:rsidRDefault="006D258C">
      <w:pPr>
        <w:pStyle w:val="BodyText"/>
        <w:widowControl/>
        <w:kinsoku w:val="0"/>
        <w:overflowPunct w:val="0"/>
        <w:ind w:left="0"/>
        <w:rPr>
          <w:lang w:val="el-GR"/>
        </w:rPr>
      </w:pPr>
      <w:r>
        <w:rPr>
          <w:lang w:val="el-GR"/>
        </w:rPr>
        <w:t>Να μη χρησιμοποιείτε αυτό το φάρμακο μετά την ημερομηνία λήξης που αναφέρεται στην επισήμανση/στην κυψέλη και στο κουτί μετά τη ΛΗΞΗ. H ημερομηνία λήξης είναι η τελευταία ημέρα του μήνα που αναφέρεται εκεί.</w:t>
      </w:r>
    </w:p>
    <w:p w14:paraId="731CF803" w14:textId="77777777" w:rsidR="00171824" w:rsidRDefault="00171824">
      <w:pPr>
        <w:widowControl/>
        <w:kinsoku w:val="0"/>
        <w:overflowPunct w:val="0"/>
        <w:rPr>
          <w:sz w:val="22"/>
          <w:szCs w:val="22"/>
          <w:lang w:val="el-GR"/>
        </w:rPr>
      </w:pPr>
    </w:p>
    <w:p w14:paraId="39638CF1" w14:textId="77777777" w:rsidR="00171824" w:rsidRDefault="006D258C">
      <w:pPr>
        <w:pStyle w:val="BodyText"/>
        <w:widowControl/>
        <w:kinsoku w:val="0"/>
        <w:overflowPunct w:val="0"/>
        <w:ind w:left="0"/>
        <w:rPr>
          <w:lang w:val="el-GR"/>
        </w:rPr>
      </w:pPr>
      <w:r>
        <w:rPr>
          <w:lang w:val="el-GR"/>
        </w:rPr>
        <w:t>Φυλάσσετε σε ψυγείο (2°C – 8°C). Μην καταψύχετε.</w:t>
      </w:r>
    </w:p>
    <w:p w14:paraId="3B22CB26" w14:textId="77777777" w:rsidR="00171824" w:rsidRDefault="00171824">
      <w:pPr>
        <w:widowControl/>
        <w:kinsoku w:val="0"/>
        <w:overflowPunct w:val="0"/>
        <w:rPr>
          <w:sz w:val="22"/>
          <w:szCs w:val="22"/>
          <w:lang w:val="el-GR"/>
        </w:rPr>
      </w:pPr>
    </w:p>
    <w:p w14:paraId="40D8433A" w14:textId="77777777" w:rsidR="00171824" w:rsidRDefault="006D258C">
      <w:pPr>
        <w:pStyle w:val="BodyText"/>
        <w:widowControl/>
        <w:kinsoku w:val="0"/>
        <w:overflowPunct w:val="0"/>
        <w:ind w:left="0"/>
        <w:rPr>
          <w:lang w:val="el-GR"/>
        </w:rPr>
      </w:pPr>
      <w:r>
        <w:rPr>
          <w:lang w:val="el-GR"/>
        </w:rPr>
        <w:t>Φυλάσσετε το φάρμακο στο εξωτερικό κουτί για να προστατεύεται από το φως.</w:t>
      </w:r>
    </w:p>
    <w:p w14:paraId="4397DA6B" w14:textId="77777777" w:rsidR="00171824" w:rsidRDefault="00171824">
      <w:pPr>
        <w:pStyle w:val="BodyText"/>
        <w:widowControl/>
        <w:kinsoku w:val="0"/>
        <w:overflowPunct w:val="0"/>
        <w:ind w:left="0"/>
        <w:rPr>
          <w:lang w:val="el-GR"/>
        </w:rPr>
      </w:pPr>
    </w:p>
    <w:p w14:paraId="33A30640" w14:textId="77777777" w:rsidR="00171824" w:rsidRDefault="006D258C">
      <w:pPr>
        <w:pStyle w:val="BodyText"/>
        <w:widowControl/>
        <w:kinsoku w:val="0"/>
        <w:overflowPunct w:val="0"/>
        <w:ind w:left="0"/>
        <w:rPr>
          <w:lang w:val="el-GR"/>
        </w:rPr>
      </w:pPr>
      <w:r>
        <w:rPr>
          <w:lang w:val="el-GR"/>
        </w:rPr>
        <w:t>Κάθε προγεμισμένη σύριγγα AMGEVITA μπορεί να φυλάσσεται σε θερμοκρασίες μέχρι 25°C κατά μέγιστο για χρονικό διάστημα έως και 14 ημέρες. Η προγεμισμένη σύριγγα θα πρέπει να είναι προστατευμένη από το φως και να απορριφθεί εάν δεν</w:t>
      </w:r>
      <w:r>
        <w:rPr>
          <w:b/>
          <w:bCs/>
          <w:lang w:val="el-GR"/>
        </w:rPr>
        <w:t xml:space="preserve"> </w:t>
      </w:r>
      <w:r>
        <w:rPr>
          <w:bCs/>
          <w:lang w:val="el-GR"/>
        </w:rPr>
        <w:t>χρησιμοποιηθεί εντός της περιόδου 14 ημερών</w:t>
      </w:r>
      <w:r>
        <w:rPr>
          <w:lang w:val="el-GR"/>
        </w:rPr>
        <w:t>.</w:t>
      </w:r>
    </w:p>
    <w:p w14:paraId="103394C1" w14:textId="77777777" w:rsidR="00171824" w:rsidRDefault="00171824">
      <w:pPr>
        <w:widowControl/>
        <w:kinsoku w:val="0"/>
        <w:overflowPunct w:val="0"/>
        <w:rPr>
          <w:sz w:val="22"/>
          <w:szCs w:val="22"/>
          <w:lang w:val="el-GR"/>
        </w:rPr>
      </w:pPr>
    </w:p>
    <w:p w14:paraId="25DE58E0" w14:textId="77777777" w:rsidR="00171824" w:rsidRDefault="006D258C">
      <w:pPr>
        <w:pStyle w:val="BodyText"/>
        <w:widowControl/>
        <w:kinsoku w:val="0"/>
        <w:overflowPunct w:val="0"/>
        <w:ind w:left="0"/>
        <w:rPr>
          <w:lang w:val="el-GR"/>
        </w:rPr>
      </w:pPr>
      <w:r>
        <w:rPr>
          <w:lang w:val="el-GR"/>
        </w:rPr>
        <w:t>Μην πετάτε φάρμακα στο νερό της αποχέτευσης ή στα οικιακά απορρίμματα. Ρωτήστε τον φαρμακοποιό σας για το πώς να πετάξετε τα φάρμακα που δεν χρησιμοποιείτε πια. Αυτά τα μέτρα θα βοηθήσουν στην προστασία του περιβάλλοντος.</w:t>
      </w:r>
    </w:p>
    <w:p w14:paraId="5E045C05" w14:textId="77777777" w:rsidR="00171824" w:rsidRDefault="00171824">
      <w:pPr>
        <w:pStyle w:val="BodyText"/>
        <w:widowControl/>
        <w:kinsoku w:val="0"/>
        <w:overflowPunct w:val="0"/>
        <w:ind w:left="0"/>
        <w:rPr>
          <w:lang w:val="el-GR"/>
        </w:rPr>
      </w:pPr>
    </w:p>
    <w:p w14:paraId="684B1311" w14:textId="77777777" w:rsidR="00171824" w:rsidRDefault="00171824">
      <w:pPr>
        <w:pStyle w:val="BodyText"/>
        <w:widowControl/>
        <w:kinsoku w:val="0"/>
        <w:overflowPunct w:val="0"/>
        <w:ind w:left="0"/>
        <w:rPr>
          <w:lang w:val="el-GR"/>
        </w:rPr>
      </w:pPr>
    </w:p>
    <w:p w14:paraId="2327588E" w14:textId="77777777" w:rsidR="00171824" w:rsidRDefault="006D258C">
      <w:pPr>
        <w:pStyle w:val="Heading1"/>
        <w:widowControl/>
        <w:numPr>
          <w:ilvl w:val="0"/>
          <w:numId w:val="22"/>
        </w:numPr>
        <w:tabs>
          <w:tab w:val="left" w:pos="567"/>
        </w:tabs>
        <w:kinsoku w:val="0"/>
        <w:overflowPunct w:val="0"/>
        <w:ind w:left="567"/>
        <w:rPr>
          <w:b w:val="0"/>
          <w:bCs w:val="0"/>
          <w:lang w:val="el-GR"/>
        </w:rPr>
      </w:pPr>
      <w:r>
        <w:rPr>
          <w:lang w:val="el-GR"/>
        </w:rPr>
        <w:t>Περιεχόμενα της συσκευασίας και λοιπές πληροφορίες</w:t>
      </w:r>
    </w:p>
    <w:p w14:paraId="377D1036" w14:textId="77777777" w:rsidR="00171824" w:rsidRDefault="00171824">
      <w:pPr>
        <w:pStyle w:val="Heading1"/>
        <w:widowControl/>
        <w:tabs>
          <w:tab w:val="left" w:pos="567"/>
        </w:tabs>
        <w:kinsoku w:val="0"/>
        <w:overflowPunct w:val="0"/>
        <w:ind w:left="0"/>
        <w:rPr>
          <w:b w:val="0"/>
          <w:lang w:val="el-GR"/>
        </w:rPr>
      </w:pPr>
    </w:p>
    <w:p w14:paraId="53E3AC2D" w14:textId="77777777" w:rsidR="00171824" w:rsidRDefault="006D258C">
      <w:pPr>
        <w:pStyle w:val="Heading1"/>
        <w:widowControl/>
        <w:tabs>
          <w:tab w:val="left" w:pos="567"/>
        </w:tabs>
        <w:kinsoku w:val="0"/>
        <w:overflowPunct w:val="0"/>
        <w:ind w:left="0"/>
        <w:rPr>
          <w:lang w:val="el-GR"/>
        </w:rPr>
      </w:pPr>
      <w:r>
        <w:rPr>
          <w:lang w:val="el-GR"/>
        </w:rPr>
        <w:t xml:space="preserve">Tι περιέχει το AMGEVITA </w:t>
      </w:r>
    </w:p>
    <w:p w14:paraId="60511BE7" w14:textId="77777777" w:rsidR="00171824" w:rsidRDefault="006D258C">
      <w:pPr>
        <w:pStyle w:val="BodyText"/>
        <w:widowControl/>
        <w:numPr>
          <w:ilvl w:val="0"/>
          <w:numId w:val="27"/>
        </w:numPr>
        <w:kinsoku w:val="0"/>
        <w:overflowPunct w:val="0"/>
        <w:ind w:left="567" w:hanging="567"/>
        <w:rPr>
          <w:lang w:val="el-GR"/>
        </w:rPr>
      </w:pPr>
      <w:r>
        <w:rPr>
          <w:lang w:val="el-GR"/>
        </w:rPr>
        <w:t>H δραστική ουσία είναι adalimumab. Κάθε προγεμισμένη σύριγγα περιέχει 20 mg adalimumab σε 0,4 ml διαλύματος ή 40 mg adalimumab σε 0,8 ml διαλύματος.</w:t>
      </w:r>
    </w:p>
    <w:p w14:paraId="22A859CA" w14:textId="77777777" w:rsidR="00171824" w:rsidRDefault="006D258C">
      <w:pPr>
        <w:pStyle w:val="BodyText"/>
        <w:widowControl/>
        <w:numPr>
          <w:ilvl w:val="0"/>
          <w:numId w:val="27"/>
        </w:numPr>
        <w:kinsoku w:val="0"/>
        <w:overflowPunct w:val="0"/>
        <w:ind w:left="567" w:hanging="567"/>
        <w:rPr>
          <w:lang w:val="el-GR"/>
        </w:rPr>
      </w:pPr>
      <w:r>
        <w:rPr>
          <w:lang w:val="el-GR"/>
        </w:rPr>
        <w:lastRenderedPageBreak/>
        <w:t>Τα άλλα συστατικά είναι παγόμορφο οξικό οξύ, σακχαρόζη, πολυσορβικό 80, υδροξείδιο του νατρίου και ενέσιμο ύδωρ.</w:t>
      </w:r>
    </w:p>
    <w:p w14:paraId="2F89714D" w14:textId="77777777" w:rsidR="00171824" w:rsidRDefault="00171824">
      <w:pPr>
        <w:widowControl/>
        <w:kinsoku w:val="0"/>
        <w:overflowPunct w:val="0"/>
        <w:rPr>
          <w:sz w:val="22"/>
          <w:szCs w:val="22"/>
          <w:lang w:val="el-GR"/>
        </w:rPr>
      </w:pPr>
    </w:p>
    <w:p w14:paraId="46CC656C" w14:textId="77777777" w:rsidR="00171824" w:rsidRDefault="006D258C">
      <w:pPr>
        <w:pStyle w:val="Heading1"/>
        <w:widowControl/>
        <w:kinsoku w:val="0"/>
        <w:overflowPunct w:val="0"/>
        <w:ind w:left="0"/>
        <w:rPr>
          <w:b w:val="0"/>
          <w:bCs w:val="0"/>
          <w:lang w:val="el-GR"/>
        </w:rPr>
      </w:pPr>
      <w:r>
        <w:rPr>
          <w:lang w:val="el-GR"/>
        </w:rPr>
        <w:t>Εμφάνιση του AMGEVITA και περιεχόμενα της συσκευασίας</w:t>
      </w:r>
    </w:p>
    <w:p w14:paraId="2A5BC0E5" w14:textId="77777777" w:rsidR="00171824" w:rsidRDefault="00171824">
      <w:pPr>
        <w:widowControl/>
        <w:kinsoku w:val="0"/>
        <w:overflowPunct w:val="0"/>
        <w:rPr>
          <w:sz w:val="22"/>
          <w:szCs w:val="22"/>
          <w:lang w:val="el-GR"/>
        </w:rPr>
      </w:pPr>
    </w:p>
    <w:p w14:paraId="1D03D0CF" w14:textId="77777777" w:rsidR="00171824" w:rsidRDefault="006D258C">
      <w:pPr>
        <w:pStyle w:val="BodyText"/>
        <w:widowControl/>
        <w:kinsoku w:val="0"/>
        <w:overflowPunct w:val="0"/>
        <w:ind w:left="0"/>
        <w:rPr>
          <w:lang w:val="el-GR"/>
        </w:rPr>
      </w:pPr>
      <w:r>
        <w:rPr>
          <w:lang w:val="el-GR"/>
        </w:rPr>
        <w:t>Το AMGEVITA είναι ένα διαυγές και άχρωμο έως ελαφρώς κίτρινοδιάλυμα.</w:t>
      </w:r>
    </w:p>
    <w:p w14:paraId="366E50D8" w14:textId="77777777" w:rsidR="00171824" w:rsidRDefault="00171824">
      <w:pPr>
        <w:pStyle w:val="BodyText"/>
        <w:widowControl/>
        <w:kinsoku w:val="0"/>
        <w:overflowPunct w:val="0"/>
        <w:ind w:left="0"/>
        <w:rPr>
          <w:lang w:val="el-GR"/>
        </w:rPr>
      </w:pPr>
    </w:p>
    <w:p w14:paraId="4120386C" w14:textId="77777777" w:rsidR="00171824" w:rsidRDefault="006D258C">
      <w:pPr>
        <w:pStyle w:val="BodyText"/>
        <w:widowControl/>
        <w:kinsoku w:val="0"/>
        <w:overflowPunct w:val="0"/>
        <w:ind w:left="0"/>
        <w:rPr>
          <w:lang w:val="el-GR"/>
        </w:rPr>
      </w:pPr>
      <w:r>
        <w:rPr>
          <w:lang w:val="el-GR"/>
        </w:rPr>
        <w:t>Κάθε συσκευασία περιέχει 1 προγεμισμένη σύριγγα 20 mg μίας χρήσης (με κίτρινη ράβδο εμβόλου).</w:t>
      </w:r>
    </w:p>
    <w:p w14:paraId="0C216BCB" w14:textId="77777777" w:rsidR="00171824" w:rsidRDefault="00171824">
      <w:pPr>
        <w:widowControl/>
        <w:kinsoku w:val="0"/>
        <w:overflowPunct w:val="0"/>
        <w:rPr>
          <w:sz w:val="22"/>
          <w:szCs w:val="22"/>
          <w:lang w:val="el-GR"/>
        </w:rPr>
      </w:pPr>
    </w:p>
    <w:p w14:paraId="7930F514" w14:textId="77777777" w:rsidR="00171824" w:rsidRDefault="006D258C">
      <w:pPr>
        <w:pStyle w:val="BodyText"/>
        <w:widowControl/>
        <w:kinsoku w:val="0"/>
        <w:overflowPunct w:val="0"/>
        <w:ind w:left="0"/>
        <w:rPr>
          <w:lang w:val="el-GR"/>
        </w:rPr>
      </w:pPr>
      <w:r>
        <w:rPr>
          <w:lang w:val="el-GR"/>
        </w:rPr>
        <w:t>Κάθε συσκευασία περιέχει 1, 2, 4 ή 6 προγεμισμένες σύριγγες 40 mg μίας χρήσης (με μπλε ράβδο εμβόλου).</w:t>
      </w:r>
    </w:p>
    <w:p w14:paraId="6636F228" w14:textId="77777777" w:rsidR="00171824" w:rsidRDefault="00171824">
      <w:pPr>
        <w:widowControl/>
        <w:kinsoku w:val="0"/>
        <w:overflowPunct w:val="0"/>
        <w:rPr>
          <w:sz w:val="22"/>
          <w:szCs w:val="22"/>
          <w:lang w:val="el-GR"/>
        </w:rPr>
      </w:pPr>
    </w:p>
    <w:p w14:paraId="64F4C5F7" w14:textId="77777777" w:rsidR="00171824" w:rsidRDefault="006D258C">
      <w:pPr>
        <w:pStyle w:val="Heading1"/>
        <w:keepNext/>
        <w:widowControl/>
        <w:kinsoku w:val="0"/>
        <w:overflowPunct w:val="0"/>
        <w:ind w:left="0"/>
        <w:rPr>
          <w:b w:val="0"/>
          <w:bCs w:val="0"/>
          <w:lang w:val="el-GR"/>
        </w:rPr>
      </w:pPr>
      <w:r>
        <w:rPr>
          <w:lang w:val="el-GR"/>
        </w:rPr>
        <w:t>Κάτοχος Άδειας Κυκλοφορίας και Παρασκευαστής</w:t>
      </w:r>
    </w:p>
    <w:p w14:paraId="1D5B81FA" w14:textId="77777777" w:rsidR="00171824" w:rsidRDefault="006D258C">
      <w:pPr>
        <w:widowControl/>
        <w:tabs>
          <w:tab w:val="left" w:pos="567"/>
        </w:tabs>
        <w:autoSpaceDE/>
        <w:autoSpaceDN/>
        <w:adjustRightInd/>
        <w:rPr>
          <w:rFonts w:eastAsia="PMingLiU"/>
          <w:sz w:val="22"/>
          <w:szCs w:val="20"/>
          <w:lang w:val="el-GR"/>
        </w:rPr>
      </w:pPr>
      <w:r>
        <w:rPr>
          <w:rFonts w:eastAsia="PMingLiU"/>
          <w:sz w:val="22"/>
          <w:szCs w:val="20"/>
          <w:lang w:val="el-GR"/>
        </w:rPr>
        <w:t xml:space="preserve">Amgen Europe B.V. </w:t>
      </w:r>
      <w:r>
        <w:rPr>
          <w:rFonts w:eastAsia="PMingLiU"/>
          <w:sz w:val="22"/>
          <w:szCs w:val="20"/>
          <w:lang w:val="el-GR"/>
        </w:rPr>
        <w:br/>
        <w:t xml:space="preserve">Minervum 7061 </w:t>
      </w:r>
      <w:r>
        <w:rPr>
          <w:rFonts w:eastAsia="PMingLiU"/>
          <w:sz w:val="22"/>
          <w:szCs w:val="20"/>
          <w:lang w:val="el-GR"/>
        </w:rPr>
        <w:br/>
        <w:t xml:space="preserve">4817 ZK Breda </w:t>
      </w:r>
      <w:r>
        <w:rPr>
          <w:rFonts w:eastAsia="PMingLiU"/>
          <w:sz w:val="22"/>
          <w:szCs w:val="20"/>
          <w:lang w:val="el-GR"/>
        </w:rPr>
        <w:br/>
        <w:t>Ολλανδία</w:t>
      </w:r>
    </w:p>
    <w:p w14:paraId="5A962737" w14:textId="77777777" w:rsidR="00171824" w:rsidRDefault="00171824">
      <w:pPr>
        <w:widowControl/>
        <w:kinsoku w:val="0"/>
        <w:overflowPunct w:val="0"/>
        <w:rPr>
          <w:sz w:val="22"/>
          <w:szCs w:val="22"/>
          <w:lang w:val="el-GR"/>
        </w:rPr>
      </w:pPr>
    </w:p>
    <w:p w14:paraId="4D6B4930" w14:textId="77777777" w:rsidR="00171824" w:rsidRDefault="006D258C">
      <w:pPr>
        <w:keepNext/>
        <w:keepLines/>
        <w:widowControl/>
        <w:tabs>
          <w:tab w:val="left" w:pos="567"/>
        </w:tabs>
        <w:autoSpaceDE/>
        <w:autoSpaceDN/>
        <w:adjustRightInd/>
        <w:rPr>
          <w:rFonts w:eastAsia="PMingLiU"/>
          <w:b/>
          <w:bCs/>
          <w:sz w:val="22"/>
          <w:szCs w:val="20"/>
          <w:highlight w:val="lightGray"/>
          <w:lang w:val="el-GR"/>
        </w:rPr>
      </w:pPr>
      <w:r>
        <w:rPr>
          <w:rFonts w:eastAsia="PMingLiU"/>
          <w:b/>
          <w:bCs/>
          <w:sz w:val="22"/>
          <w:szCs w:val="20"/>
          <w:highlight w:val="lightGray"/>
          <w:lang w:val="el-GR"/>
        </w:rPr>
        <w:t>Κάτοχος Άδειας Κυκλοφορίας</w:t>
      </w:r>
    </w:p>
    <w:p w14:paraId="27E398F8" w14:textId="77777777" w:rsidR="00171824" w:rsidRPr="00422380" w:rsidRDefault="006D258C">
      <w:pPr>
        <w:keepNext/>
        <w:keepLines/>
        <w:widowControl/>
        <w:tabs>
          <w:tab w:val="left" w:pos="567"/>
        </w:tabs>
        <w:autoSpaceDE/>
        <w:autoSpaceDN/>
        <w:adjustRightInd/>
        <w:rPr>
          <w:rFonts w:eastAsia="PMingLiU"/>
          <w:sz w:val="22"/>
          <w:szCs w:val="20"/>
          <w:highlight w:val="lightGray"/>
          <w:lang w:val="el-GR"/>
        </w:rPr>
      </w:pPr>
      <w:r w:rsidRPr="00422380">
        <w:rPr>
          <w:rFonts w:eastAsia="PMingLiU"/>
          <w:sz w:val="22"/>
          <w:szCs w:val="20"/>
          <w:highlight w:val="lightGray"/>
        </w:rPr>
        <w:t>Amgen</w:t>
      </w:r>
      <w:r w:rsidRPr="00422380">
        <w:rPr>
          <w:rFonts w:eastAsia="PMingLiU"/>
          <w:sz w:val="22"/>
          <w:szCs w:val="20"/>
          <w:highlight w:val="lightGray"/>
          <w:lang w:val="el-GR"/>
        </w:rPr>
        <w:t xml:space="preserve"> </w:t>
      </w:r>
      <w:r w:rsidRPr="00422380">
        <w:rPr>
          <w:rFonts w:eastAsia="PMingLiU"/>
          <w:sz w:val="22"/>
          <w:szCs w:val="20"/>
          <w:highlight w:val="lightGray"/>
        </w:rPr>
        <w:t>Europe</w:t>
      </w:r>
      <w:r w:rsidRPr="00422380">
        <w:rPr>
          <w:rFonts w:eastAsia="PMingLiU"/>
          <w:sz w:val="22"/>
          <w:szCs w:val="20"/>
          <w:highlight w:val="lightGray"/>
          <w:lang w:val="el-GR"/>
        </w:rPr>
        <w:t xml:space="preserve"> </w:t>
      </w:r>
      <w:r w:rsidRPr="00422380">
        <w:rPr>
          <w:rFonts w:eastAsia="PMingLiU"/>
          <w:sz w:val="22"/>
          <w:szCs w:val="20"/>
          <w:highlight w:val="lightGray"/>
        </w:rPr>
        <w:t>B</w:t>
      </w:r>
      <w:r w:rsidRPr="00422380">
        <w:rPr>
          <w:rFonts w:eastAsia="PMingLiU"/>
          <w:sz w:val="22"/>
          <w:szCs w:val="20"/>
          <w:highlight w:val="lightGray"/>
          <w:lang w:val="el-GR"/>
        </w:rPr>
        <w:t>.</w:t>
      </w:r>
      <w:r w:rsidRPr="00422380">
        <w:rPr>
          <w:rFonts w:eastAsia="PMingLiU"/>
          <w:sz w:val="22"/>
          <w:szCs w:val="20"/>
          <w:highlight w:val="lightGray"/>
        </w:rPr>
        <w:t>V</w:t>
      </w:r>
      <w:r w:rsidRPr="00422380">
        <w:rPr>
          <w:rFonts w:eastAsia="PMingLiU"/>
          <w:sz w:val="22"/>
          <w:szCs w:val="20"/>
          <w:highlight w:val="lightGray"/>
          <w:lang w:val="el-GR"/>
        </w:rPr>
        <w:t xml:space="preserve">. </w:t>
      </w:r>
      <w:r w:rsidRPr="00422380">
        <w:rPr>
          <w:rFonts w:eastAsia="PMingLiU"/>
          <w:sz w:val="22"/>
          <w:szCs w:val="20"/>
          <w:highlight w:val="lightGray"/>
          <w:lang w:val="el-GR"/>
        </w:rPr>
        <w:br/>
      </w:r>
      <w:r w:rsidRPr="00422380">
        <w:rPr>
          <w:rFonts w:eastAsia="PMingLiU"/>
          <w:sz w:val="22"/>
          <w:szCs w:val="20"/>
          <w:highlight w:val="lightGray"/>
        </w:rPr>
        <w:t>Minervum</w:t>
      </w:r>
      <w:r w:rsidRPr="00422380">
        <w:rPr>
          <w:rFonts w:eastAsia="PMingLiU"/>
          <w:sz w:val="22"/>
          <w:szCs w:val="20"/>
          <w:highlight w:val="lightGray"/>
          <w:lang w:val="el-GR"/>
        </w:rPr>
        <w:t xml:space="preserve"> 7061 </w:t>
      </w:r>
      <w:r w:rsidRPr="00422380">
        <w:rPr>
          <w:rFonts w:eastAsia="PMingLiU"/>
          <w:sz w:val="22"/>
          <w:szCs w:val="20"/>
          <w:highlight w:val="lightGray"/>
          <w:lang w:val="el-GR"/>
        </w:rPr>
        <w:br/>
        <w:t xml:space="preserve">4817 </w:t>
      </w:r>
      <w:r w:rsidRPr="00422380">
        <w:rPr>
          <w:rFonts w:eastAsia="PMingLiU"/>
          <w:sz w:val="22"/>
          <w:szCs w:val="20"/>
          <w:highlight w:val="lightGray"/>
        </w:rPr>
        <w:t>ZK</w:t>
      </w:r>
      <w:r w:rsidRPr="00422380">
        <w:rPr>
          <w:rFonts w:eastAsia="PMingLiU"/>
          <w:sz w:val="22"/>
          <w:szCs w:val="20"/>
          <w:highlight w:val="lightGray"/>
          <w:lang w:val="el-GR"/>
        </w:rPr>
        <w:t xml:space="preserve"> </w:t>
      </w:r>
      <w:r w:rsidRPr="00422380">
        <w:rPr>
          <w:rFonts w:eastAsia="PMingLiU"/>
          <w:sz w:val="22"/>
          <w:szCs w:val="20"/>
          <w:highlight w:val="lightGray"/>
        </w:rPr>
        <w:t>Breda</w:t>
      </w:r>
      <w:r w:rsidRPr="00422380">
        <w:rPr>
          <w:rFonts w:eastAsia="PMingLiU"/>
          <w:sz w:val="22"/>
          <w:szCs w:val="20"/>
          <w:highlight w:val="lightGray"/>
          <w:lang w:val="el-GR"/>
        </w:rPr>
        <w:t xml:space="preserve"> </w:t>
      </w:r>
      <w:r w:rsidRPr="00422380">
        <w:rPr>
          <w:rFonts w:eastAsia="PMingLiU"/>
          <w:sz w:val="22"/>
          <w:szCs w:val="20"/>
          <w:highlight w:val="lightGray"/>
          <w:lang w:val="el-GR"/>
        </w:rPr>
        <w:br/>
      </w:r>
      <w:r>
        <w:rPr>
          <w:rFonts w:eastAsia="PMingLiU"/>
          <w:sz w:val="22"/>
          <w:szCs w:val="20"/>
          <w:highlight w:val="lightGray"/>
          <w:lang w:val="el-GR"/>
        </w:rPr>
        <w:t>Ολλανδία</w:t>
      </w:r>
    </w:p>
    <w:p w14:paraId="61703676" w14:textId="77777777" w:rsidR="00171824" w:rsidRPr="00422380" w:rsidRDefault="00171824">
      <w:pPr>
        <w:widowControl/>
        <w:tabs>
          <w:tab w:val="left" w:pos="567"/>
        </w:tabs>
        <w:autoSpaceDE/>
        <w:autoSpaceDN/>
        <w:adjustRightInd/>
        <w:rPr>
          <w:rFonts w:eastAsia="PMingLiU"/>
          <w:sz w:val="22"/>
          <w:szCs w:val="20"/>
          <w:highlight w:val="lightGray"/>
          <w:lang w:val="el-GR"/>
        </w:rPr>
      </w:pPr>
    </w:p>
    <w:p w14:paraId="28E63AF0" w14:textId="77777777" w:rsidR="00171824" w:rsidRDefault="006D258C">
      <w:pPr>
        <w:widowControl/>
        <w:tabs>
          <w:tab w:val="left" w:pos="567"/>
        </w:tabs>
        <w:autoSpaceDE/>
        <w:autoSpaceDN/>
        <w:adjustRightInd/>
        <w:rPr>
          <w:rFonts w:eastAsia="PMingLiU"/>
          <w:b/>
          <w:sz w:val="22"/>
          <w:szCs w:val="20"/>
          <w:highlight w:val="lightGray"/>
        </w:rPr>
      </w:pPr>
      <w:r>
        <w:rPr>
          <w:rFonts w:eastAsia="PMingLiU"/>
          <w:b/>
          <w:sz w:val="22"/>
          <w:szCs w:val="20"/>
          <w:highlight w:val="lightGray"/>
          <w:lang w:val="el-GR"/>
        </w:rPr>
        <w:t>Παρασκευαστής</w:t>
      </w:r>
    </w:p>
    <w:p w14:paraId="236FDC83" w14:textId="77777777" w:rsidR="00171824" w:rsidRDefault="006D258C">
      <w:pPr>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Amgen</w:t>
      </w:r>
      <w:r>
        <w:rPr>
          <w:rFonts w:eastAsia="PMingLiU"/>
          <w:sz w:val="22"/>
          <w:szCs w:val="20"/>
          <w:highlight w:val="lightGray"/>
        </w:rPr>
        <w:t xml:space="preserve"> </w:t>
      </w:r>
      <w:r w:rsidRPr="00422380">
        <w:rPr>
          <w:rFonts w:eastAsia="PMingLiU"/>
          <w:sz w:val="22"/>
          <w:szCs w:val="20"/>
          <w:highlight w:val="lightGray"/>
        </w:rPr>
        <w:t>Technology</w:t>
      </w:r>
      <w:r>
        <w:rPr>
          <w:rFonts w:eastAsia="PMingLiU"/>
          <w:sz w:val="22"/>
          <w:szCs w:val="20"/>
          <w:highlight w:val="lightGray"/>
        </w:rPr>
        <w:t xml:space="preserve"> </w:t>
      </w:r>
      <w:r w:rsidRPr="00422380">
        <w:rPr>
          <w:rFonts w:eastAsia="PMingLiU"/>
          <w:sz w:val="22"/>
          <w:szCs w:val="20"/>
          <w:highlight w:val="lightGray"/>
        </w:rPr>
        <w:t>Ireland</w:t>
      </w:r>
      <w:r>
        <w:rPr>
          <w:rFonts w:eastAsia="PMingLiU"/>
          <w:sz w:val="22"/>
          <w:szCs w:val="20"/>
          <w:highlight w:val="lightGray"/>
        </w:rPr>
        <w:t xml:space="preserve"> </w:t>
      </w:r>
      <w:r w:rsidRPr="00422380">
        <w:rPr>
          <w:rFonts w:eastAsia="PMingLiU"/>
          <w:sz w:val="22"/>
          <w:szCs w:val="20"/>
          <w:highlight w:val="lightGray"/>
        </w:rPr>
        <w:t>UC</w:t>
      </w:r>
      <w:r>
        <w:rPr>
          <w:rFonts w:eastAsia="PMingLiU"/>
          <w:sz w:val="22"/>
          <w:szCs w:val="20"/>
          <w:highlight w:val="lightGray"/>
        </w:rPr>
        <w:t xml:space="preserve"> </w:t>
      </w:r>
    </w:p>
    <w:p w14:paraId="156B4078" w14:textId="77777777" w:rsidR="00171824" w:rsidRDefault="006D258C">
      <w:pPr>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Pottery</w:t>
      </w:r>
      <w:r>
        <w:rPr>
          <w:rFonts w:eastAsia="PMingLiU"/>
          <w:sz w:val="22"/>
          <w:szCs w:val="20"/>
          <w:highlight w:val="lightGray"/>
        </w:rPr>
        <w:t xml:space="preserve"> </w:t>
      </w:r>
      <w:r w:rsidRPr="00422380">
        <w:rPr>
          <w:rFonts w:eastAsia="PMingLiU"/>
          <w:sz w:val="22"/>
          <w:szCs w:val="20"/>
          <w:highlight w:val="lightGray"/>
        </w:rPr>
        <w:t>Road</w:t>
      </w:r>
    </w:p>
    <w:p w14:paraId="4E94FBE2" w14:textId="77777777" w:rsidR="00171824" w:rsidRDefault="006D258C">
      <w:pPr>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Dun</w:t>
      </w:r>
      <w:r>
        <w:rPr>
          <w:rFonts w:eastAsia="PMingLiU"/>
          <w:sz w:val="22"/>
          <w:szCs w:val="20"/>
          <w:highlight w:val="lightGray"/>
        </w:rPr>
        <w:t xml:space="preserve"> </w:t>
      </w:r>
      <w:r w:rsidRPr="00422380">
        <w:rPr>
          <w:rFonts w:eastAsia="PMingLiU"/>
          <w:sz w:val="22"/>
          <w:szCs w:val="20"/>
          <w:highlight w:val="lightGray"/>
        </w:rPr>
        <w:t>Laoghaire</w:t>
      </w:r>
    </w:p>
    <w:p w14:paraId="448FE119" w14:textId="77777777" w:rsidR="00171824" w:rsidRDefault="006D258C">
      <w:pPr>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Co</w:t>
      </w:r>
      <w:r>
        <w:rPr>
          <w:rFonts w:eastAsia="PMingLiU"/>
          <w:sz w:val="22"/>
          <w:szCs w:val="20"/>
          <w:highlight w:val="lightGray"/>
        </w:rPr>
        <w:t xml:space="preserve"> </w:t>
      </w:r>
      <w:r w:rsidRPr="00422380">
        <w:rPr>
          <w:rFonts w:eastAsia="PMingLiU"/>
          <w:sz w:val="22"/>
          <w:szCs w:val="20"/>
          <w:highlight w:val="lightGray"/>
        </w:rPr>
        <w:t>Dublin</w:t>
      </w:r>
    </w:p>
    <w:p w14:paraId="5EBB474F" w14:textId="77777777" w:rsidR="00171824" w:rsidRDefault="006D258C">
      <w:pPr>
        <w:widowControl/>
        <w:tabs>
          <w:tab w:val="left" w:pos="567"/>
        </w:tabs>
        <w:autoSpaceDE/>
        <w:autoSpaceDN/>
        <w:adjustRightInd/>
        <w:rPr>
          <w:rFonts w:eastAsia="PMingLiU"/>
          <w:sz w:val="22"/>
          <w:szCs w:val="20"/>
          <w:highlight w:val="lightGray"/>
        </w:rPr>
      </w:pPr>
      <w:r>
        <w:rPr>
          <w:rFonts w:eastAsia="PMingLiU"/>
          <w:sz w:val="22"/>
          <w:szCs w:val="20"/>
          <w:highlight w:val="lightGray"/>
          <w:lang w:val="el-GR"/>
        </w:rPr>
        <w:t>Ιρλανδία</w:t>
      </w:r>
    </w:p>
    <w:p w14:paraId="51AB89A0" w14:textId="77777777" w:rsidR="00171824" w:rsidRPr="00E10827" w:rsidRDefault="00171824">
      <w:pPr>
        <w:widowControl/>
        <w:kinsoku w:val="0"/>
        <w:overflowPunct w:val="0"/>
        <w:rPr>
          <w:sz w:val="22"/>
          <w:szCs w:val="22"/>
        </w:rPr>
      </w:pPr>
    </w:p>
    <w:p w14:paraId="3CCB967E" w14:textId="77777777" w:rsidR="00171824" w:rsidRDefault="006D258C">
      <w:pPr>
        <w:widowControl/>
        <w:tabs>
          <w:tab w:val="left" w:pos="567"/>
        </w:tabs>
        <w:autoSpaceDE/>
        <w:autoSpaceDN/>
        <w:adjustRightInd/>
        <w:rPr>
          <w:rFonts w:eastAsia="PMingLiU"/>
          <w:b/>
          <w:sz w:val="22"/>
          <w:szCs w:val="20"/>
          <w:highlight w:val="lightGray"/>
        </w:rPr>
      </w:pPr>
      <w:r>
        <w:rPr>
          <w:rFonts w:eastAsia="PMingLiU"/>
          <w:b/>
          <w:sz w:val="22"/>
          <w:szCs w:val="20"/>
          <w:highlight w:val="lightGray"/>
          <w:lang w:val="el-GR"/>
        </w:rPr>
        <w:t>Παρασκευαστής</w:t>
      </w:r>
    </w:p>
    <w:p w14:paraId="695931AB" w14:textId="77777777" w:rsidR="00171824" w:rsidRPr="00422380" w:rsidRDefault="006D258C">
      <w:pPr>
        <w:rPr>
          <w:sz w:val="22"/>
          <w:szCs w:val="22"/>
          <w:highlight w:val="lightGray"/>
          <w:lang w:val="el-GR" w:eastAsia="ja-JP"/>
        </w:rPr>
      </w:pPr>
      <w:r w:rsidRPr="00422380">
        <w:rPr>
          <w:sz w:val="22"/>
          <w:szCs w:val="22"/>
          <w:highlight w:val="lightGray"/>
          <w:lang w:eastAsia="ja-JP"/>
        </w:rPr>
        <w:t>Amgen</w:t>
      </w:r>
      <w:r w:rsidRPr="00422380">
        <w:rPr>
          <w:sz w:val="22"/>
          <w:szCs w:val="22"/>
          <w:highlight w:val="lightGray"/>
          <w:lang w:val="el-GR" w:eastAsia="ja-JP"/>
        </w:rPr>
        <w:t xml:space="preserve"> </w:t>
      </w:r>
      <w:r w:rsidRPr="00422380">
        <w:rPr>
          <w:sz w:val="22"/>
          <w:szCs w:val="22"/>
          <w:highlight w:val="lightGray"/>
          <w:lang w:eastAsia="ja-JP"/>
        </w:rPr>
        <w:t>NV</w:t>
      </w:r>
    </w:p>
    <w:p w14:paraId="1DD35B6B" w14:textId="77777777" w:rsidR="00171824" w:rsidRDefault="006D258C">
      <w:pPr>
        <w:rPr>
          <w:sz w:val="22"/>
          <w:szCs w:val="22"/>
          <w:highlight w:val="lightGray"/>
          <w:lang w:val="el-GR" w:eastAsia="ja-JP"/>
        </w:rPr>
      </w:pPr>
      <w:r>
        <w:rPr>
          <w:sz w:val="22"/>
          <w:szCs w:val="22"/>
          <w:highlight w:val="lightGray"/>
          <w:lang w:val="el-GR" w:eastAsia="ja-JP"/>
        </w:rPr>
        <w:t>Telecomlaan 5-7</w:t>
      </w:r>
    </w:p>
    <w:p w14:paraId="5066D9BB" w14:textId="77777777" w:rsidR="00171824" w:rsidRDefault="006D258C">
      <w:pPr>
        <w:rPr>
          <w:sz w:val="22"/>
          <w:szCs w:val="22"/>
          <w:highlight w:val="lightGray"/>
          <w:lang w:val="el-GR" w:eastAsia="ja-JP"/>
        </w:rPr>
      </w:pPr>
      <w:r>
        <w:rPr>
          <w:sz w:val="22"/>
          <w:szCs w:val="22"/>
          <w:highlight w:val="lightGray"/>
          <w:lang w:val="el-GR" w:eastAsia="ja-JP"/>
        </w:rPr>
        <w:t>1831 Diegem</w:t>
      </w:r>
    </w:p>
    <w:p w14:paraId="14BBCE2D" w14:textId="77777777" w:rsidR="00171824" w:rsidRDefault="006D258C">
      <w:pPr>
        <w:widowControl/>
        <w:rPr>
          <w:sz w:val="22"/>
          <w:szCs w:val="22"/>
          <w:lang w:val="el-GR" w:eastAsia="ja-JP"/>
        </w:rPr>
      </w:pPr>
      <w:r>
        <w:rPr>
          <w:sz w:val="22"/>
          <w:szCs w:val="22"/>
          <w:highlight w:val="lightGray"/>
          <w:lang w:val="el-GR" w:eastAsia="ja-JP"/>
        </w:rPr>
        <w:t>Βέλγιο</w:t>
      </w:r>
    </w:p>
    <w:p w14:paraId="03E155C4" w14:textId="77777777" w:rsidR="00171824" w:rsidRDefault="00171824">
      <w:pPr>
        <w:pStyle w:val="BodyText"/>
        <w:widowControl/>
        <w:kinsoku w:val="0"/>
        <w:overflowPunct w:val="0"/>
        <w:ind w:left="0"/>
        <w:rPr>
          <w:lang w:val="el-GR"/>
        </w:rPr>
      </w:pPr>
    </w:p>
    <w:p w14:paraId="76A3E344" w14:textId="77777777" w:rsidR="00171824" w:rsidRDefault="006D258C">
      <w:pPr>
        <w:pStyle w:val="BodyText"/>
        <w:widowControl/>
        <w:kinsoku w:val="0"/>
        <w:overflowPunct w:val="0"/>
        <w:ind w:left="0"/>
        <w:rPr>
          <w:lang w:val="el-GR"/>
        </w:rPr>
      </w:pPr>
      <w:r>
        <w:rPr>
          <w:lang w:val="el-GR"/>
        </w:rPr>
        <w:t>Για οποιαδήποτε πληροφορία σχετικά με το παρόν φαρμακευτικό προϊόν, παρακαλείστε να απευθυνθείτε στον τοπικό αντιπρόσωπο του Κατόχου της Άδειας Κυκλοφορίας:</w:t>
      </w:r>
    </w:p>
    <w:p w14:paraId="0852A835" w14:textId="77777777" w:rsidR="00171824" w:rsidRDefault="00171824">
      <w:pPr>
        <w:pStyle w:val="BodyText"/>
        <w:widowControl/>
        <w:kinsoku w:val="0"/>
        <w:overflowPunct w:val="0"/>
        <w:ind w:left="0"/>
        <w:rPr>
          <w:lang w:val="el-GR"/>
        </w:rPr>
      </w:pPr>
    </w:p>
    <w:tbl>
      <w:tblPr>
        <w:tblW w:w="9356" w:type="dxa"/>
        <w:tblLook w:val="04A0" w:firstRow="1" w:lastRow="0" w:firstColumn="1" w:lastColumn="0" w:noHBand="0" w:noVBand="1"/>
      </w:tblPr>
      <w:tblGrid>
        <w:gridCol w:w="4677"/>
        <w:gridCol w:w="4679"/>
      </w:tblGrid>
      <w:tr w:rsidR="00171824" w14:paraId="7D9CD573" w14:textId="77777777">
        <w:trPr>
          <w:cantSplit/>
        </w:trPr>
        <w:tc>
          <w:tcPr>
            <w:tcW w:w="4677" w:type="dxa"/>
          </w:tcPr>
          <w:p w14:paraId="660BC082"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b/>
                <w:sz w:val="22"/>
                <w:szCs w:val="22"/>
                <w:lang w:val="fr-FR"/>
              </w:rPr>
              <w:t>België/Belgique/Belgien</w:t>
            </w:r>
          </w:p>
          <w:p w14:paraId="6BE53176"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s.a. Amgen n.v.</w:t>
            </w:r>
          </w:p>
          <w:p w14:paraId="52A76DD5"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Tél/Tel: +32 (0)2 7752711</w:t>
            </w:r>
          </w:p>
          <w:p w14:paraId="7C2D68DB"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51C89A6" w14:textId="77777777" w:rsidR="00171824" w:rsidRPr="00422380" w:rsidRDefault="006D258C">
            <w:pPr>
              <w:widowControl/>
              <w:tabs>
                <w:tab w:val="left" w:pos="567"/>
              </w:tabs>
              <w:autoSpaceDE/>
              <w:autoSpaceDN/>
              <w:adjustRightInd/>
              <w:rPr>
                <w:rFonts w:eastAsia="PMingLiU"/>
                <w:b/>
                <w:sz w:val="22"/>
                <w:szCs w:val="22"/>
                <w:lang w:val="el-GR"/>
              </w:rPr>
            </w:pPr>
            <w:r w:rsidRPr="00422380">
              <w:rPr>
                <w:rFonts w:eastAsia="PMingLiU"/>
                <w:b/>
                <w:sz w:val="22"/>
                <w:szCs w:val="22"/>
              </w:rPr>
              <w:t>Lietuva</w:t>
            </w:r>
          </w:p>
          <w:p w14:paraId="62D99B51" w14:textId="77777777" w:rsidR="00171824" w:rsidRPr="00422380" w:rsidRDefault="006D258C">
            <w:pPr>
              <w:widowControl/>
              <w:tabs>
                <w:tab w:val="left" w:pos="567"/>
              </w:tabs>
              <w:autoSpaceDE/>
              <w:autoSpaceDN/>
              <w:adjustRightInd/>
              <w:rPr>
                <w:rFonts w:eastAsia="PMingLiU"/>
                <w:bCs/>
                <w:sz w:val="22"/>
                <w:szCs w:val="22"/>
                <w:lang w:val="el-GR"/>
              </w:rPr>
            </w:pPr>
            <w:r w:rsidRPr="00422380">
              <w:rPr>
                <w:rFonts w:eastAsia="PMingLiU"/>
                <w:sz w:val="22"/>
                <w:szCs w:val="22"/>
              </w:rPr>
              <w:t>Amgen</w:t>
            </w:r>
            <w:r w:rsidRPr="00422380">
              <w:rPr>
                <w:rFonts w:eastAsia="PMingLiU"/>
                <w:sz w:val="22"/>
                <w:szCs w:val="22"/>
                <w:lang w:val="el-GR"/>
              </w:rPr>
              <w:t xml:space="preserve"> </w:t>
            </w:r>
            <w:r w:rsidRPr="00422380">
              <w:rPr>
                <w:rFonts w:eastAsia="PMingLiU"/>
                <w:sz w:val="22"/>
                <w:szCs w:val="22"/>
              </w:rPr>
              <w:t>Switzerland</w:t>
            </w:r>
            <w:r w:rsidRPr="00422380">
              <w:rPr>
                <w:rFonts w:eastAsia="PMingLiU"/>
                <w:sz w:val="22"/>
                <w:szCs w:val="22"/>
                <w:lang w:val="el-GR"/>
              </w:rPr>
              <w:t xml:space="preserve"> </w:t>
            </w:r>
            <w:r w:rsidRPr="00422380">
              <w:rPr>
                <w:rFonts w:eastAsia="PMingLiU"/>
                <w:sz w:val="22"/>
                <w:szCs w:val="22"/>
              </w:rPr>
              <w:t>AG</w:t>
            </w:r>
            <w:r w:rsidRPr="00422380">
              <w:rPr>
                <w:rFonts w:eastAsia="PMingLiU"/>
                <w:sz w:val="22"/>
                <w:szCs w:val="22"/>
                <w:lang w:val="el-GR"/>
              </w:rPr>
              <w:t xml:space="preserve"> </w:t>
            </w:r>
            <w:r w:rsidRPr="00422380">
              <w:rPr>
                <w:rFonts w:eastAsia="PMingLiU"/>
                <w:sz w:val="22"/>
                <w:szCs w:val="22"/>
              </w:rPr>
              <w:t>Vilniaus</w:t>
            </w:r>
            <w:r w:rsidRPr="00422380">
              <w:rPr>
                <w:rFonts w:eastAsia="PMingLiU"/>
                <w:sz w:val="22"/>
                <w:szCs w:val="22"/>
                <w:lang w:val="el-GR"/>
              </w:rPr>
              <w:t xml:space="preserve"> </w:t>
            </w:r>
            <w:r w:rsidRPr="00422380">
              <w:rPr>
                <w:rFonts w:eastAsia="PMingLiU"/>
                <w:sz w:val="22"/>
                <w:szCs w:val="22"/>
              </w:rPr>
              <w:t>filialas</w:t>
            </w:r>
          </w:p>
          <w:p w14:paraId="51284F90"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w:t>
            </w:r>
            <w:del w:id="106" w:author="Author">
              <w:r>
                <w:rPr>
                  <w:rFonts w:eastAsia="PMingLiU"/>
                  <w:bCs/>
                  <w:sz w:val="22"/>
                  <w:szCs w:val="22"/>
                  <w:lang w:val="el-GR"/>
                </w:rPr>
                <w:delText xml:space="preserve">: </w:delText>
              </w:r>
            </w:del>
            <w:ins w:id="107" w:author="Author">
              <w:r>
                <w:rPr>
                  <w:rFonts w:eastAsia="PMingLiU"/>
                  <w:bCs/>
                  <w:sz w:val="22"/>
                  <w:szCs w:val="22"/>
                  <w:lang w:val="el-GR"/>
                </w:rPr>
                <w:t xml:space="preserve">. </w:t>
              </w:r>
            </w:ins>
            <w:r>
              <w:rPr>
                <w:rFonts w:eastAsia="PMingLiU"/>
                <w:bCs/>
                <w:sz w:val="22"/>
                <w:szCs w:val="22"/>
                <w:lang w:val="el-GR"/>
              </w:rPr>
              <w:t>+370 5 219 7474</w:t>
            </w:r>
          </w:p>
          <w:p w14:paraId="128118B0" w14:textId="77777777" w:rsidR="00171824" w:rsidRDefault="00171824">
            <w:pPr>
              <w:widowControl/>
              <w:tabs>
                <w:tab w:val="left" w:pos="567"/>
              </w:tabs>
              <w:autoSpaceDE/>
              <w:autoSpaceDN/>
              <w:adjustRightInd/>
              <w:rPr>
                <w:rFonts w:eastAsia="PMingLiU"/>
                <w:sz w:val="22"/>
                <w:szCs w:val="22"/>
                <w:lang w:val="el-GR"/>
              </w:rPr>
            </w:pPr>
          </w:p>
        </w:tc>
      </w:tr>
      <w:tr w:rsidR="00171824" w:rsidRPr="00AA11B3" w14:paraId="48D8EE23" w14:textId="77777777">
        <w:trPr>
          <w:cantSplit/>
        </w:trPr>
        <w:tc>
          <w:tcPr>
            <w:tcW w:w="4677" w:type="dxa"/>
          </w:tcPr>
          <w:p w14:paraId="04B5A1DB" w14:textId="77777777" w:rsidR="00171824" w:rsidRPr="00422380" w:rsidRDefault="006D258C">
            <w:pPr>
              <w:widowControl/>
              <w:tabs>
                <w:tab w:val="left" w:pos="567"/>
              </w:tabs>
              <w:rPr>
                <w:rFonts w:eastAsia="PMingLiU"/>
                <w:b/>
                <w:sz w:val="22"/>
                <w:szCs w:val="22"/>
                <w:lang w:val="ru-RU"/>
              </w:rPr>
            </w:pPr>
            <w:r>
              <w:rPr>
                <w:rFonts w:eastAsia="PMingLiU"/>
                <w:b/>
                <w:sz w:val="22"/>
                <w:szCs w:val="22"/>
                <w:lang w:val="ru-RU"/>
              </w:rPr>
              <w:t>България</w:t>
            </w:r>
          </w:p>
          <w:p w14:paraId="470EF273" w14:textId="77777777" w:rsidR="00171824" w:rsidRPr="00422380" w:rsidRDefault="006D258C">
            <w:pPr>
              <w:widowControl/>
              <w:tabs>
                <w:tab w:val="left" w:pos="567"/>
              </w:tabs>
              <w:autoSpaceDE/>
              <w:autoSpaceDN/>
              <w:adjustRightInd/>
              <w:rPr>
                <w:rFonts w:eastAsia="PMingLiU"/>
                <w:sz w:val="22"/>
                <w:szCs w:val="22"/>
                <w:lang w:val="ru-RU"/>
              </w:rPr>
            </w:pPr>
            <w:r>
              <w:rPr>
                <w:rFonts w:eastAsia="Arial Unicode MS"/>
                <w:sz w:val="22"/>
                <w:szCs w:val="22"/>
                <w:lang w:val="ru-RU" w:eastAsia="en-GB"/>
              </w:rPr>
              <w:t>Амджен</w:t>
            </w:r>
            <w:r w:rsidRPr="00422380">
              <w:rPr>
                <w:rFonts w:eastAsia="Arial Unicode MS"/>
                <w:sz w:val="22"/>
                <w:szCs w:val="22"/>
                <w:lang w:val="ru-RU" w:eastAsia="en-GB"/>
              </w:rPr>
              <w:t xml:space="preserve"> </w:t>
            </w:r>
            <w:r>
              <w:rPr>
                <w:rFonts w:eastAsia="Arial Unicode MS"/>
                <w:sz w:val="22"/>
                <w:szCs w:val="22"/>
                <w:lang w:val="ru-RU" w:eastAsia="en-GB"/>
              </w:rPr>
              <w:t>България</w:t>
            </w:r>
            <w:r w:rsidRPr="00422380">
              <w:rPr>
                <w:rFonts w:eastAsia="PMingLiU"/>
                <w:sz w:val="22"/>
                <w:szCs w:val="22"/>
                <w:lang w:val="ru-RU"/>
              </w:rPr>
              <w:t xml:space="preserve"> </w:t>
            </w:r>
            <w:r>
              <w:rPr>
                <w:rFonts w:eastAsia="PMingLiU"/>
                <w:sz w:val="22"/>
                <w:szCs w:val="22"/>
                <w:lang w:val="ru-RU"/>
              </w:rPr>
              <w:t>ЕООД</w:t>
            </w:r>
          </w:p>
          <w:p w14:paraId="2377FFD8" w14:textId="77777777" w:rsidR="00171824" w:rsidRPr="00422380" w:rsidRDefault="006D258C">
            <w:pPr>
              <w:widowControl/>
              <w:tabs>
                <w:tab w:val="left" w:pos="567"/>
              </w:tabs>
              <w:autoSpaceDE/>
              <w:autoSpaceDN/>
              <w:adjustRightInd/>
              <w:rPr>
                <w:rFonts w:eastAsia="Arial Unicode MS"/>
                <w:bCs/>
                <w:sz w:val="22"/>
                <w:szCs w:val="22"/>
                <w:lang w:val="ru-RU"/>
              </w:rPr>
            </w:pPr>
            <w:r>
              <w:rPr>
                <w:rFonts w:eastAsia="PMingLiU"/>
                <w:sz w:val="22"/>
                <w:szCs w:val="22"/>
                <w:lang w:val="ru-RU"/>
              </w:rPr>
              <w:t>Тел</w:t>
            </w:r>
            <w:r w:rsidRPr="00422380">
              <w:rPr>
                <w:rFonts w:eastAsia="Arial Unicode MS"/>
                <w:sz w:val="22"/>
                <w:szCs w:val="22"/>
                <w:lang w:val="ru-RU" w:eastAsia="en-GB"/>
              </w:rPr>
              <w:t>.: +</w:t>
            </w:r>
            <w:r w:rsidRPr="00422380">
              <w:rPr>
                <w:rFonts w:eastAsia="PMingLiU"/>
                <w:sz w:val="22"/>
                <w:szCs w:val="22"/>
                <w:lang w:val="ru-RU"/>
              </w:rPr>
              <w:t xml:space="preserve">359 </w:t>
            </w:r>
            <w:r w:rsidRPr="00422380">
              <w:rPr>
                <w:rFonts w:eastAsia="Arial Unicode MS"/>
                <w:bCs/>
                <w:sz w:val="22"/>
                <w:szCs w:val="22"/>
                <w:lang w:val="ru-RU"/>
              </w:rPr>
              <w:t>(0)</w:t>
            </w:r>
            <w:r w:rsidRPr="00422380">
              <w:rPr>
                <w:rFonts w:eastAsia="PMingLiU"/>
                <w:sz w:val="22"/>
                <w:szCs w:val="22"/>
                <w:lang w:val="ru-RU"/>
              </w:rPr>
              <w:t>2</w:t>
            </w:r>
            <w:r w:rsidRPr="00422380">
              <w:rPr>
                <w:rFonts w:eastAsia="Arial Unicode MS"/>
                <w:bCs/>
                <w:sz w:val="22"/>
                <w:szCs w:val="22"/>
              </w:rPr>
              <w:t> </w:t>
            </w:r>
            <w:r w:rsidRPr="00422380">
              <w:rPr>
                <w:rFonts w:eastAsia="Arial Unicode MS"/>
                <w:bCs/>
                <w:sz w:val="22"/>
                <w:szCs w:val="22"/>
                <w:lang w:val="ru-RU"/>
              </w:rPr>
              <w:t>424 7440</w:t>
            </w:r>
          </w:p>
          <w:p w14:paraId="4D9EC1AF" w14:textId="77777777" w:rsidR="00171824" w:rsidRPr="00422380" w:rsidRDefault="00171824">
            <w:pPr>
              <w:widowControl/>
              <w:tabs>
                <w:tab w:val="left" w:pos="567"/>
              </w:tabs>
              <w:autoSpaceDE/>
              <w:autoSpaceDN/>
              <w:adjustRightInd/>
              <w:rPr>
                <w:rFonts w:eastAsia="PMingLiU"/>
                <w:sz w:val="22"/>
                <w:szCs w:val="22"/>
                <w:lang w:val="ru-RU"/>
              </w:rPr>
            </w:pPr>
          </w:p>
        </w:tc>
        <w:tc>
          <w:tcPr>
            <w:tcW w:w="4679" w:type="dxa"/>
          </w:tcPr>
          <w:p w14:paraId="5E792399"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b/>
                <w:sz w:val="22"/>
                <w:szCs w:val="22"/>
                <w:lang w:val="de-DE"/>
              </w:rPr>
              <w:t>Luxembourg/Luxemburg</w:t>
            </w:r>
          </w:p>
          <w:p w14:paraId="68579A4B"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 xml:space="preserve">s.a. Amgen </w:t>
            </w:r>
          </w:p>
          <w:p w14:paraId="03C716CD"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Belgique/Belgien</w:t>
            </w:r>
          </w:p>
          <w:p w14:paraId="07C26B00"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Tél/Tel: +32 (0)2 7752711</w:t>
            </w:r>
          </w:p>
          <w:p w14:paraId="488F9F23" w14:textId="77777777" w:rsidR="00171824" w:rsidRPr="00422380" w:rsidRDefault="00171824">
            <w:pPr>
              <w:widowControl/>
              <w:tabs>
                <w:tab w:val="left" w:pos="567"/>
              </w:tabs>
              <w:autoSpaceDE/>
              <w:autoSpaceDN/>
              <w:adjustRightInd/>
              <w:rPr>
                <w:rFonts w:eastAsia="PMingLiU"/>
                <w:sz w:val="22"/>
                <w:szCs w:val="22"/>
                <w:lang w:val="fr-FR"/>
              </w:rPr>
            </w:pPr>
          </w:p>
        </w:tc>
      </w:tr>
      <w:tr w:rsidR="00171824" w14:paraId="5A1679EF" w14:textId="77777777">
        <w:trPr>
          <w:cantSplit/>
        </w:trPr>
        <w:tc>
          <w:tcPr>
            <w:tcW w:w="4677" w:type="dxa"/>
          </w:tcPr>
          <w:p w14:paraId="4534882F" w14:textId="77777777" w:rsidR="00171824" w:rsidRPr="00422380" w:rsidRDefault="006D258C">
            <w:pPr>
              <w:widowControl/>
              <w:tabs>
                <w:tab w:val="left" w:pos="567"/>
              </w:tabs>
              <w:autoSpaceDE/>
              <w:autoSpaceDN/>
              <w:adjustRightInd/>
              <w:rPr>
                <w:rFonts w:eastAsia="PMingLiU"/>
                <w:b/>
                <w:sz w:val="22"/>
                <w:szCs w:val="22"/>
                <w:lang w:val="sv-SE"/>
              </w:rPr>
            </w:pPr>
            <w:r w:rsidRPr="00422380">
              <w:rPr>
                <w:rFonts w:eastAsia="PMingLiU"/>
                <w:b/>
                <w:sz w:val="22"/>
                <w:szCs w:val="22"/>
                <w:lang w:val="sv-SE"/>
              </w:rPr>
              <w:t>Česká republika</w:t>
            </w:r>
          </w:p>
          <w:p w14:paraId="0B595A41" w14:textId="77777777" w:rsidR="00171824" w:rsidRPr="00422380" w:rsidRDefault="006D258C">
            <w:pPr>
              <w:widowControl/>
              <w:tabs>
                <w:tab w:val="left" w:pos="567"/>
              </w:tabs>
              <w:autoSpaceDE/>
              <w:autoSpaceDN/>
              <w:adjustRightInd/>
              <w:rPr>
                <w:rFonts w:eastAsia="PMingLiU"/>
                <w:sz w:val="22"/>
                <w:szCs w:val="22"/>
                <w:lang w:val="sv-SE"/>
              </w:rPr>
            </w:pPr>
            <w:r w:rsidRPr="00422380">
              <w:rPr>
                <w:rFonts w:eastAsia="PMingLiU"/>
                <w:bCs/>
                <w:sz w:val="22"/>
                <w:szCs w:val="22"/>
                <w:lang w:val="sv-SE"/>
              </w:rPr>
              <w:t>Amgen</w:t>
            </w:r>
            <w:r w:rsidRPr="00422380">
              <w:rPr>
                <w:rFonts w:eastAsia="PMingLiU"/>
                <w:sz w:val="22"/>
                <w:szCs w:val="22"/>
                <w:lang w:val="sv-SE"/>
              </w:rPr>
              <w:t xml:space="preserve"> s.r.o.</w:t>
            </w:r>
          </w:p>
          <w:p w14:paraId="7DE827A8"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 xml:space="preserve">Tel: +420 </w:t>
            </w:r>
            <w:r>
              <w:rPr>
                <w:rFonts w:eastAsia="PMingLiU"/>
                <w:bCs/>
                <w:sz w:val="22"/>
                <w:szCs w:val="22"/>
                <w:lang w:val="el-GR"/>
              </w:rPr>
              <w:t>221 773 500</w:t>
            </w:r>
          </w:p>
          <w:p w14:paraId="4E465323"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AF05056"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Magyarország</w:t>
            </w:r>
          </w:p>
          <w:p w14:paraId="7046DF49" w14:textId="77777777" w:rsidR="00171824" w:rsidRDefault="006D258C">
            <w:pPr>
              <w:widowControl/>
              <w:tabs>
                <w:tab w:val="left" w:pos="567"/>
              </w:tabs>
              <w:autoSpaceDE/>
              <w:autoSpaceDN/>
              <w:adjustRightInd/>
              <w:rPr>
                <w:rFonts w:eastAsia="PMingLiU"/>
                <w:sz w:val="22"/>
                <w:szCs w:val="22"/>
                <w:lang w:val="el-GR"/>
              </w:rPr>
            </w:pPr>
            <w:r>
              <w:rPr>
                <w:rFonts w:eastAsia="PMingLiU"/>
                <w:bCs/>
                <w:sz w:val="22"/>
                <w:szCs w:val="22"/>
                <w:lang w:val="el-GR"/>
              </w:rPr>
              <w:t>Amgen</w:t>
            </w:r>
            <w:r>
              <w:rPr>
                <w:rFonts w:eastAsia="PMingLiU"/>
                <w:sz w:val="22"/>
                <w:szCs w:val="22"/>
                <w:lang w:val="el-GR"/>
              </w:rPr>
              <w:t xml:space="preserve"> Kft.</w:t>
            </w:r>
          </w:p>
          <w:p w14:paraId="69F0F106"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Tel</w:t>
            </w:r>
            <w:r>
              <w:rPr>
                <w:rFonts w:eastAsia="PMingLiU"/>
                <w:bCs/>
                <w:sz w:val="22"/>
                <w:szCs w:val="22"/>
                <w:lang w:val="el-GR"/>
              </w:rPr>
              <w:t>.: +</w:t>
            </w:r>
            <w:r>
              <w:rPr>
                <w:rFonts w:eastAsia="PMingLiU"/>
                <w:sz w:val="22"/>
                <w:szCs w:val="22"/>
                <w:lang w:val="el-GR"/>
              </w:rPr>
              <w:t xml:space="preserve">36 1 </w:t>
            </w:r>
            <w:r>
              <w:rPr>
                <w:rFonts w:eastAsia="PMingLiU"/>
                <w:bCs/>
                <w:sz w:val="22"/>
                <w:szCs w:val="22"/>
                <w:lang w:val="el-GR"/>
              </w:rPr>
              <w:t>35 44 700</w:t>
            </w:r>
          </w:p>
          <w:p w14:paraId="5B5B569C" w14:textId="77777777" w:rsidR="00171824" w:rsidRDefault="00171824">
            <w:pPr>
              <w:widowControl/>
              <w:tabs>
                <w:tab w:val="left" w:pos="567"/>
              </w:tabs>
              <w:autoSpaceDE/>
              <w:autoSpaceDN/>
              <w:adjustRightInd/>
              <w:rPr>
                <w:rFonts w:eastAsia="PMingLiU"/>
                <w:sz w:val="22"/>
                <w:szCs w:val="22"/>
                <w:lang w:val="el-GR"/>
              </w:rPr>
            </w:pPr>
          </w:p>
        </w:tc>
      </w:tr>
      <w:tr w:rsidR="00171824" w14:paraId="3FDC6C6D" w14:textId="77777777">
        <w:trPr>
          <w:cantSplit/>
        </w:trPr>
        <w:tc>
          <w:tcPr>
            <w:tcW w:w="4677" w:type="dxa"/>
          </w:tcPr>
          <w:p w14:paraId="2B50A8CE"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lastRenderedPageBreak/>
              <w:t>Danmark</w:t>
            </w:r>
          </w:p>
          <w:p w14:paraId="5068BEA7"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filial af Amgen AB, Sverige</w:t>
            </w:r>
          </w:p>
          <w:p w14:paraId="5D66E20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w:t>
            </w:r>
            <w:ins w:id="108" w:author="Author">
              <w:r>
                <w:rPr>
                  <w:rFonts w:eastAsia="PMingLiU"/>
                  <w:sz w:val="22"/>
                  <w:szCs w:val="22"/>
                  <w:lang w:val="el-GR"/>
                </w:rPr>
                <w:t>.</w:t>
              </w:r>
            </w:ins>
            <w:r>
              <w:rPr>
                <w:rFonts w:eastAsia="PMingLiU"/>
                <w:sz w:val="22"/>
                <w:szCs w:val="22"/>
                <w:lang w:val="el-GR"/>
              </w:rPr>
              <w:t>: +45 39617500</w:t>
            </w:r>
          </w:p>
          <w:p w14:paraId="4EF962A8"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504AB181" w14:textId="77777777" w:rsidR="00171824" w:rsidRPr="00422380" w:rsidRDefault="006D258C">
            <w:pPr>
              <w:widowControl/>
              <w:tabs>
                <w:tab w:val="left" w:pos="567"/>
              </w:tabs>
              <w:autoSpaceDE/>
              <w:autoSpaceDN/>
              <w:adjustRightInd/>
              <w:rPr>
                <w:rFonts w:eastAsia="PMingLiU"/>
                <w:b/>
                <w:sz w:val="22"/>
                <w:szCs w:val="22"/>
                <w:lang w:val="it-IT"/>
              </w:rPr>
            </w:pPr>
            <w:r w:rsidRPr="00422380">
              <w:rPr>
                <w:rFonts w:eastAsia="PMingLiU"/>
                <w:b/>
                <w:sz w:val="22"/>
                <w:szCs w:val="22"/>
                <w:lang w:val="it-IT"/>
              </w:rPr>
              <w:t>Malta</w:t>
            </w:r>
          </w:p>
          <w:p w14:paraId="5C887FF9" w14:textId="77777777" w:rsidR="00171824" w:rsidRPr="00422380" w:rsidRDefault="006D258C">
            <w:pPr>
              <w:widowControl/>
              <w:tabs>
                <w:tab w:val="left" w:pos="567"/>
              </w:tabs>
              <w:autoSpaceDE/>
              <w:autoSpaceDN/>
              <w:adjustRightInd/>
              <w:rPr>
                <w:rFonts w:eastAsia="PMingLiU"/>
                <w:bCs/>
                <w:sz w:val="22"/>
                <w:szCs w:val="22"/>
                <w:lang w:val="it-IT"/>
              </w:rPr>
            </w:pPr>
            <w:r w:rsidRPr="00422380">
              <w:rPr>
                <w:rFonts w:eastAsia="PMingLiU"/>
                <w:bCs/>
                <w:sz w:val="22"/>
                <w:szCs w:val="22"/>
                <w:lang w:val="it-IT"/>
              </w:rPr>
              <w:t>Amgen S.r.l.</w:t>
            </w:r>
          </w:p>
          <w:p w14:paraId="7BA252B0"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Italy</w:t>
            </w:r>
          </w:p>
          <w:p w14:paraId="1D4B24F9"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 +39 02 6241121</w:t>
            </w:r>
          </w:p>
          <w:p w14:paraId="66D621D2" w14:textId="77777777" w:rsidR="00171824" w:rsidRDefault="00171824">
            <w:pPr>
              <w:widowControl/>
              <w:tabs>
                <w:tab w:val="left" w:pos="567"/>
              </w:tabs>
              <w:autoSpaceDE/>
              <w:autoSpaceDN/>
              <w:adjustRightInd/>
              <w:rPr>
                <w:rFonts w:eastAsia="PMingLiU"/>
                <w:sz w:val="22"/>
                <w:szCs w:val="22"/>
                <w:lang w:val="el-GR"/>
              </w:rPr>
            </w:pPr>
          </w:p>
        </w:tc>
      </w:tr>
      <w:tr w:rsidR="00171824" w:rsidRPr="00A07F46" w14:paraId="42D064BC" w14:textId="77777777">
        <w:trPr>
          <w:cantSplit/>
        </w:trPr>
        <w:tc>
          <w:tcPr>
            <w:tcW w:w="4677" w:type="dxa"/>
          </w:tcPr>
          <w:p w14:paraId="06386419"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Deutschland</w:t>
            </w:r>
          </w:p>
          <w:p w14:paraId="3C64C60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GmbH</w:t>
            </w:r>
          </w:p>
          <w:p w14:paraId="010E0E8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+49 89 1490960</w:t>
            </w:r>
          </w:p>
          <w:p w14:paraId="135020EB"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040BA2FB"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Nederland</w:t>
            </w:r>
          </w:p>
          <w:p w14:paraId="4D781A5D"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B.V.</w:t>
            </w:r>
          </w:p>
          <w:p w14:paraId="13983333"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sz w:val="22"/>
                <w:szCs w:val="22"/>
                <w:lang w:val="da-DK"/>
              </w:rPr>
              <w:t>Tel: +31 (0)76 5732500</w:t>
            </w:r>
          </w:p>
          <w:p w14:paraId="50F0D962" w14:textId="77777777" w:rsidR="00171824" w:rsidRPr="00422380" w:rsidRDefault="00171824">
            <w:pPr>
              <w:widowControl/>
              <w:tabs>
                <w:tab w:val="left" w:pos="567"/>
              </w:tabs>
              <w:autoSpaceDE/>
              <w:autoSpaceDN/>
              <w:adjustRightInd/>
              <w:rPr>
                <w:rFonts w:eastAsia="PMingLiU"/>
                <w:sz w:val="22"/>
                <w:szCs w:val="22"/>
                <w:lang w:val="da-DK"/>
              </w:rPr>
            </w:pPr>
          </w:p>
        </w:tc>
      </w:tr>
      <w:tr w:rsidR="00171824" w14:paraId="56A9A1C9" w14:textId="77777777">
        <w:trPr>
          <w:cantSplit/>
        </w:trPr>
        <w:tc>
          <w:tcPr>
            <w:tcW w:w="4677" w:type="dxa"/>
          </w:tcPr>
          <w:p w14:paraId="4FB55BDC" w14:textId="77777777" w:rsidR="00171824" w:rsidRPr="00422380" w:rsidRDefault="006D258C">
            <w:pPr>
              <w:widowControl/>
              <w:tabs>
                <w:tab w:val="left" w:pos="567"/>
              </w:tabs>
              <w:autoSpaceDE/>
              <w:autoSpaceDN/>
              <w:adjustRightInd/>
              <w:rPr>
                <w:rFonts w:eastAsia="PMingLiU"/>
                <w:b/>
                <w:sz w:val="22"/>
                <w:szCs w:val="22"/>
                <w:lang w:val="da-DK"/>
              </w:rPr>
            </w:pPr>
            <w:r w:rsidRPr="00422380">
              <w:rPr>
                <w:rFonts w:eastAsia="PMingLiU"/>
                <w:b/>
                <w:sz w:val="22"/>
                <w:szCs w:val="22"/>
                <w:lang w:val="da-DK"/>
              </w:rPr>
              <w:t>Eesti</w:t>
            </w:r>
          </w:p>
          <w:p w14:paraId="7B91DF69"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bCs/>
                <w:sz w:val="22"/>
                <w:szCs w:val="22"/>
                <w:lang w:val="da-DK"/>
              </w:rPr>
              <w:t xml:space="preserve">Amgen Switzerland AG </w:t>
            </w:r>
            <w:r w:rsidRPr="00422380">
              <w:rPr>
                <w:rFonts w:eastAsia="PMingLiU"/>
                <w:sz w:val="22"/>
                <w:szCs w:val="22"/>
                <w:lang w:val="da-DK"/>
              </w:rPr>
              <w:t>Vilniaus filialas</w:t>
            </w:r>
          </w:p>
          <w:p w14:paraId="2634ACD7"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+372 586 09553</w:t>
            </w:r>
          </w:p>
          <w:p w14:paraId="4DD78AF2"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60FA53C2"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Norge</w:t>
            </w:r>
          </w:p>
          <w:p w14:paraId="7E6C1E4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AB</w:t>
            </w:r>
          </w:p>
          <w:p w14:paraId="14D1893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 +47 23308000</w:t>
            </w:r>
          </w:p>
          <w:p w14:paraId="4589E882" w14:textId="77777777" w:rsidR="00171824" w:rsidRDefault="00171824">
            <w:pPr>
              <w:widowControl/>
              <w:tabs>
                <w:tab w:val="left" w:pos="567"/>
              </w:tabs>
              <w:autoSpaceDE/>
              <w:autoSpaceDN/>
              <w:adjustRightInd/>
              <w:rPr>
                <w:rFonts w:eastAsia="PMingLiU"/>
                <w:sz w:val="22"/>
                <w:szCs w:val="22"/>
                <w:lang w:val="el-GR"/>
              </w:rPr>
            </w:pPr>
          </w:p>
        </w:tc>
      </w:tr>
      <w:tr w:rsidR="00171824" w14:paraId="0D6B8B2D" w14:textId="77777777">
        <w:trPr>
          <w:cantSplit/>
        </w:trPr>
        <w:tc>
          <w:tcPr>
            <w:tcW w:w="4677" w:type="dxa"/>
          </w:tcPr>
          <w:p w14:paraId="44B07EB3"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Ελλάδα</w:t>
            </w:r>
          </w:p>
          <w:p w14:paraId="41F97B55"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Ελλάς Φαρμακευτικά Ε.Π.Ε. </w:t>
            </w:r>
          </w:p>
          <w:p w14:paraId="1AFD51B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Τηλ: +30 210 3447000</w:t>
            </w:r>
          </w:p>
          <w:p w14:paraId="033460D4"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0B7350DA"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Österreich</w:t>
            </w:r>
          </w:p>
          <w:p w14:paraId="61F178A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GmbH </w:t>
            </w:r>
          </w:p>
          <w:p w14:paraId="07ADF3F4"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+43 (0)1 50 217</w:t>
            </w:r>
          </w:p>
          <w:p w14:paraId="37748DAA" w14:textId="77777777" w:rsidR="00171824" w:rsidRDefault="00171824">
            <w:pPr>
              <w:widowControl/>
              <w:tabs>
                <w:tab w:val="left" w:pos="567"/>
              </w:tabs>
              <w:autoSpaceDE/>
              <w:autoSpaceDN/>
              <w:adjustRightInd/>
              <w:rPr>
                <w:rFonts w:eastAsia="PMingLiU"/>
                <w:sz w:val="22"/>
                <w:szCs w:val="22"/>
                <w:lang w:val="el-GR"/>
              </w:rPr>
            </w:pPr>
          </w:p>
        </w:tc>
      </w:tr>
      <w:tr w:rsidR="00171824" w14:paraId="415040EF" w14:textId="77777777">
        <w:trPr>
          <w:cantSplit/>
        </w:trPr>
        <w:tc>
          <w:tcPr>
            <w:tcW w:w="4677" w:type="dxa"/>
          </w:tcPr>
          <w:p w14:paraId="71C6FDB5"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b/>
                <w:sz w:val="22"/>
                <w:szCs w:val="22"/>
                <w:lang w:val="es-ES"/>
              </w:rPr>
              <w:t>España</w:t>
            </w:r>
          </w:p>
          <w:p w14:paraId="7A000A14"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Amgen S.A.</w:t>
            </w:r>
          </w:p>
          <w:p w14:paraId="6E8F8EE2"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 xml:space="preserve">Tel: +34 93 600 18 60 </w:t>
            </w:r>
          </w:p>
          <w:p w14:paraId="14696A6B" w14:textId="77777777" w:rsidR="00171824" w:rsidRPr="00422380" w:rsidRDefault="00171824">
            <w:pPr>
              <w:keepNext/>
              <w:widowControl/>
              <w:tabs>
                <w:tab w:val="left" w:pos="567"/>
              </w:tabs>
              <w:autoSpaceDE/>
              <w:autoSpaceDN/>
              <w:adjustRightInd/>
              <w:rPr>
                <w:rFonts w:eastAsia="PMingLiU"/>
                <w:sz w:val="22"/>
                <w:szCs w:val="22"/>
                <w:lang w:val="es-ES"/>
              </w:rPr>
            </w:pPr>
          </w:p>
        </w:tc>
        <w:tc>
          <w:tcPr>
            <w:tcW w:w="4679" w:type="dxa"/>
          </w:tcPr>
          <w:p w14:paraId="2B243728" w14:textId="77777777" w:rsidR="00171824" w:rsidRPr="00422380" w:rsidRDefault="006D258C">
            <w:pPr>
              <w:keepNext/>
              <w:widowControl/>
              <w:tabs>
                <w:tab w:val="left" w:pos="567"/>
              </w:tabs>
              <w:autoSpaceDE/>
              <w:autoSpaceDN/>
              <w:adjustRightInd/>
              <w:rPr>
                <w:rFonts w:eastAsia="PMingLiU"/>
                <w:b/>
                <w:sz w:val="22"/>
                <w:szCs w:val="22"/>
                <w:lang w:val="pl-PL"/>
              </w:rPr>
            </w:pPr>
            <w:r w:rsidRPr="00422380">
              <w:rPr>
                <w:rFonts w:eastAsia="PMingLiU"/>
                <w:b/>
                <w:sz w:val="22"/>
                <w:szCs w:val="22"/>
                <w:lang w:val="pl-PL"/>
              </w:rPr>
              <w:t>Polska</w:t>
            </w:r>
          </w:p>
          <w:p w14:paraId="2764BA6C" w14:textId="77777777" w:rsidR="00171824" w:rsidRPr="00422380" w:rsidRDefault="006D258C">
            <w:pPr>
              <w:keepNext/>
              <w:widowControl/>
              <w:tabs>
                <w:tab w:val="left" w:pos="567"/>
              </w:tabs>
              <w:autoSpaceDE/>
              <w:autoSpaceDN/>
              <w:adjustRightInd/>
              <w:rPr>
                <w:rFonts w:eastAsia="PMingLiU"/>
                <w:sz w:val="22"/>
                <w:szCs w:val="22"/>
                <w:lang w:val="pl-PL"/>
              </w:rPr>
            </w:pPr>
            <w:r w:rsidRPr="00422380">
              <w:rPr>
                <w:rFonts w:eastAsia="PMingLiU"/>
                <w:sz w:val="22"/>
                <w:szCs w:val="22"/>
                <w:lang w:val="pl-PL"/>
              </w:rPr>
              <w:t xml:space="preserve">Amgen </w:t>
            </w:r>
            <w:r w:rsidRPr="00422380">
              <w:rPr>
                <w:rFonts w:eastAsia="PMingLiU"/>
                <w:color w:val="000000"/>
                <w:sz w:val="22"/>
                <w:szCs w:val="22"/>
                <w:lang w:val="pl-PL" w:eastAsia="en-GB"/>
              </w:rPr>
              <w:t>Biotechnologia</w:t>
            </w:r>
            <w:r w:rsidRPr="00422380">
              <w:rPr>
                <w:rFonts w:eastAsia="PMingLiU"/>
                <w:sz w:val="22"/>
                <w:szCs w:val="22"/>
                <w:lang w:val="pl-PL"/>
              </w:rPr>
              <w:t xml:space="preserve"> Sp. z o.o.</w:t>
            </w:r>
          </w:p>
          <w:p w14:paraId="5E50803F"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+48 22 </w:t>
            </w:r>
            <w:r>
              <w:rPr>
                <w:rFonts w:eastAsia="PMingLiU"/>
                <w:bCs/>
                <w:sz w:val="22"/>
                <w:szCs w:val="22"/>
                <w:lang w:val="el-GR"/>
              </w:rPr>
              <w:t>581 3000</w:t>
            </w:r>
          </w:p>
          <w:p w14:paraId="5154E7DF" w14:textId="77777777" w:rsidR="00171824" w:rsidRDefault="00171824">
            <w:pPr>
              <w:keepNext/>
              <w:widowControl/>
              <w:tabs>
                <w:tab w:val="left" w:pos="567"/>
              </w:tabs>
              <w:autoSpaceDE/>
              <w:autoSpaceDN/>
              <w:adjustRightInd/>
              <w:rPr>
                <w:rFonts w:eastAsia="PMingLiU"/>
                <w:sz w:val="22"/>
                <w:szCs w:val="22"/>
                <w:lang w:val="el-GR"/>
              </w:rPr>
            </w:pPr>
          </w:p>
        </w:tc>
      </w:tr>
      <w:tr w:rsidR="00171824" w14:paraId="20E7DEEC" w14:textId="77777777">
        <w:trPr>
          <w:cantSplit/>
        </w:trPr>
        <w:tc>
          <w:tcPr>
            <w:tcW w:w="4677" w:type="dxa"/>
          </w:tcPr>
          <w:p w14:paraId="3ED7F262"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b/>
                <w:sz w:val="22"/>
                <w:szCs w:val="22"/>
                <w:lang w:val="fr-CA"/>
              </w:rPr>
              <w:t>France</w:t>
            </w:r>
          </w:p>
          <w:p w14:paraId="7D7A601B"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sz w:val="22"/>
                <w:szCs w:val="22"/>
                <w:lang w:val="fr-CA"/>
              </w:rPr>
              <w:t>Amgen S.A.S.</w:t>
            </w:r>
          </w:p>
          <w:p w14:paraId="5AC5E916" w14:textId="77777777" w:rsidR="00171824" w:rsidRDefault="006D258C">
            <w:pPr>
              <w:widowControl/>
              <w:tabs>
                <w:tab w:val="left" w:pos="567"/>
              </w:tabs>
              <w:autoSpaceDE/>
              <w:autoSpaceDN/>
              <w:adjustRightInd/>
              <w:rPr>
                <w:rFonts w:eastAsia="MS Mincho"/>
                <w:sz w:val="22"/>
                <w:szCs w:val="22"/>
                <w:lang w:val="el-GR" w:eastAsia="en-IN"/>
              </w:rPr>
            </w:pPr>
            <w:r>
              <w:rPr>
                <w:rFonts w:eastAsia="PMingLiU"/>
                <w:sz w:val="22"/>
                <w:szCs w:val="22"/>
                <w:lang w:val="el-GR"/>
              </w:rPr>
              <w:t>Tél: +33 (0)9 69 363 363</w:t>
            </w:r>
          </w:p>
          <w:p w14:paraId="758BE5CD"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12FBF07F"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b/>
                <w:sz w:val="22"/>
                <w:szCs w:val="22"/>
              </w:rPr>
              <w:t>Portugal</w:t>
            </w:r>
          </w:p>
          <w:p w14:paraId="6645F7E6"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Biofarmacêutica, Lda.</w:t>
            </w:r>
          </w:p>
          <w:p w14:paraId="25442280"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Tel: +351 21 4220606</w:t>
            </w:r>
          </w:p>
          <w:p w14:paraId="41EC4A36" w14:textId="77777777" w:rsidR="00171824" w:rsidRPr="00422380" w:rsidRDefault="00171824">
            <w:pPr>
              <w:widowControl/>
              <w:tabs>
                <w:tab w:val="left" w:pos="567"/>
              </w:tabs>
              <w:autoSpaceDE/>
              <w:autoSpaceDN/>
              <w:adjustRightInd/>
              <w:rPr>
                <w:rFonts w:eastAsia="PMingLiU"/>
                <w:sz w:val="22"/>
                <w:szCs w:val="22"/>
              </w:rPr>
            </w:pPr>
          </w:p>
        </w:tc>
      </w:tr>
      <w:tr w:rsidR="00171824" w:rsidRPr="00422380" w14:paraId="042EA1CD" w14:textId="77777777">
        <w:trPr>
          <w:cantSplit/>
        </w:trPr>
        <w:tc>
          <w:tcPr>
            <w:tcW w:w="4677" w:type="dxa"/>
          </w:tcPr>
          <w:p w14:paraId="7A5FCD63"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b/>
                <w:sz w:val="22"/>
                <w:szCs w:val="22"/>
                <w:lang w:val="sv-SE"/>
              </w:rPr>
              <w:t>Hrvatska</w:t>
            </w:r>
          </w:p>
          <w:p w14:paraId="48573E02"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sz w:val="22"/>
                <w:szCs w:val="22"/>
                <w:lang w:val="sv-SE"/>
              </w:rPr>
              <w:t>Amgen d.o.o.</w:t>
            </w:r>
          </w:p>
          <w:p w14:paraId="55F2B40F" w14:textId="77777777" w:rsidR="00171824" w:rsidRDefault="006D258C">
            <w:pPr>
              <w:keepNext/>
              <w:keepLines/>
              <w:widowControl/>
              <w:tabs>
                <w:tab w:val="left" w:pos="567"/>
              </w:tabs>
              <w:autoSpaceDE/>
              <w:autoSpaceDN/>
              <w:adjustRightInd/>
              <w:rPr>
                <w:rFonts w:eastAsia="MS Mincho"/>
                <w:sz w:val="22"/>
                <w:szCs w:val="22"/>
                <w:lang w:val="el-GR" w:eastAsia="en-IN"/>
              </w:rPr>
            </w:pPr>
            <w:r>
              <w:rPr>
                <w:rFonts w:eastAsia="PMingLiU"/>
                <w:sz w:val="22"/>
                <w:szCs w:val="22"/>
                <w:lang w:val="el-GR"/>
              </w:rPr>
              <w:t>Tel: +385 (0)1 562 57 20</w:t>
            </w:r>
          </w:p>
          <w:p w14:paraId="5AF27B6A" w14:textId="77777777" w:rsidR="00171824" w:rsidRDefault="00171824">
            <w:pPr>
              <w:keepNext/>
              <w:keepLines/>
              <w:widowControl/>
              <w:tabs>
                <w:tab w:val="left" w:pos="567"/>
              </w:tabs>
              <w:autoSpaceDE/>
              <w:autoSpaceDN/>
              <w:adjustRightInd/>
              <w:rPr>
                <w:rFonts w:eastAsia="PMingLiU"/>
                <w:sz w:val="22"/>
                <w:szCs w:val="22"/>
                <w:lang w:val="el-GR"/>
              </w:rPr>
            </w:pPr>
          </w:p>
        </w:tc>
        <w:tc>
          <w:tcPr>
            <w:tcW w:w="4679" w:type="dxa"/>
          </w:tcPr>
          <w:p w14:paraId="237574CA" w14:textId="77777777" w:rsidR="00171824" w:rsidRPr="00422380" w:rsidRDefault="006D258C">
            <w:pPr>
              <w:keepNext/>
              <w:keepLines/>
              <w:widowControl/>
              <w:tabs>
                <w:tab w:val="left" w:pos="567"/>
              </w:tabs>
              <w:suppressAutoHyphens/>
              <w:autoSpaceDE/>
              <w:autoSpaceDN/>
              <w:adjustRightInd/>
              <w:rPr>
                <w:rFonts w:eastAsia="PMingLiU"/>
                <w:b/>
                <w:sz w:val="22"/>
                <w:szCs w:val="22"/>
                <w:lang w:val="it-IT"/>
              </w:rPr>
            </w:pPr>
            <w:r w:rsidRPr="00422380">
              <w:rPr>
                <w:rFonts w:eastAsia="PMingLiU"/>
                <w:b/>
                <w:sz w:val="22"/>
                <w:szCs w:val="22"/>
                <w:lang w:val="it-IT"/>
              </w:rPr>
              <w:t>România</w:t>
            </w:r>
          </w:p>
          <w:p w14:paraId="6C0E36B5" w14:textId="77777777" w:rsidR="00171824" w:rsidRPr="00422380" w:rsidRDefault="006D258C">
            <w:pPr>
              <w:keepNext/>
              <w:keepLines/>
              <w:widowControl/>
              <w:tabs>
                <w:tab w:val="left" w:pos="567"/>
              </w:tabs>
              <w:autoSpaceDE/>
              <w:autoSpaceDN/>
              <w:adjustRightInd/>
              <w:rPr>
                <w:rFonts w:eastAsia="PMingLiU"/>
                <w:color w:val="000000"/>
                <w:sz w:val="22"/>
                <w:szCs w:val="22"/>
                <w:lang w:val="it-IT"/>
              </w:rPr>
            </w:pPr>
            <w:r w:rsidRPr="00422380">
              <w:rPr>
                <w:rFonts w:eastAsia="PMingLiU"/>
                <w:color w:val="000000"/>
                <w:sz w:val="22"/>
                <w:szCs w:val="22"/>
                <w:lang w:val="it-IT"/>
              </w:rPr>
              <w:t>Amgen România SRL</w:t>
            </w:r>
          </w:p>
          <w:p w14:paraId="7855A8F9" w14:textId="77777777" w:rsidR="00171824" w:rsidRPr="00422380" w:rsidRDefault="006D258C">
            <w:pPr>
              <w:keepNext/>
              <w:keepLines/>
              <w:widowControl/>
              <w:tabs>
                <w:tab w:val="left" w:pos="567"/>
              </w:tabs>
              <w:autoSpaceDE/>
              <w:autoSpaceDN/>
              <w:adjustRightInd/>
              <w:rPr>
                <w:rFonts w:eastAsia="PMingLiU"/>
                <w:sz w:val="22"/>
                <w:szCs w:val="22"/>
                <w:lang w:val="it-IT"/>
              </w:rPr>
            </w:pPr>
            <w:r w:rsidRPr="00422380">
              <w:rPr>
                <w:rFonts w:eastAsia="PMingLiU"/>
                <w:sz w:val="22"/>
                <w:szCs w:val="22"/>
                <w:lang w:val="it-IT"/>
              </w:rPr>
              <w:t>Tel: +4021 527 3000</w:t>
            </w:r>
          </w:p>
          <w:p w14:paraId="094055F7" w14:textId="77777777" w:rsidR="00171824" w:rsidRPr="00422380" w:rsidRDefault="00171824">
            <w:pPr>
              <w:keepNext/>
              <w:keepLines/>
              <w:widowControl/>
              <w:tabs>
                <w:tab w:val="left" w:pos="567"/>
              </w:tabs>
              <w:autoSpaceDE/>
              <w:autoSpaceDN/>
              <w:adjustRightInd/>
              <w:rPr>
                <w:rFonts w:eastAsia="PMingLiU"/>
                <w:sz w:val="22"/>
                <w:szCs w:val="22"/>
                <w:lang w:val="it-IT"/>
              </w:rPr>
            </w:pPr>
          </w:p>
        </w:tc>
      </w:tr>
      <w:tr w:rsidR="00171824" w14:paraId="502B5B68" w14:textId="77777777">
        <w:trPr>
          <w:cantSplit/>
        </w:trPr>
        <w:tc>
          <w:tcPr>
            <w:tcW w:w="4677" w:type="dxa"/>
          </w:tcPr>
          <w:p w14:paraId="0C01EA60"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Ireland</w:t>
            </w:r>
          </w:p>
          <w:p w14:paraId="4089217E" w14:textId="77777777" w:rsidR="00171824" w:rsidRPr="00422380" w:rsidRDefault="006D258C">
            <w:pPr>
              <w:widowControl/>
              <w:tabs>
                <w:tab w:val="left" w:pos="567"/>
              </w:tabs>
              <w:autoSpaceDE/>
              <w:autoSpaceDN/>
              <w:adjustRightInd/>
              <w:rPr>
                <w:rFonts w:eastAsia="PMingLiU"/>
                <w:sz w:val="22"/>
                <w:szCs w:val="22"/>
              </w:rPr>
            </w:pPr>
            <w:r w:rsidRPr="00422380">
              <w:rPr>
                <w:rFonts w:eastAsia="Arial Unicode MS"/>
                <w:bCs/>
                <w:sz w:val="22"/>
                <w:szCs w:val="22"/>
              </w:rPr>
              <w:t>Amgen Ireland</w:t>
            </w:r>
            <w:r w:rsidRPr="00422380">
              <w:rPr>
                <w:rFonts w:eastAsia="PMingLiU"/>
                <w:sz w:val="22"/>
                <w:szCs w:val="22"/>
              </w:rPr>
              <w:t xml:space="preserve"> Limited</w:t>
            </w:r>
          </w:p>
          <w:p w14:paraId="67D6B696" w14:textId="77777777" w:rsidR="00171824" w:rsidRPr="00422380" w:rsidRDefault="006D258C">
            <w:pPr>
              <w:widowControl/>
              <w:tabs>
                <w:tab w:val="left" w:pos="567"/>
              </w:tabs>
              <w:autoSpaceDE/>
              <w:autoSpaceDN/>
              <w:adjustRightInd/>
              <w:rPr>
                <w:rFonts w:eastAsia="Arial Unicode MS"/>
                <w:bCs/>
                <w:sz w:val="22"/>
                <w:szCs w:val="22"/>
              </w:rPr>
            </w:pPr>
            <w:r w:rsidRPr="00422380">
              <w:rPr>
                <w:rFonts w:eastAsia="PMingLiU"/>
                <w:sz w:val="22"/>
                <w:szCs w:val="22"/>
              </w:rPr>
              <w:t>Tel: +</w:t>
            </w:r>
            <w:r w:rsidRPr="00422380">
              <w:rPr>
                <w:rFonts w:eastAsia="Arial Unicode MS"/>
                <w:bCs/>
                <w:sz w:val="22"/>
                <w:szCs w:val="22"/>
              </w:rPr>
              <w:t>353 1 8527400</w:t>
            </w:r>
          </w:p>
          <w:p w14:paraId="33279433"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106D3E19" w14:textId="77777777" w:rsidR="00171824" w:rsidRPr="00422380" w:rsidRDefault="006D258C">
            <w:pPr>
              <w:widowControl/>
              <w:tabs>
                <w:tab w:val="left" w:pos="567"/>
              </w:tabs>
              <w:autoSpaceDE/>
              <w:autoSpaceDN/>
              <w:adjustRightInd/>
              <w:rPr>
                <w:rFonts w:eastAsia="PMingLiU"/>
                <w:b/>
                <w:sz w:val="22"/>
                <w:szCs w:val="22"/>
                <w:lang w:val="it-IT"/>
              </w:rPr>
            </w:pPr>
            <w:r w:rsidRPr="00422380">
              <w:rPr>
                <w:rFonts w:eastAsia="PMingLiU"/>
                <w:b/>
                <w:sz w:val="22"/>
                <w:szCs w:val="22"/>
                <w:lang w:val="it-IT"/>
              </w:rPr>
              <w:t>Slovenija</w:t>
            </w:r>
          </w:p>
          <w:p w14:paraId="49F40931" w14:textId="77777777" w:rsidR="00171824" w:rsidRPr="00422380" w:rsidRDefault="006D258C">
            <w:pPr>
              <w:widowControl/>
              <w:tabs>
                <w:tab w:val="left" w:pos="567"/>
              </w:tabs>
              <w:autoSpaceDE/>
              <w:autoSpaceDN/>
              <w:adjustRightInd/>
              <w:rPr>
                <w:rFonts w:eastAsia="PMingLiU"/>
                <w:sz w:val="22"/>
                <w:szCs w:val="22"/>
                <w:lang w:val="it-IT"/>
              </w:rPr>
            </w:pPr>
            <w:r w:rsidRPr="00422380">
              <w:rPr>
                <w:rFonts w:eastAsia="PMingLiU"/>
                <w:sz w:val="22"/>
                <w:szCs w:val="22"/>
                <w:lang w:val="it-IT"/>
              </w:rPr>
              <w:t>AMGEN zdravila d.o.o.</w:t>
            </w:r>
          </w:p>
          <w:p w14:paraId="32117AE9" w14:textId="77777777" w:rsidR="00171824" w:rsidRDefault="006D258C">
            <w:pPr>
              <w:widowControl/>
              <w:tabs>
                <w:tab w:val="left" w:pos="567"/>
              </w:tabs>
              <w:autoSpaceDE/>
              <w:autoSpaceDN/>
              <w:adjustRightInd/>
              <w:rPr>
                <w:rFonts w:eastAsia="PMingLiU"/>
                <w:bCs/>
                <w:sz w:val="22"/>
                <w:szCs w:val="22"/>
              </w:rPr>
            </w:pPr>
            <w:r>
              <w:rPr>
                <w:rFonts w:eastAsia="PMingLiU"/>
                <w:sz w:val="22"/>
                <w:szCs w:val="22"/>
              </w:rPr>
              <w:t>Tel: +386 (</w:t>
            </w:r>
            <w:r>
              <w:rPr>
                <w:rFonts w:eastAsia="PMingLiU"/>
                <w:bCs/>
                <w:sz w:val="22"/>
                <w:szCs w:val="22"/>
              </w:rPr>
              <w:t>0)</w:t>
            </w:r>
            <w:r>
              <w:rPr>
                <w:rFonts w:eastAsia="PMingLiU"/>
                <w:sz w:val="22"/>
                <w:szCs w:val="22"/>
              </w:rPr>
              <w:t>1</w:t>
            </w:r>
            <w:r>
              <w:rPr>
                <w:rFonts w:eastAsia="PMingLiU"/>
                <w:bCs/>
                <w:sz w:val="22"/>
                <w:szCs w:val="22"/>
              </w:rPr>
              <w:t xml:space="preserve"> 585 1767</w:t>
            </w:r>
          </w:p>
          <w:p w14:paraId="63A51BE0" w14:textId="77777777" w:rsidR="00171824" w:rsidRDefault="00171824">
            <w:pPr>
              <w:widowControl/>
              <w:tabs>
                <w:tab w:val="left" w:pos="567"/>
              </w:tabs>
              <w:autoSpaceDE/>
              <w:autoSpaceDN/>
              <w:adjustRightInd/>
              <w:rPr>
                <w:rFonts w:eastAsia="PMingLiU"/>
                <w:sz w:val="22"/>
                <w:szCs w:val="22"/>
              </w:rPr>
            </w:pPr>
          </w:p>
        </w:tc>
      </w:tr>
      <w:tr w:rsidR="00171824" w14:paraId="04503F28" w14:textId="77777777">
        <w:trPr>
          <w:cantSplit/>
        </w:trPr>
        <w:tc>
          <w:tcPr>
            <w:tcW w:w="4677" w:type="dxa"/>
          </w:tcPr>
          <w:p w14:paraId="2A5E885D"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Ísland</w:t>
            </w:r>
          </w:p>
          <w:p w14:paraId="07A21AA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Vistor</w:t>
            </w:r>
            <w:del w:id="109" w:author="Author">
              <w:r>
                <w:rPr>
                  <w:rFonts w:eastAsia="PMingLiU"/>
                  <w:sz w:val="22"/>
                  <w:szCs w:val="22"/>
                  <w:lang w:val="el-GR"/>
                </w:rPr>
                <w:delText xml:space="preserve"> hf.</w:delText>
              </w:r>
            </w:del>
          </w:p>
          <w:p w14:paraId="70E4207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Sími: +354 535 7000</w:t>
            </w:r>
          </w:p>
          <w:p w14:paraId="7ABFA710"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257905A1" w14:textId="77777777" w:rsidR="00171824" w:rsidRPr="00422380" w:rsidRDefault="006D258C">
            <w:pPr>
              <w:widowControl/>
              <w:tabs>
                <w:tab w:val="left" w:pos="567"/>
              </w:tabs>
              <w:autoSpaceDE/>
              <w:autoSpaceDN/>
              <w:adjustRightInd/>
              <w:rPr>
                <w:rFonts w:eastAsia="PMingLiU"/>
                <w:b/>
                <w:sz w:val="22"/>
                <w:szCs w:val="22"/>
                <w:lang w:val="sv-SE"/>
              </w:rPr>
            </w:pPr>
            <w:r w:rsidRPr="00422380">
              <w:rPr>
                <w:rFonts w:eastAsia="PMingLiU"/>
                <w:b/>
                <w:sz w:val="22"/>
                <w:szCs w:val="22"/>
                <w:lang w:val="sv-SE"/>
              </w:rPr>
              <w:t>Slovenská republika</w:t>
            </w:r>
          </w:p>
          <w:p w14:paraId="2ED9ABDC" w14:textId="77777777" w:rsidR="00171824" w:rsidRPr="00422380" w:rsidRDefault="006D258C">
            <w:pPr>
              <w:widowControl/>
              <w:tabs>
                <w:tab w:val="left" w:pos="567"/>
              </w:tabs>
              <w:autoSpaceDE/>
              <w:autoSpaceDN/>
              <w:adjustRightInd/>
              <w:rPr>
                <w:rFonts w:eastAsia="PMingLiU"/>
                <w:sz w:val="22"/>
                <w:szCs w:val="22"/>
                <w:lang w:val="sv-SE"/>
              </w:rPr>
            </w:pPr>
            <w:r w:rsidRPr="00422380">
              <w:rPr>
                <w:rFonts w:eastAsia="PMingLiU"/>
                <w:bCs/>
                <w:sz w:val="22"/>
                <w:szCs w:val="22"/>
                <w:lang w:val="sv-SE"/>
              </w:rPr>
              <w:t>Amgen Slovakia</w:t>
            </w:r>
            <w:r w:rsidRPr="00422380">
              <w:rPr>
                <w:rFonts w:eastAsia="PMingLiU"/>
                <w:sz w:val="22"/>
                <w:szCs w:val="22"/>
                <w:lang w:val="sv-SE"/>
              </w:rPr>
              <w:t xml:space="preserve"> s.r.o.</w:t>
            </w:r>
          </w:p>
          <w:p w14:paraId="6FA2DD80"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 xml:space="preserve">Tel: </w:t>
            </w:r>
            <w:r>
              <w:rPr>
                <w:rFonts w:eastAsia="PMingLiU"/>
                <w:bCs/>
                <w:sz w:val="22"/>
                <w:szCs w:val="22"/>
                <w:lang w:val="el-GR"/>
              </w:rPr>
              <w:t>+421 2 321 114 49</w:t>
            </w:r>
          </w:p>
          <w:p w14:paraId="56187BBF" w14:textId="77777777" w:rsidR="00171824" w:rsidRDefault="00171824">
            <w:pPr>
              <w:widowControl/>
              <w:tabs>
                <w:tab w:val="left" w:pos="567"/>
              </w:tabs>
              <w:autoSpaceDE/>
              <w:autoSpaceDN/>
              <w:adjustRightInd/>
              <w:rPr>
                <w:rFonts w:eastAsia="PMingLiU"/>
                <w:sz w:val="22"/>
                <w:szCs w:val="22"/>
                <w:lang w:val="el-GR"/>
              </w:rPr>
            </w:pPr>
          </w:p>
        </w:tc>
      </w:tr>
      <w:tr w:rsidR="00171824" w14:paraId="0DE29237" w14:textId="77777777">
        <w:trPr>
          <w:cantSplit/>
        </w:trPr>
        <w:tc>
          <w:tcPr>
            <w:tcW w:w="4677" w:type="dxa"/>
          </w:tcPr>
          <w:p w14:paraId="1593A32C"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b/>
                <w:sz w:val="22"/>
                <w:szCs w:val="22"/>
                <w:lang w:val="es-ES"/>
              </w:rPr>
              <w:t>Italia</w:t>
            </w:r>
          </w:p>
          <w:p w14:paraId="5BE786F4"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sz w:val="22"/>
                <w:szCs w:val="22"/>
                <w:lang w:val="es-ES"/>
              </w:rPr>
              <w:t>Amgen S.r.l.</w:t>
            </w:r>
          </w:p>
          <w:p w14:paraId="5C3132C7"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+39 02 6241121</w:t>
            </w:r>
          </w:p>
          <w:p w14:paraId="6675EAF6"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54C3C412" w14:textId="77777777" w:rsidR="00171824" w:rsidRPr="00422380" w:rsidRDefault="006D258C">
            <w:pPr>
              <w:widowControl/>
              <w:tabs>
                <w:tab w:val="left" w:pos="567"/>
              </w:tabs>
              <w:autoSpaceDE/>
              <w:autoSpaceDN/>
              <w:adjustRightInd/>
              <w:rPr>
                <w:rFonts w:eastAsia="PMingLiU"/>
                <w:sz w:val="22"/>
                <w:szCs w:val="22"/>
                <w:lang w:val="el-GR"/>
              </w:rPr>
            </w:pPr>
            <w:r w:rsidRPr="00422380">
              <w:rPr>
                <w:rFonts w:eastAsia="PMingLiU"/>
                <w:b/>
                <w:sz w:val="22"/>
                <w:szCs w:val="22"/>
                <w:lang w:val="it-IT"/>
              </w:rPr>
              <w:t>Suomi</w:t>
            </w:r>
            <w:r w:rsidRPr="00422380">
              <w:rPr>
                <w:rFonts w:eastAsia="PMingLiU"/>
                <w:b/>
                <w:sz w:val="22"/>
                <w:szCs w:val="22"/>
                <w:lang w:val="el-GR"/>
              </w:rPr>
              <w:t>/</w:t>
            </w:r>
            <w:r w:rsidRPr="00422380">
              <w:rPr>
                <w:rFonts w:eastAsia="PMingLiU"/>
                <w:b/>
                <w:sz w:val="22"/>
                <w:szCs w:val="22"/>
                <w:lang w:val="it-IT"/>
              </w:rPr>
              <w:t>Finland</w:t>
            </w:r>
          </w:p>
          <w:p w14:paraId="7545C52C" w14:textId="77777777" w:rsidR="00171824" w:rsidRPr="00422380" w:rsidRDefault="006D258C">
            <w:pPr>
              <w:pStyle w:val="lbltxt"/>
              <w:rPr>
                <w:szCs w:val="22"/>
                <w:lang w:val="el-GR"/>
              </w:rPr>
            </w:pPr>
            <w:r w:rsidRPr="00422380">
              <w:rPr>
                <w:szCs w:val="22"/>
                <w:lang w:val="it-IT"/>
              </w:rPr>
              <w:t>Amgen</w:t>
            </w:r>
            <w:r w:rsidRPr="00422380">
              <w:rPr>
                <w:szCs w:val="22"/>
                <w:lang w:val="el-GR"/>
              </w:rPr>
              <w:t xml:space="preserve"> </w:t>
            </w:r>
            <w:r w:rsidRPr="00422380">
              <w:rPr>
                <w:szCs w:val="22"/>
                <w:lang w:val="it-IT"/>
              </w:rPr>
              <w:t>AB</w:t>
            </w:r>
            <w:r w:rsidRPr="00422380">
              <w:rPr>
                <w:szCs w:val="22"/>
                <w:lang w:val="el-GR"/>
              </w:rPr>
              <w:t xml:space="preserve">, </w:t>
            </w:r>
            <w:r w:rsidRPr="00422380">
              <w:rPr>
                <w:szCs w:val="22"/>
                <w:lang w:val="it-IT"/>
              </w:rPr>
              <w:t>sivuliike</w:t>
            </w:r>
            <w:r w:rsidRPr="00422380">
              <w:rPr>
                <w:szCs w:val="22"/>
                <w:lang w:val="el-GR"/>
              </w:rPr>
              <w:t xml:space="preserve"> </w:t>
            </w:r>
            <w:r w:rsidRPr="00422380">
              <w:rPr>
                <w:szCs w:val="22"/>
                <w:lang w:val="it-IT"/>
              </w:rPr>
              <w:t>Suomessa</w:t>
            </w:r>
            <w:r w:rsidRPr="00422380">
              <w:rPr>
                <w:szCs w:val="22"/>
                <w:lang w:val="el-GR"/>
              </w:rPr>
              <w:t>/</w:t>
            </w:r>
            <w:r w:rsidRPr="00422380">
              <w:rPr>
                <w:szCs w:val="22"/>
                <w:lang w:val="it-IT"/>
              </w:rPr>
              <w:t>Amgen</w:t>
            </w:r>
            <w:r w:rsidRPr="00422380">
              <w:rPr>
                <w:szCs w:val="22"/>
                <w:lang w:val="el-GR"/>
              </w:rPr>
              <w:t xml:space="preserve"> </w:t>
            </w:r>
            <w:r w:rsidRPr="00422380">
              <w:rPr>
                <w:szCs w:val="22"/>
                <w:lang w:val="it-IT"/>
              </w:rPr>
              <w:t>AB</w:t>
            </w:r>
            <w:r w:rsidRPr="00422380">
              <w:rPr>
                <w:szCs w:val="22"/>
                <w:lang w:val="el-GR"/>
              </w:rPr>
              <w:t xml:space="preserve">, </w:t>
            </w:r>
            <w:r w:rsidRPr="00422380">
              <w:rPr>
                <w:szCs w:val="22"/>
                <w:lang w:val="it-IT"/>
              </w:rPr>
              <w:t>filial</w:t>
            </w:r>
            <w:r w:rsidRPr="00422380">
              <w:rPr>
                <w:szCs w:val="22"/>
                <w:lang w:val="el-GR"/>
              </w:rPr>
              <w:t xml:space="preserve"> </w:t>
            </w:r>
            <w:r w:rsidRPr="00422380">
              <w:rPr>
                <w:szCs w:val="22"/>
                <w:lang w:val="it-IT"/>
              </w:rPr>
              <w:t>i</w:t>
            </w:r>
            <w:r w:rsidRPr="00422380">
              <w:rPr>
                <w:szCs w:val="22"/>
                <w:lang w:val="el-GR"/>
              </w:rPr>
              <w:t xml:space="preserve"> </w:t>
            </w:r>
            <w:r w:rsidRPr="00422380">
              <w:rPr>
                <w:szCs w:val="22"/>
                <w:lang w:val="it-IT"/>
              </w:rPr>
              <w:t>Finland</w:t>
            </w:r>
          </w:p>
          <w:p w14:paraId="10AA12A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Puh/Tel: +358 (0)9 54900500</w:t>
            </w:r>
          </w:p>
          <w:p w14:paraId="6799AF2F" w14:textId="77777777" w:rsidR="00171824" w:rsidRDefault="00171824">
            <w:pPr>
              <w:widowControl/>
              <w:tabs>
                <w:tab w:val="left" w:pos="567"/>
              </w:tabs>
              <w:autoSpaceDE/>
              <w:autoSpaceDN/>
              <w:adjustRightInd/>
              <w:rPr>
                <w:rFonts w:eastAsia="PMingLiU"/>
                <w:sz w:val="22"/>
                <w:szCs w:val="22"/>
                <w:lang w:val="el-GR"/>
              </w:rPr>
            </w:pPr>
          </w:p>
        </w:tc>
      </w:tr>
      <w:tr w:rsidR="00171824" w14:paraId="47D12CCD" w14:textId="77777777">
        <w:trPr>
          <w:cantSplit/>
        </w:trPr>
        <w:tc>
          <w:tcPr>
            <w:tcW w:w="4677" w:type="dxa"/>
          </w:tcPr>
          <w:p w14:paraId="48101049"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K</w:t>
            </w:r>
            <w:r>
              <w:rPr>
                <w:rFonts w:eastAsia="PMingLiU"/>
                <w:b/>
                <w:sz w:val="22"/>
                <w:szCs w:val="22"/>
                <w:lang w:val="el-GR"/>
              </w:rPr>
              <w:t>ύπρος</w:t>
            </w:r>
          </w:p>
          <w:p w14:paraId="2B4DA53A"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C.A. Papaellinas Ltd</w:t>
            </w:r>
          </w:p>
          <w:p w14:paraId="5CC85A57" w14:textId="77777777" w:rsidR="00171824" w:rsidRPr="00422380" w:rsidRDefault="006D258C">
            <w:pPr>
              <w:widowControl/>
              <w:tabs>
                <w:tab w:val="left" w:pos="567"/>
              </w:tabs>
              <w:autoSpaceDE/>
              <w:autoSpaceDN/>
              <w:adjustRightInd/>
              <w:rPr>
                <w:rFonts w:eastAsia="PMingLiU"/>
                <w:sz w:val="22"/>
                <w:szCs w:val="22"/>
              </w:rPr>
            </w:pPr>
            <w:r>
              <w:rPr>
                <w:rFonts w:eastAsia="PMingLiU"/>
                <w:sz w:val="22"/>
                <w:szCs w:val="22"/>
                <w:lang w:val="el-GR"/>
              </w:rPr>
              <w:t>Τηλ</w:t>
            </w:r>
            <w:r w:rsidRPr="00422380">
              <w:rPr>
                <w:rFonts w:eastAsia="PMingLiU"/>
                <w:sz w:val="22"/>
                <w:szCs w:val="22"/>
              </w:rPr>
              <w:t>: +357 22741 741</w:t>
            </w:r>
          </w:p>
          <w:p w14:paraId="0D3EA542"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37568CCD"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Sverige</w:t>
            </w:r>
          </w:p>
          <w:p w14:paraId="0E645451"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AB </w:t>
            </w:r>
          </w:p>
          <w:p w14:paraId="3A03519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+46 (0)8 6951100</w:t>
            </w:r>
          </w:p>
          <w:p w14:paraId="2C5EB1A1" w14:textId="77777777" w:rsidR="00171824" w:rsidRDefault="00171824">
            <w:pPr>
              <w:widowControl/>
              <w:tabs>
                <w:tab w:val="left" w:pos="567"/>
              </w:tabs>
              <w:autoSpaceDE/>
              <w:autoSpaceDN/>
              <w:adjustRightInd/>
              <w:rPr>
                <w:rFonts w:eastAsia="PMingLiU"/>
                <w:sz w:val="22"/>
                <w:szCs w:val="22"/>
                <w:lang w:val="el-GR"/>
              </w:rPr>
            </w:pPr>
          </w:p>
        </w:tc>
      </w:tr>
      <w:tr w:rsidR="00171824" w14:paraId="052988C6" w14:textId="77777777">
        <w:trPr>
          <w:cantSplit/>
        </w:trPr>
        <w:tc>
          <w:tcPr>
            <w:tcW w:w="4677" w:type="dxa"/>
          </w:tcPr>
          <w:p w14:paraId="3EB0A0F8"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Latvija</w:t>
            </w:r>
          </w:p>
          <w:p w14:paraId="191C2489"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Switzerland AG Rīgas filiāle</w:t>
            </w:r>
          </w:p>
          <w:p w14:paraId="67B2587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+371 257 25888</w:t>
            </w:r>
          </w:p>
          <w:p w14:paraId="3FF885A7"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C2C28E4" w14:textId="77777777" w:rsidR="00171824" w:rsidRDefault="00171824">
            <w:pPr>
              <w:widowControl/>
              <w:tabs>
                <w:tab w:val="left" w:pos="567"/>
              </w:tabs>
              <w:autoSpaceDE/>
              <w:autoSpaceDN/>
              <w:adjustRightInd/>
              <w:rPr>
                <w:rFonts w:eastAsia="PMingLiU"/>
                <w:sz w:val="22"/>
                <w:szCs w:val="22"/>
                <w:lang w:val="el-GR"/>
              </w:rPr>
            </w:pPr>
          </w:p>
        </w:tc>
      </w:tr>
    </w:tbl>
    <w:p w14:paraId="2570D485" w14:textId="77777777" w:rsidR="00171824" w:rsidRDefault="00171824">
      <w:pPr>
        <w:widowControl/>
        <w:kinsoku w:val="0"/>
        <w:overflowPunct w:val="0"/>
        <w:rPr>
          <w:sz w:val="22"/>
          <w:szCs w:val="22"/>
          <w:lang w:val="el-GR"/>
        </w:rPr>
      </w:pPr>
    </w:p>
    <w:p w14:paraId="7495BBD1" w14:textId="77777777" w:rsidR="00171824" w:rsidRDefault="006D258C" w:rsidP="00F031F8">
      <w:pPr>
        <w:pStyle w:val="Heading1"/>
        <w:keepNext/>
        <w:widowControl/>
        <w:kinsoku w:val="0"/>
        <w:overflowPunct w:val="0"/>
        <w:ind w:left="0"/>
        <w:rPr>
          <w:b w:val="0"/>
          <w:bCs w:val="0"/>
          <w:lang w:val="el-GR"/>
        </w:rPr>
      </w:pPr>
      <w:r>
        <w:rPr>
          <w:lang w:val="el-GR"/>
        </w:rPr>
        <w:lastRenderedPageBreak/>
        <w:t>Το παρόν φύλλο οδηγιών χρήσης αναθεωρήθηκε για τελευταία φορά στις</w:t>
      </w:r>
    </w:p>
    <w:p w14:paraId="2F534866" w14:textId="77777777" w:rsidR="00171824" w:rsidRDefault="00171824">
      <w:pPr>
        <w:keepNext/>
        <w:keepLines/>
        <w:widowControl/>
        <w:kinsoku w:val="0"/>
        <w:overflowPunct w:val="0"/>
        <w:rPr>
          <w:sz w:val="22"/>
          <w:szCs w:val="22"/>
          <w:lang w:val="el-GR"/>
        </w:rPr>
      </w:pPr>
    </w:p>
    <w:p w14:paraId="290D341E" w14:textId="77777777" w:rsidR="00171824" w:rsidRDefault="006D258C">
      <w:pPr>
        <w:keepNext/>
        <w:keepLines/>
        <w:widowControl/>
        <w:numPr>
          <w:ilvl w:val="12"/>
          <w:numId w:val="0"/>
        </w:numPr>
        <w:ind w:right="-2"/>
        <w:rPr>
          <w:b/>
          <w:sz w:val="22"/>
          <w:lang w:val="el-GR"/>
        </w:rPr>
      </w:pPr>
      <w:r>
        <w:rPr>
          <w:b/>
          <w:sz w:val="22"/>
          <w:lang w:val="el-GR"/>
        </w:rPr>
        <w:t>Άλλες πηγές πληροφοριών</w:t>
      </w:r>
    </w:p>
    <w:p w14:paraId="7A952C2D" w14:textId="77777777" w:rsidR="00171824" w:rsidRDefault="00171824">
      <w:pPr>
        <w:keepNext/>
        <w:keepLines/>
        <w:widowControl/>
        <w:kinsoku w:val="0"/>
        <w:overflowPunct w:val="0"/>
        <w:rPr>
          <w:sz w:val="22"/>
          <w:szCs w:val="22"/>
          <w:lang w:val="el-GR"/>
        </w:rPr>
      </w:pPr>
    </w:p>
    <w:p w14:paraId="47CCACEA" w14:textId="77777777" w:rsidR="00171824" w:rsidRDefault="006D258C">
      <w:pPr>
        <w:pStyle w:val="BodyText"/>
        <w:keepNext/>
        <w:keepLines/>
        <w:widowControl/>
        <w:kinsoku w:val="0"/>
        <w:overflowPunct w:val="0"/>
        <w:ind w:left="0"/>
        <w:rPr>
          <w:lang w:val="el-GR"/>
        </w:rPr>
      </w:pPr>
      <w:r>
        <w:rPr>
          <w:lang w:val="el-GR"/>
        </w:rPr>
        <w:t xml:space="preserve">Λεπτομερείς πληροφορίες για το φάρμακο αυτό είναι διαθέσιμες στο δικτυακό τόπο του Ευρωπαϊκού Οργανισμού Φαρμάκων: </w:t>
      </w:r>
      <w:hyperlink r:id="rId24" w:history="1">
        <w:r>
          <w:rPr>
            <w:rStyle w:val="Hyperlink"/>
            <w:color w:val="0000FF"/>
            <w:lang w:val="el-GR"/>
          </w:rPr>
          <w:t>http://www.ema.europa.eu</w:t>
        </w:r>
      </w:hyperlink>
      <w:r>
        <w:rPr>
          <w:lang w:val="el-GR"/>
        </w:rPr>
        <w:t>.</w:t>
      </w:r>
    </w:p>
    <w:p w14:paraId="12125C83" w14:textId="77777777" w:rsidR="00171824" w:rsidRDefault="00171824">
      <w:pPr>
        <w:pStyle w:val="BodyText"/>
        <w:keepNext/>
        <w:keepLines/>
        <w:widowControl/>
        <w:kinsoku w:val="0"/>
        <w:overflowPunct w:val="0"/>
        <w:ind w:left="0"/>
        <w:rPr>
          <w:color w:val="000000"/>
          <w:lang w:val="el-GR"/>
        </w:rPr>
      </w:pPr>
    </w:p>
    <w:p w14:paraId="6573B659" w14:textId="77777777" w:rsidR="00171824" w:rsidRDefault="006D258C">
      <w:pPr>
        <w:widowControl/>
        <w:numPr>
          <w:ilvl w:val="12"/>
          <w:numId w:val="0"/>
        </w:numPr>
        <w:autoSpaceDE/>
        <w:autoSpaceDN/>
        <w:adjustRightInd/>
        <w:ind w:right="-2"/>
        <w:rPr>
          <w:rFonts w:eastAsia="PMingLiU"/>
          <w:sz w:val="22"/>
          <w:szCs w:val="22"/>
          <w:lang w:val="el-GR"/>
        </w:rPr>
      </w:pPr>
      <w:r>
        <w:rPr>
          <w:rFonts w:eastAsia="PMingLiU"/>
          <w:sz w:val="22"/>
          <w:szCs w:val="22"/>
          <w:lang w:val="el-GR"/>
        </w:rPr>
        <w:t>---------------------------------------------------------------------------------------------------------------------------</w:t>
      </w:r>
    </w:p>
    <w:p w14:paraId="23276D58" w14:textId="77777777" w:rsidR="00171824" w:rsidRDefault="00171824">
      <w:pPr>
        <w:pStyle w:val="BodyText"/>
        <w:keepNext/>
        <w:keepLines/>
        <w:widowControl/>
        <w:kinsoku w:val="0"/>
        <w:overflowPunct w:val="0"/>
        <w:ind w:left="0"/>
        <w:rPr>
          <w:color w:val="000000"/>
          <w:lang w:val="el-GR"/>
        </w:rPr>
      </w:pPr>
    </w:p>
    <w:tbl>
      <w:tblPr>
        <w:tblW w:w="4999" w:type="pct"/>
        <w:tblLook w:val="04A0" w:firstRow="1" w:lastRow="0" w:firstColumn="1" w:lastColumn="0" w:noHBand="0" w:noVBand="1"/>
      </w:tblPr>
      <w:tblGrid>
        <w:gridCol w:w="2211"/>
        <w:gridCol w:w="2343"/>
        <w:gridCol w:w="2376"/>
        <w:gridCol w:w="2129"/>
      </w:tblGrid>
      <w:tr w:rsidR="00171824" w14:paraId="64BCCE1F"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3A9A89DB" w14:textId="77777777" w:rsidR="00171824" w:rsidRDefault="006D258C">
            <w:pPr>
              <w:keepNext/>
              <w:keepLines/>
              <w:pageBreakBefore/>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lastRenderedPageBreak/>
              <w:t>Οδηγίες χρήσης:</w:t>
            </w:r>
          </w:p>
          <w:p w14:paraId="55A77BF0" w14:textId="77777777" w:rsidR="00171824" w:rsidRDefault="006D258C">
            <w:pPr>
              <w:keepNext/>
              <w:keepLines/>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AMGEVITA προγεμισμένη σύριγγα μίας χρήσης</w:t>
            </w:r>
          </w:p>
          <w:p w14:paraId="154A76D0" w14:textId="77777777" w:rsidR="00171824" w:rsidRDefault="006D258C">
            <w:pPr>
              <w:keepNext/>
              <w:keepLines/>
              <w:widowControl/>
              <w:tabs>
                <w:tab w:val="left" w:pos="567"/>
              </w:tabs>
              <w:autoSpaceDE/>
              <w:autoSpaceDN/>
              <w:adjustRightInd/>
              <w:rPr>
                <w:rFonts w:eastAsia="PMingLiU"/>
                <w:b/>
                <w:sz w:val="22"/>
                <w:lang w:val="el-GR" w:bidi="en-US"/>
              </w:rPr>
            </w:pPr>
            <w:r>
              <w:rPr>
                <w:rFonts w:eastAsia="Arial Unicode MS" w:cs="Arial Unicode MS"/>
                <w:sz w:val="22"/>
                <w:szCs w:val="22"/>
                <w:lang w:val="el-GR" w:bidi="en-US"/>
              </w:rPr>
              <w:t>Για υποδόρια χρήση</w:t>
            </w:r>
          </w:p>
        </w:tc>
      </w:tr>
      <w:tr w:rsidR="00171824" w14:paraId="38C1AACC" w14:textId="77777777">
        <w:trPr>
          <w:trHeight w:val="73"/>
        </w:trPr>
        <w:tc>
          <w:tcPr>
            <w:tcW w:w="5000" w:type="pct"/>
            <w:gridSpan w:val="4"/>
            <w:tcBorders>
              <w:top w:val="single" w:sz="4" w:space="0" w:color="auto"/>
              <w:bottom w:val="single" w:sz="4" w:space="0" w:color="auto"/>
            </w:tcBorders>
          </w:tcPr>
          <w:p w14:paraId="3A3C5CD2" w14:textId="77777777" w:rsidR="00171824" w:rsidRDefault="00171824">
            <w:pPr>
              <w:widowControl/>
              <w:tabs>
                <w:tab w:val="left" w:pos="567"/>
              </w:tabs>
              <w:autoSpaceDE/>
              <w:autoSpaceDN/>
              <w:adjustRightInd/>
              <w:jc w:val="center"/>
              <w:rPr>
                <w:rFonts w:eastAsia="PMingLiU"/>
                <w:bCs/>
                <w:sz w:val="22"/>
                <w:lang w:val="el-GR"/>
              </w:rPr>
            </w:pPr>
          </w:p>
        </w:tc>
      </w:tr>
      <w:tr w:rsidR="00171824" w:rsidRPr="00A07F46" w14:paraId="3CC9E602" w14:textId="77777777">
        <w:tc>
          <w:tcPr>
            <w:tcW w:w="5000" w:type="pct"/>
            <w:gridSpan w:val="4"/>
            <w:tcBorders>
              <w:top w:val="single" w:sz="4" w:space="0" w:color="auto"/>
              <w:left w:val="single" w:sz="4" w:space="0" w:color="auto"/>
              <w:bottom w:val="single" w:sz="4" w:space="0" w:color="auto"/>
              <w:right w:val="single" w:sz="4" w:space="0" w:color="auto"/>
            </w:tcBorders>
          </w:tcPr>
          <w:p w14:paraId="78C22B06" w14:textId="77777777" w:rsidR="00171824" w:rsidRDefault="006D258C">
            <w:pPr>
              <w:widowControl/>
              <w:tabs>
                <w:tab w:val="left" w:pos="567"/>
              </w:tabs>
              <w:autoSpaceDE/>
              <w:autoSpaceDN/>
              <w:adjustRightInd/>
              <w:jc w:val="center"/>
              <w:rPr>
                <w:rFonts w:eastAsia="PMingLiU"/>
                <w:b/>
                <w:bCs/>
                <w:sz w:val="22"/>
                <w:lang w:val="el-GR" w:bidi="en-US"/>
              </w:rPr>
            </w:pPr>
            <w:r>
              <w:rPr>
                <w:rFonts w:eastAsia="Arial Unicode MS" w:cs="Arial Unicode MS"/>
                <w:b/>
                <w:bCs/>
                <w:sz w:val="22"/>
                <w:szCs w:val="22"/>
                <w:lang w:val="el-GR" w:bidi="en-US"/>
              </w:rPr>
              <w:t>Οδηγός για τα τμήματα της σύριγγας</w:t>
            </w:r>
          </w:p>
          <w:p w14:paraId="4BF979FE" w14:textId="77777777" w:rsidR="00171824" w:rsidRDefault="00171824">
            <w:pPr>
              <w:widowControl/>
              <w:tabs>
                <w:tab w:val="left" w:pos="567"/>
              </w:tabs>
              <w:autoSpaceDE/>
              <w:autoSpaceDN/>
              <w:adjustRightInd/>
              <w:jc w:val="center"/>
              <w:rPr>
                <w:rFonts w:eastAsia="PMingLiU"/>
                <w:b/>
                <w:sz w:val="22"/>
                <w:lang w:val="el-GR"/>
              </w:rPr>
            </w:pPr>
          </w:p>
        </w:tc>
      </w:tr>
      <w:tr w:rsidR="00171824" w14:paraId="2CC111D3" w14:textId="77777777">
        <w:trPr>
          <w:trHeight w:val="332"/>
        </w:trPr>
        <w:tc>
          <w:tcPr>
            <w:tcW w:w="2415" w:type="pct"/>
            <w:gridSpan w:val="2"/>
            <w:tcBorders>
              <w:top w:val="single" w:sz="4" w:space="0" w:color="auto"/>
              <w:left w:val="single" w:sz="4" w:space="0" w:color="auto"/>
              <w:bottom w:val="single" w:sz="4" w:space="0" w:color="auto"/>
              <w:right w:val="single" w:sz="4" w:space="0" w:color="auto"/>
            </w:tcBorders>
          </w:tcPr>
          <w:p w14:paraId="2889A150" w14:textId="77777777" w:rsidR="00171824" w:rsidRDefault="006D258C">
            <w:pPr>
              <w:widowControl/>
              <w:tabs>
                <w:tab w:val="left" w:pos="567"/>
              </w:tabs>
              <w:autoSpaceDE/>
              <w:autoSpaceDN/>
              <w:adjustRightInd/>
              <w:jc w:val="center"/>
              <w:rPr>
                <w:rFonts w:eastAsia="PMingLiU"/>
                <w:b/>
                <w:bCs/>
                <w:sz w:val="22"/>
                <w:lang w:val="el-GR" w:bidi="en-US"/>
              </w:rPr>
            </w:pPr>
            <w:r>
              <w:rPr>
                <w:rFonts w:eastAsia="Arial Unicode MS" w:cs="Arial Unicode MS"/>
                <w:b/>
                <w:bCs/>
                <w:sz w:val="22"/>
                <w:szCs w:val="22"/>
                <w:lang w:val="el-GR" w:bidi="en-US"/>
              </w:rPr>
              <w:t>Πριν από τη χρήση</w:t>
            </w:r>
          </w:p>
        </w:tc>
        <w:tc>
          <w:tcPr>
            <w:tcW w:w="2585" w:type="pct"/>
            <w:gridSpan w:val="2"/>
            <w:tcBorders>
              <w:top w:val="single" w:sz="4" w:space="0" w:color="auto"/>
              <w:left w:val="single" w:sz="4" w:space="0" w:color="auto"/>
              <w:bottom w:val="single" w:sz="4" w:space="0" w:color="auto"/>
              <w:right w:val="single" w:sz="4" w:space="0" w:color="auto"/>
            </w:tcBorders>
          </w:tcPr>
          <w:p w14:paraId="42FE3196" w14:textId="77777777" w:rsidR="00171824" w:rsidRDefault="006D258C">
            <w:pPr>
              <w:widowControl/>
              <w:tabs>
                <w:tab w:val="left" w:pos="567"/>
              </w:tabs>
              <w:autoSpaceDE/>
              <w:autoSpaceDN/>
              <w:adjustRightInd/>
              <w:jc w:val="center"/>
              <w:rPr>
                <w:rFonts w:eastAsia="PMingLiU"/>
                <w:b/>
                <w:bCs/>
                <w:sz w:val="22"/>
                <w:lang w:val="el-GR" w:bidi="en-US"/>
              </w:rPr>
            </w:pPr>
            <w:r>
              <w:rPr>
                <w:rFonts w:eastAsia="Arial Unicode MS" w:cs="Arial Unicode MS"/>
                <w:b/>
                <w:bCs/>
                <w:sz w:val="22"/>
                <w:szCs w:val="22"/>
                <w:lang w:val="el-GR" w:bidi="en-US"/>
              </w:rPr>
              <w:t>Μετά τη χρήση</w:t>
            </w:r>
          </w:p>
        </w:tc>
      </w:tr>
      <w:tr w:rsidR="00171824" w14:paraId="5F4E7A73" w14:textId="77777777">
        <w:trPr>
          <w:cantSplit/>
          <w:trHeight w:val="9168"/>
        </w:trPr>
        <w:tc>
          <w:tcPr>
            <w:tcW w:w="1069" w:type="pct"/>
            <w:tcBorders>
              <w:top w:val="single" w:sz="4" w:space="0" w:color="auto"/>
              <w:left w:val="single" w:sz="4" w:space="0" w:color="auto"/>
              <w:bottom w:val="single" w:sz="4" w:space="0" w:color="auto"/>
            </w:tcBorders>
          </w:tcPr>
          <w:tbl>
            <w:tblPr>
              <w:tblW w:w="1995" w:type="dxa"/>
              <w:tblLook w:val="04A0" w:firstRow="1" w:lastRow="0" w:firstColumn="1" w:lastColumn="0" w:noHBand="0" w:noVBand="1"/>
            </w:tblPr>
            <w:tblGrid>
              <w:gridCol w:w="1995"/>
            </w:tblGrid>
            <w:tr w:rsidR="00171824" w14:paraId="6B8EDA3E" w14:textId="77777777">
              <w:trPr>
                <w:trHeight w:val="253"/>
              </w:trPr>
              <w:tc>
                <w:tcPr>
                  <w:tcW w:w="1995" w:type="dxa"/>
                  <w:tcMar>
                    <w:top w:w="113" w:type="dxa"/>
                  </w:tcMar>
                  <w:vAlign w:val="bottom"/>
                </w:tcPr>
                <w:p w14:paraId="05D58653" w14:textId="77777777" w:rsidR="00171824" w:rsidRDefault="006D258C">
                  <w:pPr>
                    <w:widowControl/>
                    <w:tabs>
                      <w:tab w:val="left" w:pos="567"/>
                    </w:tabs>
                    <w:autoSpaceDE/>
                    <w:autoSpaceDN/>
                    <w:adjustRightInd/>
                    <w:ind w:right="-76"/>
                    <w:jc w:val="right"/>
                    <w:rPr>
                      <w:rFonts w:eastAsia="PMingLiU"/>
                      <w:sz w:val="22"/>
                      <w:lang w:val="el-GR" w:bidi="en-US"/>
                    </w:rPr>
                  </w:pPr>
                  <w:r>
                    <w:rPr>
                      <w:rFonts w:eastAsia="Arial Unicode MS" w:cs="Arial Unicode MS"/>
                      <w:sz w:val="22"/>
                      <w:szCs w:val="22"/>
                      <w:lang w:val="el-GR" w:bidi="en-US"/>
                    </w:rPr>
                    <w:t>Ράβδος εμβόλου</w:t>
                  </w:r>
                </w:p>
              </w:tc>
            </w:tr>
            <w:tr w:rsidR="00171824" w14:paraId="4F7B92C9" w14:textId="77777777">
              <w:trPr>
                <w:trHeight w:val="1423"/>
              </w:trPr>
              <w:tc>
                <w:tcPr>
                  <w:tcW w:w="1995" w:type="dxa"/>
                  <w:vAlign w:val="bottom"/>
                </w:tcPr>
                <w:p w14:paraId="62577049" w14:textId="77777777" w:rsidR="00171824" w:rsidRDefault="006D258C">
                  <w:pPr>
                    <w:widowControl/>
                    <w:tabs>
                      <w:tab w:val="left" w:pos="567"/>
                    </w:tabs>
                    <w:autoSpaceDE/>
                    <w:autoSpaceDN/>
                    <w:adjustRightInd/>
                    <w:ind w:right="-76"/>
                    <w:jc w:val="center"/>
                    <w:rPr>
                      <w:rFonts w:eastAsia="PMingLiU"/>
                      <w:sz w:val="22"/>
                      <w:lang w:val="el-GR" w:bidi="en-US"/>
                    </w:rPr>
                  </w:pPr>
                  <w:r>
                    <w:rPr>
                      <w:rFonts w:eastAsia="Arial Unicode MS" w:cs="Arial Unicode MS"/>
                      <w:sz w:val="22"/>
                      <w:szCs w:val="22"/>
                      <w:lang w:val="el-GR" w:bidi="en-US"/>
                    </w:rPr>
                    <w:t>Λαβή δακτύλων</w:t>
                  </w:r>
                </w:p>
              </w:tc>
            </w:tr>
            <w:tr w:rsidR="00171824" w14:paraId="6B6C6376" w14:textId="77777777">
              <w:trPr>
                <w:trHeight w:val="846"/>
              </w:trPr>
              <w:tc>
                <w:tcPr>
                  <w:tcW w:w="1995" w:type="dxa"/>
                  <w:vAlign w:val="bottom"/>
                </w:tcPr>
                <w:p w14:paraId="52BB02EF" w14:textId="77777777" w:rsidR="00171824" w:rsidRDefault="006D258C">
                  <w:pPr>
                    <w:widowControl/>
                    <w:tabs>
                      <w:tab w:val="left" w:pos="567"/>
                    </w:tabs>
                    <w:autoSpaceDE/>
                    <w:autoSpaceDN/>
                    <w:adjustRightInd/>
                    <w:ind w:right="-76"/>
                    <w:jc w:val="right"/>
                    <w:rPr>
                      <w:rFonts w:eastAsia="PMingLiU"/>
                      <w:sz w:val="22"/>
                      <w:lang w:val="el-GR" w:bidi="en-US"/>
                    </w:rPr>
                  </w:pPr>
                  <w:r>
                    <w:rPr>
                      <w:rFonts w:eastAsia="Arial Unicode MS" w:cs="Arial Unicode MS"/>
                      <w:sz w:val="22"/>
                      <w:szCs w:val="22"/>
                      <w:lang w:val="el-GR" w:bidi="en-US"/>
                    </w:rPr>
                    <w:t>Ετικέτα και ημερομηνία λήξης</w:t>
                  </w:r>
                </w:p>
              </w:tc>
            </w:tr>
            <w:tr w:rsidR="00171824" w14:paraId="3CB07A40" w14:textId="77777777">
              <w:trPr>
                <w:trHeight w:val="859"/>
              </w:trPr>
              <w:tc>
                <w:tcPr>
                  <w:tcW w:w="1995" w:type="dxa"/>
                  <w:vAlign w:val="bottom"/>
                </w:tcPr>
                <w:p w14:paraId="3830A180" w14:textId="77777777" w:rsidR="00171824" w:rsidRDefault="006D258C">
                  <w:pPr>
                    <w:widowControl/>
                    <w:tabs>
                      <w:tab w:val="left" w:pos="567"/>
                    </w:tabs>
                    <w:autoSpaceDE/>
                    <w:autoSpaceDN/>
                    <w:adjustRightInd/>
                    <w:ind w:right="-76"/>
                    <w:jc w:val="center"/>
                    <w:rPr>
                      <w:rFonts w:eastAsia="PMingLiU"/>
                      <w:sz w:val="22"/>
                      <w:lang w:val="el-GR" w:bidi="en-US"/>
                    </w:rPr>
                  </w:pPr>
                  <w:r>
                    <w:rPr>
                      <w:rFonts w:eastAsia="Arial Unicode MS" w:cs="Arial Unicode MS"/>
                      <w:sz w:val="22"/>
                      <w:szCs w:val="22"/>
                      <w:lang w:val="el-GR" w:bidi="en-US"/>
                    </w:rPr>
                    <w:t>Κύλινδρος σύριγγας</w:t>
                  </w:r>
                </w:p>
              </w:tc>
            </w:tr>
            <w:tr w:rsidR="00171824" w14:paraId="3D12415D" w14:textId="77777777">
              <w:trPr>
                <w:trHeight w:val="703"/>
              </w:trPr>
              <w:tc>
                <w:tcPr>
                  <w:tcW w:w="1995" w:type="dxa"/>
                  <w:vAlign w:val="bottom"/>
                </w:tcPr>
                <w:p w14:paraId="594EBF6B" w14:textId="77777777" w:rsidR="00171824" w:rsidRDefault="006D258C">
                  <w:pPr>
                    <w:widowControl/>
                    <w:tabs>
                      <w:tab w:val="left" w:pos="567"/>
                    </w:tabs>
                    <w:autoSpaceDE/>
                    <w:autoSpaceDN/>
                    <w:adjustRightInd/>
                    <w:ind w:right="-76"/>
                    <w:jc w:val="right"/>
                    <w:rPr>
                      <w:rFonts w:eastAsia="PMingLiU"/>
                      <w:sz w:val="22"/>
                      <w:lang w:val="el-GR" w:bidi="en-US"/>
                    </w:rPr>
                  </w:pPr>
                  <w:r>
                    <w:rPr>
                      <w:rFonts w:eastAsia="Arial Unicode MS" w:cs="Arial Unicode MS"/>
                      <w:sz w:val="22"/>
                      <w:szCs w:val="22"/>
                      <w:lang w:val="el-GR" w:bidi="en-US"/>
                    </w:rPr>
                    <w:t>Φάρμακο</w:t>
                  </w:r>
                </w:p>
              </w:tc>
            </w:tr>
            <w:tr w:rsidR="00171824" w14:paraId="5B7AA91D" w14:textId="77777777">
              <w:trPr>
                <w:trHeight w:val="1042"/>
              </w:trPr>
              <w:tc>
                <w:tcPr>
                  <w:tcW w:w="1995" w:type="dxa"/>
                  <w:vAlign w:val="bottom"/>
                </w:tcPr>
                <w:p w14:paraId="0062704B" w14:textId="77777777" w:rsidR="00171824" w:rsidRDefault="006D258C">
                  <w:pPr>
                    <w:widowControl/>
                    <w:tabs>
                      <w:tab w:val="left" w:pos="567"/>
                    </w:tabs>
                    <w:autoSpaceDE/>
                    <w:autoSpaceDN/>
                    <w:adjustRightInd/>
                    <w:ind w:right="-76"/>
                    <w:jc w:val="right"/>
                    <w:rPr>
                      <w:rFonts w:eastAsia="PMingLiU"/>
                      <w:sz w:val="22"/>
                      <w:lang w:val="el-GR" w:bidi="en-US"/>
                    </w:rPr>
                  </w:pPr>
                  <w:r>
                    <w:rPr>
                      <w:rFonts w:eastAsia="Arial Unicode MS" w:cs="Arial Unicode MS"/>
                      <w:sz w:val="22"/>
                      <w:szCs w:val="22"/>
                      <w:lang w:val="el-GR" w:bidi="en-US"/>
                    </w:rPr>
                    <w:t>Κάλυμμα βελόνας,</w:t>
                  </w:r>
                  <w:r>
                    <w:rPr>
                      <w:rFonts w:eastAsia="Arial Unicode MS" w:cs="Arial Unicode MS"/>
                      <w:sz w:val="22"/>
                      <w:szCs w:val="22"/>
                      <w:lang w:val="el-GR" w:bidi="en-US"/>
                    </w:rPr>
                    <w:br/>
                    <w:t>κλειστό</w:t>
                  </w:r>
                </w:p>
              </w:tc>
            </w:tr>
          </w:tbl>
          <w:p w14:paraId="0BB69C66" w14:textId="77777777" w:rsidR="00171824" w:rsidRDefault="00171824">
            <w:pPr>
              <w:widowControl/>
              <w:tabs>
                <w:tab w:val="left" w:pos="567"/>
              </w:tabs>
              <w:autoSpaceDE/>
              <w:autoSpaceDN/>
              <w:adjustRightInd/>
              <w:jc w:val="right"/>
              <w:rPr>
                <w:rFonts w:eastAsia="PMingLiU"/>
                <w:sz w:val="22"/>
                <w:lang w:val="el-GR"/>
              </w:rPr>
            </w:pPr>
          </w:p>
        </w:tc>
        <w:tc>
          <w:tcPr>
            <w:tcW w:w="1345" w:type="pct"/>
            <w:tcBorders>
              <w:top w:val="single" w:sz="4" w:space="0" w:color="auto"/>
              <w:bottom w:val="single" w:sz="4" w:space="0" w:color="auto"/>
              <w:right w:val="single" w:sz="4" w:space="0" w:color="auto"/>
            </w:tcBorders>
          </w:tcPr>
          <w:p w14:paraId="779AB544" w14:textId="12D8B8C9" w:rsidR="00171824" w:rsidRDefault="009039B7">
            <w:pPr>
              <w:widowControl/>
              <w:tabs>
                <w:tab w:val="left" w:pos="567"/>
              </w:tabs>
              <w:autoSpaceDE/>
              <w:autoSpaceDN/>
              <w:adjustRightInd/>
              <w:ind w:left="-75"/>
              <w:rPr>
                <w:rFonts w:eastAsia="PMingLiU"/>
                <w:sz w:val="22"/>
                <w:lang w:val="el-GR" w:bidi="en-US"/>
              </w:rPr>
            </w:pPr>
            <w:r>
              <w:rPr>
                <w:noProof/>
              </w:rPr>
              <w:drawing>
                <wp:anchor distT="0" distB="0" distL="114300" distR="114300" simplePos="0" relativeHeight="251645952" behindDoc="0" locked="0" layoutInCell="1" allowOverlap="1" wp14:anchorId="1BE1F2FF" wp14:editId="7DBB3B23">
                  <wp:simplePos x="0" y="0"/>
                  <wp:positionH relativeFrom="column">
                    <wp:posOffset>-47625</wp:posOffset>
                  </wp:positionH>
                  <wp:positionV relativeFrom="paragraph">
                    <wp:posOffset>46990</wp:posOffset>
                  </wp:positionV>
                  <wp:extent cx="1296035" cy="3474085"/>
                  <wp:effectExtent l="0" t="0" r="0" b="0"/>
                  <wp:wrapSquare wrapText="bothSides"/>
                  <wp:docPr id="1211135428" name="Picture 6" descr="ILL0326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L0326 v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96035" cy="3474085"/>
                          </a:xfrm>
                          <a:prstGeom prst="rect">
                            <a:avLst/>
                          </a:prstGeom>
                          <a:noFill/>
                        </pic:spPr>
                      </pic:pic>
                    </a:graphicData>
                  </a:graphic>
                  <wp14:sizeRelH relativeFrom="page">
                    <wp14:pctWidth>0</wp14:pctWidth>
                  </wp14:sizeRelH>
                  <wp14:sizeRelV relativeFrom="page">
                    <wp14:pctHeight>0</wp14:pctHeight>
                  </wp14:sizeRelV>
                </wp:anchor>
              </w:drawing>
            </w:r>
          </w:p>
        </w:tc>
        <w:tc>
          <w:tcPr>
            <w:tcW w:w="1354" w:type="pct"/>
            <w:tcBorders>
              <w:top w:val="single" w:sz="4" w:space="0" w:color="auto"/>
              <w:left w:val="single" w:sz="4" w:space="0" w:color="auto"/>
              <w:bottom w:val="single" w:sz="4" w:space="0" w:color="auto"/>
            </w:tcBorders>
          </w:tcPr>
          <w:p w14:paraId="0528E519" w14:textId="057D25F6" w:rsidR="00171824" w:rsidRDefault="009039B7">
            <w:pPr>
              <w:widowControl/>
              <w:tabs>
                <w:tab w:val="left" w:pos="567"/>
              </w:tabs>
              <w:autoSpaceDE/>
              <w:autoSpaceDN/>
              <w:adjustRightInd/>
              <w:ind w:right="139"/>
              <w:jc w:val="right"/>
              <w:rPr>
                <w:rFonts w:eastAsia="PMingLiU"/>
                <w:sz w:val="22"/>
                <w:lang w:val="el-GR" w:bidi="en-US"/>
              </w:rPr>
            </w:pPr>
            <w:r>
              <w:rPr>
                <w:noProof/>
              </w:rPr>
              <w:drawing>
                <wp:anchor distT="0" distB="0" distL="114300" distR="114300" simplePos="0" relativeHeight="251642880" behindDoc="0" locked="0" layoutInCell="1" allowOverlap="1" wp14:anchorId="3606206E" wp14:editId="5E5F34E5">
                  <wp:simplePos x="0" y="0"/>
                  <wp:positionH relativeFrom="column">
                    <wp:posOffset>-6350</wp:posOffset>
                  </wp:positionH>
                  <wp:positionV relativeFrom="paragraph">
                    <wp:posOffset>46990</wp:posOffset>
                  </wp:positionV>
                  <wp:extent cx="1371600" cy="3700780"/>
                  <wp:effectExtent l="0" t="0" r="0" b="0"/>
                  <wp:wrapSquare wrapText="bothSides"/>
                  <wp:docPr id="88322426" name="Picture 41" descr="ILL0327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LL0327 v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0" cy="3700780"/>
                          </a:xfrm>
                          <a:prstGeom prst="rect">
                            <a:avLst/>
                          </a:prstGeom>
                          <a:noFill/>
                        </pic:spPr>
                      </pic:pic>
                    </a:graphicData>
                  </a:graphic>
                  <wp14:sizeRelH relativeFrom="page">
                    <wp14:pctWidth>0</wp14:pctWidth>
                  </wp14:sizeRelH>
                  <wp14:sizeRelV relativeFrom="page">
                    <wp14:pctHeight>0</wp14:pctHeight>
                  </wp14:sizeRelV>
                </wp:anchor>
              </w:drawing>
            </w:r>
          </w:p>
        </w:tc>
        <w:tc>
          <w:tcPr>
            <w:tcW w:w="1231" w:type="pct"/>
            <w:tcBorders>
              <w:top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913"/>
            </w:tblGrid>
            <w:tr w:rsidR="00171824" w14:paraId="78A208B9" w14:textId="77777777">
              <w:trPr>
                <w:trHeight w:val="365"/>
              </w:trPr>
              <w:tc>
                <w:tcPr>
                  <w:tcW w:w="2070" w:type="dxa"/>
                  <w:tcMar>
                    <w:left w:w="113" w:type="dxa"/>
                  </w:tcMar>
                </w:tcPr>
                <w:p w14:paraId="0CE99912"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Χρησιμοποιημένη ράβδος εμβόλου</w:t>
                  </w:r>
                </w:p>
              </w:tc>
            </w:tr>
            <w:tr w:rsidR="00171824" w14:paraId="53A64914" w14:textId="77777777">
              <w:trPr>
                <w:trHeight w:val="866"/>
              </w:trPr>
              <w:tc>
                <w:tcPr>
                  <w:tcW w:w="2070" w:type="dxa"/>
                  <w:tcMar>
                    <w:left w:w="113" w:type="dxa"/>
                  </w:tcMar>
                </w:tcPr>
                <w:p w14:paraId="7B35A274"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Λαβή δακτύλων</w:t>
                  </w:r>
                </w:p>
              </w:tc>
            </w:tr>
            <w:tr w:rsidR="00171824" w14:paraId="36541740" w14:textId="77777777">
              <w:trPr>
                <w:trHeight w:val="978"/>
              </w:trPr>
              <w:tc>
                <w:tcPr>
                  <w:tcW w:w="2070" w:type="dxa"/>
                  <w:tcMar>
                    <w:left w:w="113" w:type="dxa"/>
                  </w:tcMar>
                </w:tcPr>
                <w:p w14:paraId="2D4E77BB"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Ετικέτα και ημερομηνία λήξης</w:t>
                  </w:r>
                </w:p>
              </w:tc>
            </w:tr>
            <w:tr w:rsidR="00171824" w14:paraId="2E6E4F7A" w14:textId="77777777">
              <w:trPr>
                <w:trHeight w:val="1551"/>
              </w:trPr>
              <w:tc>
                <w:tcPr>
                  <w:tcW w:w="2070" w:type="dxa"/>
                  <w:tcMar>
                    <w:left w:w="113" w:type="dxa"/>
                  </w:tcMar>
                </w:tcPr>
                <w:p w14:paraId="530CD5AE"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Χρησιμοποιημένος κύλινδρος σύριγγας</w:t>
                  </w:r>
                </w:p>
              </w:tc>
            </w:tr>
            <w:tr w:rsidR="00171824" w14:paraId="65FC4A00" w14:textId="77777777">
              <w:trPr>
                <w:trHeight w:val="1134"/>
              </w:trPr>
              <w:tc>
                <w:tcPr>
                  <w:tcW w:w="2070" w:type="dxa"/>
                  <w:tcMar>
                    <w:left w:w="113" w:type="dxa"/>
                  </w:tcMar>
                </w:tcPr>
                <w:p w14:paraId="58EBB7F0"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Χρησιμοποιημένη βελόνα</w:t>
                  </w:r>
                </w:p>
              </w:tc>
            </w:tr>
            <w:tr w:rsidR="00171824" w14:paraId="67D93E52" w14:textId="77777777">
              <w:trPr>
                <w:trHeight w:val="428"/>
              </w:trPr>
              <w:tc>
                <w:tcPr>
                  <w:tcW w:w="2070" w:type="dxa"/>
                  <w:tcMar>
                    <w:left w:w="113" w:type="dxa"/>
                  </w:tcMar>
                </w:tcPr>
                <w:p w14:paraId="1AAFDDB6"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Κάλυμμα βελόνας,</w:t>
                  </w:r>
                  <w:r>
                    <w:rPr>
                      <w:rFonts w:eastAsia="Arial Unicode MS" w:cs="Arial Unicode MS"/>
                      <w:sz w:val="22"/>
                      <w:szCs w:val="20"/>
                      <w:lang w:val="el-GR" w:bidi="en-US"/>
                    </w:rPr>
                    <w:br/>
                    <w:t>ανοιχτό</w:t>
                  </w:r>
                </w:p>
              </w:tc>
            </w:tr>
          </w:tbl>
          <w:p w14:paraId="1438BA44" w14:textId="77777777" w:rsidR="00171824" w:rsidRDefault="00171824">
            <w:pPr>
              <w:widowControl/>
              <w:tabs>
                <w:tab w:val="left" w:pos="567"/>
              </w:tabs>
              <w:autoSpaceDE/>
              <w:autoSpaceDN/>
              <w:adjustRightInd/>
              <w:rPr>
                <w:rFonts w:eastAsia="PMingLiU"/>
                <w:sz w:val="22"/>
                <w:lang w:val="el-GR"/>
              </w:rPr>
            </w:pPr>
          </w:p>
        </w:tc>
      </w:tr>
      <w:tr w:rsidR="00171824" w:rsidRPr="00A07F46" w14:paraId="37AEE0C2"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60BC6D02"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b/>
                <w:sz w:val="22"/>
                <w:szCs w:val="22"/>
                <w:lang w:val="el-GR" w:bidi="en-US"/>
              </w:rPr>
              <w:t xml:space="preserve">Σημαντικό: </w:t>
            </w:r>
            <w:r>
              <w:rPr>
                <w:rFonts w:eastAsia="Arial Unicode MS" w:cs="Arial Unicode MS"/>
                <w:sz w:val="22"/>
                <w:szCs w:val="22"/>
                <w:lang w:val="el-GR" w:bidi="en-US"/>
              </w:rPr>
              <w:t>Η βελόνα βρίσκεται στο εσωτερικό</w:t>
            </w:r>
          </w:p>
        </w:tc>
      </w:tr>
    </w:tbl>
    <w:p w14:paraId="4AF1560E" w14:textId="77777777" w:rsidR="00171824" w:rsidRDefault="00171824">
      <w:pPr>
        <w:widowControl/>
        <w:tabs>
          <w:tab w:val="left" w:pos="567"/>
        </w:tabs>
        <w:autoSpaceDE/>
        <w:autoSpaceDN/>
        <w:adjustRightInd/>
        <w:rPr>
          <w:rFonts w:eastAsia="PMingLiU"/>
          <w:b/>
          <w:sz w:val="22"/>
          <w:szCs w:val="22"/>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171824" w14:paraId="57D20B42"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277F4049" w14:textId="77777777" w:rsidR="00171824" w:rsidRDefault="006D258C">
            <w:pPr>
              <w:keepNext/>
              <w:keepLines/>
              <w:pageBreakBefore/>
              <w:widowControl/>
              <w:tabs>
                <w:tab w:val="left" w:pos="567"/>
              </w:tabs>
              <w:autoSpaceDE/>
              <w:autoSpaceDN/>
              <w:adjustRightInd/>
              <w:jc w:val="center"/>
              <w:rPr>
                <w:rFonts w:eastAsia="PMingLiU"/>
                <w:b/>
                <w:sz w:val="22"/>
                <w:lang w:val="el-GR" w:bidi="en-US"/>
              </w:rPr>
            </w:pPr>
            <w:r>
              <w:rPr>
                <w:rFonts w:eastAsia="Arial Unicode MS" w:cs="Arial Unicode MS"/>
                <w:b/>
                <w:sz w:val="22"/>
                <w:szCs w:val="22"/>
                <w:lang w:val="el-GR" w:bidi="en-US"/>
              </w:rPr>
              <w:lastRenderedPageBreak/>
              <w:t>Σημαντικό</w:t>
            </w:r>
          </w:p>
        </w:tc>
      </w:tr>
      <w:tr w:rsidR="00171824" w:rsidRPr="00A07F46" w14:paraId="26C711D5" w14:textId="77777777">
        <w:trPr>
          <w:cantSplit/>
        </w:trPr>
        <w:tc>
          <w:tcPr>
            <w:tcW w:w="5000" w:type="pct"/>
            <w:gridSpan w:val="2"/>
            <w:tcBorders>
              <w:top w:val="nil"/>
              <w:left w:val="single" w:sz="4" w:space="0" w:color="auto"/>
              <w:bottom w:val="nil"/>
              <w:right w:val="single" w:sz="4" w:space="0" w:color="auto"/>
            </w:tcBorders>
            <w:tcMar>
              <w:top w:w="0" w:type="dxa"/>
              <w:left w:w="57" w:type="dxa"/>
              <w:bottom w:w="0" w:type="dxa"/>
              <w:right w:w="57" w:type="dxa"/>
            </w:tcMar>
          </w:tcPr>
          <w:p w14:paraId="3006BB8B" w14:textId="77777777" w:rsidR="00171824" w:rsidRDefault="006D258C">
            <w:pPr>
              <w:keepNext/>
              <w:keepLines/>
              <w:widowControl/>
              <w:tabs>
                <w:tab w:val="left" w:pos="567"/>
              </w:tabs>
              <w:textAlignment w:val="center"/>
              <w:rPr>
                <w:rFonts w:eastAsia="Arial Unicode MS" w:cs="Arial Unicode MS"/>
                <w:b/>
                <w:bCs/>
                <w:color w:val="000000"/>
                <w:sz w:val="22"/>
                <w:szCs w:val="22"/>
                <w:lang w:val="el-GR" w:bidi="en-US"/>
              </w:rPr>
            </w:pPr>
            <w:r>
              <w:rPr>
                <w:rFonts w:eastAsia="Arial Unicode MS" w:cs="Arial Unicode MS"/>
                <w:b/>
                <w:bCs/>
                <w:color w:val="000000"/>
                <w:sz w:val="22"/>
                <w:szCs w:val="22"/>
                <w:lang w:val="el-GR" w:bidi="en-US"/>
              </w:rPr>
              <w:t>Πριν χρησιμοποιήσετε μία προγεμισμένη σύριγγα του AMGEVITA, διαβάστε αυτές τις σημαντικές πληροφορίες:</w:t>
            </w:r>
          </w:p>
          <w:p w14:paraId="0D5591CD" w14:textId="77777777" w:rsidR="00171824" w:rsidRDefault="00171824">
            <w:pPr>
              <w:keepNext/>
              <w:keepLines/>
              <w:widowControl/>
              <w:tabs>
                <w:tab w:val="left" w:pos="567"/>
              </w:tabs>
              <w:textAlignment w:val="center"/>
              <w:rPr>
                <w:rFonts w:eastAsia="PMingLiU"/>
                <w:b/>
                <w:bCs/>
                <w:color w:val="000000"/>
                <w:sz w:val="22"/>
                <w:lang w:val="el-GR" w:bidi="en-US"/>
              </w:rPr>
            </w:pPr>
          </w:p>
        </w:tc>
      </w:tr>
      <w:tr w:rsidR="00171824" w:rsidRPr="00A07F46" w14:paraId="35BE3F0E" w14:textId="77777777">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3E03E03C" w14:textId="77777777" w:rsidR="00171824" w:rsidRDefault="006D258C">
            <w:pPr>
              <w:keepNext/>
              <w:keepLines/>
              <w:widowControl/>
              <w:rPr>
                <w:rFonts w:eastAsia="Calibri"/>
                <w:b/>
                <w:bCs/>
                <w:sz w:val="22"/>
                <w:lang w:val="el-GR" w:bidi="en-US"/>
              </w:rPr>
            </w:pPr>
            <w:r>
              <w:rPr>
                <w:rFonts w:eastAsia="Arial Unicode MS" w:cs="Arial Unicode MS"/>
                <w:b/>
                <w:bCs/>
                <w:sz w:val="22"/>
                <w:szCs w:val="22"/>
                <w:lang w:val="el-GR" w:bidi="en-US"/>
              </w:rPr>
              <w:t>Χρήση της προγεμισμένης σύριγγας του AMGEVITA</w:t>
            </w:r>
          </w:p>
        </w:tc>
      </w:tr>
      <w:tr w:rsidR="00171824" w:rsidRPr="00422380" w14:paraId="4437ADDC" w14:textId="77777777">
        <w:trPr>
          <w:cantSplit/>
        </w:trPr>
        <w:tc>
          <w:tcPr>
            <w:tcW w:w="314" w:type="pct"/>
            <w:tcBorders>
              <w:top w:val="nil"/>
              <w:left w:val="single" w:sz="4" w:space="0" w:color="auto"/>
              <w:bottom w:val="nil"/>
              <w:right w:val="nil"/>
            </w:tcBorders>
            <w:tcMar>
              <w:left w:w="57" w:type="dxa"/>
            </w:tcMar>
          </w:tcPr>
          <w:p w14:paraId="5E85CD15" w14:textId="77777777" w:rsidR="00171824" w:rsidRDefault="006D258C">
            <w:pPr>
              <w:keepNext/>
              <w:keepLines/>
              <w:widowControl/>
              <w:tabs>
                <w:tab w:val="left" w:pos="90"/>
              </w:tab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86" w:type="pct"/>
            <w:tcBorders>
              <w:top w:val="nil"/>
              <w:left w:val="nil"/>
              <w:bottom w:val="nil"/>
              <w:right w:val="single" w:sz="4" w:space="0" w:color="auto"/>
            </w:tcBorders>
            <w:tcMar>
              <w:top w:w="57" w:type="dxa"/>
              <w:left w:w="0" w:type="dxa"/>
              <w:bottom w:w="57" w:type="dxa"/>
              <w:right w:w="57" w:type="dxa"/>
            </w:tcMar>
          </w:tcPr>
          <w:p w14:paraId="4E198608" w14:textId="77777777" w:rsidR="00171824" w:rsidRDefault="006D258C">
            <w:pPr>
              <w:keepNext/>
              <w:keepLines/>
              <w:widowControl/>
              <w:rPr>
                <w:rFonts w:eastAsia="Calibri"/>
                <w:sz w:val="22"/>
                <w:lang w:val="el-GR" w:bidi="en-US"/>
              </w:rPr>
            </w:pPr>
            <w:r>
              <w:rPr>
                <w:rFonts w:eastAsia="Arial Unicode MS" w:cs="Arial Unicode MS"/>
                <w:sz w:val="22"/>
                <w:szCs w:val="22"/>
                <w:lang w:val="el-GR" w:bidi="en-US"/>
              </w:rPr>
              <w:t>Είναι σημαντικό να μην επιχειρήσετε να κάνετε την ένεση παρά μόνο εάν εσείς ή ο φροντιστής σας έχετε λάβει τη σχετική εκπαίδευση.</w:t>
            </w:r>
          </w:p>
        </w:tc>
      </w:tr>
      <w:tr w:rsidR="00171824" w14:paraId="5D503674" w14:textId="77777777">
        <w:trPr>
          <w:cantSplit/>
        </w:trPr>
        <w:tc>
          <w:tcPr>
            <w:tcW w:w="314" w:type="pct"/>
            <w:tcBorders>
              <w:top w:val="nil"/>
              <w:left w:val="single" w:sz="4" w:space="0" w:color="auto"/>
              <w:bottom w:val="nil"/>
              <w:right w:val="nil"/>
            </w:tcBorders>
            <w:tcMar>
              <w:left w:w="57" w:type="dxa"/>
            </w:tcMar>
          </w:tcPr>
          <w:p w14:paraId="2715994E" w14:textId="77777777" w:rsidR="00171824" w:rsidRDefault="006D258C">
            <w:pPr>
              <w:keepNext/>
              <w:keepLines/>
              <w:widowControl/>
              <w:tabs>
                <w:tab w:val="left" w:pos="90"/>
              </w:tab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86" w:type="pct"/>
            <w:tcBorders>
              <w:top w:val="nil"/>
              <w:left w:val="nil"/>
              <w:bottom w:val="nil"/>
              <w:right w:val="single" w:sz="4" w:space="0" w:color="auto"/>
            </w:tcBorders>
            <w:tcMar>
              <w:top w:w="57" w:type="dxa"/>
              <w:left w:w="0" w:type="dxa"/>
              <w:bottom w:w="57" w:type="dxa"/>
              <w:right w:w="57" w:type="dxa"/>
            </w:tcMar>
          </w:tcPr>
          <w:p w14:paraId="02A70AA6" w14:textId="77777777" w:rsidR="00171824" w:rsidRDefault="006D258C">
            <w:pPr>
              <w:keepNext/>
              <w:keepLines/>
              <w:widowControl/>
              <w:rPr>
                <w:rFonts w:eastAsia="Calibri"/>
                <w:sz w:val="22"/>
                <w:lang w:val="el-GR" w:bidi="en-US"/>
              </w:rPr>
            </w:pPr>
            <w:r>
              <w:rPr>
                <w:rFonts w:eastAsia="Arial Unicode MS" w:cs="Arial Unicode MS"/>
                <w:b/>
                <w:bCs/>
                <w:sz w:val="22"/>
                <w:szCs w:val="22"/>
                <w:lang w:val="el-GR" w:bidi="en-US"/>
              </w:rPr>
              <w:t xml:space="preserve">Μη </w:t>
            </w:r>
            <w:r>
              <w:rPr>
                <w:rFonts w:eastAsia="Arial Unicode MS" w:cs="Arial Unicode MS"/>
                <w:sz w:val="22"/>
                <w:szCs w:val="22"/>
                <w:lang w:val="el-GR" w:bidi="en-US"/>
              </w:rPr>
              <w:t>χρησιμοποιείτε μία προγεμισμένη σύριγγα του AMGEVITA εάν έχει πέσει επάνω σε μία σκληρή επιφάνεια. Κάποιο μέρος της προγεμισμένης σύριγγας του AMGEVITA μπορεί να έχει σπάσει, ακόμη και εάν το σπάσιμο δεν είναι ορατό. Χρησιμοποιήστε μία νέα προγεμισμένη σύριγγα του AMGEVITA.</w:t>
            </w:r>
          </w:p>
        </w:tc>
      </w:tr>
      <w:tr w:rsidR="00171824" w14:paraId="3A353EED" w14:textId="77777777">
        <w:trPr>
          <w:cantSplit/>
        </w:trPr>
        <w:tc>
          <w:tcPr>
            <w:tcW w:w="5000" w:type="pct"/>
            <w:gridSpan w:val="2"/>
            <w:tcBorders>
              <w:top w:val="nil"/>
              <w:left w:val="single" w:sz="4" w:space="0" w:color="auto"/>
              <w:bottom w:val="single" w:sz="4" w:space="0" w:color="auto"/>
              <w:right w:val="single" w:sz="4" w:space="0" w:color="auto"/>
            </w:tcBorders>
            <w:tcMar>
              <w:left w:w="57" w:type="dxa"/>
            </w:tcMar>
          </w:tcPr>
          <w:p w14:paraId="6945EA2A" w14:textId="77777777" w:rsidR="00171824" w:rsidRDefault="00171824">
            <w:pPr>
              <w:keepNext/>
              <w:keepLines/>
              <w:widowControl/>
              <w:tabs>
                <w:tab w:val="left" w:pos="90"/>
              </w:tabs>
              <w:contextualSpacing/>
              <w:textAlignment w:val="center"/>
              <w:rPr>
                <w:rFonts w:eastAsia="MS Mincho"/>
                <w:color w:val="000000"/>
                <w:sz w:val="22"/>
                <w:lang w:val="el-GR" w:bidi="en-US"/>
              </w:rPr>
            </w:pPr>
          </w:p>
        </w:tc>
      </w:tr>
    </w:tbl>
    <w:p w14:paraId="27BBD2A1" w14:textId="77777777" w:rsidR="00171824" w:rsidRDefault="00171824">
      <w:pPr>
        <w:widowControl/>
        <w:tabs>
          <w:tab w:val="left" w:pos="567"/>
        </w:tabs>
        <w:autoSpaceDE/>
        <w:autoSpaceDN/>
        <w:adjustRightInd/>
        <w:ind w:left="567" w:hanging="567"/>
        <w:rPr>
          <w:rFonts w:eastAsia="PMingLiU"/>
          <w:b/>
          <w:bCs/>
          <w:sz w:val="18"/>
          <w:szCs w:val="22"/>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71824" w14:paraId="7E292791"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B8C3DBB" w14:textId="77777777" w:rsidR="00171824" w:rsidRDefault="006D258C">
            <w:pPr>
              <w:keepNext/>
              <w:keepLines/>
              <w:widowControl/>
              <w:tabs>
                <w:tab w:val="left" w:pos="567"/>
              </w:tabs>
              <w:suppressAutoHyphens/>
              <w:jc w:val="center"/>
              <w:textAlignment w:val="center"/>
              <w:rPr>
                <w:rFonts w:eastAsia="PMingLiU"/>
                <w:b/>
                <w:color w:val="000000"/>
                <w:sz w:val="22"/>
                <w:lang w:val="el-GR" w:bidi="en-US"/>
              </w:rPr>
            </w:pPr>
            <w:r>
              <w:rPr>
                <w:rFonts w:eastAsia="Arial Unicode MS" w:cs="Arial Unicode MS"/>
                <w:b/>
                <w:bCs/>
                <w:sz w:val="22"/>
                <w:szCs w:val="22"/>
                <w:lang w:val="el-GR" w:bidi="en-US"/>
              </w:rPr>
              <w:t>Βήμα 1: Προετοιμαστείτε</w:t>
            </w:r>
          </w:p>
        </w:tc>
      </w:tr>
    </w:tbl>
    <w:p w14:paraId="0BDFD09A" w14:textId="77777777" w:rsidR="00171824" w:rsidRDefault="00171824">
      <w:pPr>
        <w:keepNext/>
        <w:keepLines/>
        <w:widowControl/>
        <w:tabs>
          <w:tab w:val="left" w:pos="567"/>
        </w:tabs>
        <w:autoSpaceDE/>
        <w:autoSpaceDN/>
        <w:adjustRightInd/>
        <w:ind w:left="567" w:hanging="567"/>
        <w:rPr>
          <w:rFonts w:eastAsia="PMingLiU"/>
          <w:b/>
          <w:bCs/>
          <w:sz w:val="16"/>
          <w:szCs w:val="16"/>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803"/>
        <w:gridCol w:w="3030"/>
        <w:gridCol w:w="5228"/>
      </w:tblGrid>
      <w:tr w:rsidR="00171824" w:rsidRPr="00422380" w14:paraId="5519E5CC" w14:textId="77777777">
        <w:tc>
          <w:tcPr>
            <w:tcW w:w="44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4525F37"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Α.</w:t>
            </w:r>
          </w:p>
        </w:tc>
        <w:tc>
          <w:tcPr>
            <w:tcW w:w="4557"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71B8E76" w14:textId="77777777" w:rsidR="00171824" w:rsidRDefault="006D258C">
            <w:pPr>
              <w:keepNext/>
              <w:keepLines/>
              <w:widowControl/>
              <w:rPr>
                <w:rFonts w:eastAsia="Arial Unicode MS" w:cs="Arial Unicode MS"/>
                <w:bCs/>
                <w:sz w:val="22"/>
                <w:szCs w:val="22"/>
                <w:lang w:val="el-GR" w:bidi="en-US"/>
              </w:rPr>
            </w:pPr>
            <w:r>
              <w:rPr>
                <w:rFonts w:eastAsia="Arial Unicode MS" w:cs="Arial Unicode MS"/>
                <w:bCs/>
                <w:sz w:val="22"/>
                <w:szCs w:val="22"/>
                <w:lang w:val="el-GR" w:bidi="en-US"/>
              </w:rPr>
              <w:t>Αφαιρέστε από τη συσκευασία τον αριθμό των συρίγγων AMGEVITA που χρειάζεστε.</w:t>
            </w:r>
          </w:p>
          <w:p w14:paraId="4734F14D" w14:textId="77777777" w:rsidR="00171824" w:rsidRDefault="00171824">
            <w:pPr>
              <w:keepNext/>
              <w:keepLines/>
              <w:widowControl/>
              <w:rPr>
                <w:rFonts w:eastAsia="PMingLiU"/>
                <w:color w:val="000000"/>
                <w:sz w:val="22"/>
                <w:lang w:val="el-GR"/>
              </w:rPr>
            </w:pPr>
          </w:p>
        </w:tc>
      </w:tr>
      <w:tr w:rsidR="00171824" w14:paraId="7460D2C5" w14:textId="77777777">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977"/>
              <w:gridCol w:w="6970"/>
            </w:tblGrid>
            <w:tr w:rsidR="00171824" w14:paraId="1DE03A53" w14:textId="77777777">
              <w:tc>
                <w:tcPr>
                  <w:tcW w:w="1985" w:type="dxa"/>
                  <w:vAlign w:val="center"/>
                </w:tcPr>
                <w:p w14:paraId="5D91A03E" w14:textId="77777777" w:rsidR="00171824" w:rsidRDefault="006D258C">
                  <w:pPr>
                    <w:keepNext/>
                    <w:keepLines/>
                    <w:widowControl/>
                    <w:tabs>
                      <w:tab w:val="left" w:pos="567"/>
                    </w:tabs>
                    <w:suppressAutoHyphens/>
                    <w:textAlignment w:val="center"/>
                    <w:rPr>
                      <w:rFonts w:eastAsia="Arial Unicode MS" w:cs="Arial Unicode MS"/>
                      <w:color w:val="000000"/>
                      <w:sz w:val="22"/>
                      <w:szCs w:val="22"/>
                      <w:lang w:val="el-GR" w:bidi="en-US"/>
                    </w:rPr>
                  </w:pPr>
                  <w:r>
                    <w:rPr>
                      <w:rFonts w:eastAsia="Arial Unicode MS" w:cs="Arial Unicode MS"/>
                      <w:bCs/>
                      <w:sz w:val="22"/>
                      <w:szCs w:val="22"/>
                      <w:lang w:val="el-GR" w:bidi="en-US"/>
                    </w:rPr>
                    <w:t>Πιάστε τον κύλινδρο της σύριγγας για να αφαιρέσετε τη σύριγγα από τον δίσκο.</w:t>
                  </w:r>
                  <w:r>
                    <w:rPr>
                      <w:rFonts w:eastAsia="Arial Unicode MS" w:cs="Arial Unicode MS"/>
                      <w:color w:val="000000"/>
                      <w:sz w:val="10"/>
                      <w:szCs w:val="10"/>
                      <w:lang w:val="el-GR" w:bidi="en-US"/>
                    </w:rPr>
                    <w:t xml:space="preserve"> </w:t>
                  </w:r>
                </w:p>
                <w:p w14:paraId="36BD6242" w14:textId="77777777" w:rsidR="00171824" w:rsidRDefault="00171824">
                  <w:pPr>
                    <w:keepNext/>
                    <w:keepLines/>
                    <w:widowControl/>
                    <w:tabs>
                      <w:tab w:val="left" w:pos="567"/>
                    </w:tabs>
                    <w:suppressAutoHyphens/>
                    <w:textAlignment w:val="center"/>
                    <w:rPr>
                      <w:rFonts w:eastAsia="Arial Unicode MS" w:cs="Arial Unicode MS"/>
                      <w:color w:val="000000"/>
                      <w:sz w:val="22"/>
                      <w:szCs w:val="22"/>
                      <w:lang w:val="el-GR" w:bidi="en-US"/>
                    </w:rPr>
                  </w:pPr>
                </w:p>
                <w:p w14:paraId="1A6F61DC" w14:textId="2E8A6DD6" w:rsidR="00171824" w:rsidRDefault="009039B7">
                  <w:pPr>
                    <w:keepNext/>
                    <w:keepLines/>
                    <w:widowControl/>
                    <w:tabs>
                      <w:tab w:val="left" w:pos="567"/>
                    </w:tabs>
                    <w:suppressAutoHyphens/>
                    <w:textAlignment w:val="center"/>
                    <w:rPr>
                      <w:rFonts w:eastAsia="PMingLiU"/>
                      <w:color w:val="000000"/>
                      <w:sz w:val="22"/>
                      <w:lang w:val="el-GR" w:bidi="en-US"/>
                    </w:rPr>
                  </w:pPr>
                  <w:r>
                    <w:rPr>
                      <w:noProof/>
                      <w:color w:val="000000"/>
                      <w:sz w:val="22"/>
                      <w:szCs w:val="22"/>
                      <w:lang w:val="el-GR" w:eastAsia="zh-CN"/>
                    </w:rPr>
                    <w:drawing>
                      <wp:inline distT="0" distB="0" distL="0" distR="0" wp14:anchorId="001EA46F" wp14:editId="6B18B952">
                        <wp:extent cx="1011555" cy="1274445"/>
                        <wp:effectExtent l="0" t="0" r="0" b="0"/>
                        <wp:docPr id="15" name="Picture 55" descr="ILL0315 SYRING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LL0315 SYRINGE MISC N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11555" cy="1274445"/>
                                </a:xfrm>
                                <a:prstGeom prst="rect">
                                  <a:avLst/>
                                </a:prstGeom>
                                <a:noFill/>
                                <a:ln>
                                  <a:noFill/>
                                </a:ln>
                              </pic:spPr>
                            </pic:pic>
                          </a:graphicData>
                        </a:graphic>
                      </wp:inline>
                    </w:drawing>
                  </w:r>
                </w:p>
              </w:tc>
              <w:tc>
                <w:tcPr>
                  <w:tcW w:w="7086" w:type="dxa"/>
                </w:tcPr>
                <w:p w14:paraId="3E09ED45" w14:textId="11034278" w:rsidR="00171824" w:rsidRDefault="009039B7">
                  <w:pPr>
                    <w:keepNext/>
                    <w:keepLines/>
                    <w:widowControl/>
                    <w:tabs>
                      <w:tab w:val="left" w:pos="567"/>
                    </w:tabs>
                    <w:suppressAutoHyphens/>
                    <w:jc w:val="center"/>
                    <w:textAlignment w:val="center"/>
                    <w:rPr>
                      <w:rFonts w:eastAsia="PMingLiU"/>
                      <w:color w:val="000000"/>
                      <w:sz w:val="22"/>
                      <w:lang w:val="el-GR" w:bidi="en-US"/>
                    </w:rPr>
                  </w:pPr>
                  <w:r>
                    <w:rPr>
                      <w:noProof/>
                      <w:color w:val="000000"/>
                      <w:sz w:val="22"/>
                      <w:szCs w:val="22"/>
                      <w:lang w:val="el-GR" w:eastAsia="zh-CN"/>
                    </w:rPr>
                    <w:drawing>
                      <wp:inline distT="0" distB="0" distL="0" distR="0" wp14:anchorId="41800286" wp14:editId="51C516A9">
                        <wp:extent cx="2743200" cy="1828800"/>
                        <wp:effectExtent l="0" t="0" r="0" b="0"/>
                        <wp:docPr id="16" name="Picture 18" descr="ILL0314 SYRING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LL0314 SYRINGE MISC N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bl>
          <w:p w14:paraId="3E2A35DA" w14:textId="77777777" w:rsidR="00171824" w:rsidRDefault="00171824">
            <w:pPr>
              <w:keepNext/>
              <w:keepLines/>
              <w:widowControl/>
              <w:tabs>
                <w:tab w:val="left" w:pos="567"/>
              </w:tabs>
              <w:suppressAutoHyphens/>
              <w:textAlignment w:val="center"/>
              <w:rPr>
                <w:rFonts w:eastAsia="PMingLiU"/>
                <w:color w:val="000000"/>
                <w:sz w:val="22"/>
                <w:lang w:val="el-GR"/>
              </w:rPr>
            </w:pPr>
          </w:p>
        </w:tc>
      </w:tr>
      <w:tr w:rsidR="00171824" w14:paraId="0CE06440" w14:textId="77777777">
        <w:trPr>
          <w:trHeight w:val="942"/>
        </w:trPr>
        <w:tc>
          <w:tcPr>
            <w:tcW w:w="2115" w:type="pct"/>
            <w:gridSpan w:val="2"/>
            <w:tcBorders>
              <w:top w:val="nil"/>
              <w:left w:val="single" w:sz="4" w:space="0" w:color="auto"/>
              <w:bottom w:val="nil"/>
              <w:right w:val="nil"/>
            </w:tcBorders>
            <w:tcMar>
              <w:top w:w="28" w:type="dxa"/>
              <w:left w:w="57" w:type="dxa"/>
              <w:bottom w:w="28" w:type="dxa"/>
              <w:right w:w="57" w:type="dxa"/>
            </w:tcMar>
          </w:tcPr>
          <w:p w14:paraId="4182C2F5" w14:textId="77777777" w:rsidR="00171824" w:rsidRDefault="006D258C">
            <w:pPr>
              <w:keepNext/>
              <w:keepLines/>
              <w:widowControl/>
              <w:tabs>
                <w:tab w:val="left" w:pos="567"/>
              </w:tabs>
              <w:rPr>
                <w:rFonts w:eastAsia="PMingLiU"/>
                <w:sz w:val="22"/>
                <w:lang w:val="el-GR" w:bidi="en-US"/>
              </w:rPr>
            </w:pPr>
            <w:r>
              <w:rPr>
                <w:rFonts w:eastAsia="Arial Unicode MS" w:cs="Arial Unicode MS"/>
                <w:sz w:val="22"/>
                <w:szCs w:val="22"/>
                <w:lang w:val="el-GR" w:bidi="en-US"/>
              </w:rPr>
              <w:t>Κρατήστε με τον αντίχειρα ή τον δείκτη σας την άκρη του δίσκου για να τον ασφαλίσετε ενώ βγάζετε τη σύριγγα.</w:t>
            </w:r>
          </w:p>
        </w:tc>
        <w:tc>
          <w:tcPr>
            <w:tcW w:w="2885" w:type="pct"/>
            <w:tcBorders>
              <w:top w:val="nil"/>
              <w:left w:val="nil"/>
              <w:bottom w:val="nil"/>
              <w:right w:val="single" w:sz="4" w:space="0" w:color="auto"/>
            </w:tcBorders>
            <w:tcMar>
              <w:left w:w="1134" w:type="dxa"/>
            </w:tcMar>
          </w:tcPr>
          <w:p w14:paraId="507E005A" w14:textId="77777777" w:rsidR="00171824" w:rsidRDefault="006D258C">
            <w:pPr>
              <w:keepNext/>
              <w:keepLines/>
              <w:widowControl/>
              <w:tabs>
                <w:tab w:val="left" w:pos="567"/>
              </w:tabs>
              <w:autoSpaceDE/>
              <w:autoSpaceDN/>
              <w:adjustRightInd/>
              <w:rPr>
                <w:rFonts w:eastAsia="PMingLiU"/>
                <w:b/>
                <w:color w:val="FF0000"/>
                <w:sz w:val="22"/>
                <w:lang w:val="el-GR" w:bidi="en-US"/>
              </w:rPr>
            </w:pPr>
            <w:r>
              <w:rPr>
                <w:rFonts w:eastAsia="Arial Unicode MS" w:cs="Arial Unicode MS"/>
                <w:b/>
                <w:color w:val="FF0000"/>
                <w:sz w:val="22"/>
                <w:szCs w:val="22"/>
                <w:lang w:val="el-GR" w:bidi="en-US"/>
              </w:rPr>
              <w:t>Πιάστε εδώ</w:t>
            </w:r>
          </w:p>
        </w:tc>
      </w:tr>
      <w:tr w:rsidR="00171824" w14:paraId="10E60813"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17729FC7" w14:textId="77777777" w:rsidR="00171824" w:rsidRDefault="006D258C">
            <w:pPr>
              <w:keepNext/>
              <w:keepLines/>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Τοποθετήστε την αρχική συσκευασία με όσες αχρησιμοποίητες σύριγγες απομένουν και πάλι στο ψυγείο.</w:t>
            </w:r>
          </w:p>
          <w:p w14:paraId="2368556F" w14:textId="77777777" w:rsidR="00171824" w:rsidRDefault="00171824">
            <w:pPr>
              <w:keepNext/>
              <w:keepLines/>
              <w:widowControl/>
              <w:tabs>
                <w:tab w:val="left" w:pos="567"/>
              </w:tabs>
              <w:suppressAutoHyphens/>
              <w:textAlignment w:val="center"/>
              <w:rPr>
                <w:rFonts w:eastAsia="PMingLiU"/>
                <w:color w:val="000000"/>
                <w:sz w:val="16"/>
                <w:lang w:val="el-GR"/>
              </w:rPr>
            </w:pPr>
          </w:p>
          <w:p w14:paraId="74A24961" w14:textId="77777777" w:rsidR="00171824" w:rsidRDefault="006D258C">
            <w:pPr>
              <w:keepNext/>
              <w:keepLines/>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Για λόγους ασφαλείας:</w:t>
            </w:r>
          </w:p>
        </w:tc>
      </w:tr>
      <w:tr w:rsidR="00171824" w:rsidRPr="00422380" w14:paraId="5D4CFE5A" w14:textId="77777777">
        <w:tc>
          <w:tcPr>
            <w:tcW w:w="443" w:type="pct"/>
            <w:tcBorders>
              <w:top w:val="nil"/>
              <w:left w:val="single" w:sz="4" w:space="0" w:color="auto"/>
              <w:bottom w:val="nil"/>
              <w:right w:val="nil"/>
            </w:tcBorders>
            <w:tcMar>
              <w:top w:w="28" w:type="dxa"/>
              <w:left w:w="57" w:type="dxa"/>
              <w:bottom w:w="28" w:type="dxa"/>
              <w:right w:w="57" w:type="dxa"/>
            </w:tcMar>
          </w:tcPr>
          <w:p w14:paraId="63D081DD" w14:textId="77777777" w:rsidR="00171824" w:rsidRDefault="006D258C">
            <w:pPr>
              <w:keepNext/>
              <w:keepLines/>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557" w:type="pct"/>
            <w:gridSpan w:val="2"/>
            <w:tcBorders>
              <w:top w:val="nil"/>
              <w:left w:val="nil"/>
              <w:bottom w:val="nil"/>
              <w:right w:val="single" w:sz="4" w:space="0" w:color="auto"/>
            </w:tcBorders>
            <w:tcMar>
              <w:left w:w="0" w:type="dxa"/>
            </w:tcMar>
          </w:tcPr>
          <w:p w14:paraId="5112E7A1" w14:textId="77777777" w:rsidR="00171824" w:rsidRDefault="006D258C">
            <w:pPr>
              <w:keepNext/>
              <w:keepLines/>
              <w:widowControl/>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κρατάτε τη σύριγγα από τη ράβδο εμβόλου.</w:t>
            </w:r>
          </w:p>
        </w:tc>
      </w:tr>
      <w:tr w:rsidR="00171824" w:rsidRPr="00422380" w14:paraId="7DA3FA09" w14:textId="77777777">
        <w:tc>
          <w:tcPr>
            <w:tcW w:w="443" w:type="pct"/>
            <w:tcBorders>
              <w:top w:val="nil"/>
              <w:left w:val="single" w:sz="4" w:space="0" w:color="auto"/>
              <w:bottom w:val="nil"/>
              <w:right w:val="nil"/>
            </w:tcBorders>
            <w:tcMar>
              <w:top w:w="28" w:type="dxa"/>
              <w:left w:w="57" w:type="dxa"/>
              <w:bottom w:w="28" w:type="dxa"/>
              <w:right w:w="57" w:type="dxa"/>
            </w:tcMar>
          </w:tcPr>
          <w:p w14:paraId="6DC6ADFD" w14:textId="77777777" w:rsidR="00171824" w:rsidRDefault="006D258C">
            <w:pPr>
              <w:keepNext/>
              <w:keepLines/>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557" w:type="pct"/>
            <w:gridSpan w:val="2"/>
            <w:tcBorders>
              <w:top w:val="nil"/>
              <w:left w:val="nil"/>
              <w:bottom w:val="nil"/>
              <w:right w:val="single" w:sz="4" w:space="0" w:color="auto"/>
            </w:tcBorders>
            <w:tcMar>
              <w:left w:w="0" w:type="dxa"/>
            </w:tcMar>
          </w:tcPr>
          <w:p w14:paraId="7A0DC74E" w14:textId="77777777" w:rsidR="00171824" w:rsidRDefault="006D258C">
            <w:pPr>
              <w:keepNext/>
              <w:keepLines/>
              <w:widowControl/>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κρατάτε τη σύριγγα από το κάλυμμα της βελόνας.</w:t>
            </w:r>
          </w:p>
        </w:tc>
      </w:tr>
      <w:tr w:rsidR="00171824" w:rsidRPr="00422380" w14:paraId="5DF5FB00" w14:textId="77777777">
        <w:tc>
          <w:tcPr>
            <w:tcW w:w="443" w:type="pct"/>
            <w:tcBorders>
              <w:top w:val="nil"/>
              <w:left w:val="single" w:sz="4" w:space="0" w:color="auto"/>
              <w:bottom w:val="nil"/>
              <w:right w:val="nil"/>
            </w:tcBorders>
            <w:tcMar>
              <w:top w:w="28" w:type="dxa"/>
              <w:left w:w="57" w:type="dxa"/>
              <w:bottom w:w="28" w:type="dxa"/>
              <w:right w:w="57" w:type="dxa"/>
            </w:tcMar>
          </w:tcPr>
          <w:p w14:paraId="16BC3178" w14:textId="77777777" w:rsidR="00171824" w:rsidRDefault="006D258C">
            <w:pPr>
              <w:keepNext/>
              <w:keepLines/>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557" w:type="pct"/>
            <w:gridSpan w:val="2"/>
            <w:tcBorders>
              <w:top w:val="nil"/>
              <w:left w:val="nil"/>
              <w:bottom w:val="nil"/>
              <w:right w:val="single" w:sz="4" w:space="0" w:color="auto"/>
            </w:tcBorders>
            <w:tcMar>
              <w:left w:w="0" w:type="dxa"/>
            </w:tcMar>
          </w:tcPr>
          <w:p w14:paraId="4CC2885B" w14:textId="77777777" w:rsidR="00171824" w:rsidRDefault="006D258C">
            <w:pPr>
              <w:keepNext/>
              <w:keepLines/>
              <w:widowControl/>
              <w:ind w:left="720" w:hanging="720"/>
              <w:rPr>
                <w:rFonts w:eastAsia="Calibri"/>
                <w:sz w:val="22"/>
                <w:lang w:val="el-GR" w:bidi="en-US"/>
              </w:rPr>
            </w:pPr>
            <w:r>
              <w:rPr>
                <w:rFonts w:eastAsia="Arial Unicode MS" w:cs="Arial Unicode MS"/>
                <w:b/>
                <w:sz w:val="22"/>
                <w:szCs w:val="22"/>
                <w:lang w:val="el-GR" w:bidi="en-US"/>
              </w:rPr>
              <w:t>Μην</w:t>
            </w:r>
            <w:r>
              <w:rPr>
                <w:rFonts w:eastAsia="Arial Unicode MS" w:cs="Arial Unicode MS"/>
                <w:sz w:val="22"/>
                <w:szCs w:val="22"/>
                <w:lang w:val="el-GR" w:bidi="en-US"/>
              </w:rPr>
              <w:t xml:space="preserve"> αφαιρείτε το κάλυμμα της βελόνας παρά μόνο όταν θα είστε έτοιμοι για την ένεση.</w:t>
            </w:r>
          </w:p>
        </w:tc>
      </w:tr>
      <w:tr w:rsidR="00171824" w14:paraId="0550CFEA" w14:textId="77777777">
        <w:trPr>
          <w:trHeight w:val="283"/>
        </w:trPr>
        <w:tc>
          <w:tcPr>
            <w:tcW w:w="443" w:type="pct"/>
            <w:tcBorders>
              <w:top w:val="nil"/>
              <w:left w:val="single" w:sz="4" w:space="0" w:color="auto"/>
              <w:bottom w:val="nil"/>
              <w:right w:val="nil"/>
            </w:tcBorders>
            <w:tcMar>
              <w:top w:w="28" w:type="dxa"/>
              <w:left w:w="57" w:type="dxa"/>
              <w:bottom w:w="28" w:type="dxa"/>
              <w:right w:w="57" w:type="dxa"/>
            </w:tcMar>
          </w:tcPr>
          <w:p w14:paraId="40AB1713" w14:textId="77777777" w:rsidR="00171824" w:rsidRDefault="006D258C">
            <w:pPr>
              <w:keepNext/>
              <w:keepLines/>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557" w:type="pct"/>
            <w:gridSpan w:val="2"/>
            <w:tcBorders>
              <w:top w:val="nil"/>
              <w:left w:val="nil"/>
              <w:bottom w:val="nil"/>
              <w:right w:val="single" w:sz="4" w:space="0" w:color="auto"/>
            </w:tcBorders>
            <w:tcMar>
              <w:left w:w="0" w:type="dxa"/>
            </w:tcMar>
          </w:tcPr>
          <w:p w14:paraId="7EA11934" w14:textId="77777777" w:rsidR="00171824" w:rsidRDefault="006D258C">
            <w:pPr>
              <w:keepNext/>
              <w:keepLines/>
              <w:widowControl/>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αφαιρέσετε τη λαβή δακτύλων. Αποτελεί μέρος της σύριγγας.</w:t>
            </w:r>
          </w:p>
        </w:tc>
      </w:tr>
      <w:tr w:rsidR="00171824" w:rsidRPr="00A07F46" w14:paraId="5647BF34" w14:textId="77777777">
        <w:trPr>
          <w:trHeight w:val="113"/>
        </w:trPr>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0844E667" w14:textId="77777777" w:rsidR="00171824" w:rsidRDefault="006D258C">
            <w:pPr>
              <w:keepNext/>
              <w:keepLines/>
              <w:widowControl/>
              <w:rPr>
                <w:rFonts w:eastAsia="Calibri"/>
                <w:sz w:val="22"/>
                <w:lang w:val="el-GR" w:bidi="en-US"/>
              </w:rPr>
            </w:pPr>
            <w:r>
              <w:rPr>
                <w:rFonts w:eastAsia="Arial Unicode MS" w:cs="Arial Unicode MS"/>
                <w:sz w:val="22"/>
                <w:szCs w:val="22"/>
                <w:lang w:val="el-GR" w:bidi="en-US"/>
              </w:rPr>
              <w:t xml:space="preserve">Για να είναι πιο άνετη η ένεση, αφήστε τη σύριγγα σε θερμοκρασία δωματίου για </w:t>
            </w:r>
            <w:r>
              <w:rPr>
                <w:rFonts w:eastAsia="Arial Unicode MS" w:cs="Arial Unicode MS"/>
                <w:b/>
                <w:bCs/>
                <w:sz w:val="22"/>
                <w:szCs w:val="22"/>
                <w:lang w:val="el-GR" w:bidi="en-US"/>
              </w:rPr>
              <w:t>15 έως 30</w:t>
            </w:r>
            <w:r>
              <w:rPr>
                <w:rFonts w:eastAsia="Arial Unicode MS" w:cs="Arial Unicode MS"/>
                <w:sz w:val="22"/>
                <w:szCs w:val="22"/>
                <w:lang w:val="el-GR" w:bidi="en-US"/>
              </w:rPr>
              <w:t xml:space="preserve"> λεπτά πριν από την ένεση.</w:t>
            </w:r>
          </w:p>
        </w:tc>
      </w:tr>
      <w:tr w:rsidR="00171824" w:rsidRPr="00422380" w14:paraId="06756ECE" w14:textId="77777777">
        <w:tc>
          <w:tcPr>
            <w:tcW w:w="443" w:type="pct"/>
            <w:tcBorders>
              <w:top w:val="nil"/>
              <w:left w:val="single" w:sz="4" w:space="0" w:color="auto"/>
              <w:bottom w:val="nil"/>
              <w:right w:val="nil"/>
            </w:tcBorders>
            <w:tcMar>
              <w:top w:w="28" w:type="dxa"/>
              <w:left w:w="57" w:type="dxa"/>
              <w:bottom w:w="28" w:type="dxa"/>
              <w:right w:w="57" w:type="dxa"/>
            </w:tcMar>
          </w:tcPr>
          <w:p w14:paraId="197F1A2A" w14:textId="77777777" w:rsidR="00171824" w:rsidRDefault="006D258C">
            <w:pPr>
              <w:keepNext/>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557" w:type="pct"/>
            <w:gridSpan w:val="2"/>
            <w:tcBorders>
              <w:top w:val="nil"/>
              <w:left w:val="nil"/>
              <w:bottom w:val="nil"/>
              <w:right w:val="single" w:sz="4" w:space="0" w:color="auto"/>
            </w:tcBorders>
            <w:tcMar>
              <w:left w:w="0" w:type="dxa"/>
            </w:tcMar>
          </w:tcPr>
          <w:p w14:paraId="3C1B82CB" w14:textId="77777777" w:rsidR="00171824" w:rsidRDefault="006D258C">
            <w:pPr>
              <w:keepNext/>
              <w:widowControl/>
              <w:ind w:left="720" w:hanging="720"/>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τοποθετήσετε τη σύριγγα και πάλι στο ψυγείο αφού φτάσει σε θερμοκρασία δωματίου.</w:t>
            </w:r>
          </w:p>
        </w:tc>
      </w:tr>
      <w:tr w:rsidR="00171824" w:rsidRPr="00422380" w14:paraId="1001BC1D" w14:textId="77777777">
        <w:tc>
          <w:tcPr>
            <w:tcW w:w="443" w:type="pct"/>
            <w:tcBorders>
              <w:top w:val="nil"/>
              <w:left w:val="single" w:sz="4" w:space="0" w:color="auto"/>
              <w:bottom w:val="nil"/>
              <w:right w:val="nil"/>
            </w:tcBorders>
            <w:tcMar>
              <w:top w:w="28" w:type="dxa"/>
              <w:left w:w="57" w:type="dxa"/>
              <w:bottom w:w="28" w:type="dxa"/>
              <w:right w:w="57" w:type="dxa"/>
            </w:tcMar>
          </w:tcPr>
          <w:p w14:paraId="62288C22" w14:textId="77777777" w:rsidR="00171824" w:rsidRDefault="006D258C">
            <w:pPr>
              <w:keepNext/>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557" w:type="pct"/>
            <w:gridSpan w:val="2"/>
            <w:tcBorders>
              <w:top w:val="nil"/>
              <w:left w:val="nil"/>
              <w:bottom w:val="nil"/>
              <w:right w:val="single" w:sz="4" w:space="0" w:color="auto"/>
            </w:tcBorders>
            <w:tcMar>
              <w:left w:w="0" w:type="dxa"/>
            </w:tcMar>
          </w:tcPr>
          <w:p w14:paraId="4894D023" w14:textId="77777777" w:rsidR="00171824" w:rsidRDefault="006D258C">
            <w:pPr>
              <w:keepNext/>
              <w:widowControl/>
              <w:rPr>
                <w:rFonts w:eastAsia="Calibri"/>
                <w:b/>
                <w:bCs/>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επιχειρήσετε να θερμάνετε τη σύριγγα χρησιμοποιώντας κάποια πηγή θερμότητας, όπως το ζεστό νερό ή ο φούρνος μικροκυμάτων.</w:t>
            </w:r>
          </w:p>
        </w:tc>
      </w:tr>
      <w:tr w:rsidR="00171824" w:rsidRPr="00422380" w14:paraId="63BC3B4B" w14:textId="77777777">
        <w:tc>
          <w:tcPr>
            <w:tcW w:w="443" w:type="pct"/>
            <w:tcBorders>
              <w:top w:val="nil"/>
              <w:left w:val="single" w:sz="4" w:space="0" w:color="auto"/>
              <w:bottom w:val="nil"/>
              <w:right w:val="nil"/>
            </w:tcBorders>
            <w:tcMar>
              <w:top w:w="28" w:type="dxa"/>
              <w:left w:w="57" w:type="dxa"/>
              <w:bottom w:w="28" w:type="dxa"/>
              <w:right w:w="57" w:type="dxa"/>
            </w:tcMar>
          </w:tcPr>
          <w:p w14:paraId="2D9A5F81"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557" w:type="pct"/>
            <w:gridSpan w:val="2"/>
            <w:tcBorders>
              <w:top w:val="nil"/>
              <w:left w:val="nil"/>
              <w:bottom w:val="nil"/>
              <w:right w:val="single" w:sz="4" w:space="0" w:color="auto"/>
            </w:tcBorders>
            <w:tcMar>
              <w:left w:w="0" w:type="dxa"/>
            </w:tcMar>
          </w:tcPr>
          <w:p w14:paraId="164EAFD5" w14:textId="77777777" w:rsidR="00171824" w:rsidRDefault="006D258C">
            <w:pPr>
              <w:widowControl/>
              <w:ind w:left="720" w:hanging="720"/>
              <w:rPr>
                <w:rFonts w:eastAsia="Calibri"/>
                <w:b/>
                <w:bCs/>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αφήσετε τη σύριγγα εκτεθειμένη σε άμεση ηλιακή ακτινοβολία.</w:t>
            </w:r>
          </w:p>
        </w:tc>
      </w:tr>
      <w:tr w:rsidR="00171824" w14:paraId="4ADDC66D" w14:textId="77777777">
        <w:tc>
          <w:tcPr>
            <w:tcW w:w="443" w:type="pct"/>
            <w:tcBorders>
              <w:top w:val="nil"/>
              <w:left w:val="single" w:sz="4" w:space="0" w:color="auto"/>
              <w:bottom w:val="nil"/>
              <w:right w:val="nil"/>
            </w:tcBorders>
            <w:tcMar>
              <w:top w:w="28" w:type="dxa"/>
              <w:left w:w="57" w:type="dxa"/>
              <w:bottom w:w="28" w:type="dxa"/>
              <w:right w:w="57" w:type="dxa"/>
            </w:tcMar>
          </w:tcPr>
          <w:p w14:paraId="473B9FEF"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557" w:type="pct"/>
            <w:gridSpan w:val="2"/>
            <w:tcBorders>
              <w:top w:val="nil"/>
              <w:left w:val="nil"/>
              <w:bottom w:val="nil"/>
              <w:right w:val="single" w:sz="4" w:space="0" w:color="auto"/>
            </w:tcBorders>
            <w:tcMar>
              <w:left w:w="0" w:type="dxa"/>
            </w:tcMar>
          </w:tcPr>
          <w:p w14:paraId="55737F0C" w14:textId="77777777" w:rsidR="00171824" w:rsidRDefault="006D258C">
            <w:pPr>
              <w:widowControl/>
              <w:ind w:left="720" w:hanging="720"/>
              <w:rPr>
                <w:rFonts w:eastAsia="Calibri"/>
                <w:b/>
                <w:bCs/>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ανακινείτε τη σύριγγα.</w:t>
            </w:r>
          </w:p>
        </w:tc>
      </w:tr>
      <w:tr w:rsidR="00171824" w:rsidRPr="00A07F46" w14:paraId="0761DEF7" w14:textId="77777777">
        <w:trPr>
          <w:trHeight w:val="441"/>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39121FFC" w14:textId="77777777" w:rsidR="00171824" w:rsidRDefault="006D258C">
            <w:pPr>
              <w:widowControl/>
              <w:suppressAutoHyphens/>
              <w:textAlignment w:val="center"/>
              <w:rPr>
                <w:rFonts w:eastAsia="PMingLiU"/>
                <w:b/>
                <w:bCs/>
                <w:sz w:val="22"/>
                <w:lang w:val="el-GR" w:bidi="en-US"/>
              </w:rPr>
            </w:pPr>
            <w:r>
              <w:rPr>
                <w:rFonts w:eastAsia="Arial Unicode MS" w:cs="Arial Unicode MS"/>
                <w:b/>
                <w:bCs/>
                <w:color w:val="000000"/>
                <w:sz w:val="22"/>
                <w:szCs w:val="22"/>
                <w:lang w:val="el-GR" w:bidi="en-US"/>
              </w:rPr>
              <w:lastRenderedPageBreak/>
              <w:t xml:space="preserve">Σημαντικό: </w:t>
            </w:r>
            <w:r>
              <w:rPr>
                <w:rFonts w:eastAsia="Arial Unicode MS" w:cs="Arial Unicode MS"/>
                <w:bCs/>
                <w:color w:val="000000"/>
                <w:sz w:val="22"/>
                <w:szCs w:val="22"/>
                <w:lang w:val="el-GR" w:bidi="en-US"/>
              </w:rPr>
              <w:t>Κρατάτε πάντοτε την προγεμισμένη σύριγγα από τον κύλινδρο της σύριγγας.</w:t>
            </w:r>
          </w:p>
        </w:tc>
      </w:tr>
    </w:tbl>
    <w:p w14:paraId="50B36A18" w14:textId="77777777" w:rsidR="00171824" w:rsidRDefault="00171824">
      <w:pPr>
        <w:widowControl/>
        <w:suppressAutoHyphens/>
        <w:textAlignment w:val="center"/>
        <w:rPr>
          <w:rFonts w:eastAsia="PMingLiU"/>
          <w:b/>
          <w:bCs/>
          <w:sz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98"/>
        <w:gridCol w:w="8463"/>
      </w:tblGrid>
      <w:tr w:rsidR="00171824" w:rsidRPr="00422380" w14:paraId="10745884"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DF9F5AF"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bCs/>
                <w:sz w:val="22"/>
                <w:lang w:val="el-GR" w:bidi="en-US"/>
              </w:rPr>
              <w:t>Β.</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495301AE" w14:textId="77777777" w:rsidR="00171824" w:rsidRDefault="006D258C">
            <w:pPr>
              <w:keepNext/>
              <w:keepLines/>
              <w:widowControl/>
              <w:suppressAutoHyphens/>
              <w:textAlignment w:val="center"/>
              <w:rPr>
                <w:rFonts w:eastAsia="PMingLiU"/>
                <w:b/>
                <w:bCs/>
                <w:color w:val="000000"/>
                <w:sz w:val="22"/>
                <w:lang w:val="el-GR" w:bidi="en-US"/>
              </w:rPr>
            </w:pPr>
            <w:r>
              <w:rPr>
                <w:rFonts w:eastAsia="Arial Unicode MS" w:cs="Arial Unicode MS"/>
                <w:bCs/>
                <w:color w:val="000000"/>
                <w:sz w:val="22"/>
                <w:szCs w:val="22"/>
                <w:lang w:val="el-GR" w:bidi="en-US"/>
              </w:rPr>
              <w:t>Επιθεωρήστε οπτικά την προγεμισμένη σύριγγα.</w:t>
            </w:r>
          </w:p>
        </w:tc>
      </w:tr>
      <w:tr w:rsidR="00171824" w14:paraId="6E25BCFB" w14:textId="77777777">
        <w:trPr>
          <w:trHeight w:val="3467"/>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004"/>
              <w:gridCol w:w="1985"/>
              <w:gridCol w:w="129"/>
              <w:gridCol w:w="3437"/>
              <w:gridCol w:w="123"/>
            </w:tblGrid>
            <w:tr w:rsidR="00171824" w14:paraId="36547FFC" w14:textId="77777777">
              <w:tc>
                <w:tcPr>
                  <w:tcW w:w="1985" w:type="dxa"/>
                  <w:vAlign w:val="bottom"/>
                </w:tcPr>
                <w:p w14:paraId="5A746D6F" w14:textId="77777777" w:rsidR="00171824" w:rsidRDefault="00171824">
                  <w:pPr>
                    <w:keepNext/>
                    <w:keepLines/>
                    <w:widowControl/>
                    <w:rPr>
                      <w:rFonts w:eastAsia="Calibri"/>
                      <w:bCs/>
                      <w:sz w:val="22"/>
                      <w:lang w:val="el-GR"/>
                    </w:rPr>
                  </w:pPr>
                </w:p>
              </w:tc>
              <w:tc>
                <w:tcPr>
                  <w:tcW w:w="1571" w:type="dxa"/>
                  <w:gridSpan w:val="2"/>
                  <w:vAlign w:val="bottom"/>
                </w:tcPr>
                <w:p w14:paraId="3F971EFB" w14:textId="77777777" w:rsidR="00171824" w:rsidRDefault="006D258C">
                  <w:pPr>
                    <w:keepNext/>
                    <w:keepLines/>
                    <w:widowControl/>
                    <w:rPr>
                      <w:rFonts w:eastAsia="Calibri"/>
                      <w:bCs/>
                      <w:sz w:val="22"/>
                      <w:lang w:val="el-GR" w:bidi="en-US"/>
                    </w:rPr>
                  </w:pPr>
                  <w:r>
                    <w:rPr>
                      <w:rFonts w:eastAsia="Arial Unicode MS" w:cs="Arial Unicode MS"/>
                      <w:bCs/>
                      <w:sz w:val="22"/>
                      <w:szCs w:val="22"/>
                      <w:lang w:val="el-GR" w:bidi="en-US"/>
                    </w:rPr>
                    <w:t>Κύλινδρος σύριγγας</w:t>
                  </w:r>
                </w:p>
              </w:tc>
              <w:tc>
                <w:tcPr>
                  <w:tcW w:w="1985" w:type="dxa"/>
                  <w:vAlign w:val="bottom"/>
                </w:tcPr>
                <w:p w14:paraId="238C4CFD" w14:textId="77777777" w:rsidR="00171824" w:rsidRDefault="006D258C">
                  <w:pPr>
                    <w:keepNext/>
                    <w:keepLines/>
                    <w:widowControl/>
                    <w:rPr>
                      <w:rFonts w:eastAsia="Calibri"/>
                      <w:bCs/>
                      <w:sz w:val="22"/>
                      <w:lang w:val="el-GR" w:bidi="en-US"/>
                    </w:rPr>
                  </w:pPr>
                  <w:r>
                    <w:rPr>
                      <w:rFonts w:eastAsia="Arial Unicode MS" w:cs="Arial Unicode MS"/>
                      <w:bCs/>
                      <w:sz w:val="22"/>
                      <w:szCs w:val="22"/>
                      <w:lang w:val="el-GR" w:bidi="en-US"/>
                    </w:rPr>
                    <w:t>Ημερομηνία λήξης στην ετικέτα</w:t>
                  </w:r>
                </w:p>
              </w:tc>
              <w:tc>
                <w:tcPr>
                  <w:tcW w:w="3689" w:type="dxa"/>
                  <w:gridSpan w:val="3"/>
                  <w:vAlign w:val="bottom"/>
                </w:tcPr>
                <w:p w14:paraId="58725C87" w14:textId="77777777" w:rsidR="00171824" w:rsidRDefault="006D258C">
                  <w:pPr>
                    <w:keepNext/>
                    <w:keepLines/>
                    <w:widowControl/>
                    <w:rPr>
                      <w:rFonts w:eastAsia="Calibri"/>
                      <w:bCs/>
                      <w:sz w:val="22"/>
                      <w:lang w:val="el-GR" w:bidi="en-US"/>
                    </w:rPr>
                  </w:pPr>
                  <w:r>
                    <w:rPr>
                      <w:rFonts w:eastAsia="Arial Unicode MS" w:cs="Arial Unicode MS"/>
                      <w:bCs/>
                      <w:sz w:val="22"/>
                      <w:szCs w:val="22"/>
                      <w:lang w:val="el-GR" w:bidi="en-US"/>
                    </w:rPr>
                    <w:t>Ράβδος εμβόλου</w:t>
                  </w:r>
                </w:p>
              </w:tc>
            </w:tr>
            <w:tr w:rsidR="00171824" w14:paraId="48A5A1A2" w14:textId="77777777">
              <w:trPr>
                <w:gridAfter w:val="1"/>
                <w:wAfter w:w="123" w:type="dxa"/>
              </w:trPr>
              <w:tc>
                <w:tcPr>
                  <w:tcW w:w="9107" w:type="dxa"/>
                  <w:gridSpan w:val="6"/>
                </w:tcPr>
                <w:p w14:paraId="62BEB153" w14:textId="4037D115" w:rsidR="00171824" w:rsidRDefault="009039B7">
                  <w:pPr>
                    <w:keepNext/>
                    <w:keepLines/>
                    <w:widowControl/>
                    <w:rPr>
                      <w:rFonts w:eastAsia="Calibri"/>
                      <w:bCs/>
                      <w:sz w:val="22"/>
                      <w:lang w:val="el-GR" w:bidi="en-US"/>
                    </w:rPr>
                  </w:pPr>
                  <w:r>
                    <w:rPr>
                      <w:rFonts w:eastAsia="Calibri"/>
                      <w:noProof/>
                      <w:sz w:val="22"/>
                      <w:szCs w:val="22"/>
                      <w:lang w:val="el-GR" w:eastAsia="zh-CN"/>
                    </w:rPr>
                    <w:drawing>
                      <wp:inline distT="0" distB="0" distL="0" distR="0" wp14:anchorId="72336450" wp14:editId="2366F7A9">
                        <wp:extent cx="4754880" cy="1731645"/>
                        <wp:effectExtent l="0" t="0" r="0" b="0"/>
                        <wp:docPr id="17" name="Picture 54" descr="ILL0328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LL0328 v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4880" cy="1731645"/>
                                </a:xfrm>
                                <a:prstGeom prst="rect">
                                  <a:avLst/>
                                </a:prstGeom>
                                <a:noFill/>
                                <a:ln>
                                  <a:noFill/>
                                </a:ln>
                              </pic:spPr>
                            </pic:pic>
                          </a:graphicData>
                        </a:graphic>
                      </wp:inline>
                    </w:drawing>
                  </w:r>
                </w:p>
              </w:tc>
            </w:tr>
            <w:tr w:rsidR="00171824" w14:paraId="6B3C3C76" w14:textId="77777777">
              <w:trPr>
                <w:gridAfter w:val="1"/>
                <w:wAfter w:w="123" w:type="dxa"/>
              </w:trPr>
              <w:tc>
                <w:tcPr>
                  <w:tcW w:w="2552" w:type="dxa"/>
                  <w:gridSpan w:val="2"/>
                </w:tcPr>
                <w:p w14:paraId="15368D95" w14:textId="77777777" w:rsidR="00171824" w:rsidRDefault="006D258C">
                  <w:pPr>
                    <w:keepNext/>
                    <w:keepLines/>
                    <w:widowControl/>
                    <w:rPr>
                      <w:rFonts w:eastAsia="Calibri"/>
                      <w:bCs/>
                      <w:sz w:val="22"/>
                      <w:lang w:val="el-GR" w:bidi="en-US"/>
                    </w:rPr>
                  </w:pPr>
                  <w:r>
                    <w:rPr>
                      <w:rFonts w:eastAsia="Arial Unicode MS" w:cs="Arial Unicode MS"/>
                      <w:bCs/>
                      <w:sz w:val="22"/>
                      <w:szCs w:val="22"/>
                      <w:lang w:val="el-GR" w:bidi="en-US"/>
                    </w:rPr>
                    <w:t>Κάλυμμα βελόνας,</w:t>
                  </w:r>
                  <w:r>
                    <w:rPr>
                      <w:rFonts w:eastAsia="Arial Unicode MS" w:cs="Arial Unicode MS"/>
                      <w:bCs/>
                      <w:sz w:val="22"/>
                      <w:szCs w:val="22"/>
                      <w:lang w:val="el-GR" w:bidi="en-US"/>
                    </w:rPr>
                    <w:br/>
                    <w:t>κλειστό</w:t>
                  </w:r>
                </w:p>
              </w:tc>
              <w:tc>
                <w:tcPr>
                  <w:tcW w:w="3118" w:type="dxa"/>
                  <w:gridSpan w:val="3"/>
                </w:tcPr>
                <w:p w14:paraId="68E25CC7" w14:textId="77777777" w:rsidR="00171824" w:rsidRDefault="006D258C">
                  <w:pPr>
                    <w:keepNext/>
                    <w:keepLines/>
                    <w:widowControl/>
                    <w:rPr>
                      <w:rFonts w:eastAsia="Calibri"/>
                      <w:bCs/>
                      <w:sz w:val="22"/>
                      <w:lang w:val="el-GR" w:bidi="en-US"/>
                    </w:rPr>
                  </w:pPr>
                  <w:r>
                    <w:rPr>
                      <w:rFonts w:eastAsia="Arial Unicode MS" w:cs="Arial Unicode MS"/>
                      <w:bCs/>
                      <w:sz w:val="22"/>
                      <w:szCs w:val="22"/>
                      <w:lang w:val="el-GR" w:bidi="en-US"/>
                    </w:rPr>
                    <w:t>Φάρμακο</w:t>
                  </w:r>
                </w:p>
              </w:tc>
              <w:tc>
                <w:tcPr>
                  <w:tcW w:w="3437" w:type="dxa"/>
                </w:tcPr>
                <w:p w14:paraId="4F0E1B5A" w14:textId="77777777" w:rsidR="00171824" w:rsidRDefault="006D258C">
                  <w:pPr>
                    <w:keepNext/>
                    <w:keepLines/>
                    <w:widowControl/>
                    <w:rPr>
                      <w:rFonts w:eastAsia="Calibri"/>
                      <w:bCs/>
                      <w:sz w:val="22"/>
                      <w:lang w:val="el-GR" w:bidi="en-US"/>
                    </w:rPr>
                  </w:pPr>
                  <w:r>
                    <w:rPr>
                      <w:rFonts w:eastAsia="Arial Unicode MS" w:cs="Arial Unicode MS"/>
                      <w:bCs/>
                      <w:sz w:val="22"/>
                      <w:szCs w:val="22"/>
                      <w:lang w:val="el-GR" w:bidi="en-US"/>
                    </w:rPr>
                    <w:t>Λαβή δακτύλων</w:t>
                  </w:r>
                </w:p>
              </w:tc>
            </w:tr>
          </w:tbl>
          <w:p w14:paraId="00E862DF" w14:textId="77777777" w:rsidR="00171824" w:rsidRDefault="00171824">
            <w:pPr>
              <w:keepNext/>
              <w:keepLines/>
              <w:widowControl/>
              <w:rPr>
                <w:rFonts w:eastAsia="Calibri"/>
                <w:bCs/>
                <w:sz w:val="22"/>
                <w:lang w:val="el-GR"/>
              </w:rPr>
            </w:pPr>
          </w:p>
        </w:tc>
      </w:tr>
      <w:tr w:rsidR="00171824" w:rsidRPr="00422380" w14:paraId="2488650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8CFDD53" w14:textId="77777777" w:rsidR="00171824" w:rsidRDefault="006D258C">
            <w:pPr>
              <w:keepNext/>
              <w:keepLines/>
              <w:widowControl/>
              <w:rPr>
                <w:rFonts w:eastAsia="Calibri"/>
                <w:b/>
                <w:bCs/>
                <w:sz w:val="22"/>
                <w:lang w:val="el-GR" w:bidi="en-US"/>
              </w:rPr>
            </w:pPr>
            <w:r>
              <w:rPr>
                <w:rFonts w:eastAsia="Arial Unicode MS" w:cs="Arial Unicode MS"/>
                <w:b/>
                <w:bCs/>
                <w:sz w:val="22"/>
                <w:szCs w:val="22"/>
                <w:lang w:val="el-GR" w:bidi="en-US"/>
              </w:rPr>
              <w:t>Κρατάτε πάντοτε τη σύριγγα από τον κύλινδρο της σύριγγας.</w:t>
            </w:r>
          </w:p>
          <w:p w14:paraId="196A8D00" w14:textId="77777777" w:rsidR="00171824" w:rsidRDefault="00171824">
            <w:pPr>
              <w:keepNext/>
              <w:keepLines/>
              <w:widowControl/>
              <w:rPr>
                <w:rFonts w:eastAsia="Calibri"/>
                <w:b/>
                <w:bCs/>
                <w:sz w:val="22"/>
                <w:lang w:val="el-GR"/>
              </w:rPr>
            </w:pPr>
          </w:p>
          <w:p w14:paraId="27AFF64B" w14:textId="77777777" w:rsidR="00171824" w:rsidRDefault="006D258C">
            <w:pPr>
              <w:keepNext/>
              <w:keepLines/>
              <w:widowControl/>
              <w:rPr>
                <w:rFonts w:eastAsia="Calibri"/>
                <w:b/>
                <w:bCs/>
                <w:sz w:val="22"/>
                <w:lang w:val="el-GR" w:bidi="en-US"/>
              </w:rPr>
            </w:pPr>
            <w:r>
              <w:rPr>
                <w:rFonts w:eastAsia="Arial Unicode MS" w:cs="Arial Unicode MS"/>
                <w:b/>
                <w:bCs/>
                <w:sz w:val="22"/>
                <w:szCs w:val="22"/>
                <w:lang w:val="el-GR" w:bidi="en-US"/>
              </w:rPr>
              <w:t>Βεβαιωθείτε ότι το φάρμακο στη σύριγγα είναι διαυγές και άχρωμο προς ελαφρώς κίτρινο.</w:t>
            </w:r>
          </w:p>
        </w:tc>
      </w:tr>
      <w:tr w:rsidR="00171824" w:rsidRPr="00422380" w14:paraId="6FA7A9A3" w14:textId="77777777">
        <w:tc>
          <w:tcPr>
            <w:tcW w:w="303" w:type="pct"/>
            <w:tcBorders>
              <w:top w:val="nil"/>
              <w:left w:val="single" w:sz="4" w:space="0" w:color="auto"/>
              <w:bottom w:val="nil"/>
              <w:right w:val="nil"/>
            </w:tcBorders>
            <w:tcMar>
              <w:top w:w="28" w:type="dxa"/>
              <w:left w:w="57" w:type="dxa"/>
              <w:bottom w:w="28" w:type="dxa"/>
              <w:right w:w="57" w:type="dxa"/>
            </w:tcMar>
          </w:tcPr>
          <w:p w14:paraId="1F997A58" w14:textId="77777777" w:rsidR="00171824" w:rsidRDefault="006D258C">
            <w:pPr>
              <w:keepNext/>
              <w:keepLines/>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5DF7348B" w14:textId="77777777" w:rsidR="00171824" w:rsidRDefault="006D258C">
            <w:pPr>
              <w:keepNext/>
              <w:keepLines/>
              <w:widowControl/>
              <w:suppressAutoHyphens/>
              <w:contextualSpacing/>
              <w:textAlignment w:val="center"/>
              <w:rPr>
                <w:rFonts w:eastAsia="PMingLiU"/>
                <w:color w:val="000000"/>
                <w:sz w:val="22"/>
                <w:lang w:val="el-GR" w:bidi="en-US"/>
              </w:rPr>
            </w:pPr>
            <w:r>
              <w:rPr>
                <w:rFonts w:eastAsia="Arial Unicode MS" w:cs="Arial Unicode MS"/>
                <w:b/>
                <w:bCs/>
                <w:color w:val="000000"/>
                <w:sz w:val="22"/>
                <w:szCs w:val="22"/>
                <w:lang w:val="el-GR" w:bidi="en-US"/>
              </w:rPr>
              <w:t xml:space="preserve">Μη </w:t>
            </w:r>
            <w:r>
              <w:rPr>
                <w:rFonts w:eastAsia="Arial Unicode MS" w:cs="Arial Unicode MS"/>
                <w:color w:val="000000"/>
                <w:sz w:val="22"/>
                <w:szCs w:val="22"/>
                <w:lang w:val="el-GR" w:bidi="en-US"/>
              </w:rPr>
              <w:t>χρησιμοποιήσετε τη σύριγγα εάν:</w:t>
            </w:r>
          </w:p>
        </w:tc>
      </w:tr>
      <w:tr w:rsidR="00171824" w:rsidRPr="00422380" w14:paraId="559A7A0C" w14:textId="77777777">
        <w:tc>
          <w:tcPr>
            <w:tcW w:w="303" w:type="pct"/>
            <w:tcBorders>
              <w:top w:val="nil"/>
              <w:left w:val="single" w:sz="4" w:space="0" w:color="auto"/>
              <w:bottom w:val="nil"/>
              <w:right w:val="nil"/>
            </w:tcBorders>
            <w:tcMar>
              <w:top w:w="28" w:type="dxa"/>
              <w:left w:w="57" w:type="dxa"/>
              <w:bottom w:w="28" w:type="dxa"/>
              <w:right w:w="57" w:type="dxa"/>
            </w:tcMar>
          </w:tcPr>
          <w:p w14:paraId="0E23B6B2" w14:textId="77777777" w:rsidR="00171824" w:rsidRDefault="00171824">
            <w:pPr>
              <w:widowControl/>
              <w:tabs>
                <w:tab w:val="left" w:pos="567"/>
              </w:tabs>
              <w:autoSpaceDE/>
              <w:autoSpaceDN/>
              <w:adjustRightInd/>
              <w:rPr>
                <w:rFonts w:eastAsia="PMingLiU"/>
                <w:color w:val="000000"/>
                <w:sz w:val="22"/>
                <w:lang w:val="el-GR"/>
              </w:rPr>
            </w:pPr>
          </w:p>
        </w:tc>
        <w:tc>
          <w:tcPr>
            <w:tcW w:w="4697" w:type="pct"/>
            <w:tcBorders>
              <w:top w:val="nil"/>
              <w:left w:val="nil"/>
              <w:bottom w:val="nil"/>
              <w:right w:val="single" w:sz="4" w:space="0" w:color="auto"/>
            </w:tcBorders>
            <w:tcMar>
              <w:left w:w="57" w:type="dxa"/>
            </w:tcMar>
          </w:tcPr>
          <w:p w14:paraId="0B249479" w14:textId="77777777" w:rsidR="00171824" w:rsidRDefault="006D258C">
            <w:pPr>
              <w:widowControl/>
              <w:numPr>
                <w:ilvl w:val="0"/>
                <w:numId w:val="28"/>
              </w:numPr>
              <w:tabs>
                <w:tab w:val="left" w:pos="567"/>
              </w:tabs>
              <w:suppressAutoHyphens/>
              <w:autoSpaceDE/>
              <w:autoSpaceDN/>
              <w:adjustRightInd/>
              <w:contextualSpacing/>
              <w:textAlignment w:val="center"/>
              <w:rPr>
                <w:rFonts w:eastAsia="PMingLiU"/>
                <w:color w:val="000000"/>
                <w:sz w:val="22"/>
                <w:lang w:val="el-GR" w:bidi="en-US"/>
              </w:rPr>
            </w:pPr>
            <w:r>
              <w:rPr>
                <w:rFonts w:eastAsia="Arial Unicode MS" w:cs="Arial Unicode MS"/>
                <w:color w:val="000000"/>
                <w:sz w:val="22"/>
                <w:szCs w:val="22"/>
                <w:lang w:val="el-GR" w:bidi="en-US"/>
              </w:rPr>
              <w:t>Το φάρμακο είναι θολό ή αποχρωματισμένο ή περιέχει νιφάδες ή σωματίδια.</w:t>
            </w:r>
          </w:p>
          <w:p w14:paraId="15609637" w14:textId="77777777" w:rsidR="00171824" w:rsidRDefault="006D258C">
            <w:pPr>
              <w:widowControl/>
              <w:numPr>
                <w:ilvl w:val="0"/>
                <w:numId w:val="28"/>
              </w:numPr>
              <w:tabs>
                <w:tab w:val="left" w:pos="567"/>
              </w:tabs>
              <w:suppressAutoHyphens/>
              <w:autoSpaceDE/>
              <w:autoSpaceDN/>
              <w:adjustRightInd/>
              <w:contextualSpacing/>
              <w:textAlignment w:val="center"/>
              <w:rPr>
                <w:rFonts w:eastAsia="PMingLiU"/>
                <w:color w:val="000000"/>
                <w:sz w:val="22"/>
                <w:lang w:val="el-GR" w:bidi="en-US"/>
              </w:rPr>
            </w:pPr>
            <w:r>
              <w:rPr>
                <w:rFonts w:eastAsia="Arial Unicode MS" w:cs="Arial Unicode MS"/>
                <w:color w:val="000000"/>
                <w:sz w:val="22"/>
                <w:szCs w:val="22"/>
                <w:lang w:val="el-GR" w:bidi="en-US"/>
              </w:rPr>
              <w:t>Κάποιο μέρος της φαίνεται να είναι ραγισμένο ή σπασμένο.</w:t>
            </w:r>
          </w:p>
          <w:p w14:paraId="356F6E8F" w14:textId="77777777" w:rsidR="00171824" w:rsidRDefault="006D258C">
            <w:pPr>
              <w:widowControl/>
              <w:numPr>
                <w:ilvl w:val="0"/>
                <w:numId w:val="28"/>
              </w:numPr>
              <w:tabs>
                <w:tab w:val="left" w:pos="567"/>
              </w:tabs>
              <w:suppressAutoHyphens/>
              <w:autoSpaceDE/>
              <w:autoSpaceDN/>
              <w:adjustRightInd/>
              <w:contextualSpacing/>
              <w:textAlignment w:val="center"/>
              <w:rPr>
                <w:rFonts w:eastAsia="PMingLiU"/>
                <w:color w:val="000000"/>
                <w:sz w:val="22"/>
                <w:lang w:val="el-GR" w:bidi="en-US"/>
              </w:rPr>
            </w:pPr>
            <w:r>
              <w:rPr>
                <w:rFonts w:eastAsia="Arial Unicode MS" w:cs="Arial Unicode MS"/>
                <w:color w:val="000000"/>
                <w:sz w:val="22"/>
                <w:szCs w:val="22"/>
                <w:lang w:val="el-GR" w:bidi="en-US"/>
              </w:rPr>
              <w:t>Το κάλυμμα της βελόνας λείπει ή δεν είναι καλά τοποθετημένο.</w:t>
            </w:r>
          </w:p>
          <w:p w14:paraId="0EF12EBB" w14:textId="77777777" w:rsidR="00171824" w:rsidRDefault="006D258C">
            <w:pPr>
              <w:widowControl/>
              <w:numPr>
                <w:ilvl w:val="0"/>
                <w:numId w:val="28"/>
              </w:numPr>
              <w:tabs>
                <w:tab w:val="left" w:pos="567"/>
              </w:tabs>
              <w:suppressAutoHyphens/>
              <w:autoSpaceDE/>
              <w:autoSpaceDN/>
              <w:adjustRightInd/>
              <w:contextualSpacing/>
              <w:textAlignment w:val="center"/>
              <w:rPr>
                <w:rFonts w:eastAsia="PMingLiU"/>
                <w:color w:val="000000"/>
                <w:sz w:val="22"/>
                <w:lang w:val="el-GR" w:bidi="en-US"/>
              </w:rPr>
            </w:pPr>
            <w:r>
              <w:rPr>
                <w:rFonts w:eastAsia="Arial Unicode MS" w:cs="Arial Unicode MS"/>
                <w:color w:val="000000"/>
                <w:sz w:val="22"/>
                <w:szCs w:val="22"/>
                <w:lang w:val="el-GR" w:bidi="en-US"/>
              </w:rPr>
              <w:t>Η ημερομηνία λήξης που είναι τυπωμένη στην ετικέτα έχει παρέλθει.</w:t>
            </w:r>
          </w:p>
        </w:tc>
      </w:tr>
      <w:tr w:rsidR="00171824" w:rsidRPr="00422380" w14:paraId="67BC47CA"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2490E74" w14:textId="77777777" w:rsidR="00171824" w:rsidRDefault="006D258C">
            <w:pPr>
              <w:widowControl/>
              <w:autoSpaceDE/>
              <w:autoSpaceDN/>
              <w:adjustRightInd/>
              <w:ind w:right="-46"/>
              <w:rPr>
                <w:color w:val="231F20"/>
                <w:sz w:val="22"/>
                <w:lang w:val="el-GR" w:bidi="en-US"/>
              </w:rPr>
            </w:pPr>
            <w:r>
              <w:rPr>
                <w:rFonts w:eastAsia="Arial Unicode MS" w:cs="Arial Unicode MS"/>
                <w:color w:val="000000"/>
                <w:sz w:val="22"/>
                <w:szCs w:val="22"/>
                <w:lang w:val="el-GR" w:bidi="en-US"/>
              </w:rPr>
              <w:t>Σε καθεμία από τις περιπτώσεις αυτές, χρησιμοποιήστε μία νέα σύριγγα.</w:t>
            </w:r>
          </w:p>
        </w:tc>
      </w:tr>
    </w:tbl>
    <w:p w14:paraId="3D1AED72" w14:textId="77777777" w:rsidR="00171824" w:rsidRDefault="00171824">
      <w:pPr>
        <w:widowControl/>
        <w:tabs>
          <w:tab w:val="left" w:pos="567"/>
        </w:tabs>
        <w:autoSpaceDE/>
        <w:autoSpaceDN/>
        <w:adjustRightInd/>
        <w:rPr>
          <w:rFonts w:eastAsia="PMingLiU"/>
          <w:b/>
          <w:bCs/>
          <w:sz w:val="22"/>
          <w:szCs w:val="22"/>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71824" w:rsidRPr="00422380" w14:paraId="557CCF6E"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D13F8D1" w14:textId="77777777" w:rsidR="00171824" w:rsidRDefault="006D258C">
            <w:pPr>
              <w:widowControl/>
              <w:tabs>
                <w:tab w:val="left" w:pos="567"/>
              </w:tabs>
              <w:suppressAutoHyphens/>
              <w:textAlignment w:val="center"/>
              <w:rPr>
                <w:rFonts w:eastAsia="PMingLiU"/>
                <w:b/>
                <w:color w:val="000000"/>
                <w:sz w:val="22"/>
                <w:lang w:val="el-GR" w:bidi="en-US"/>
              </w:rPr>
            </w:pPr>
            <w:r>
              <w:rPr>
                <w:rFonts w:eastAsia="Arial Unicode MS" w:cs="Arial Unicode MS"/>
                <w:b/>
                <w:bCs/>
                <w:sz w:val="22"/>
                <w:lang w:val="el-GR" w:bidi="en-US"/>
              </w:rPr>
              <w:t>Γ.</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123D51EE" w14:textId="77777777" w:rsidR="00171824" w:rsidRDefault="006D258C">
            <w:pPr>
              <w:widowControl/>
              <w:suppressAutoHyphens/>
              <w:textAlignment w:val="center"/>
              <w:rPr>
                <w:rFonts w:eastAsia="PMingLiU"/>
                <w:b/>
                <w:bCs/>
                <w:color w:val="000000"/>
                <w:sz w:val="22"/>
                <w:lang w:val="el-GR" w:bidi="en-US"/>
              </w:rPr>
            </w:pPr>
            <w:r>
              <w:rPr>
                <w:rFonts w:eastAsia="Arial Unicode MS" w:cs="Arial Unicode MS"/>
                <w:bCs/>
                <w:color w:val="000000"/>
                <w:sz w:val="22"/>
                <w:szCs w:val="22"/>
                <w:lang w:val="el-GR" w:bidi="en-US"/>
              </w:rPr>
              <w:t>Συγκεντρώστε γύρω σας όλα τα υλικά που απαιτούνται για την ένεση ή τις ενέσεις σας.</w:t>
            </w:r>
          </w:p>
        </w:tc>
      </w:tr>
      <w:tr w:rsidR="00171824" w:rsidRPr="00422380" w14:paraId="7E03C393"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302EA31A"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 xml:space="preserve">Πλύνετε σχολαστικά τα χέρια σας με σαπούνι και νερό. </w:t>
            </w:r>
          </w:p>
          <w:p w14:paraId="0833E4C1"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 xml:space="preserve">Σε μία καθαρή, καλά φωτισμένη επιφάνεια εργασίας, τοποθετήστε </w:t>
            </w:r>
            <w:r>
              <w:rPr>
                <w:rFonts w:eastAsia="Arial Unicode MS" w:cs="Arial Unicode MS"/>
                <w:sz w:val="22"/>
                <w:szCs w:val="20"/>
                <w:lang w:val="el-GR" w:bidi="en-US"/>
              </w:rPr>
              <w:t>μία νέα προγεμισμένη σύριγγα.</w:t>
            </w:r>
          </w:p>
          <w:p w14:paraId="49DB7E74" w14:textId="77777777" w:rsidR="00171824" w:rsidRDefault="00171824">
            <w:pPr>
              <w:widowControl/>
              <w:tabs>
                <w:tab w:val="left" w:pos="567"/>
              </w:tabs>
              <w:autoSpaceDE/>
              <w:autoSpaceDN/>
              <w:adjustRightInd/>
              <w:rPr>
                <w:rFonts w:eastAsia="PMingLiU"/>
                <w:sz w:val="22"/>
                <w:lang w:val="el-GR"/>
              </w:rPr>
            </w:pPr>
          </w:p>
          <w:p w14:paraId="048F06C7" w14:textId="77777777" w:rsidR="00171824" w:rsidRDefault="006D258C">
            <w:pPr>
              <w:widowControl/>
              <w:tabs>
                <w:tab w:val="left" w:pos="567"/>
              </w:tabs>
              <w:autoSpaceDE/>
              <w:autoSpaceDN/>
              <w:adjustRightInd/>
              <w:rPr>
                <w:rFonts w:eastAsia="PMingLiU"/>
                <w:sz w:val="22"/>
                <w:szCs w:val="20"/>
                <w:lang w:val="el-GR" w:bidi="en-US"/>
              </w:rPr>
            </w:pPr>
            <w:r>
              <w:rPr>
                <w:rFonts w:eastAsia="Arial Unicode MS" w:cs="Arial Unicode MS"/>
                <w:sz w:val="22"/>
                <w:szCs w:val="20"/>
                <w:lang w:val="el-GR" w:bidi="en-US"/>
              </w:rPr>
              <w:t>Θα χρειαστείτε επίσης τα ακόλουθα επιπρόσθετα αντικείμενα, τα οποία δεν περιλαμβάνονται στο κουτί της συσκευασίας:</w:t>
            </w:r>
          </w:p>
        </w:tc>
      </w:tr>
      <w:tr w:rsidR="00171824" w14:paraId="4FF9A12D" w14:textId="77777777">
        <w:tc>
          <w:tcPr>
            <w:tcW w:w="303" w:type="pct"/>
            <w:tcBorders>
              <w:top w:val="nil"/>
              <w:left w:val="single" w:sz="4" w:space="0" w:color="auto"/>
              <w:bottom w:val="nil"/>
              <w:right w:val="nil"/>
            </w:tcBorders>
            <w:tcMar>
              <w:top w:w="28" w:type="dxa"/>
              <w:left w:w="57" w:type="dxa"/>
              <w:bottom w:w="28" w:type="dxa"/>
              <w:right w:w="57" w:type="dxa"/>
            </w:tcMar>
          </w:tcPr>
          <w:p w14:paraId="7172E2F3"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5F796A8E"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Μαντηλάκια οινοπνεύματος</w:t>
            </w:r>
          </w:p>
        </w:tc>
      </w:tr>
      <w:tr w:rsidR="00171824" w14:paraId="59A02EA5" w14:textId="77777777">
        <w:tc>
          <w:tcPr>
            <w:tcW w:w="303" w:type="pct"/>
            <w:tcBorders>
              <w:top w:val="nil"/>
              <w:left w:val="single" w:sz="4" w:space="0" w:color="auto"/>
              <w:bottom w:val="nil"/>
              <w:right w:val="nil"/>
            </w:tcBorders>
            <w:tcMar>
              <w:top w:w="28" w:type="dxa"/>
              <w:left w:w="57" w:type="dxa"/>
              <w:bottom w:w="28" w:type="dxa"/>
              <w:right w:w="57" w:type="dxa"/>
            </w:tcMar>
          </w:tcPr>
          <w:p w14:paraId="36A92226"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118FEDBD"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Κομμάτι βαμβάκι ή γάζα</w:t>
            </w:r>
          </w:p>
        </w:tc>
      </w:tr>
      <w:tr w:rsidR="00171824" w14:paraId="272F0942" w14:textId="77777777">
        <w:tc>
          <w:tcPr>
            <w:tcW w:w="303" w:type="pct"/>
            <w:tcBorders>
              <w:top w:val="nil"/>
              <w:left w:val="single" w:sz="4" w:space="0" w:color="auto"/>
              <w:bottom w:val="nil"/>
              <w:right w:val="nil"/>
            </w:tcBorders>
            <w:tcMar>
              <w:top w:w="28" w:type="dxa"/>
              <w:left w:w="57" w:type="dxa"/>
              <w:bottom w:w="28" w:type="dxa"/>
              <w:right w:w="57" w:type="dxa"/>
            </w:tcMar>
          </w:tcPr>
          <w:p w14:paraId="712A589D"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009675BA"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Αυτοκόλλητος επίδεσμος</w:t>
            </w:r>
          </w:p>
        </w:tc>
      </w:tr>
      <w:tr w:rsidR="00171824" w14:paraId="1E721ED3" w14:textId="77777777">
        <w:tc>
          <w:tcPr>
            <w:tcW w:w="303" w:type="pct"/>
            <w:tcBorders>
              <w:top w:val="nil"/>
              <w:left w:val="single" w:sz="4" w:space="0" w:color="auto"/>
              <w:bottom w:val="nil"/>
              <w:right w:val="nil"/>
            </w:tcBorders>
            <w:tcMar>
              <w:top w:w="28" w:type="dxa"/>
              <w:left w:w="57" w:type="dxa"/>
              <w:bottom w:w="28" w:type="dxa"/>
              <w:right w:w="57" w:type="dxa"/>
            </w:tcMar>
          </w:tcPr>
          <w:p w14:paraId="5282F4A8"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04F0A18C"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Δοχείο απόρριψης αιχμηρών αντικειμένων</w:t>
            </w:r>
          </w:p>
        </w:tc>
      </w:tr>
      <w:tr w:rsidR="00171824" w14:paraId="749F963E"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2943"/>
              <w:gridCol w:w="6004"/>
            </w:tblGrid>
            <w:tr w:rsidR="00171824" w14:paraId="395CF26B" w14:textId="77777777">
              <w:tc>
                <w:tcPr>
                  <w:tcW w:w="2835" w:type="dxa"/>
                  <w:vAlign w:val="center"/>
                </w:tcPr>
                <w:p w14:paraId="1B154984" w14:textId="60AB5F6B" w:rsidR="00171824" w:rsidRDefault="009039B7">
                  <w:pPr>
                    <w:widowControl/>
                    <w:autoSpaceDE/>
                    <w:autoSpaceDN/>
                    <w:adjustRightInd/>
                    <w:ind w:right="-46"/>
                    <w:jc w:val="center"/>
                    <w:rPr>
                      <w:color w:val="231F20"/>
                      <w:sz w:val="22"/>
                      <w:lang w:val="el-GR" w:bidi="en-US"/>
                    </w:rPr>
                  </w:pPr>
                  <w:r>
                    <w:rPr>
                      <w:noProof/>
                      <w:sz w:val="22"/>
                      <w:szCs w:val="22"/>
                      <w:lang w:val="el-GR" w:eastAsia="zh-CN"/>
                    </w:rPr>
                    <w:drawing>
                      <wp:inline distT="0" distB="0" distL="0" distR="0" wp14:anchorId="1F049BD0" wp14:editId="08207814">
                        <wp:extent cx="1731645" cy="640080"/>
                        <wp:effectExtent l="0" t="0" r="0" b="0"/>
                        <wp:docPr id="18" name="Picture 53" descr="ILL0329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LL0329 v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31645" cy="640080"/>
                                </a:xfrm>
                                <a:prstGeom prst="rect">
                                  <a:avLst/>
                                </a:prstGeom>
                                <a:noFill/>
                                <a:ln>
                                  <a:noFill/>
                                </a:ln>
                              </pic:spPr>
                            </pic:pic>
                          </a:graphicData>
                        </a:graphic>
                      </wp:inline>
                    </w:drawing>
                  </w:r>
                </w:p>
              </w:tc>
              <w:tc>
                <w:tcPr>
                  <w:tcW w:w="6272" w:type="dxa"/>
                </w:tcPr>
                <w:p w14:paraId="1AB1FDA9" w14:textId="2C18C923" w:rsidR="00171824" w:rsidRDefault="009039B7">
                  <w:pPr>
                    <w:widowControl/>
                    <w:autoSpaceDE/>
                    <w:autoSpaceDN/>
                    <w:adjustRightInd/>
                    <w:ind w:right="-46"/>
                    <w:rPr>
                      <w:color w:val="231F20"/>
                      <w:sz w:val="22"/>
                      <w:lang w:val="el-GR" w:bidi="en-US"/>
                    </w:rPr>
                  </w:pPr>
                  <w:r>
                    <w:rPr>
                      <w:noProof/>
                      <w:sz w:val="22"/>
                      <w:szCs w:val="22"/>
                      <w:lang w:val="el-GR" w:eastAsia="zh-CN"/>
                    </w:rPr>
                    <w:drawing>
                      <wp:inline distT="0" distB="0" distL="0" distR="0" wp14:anchorId="51A09B84" wp14:editId="1AC253E2">
                        <wp:extent cx="1828800" cy="1097280"/>
                        <wp:effectExtent l="0" t="0" r="0" b="0"/>
                        <wp:docPr id="19" name="Picture 17" descr="ILL0012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LL0012 v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097280"/>
                                </a:xfrm>
                                <a:prstGeom prst="rect">
                                  <a:avLst/>
                                </a:prstGeom>
                                <a:noFill/>
                                <a:ln>
                                  <a:noFill/>
                                </a:ln>
                              </pic:spPr>
                            </pic:pic>
                          </a:graphicData>
                        </a:graphic>
                      </wp:inline>
                    </w:drawing>
                  </w:r>
                </w:p>
              </w:tc>
            </w:tr>
          </w:tbl>
          <w:p w14:paraId="3DCCCB49" w14:textId="77777777" w:rsidR="00171824" w:rsidRDefault="00171824">
            <w:pPr>
              <w:widowControl/>
              <w:autoSpaceDE/>
              <w:autoSpaceDN/>
              <w:adjustRightInd/>
              <w:ind w:right="-46"/>
              <w:rPr>
                <w:color w:val="231F20"/>
                <w:sz w:val="22"/>
                <w:lang w:val="el-GR" w:eastAsia="ja-JP"/>
              </w:rPr>
            </w:pPr>
          </w:p>
        </w:tc>
      </w:tr>
    </w:tbl>
    <w:p w14:paraId="2953C9DA" w14:textId="77777777" w:rsidR="00171824" w:rsidRDefault="00171824">
      <w:pPr>
        <w:widowControl/>
        <w:suppressAutoHyphens/>
        <w:textAlignment w:val="center"/>
        <w:rPr>
          <w:rFonts w:eastAsia="PMingLiU"/>
          <w:b/>
          <w:bCs/>
          <w:sz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71824" w:rsidRPr="00422380" w14:paraId="50F4FE0E" w14:textId="77777777">
        <w:trPr>
          <w:cantSplit/>
        </w:trPr>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E737775" w14:textId="77777777" w:rsidR="00171824" w:rsidRDefault="006D258C">
            <w:pPr>
              <w:keepNext/>
              <w:widowControl/>
              <w:tabs>
                <w:tab w:val="left" w:pos="567"/>
              </w:tabs>
              <w:suppressAutoHyphens/>
              <w:textAlignment w:val="center"/>
              <w:rPr>
                <w:rFonts w:eastAsia="PMingLiU"/>
                <w:b/>
                <w:color w:val="000000"/>
                <w:sz w:val="22"/>
                <w:lang w:val="el-GR" w:bidi="en-US"/>
              </w:rPr>
            </w:pPr>
            <w:r>
              <w:rPr>
                <w:rFonts w:eastAsia="Arial Unicode MS" w:cs="Arial Unicode MS"/>
                <w:b/>
                <w:bCs/>
                <w:sz w:val="22"/>
                <w:lang w:val="el-GR" w:bidi="en-US"/>
              </w:rPr>
              <w:lastRenderedPageBreak/>
              <w:t>Δ.</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7EBA6D03" w14:textId="77777777" w:rsidR="00171824" w:rsidRDefault="006D258C">
            <w:pPr>
              <w:keepNext/>
              <w:widowControl/>
              <w:suppressAutoHyphens/>
              <w:textAlignment w:val="center"/>
              <w:rPr>
                <w:rFonts w:eastAsia="PMingLiU"/>
                <w:b/>
                <w:bCs/>
                <w:color w:val="000000"/>
                <w:sz w:val="22"/>
                <w:lang w:val="el-GR" w:bidi="en-US"/>
              </w:rPr>
            </w:pPr>
            <w:r>
              <w:rPr>
                <w:rFonts w:eastAsia="Arial Unicode MS" w:cs="Arial Unicode MS"/>
                <w:bCs/>
                <w:color w:val="000000"/>
                <w:sz w:val="22"/>
                <w:szCs w:val="22"/>
                <w:lang w:val="el-GR" w:bidi="en-US"/>
              </w:rPr>
              <w:t>Προετοιμάστε και καθαρίστε τη θέση της ένεσης.</w:t>
            </w:r>
          </w:p>
        </w:tc>
      </w:tr>
      <w:tr w:rsidR="00171824" w14:paraId="32554713" w14:textId="77777777">
        <w:trPr>
          <w:cantSplit/>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64"/>
              <w:gridCol w:w="3593"/>
            </w:tblGrid>
            <w:tr w:rsidR="00171824" w14:paraId="7E04F46D" w14:textId="77777777">
              <w:trPr>
                <w:trHeight w:val="1634"/>
                <w:jc w:val="right"/>
              </w:trPr>
              <w:tc>
                <w:tcPr>
                  <w:tcW w:w="2598" w:type="dxa"/>
                  <w:vMerge w:val="restart"/>
                </w:tcPr>
                <w:p w14:paraId="61C34390" w14:textId="121C0C4E" w:rsidR="00171824" w:rsidRDefault="009039B7">
                  <w:pPr>
                    <w:widowControl/>
                    <w:suppressAutoHyphens/>
                    <w:ind w:right="-108"/>
                    <w:textAlignment w:val="center"/>
                    <w:rPr>
                      <w:rFonts w:eastAsia="PMingLiU"/>
                      <w:b/>
                      <w:bCs/>
                      <w:color w:val="000000"/>
                      <w:sz w:val="22"/>
                      <w:lang w:val="el-GR" w:bidi="en-US"/>
                    </w:rPr>
                  </w:pPr>
                  <w:r>
                    <w:rPr>
                      <w:b/>
                      <w:noProof/>
                      <w:sz w:val="22"/>
                      <w:szCs w:val="22"/>
                      <w:lang w:val="el-GR" w:eastAsia="zh-CN"/>
                    </w:rPr>
                    <w:drawing>
                      <wp:inline distT="0" distB="0" distL="0" distR="0" wp14:anchorId="4BF2A544" wp14:editId="2CFD7270">
                        <wp:extent cx="1554480" cy="2188845"/>
                        <wp:effectExtent l="0" t="0" r="0" b="0"/>
                        <wp:docPr id="20" name="Picture 52" descr="ILL0124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LL0124 v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54480" cy="2188845"/>
                                </a:xfrm>
                                <a:prstGeom prst="rect">
                                  <a:avLst/>
                                </a:prstGeom>
                                <a:noFill/>
                                <a:ln>
                                  <a:noFill/>
                                </a:ln>
                              </pic:spPr>
                            </pic:pic>
                          </a:graphicData>
                        </a:graphic>
                      </wp:inline>
                    </w:drawing>
                  </w:r>
                </w:p>
              </w:tc>
              <w:tc>
                <w:tcPr>
                  <w:tcW w:w="3593" w:type="dxa"/>
                  <w:vAlign w:val="bottom"/>
                </w:tcPr>
                <w:p w14:paraId="1B03DB68" w14:textId="77777777" w:rsidR="00171824" w:rsidRDefault="006D258C">
                  <w:pPr>
                    <w:widowControl/>
                    <w:suppressAutoHyphens/>
                    <w:ind w:left="-36"/>
                    <w:textAlignment w:val="center"/>
                    <w:rPr>
                      <w:rFonts w:eastAsia="PMingLiU"/>
                      <w:bCs/>
                      <w:color w:val="000000"/>
                      <w:sz w:val="22"/>
                      <w:lang w:val="el-GR" w:bidi="en-US"/>
                    </w:rPr>
                  </w:pPr>
                  <w:r>
                    <w:rPr>
                      <w:rFonts w:eastAsia="Arial Unicode MS" w:cs="Arial Unicode MS"/>
                      <w:bCs/>
                      <w:color w:val="000000"/>
                      <w:sz w:val="22"/>
                      <w:szCs w:val="22"/>
                      <w:lang w:val="el-GR" w:bidi="en-US"/>
                    </w:rPr>
                    <w:t>Κοιλιά</w:t>
                  </w:r>
                </w:p>
              </w:tc>
            </w:tr>
            <w:tr w:rsidR="00171824" w14:paraId="43BA90DF" w14:textId="77777777">
              <w:trPr>
                <w:jc w:val="right"/>
              </w:trPr>
              <w:tc>
                <w:tcPr>
                  <w:tcW w:w="2598" w:type="dxa"/>
                  <w:vMerge/>
                </w:tcPr>
                <w:p w14:paraId="1F21FD06" w14:textId="77777777" w:rsidR="00171824" w:rsidRDefault="00171824">
                  <w:pPr>
                    <w:widowControl/>
                    <w:suppressAutoHyphens/>
                    <w:textAlignment w:val="center"/>
                    <w:rPr>
                      <w:rFonts w:eastAsia="PMingLiU"/>
                      <w:b/>
                      <w:bCs/>
                      <w:color w:val="000000"/>
                      <w:sz w:val="22"/>
                      <w:lang w:val="el-GR" w:eastAsia="ja-JP"/>
                    </w:rPr>
                  </w:pPr>
                </w:p>
              </w:tc>
              <w:tc>
                <w:tcPr>
                  <w:tcW w:w="3593" w:type="dxa"/>
                  <w:vAlign w:val="center"/>
                </w:tcPr>
                <w:p w14:paraId="75F499BB" w14:textId="77777777" w:rsidR="00171824" w:rsidRDefault="006D258C">
                  <w:pPr>
                    <w:widowControl/>
                    <w:suppressAutoHyphens/>
                    <w:ind w:left="-36"/>
                    <w:textAlignment w:val="center"/>
                    <w:rPr>
                      <w:rFonts w:eastAsia="PMingLiU"/>
                      <w:bCs/>
                      <w:color w:val="000000"/>
                      <w:sz w:val="22"/>
                      <w:lang w:val="el-GR" w:bidi="en-US"/>
                    </w:rPr>
                  </w:pPr>
                  <w:r>
                    <w:rPr>
                      <w:rFonts w:eastAsia="Arial Unicode MS" w:cs="Arial Unicode MS"/>
                      <w:bCs/>
                      <w:color w:val="000000"/>
                      <w:sz w:val="22"/>
                      <w:szCs w:val="22"/>
                      <w:lang w:val="el-GR" w:bidi="en-US"/>
                    </w:rPr>
                    <w:t>Μηρός</w:t>
                  </w:r>
                </w:p>
              </w:tc>
            </w:tr>
          </w:tbl>
          <w:p w14:paraId="67549141" w14:textId="77777777" w:rsidR="00171824" w:rsidRDefault="00171824">
            <w:pPr>
              <w:widowControl/>
              <w:tabs>
                <w:tab w:val="left" w:pos="567"/>
              </w:tabs>
              <w:autoSpaceDE/>
              <w:autoSpaceDN/>
              <w:adjustRightInd/>
              <w:rPr>
                <w:rFonts w:eastAsia="PMingLiU"/>
                <w:sz w:val="22"/>
                <w:lang w:val="el-GR"/>
              </w:rPr>
            </w:pPr>
          </w:p>
        </w:tc>
      </w:tr>
      <w:tr w:rsidR="00171824" w14:paraId="387D6A20" w14:textId="77777777">
        <w:trPr>
          <w:cantSplit/>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C94834A" w14:textId="77777777" w:rsidR="00171824" w:rsidRDefault="006D258C">
            <w:pPr>
              <w:widowControl/>
              <w:tabs>
                <w:tab w:val="left" w:pos="567"/>
              </w:tabs>
              <w:suppressAutoHyphens/>
              <w:textAlignment w:val="center"/>
              <w:rPr>
                <w:rFonts w:eastAsia="PMingLiU"/>
                <w:b/>
                <w:bCs/>
                <w:color w:val="000000"/>
                <w:sz w:val="22"/>
                <w:lang w:val="el-GR" w:bidi="en-US"/>
              </w:rPr>
            </w:pPr>
            <w:r>
              <w:rPr>
                <w:rFonts w:eastAsia="Arial Unicode MS" w:cs="Arial Unicode MS"/>
                <w:b/>
                <w:bCs/>
                <w:color w:val="000000"/>
                <w:sz w:val="22"/>
                <w:szCs w:val="22"/>
                <w:lang w:val="el-GR" w:bidi="en-US"/>
              </w:rPr>
              <w:t>Μπορείτε να χρησιμοποιήσετε:</w:t>
            </w:r>
          </w:p>
        </w:tc>
      </w:tr>
      <w:tr w:rsidR="00171824" w14:paraId="7564AA1E" w14:textId="77777777">
        <w:tc>
          <w:tcPr>
            <w:tcW w:w="303" w:type="pct"/>
            <w:tcBorders>
              <w:top w:val="nil"/>
              <w:left w:val="single" w:sz="4" w:space="0" w:color="auto"/>
              <w:bottom w:val="nil"/>
              <w:right w:val="nil"/>
            </w:tcBorders>
            <w:tcMar>
              <w:top w:w="28" w:type="dxa"/>
              <w:left w:w="57" w:type="dxa"/>
              <w:bottom w:w="28" w:type="dxa"/>
              <w:right w:w="57" w:type="dxa"/>
            </w:tcMar>
          </w:tcPr>
          <w:p w14:paraId="3E5D28F7"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16F94F52"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Τον μηρό σας</w:t>
            </w:r>
          </w:p>
        </w:tc>
      </w:tr>
      <w:tr w:rsidR="00171824" w:rsidRPr="00422380" w14:paraId="34741C4D" w14:textId="77777777">
        <w:tc>
          <w:tcPr>
            <w:tcW w:w="303" w:type="pct"/>
            <w:tcBorders>
              <w:top w:val="nil"/>
              <w:left w:val="single" w:sz="4" w:space="0" w:color="auto"/>
              <w:bottom w:val="nil"/>
              <w:right w:val="nil"/>
            </w:tcBorders>
            <w:tcMar>
              <w:top w:w="28" w:type="dxa"/>
              <w:left w:w="57" w:type="dxa"/>
              <w:bottom w:w="28" w:type="dxa"/>
              <w:right w:w="57" w:type="dxa"/>
            </w:tcMar>
          </w:tcPr>
          <w:p w14:paraId="31DF3CFB"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5C333B3B"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Την κοιλιά, εκτός από μία περιοχή διαμέτρου 5 εκατοστών γύρω από τον ομφαλό σας</w:t>
            </w:r>
          </w:p>
        </w:tc>
      </w:tr>
      <w:tr w:rsidR="00171824" w:rsidRPr="00422380" w14:paraId="488DF238"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56E95F4" w14:textId="77777777" w:rsidR="00171824" w:rsidRDefault="00171824">
            <w:pPr>
              <w:widowControl/>
              <w:suppressAutoHyphens/>
              <w:contextualSpacing/>
              <w:textAlignment w:val="center"/>
              <w:rPr>
                <w:rFonts w:eastAsia="PMingLiU"/>
                <w:color w:val="000000"/>
                <w:sz w:val="22"/>
                <w:lang w:val="el-GR" w:eastAsia="en-GB"/>
              </w:rPr>
            </w:pPr>
          </w:p>
          <w:p w14:paraId="5E7BA5A1"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Καθαρίστε τη θέση της ένεσης με ένα μαντηλάκι οινοπνεύματος. Αφήστε το δέρμα σας να στεγνώσει.</w:t>
            </w:r>
          </w:p>
        </w:tc>
      </w:tr>
      <w:tr w:rsidR="00171824" w:rsidRPr="00422380" w14:paraId="367546E5" w14:textId="77777777">
        <w:tc>
          <w:tcPr>
            <w:tcW w:w="303" w:type="pct"/>
            <w:tcBorders>
              <w:top w:val="nil"/>
              <w:left w:val="single" w:sz="4" w:space="0" w:color="auto"/>
              <w:bottom w:val="nil"/>
              <w:right w:val="nil"/>
            </w:tcBorders>
            <w:tcMar>
              <w:top w:w="28" w:type="dxa"/>
              <w:left w:w="57" w:type="dxa"/>
              <w:bottom w:w="28" w:type="dxa"/>
              <w:right w:w="57" w:type="dxa"/>
            </w:tcMar>
          </w:tcPr>
          <w:p w14:paraId="08923B4B"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6CF963C4"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b/>
                <w:bCs/>
                <w:color w:val="000000"/>
                <w:sz w:val="22"/>
                <w:szCs w:val="22"/>
                <w:lang w:val="el-GR" w:bidi="en-US"/>
              </w:rPr>
              <w:t xml:space="preserve">Μην </w:t>
            </w:r>
            <w:r>
              <w:rPr>
                <w:rFonts w:eastAsia="Arial Unicode MS" w:cs="Arial Unicode MS"/>
                <w:color w:val="000000"/>
                <w:sz w:val="22"/>
                <w:szCs w:val="22"/>
                <w:lang w:val="el-GR" w:bidi="en-US"/>
              </w:rPr>
              <w:t>αγγίξετε αυτή την περιοχή ξανά πριν κάνετε την ένεση.</w:t>
            </w:r>
          </w:p>
        </w:tc>
      </w:tr>
      <w:tr w:rsidR="00171824" w:rsidRPr="00422380" w14:paraId="7EFC51A8" w14:textId="77777777">
        <w:tc>
          <w:tcPr>
            <w:tcW w:w="303" w:type="pct"/>
            <w:tcBorders>
              <w:top w:val="nil"/>
              <w:left w:val="single" w:sz="4" w:space="0" w:color="auto"/>
              <w:bottom w:val="nil"/>
              <w:right w:val="nil"/>
            </w:tcBorders>
            <w:tcMar>
              <w:top w:w="28" w:type="dxa"/>
              <w:left w:w="57" w:type="dxa"/>
              <w:bottom w:w="28" w:type="dxa"/>
              <w:right w:w="57" w:type="dxa"/>
            </w:tcMar>
          </w:tcPr>
          <w:p w14:paraId="4C2DA039"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0D688D2B"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Εάν θέλετε να χρησιμοποιήσετε την ίδια θέση ένεσης, βεβαιωθείτε ότι δεν είναι το ίδιο ακριβώς σημείο της συγκεκριμένης θέσης ένεσης που χρησιμοποιήσατε για μία προηγούμενη ένεση.</w:t>
            </w:r>
          </w:p>
        </w:tc>
      </w:tr>
      <w:tr w:rsidR="00171824" w:rsidRPr="00422380" w14:paraId="11BD986F" w14:textId="77777777">
        <w:tc>
          <w:tcPr>
            <w:tcW w:w="303" w:type="pct"/>
            <w:tcBorders>
              <w:top w:val="nil"/>
              <w:left w:val="single" w:sz="4" w:space="0" w:color="auto"/>
              <w:bottom w:val="nil"/>
              <w:right w:val="nil"/>
            </w:tcBorders>
            <w:tcMar>
              <w:top w:w="28" w:type="dxa"/>
              <w:left w:w="57" w:type="dxa"/>
              <w:bottom w:w="28" w:type="dxa"/>
              <w:right w:w="57" w:type="dxa"/>
            </w:tcMar>
          </w:tcPr>
          <w:p w14:paraId="30D58C39" w14:textId="77777777" w:rsidR="00171824" w:rsidRDefault="00171824">
            <w:pPr>
              <w:widowControl/>
              <w:tabs>
                <w:tab w:val="left" w:pos="567"/>
              </w:tabs>
              <w:autoSpaceDE/>
              <w:autoSpaceDN/>
              <w:adjustRightInd/>
              <w:rPr>
                <w:rFonts w:eastAsia="PMingLiU"/>
                <w:color w:val="000000"/>
                <w:sz w:val="22"/>
                <w:lang w:val="el-GR"/>
              </w:rPr>
            </w:pPr>
          </w:p>
        </w:tc>
        <w:tc>
          <w:tcPr>
            <w:tcW w:w="4697" w:type="pct"/>
            <w:tcBorders>
              <w:top w:val="nil"/>
              <w:left w:val="nil"/>
              <w:bottom w:val="nil"/>
              <w:right w:val="single" w:sz="4" w:space="0" w:color="auto"/>
            </w:tcBorders>
            <w:tcMar>
              <w:left w:w="57" w:type="dxa"/>
            </w:tcMar>
          </w:tcPr>
          <w:p w14:paraId="0B7139A8" w14:textId="77777777" w:rsidR="00171824" w:rsidRDefault="006D258C">
            <w:pPr>
              <w:widowControl/>
              <w:numPr>
                <w:ilvl w:val="0"/>
                <w:numId w:val="29"/>
              </w:numPr>
              <w:autoSpaceDE/>
              <w:autoSpaceDN/>
              <w:adjustRightInd/>
              <w:ind w:left="357" w:hanging="357"/>
              <w:contextualSpacing/>
              <w:rPr>
                <w:rFonts w:eastAsia="PMingLiU"/>
                <w:sz w:val="22"/>
                <w:lang w:val="el-GR" w:bidi="en-US"/>
              </w:rPr>
            </w:pPr>
            <w:r>
              <w:rPr>
                <w:rFonts w:eastAsia="Arial Unicode MS" w:cs="Arial Unicode MS"/>
                <w:b/>
                <w:bCs/>
                <w:sz w:val="22"/>
                <w:szCs w:val="22"/>
                <w:lang w:val="el-GR" w:bidi="en-US"/>
              </w:rPr>
              <w:t>Μην</w:t>
            </w:r>
            <w:r>
              <w:rPr>
                <w:rFonts w:eastAsia="Arial Unicode MS" w:cs="Arial Unicode MS"/>
                <w:sz w:val="22"/>
                <w:szCs w:val="22"/>
                <w:lang w:val="el-GR" w:bidi="en-US"/>
              </w:rPr>
              <w:t xml:space="preserve"> κάνετε την ένεση σε περιοχές όπου το δέρμα είναι ευαίσθητο, έχει μώλωπες, είναι ερυθρό ή σκληρό. Αποφεύγετε να κάνετε ενέσεις σε περιοχές με ουλές ή ραγάδες.</w:t>
            </w:r>
          </w:p>
        </w:tc>
      </w:tr>
      <w:tr w:rsidR="00171824" w:rsidRPr="00422380" w14:paraId="1E74EF0D"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318D88DB"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single" w:sz="4" w:space="0" w:color="auto"/>
              <w:right w:val="single" w:sz="4" w:space="0" w:color="auto"/>
            </w:tcBorders>
            <w:tcMar>
              <w:left w:w="57" w:type="dxa"/>
            </w:tcMar>
          </w:tcPr>
          <w:p w14:paraId="1DC80BAF"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Εάν έχετε ψωρίαση, θα πρέπει να αποφεύγετε να κάνετε ενέσεις απευθείας σε επηρμένη, πεπαχυμένη, ερυθρόχρωμη ή αποφολιδωμένη περιοχή του δέρματος ή βλάβη.</w:t>
            </w:r>
          </w:p>
        </w:tc>
      </w:tr>
    </w:tbl>
    <w:p w14:paraId="07037B3A" w14:textId="77777777" w:rsidR="00171824" w:rsidRDefault="00171824">
      <w:pPr>
        <w:widowControl/>
        <w:suppressAutoHyphens/>
        <w:textAlignment w:val="center"/>
        <w:rPr>
          <w:rFonts w:eastAsia="PMingLiU"/>
          <w:b/>
          <w:color w:val="000000"/>
          <w:sz w:val="22"/>
          <w:szCs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71824" w14:paraId="758387F6"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B9B07B5" w14:textId="77777777" w:rsidR="00171824" w:rsidRDefault="006D258C">
            <w:pPr>
              <w:widowControl/>
              <w:tabs>
                <w:tab w:val="left" w:pos="567"/>
              </w:tabs>
              <w:suppressAutoHyphens/>
              <w:jc w:val="center"/>
              <w:textAlignment w:val="center"/>
              <w:rPr>
                <w:rFonts w:eastAsia="PMingLiU"/>
                <w:b/>
                <w:bCs/>
                <w:color w:val="000000"/>
                <w:sz w:val="22"/>
                <w:lang w:val="el-GR" w:bidi="en-US"/>
              </w:rPr>
            </w:pPr>
            <w:r>
              <w:rPr>
                <w:rFonts w:eastAsia="Arial Unicode MS" w:cs="Arial Unicode MS"/>
                <w:b/>
                <w:bCs/>
                <w:sz w:val="22"/>
                <w:szCs w:val="22"/>
                <w:lang w:val="el-GR" w:bidi="en-US"/>
              </w:rPr>
              <w:t>Βήμα 2: Ετοιμαστείτε</w:t>
            </w:r>
          </w:p>
        </w:tc>
      </w:tr>
    </w:tbl>
    <w:p w14:paraId="5203E712" w14:textId="77777777" w:rsidR="00171824" w:rsidRDefault="00171824">
      <w:pPr>
        <w:widowControl/>
        <w:tabs>
          <w:tab w:val="left" w:pos="567"/>
        </w:tabs>
        <w:autoSpaceDE/>
        <w:autoSpaceDN/>
        <w:adjustRightInd/>
        <w:ind w:left="567" w:hanging="567"/>
        <w:rPr>
          <w:rFonts w:eastAsia="PMingLiU"/>
          <w:b/>
          <w:bCs/>
          <w:sz w:val="22"/>
          <w:szCs w:val="16"/>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71824" w:rsidRPr="00422380" w14:paraId="3298FC70"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C47D5E" w14:textId="77777777" w:rsidR="00171824" w:rsidRDefault="006D258C">
            <w:pPr>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E.</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F0A8B90" w14:textId="77777777" w:rsidR="00171824" w:rsidRDefault="006D258C">
            <w:pPr>
              <w:widowControl/>
              <w:rPr>
                <w:rFonts w:eastAsia="PMingLiU"/>
                <w:color w:val="000000"/>
                <w:sz w:val="22"/>
                <w:lang w:val="el-GR" w:bidi="en-US"/>
              </w:rPr>
            </w:pPr>
            <w:r>
              <w:rPr>
                <w:rFonts w:eastAsia="Arial Unicode MS" w:cs="Arial Unicode MS"/>
                <w:sz w:val="22"/>
                <w:szCs w:val="22"/>
                <w:lang w:val="el-GR" w:bidi="en-US"/>
              </w:rPr>
              <w:t>Απομακρύνετε πλήρως το κάλυμμα της βελόνας, μακριά από το σώμα σας, όταν είστε έτοιμοι να κάνετε την ένεση.</w:t>
            </w:r>
          </w:p>
        </w:tc>
      </w:tr>
      <w:tr w:rsidR="00171824" w14:paraId="0A31ED32"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32192875" w14:textId="3E53B127" w:rsidR="00171824" w:rsidRDefault="009039B7">
            <w:pPr>
              <w:widowControl/>
              <w:tabs>
                <w:tab w:val="left" w:pos="567"/>
              </w:tabs>
              <w:suppressAutoHyphens/>
              <w:textAlignment w:val="center"/>
              <w:rPr>
                <w:rFonts w:eastAsia="PMingLiU"/>
                <w:color w:val="000000"/>
                <w:sz w:val="22"/>
                <w:lang w:val="el-GR" w:bidi="en-US"/>
              </w:rPr>
            </w:pPr>
            <w:r>
              <w:rPr>
                <w:b/>
                <w:noProof/>
                <w:sz w:val="10"/>
                <w:szCs w:val="10"/>
                <w:lang w:val="el-GR" w:eastAsia="zh-CN"/>
              </w:rPr>
              <w:drawing>
                <wp:inline distT="0" distB="0" distL="0" distR="0" wp14:anchorId="26D90EE3" wp14:editId="547597F7">
                  <wp:extent cx="1645920" cy="2103120"/>
                  <wp:effectExtent l="0" t="0" r="0" b="0"/>
                  <wp:docPr id="21" name="Picture 16" descr="ILL0330 SYRING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LL0330 SYRINGE MISC N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5920" cy="2103120"/>
                          </a:xfrm>
                          <a:prstGeom prst="rect">
                            <a:avLst/>
                          </a:prstGeom>
                          <a:noFill/>
                          <a:ln>
                            <a:noFill/>
                          </a:ln>
                        </pic:spPr>
                      </pic:pic>
                    </a:graphicData>
                  </a:graphic>
                </wp:inline>
              </w:drawing>
            </w:r>
          </w:p>
        </w:tc>
      </w:tr>
      <w:tr w:rsidR="00171824" w:rsidRPr="00A07F46" w14:paraId="1F243BD1"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8653EBA"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Είναι φυσιολογικό να δείτε μία σταγόνα υγρού στο άκρο της βελόνας.</w:t>
            </w:r>
          </w:p>
        </w:tc>
      </w:tr>
      <w:tr w:rsidR="00171824" w:rsidRPr="00422380" w14:paraId="54A876EB" w14:textId="77777777">
        <w:tc>
          <w:tcPr>
            <w:tcW w:w="303" w:type="pct"/>
            <w:tcBorders>
              <w:top w:val="nil"/>
              <w:left w:val="single" w:sz="4" w:space="0" w:color="auto"/>
              <w:bottom w:val="nil"/>
              <w:right w:val="nil"/>
            </w:tcBorders>
            <w:tcMar>
              <w:top w:w="28" w:type="dxa"/>
              <w:left w:w="57" w:type="dxa"/>
              <w:bottom w:w="28" w:type="dxa"/>
              <w:right w:w="57" w:type="dxa"/>
            </w:tcMar>
          </w:tcPr>
          <w:p w14:paraId="4C177706"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3B3E0090" w14:textId="77777777" w:rsidR="00171824" w:rsidRDefault="006D258C">
            <w:pPr>
              <w:widowControl/>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περιστρέφετε ή λυγίζετε το κάλυμμα της βελόνας.</w:t>
            </w:r>
          </w:p>
        </w:tc>
      </w:tr>
      <w:tr w:rsidR="00171824" w:rsidRPr="00422380" w14:paraId="338B8216" w14:textId="77777777">
        <w:tc>
          <w:tcPr>
            <w:tcW w:w="303" w:type="pct"/>
            <w:tcBorders>
              <w:top w:val="nil"/>
              <w:left w:val="single" w:sz="4" w:space="0" w:color="auto"/>
              <w:bottom w:val="nil"/>
              <w:right w:val="nil"/>
            </w:tcBorders>
            <w:tcMar>
              <w:top w:w="28" w:type="dxa"/>
              <w:left w:w="57" w:type="dxa"/>
              <w:bottom w:w="28" w:type="dxa"/>
              <w:right w:w="57" w:type="dxa"/>
            </w:tcMar>
          </w:tcPr>
          <w:p w14:paraId="5DE6F0B5"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7FAD39B3" w14:textId="77777777" w:rsidR="00171824" w:rsidRDefault="006D258C">
            <w:pPr>
              <w:widowControl/>
              <w:ind w:left="720" w:hanging="720"/>
              <w:rPr>
                <w:rFonts w:eastAsia="Calibri"/>
                <w:sz w:val="22"/>
                <w:lang w:val="el-GR" w:bidi="en-US"/>
              </w:rPr>
            </w:pPr>
            <w:r>
              <w:rPr>
                <w:rFonts w:eastAsia="Arial Unicode MS" w:cs="Arial Unicode MS"/>
                <w:b/>
                <w:sz w:val="22"/>
                <w:szCs w:val="22"/>
                <w:lang w:val="el-GR" w:bidi="en-US"/>
              </w:rPr>
              <w:t>Μην</w:t>
            </w:r>
            <w:r>
              <w:rPr>
                <w:rFonts w:eastAsia="Arial Unicode MS" w:cs="Arial Unicode MS"/>
                <w:sz w:val="22"/>
                <w:szCs w:val="22"/>
                <w:lang w:val="el-GR" w:bidi="en-US"/>
              </w:rPr>
              <w:t xml:space="preserve"> τοποθετείτε το κάλυμμα της βελόνας και πάλι στη σύριγγα.</w:t>
            </w:r>
          </w:p>
        </w:tc>
      </w:tr>
      <w:tr w:rsidR="00171824" w:rsidRPr="00422380" w14:paraId="46CAB604" w14:textId="77777777">
        <w:tc>
          <w:tcPr>
            <w:tcW w:w="303" w:type="pct"/>
            <w:tcBorders>
              <w:top w:val="nil"/>
              <w:left w:val="single" w:sz="4" w:space="0" w:color="auto"/>
              <w:bottom w:val="nil"/>
              <w:right w:val="nil"/>
            </w:tcBorders>
            <w:tcMar>
              <w:top w:w="28" w:type="dxa"/>
              <w:left w:w="57" w:type="dxa"/>
              <w:bottom w:w="28" w:type="dxa"/>
              <w:right w:w="57" w:type="dxa"/>
            </w:tcMar>
          </w:tcPr>
          <w:p w14:paraId="0A0A5BCA"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4A700709" w14:textId="77777777" w:rsidR="00171824" w:rsidRDefault="006D258C">
            <w:pPr>
              <w:widowControl/>
              <w:tabs>
                <w:tab w:val="left" w:pos="5520"/>
              </w:tabs>
              <w:rPr>
                <w:rFonts w:eastAsia="Calibri"/>
                <w:sz w:val="22"/>
                <w:lang w:val="el-GR" w:bidi="en-US"/>
              </w:rPr>
            </w:pPr>
            <w:r>
              <w:rPr>
                <w:rFonts w:eastAsia="Arial Unicode MS" w:cs="Arial Unicode MS"/>
                <w:b/>
                <w:bCs/>
                <w:sz w:val="22"/>
                <w:szCs w:val="22"/>
                <w:lang w:val="el-GR" w:bidi="en-US"/>
              </w:rPr>
              <w:t>Μην</w:t>
            </w:r>
            <w:r>
              <w:rPr>
                <w:rFonts w:eastAsia="Arial Unicode MS" w:cs="Arial Unicode MS"/>
                <w:sz w:val="22"/>
                <w:szCs w:val="22"/>
                <w:lang w:val="el-GR" w:bidi="en-US"/>
              </w:rPr>
              <w:t xml:space="preserve"> αφαιρείτε το κάλυμμα της βελόνας από τη σύριγγα εάν δεν είστε έτοιμοι να κάνετε την ένεση.</w:t>
            </w:r>
          </w:p>
        </w:tc>
      </w:tr>
      <w:tr w:rsidR="00171824" w:rsidRPr="00422380" w14:paraId="768DD0AA" w14:textId="77777777">
        <w:trPr>
          <w:trHeight w:val="39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69B597CF" w14:textId="77777777" w:rsidR="00171824" w:rsidRDefault="006D258C">
            <w:pPr>
              <w:widowControl/>
              <w:tabs>
                <w:tab w:val="left" w:pos="5520"/>
              </w:tabs>
              <w:rPr>
                <w:rFonts w:eastAsia="Calibri"/>
                <w:b/>
                <w:bCs/>
                <w:sz w:val="22"/>
                <w:lang w:val="el-GR" w:bidi="en-US"/>
              </w:rPr>
            </w:pPr>
            <w:r>
              <w:rPr>
                <w:rFonts w:eastAsia="Arial Unicode MS" w:cs="Arial Unicode MS"/>
                <w:b/>
                <w:bCs/>
                <w:sz w:val="22"/>
                <w:szCs w:val="22"/>
                <w:lang w:val="el-GR" w:bidi="en-US"/>
              </w:rPr>
              <w:lastRenderedPageBreak/>
              <w:t xml:space="preserve">Σημαντικό: </w:t>
            </w:r>
            <w:r>
              <w:rPr>
                <w:rFonts w:eastAsia="Arial Unicode MS" w:cs="Arial Unicode MS"/>
                <w:sz w:val="22"/>
                <w:szCs w:val="22"/>
                <w:lang w:val="el-GR" w:bidi="en-US"/>
              </w:rPr>
              <w:t>Απορρίψτε το κάλυμμα της βελόνας στο δοχείο απόρριψης αιχμηρών αντικειμένων.</w:t>
            </w:r>
          </w:p>
        </w:tc>
      </w:tr>
    </w:tbl>
    <w:p w14:paraId="398AFC40" w14:textId="77777777" w:rsidR="00171824" w:rsidRDefault="00171824">
      <w:pPr>
        <w:keepNext/>
        <w:widowControl/>
        <w:suppressAutoHyphens/>
        <w:textAlignment w:val="center"/>
        <w:rPr>
          <w:rFonts w:eastAsia="PMingLiU"/>
          <w:b/>
          <w:bCs/>
          <w:sz w:val="22"/>
          <w:lang w:val="el-GR" w:eastAsia="ja-JP"/>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171824" w:rsidRPr="00422380" w14:paraId="77E1484C"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3FBEBB5" w14:textId="77777777" w:rsidR="00171824" w:rsidRDefault="006D258C">
            <w:pPr>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ΣΤ.</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28E4B09" w14:textId="77777777" w:rsidR="00171824" w:rsidRDefault="006D258C">
            <w:pPr>
              <w:keepLines/>
              <w:widowControl/>
              <w:rPr>
                <w:rFonts w:eastAsia="PMingLiU"/>
                <w:color w:val="000000"/>
                <w:sz w:val="22"/>
                <w:lang w:val="el-GR" w:bidi="en-US"/>
              </w:rPr>
            </w:pPr>
            <w:r>
              <w:rPr>
                <w:rFonts w:eastAsia="Arial Unicode MS" w:cs="Arial Unicode MS"/>
                <w:sz w:val="22"/>
                <w:szCs w:val="22"/>
                <w:lang w:val="el-GR" w:bidi="en-US"/>
              </w:rPr>
              <w:t>«Τσιμπήστε» τη θέση της ένεσης για να δημιουργήσετε μία σταθερή επιφάνεια.</w:t>
            </w:r>
          </w:p>
        </w:tc>
      </w:tr>
      <w:tr w:rsidR="00171824" w14:paraId="387F01DE"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89F7603" w14:textId="158518A8" w:rsidR="00171824" w:rsidRDefault="009039B7">
            <w:pPr>
              <w:widowControl/>
              <w:ind w:left="720" w:hanging="720"/>
              <w:rPr>
                <w:rFonts w:eastAsia="Calibri"/>
                <w:b/>
                <w:bCs/>
                <w:sz w:val="22"/>
                <w:lang w:val="el-GR" w:bidi="en-US"/>
              </w:rPr>
            </w:pPr>
            <w:r>
              <w:rPr>
                <w:noProof/>
                <w:sz w:val="22"/>
                <w:szCs w:val="22"/>
                <w:lang w:val="el-GR" w:eastAsia="zh-CN"/>
              </w:rPr>
              <w:drawing>
                <wp:inline distT="0" distB="0" distL="0" distR="0" wp14:anchorId="4628C15E" wp14:editId="5D72BB37">
                  <wp:extent cx="2383155" cy="1371600"/>
                  <wp:effectExtent l="0" t="0" r="0" b="0"/>
                  <wp:docPr id="22" name="Picture 51" descr="ILL0718 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LL0718 v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83155" cy="1371600"/>
                          </a:xfrm>
                          <a:prstGeom prst="rect">
                            <a:avLst/>
                          </a:prstGeom>
                          <a:noFill/>
                          <a:ln>
                            <a:noFill/>
                          </a:ln>
                        </pic:spPr>
                      </pic:pic>
                    </a:graphicData>
                  </a:graphic>
                </wp:inline>
              </w:drawing>
            </w:r>
          </w:p>
        </w:tc>
      </w:tr>
      <w:tr w:rsidR="00171824" w:rsidRPr="00A07F46" w14:paraId="33364BA9"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B778500"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«Τσιμπήστε» σταθερά το δέρμα μεταξύ του αντίχειρα και των δακτύλων σας, δημιουργώντας μία περιοχή πλάτους περίπου 5 εκατοστών.</w:t>
            </w:r>
          </w:p>
        </w:tc>
      </w:tr>
      <w:tr w:rsidR="00171824" w:rsidRPr="00A07F46" w14:paraId="5EE1F6A9" w14:textId="77777777">
        <w:trPr>
          <w:trHeight w:val="419"/>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45015335" w14:textId="77777777" w:rsidR="00171824" w:rsidRDefault="006D258C">
            <w:pPr>
              <w:widowControl/>
              <w:rPr>
                <w:rFonts w:eastAsia="Calibri"/>
                <w:sz w:val="22"/>
                <w:lang w:val="el-GR" w:bidi="en-US"/>
              </w:rPr>
            </w:pPr>
            <w:r>
              <w:rPr>
                <w:rFonts w:eastAsia="Arial Unicode MS" w:cs="Arial Unicode MS"/>
                <w:b/>
                <w:bCs/>
                <w:sz w:val="22"/>
                <w:szCs w:val="22"/>
                <w:lang w:val="el-GR" w:bidi="en-US"/>
              </w:rPr>
              <w:t xml:space="preserve">Σημαντικό: </w:t>
            </w:r>
            <w:r>
              <w:rPr>
                <w:rFonts w:eastAsia="Arial Unicode MS" w:cs="Arial Unicode MS"/>
                <w:sz w:val="22"/>
                <w:szCs w:val="22"/>
                <w:lang w:val="el-GR" w:bidi="en-US"/>
              </w:rPr>
              <w:t>Κρατήστε το δέρμα «τσιμπημένο» κατά τη διάρκεια της ένεσης</w:t>
            </w:r>
          </w:p>
        </w:tc>
      </w:tr>
    </w:tbl>
    <w:p w14:paraId="1DC0AC81" w14:textId="77777777" w:rsidR="00171824" w:rsidRDefault="00171824">
      <w:pPr>
        <w:widowControl/>
        <w:tabs>
          <w:tab w:val="left" w:pos="810"/>
        </w:tabs>
        <w:suppressAutoHyphens/>
        <w:contextualSpacing/>
        <w:textAlignment w:val="center"/>
        <w:rPr>
          <w:rFonts w:eastAsia="PMingLiU"/>
          <w:color w:val="000000"/>
          <w:sz w:val="22"/>
          <w:szCs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71824" w14:paraId="28B0D270"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3A6950D" w14:textId="77777777" w:rsidR="00171824" w:rsidRDefault="006D258C">
            <w:pPr>
              <w:widowControl/>
              <w:tabs>
                <w:tab w:val="left" w:pos="810"/>
              </w:tabs>
              <w:suppressAutoHyphens/>
              <w:contextualSpacing/>
              <w:jc w:val="center"/>
              <w:textAlignment w:val="center"/>
              <w:rPr>
                <w:rFonts w:eastAsia="PMingLiU"/>
                <w:b/>
                <w:color w:val="000000"/>
                <w:sz w:val="22"/>
                <w:lang w:val="el-GR" w:bidi="en-US"/>
              </w:rPr>
            </w:pPr>
            <w:r>
              <w:rPr>
                <w:rFonts w:eastAsia="Arial Unicode MS" w:cs="Arial Unicode MS"/>
                <w:b/>
                <w:color w:val="000000"/>
                <w:sz w:val="22"/>
                <w:szCs w:val="22"/>
                <w:lang w:val="el-GR" w:bidi="en-US"/>
              </w:rPr>
              <w:t>Βήμα 3: Κάντε την ένεση</w:t>
            </w:r>
          </w:p>
        </w:tc>
      </w:tr>
    </w:tbl>
    <w:p w14:paraId="2285EDCD" w14:textId="77777777" w:rsidR="00171824" w:rsidRDefault="00171824">
      <w:pPr>
        <w:keepLines/>
        <w:widowControl/>
        <w:tabs>
          <w:tab w:val="left" w:pos="567"/>
        </w:tabs>
        <w:autoSpaceDE/>
        <w:autoSpaceDN/>
        <w:adjustRightInd/>
        <w:ind w:left="567" w:hanging="567"/>
        <w:rPr>
          <w:rFonts w:eastAsia="PMingLiU"/>
          <w:b/>
          <w:bCs/>
          <w:sz w:val="22"/>
          <w:szCs w:val="16"/>
          <w:lang w:val="el-GR"/>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71824" w:rsidRPr="00422380" w14:paraId="22EAA5B0"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700A685" w14:textId="77777777" w:rsidR="00171824" w:rsidRDefault="006D258C">
            <w:pPr>
              <w:keepLines/>
              <w:widowControl/>
              <w:tabs>
                <w:tab w:val="left" w:pos="567"/>
              </w:tabs>
              <w:suppressAutoHyphens/>
              <w:textAlignment w:val="center"/>
              <w:rPr>
                <w:rFonts w:eastAsia="PMingLiU"/>
                <w:b/>
                <w:color w:val="000000"/>
                <w:sz w:val="22"/>
                <w:szCs w:val="22"/>
                <w:lang w:val="el-GR"/>
              </w:rPr>
            </w:pPr>
            <w:r>
              <w:rPr>
                <w:rFonts w:eastAsia="PMingLiU"/>
                <w:b/>
                <w:sz w:val="22"/>
                <w:szCs w:val="22"/>
                <w:lang w:val="el-GR"/>
              </w:rPr>
              <w:t>Ζ.</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F00F603" w14:textId="77777777" w:rsidR="00171824" w:rsidRDefault="006D258C">
            <w:pPr>
              <w:keepLines/>
              <w:widowControl/>
              <w:rPr>
                <w:rFonts w:eastAsia="PMingLiU"/>
                <w:color w:val="000000"/>
                <w:sz w:val="22"/>
                <w:szCs w:val="22"/>
                <w:lang w:val="el-GR"/>
              </w:rPr>
            </w:pPr>
            <w:r>
              <w:rPr>
                <w:rFonts w:eastAsia="PMingLiU"/>
                <w:sz w:val="22"/>
                <w:szCs w:val="22"/>
                <w:lang w:val="el-GR"/>
              </w:rPr>
              <w:t>Κρατήστε το δέρμα «τσιμπημένο». Έχοντας αφαιρέσει το κάλυμμα της βελόνας, εισάγετε τη βελόνα στο δέρμα σας σε γωνία 45 έως 90</w:t>
            </w:r>
            <w:r>
              <w:rPr>
                <w:rFonts w:eastAsia="PMingLiU"/>
                <w:bCs/>
                <w:sz w:val="22"/>
                <w:szCs w:val="22"/>
                <w:lang w:val="el-GR"/>
              </w:rPr>
              <w:t> </w:t>
            </w:r>
            <w:r>
              <w:rPr>
                <w:rFonts w:eastAsia="PMingLiU"/>
                <w:sz w:val="22"/>
                <w:szCs w:val="22"/>
                <w:lang w:val="el-GR"/>
              </w:rPr>
              <w:t>μοιρών.</w:t>
            </w:r>
          </w:p>
        </w:tc>
      </w:tr>
      <w:tr w:rsidR="00171824" w14:paraId="06978366"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EE30730" w14:textId="650AC6D7" w:rsidR="00171824" w:rsidRDefault="009039B7">
            <w:pPr>
              <w:widowControl/>
              <w:tabs>
                <w:tab w:val="left" w:pos="567"/>
              </w:tabs>
              <w:suppressAutoHyphens/>
              <w:textAlignment w:val="center"/>
              <w:rPr>
                <w:rFonts w:eastAsia="PMingLiU"/>
                <w:color w:val="000000"/>
                <w:sz w:val="22"/>
                <w:szCs w:val="22"/>
                <w:lang w:val="el-GR"/>
              </w:rPr>
            </w:pPr>
            <w:r>
              <w:rPr>
                <w:noProof/>
                <w:sz w:val="22"/>
                <w:szCs w:val="22"/>
                <w:lang w:val="el-GR" w:eastAsia="zh-CN"/>
              </w:rPr>
              <w:drawing>
                <wp:inline distT="0" distB="0" distL="0" distR="0" wp14:anchorId="42AA2354" wp14:editId="6A05368E">
                  <wp:extent cx="3114675" cy="1274445"/>
                  <wp:effectExtent l="0" t="0" r="0" b="0"/>
                  <wp:docPr id="23" name="Picture 56" descr="ILL0442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LL0442 v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14675" cy="1274445"/>
                          </a:xfrm>
                          <a:prstGeom prst="rect">
                            <a:avLst/>
                          </a:prstGeom>
                          <a:noFill/>
                          <a:ln>
                            <a:noFill/>
                          </a:ln>
                        </pic:spPr>
                      </pic:pic>
                    </a:graphicData>
                  </a:graphic>
                </wp:inline>
              </w:drawing>
            </w:r>
          </w:p>
        </w:tc>
      </w:tr>
      <w:tr w:rsidR="00171824" w:rsidRPr="00A07F46" w14:paraId="6174B92C"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7D98940D" w14:textId="77777777" w:rsidR="00171824" w:rsidRDefault="006D258C">
            <w:pPr>
              <w:widowControl/>
              <w:tabs>
                <w:tab w:val="left" w:pos="567"/>
              </w:tabs>
              <w:suppressAutoHyphens/>
              <w:textAlignment w:val="center"/>
              <w:rPr>
                <w:rFonts w:eastAsia="PMingLiU"/>
                <w:b/>
                <w:color w:val="000000"/>
                <w:sz w:val="22"/>
                <w:szCs w:val="22"/>
                <w:lang w:val="el-GR"/>
              </w:rPr>
            </w:pPr>
            <w:r>
              <w:rPr>
                <w:rFonts w:eastAsia="PMingLiU"/>
                <w:b/>
                <w:color w:val="000000"/>
                <w:sz w:val="22"/>
                <w:szCs w:val="22"/>
                <w:lang w:val="el-GR"/>
              </w:rPr>
              <w:t xml:space="preserve">Μην </w:t>
            </w:r>
            <w:r>
              <w:rPr>
                <w:rFonts w:eastAsia="PMingLiU"/>
                <w:bCs/>
                <w:color w:val="000000"/>
                <w:sz w:val="22"/>
                <w:szCs w:val="22"/>
                <w:lang w:val="el-GR"/>
              </w:rPr>
              <w:t>έχετε το δάκτυλό σας στη ράβδο του εμβόλου ενώ εισάγετε τη βελόνα.</w:t>
            </w:r>
          </w:p>
        </w:tc>
      </w:tr>
    </w:tbl>
    <w:p w14:paraId="55F0AFF7" w14:textId="77777777" w:rsidR="00171824" w:rsidRDefault="00171824">
      <w:pPr>
        <w:widowControl/>
        <w:suppressAutoHyphens/>
        <w:textAlignment w:val="center"/>
        <w:rPr>
          <w:rFonts w:eastAsia="PMingLiU"/>
          <w:b/>
          <w:bCs/>
          <w:sz w:val="22"/>
          <w:lang w:val="el-GR" w:eastAsia="ja-JP"/>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71824" w:rsidRPr="00422380" w14:paraId="7C7C8E75"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D9B6E8D" w14:textId="77777777" w:rsidR="00171824" w:rsidRDefault="006D258C">
            <w:pPr>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Η.</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EECC634" w14:textId="77777777" w:rsidR="00171824" w:rsidRDefault="006D258C">
            <w:pPr>
              <w:keepLines/>
              <w:widowControl/>
              <w:rPr>
                <w:rFonts w:eastAsia="PMingLiU"/>
                <w:color w:val="000000"/>
                <w:sz w:val="22"/>
                <w:lang w:val="el-GR" w:bidi="en-US"/>
              </w:rPr>
            </w:pPr>
            <w:r>
              <w:rPr>
                <w:rFonts w:eastAsia="Arial Unicode MS" w:cs="Arial Unicode MS"/>
                <w:sz w:val="22"/>
                <w:szCs w:val="22"/>
                <w:lang w:val="el-GR" w:bidi="en-US"/>
              </w:rPr>
              <w:t>Ασκώντας αργή και σταθερή πίεση, πιέστε τη ράβδο του εμβόλου έως το τέλος της διαδρομής της, έως ότου σταματήσει να κινείται.</w:t>
            </w:r>
          </w:p>
        </w:tc>
      </w:tr>
      <w:tr w:rsidR="00171824" w14:paraId="1ECF3D02"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17208FA" w14:textId="055982F5" w:rsidR="00171824" w:rsidRDefault="009039B7">
            <w:pPr>
              <w:widowControl/>
              <w:tabs>
                <w:tab w:val="left" w:pos="567"/>
              </w:tabs>
              <w:suppressAutoHyphens/>
              <w:textAlignment w:val="center"/>
              <w:rPr>
                <w:rFonts w:eastAsia="PMingLiU"/>
                <w:color w:val="000000"/>
                <w:sz w:val="22"/>
                <w:lang w:val="el-GR" w:bidi="en-US"/>
              </w:rPr>
            </w:pPr>
            <w:r>
              <w:rPr>
                <w:noProof/>
                <w:sz w:val="22"/>
                <w:lang w:val="el-GR" w:eastAsia="zh-CN"/>
              </w:rPr>
              <w:drawing>
                <wp:inline distT="0" distB="0" distL="0" distR="0" wp14:anchorId="33616101" wp14:editId="15EB77A4">
                  <wp:extent cx="2840355" cy="1468755"/>
                  <wp:effectExtent l="0" t="0" r="0" b="0"/>
                  <wp:docPr id="24" name="Picture 50" descr="ILL0454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LL0454 v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0355" cy="1468755"/>
                          </a:xfrm>
                          <a:prstGeom prst="rect">
                            <a:avLst/>
                          </a:prstGeom>
                          <a:noFill/>
                          <a:ln>
                            <a:noFill/>
                          </a:ln>
                        </pic:spPr>
                      </pic:pic>
                    </a:graphicData>
                  </a:graphic>
                </wp:inline>
              </w:drawing>
            </w:r>
          </w:p>
        </w:tc>
      </w:tr>
    </w:tbl>
    <w:p w14:paraId="0F643592" w14:textId="77777777" w:rsidR="00171824" w:rsidRDefault="00171824">
      <w:pPr>
        <w:widowControl/>
        <w:suppressAutoHyphens/>
        <w:textAlignment w:val="center"/>
        <w:rPr>
          <w:rFonts w:eastAsia="PMingLiU"/>
          <w:b/>
          <w:bCs/>
          <w:sz w:val="22"/>
          <w:lang w:val="el-GR" w:eastAsia="ja-JP"/>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71824" w:rsidRPr="00422380" w14:paraId="695E5B12"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267CC3A"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lastRenderedPageBreak/>
              <w:t>Θ.</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3128AAA" w14:textId="77777777" w:rsidR="00171824" w:rsidRDefault="006D258C">
            <w:pPr>
              <w:keepNext/>
              <w:keepLines/>
              <w:widowControl/>
              <w:rPr>
                <w:rFonts w:eastAsia="PMingLiU"/>
                <w:color w:val="000000"/>
                <w:sz w:val="22"/>
                <w:lang w:val="el-GR" w:bidi="en-US"/>
              </w:rPr>
            </w:pPr>
            <w:r>
              <w:rPr>
                <w:rFonts w:eastAsia="Arial Unicode MS" w:cs="Arial Unicode MS"/>
                <w:sz w:val="22"/>
                <w:szCs w:val="22"/>
                <w:lang w:val="el-GR" w:bidi="en-US"/>
              </w:rPr>
              <w:t>Αφού ολοκληρώσετε τη διαδικασία, απομακρύνετε τον αντίχειρά σας και σηκώστε απαλά τη σύριγγα από το δέρμα σας.</w:t>
            </w:r>
          </w:p>
        </w:tc>
      </w:tr>
      <w:tr w:rsidR="00171824" w14:paraId="0A9969B6"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3D8AE09" w14:textId="6695895B" w:rsidR="00171824" w:rsidRDefault="009039B7">
            <w:pPr>
              <w:keepNext/>
              <w:widowControl/>
              <w:tabs>
                <w:tab w:val="left" w:pos="567"/>
              </w:tabs>
              <w:suppressAutoHyphens/>
              <w:textAlignment w:val="center"/>
              <w:rPr>
                <w:rFonts w:eastAsia="PMingLiU"/>
                <w:color w:val="000000"/>
                <w:sz w:val="22"/>
                <w:lang w:val="el-GR" w:bidi="en-US"/>
              </w:rPr>
            </w:pPr>
            <w:r>
              <w:rPr>
                <w:noProof/>
                <w:sz w:val="16"/>
                <w:szCs w:val="16"/>
                <w:lang w:val="el-GR" w:eastAsia="zh-CN"/>
              </w:rPr>
              <w:drawing>
                <wp:inline distT="0" distB="0" distL="0" distR="0" wp14:anchorId="5602FFA7" wp14:editId="6FA9F7D5">
                  <wp:extent cx="2468880" cy="1468755"/>
                  <wp:effectExtent l="0" t="0" r="0" b="0"/>
                  <wp:docPr id="25" name="Picture 49" descr="ILL0441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LL0441 v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68880" cy="1468755"/>
                          </a:xfrm>
                          <a:prstGeom prst="rect">
                            <a:avLst/>
                          </a:prstGeom>
                          <a:noFill/>
                          <a:ln>
                            <a:noFill/>
                          </a:ln>
                        </pic:spPr>
                      </pic:pic>
                    </a:graphicData>
                  </a:graphic>
                </wp:inline>
              </w:drawing>
            </w:r>
          </w:p>
        </w:tc>
      </w:tr>
    </w:tbl>
    <w:p w14:paraId="3A7927CF" w14:textId="77777777" w:rsidR="00171824" w:rsidRDefault="00171824">
      <w:pPr>
        <w:widowControl/>
        <w:tabs>
          <w:tab w:val="left" w:pos="240"/>
          <w:tab w:val="left" w:pos="360"/>
          <w:tab w:val="left" w:pos="660"/>
          <w:tab w:val="left" w:pos="780"/>
        </w:tabs>
        <w:suppressAutoHyphens/>
        <w:textAlignment w:val="center"/>
        <w:rPr>
          <w:rFonts w:eastAsia="PMingLiU"/>
          <w:b/>
          <w:bCs/>
          <w:color w:val="000000"/>
          <w:sz w:val="22"/>
          <w:szCs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71824" w14:paraId="71C0AAC4"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4F90EFC" w14:textId="77777777" w:rsidR="00171824" w:rsidRDefault="006D258C">
            <w:pPr>
              <w:keepNext/>
              <w:keepLines/>
              <w:widowControl/>
              <w:tabs>
                <w:tab w:val="left" w:pos="810"/>
              </w:tabs>
              <w:suppressAutoHyphens/>
              <w:contextualSpacing/>
              <w:jc w:val="center"/>
              <w:textAlignment w:val="center"/>
              <w:rPr>
                <w:rFonts w:eastAsia="PMingLiU"/>
                <w:b/>
                <w:color w:val="000000"/>
                <w:sz w:val="22"/>
                <w:lang w:val="el-GR" w:bidi="en-US"/>
              </w:rPr>
            </w:pPr>
            <w:r>
              <w:rPr>
                <w:rFonts w:eastAsia="Arial Unicode MS" w:cs="Arial Unicode MS"/>
                <w:b/>
                <w:color w:val="000000"/>
                <w:sz w:val="22"/>
                <w:szCs w:val="22"/>
                <w:lang w:val="el-GR" w:bidi="en-US"/>
              </w:rPr>
              <w:t>Βήμα 4: Ολοκληρώστε τη διαδικασία</w:t>
            </w:r>
          </w:p>
        </w:tc>
      </w:tr>
    </w:tbl>
    <w:p w14:paraId="07641D83" w14:textId="77777777" w:rsidR="00171824" w:rsidRDefault="00171824">
      <w:pPr>
        <w:keepNext/>
        <w:keepLines/>
        <w:widowControl/>
        <w:tabs>
          <w:tab w:val="left" w:pos="567"/>
        </w:tabs>
        <w:autoSpaceDE/>
        <w:autoSpaceDN/>
        <w:adjustRightInd/>
        <w:ind w:left="567" w:hanging="567"/>
        <w:rPr>
          <w:rFonts w:eastAsia="PMingLiU"/>
          <w:b/>
          <w:bCs/>
          <w:sz w:val="22"/>
          <w:szCs w:val="16"/>
          <w:lang w:val="el-GR"/>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171824" w:rsidRPr="00422380" w14:paraId="60B941FA"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6CCEB41"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Ι.</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E69ED17" w14:textId="77777777" w:rsidR="00171824" w:rsidRDefault="006D258C">
            <w:pPr>
              <w:keepNext/>
              <w:keepLines/>
              <w:widowControl/>
              <w:rPr>
                <w:rFonts w:eastAsia="PMingLiU"/>
                <w:color w:val="000000"/>
                <w:sz w:val="22"/>
                <w:lang w:val="el-GR" w:bidi="en-US"/>
              </w:rPr>
            </w:pPr>
            <w:r>
              <w:rPr>
                <w:rFonts w:eastAsia="Arial Unicode MS" w:cs="Arial Unicode MS"/>
                <w:sz w:val="22"/>
                <w:szCs w:val="22"/>
                <w:lang w:val="el-GR" w:bidi="en-US"/>
              </w:rPr>
              <w:t>Απορρίψτε τη χρησιμοποιημένη σύριγγα και το κάλυμμα της βελόνας.</w:t>
            </w:r>
          </w:p>
        </w:tc>
      </w:tr>
      <w:tr w:rsidR="00171824" w14:paraId="2C228286" w14:textId="77777777">
        <w:trPr>
          <w:trHeight w:val="3361"/>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3E24FD9F" w14:textId="056A9EB2" w:rsidR="00171824" w:rsidRDefault="009039B7">
            <w:pPr>
              <w:keepNext/>
              <w:keepLines/>
              <w:widowControl/>
              <w:tabs>
                <w:tab w:val="left" w:pos="567"/>
              </w:tabs>
              <w:suppressAutoHyphens/>
              <w:textAlignment w:val="center"/>
              <w:rPr>
                <w:rFonts w:eastAsia="PMingLiU"/>
                <w:color w:val="000000"/>
                <w:sz w:val="22"/>
                <w:lang w:val="el-GR" w:bidi="en-US"/>
              </w:rPr>
            </w:pPr>
            <w:r>
              <w:rPr>
                <w:noProof/>
                <w:sz w:val="10"/>
                <w:szCs w:val="10"/>
                <w:lang w:val="el-GR" w:eastAsia="zh-CN"/>
              </w:rPr>
              <w:drawing>
                <wp:inline distT="0" distB="0" distL="0" distR="0" wp14:anchorId="76897FD9" wp14:editId="6C1F3CC1">
                  <wp:extent cx="1554480" cy="2108835"/>
                  <wp:effectExtent l="0" t="0" r="0" b="0"/>
                  <wp:docPr id="26" name="Picture 15" descr="ILL0331 SYRING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LL0331 SYRINGE MISC N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54480" cy="2108835"/>
                          </a:xfrm>
                          <a:prstGeom prst="rect">
                            <a:avLst/>
                          </a:prstGeom>
                          <a:noFill/>
                          <a:ln>
                            <a:noFill/>
                          </a:ln>
                        </pic:spPr>
                      </pic:pic>
                    </a:graphicData>
                  </a:graphic>
                </wp:inline>
              </w:drawing>
            </w:r>
          </w:p>
        </w:tc>
      </w:tr>
      <w:tr w:rsidR="00171824" w:rsidRPr="00422380" w14:paraId="1D8C8645"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2F60647"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735BA316" w14:textId="77777777" w:rsidR="00171824" w:rsidRDefault="006D258C">
            <w:pPr>
              <w:widowControl/>
              <w:rPr>
                <w:rFonts w:eastAsia="Calibri"/>
                <w:sz w:val="22"/>
                <w:lang w:val="el-GR" w:bidi="en-US"/>
              </w:rPr>
            </w:pPr>
            <w:r>
              <w:rPr>
                <w:rFonts w:eastAsia="Arial Unicode MS" w:cs="Arial Unicode MS"/>
                <w:b/>
                <w:sz w:val="22"/>
                <w:szCs w:val="22"/>
                <w:lang w:val="el-GR" w:bidi="en-US"/>
              </w:rPr>
              <w:t>Μη</w:t>
            </w:r>
            <w:r>
              <w:rPr>
                <w:rFonts w:eastAsia="Arial Unicode MS" w:cs="Arial Unicode MS"/>
                <w:sz w:val="22"/>
                <w:szCs w:val="22"/>
                <w:lang w:val="el-GR" w:bidi="en-US"/>
              </w:rPr>
              <w:t xml:space="preserve"> χρησιμοποιήσετε ξανά τη χρησιμοποιημένη σύριγγα.</w:t>
            </w:r>
          </w:p>
        </w:tc>
      </w:tr>
      <w:tr w:rsidR="00171824" w:rsidRPr="00422380" w14:paraId="31D9B3E4"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3307C189"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4B986EA6" w14:textId="77777777" w:rsidR="00171824" w:rsidRDefault="006D258C">
            <w:pPr>
              <w:widowControl/>
              <w:rPr>
                <w:rFonts w:eastAsia="Calibri"/>
                <w:sz w:val="22"/>
                <w:lang w:val="el-GR" w:bidi="en-US"/>
              </w:rPr>
            </w:pPr>
            <w:r>
              <w:rPr>
                <w:rFonts w:eastAsia="Arial Unicode MS" w:cs="Arial Unicode MS"/>
                <w:b/>
                <w:sz w:val="22"/>
                <w:szCs w:val="22"/>
                <w:lang w:val="el-GR" w:bidi="en-US"/>
              </w:rPr>
              <w:t>Μη</w:t>
            </w:r>
            <w:r>
              <w:rPr>
                <w:rFonts w:eastAsia="Arial Unicode MS" w:cs="Arial Unicode MS"/>
                <w:sz w:val="22"/>
                <w:szCs w:val="22"/>
                <w:lang w:val="el-GR" w:bidi="en-US"/>
              </w:rPr>
              <w:t xml:space="preserve"> χρησιμοποιήσετε οποιαδήποτε ποσότητα φαρμάκου έχει ενδεχομένως παραμείνει στη χρησιμοποιημένη σύριγγα.</w:t>
            </w:r>
          </w:p>
        </w:tc>
      </w:tr>
      <w:tr w:rsidR="00171824" w14:paraId="70713E75"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07D706A7"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5F26D975" w14:textId="77777777" w:rsidR="00171824" w:rsidRDefault="006D258C">
            <w:pPr>
              <w:widowControl/>
              <w:rPr>
                <w:rFonts w:eastAsia="Calibri"/>
                <w:sz w:val="22"/>
                <w:lang w:val="el-GR" w:bidi="en-US"/>
              </w:rPr>
            </w:pPr>
            <w:r>
              <w:rPr>
                <w:rFonts w:eastAsia="Arial Unicode MS" w:cs="Arial Unicode MS"/>
                <w:sz w:val="22"/>
                <w:szCs w:val="22"/>
                <w:lang w:val="el-GR" w:bidi="en-US"/>
              </w:rPr>
              <w:t xml:space="preserve">Τοποθετήστε τη χρησιμοποιημένη σύριγγα του AMGEVITA σε ένα δοχείο απόρριψης αιχμηρών αντικειμένων αμέσως μετά τη χρήση. </w:t>
            </w:r>
            <w:r>
              <w:rPr>
                <w:rFonts w:eastAsia="Arial Unicode MS" w:cs="Arial Unicode MS"/>
                <w:b/>
                <w:bCs/>
                <w:sz w:val="22"/>
                <w:szCs w:val="22"/>
                <w:lang w:val="el-GR" w:bidi="en-US"/>
              </w:rPr>
              <w:t>Μην</w:t>
            </w:r>
            <w:r>
              <w:rPr>
                <w:rFonts w:eastAsia="Arial Unicode MS" w:cs="Arial Unicode MS"/>
                <w:sz w:val="22"/>
                <w:szCs w:val="22"/>
                <w:lang w:val="el-GR" w:bidi="en-US"/>
              </w:rPr>
              <w:t xml:space="preserve"> απορρίπτετε (πετάτε) τη σύριγγα στα οικιακά απορρίμματα.</w:t>
            </w:r>
          </w:p>
        </w:tc>
      </w:tr>
      <w:tr w:rsidR="00171824" w14:paraId="727CB373"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376105B"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235E44A8" w14:textId="77777777" w:rsidR="00171824" w:rsidRDefault="006D258C">
            <w:pPr>
              <w:widowControl/>
              <w:suppressAutoHyphens/>
              <w:textAlignment w:val="center"/>
              <w:rPr>
                <w:rFonts w:eastAsia="PMingLiU"/>
                <w:color w:val="000000"/>
                <w:sz w:val="22"/>
                <w:lang w:val="el-GR" w:bidi="en-US"/>
              </w:rPr>
            </w:pPr>
            <w:r>
              <w:rPr>
                <w:rFonts w:eastAsia="Arial Unicode MS" w:cs="Arial Unicode MS"/>
                <w:sz w:val="22"/>
                <w:szCs w:val="22"/>
                <w:lang w:val="el-GR" w:bidi="en-US"/>
              </w:rPr>
              <w:t>Συζητήστε με τον γιατρό ή τον φαρμακοποιό σας σχετικά με τον σωστό τρόπο απόρριψης. Μπορεί να υπάρχουν τοπικές κατευθυντήριες οδηγίες απόρριψης.</w:t>
            </w:r>
          </w:p>
        </w:tc>
      </w:tr>
      <w:tr w:rsidR="00171824" w:rsidRPr="00422380" w14:paraId="37E7F5C1"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34FD3B7D"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71DFF5DC" w14:textId="77777777" w:rsidR="00171824" w:rsidRDefault="006D258C">
            <w:pPr>
              <w:widowControl/>
              <w:rPr>
                <w:rFonts w:eastAsia="Calibri"/>
                <w:sz w:val="22"/>
                <w:lang w:val="el-GR" w:bidi="en-US"/>
              </w:rPr>
            </w:pPr>
            <w:r>
              <w:rPr>
                <w:rFonts w:eastAsia="Arial Unicode MS" w:cs="Arial Unicode MS"/>
                <w:b/>
                <w:bCs/>
                <w:sz w:val="22"/>
                <w:szCs w:val="22"/>
                <w:lang w:val="el-GR" w:bidi="en-US"/>
              </w:rPr>
              <w:t>Μην</w:t>
            </w:r>
            <w:r>
              <w:rPr>
                <w:rFonts w:eastAsia="Arial Unicode MS" w:cs="Arial Unicode MS"/>
                <w:sz w:val="22"/>
                <w:szCs w:val="22"/>
                <w:lang w:val="el-GR" w:bidi="en-US"/>
              </w:rPr>
              <w:t xml:space="preserve"> ανακυκλώνετε τη σύριγγα ή το δοχείο απόρριψης αιχμηρών αντικειμένων και μην τα πετάτε στα οικιακά απορρίμματα.</w:t>
            </w:r>
          </w:p>
        </w:tc>
      </w:tr>
      <w:tr w:rsidR="00171824" w:rsidRPr="00422380" w14:paraId="1A68E9AA"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58CBB844" w14:textId="77777777" w:rsidR="00171824" w:rsidRDefault="006D258C">
            <w:pPr>
              <w:widowControl/>
              <w:suppressAutoHyphens/>
              <w:textAlignment w:val="center"/>
              <w:rPr>
                <w:rFonts w:eastAsia="PMingLiU"/>
                <w:bCs/>
                <w:color w:val="000000"/>
                <w:sz w:val="22"/>
                <w:lang w:val="el-GR" w:bidi="en-US"/>
              </w:rPr>
            </w:pPr>
            <w:r>
              <w:rPr>
                <w:rFonts w:eastAsia="Arial Unicode MS" w:cs="Arial Unicode MS"/>
                <w:b/>
                <w:color w:val="000000"/>
                <w:sz w:val="22"/>
                <w:szCs w:val="22"/>
                <w:lang w:val="el-GR" w:bidi="en-US"/>
              </w:rPr>
              <w:t xml:space="preserve">Σημαντικό: </w:t>
            </w:r>
            <w:r>
              <w:rPr>
                <w:rFonts w:eastAsia="Arial Unicode MS" w:cs="Arial Unicode MS"/>
                <w:bCs/>
                <w:color w:val="000000"/>
                <w:sz w:val="22"/>
                <w:szCs w:val="22"/>
                <w:lang w:val="el-GR" w:bidi="en-US"/>
              </w:rPr>
              <w:t>Φυλάσσετε πάντοτε το δοχείο απόρριψης αιχμηρών αντικειμένων σε μέρος που δεν βλέπουν και δεν προσεγγίζουν τα παιδιά.</w:t>
            </w:r>
          </w:p>
        </w:tc>
      </w:tr>
    </w:tbl>
    <w:p w14:paraId="45D8D3E2" w14:textId="77777777" w:rsidR="00171824" w:rsidRDefault="00171824">
      <w:pPr>
        <w:widowControl/>
        <w:suppressAutoHyphens/>
        <w:textAlignment w:val="center"/>
        <w:rPr>
          <w:rFonts w:eastAsia="PMingLiU"/>
          <w:b/>
          <w:bCs/>
          <w:sz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71824" w:rsidRPr="00422380" w14:paraId="77AB1B3B"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A4556A0" w14:textId="77777777" w:rsidR="00171824" w:rsidRDefault="006D258C">
            <w:pPr>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ΙΑ.</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190394" w14:textId="77777777" w:rsidR="00171824" w:rsidRDefault="006D258C">
            <w:pPr>
              <w:keepLines/>
              <w:widowControl/>
              <w:rPr>
                <w:rFonts w:eastAsia="PMingLiU"/>
                <w:color w:val="000000"/>
                <w:sz w:val="22"/>
                <w:lang w:val="el-GR" w:bidi="en-US"/>
              </w:rPr>
            </w:pPr>
            <w:r>
              <w:rPr>
                <w:rFonts w:eastAsia="Arial Unicode MS" w:cs="Arial Unicode MS"/>
                <w:sz w:val="22"/>
                <w:szCs w:val="22"/>
                <w:lang w:val="el-GR" w:bidi="en-US"/>
              </w:rPr>
              <w:t>Επιθεωρήστε οπτικά τη θέση της ένεσης.</w:t>
            </w:r>
          </w:p>
        </w:tc>
      </w:tr>
      <w:tr w:rsidR="00171824" w:rsidRPr="00422380" w14:paraId="1B0C6692"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4097CC"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 xml:space="preserve">Εάν υπάρχει αίμα, πιέστε ένα κομμάτι βαμβακιού ή γάζας επάνω στη θέση της ένεσης. </w:t>
            </w:r>
            <w:r>
              <w:rPr>
                <w:rFonts w:eastAsia="Arial Unicode MS" w:cs="Arial Unicode MS"/>
                <w:b/>
                <w:bCs/>
                <w:color w:val="000000"/>
                <w:sz w:val="22"/>
                <w:szCs w:val="22"/>
                <w:lang w:val="el-GR" w:bidi="en-US"/>
              </w:rPr>
              <w:t>Μην</w:t>
            </w:r>
            <w:r>
              <w:rPr>
                <w:rFonts w:eastAsia="Arial Unicode MS" w:cs="Arial Unicode MS"/>
                <w:color w:val="000000"/>
                <w:sz w:val="22"/>
                <w:szCs w:val="22"/>
                <w:lang w:val="el-GR" w:bidi="en-US"/>
              </w:rPr>
              <w:t xml:space="preserve"> τρίβετε τη θέση της ένεσης. Εάν χρειαστεί, τοποθετήστε έναν αυτοκόλλητο επίδεσμο.</w:t>
            </w:r>
          </w:p>
        </w:tc>
      </w:tr>
    </w:tbl>
    <w:p w14:paraId="45C7B373" w14:textId="77777777" w:rsidR="00171824" w:rsidRDefault="00171824">
      <w:pPr>
        <w:widowControl/>
        <w:autoSpaceDE/>
        <w:autoSpaceDN/>
        <w:adjustRightInd/>
        <w:jc w:val="center"/>
        <w:outlineLvl w:val="0"/>
        <w:rPr>
          <w:rFonts w:eastAsia="PMingLiU"/>
          <w:b/>
          <w:sz w:val="22"/>
          <w:szCs w:val="20"/>
          <w:lang w:val="el-GR"/>
        </w:rPr>
      </w:pPr>
    </w:p>
    <w:p w14:paraId="193C1666" w14:textId="77777777" w:rsidR="00171824" w:rsidRDefault="006D258C">
      <w:pPr>
        <w:widowControl/>
        <w:autoSpaceDE/>
        <w:autoSpaceDN/>
        <w:adjustRightInd/>
        <w:rPr>
          <w:rFonts w:eastAsia="PMingLiU"/>
          <w:b/>
          <w:sz w:val="22"/>
          <w:szCs w:val="20"/>
          <w:lang w:val="el-GR"/>
        </w:rPr>
      </w:pPr>
      <w:r>
        <w:rPr>
          <w:rFonts w:eastAsia="PMingLiU"/>
          <w:b/>
          <w:sz w:val="22"/>
          <w:szCs w:val="20"/>
          <w:lang w:val="el-GR"/>
        </w:rPr>
        <w:br w:type="page"/>
      </w:r>
    </w:p>
    <w:p w14:paraId="313415CE" w14:textId="77777777" w:rsidR="00171824" w:rsidRDefault="006D258C">
      <w:pPr>
        <w:widowControl/>
        <w:jc w:val="center"/>
        <w:rPr>
          <w:b/>
          <w:bCs/>
          <w:sz w:val="22"/>
          <w:szCs w:val="22"/>
          <w:lang w:val="el-GR"/>
        </w:rPr>
      </w:pPr>
      <w:bookmarkStart w:id="110" w:name="_Hlk69120561"/>
      <w:r>
        <w:rPr>
          <w:b/>
          <w:bCs/>
          <w:sz w:val="22"/>
          <w:szCs w:val="22"/>
          <w:lang w:val="el-GR"/>
        </w:rPr>
        <w:lastRenderedPageBreak/>
        <w:t>Φύλλο οδηγιών χρήσης: Πληροφορίες για τον ασθενή</w:t>
      </w:r>
    </w:p>
    <w:p w14:paraId="36355601" w14:textId="77777777" w:rsidR="00171824" w:rsidRDefault="00171824">
      <w:pPr>
        <w:widowControl/>
        <w:kinsoku w:val="0"/>
        <w:overflowPunct w:val="0"/>
        <w:rPr>
          <w:sz w:val="22"/>
          <w:szCs w:val="22"/>
          <w:lang w:val="el-GR"/>
        </w:rPr>
      </w:pPr>
    </w:p>
    <w:p w14:paraId="373139DB" w14:textId="77777777" w:rsidR="00171824" w:rsidRDefault="006D258C">
      <w:pPr>
        <w:widowControl/>
        <w:kinsoku w:val="0"/>
        <w:overflowPunct w:val="0"/>
        <w:jc w:val="center"/>
        <w:rPr>
          <w:sz w:val="22"/>
          <w:szCs w:val="22"/>
          <w:lang w:val="el-GR"/>
        </w:rPr>
      </w:pPr>
      <w:r>
        <w:rPr>
          <w:b/>
          <w:bCs/>
          <w:sz w:val="22"/>
          <w:szCs w:val="22"/>
          <w:lang w:val="el-GR"/>
        </w:rPr>
        <w:t>AMGEVITA 40 mg ενέσιμο διάλυμα σε προγεμισμένη συσκευή τύπου πένας</w:t>
      </w:r>
    </w:p>
    <w:p w14:paraId="76856A0F" w14:textId="77777777" w:rsidR="00171824" w:rsidRDefault="006D258C">
      <w:pPr>
        <w:widowControl/>
        <w:kinsoku w:val="0"/>
        <w:overflowPunct w:val="0"/>
        <w:jc w:val="center"/>
        <w:rPr>
          <w:sz w:val="22"/>
          <w:szCs w:val="22"/>
          <w:lang w:val="el-GR"/>
        </w:rPr>
      </w:pPr>
      <w:r>
        <w:rPr>
          <w:sz w:val="22"/>
          <w:szCs w:val="22"/>
          <w:lang w:val="el-GR"/>
        </w:rPr>
        <w:t>adalimumab</w:t>
      </w:r>
    </w:p>
    <w:p w14:paraId="7742CA0A" w14:textId="77777777" w:rsidR="00171824" w:rsidRDefault="00171824">
      <w:pPr>
        <w:widowControl/>
        <w:kinsoku w:val="0"/>
        <w:overflowPunct w:val="0"/>
        <w:rPr>
          <w:sz w:val="22"/>
          <w:szCs w:val="22"/>
          <w:lang w:val="el-GR"/>
        </w:rPr>
      </w:pPr>
    </w:p>
    <w:p w14:paraId="584DE6EE" w14:textId="77777777" w:rsidR="00171824" w:rsidRDefault="00171824">
      <w:pPr>
        <w:widowControl/>
        <w:kinsoku w:val="0"/>
        <w:overflowPunct w:val="0"/>
        <w:rPr>
          <w:sz w:val="22"/>
          <w:szCs w:val="22"/>
          <w:lang w:val="el-GR"/>
        </w:rPr>
      </w:pPr>
    </w:p>
    <w:p w14:paraId="3FA117B2" w14:textId="77777777" w:rsidR="00171824" w:rsidRDefault="006D258C">
      <w:pPr>
        <w:widowControl/>
        <w:kinsoku w:val="0"/>
        <w:overflowPunct w:val="0"/>
        <w:outlineLvl w:val="0"/>
        <w:rPr>
          <w:sz w:val="22"/>
          <w:szCs w:val="22"/>
          <w:lang w:val="el-GR"/>
        </w:rPr>
      </w:pPr>
      <w:r>
        <w:rPr>
          <w:b/>
          <w:bCs/>
          <w:sz w:val="22"/>
          <w:szCs w:val="22"/>
          <w:lang w:val="el-GR"/>
        </w:rPr>
        <w:t>Διαβάστε προσεκτικά ολόκληρο το φύλλο οδηγιών χρήσης πριν αρχίσετε να χρησιμοποιείτε αυτό το φάρμακο, διότι περιλαμβάνει σημαντικές πληροφορίες για σας.</w:t>
      </w:r>
    </w:p>
    <w:p w14:paraId="2216DC56"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Φυλάξτε αυτό το φύλλο οδηγιών χρήσης. Ίσως χρειαστεί να το διαβάσετε ξανά.</w:t>
      </w:r>
    </w:p>
    <w:p w14:paraId="620F8C75"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 xml:space="preserve">Ο γιατρός σας θα σας δώσει μια </w:t>
      </w:r>
      <w:r>
        <w:rPr>
          <w:b/>
          <w:sz w:val="22"/>
          <w:szCs w:val="22"/>
          <w:lang w:val="el-GR"/>
        </w:rPr>
        <w:t>Κάρτα Υπενθύμισης του Ασθενούς</w:t>
      </w:r>
      <w:r>
        <w:rPr>
          <w:sz w:val="22"/>
          <w:szCs w:val="22"/>
          <w:lang w:val="el-GR"/>
        </w:rPr>
        <w:t xml:space="preserve">, η οποία περιέχει σημαντικές πληροφορίες για την ασφάλεια του φαρμάκου τις οποίες θα πρέπει να γνωρίζετε πριν λάβετε AMGEVITA καθώς και κατά τη διάρκεια της θεραπείας με AMGEVITA. Φυλάξτε την </w:t>
      </w:r>
      <w:r>
        <w:rPr>
          <w:b/>
          <w:sz w:val="22"/>
          <w:szCs w:val="22"/>
          <w:lang w:val="el-GR"/>
        </w:rPr>
        <w:t>Κάρτα Υπενθύμισης του Ασθενούς</w:t>
      </w:r>
      <w:r>
        <w:rPr>
          <w:sz w:val="22"/>
          <w:szCs w:val="22"/>
          <w:lang w:val="el-GR"/>
        </w:rPr>
        <w:t xml:space="preserve"> μαζί με το φύλλο οδηγιών χρήσης.</w:t>
      </w:r>
    </w:p>
    <w:p w14:paraId="098C4DB5"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Εάν έχετε περαιτέρω απορίες, ρωτήστε τον γιατρό ή τον φαρμακοποιό σας.</w:t>
      </w:r>
    </w:p>
    <w:p w14:paraId="668DCD20"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Η συνταγή για αυτό το φάρμακο χορηγήθηκε αποκλειστικά για σας. Δεν πρέπει να δώσετε το φάρμακο σε άλλους. Μπορεί να τους προκαλέσει βλάβη, ακόμα και όταν τα συμπτώματα της ασθένειάς τους είναι ίδια με τα δικά σας.</w:t>
      </w:r>
    </w:p>
    <w:p w14:paraId="6903438D"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(βλέπε παράγραφο 4).</w:t>
      </w:r>
    </w:p>
    <w:p w14:paraId="3D436CE3" w14:textId="77777777" w:rsidR="00171824" w:rsidRDefault="00171824">
      <w:pPr>
        <w:widowControl/>
        <w:kinsoku w:val="0"/>
        <w:overflowPunct w:val="0"/>
        <w:rPr>
          <w:sz w:val="22"/>
          <w:szCs w:val="22"/>
          <w:lang w:val="el-GR"/>
        </w:rPr>
      </w:pPr>
    </w:p>
    <w:p w14:paraId="5EB5132F" w14:textId="77777777" w:rsidR="00171824" w:rsidRDefault="006D258C">
      <w:pPr>
        <w:widowControl/>
        <w:kinsoku w:val="0"/>
        <w:overflowPunct w:val="0"/>
        <w:outlineLvl w:val="0"/>
        <w:rPr>
          <w:sz w:val="22"/>
          <w:szCs w:val="22"/>
          <w:lang w:val="el-GR"/>
        </w:rPr>
      </w:pPr>
      <w:r>
        <w:rPr>
          <w:b/>
          <w:bCs/>
          <w:sz w:val="22"/>
          <w:szCs w:val="22"/>
          <w:lang w:val="el-GR"/>
        </w:rPr>
        <w:t>Τι περιέχει το παρόν φύλλο οδηγιών:</w:t>
      </w:r>
    </w:p>
    <w:p w14:paraId="63ADE04B" w14:textId="77777777" w:rsidR="00171824" w:rsidRDefault="006D258C">
      <w:pPr>
        <w:widowControl/>
        <w:numPr>
          <w:ilvl w:val="0"/>
          <w:numId w:val="30"/>
        </w:numPr>
        <w:tabs>
          <w:tab w:val="left" w:pos="567"/>
        </w:tabs>
        <w:kinsoku w:val="0"/>
        <w:overflowPunct w:val="0"/>
        <w:autoSpaceDE/>
        <w:autoSpaceDN/>
        <w:adjustRightInd/>
        <w:ind w:left="567"/>
        <w:rPr>
          <w:sz w:val="22"/>
          <w:szCs w:val="22"/>
          <w:lang w:val="el-GR"/>
        </w:rPr>
      </w:pPr>
      <w:r>
        <w:rPr>
          <w:sz w:val="22"/>
          <w:szCs w:val="22"/>
          <w:lang w:val="el-GR"/>
        </w:rPr>
        <w:t>Τι είναι το AMGEVITA και ποια είναι η χρήση του</w:t>
      </w:r>
    </w:p>
    <w:p w14:paraId="20827E81" w14:textId="77777777" w:rsidR="00171824" w:rsidRDefault="006D258C">
      <w:pPr>
        <w:widowControl/>
        <w:numPr>
          <w:ilvl w:val="0"/>
          <w:numId w:val="30"/>
        </w:numPr>
        <w:tabs>
          <w:tab w:val="left" w:pos="567"/>
        </w:tabs>
        <w:kinsoku w:val="0"/>
        <w:overflowPunct w:val="0"/>
        <w:autoSpaceDE/>
        <w:autoSpaceDN/>
        <w:adjustRightInd/>
        <w:ind w:left="567"/>
        <w:rPr>
          <w:sz w:val="22"/>
          <w:szCs w:val="22"/>
          <w:lang w:val="el-GR"/>
        </w:rPr>
      </w:pPr>
      <w:r>
        <w:rPr>
          <w:sz w:val="22"/>
          <w:szCs w:val="22"/>
          <w:lang w:val="el-GR"/>
        </w:rPr>
        <w:t xml:space="preserve">Τι πρέπει να γνωρίζετε πριν χρησιμοποιήσετε το AMGEVITA </w:t>
      </w:r>
    </w:p>
    <w:p w14:paraId="493BEBDC" w14:textId="77777777" w:rsidR="00171824" w:rsidRDefault="006D258C">
      <w:pPr>
        <w:widowControl/>
        <w:numPr>
          <w:ilvl w:val="0"/>
          <w:numId w:val="30"/>
        </w:numPr>
        <w:tabs>
          <w:tab w:val="left" w:pos="567"/>
        </w:tabs>
        <w:kinsoku w:val="0"/>
        <w:overflowPunct w:val="0"/>
        <w:autoSpaceDE/>
        <w:autoSpaceDN/>
        <w:adjustRightInd/>
        <w:ind w:left="567"/>
        <w:rPr>
          <w:sz w:val="22"/>
          <w:szCs w:val="22"/>
          <w:lang w:val="el-GR"/>
        </w:rPr>
      </w:pPr>
      <w:r>
        <w:rPr>
          <w:sz w:val="22"/>
          <w:szCs w:val="22"/>
          <w:lang w:val="el-GR"/>
        </w:rPr>
        <w:t xml:space="preserve">Πώς να χρησιμοποιήσετε το AMGEVITA </w:t>
      </w:r>
    </w:p>
    <w:p w14:paraId="1AD43E53" w14:textId="77777777" w:rsidR="00171824" w:rsidRDefault="006D258C">
      <w:pPr>
        <w:widowControl/>
        <w:numPr>
          <w:ilvl w:val="0"/>
          <w:numId w:val="30"/>
        </w:numPr>
        <w:tabs>
          <w:tab w:val="left" w:pos="567"/>
        </w:tabs>
        <w:kinsoku w:val="0"/>
        <w:overflowPunct w:val="0"/>
        <w:autoSpaceDE/>
        <w:autoSpaceDN/>
        <w:adjustRightInd/>
        <w:ind w:left="567"/>
        <w:rPr>
          <w:sz w:val="22"/>
          <w:szCs w:val="22"/>
          <w:lang w:val="el-GR"/>
        </w:rPr>
      </w:pPr>
      <w:r>
        <w:rPr>
          <w:sz w:val="22"/>
          <w:szCs w:val="22"/>
          <w:lang w:val="el-GR"/>
        </w:rPr>
        <w:t>Πιθανές ανεπιθύμητες ενέργειες</w:t>
      </w:r>
    </w:p>
    <w:p w14:paraId="5B67C31A" w14:textId="77777777" w:rsidR="00171824" w:rsidRDefault="006D258C">
      <w:pPr>
        <w:widowControl/>
        <w:numPr>
          <w:ilvl w:val="0"/>
          <w:numId w:val="30"/>
        </w:numPr>
        <w:tabs>
          <w:tab w:val="left" w:pos="567"/>
        </w:tabs>
        <w:kinsoku w:val="0"/>
        <w:overflowPunct w:val="0"/>
        <w:autoSpaceDE/>
        <w:autoSpaceDN/>
        <w:adjustRightInd/>
        <w:ind w:left="567"/>
        <w:rPr>
          <w:sz w:val="22"/>
          <w:szCs w:val="22"/>
          <w:lang w:val="el-GR"/>
        </w:rPr>
      </w:pPr>
      <w:r>
        <w:rPr>
          <w:sz w:val="22"/>
          <w:szCs w:val="22"/>
          <w:lang w:val="el-GR"/>
        </w:rPr>
        <w:t xml:space="preserve">Πώς να φυλάσσετε το AMGEVITA </w:t>
      </w:r>
    </w:p>
    <w:p w14:paraId="36B4AB31" w14:textId="77777777" w:rsidR="00171824" w:rsidRDefault="006D258C">
      <w:pPr>
        <w:widowControl/>
        <w:numPr>
          <w:ilvl w:val="0"/>
          <w:numId w:val="30"/>
        </w:numPr>
        <w:tabs>
          <w:tab w:val="left" w:pos="567"/>
        </w:tabs>
        <w:kinsoku w:val="0"/>
        <w:overflowPunct w:val="0"/>
        <w:autoSpaceDE/>
        <w:autoSpaceDN/>
        <w:adjustRightInd/>
        <w:ind w:left="567"/>
        <w:rPr>
          <w:sz w:val="22"/>
          <w:szCs w:val="22"/>
          <w:lang w:val="el-GR"/>
        </w:rPr>
      </w:pPr>
      <w:r>
        <w:rPr>
          <w:sz w:val="22"/>
          <w:szCs w:val="22"/>
          <w:lang w:val="el-GR"/>
        </w:rPr>
        <w:t>Περιεχόμενο της συσκευασίας και λοιπές πληροφορίες</w:t>
      </w:r>
    </w:p>
    <w:p w14:paraId="4C183C1C" w14:textId="77777777" w:rsidR="00171824" w:rsidRDefault="00171824">
      <w:pPr>
        <w:widowControl/>
        <w:kinsoku w:val="0"/>
        <w:overflowPunct w:val="0"/>
        <w:rPr>
          <w:sz w:val="22"/>
          <w:szCs w:val="22"/>
          <w:lang w:val="el-GR"/>
        </w:rPr>
      </w:pPr>
    </w:p>
    <w:p w14:paraId="58C6D8AF" w14:textId="77777777" w:rsidR="00171824" w:rsidRDefault="00171824">
      <w:pPr>
        <w:widowControl/>
        <w:kinsoku w:val="0"/>
        <w:overflowPunct w:val="0"/>
        <w:rPr>
          <w:sz w:val="22"/>
          <w:szCs w:val="22"/>
          <w:lang w:val="el-GR"/>
        </w:rPr>
      </w:pPr>
    </w:p>
    <w:p w14:paraId="5F739B99" w14:textId="77777777" w:rsidR="00171824" w:rsidRDefault="006D258C">
      <w:pPr>
        <w:widowControl/>
        <w:numPr>
          <w:ilvl w:val="0"/>
          <w:numId w:val="31"/>
        </w:numPr>
        <w:tabs>
          <w:tab w:val="left" w:pos="567"/>
        </w:tabs>
        <w:kinsoku w:val="0"/>
        <w:overflowPunct w:val="0"/>
        <w:autoSpaceDE/>
        <w:autoSpaceDN/>
        <w:adjustRightInd/>
        <w:ind w:left="567"/>
        <w:outlineLvl w:val="0"/>
        <w:rPr>
          <w:sz w:val="22"/>
          <w:szCs w:val="22"/>
          <w:lang w:val="el-GR"/>
        </w:rPr>
      </w:pPr>
      <w:r>
        <w:rPr>
          <w:b/>
          <w:bCs/>
          <w:sz w:val="22"/>
          <w:szCs w:val="22"/>
          <w:lang w:val="el-GR"/>
        </w:rPr>
        <w:t>Τι είναι το AMGEVITA και ποια είναι η χρήση του</w:t>
      </w:r>
    </w:p>
    <w:p w14:paraId="7125173E" w14:textId="77777777" w:rsidR="00171824" w:rsidRDefault="00171824">
      <w:pPr>
        <w:widowControl/>
        <w:kinsoku w:val="0"/>
        <w:overflowPunct w:val="0"/>
        <w:rPr>
          <w:sz w:val="22"/>
          <w:szCs w:val="22"/>
          <w:lang w:val="el-GR"/>
        </w:rPr>
      </w:pPr>
    </w:p>
    <w:p w14:paraId="36F99D7C" w14:textId="77777777" w:rsidR="00171824" w:rsidRDefault="006D258C">
      <w:pPr>
        <w:widowControl/>
        <w:kinsoku w:val="0"/>
        <w:overflowPunct w:val="0"/>
        <w:rPr>
          <w:sz w:val="22"/>
          <w:szCs w:val="22"/>
          <w:lang w:val="el-GR"/>
        </w:rPr>
      </w:pPr>
      <w:r>
        <w:rPr>
          <w:sz w:val="22"/>
          <w:lang w:val="el-GR"/>
        </w:rPr>
        <w:t xml:space="preserve">Το AMGEVITA περιέχει τη δραστική ουσία adalimumab, ένα φάρμακο που δρα στο ανοσοποιητικό (αμυντικό) σύστημα του οργανισμού σας. </w:t>
      </w:r>
    </w:p>
    <w:p w14:paraId="211B708C" w14:textId="77777777" w:rsidR="00171824" w:rsidRDefault="00171824">
      <w:pPr>
        <w:widowControl/>
        <w:kinsoku w:val="0"/>
        <w:overflowPunct w:val="0"/>
        <w:rPr>
          <w:sz w:val="22"/>
          <w:szCs w:val="22"/>
          <w:lang w:val="el-GR"/>
        </w:rPr>
      </w:pPr>
    </w:p>
    <w:p w14:paraId="34B95DD0" w14:textId="77777777" w:rsidR="00171824" w:rsidRDefault="006D258C">
      <w:pPr>
        <w:pStyle w:val="BodyText"/>
        <w:widowControl/>
        <w:kinsoku w:val="0"/>
        <w:overflowPunct w:val="0"/>
        <w:ind w:left="0"/>
        <w:rPr>
          <w:lang w:val="el-GR"/>
        </w:rPr>
      </w:pPr>
      <w:r>
        <w:rPr>
          <w:lang w:val="el-GR"/>
        </w:rPr>
        <w:t xml:space="preserve">Το AMGEVITA προορίζεται για τη θεραπεία των φλεγμονώδων νοσημάτων που περιγράφονται παρακάτω: </w:t>
      </w:r>
    </w:p>
    <w:p w14:paraId="4650BBD2" w14:textId="77777777" w:rsidR="00171824" w:rsidRDefault="006D258C">
      <w:pPr>
        <w:pStyle w:val="BodyText"/>
        <w:widowControl/>
        <w:numPr>
          <w:ilvl w:val="0"/>
          <w:numId w:val="23"/>
        </w:numPr>
        <w:kinsoku w:val="0"/>
        <w:overflowPunct w:val="0"/>
        <w:ind w:left="567" w:hanging="567"/>
        <w:rPr>
          <w:lang w:val="el-GR"/>
        </w:rPr>
      </w:pPr>
      <w:r>
        <w:rPr>
          <w:lang w:val="el-GR"/>
        </w:rPr>
        <w:t>Ρευματοειδής αρθρίτιδα</w:t>
      </w:r>
    </w:p>
    <w:p w14:paraId="2242372A" w14:textId="77777777" w:rsidR="00171824" w:rsidRDefault="006D258C">
      <w:pPr>
        <w:pStyle w:val="BodyText"/>
        <w:widowControl/>
        <w:numPr>
          <w:ilvl w:val="0"/>
          <w:numId w:val="23"/>
        </w:numPr>
        <w:kinsoku w:val="0"/>
        <w:overflowPunct w:val="0"/>
        <w:ind w:left="567" w:hanging="567"/>
        <w:rPr>
          <w:lang w:val="el-GR"/>
        </w:rPr>
      </w:pPr>
      <w:r>
        <w:rPr>
          <w:lang w:val="el-GR"/>
        </w:rPr>
        <w:t>Πολυαρθρική νεανική ιδιοπαθής αρθρίτιδα</w:t>
      </w:r>
    </w:p>
    <w:p w14:paraId="614B11DC" w14:textId="77777777" w:rsidR="00171824" w:rsidRDefault="006D258C">
      <w:pPr>
        <w:pStyle w:val="BodyText"/>
        <w:widowControl/>
        <w:numPr>
          <w:ilvl w:val="0"/>
          <w:numId w:val="23"/>
        </w:numPr>
        <w:kinsoku w:val="0"/>
        <w:overflowPunct w:val="0"/>
        <w:ind w:left="567" w:hanging="567"/>
        <w:rPr>
          <w:lang w:val="el-GR"/>
        </w:rPr>
      </w:pPr>
      <w:r>
        <w:rPr>
          <w:lang w:val="el-GR"/>
        </w:rPr>
        <w:t>Αρθρίτιδα σχετιζόμενη με ενθεσίτιδα</w:t>
      </w:r>
    </w:p>
    <w:p w14:paraId="17F90954" w14:textId="77777777" w:rsidR="00171824" w:rsidRDefault="006D258C">
      <w:pPr>
        <w:pStyle w:val="BodyText"/>
        <w:widowControl/>
        <w:numPr>
          <w:ilvl w:val="0"/>
          <w:numId w:val="23"/>
        </w:numPr>
        <w:kinsoku w:val="0"/>
        <w:overflowPunct w:val="0"/>
        <w:ind w:left="567" w:hanging="567"/>
        <w:rPr>
          <w:lang w:val="el-GR"/>
        </w:rPr>
      </w:pPr>
      <w:r>
        <w:rPr>
          <w:lang w:val="el-GR"/>
        </w:rPr>
        <w:t>Αγκυλοποιητική σπονδυλίτιδα</w:t>
      </w:r>
    </w:p>
    <w:p w14:paraId="47E79E47" w14:textId="77777777" w:rsidR="00171824" w:rsidRDefault="006D258C">
      <w:pPr>
        <w:pStyle w:val="BodyText"/>
        <w:widowControl/>
        <w:numPr>
          <w:ilvl w:val="0"/>
          <w:numId w:val="23"/>
        </w:numPr>
        <w:kinsoku w:val="0"/>
        <w:overflowPunct w:val="0"/>
        <w:ind w:left="567" w:hanging="567"/>
        <w:rPr>
          <w:lang w:val="el-GR"/>
        </w:rPr>
      </w:pPr>
      <w:r>
        <w:rPr>
          <w:lang w:val="el-GR"/>
        </w:rPr>
        <w:t>Αξονική σπονδυλαρθρίτιδα χωρίς ακτινολογικά ευρήματα αγκυλοποιητικής σπονδυλίτιδας</w:t>
      </w:r>
    </w:p>
    <w:p w14:paraId="1BAFDD91" w14:textId="77777777" w:rsidR="00171824" w:rsidRDefault="006D258C">
      <w:pPr>
        <w:pStyle w:val="BodyText"/>
        <w:widowControl/>
        <w:numPr>
          <w:ilvl w:val="0"/>
          <w:numId w:val="23"/>
        </w:numPr>
        <w:kinsoku w:val="0"/>
        <w:overflowPunct w:val="0"/>
        <w:ind w:left="567" w:hanging="567"/>
        <w:rPr>
          <w:lang w:val="el-GR"/>
        </w:rPr>
      </w:pPr>
      <w:r>
        <w:rPr>
          <w:lang w:val="el-GR"/>
        </w:rPr>
        <w:t>Ψωριασική αρθρίτιδα</w:t>
      </w:r>
    </w:p>
    <w:p w14:paraId="44D3BA00" w14:textId="77777777" w:rsidR="00171824" w:rsidRDefault="006D258C">
      <w:pPr>
        <w:pStyle w:val="BodyText"/>
        <w:widowControl/>
        <w:numPr>
          <w:ilvl w:val="0"/>
          <w:numId w:val="23"/>
        </w:numPr>
        <w:kinsoku w:val="0"/>
        <w:overflowPunct w:val="0"/>
        <w:ind w:left="567" w:hanging="567"/>
        <w:rPr>
          <w:lang w:val="el-GR"/>
        </w:rPr>
      </w:pPr>
      <w:r>
        <w:rPr>
          <w:lang w:val="el-GR"/>
        </w:rPr>
        <w:t xml:space="preserve">Ψωρίαση κατά πλάκας </w:t>
      </w:r>
    </w:p>
    <w:p w14:paraId="09935FEE" w14:textId="77777777" w:rsidR="00171824" w:rsidRDefault="006D258C">
      <w:pPr>
        <w:pStyle w:val="BodyText"/>
        <w:widowControl/>
        <w:numPr>
          <w:ilvl w:val="0"/>
          <w:numId w:val="23"/>
        </w:numPr>
        <w:kinsoku w:val="0"/>
        <w:overflowPunct w:val="0"/>
        <w:ind w:left="567" w:hanging="567"/>
        <w:rPr>
          <w:lang w:val="el-GR"/>
        </w:rPr>
      </w:pPr>
      <w:r>
        <w:rPr>
          <w:lang w:val="el-GR"/>
        </w:rPr>
        <w:t>Διαπυητική ιδρωταδενίτιδα</w:t>
      </w:r>
    </w:p>
    <w:p w14:paraId="75D3DD56" w14:textId="77777777" w:rsidR="00171824" w:rsidRDefault="006D258C">
      <w:pPr>
        <w:pStyle w:val="BodyText"/>
        <w:widowControl/>
        <w:numPr>
          <w:ilvl w:val="0"/>
          <w:numId w:val="23"/>
        </w:numPr>
        <w:kinsoku w:val="0"/>
        <w:overflowPunct w:val="0"/>
        <w:ind w:left="567" w:hanging="567"/>
        <w:rPr>
          <w:lang w:val="el-GR"/>
        </w:rPr>
      </w:pPr>
      <w:r>
        <w:rPr>
          <w:lang w:val="el-GR"/>
        </w:rPr>
        <w:t xml:space="preserve">Νόσος του Crohn </w:t>
      </w:r>
    </w:p>
    <w:p w14:paraId="5BDF2F11" w14:textId="77777777" w:rsidR="00171824" w:rsidRDefault="006D258C">
      <w:pPr>
        <w:pStyle w:val="BodyText"/>
        <w:widowControl/>
        <w:numPr>
          <w:ilvl w:val="0"/>
          <w:numId w:val="23"/>
        </w:numPr>
        <w:kinsoku w:val="0"/>
        <w:overflowPunct w:val="0"/>
        <w:ind w:left="567" w:hanging="567"/>
        <w:rPr>
          <w:lang w:val="el-GR"/>
        </w:rPr>
      </w:pPr>
      <w:r>
        <w:rPr>
          <w:lang w:val="el-GR"/>
        </w:rPr>
        <w:t>Ελκώδης κολίτιδα</w:t>
      </w:r>
    </w:p>
    <w:p w14:paraId="1C1D7EB6" w14:textId="77777777" w:rsidR="00171824" w:rsidRDefault="006D258C">
      <w:pPr>
        <w:pStyle w:val="BodyText"/>
        <w:widowControl/>
        <w:numPr>
          <w:ilvl w:val="0"/>
          <w:numId w:val="23"/>
        </w:numPr>
        <w:kinsoku w:val="0"/>
        <w:overflowPunct w:val="0"/>
        <w:ind w:left="567" w:hanging="567"/>
        <w:rPr>
          <w:lang w:val="el-GR"/>
        </w:rPr>
      </w:pPr>
      <w:r>
        <w:rPr>
          <w:lang w:val="el-GR"/>
        </w:rPr>
        <w:t>Μη λοιμώδης ραγοειδίτιδα</w:t>
      </w:r>
    </w:p>
    <w:p w14:paraId="3292D64C" w14:textId="77777777" w:rsidR="00171824" w:rsidRDefault="00171824">
      <w:pPr>
        <w:widowControl/>
        <w:kinsoku w:val="0"/>
        <w:overflowPunct w:val="0"/>
        <w:rPr>
          <w:sz w:val="22"/>
          <w:szCs w:val="22"/>
          <w:lang w:val="el-GR"/>
        </w:rPr>
      </w:pPr>
    </w:p>
    <w:p w14:paraId="4633F4B4" w14:textId="77777777" w:rsidR="00171824" w:rsidRDefault="006D258C">
      <w:pPr>
        <w:widowControl/>
        <w:kinsoku w:val="0"/>
        <w:overflowPunct w:val="0"/>
        <w:rPr>
          <w:sz w:val="22"/>
          <w:szCs w:val="22"/>
          <w:lang w:val="el-GR"/>
        </w:rPr>
      </w:pPr>
      <w:r>
        <w:rPr>
          <w:sz w:val="22"/>
          <w:szCs w:val="22"/>
          <w:lang w:val="el-GR"/>
        </w:rPr>
        <w:t xml:space="preserve">Η δραστική ουσία, στο AMGEVITA, το adalimumab, είναι ένα ανθρώπινο μονοκλωνικό αντίσωμα. Τα μονοκλωνικά αντισώματα είναι πρωτεΐνες που συνδέονται με ένα συγκεκριμένο στόχο. </w:t>
      </w:r>
    </w:p>
    <w:p w14:paraId="523F8816" w14:textId="77777777" w:rsidR="00171824" w:rsidRDefault="00171824">
      <w:pPr>
        <w:widowControl/>
        <w:kinsoku w:val="0"/>
        <w:overflowPunct w:val="0"/>
        <w:rPr>
          <w:sz w:val="22"/>
          <w:szCs w:val="22"/>
          <w:lang w:val="el-GR"/>
        </w:rPr>
      </w:pPr>
    </w:p>
    <w:p w14:paraId="6A54A701" w14:textId="77777777" w:rsidR="00171824" w:rsidRDefault="006D258C">
      <w:pPr>
        <w:widowControl/>
        <w:kinsoku w:val="0"/>
        <w:overflowPunct w:val="0"/>
        <w:rPr>
          <w:sz w:val="22"/>
          <w:szCs w:val="22"/>
          <w:lang w:val="el-GR"/>
        </w:rPr>
      </w:pPr>
      <w:r>
        <w:rPr>
          <w:sz w:val="22"/>
          <w:szCs w:val="22"/>
          <w:lang w:val="el-GR"/>
        </w:rPr>
        <w:t>Ο στόχος του adalimumab είναι μια πρωτεΐνη (που ονομάζεται παράγοντας νέκρωσης των όγκων (TNFα), η οποία εμπλέκεται στο ανοσολογικό (αμυντικό) σύστημα</w:t>
      </w:r>
      <w:r>
        <w:rPr>
          <w:rFonts w:ascii="Arial" w:hAnsi="Arial" w:cs="Arial"/>
          <w:color w:val="222222"/>
          <w:sz w:val="22"/>
          <w:lang w:val="el-GR"/>
        </w:rPr>
        <w:t xml:space="preserve"> </w:t>
      </w:r>
      <w:r>
        <w:rPr>
          <w:sz w:val="22"/>
          <w:szCs w:val="22"/>
          <w:lang w:val="el-GR"/>
        </w:rPr>
        <w:t>και παρουσιάζεται σε αυξημένα επίπεδα σε φλεγμονώδεις νόσους, που αναφέρονται ανωτέρω.</w:t>
      </w:r>
    </w:p>
    <w:p w14:paraId="4C97CA99" w14:textId="77777777" w:rsidR="00171824" w:rsidRDefault="00171824">
      <w:pPr>
        <w:widowControl/>
        <w:kinsoku w:val="0"/>
        <w:overflowPunct w:val="0"/>
        <w:rPr>
          <w:sz w:val="22"/>
          <w:szCs w:val="22"/>
          <w:lang w:val="el-GR"/>
        </w:rPr>
      </w:pPr>
    </w:p>
    <w:p w14:paraId="7644255F" w14:textId="77777777" w:rsidR="00171824" w:rsidRDefault="006D258C">
      <w:pPr>
        <w:widowControl/>
        <w:kinsoku w:val="0"/>
        <w:overflowPunct w:val="0"/>
        <w:rPr>
          <w:sz w:val="22"/>
          <w:szCs w:val="22"/>
          <w:lang w:val="el-GR"/>
        </w:rPr>
      </w:pPr>
      <w:r>
        <w:rPr>
          <w:sz w:val="22"/>
          <w:szCs w:val="22"/>
          <w:u w:val="single"/>
          <w:lang w:val="el-GR"/>
        </w:rPr>
        <w:lastRenderedPageBreak/>
        <w:t>Ρευματοειδής αρθρίτιδα</w:t>
      </w:r>
    </w:p>
    <w:p w14:paraId="2F5AACE4" w14:textId="77777777" w:rsidR="00171824" w:rsidRDefault="00171824">
      <w:pPr>
        <w:widowControl/>
        <w:kinsoku w:val="0"/>
        <w:overflowPunct w:val="0"/>
        <w:rPr>
          <w:sz w:val="22"/>
          <w:szCs w:val="22"/>
          <w:lang w:val="el-GR"/>
        </w:rPr>
      </w:pPr>
    </w:p>
    <w:p w14:paraId="44A77893" w14:textId="77777777" w:rsidR="00171824" w:rsidRDefault="006D258C">
      <w:pPr>
        <w:widowControl/>
        <w:kinsoku w:val="0"/>
        <w:overflowPunct w:val="0"/>
        <w:rPr>
          <w:sz w:val="22"/>
          <w:szCs w:val="22"/>
          <w:lang w:val="el-GR"/>
        </w:rPr>
      </w:pPr>
      <w:r>
        <w:rPr>
          <w:sz w:val="22"/>
          <w:szCs w:val="22"/>
          <w:lang w:val="el-GR"/>
        </w:rPr>
        <w:t>Η ρευματοειδής αρθρίτιδα είναι μια φλεγμονώδης νόσος των αρθρώσεων.</w:t>
      </w:r>
    </w:p>
    <w:p w14:paraId="67C97FC2" w14:textId="77777777" w:rsidR="00171824" w:rsidRDefault="00171824">
      <w:pPr>
        <w:widowControl/>
        <w:kinsoku w:val="0"/>
        <w:overflowPunct w:val="0"/>
        <w:rPr>
          <w:sz w:val="22"/>
          <w:szCs w:val="22"/>
          <w:lang w:val="el-GR"/>
        </w:rPr>
      </w:pPr>
    </w:p>
    <w:p w14:paraId="383725F2"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ρευματοειδούς αρθρίτιδας στους ενήλικες. Εάν υποφέρετε από μετρίως έως σοβαρή ενεργό ρευματοειδή αρθρίτιδα, μπορεί αρχικά να σας χορηγηθούν άλλα τροποποιητικά της νόσου φάρμακα, όπως η μεθοτρεξάτη. Εάν δεν ανταποκριθείτε ικανοποιητικά σε αυτά τα φάρμακα, θα σας χορηγηθεί το AMGEVITA για τη θεραπεία της ρευματοειδούς αρθρίτιδας.</w:t>
      </w:r>
    </w:p>
    <w:p w14:paraId="36B7810B" w14:textId="77777777" w:rsidR="00171824" w:rsidRDefault="00171824">
      <w:pPr>
        <w:widowControl/>
        <w:kinsoku w:val="0"/>
        <w:overflowPunct w:val="0"/>
        <w:rPr>
          <w:sz w:val="22"/>
          <w:szCs w:val="22"/>
          <w:lang w:val="el-GR"/>
        </w:rPr>
      </w:pPr>
    </w:p>
    <w:p w14:paraId="38DE4B74" w14:textId="77777777" w:rsidR="00171824" w:rsidRDefault="006D258C">
      <w:pPr>
        <w:widowControl/>
        <w:kinsoku w:val="0"/>
        <w:overflowPunct w:val="0"/>
        <w:rPr>
          <w:sz w:val="22"/>
          <w:szCs w:val="22"/>
          <w:lang w:val="el-GR"/>
        </w:rPr>
      </w:pPr>
      <w:r>
        <w:rPr>
          <w:sz w:val="22"/>
          <w:szCs w:val="22"/>
          <w:lang w:val="el-GR"/>
        </w:rPr>
        <w:t>Το AMGEVITA μπορεί επίσης να χορηγηθεί για τη θεραπεία της σοβαρής, ενεργού και εξελισσόμενης ρευματοειδούς αρθρίτιδας χωρίς να έχει προηγηθεί θεραπεία με μεθοτρεξάτη.</w:t>
      </w:r>
    </w:p>
    <w:p w14:paraId="43016D6B" w14:textId="77777777" w:rsidR="00171824" w:rsidRDefault="00171824">
      <w:pPr>
        <w:widowControl/>
        <w:kinsoku w:val="0"/>
        <w:overflowPunct w:val="0"/>
        <w:rPr>
          <w:sz w:val="22"/>
          <w:szCs w:val="22"/>
          <w:lang w:val="el-GR"/>
        </w:rPr>
      </w:pPr>
    </w:p>
    <w:p w14:paraId="28CF7844" w14:textId="77777777" w:rsidR="00171824" w:rsidRDefault="006D258C">
      <w:pPr>
        <w:widowControl/>
        <w:kinsoku w:val="0"/>
        <w:overflowPunct w:val="0"/>
        <w:rPr>
          <w:sz w:val="22"/>
          <w:szCs w:val="22"/>
          <w:lang w:val="el-GR"/>
        </w:rPr>
      </w:pPr>
      <w:r>
        <w:rPr>
          <w:sz w:val="22"/>
          <w:szCs w:val="22"/>
          <w:lang w:val="el-GR"/>
        </w:rPr>
        <w:t>Το AMGEVITA επιβραδύνει τις βλάβες στο χόνδρο και στα οστά των αρθρώσεών σας που προκαλούνται από τη νόσο και βελτιώνει τη λειτουργικότητα.</w:t>
      </w:r>
    </w:p>
    <w:p w14:paraId="3A458CBD" w14:textId="77777777" w:rsidR="00171824" w:rsidRDefault="00171824">
      <w:pPr>
        <w:widowControl/>
        <w:kinsoku w:val="0"/>
        <w:overflowPunct w:val="0"/>
        <w:rPr>
          <w:sz w:val="22"/>
          <w:szCs w:val="22"/>
          <w:lang w:val="el-GR"/>
        </w:rPr>
      </w:pPr>
    </w:p>
    <w:p w14:paraId="193505CE" w14:textId="77777777" w:rsidR="00171824" w:rsidRDefault="006D258C">
      <w:pPr>
        <w:widowControl/>
        <w:kinsoku w:val="0"/>
        <w:overflowPunct w:val="0"/>
        <w:rPr>
          <w:sz w:val="22"/>
          <w:szCs w:val="22"/>
          <w:lang w:val="el-GR"/>
        </w:rPr>
      </w:pPr>
      <w:r>
        <w:rPr>
          <w:sz w:val="22"/>
          <w:szCs w:val="22"/>
          <w:lang w:val="el-GR"/>
        </w:rPr>
        <w:t>Συνήθως το AMGEVITA χορηγείται με μεθοτρεξάτη. Εάν ο γιατρός σας καθορίσει ότι η χορήγηση της μεθοτρεξάτης είναι ακατάλληλη, τότε το AMGEVITA μπορεί να χορηγηθεί μόνο του.</w:t>
      </w:r>
    </w:p>
    <w:p w14:paraId="222C6CD4" w14:textId="77777777" w:rsidR="00171824" w:rsidRDefault="00171824">
      <w:pPr>
        <w:widowControl/>
        <w:kinsoku w:val="0"/>
        <w:overflowPunct w:val="0"/>
        <w:rPr>
          <w:sz w:val="22"/>
          <w:szCs w:val="22"/>
          <w:lang w:val="el-GR"/>
        </w:rPr>
      </w:pPr>
    </w:p>
    <w:p w14:paraId="1D57D550" w14:textId="77777777" w:rsidR="00171824" w:rsidRDefault="006D258C">
      <w:pPr>
        <w:widowControl/>
        <w:kinsoku w:val="0"/>
        <w:overflowPunct w:val="0"/>
        <w:rPr>
          <w:sz w:val="22"/>
          <w:szCs w:val="22"/>
          <w:lang w:val="el-GR"/>
        </w:rPr>
      </w:pPr>
      <w:r>
        <w:rPr>
          <w:sz w:val="22"/>
          <w:szCs w:val="22"/>
          <w:u w:val="single"/>
          <w:lang w:val="el-GR"/>
        </w:rPr>
        <w:t>Πολυαρθρική νεανική ιδιοπαθής αρθρίτιδα και της αρθρίτιδας σχετιζόμενης με ενθεσίτιδα</w:t>
      </w:r>
    </w:p>
    <w:p w14:paraId="4D9F1ECD" w14:textId="77777777" w:rsidR="00171824" w:rsidRDefault="00171824">
      <w:pPr>
        <w:widowControl/>
        <w:kinsoku w:val="0"/>
        <w:overflowPunct w:val="0"/>
        <w:rPr>
          <w:sz w:val="22"/>
          <w:szCs w:val="22"/>
          <w:lang w:val="el-GR"/>
        </w:rPr>
      </w:pPr>
    </w:p>
    <w:p w14:paraId="6C6D75E9" w14:textId="77777777" w:rsidR="00171824" w:rsidRDefault="006D258C">
      <w:pPr>
        <w:widowControl/>
        <w:kinsoku w:val="0"/>
        <w:overflowPunct w:val="0"/>
        <w:rPr>
          <w:sz w:val="22"/>
          <w:szCs w:val="22"/>
          <w:lang w:val="el-GR"/>
        </w:rPr>
      </w:pPr>
      <w:r>
        <w:rPr>
          <w:sz w:val="22"/>
          <w:szCs w:val="22"/>
          <w:lang w:val="el-GR"/>
        </w:rPr>
        <w:t>Η πολυαρθρική νεανική ιδιοπαθής αρθρίτιδα και της αρθρίτιδας σχετιζόμενης με ενθεσίτιδα είναι φλεγμονώδεις νόσοι των αρθρώσεων που συνήθως εμφανίζονται για πρώτη φορά στην παιδική ηλικία.</w:t>
      </w:r>
    </w:p>
    <w:p w14:paraId="3E516AE0" w14:textId="77777777" w:rsidR="00171824" w:rsidRDefault="00171824">
      <w:pPr>
        <w:widowControl/>
        <w:kinsoku w:val="0"/>
        <w:overflowPunct w:val="0"/>
        <w:rPr>
          <w:sz w:val="22"/>
          <w:szCs w:val="22"/>
          <w:lang w:val="el-GR"/>
        </w:rPr>
      </w:pPr>
    </w:p>
    <w:p w14:paraId="547DD756"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πολυαρθρικής νεανικής ιδιοπαθούς αρθρίτιδας σε ασθενείς από την ηλικία των 2 ετών και της αρθρίτιδας σχετιζόμενης με ενθεσίτιδα σε ασθενείς από την ηλικία των 6 ετών. Μπορεί να λάβετε πρώτα άλλα τροποποιητικά της νόσου φάρμακα όπως μεθοτρεξάτη. Εάν δεν ανταποκριθείτε αρκετά καλά στα φάρμακα αυτά, θα σας χορηγηθεί το AMGEVITA για τη θεραπεία της πολυαρθρικής νεανικής ιδιοπαθούς αρθρίτιδάς σας και της αρθρίτιδας σχετιζόμενης με ενθεσίτιδα.</w:t>
      </w:r>
    </w:p>
    <w:p w14:paraId="7ABACE6A" w14:textId="77777777" w:rsidR="00171824" w:rsidRDefault="00171824">
      <w:pPr>
        <w:widowControl/>
        <w:kinsoku w:val="0"/>
        <w:overflowPunct w:val="0"/>
        <w:rPr>
          <w:sz w:val="22"/>
          <w:szCs w:val="22"/>
          <w:lang w:val="el-GR"/>
        </w:rPr>
      </w:pPr>
    </w:p>
    <w:p w14:paraId="6B8D9FFB" w14:textId="77777777" w:rsidR="00171824" w:rsidRDefault="006D258C">
      <w:pPr>
        <w:widowControl/>
        <w:kinsoku w:val="0"/>
        <w:overflowPunct w:val="0"/>
        <w:rPr>
          <w:sz w:val="22"/>
          <w:szCs w:val="22"/>
          <w:lang w:val="el-GR"/>
        </w:rPr>
      </w:pPr>
      <w:r>
        <w:rPr>
          <w:sz w:val="22"/>
          <w:szCs w:val="22"/>
          <w:u w:val="single"/>
          <w:lang w:val="el-GR"/>
        </w:rPr>
        <w:t>Αγκυλοποιητική σπονδυλίτιδα και αξονική σπονδυλαρθρίτιδα χωρίς ακτινολογικά ευρήματα</w:t>
      </w:r>
      <w:r>
        <w:rPr>
          <w:sz w:val="22"/>
          <w:szCs w:val="22"/>
          <w:lang w:val="el-GR"/>
        </w:rPr>
        <w:t xml:space="preserve"> </w:t>
      </w:r>
      <w:r>
        <w:rPr>
          <w:sz w:val="22"/>
          <w:szCs w:val="22"/>
          <w:u w:val="single"/>
          <w:lang w:val="el-GR"/>
        </w:rPr>
        <w:t>αγκυλοποιητικής σπονδυλίτιδας</w:t>
      </w:r>
    </w:p>
    <w:p w14:paraId="333F5A8B" w14:textId="77777777" w:rsidR="00171824" w:rsidRDefault="00171824">
      <w:pPr>
        <w:widowControl/>
        <w:kinsoku w:val="0"/>
        <w:overflowPunct w:val="0"/>
        <w:rPr>
          <w:sz w:val="22"/>
          <w:szCs w:val="22"/>
          <w:lang w:val="el-GR"/>
        </w:rPr>
      </w:pPr>
    </w:p>
    <w:p w14:paraId="208151CD" w14:textId="77777777" w:rsidR="00171824" w:rsidRDefault="006D258C">
      <w:pPr>
        <w:widowControl/>
        <w:kinsoku w:val="0"/>
        <w:overflowPunct w:val="0"/>
        <w:rPr>
          <w:sz w:val="22"/>
          <w:szCs w:val="22"/>
          <w:lang w:val="el-GR"/>
        </w:rPr>
      </w:pPr>
      <w:r>
        <w:rPr>
          <w:sz w:val="22"/>
          <w:szCs w:val="22"/>
          <w:lang w:val="el-GR"/>
        </w:rPr>
        <w:t>Η αγκυλοποιητική σπονδυλίτιδα και η αξονική σπονδυλαρθρίτιδα χωρίς ακτινολογικά ευρήματα αγκυλοποιητικής σπονδυλίτιδας είναι φλεγμονώδεις νόσοι της σπονδυλικής στήλης.</w:t>
      </w:r>
    </w:p>
    <w:p w14:paraId="1C2BEE01" w14:textId="77777777" w:rsidR="00171824" w:rsidRDefault="00171824">
      <w:pPr>
        <w:widowControl/>
        <w:kinsoku w:val="0"/>
        <w:overflowPunct w:val="0"/>
        <w:rPr>
          <w:sz w:val="22"/>
          <w:szCs w:val="22"/>
          <w:lang w:val="el-GR"/>
        </w:rPr>
      </w:pPr>
    </w:p>
    <w:p w14:paraId="5C566F9B"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αγκυλοποιητικής σπονδυλίτιδας και της αξονικής σπονδυλαρθρίτιδας χωρίς ακτινολογικά ευρήματα αγκυλοποιητικής σπονδυλίτιδας στους ενήλικες. Εάν πάσχετε από αγκυλοποιητική σπονδυλίτιδα ή αξονική σπονδυλαρθρίτιδα χωρίς ακτινολογικά ευρήματα αγκυλοποιητικής σπονδυλίτιδας, θα σας χορηγηθούν αρχικά άλλα φάρμακα. Εάν δεν ανταποκριθείτε αρκετά καλά σε αυτά, θα σας χορηγηθεί AMGEVITA ώστε να μειωθούν τα σημεία και τα συμπτώματα της νόσου σας.</w:t>
      </w:r>
    </w:p>
    <w:p w14:paraId="7B0485F1" w14:textId="77777777" w:rsidR="00171824" w:rsidRDefault="00171824">
      <w:pPr>
        <w:widowControl/>
        <w:kinsoku w:val="0"/>
        <w:overflowPunct w:val="0"/>
        <w:rPr>
          <w:sz w:val="22"/>
          <w:szCs w:val="22"/>
          <w:lang w:val="el-GR"/>
        </w:rPr>
      </w:pPr>
    </w:p>
    <w:p w14:paraId="77935952" w14:textId="77777777" w:rsidR="00171824" w:rsidRDefault="006D258C">
      <w:pPr>
        <w:widowControl/>
        <w:kinsoku w:val="0"/>
        <w:overflowPunct w:val="0"/>
        <w:rPr>
          <w:sz w:val="22"/>
          <w:szCs w:val="22"/>
          <w:lang w:val="el-GR"/>
        </w:rPr>
      </w:pPr>
      <w:r>
        <w:rPr>
          <w:sz w:val="22"/>
          <w:szCs w:val="22"/>
          <w:u w:val="single"/>
          <w:lang w:val="el-GR"/>
        </w:rPr>
        <w:t>Ψωριασική αρθρίτιδα</w:t>
      </w:r>
    </w:p>
    <w:p w14:paraId="6AD698D8" w14:textId="77777777" w:rsidR="00171824" w:rsidRDefault="00171824">
      <w:pPr>
        <w:widowControl/>
        <w:kinsoku w:val="0"/>
        <w:overflowPunct w:val="0"/>
        <w:rPr>
          <w:sz w:val="22"/>
          <w:szCs w:val="22"/>
          <w:lang w:val="el-GR"/>
        </w:rPr>
      </w:pPr>
    </w:p>
    <w:p w14:paraId="45B292A0" w14:textId="77777777" w:rsidR="00171824" w:rsidRDefault="006D258C">
      <w:pPr>
        <w:widowControl/>
        <w:kinsoku w:val="0"/>
        <w:overflowPunct w:val="0"/>
        <w:rPr>
          <w:sz w:val="22"/>
          <w:szCs w:val="22"/>
          <w:lang w:val="el-GR"/>
        </w:rPr>
      </w:pPr>
      <w:r>
        <w:rPr>
          <w:sz w:val="22"/>
          <w:szCs w:val="22"/>
          <w:lang w:val="el-GR"/>
        </w:rPr>
        <w:t>Η ψωριασική αρθρίτιδα είναι μια φλεγμονή των αρθρώσεων που συνδέεται με ψωρίαση.</w:t>
      </w:r>
    </w:p>
    <w:p w14:paraId="6EAFDD36" w14:textId="77777777" w:rsidR="00171824" w:rsidRDefault="00171824">
      <w:pPr>
        <w:widowControl/>
        <w:kinsoku w:val="0"/>
        <w:overflowPunct w:val="0"/>
        <w:rPr>
          <w:sz w:val="22"/>
          <w:szCs w:val="22"/>
          <w:lang w:val="el-GR"/>
        </w:rPr>
      </w:pPr>
    </w:p>
    <w:p w14:paraId="6BC65FB1"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ψωριασικής αρθρίτιδας στους ενήλικες. Το AMGEVITA επιβραδύνει τις βλάβες στο χόνδρο και στα οστά των αρθρώσεών σας που προκαλούνται από τη νόσο και βελτιώνει τη λειτουργικότητα.</w:t>
      </w:r>
    </w:p>
    <w:p w14:paraId="34520BE7" w14:textId="77777777" w:rsidR="00171824" w:rsidRDefault="00171824">
      <w:pPr>
        <w:widowControl/>
        <w:kinsoku w:val="0"/>
        <w:overflowPunct w:val="0"/>
        <w:rPr>
          <w:sz w:val="22"/>
          <w:szCs w:val="22"/>
          <w:lang w:val="el-GR"/>
        </w:rPr>
      </w:pPr>
    </w:p>
    <w:p w14:paraId="4A9F6779" w14:textId="77777777" w:rsidR="00171824" w:rsidRDefault="006D258C">
      <w:pPr>
        <w:keepNext/>
        <w:widowControl/>
        <w:kinsoku w:val="0"/>
        <w:overflowPunct w:val="0"/>
        <w:rPr>
          <w:sz w:val="22"/>
          <w:szCs w:val="22"/>
          <w:lang w:val="el-GR"/>
        </w:rPr>
      </w:pPr>
      <w:r>
        <w:rPr>
          <w:sz w:val="22"/>
          <w:szCs w:val="22"/>
          <w:u w:val="single"/>
          <w:lang w:val="el-GR"/>
        </w:rPr>
        <w:t>Ψωρίαση κατά πλάκας σε ενήλικες και παιδιά</w:t>
      </w:r>
    </w:p>
    <w:p w14:paraId="60515C87" w14:textId="77777777" w:rsidR="00171824" w:rsidRDefault="00171824">
      <w:pPr>
        <w:keepNext/>
        <w:widowControl/>
        <w:kinsoku w:val="0"/>
        <w:overflowPunct w:val="0"/>
        <w:rPr>
          <w:sz w:val="22"/>
          <w:szCs w:val="22"/>
          <w:lang w:val="el-GR"/>
        </w:rPr>
      </w:pPr>
    </w:p>
    <w:p w14:paraId="2C57A380" w14:textId="77777777" w:rsidR="00171824" w:rsidRDefault="006D258C">
      <w:pPr>
        <w:widowControl/>
        <w:kinsoku w:val="0"/>
        <w:overflowPunct w:val="0"/>
        <w:rPr>
          <w:sz w:val="22"/>
          <w:szCs w:val="22"/>
          <w:lang w:val="el-GR"/>
        </w:rPr>
      </w:pPr>
      <w:r>
        <w:rPr>
          <w:sz w:val="22"/>
          <w:szCs w:val="22"/>
          <w:lang w:val="el-GR"/>
        </w:rPr>
        <w:t xml:space="preserve">Η ψωρίαση κατά πλάκας είναι μια δερματοπάθεια που προκαλεί ερυθρές, φολιδωτές, λεπιδώδεις πλάκες δέρματος που καλύπτονται από αργυρόχροα λέπια. Η ψωρίαση κατά πλάκας μπορεί επίσης να </w:t>
      </w:r>
      <w:r>
        <w:rPr>
          <w:sz w:val="22"/>
          <w:szCs w:val="22"/>
          <w:lang w:val="el-GR"/>
        </w:rPr>
        <w:lastRenderedPageBreak/>
        <w:t>προσβάλει τα νύχια, προκαλώντας απώλεια του νυχιού, πάχυνση και αποκόλληση από την κοίτη του νυχιού, το οποίο μπορεί να είναι επώδυνο.</w:t>
      </w:r>
      <w:r>
        <w:rPr>
          <w:sz w:val="22"/>
          <w:lang w:val="el-GR"/>
        </w:rPr>
        <w:t xml:space="preserve"> </w:t>
      </w:r>
      <w:r>
        <w:rPr>
          <w:sz w:val="22"/>
          <w:szCs w:val="22"/>
          <w:lang w:val="el-GR"/>
        </w:rPr>
        <w:t>Η ψωρίαση πιστεύεται ότι προκαλείται από ένα πρόβλημα στο ανοσοποιητικό σύστημα του οργανισμού, που οδηγεί σε αυξημένη παραγωγή επιδερμιδικών κυττάρων.</w:t>
      </w:r>
    </w:p>
    <w:p w14:paraId="39283407" w14:textId="77777777" w:rsidR="00171824" w:rsidRDefault="00171824">
      <w:pPr>
        <w:widowControl/>
        <w:kinsoku w:val="0"/>
        <w:overflowPunct w:val="0"/>
        <w:rPr>
          <w:sz w:val="22"/>
          <w:szCs w:val="22"/>
          <w:lang w:val="el-GR"/>
        </w:rPr>
      </w:pPr>
    </w:p>
    <w:p w14:paraId="5660B1CE"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μέτριας έως σοβαρής ψωρίασης κατά πλάκας στους ενήλικες. Το AMGEVITA χρησιμοποιείται επίσης για τη θεραπεία της σοβαρής ψωρίασης κατά πλάκας σε παιδιά και εφήβους ηλικίας 4 έως 17 ετών για τους οποίους η τοπική θεραπεία και οι φωτοθεραπείες είτε δεν λειτούργησαν πολύ καλά ή δεν ήταν κατάλληλες.</w:t>
      </w:r>
    </w:p>
    <w:p w14:paraId="56920DB1" w14:textId="77777777" w:rsidR="00171824" w:rsidRDefault="00171824">
      <w:pPr>
        <w:widowControl/>
        <w:kinsoku w:val="0"/>
        <w:overflowPunct w:val="0"/>
        <w:rPr>
          <w:sz w:val="22"/>
          <w:szCs w:val="22"/>
          <w:lang w:val="el-GR"/>
        </w:rPr>
      </w:pPr>
    </w:p>
    <w:p w14:paraId="3C2421AF" w14:textId="77777777" w:rsidR="00171824" w:rsidRDefault="006D258C">
      <w:pPr>
        <w:widowControl/>
        <w:kinsoku w:val="0"/>
        <w:overflowPunct w:val="0"/>
        <w:rPr>
          <w:sz w:val="22"/>
          <w:szCs w:val="22"/>
          <w:lang w:val="el-GR"/>
        </w:rPr>
      </w:pPr>
      <w:r>
        <w:rPr>
          <w:sz w:val="22"/>
          <w:szCs w:val="22"/>
          <w:u w:val="single"/>
          <w:lang w:val="el-GR"/>
        </w:rPr>
        <w:t>Διαπυητική ιδρωταδενίτιδα σε ενήλικες και παιδιά</w:t>
      </w:r>
    </w:p>
    <w:p w14:paraId="512CFD02" w14:textId="77777777" w:rsidR="00171824" w:rsidRDefault="00171824">
      <w:pPr>
        <w:widowControl/>
        <w:kinsoku w:val="0"/>
        <w:overflowPunct w:val="0"/>
        <w:rPr>
          <w:sz w:val="22"/>
          <w:szCs w:val="22"/>
          <w:lang w:val="el-GR"/>
        </w:rPr>
      </w:pPr>
    </w:p>
    <w:p w14:paraId="45F305AD" w14:textId="77777777" w:rsidR="00171824" w:rsidRDefault="006D258C">
      <w:pPr>
        <w:widowControl/>
        <w:kinsoku w:val="0"/>
        <w:overflowPunct w:val="0"/>
        <w:rPr>
          <w:sz w:val="22"/>
          <w:szCs w:val="22"/>
          <w:lang w:val="el-GR"/>
        </w:rPr>
      </w:pPr>
      <w:r>
        <w:rPr>
          <w:sz w:val="22"/>
          <w:szCs w:val="22"/>
          <w:lang w:val="el-GR"/>
        </w:rPr>
        <w:t>Η διαπυητική ιδρωταδενίτιδα (ονομάζεται και ανάστροφη ακµή) είναι μία χρόνια και συχνά επώδυνη φλεγμονώδης νόσος του δέρματος. Τα συμπτώματα μπορεί να περιλαμβάνουν ευαίσθητα οζίδια (εξογκώματα) και αποστήματα (δοθιήνες) που μπορεί να εκκρίνουν πύον. Εμφανίζεται συχνότερα σε συγκεκριμένες περιοχές του δέρματος, όπως κάτω από το στήθος, στις μασχάλες, στο εσωτερικό των μηρών, στη βουβωνική χώρα και τους γλουτούς. Στις προσβεβλημένες περιοχές μπορεί επίσης να εμφανιστούν ουλές.</w:t>
      </w:r>
    </w:p>
    <w:p w14:paraId="172D906C" w14:textId="77777777" w:rsidR="00171824" w:rsidRDefault="00171824">
      <w:pPr>
        <w:widowControl/>
        <w:kinsoku w:val="0"/>
        <w:overflowPunct w:val="0"/>
        <w:rPr>
          <w:sz w:val="22"/>
          <w:szCs w:val="22"/>
          <w:lang w:val="el-GR"/>
        </w:rPr>
      </w:pPr>
    </w:p>
    <w:p w14:paraId="4A0A3927"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διαπυητικής ιδρωταδενίτιδας σε ενήλικες και παιδιά από 12 ετών. Το AMGEVITA μπορεί να μειώσει τον αριθμό των οζιδίων και των αποστημάτων, καθώς και τον πόνο που συνδέεται συχνά με τη νόσο.</w:t>
      </w:r>
      <w:r>
        <w:rPr>
          <w:rFonts w:ascii="Arial" w:hAnsi="Arial" w:cs="Arial"/>
          <w:color w:val="222222"/>
          <w:sz w:val="22"/>
          <w:lang w:val="el-GR"/>
        </w:rPr>
        <w:t xml:space="preserve"> </w:t>
      </w:r>
      <w:r>
        <w:rPr>
          <w:sz w:val="22"/>
          <w:szCs w:val="22"/>
          <w:lang w:val="el-GR"/>
        </w:rPr>
        <w:t>Μπορεί πρώτα να σας χορηγηθούν άλλα φάρμακα. Αν δεν ανταποκριθείτε καλά σε αυτά τα φάρμακα, θα σας δοθεί το AMGEVITA.</w:t>
      </w:r>
    </w:p>
    <w:p w14:paraId="053F76AC" w14:textId="77777777" w:rsidR="00171824" w:rsidRDefault="00171824">
      <w:pPr>
        <w:widowControl/>
        <w:kinsoku w:val="0"/>
        <w:overflowPunct w:val="0"/>
        <w:rPr>
          <w:sz w:val="22"/>
          <w:szCs w:val="22"/>
          <w:lang w:val="el-GR"/>
        </w:rPr>
      </w:pPr>
    </w:p>
    <w:p w14:paraId="6EB84E5E" w14:textId="77777777" w:rsidR="00171824" w:rsidRDefault="006D258C">
      <w:pPr>
        <w:widowControl/>
        <w:kinsoku w:val="0"/>
        <w:overflowPunct w:val="0"/>
        <w:rPr>
          <w:sz w:val="22"/>
          <w:szCs w:val="22"/>
          <w:lang w:val="el-GR"/>
        </w:rPr>
      </w:pPr>
      <w:r>
        <w:rPr>
          <w:sz w:val="22"/>
          <w:szCs w:val="22"/>
          <w:u w:val="single"/>
          <w:lang w:val="el-GR"/>
        </w:rPr>
        <w:t>Nόσος του Crohn σε ενήλικες και παιδιά</w:t>
      </w:r>
    </w:p>
    <w:p w14:paraId="2FA35A98" w14:textId="77777777" w:rsidR="00171824" w:rsidRDefault="00171824">
      <w:pPr>
        <w:widowControl/>
        <w:kinsoku w:val="0"/>
        <w:overflowPunct w:val="0"/>
        <w:rPr>
          <w:sz w:val="22"/>
          <w:szCs w:val="22"/>
          <w:lang w:val="el-GR"/>
        </w:rPr>
      </w:pPr>
    </w:p>
    <w:p w14:paraId="28D7492B" w14:textId="77777777" w:rsidR="00171824" w:rsidRDefault="006D258C">
      <w:pPr>
        <w:widowControl/>
        <w:kinsoku w:val="0"/>
        <w:overflowPunct w:val="0"/>
        <w:rPr>
          <w:sz w:val="22"/>
          <w:szCs w:val="22"/>
          <w:lang w:val="el-GR"/>
        </w:rPr>
      </w:pPr>
      <w:r>
        <w:rPr>
          <w:sz w:val="22"/>
          <w:szCs w:val="22"/>
          <w:lang w:val="el-GR"/>
        </w:rPr>
        <w:t>H νόσος του Crohn είναι μια φλεγμονώδης νόσος του πεπτικού συστήματος.</w:t>
      </w:r>
    </w:p>
    <w:p w14:paraId="661EC931" w14:textId="77777777" w:rsidR="00171824" w:rsidRDefault="00171824">
      <w:pPr>
        <w:widowControl/>
        <w:kinsoku w:val="0"/>
        <w:overflowPunct w:val="0"/>
        <w:rPr>
          <w:sz w:val="22"/>
          <w:szCs w:val="22"/>
          <w:lang w:val="el-GR"/>
        </w:rPr>
      </w:pPr>
    </w:p>
    <w:p w14:paraId="46193D15"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νόσου του Crohn σε ενήλικες και παιδιά ηλικίας 6 έως 17 ετών. Εάν πάσχετε από νόσο του Crohn θα πρέπει να σας δοθεί αρχικά άλλη φαρμακευτική αγωγή. Εάν δεν ανταποκριθείτε αρκετά καλά σε αυτή τη φαρμακευτική αγωγή, θα σας δοθεί AMGEVITA ώστε να μειωθούν τα σημεία και τα συμπτώματα της νόσου του Crohn.</w:t>
      </w:r>
    </w:p>
    <w:p w14:paraId="51493821" w14:textId="77777777" w:rsidR="00171824" w:rsidRDefault="00171824">
      <w:pPr>
        <w:widowControl/>
        <w:kinsoku w:val="0"/>
        <w:overflowPunct w:val="0"/>
        <w:rPr>
          <w:sz w:val="22"/>
          <w:szCs w:val="22"/>
          <w:lang w:val="el-GR"/>
        </w:rPr>
      </w:pPr>
    </w:p>
    <w:p w14:paraId="00FB1A3E" w14:textId="77777777" w:rsidR="00171824" w:rsidRDefault="006D258C">
      <w:pPr>
        <w:widowControl/>
        <w:kinsoku w:val="0"/>
        <w:overflowPunct w:val="0"/>
        <w:rPr>
          <w:sz w:val="22"/>
          <w:szCs w:val="22"/>
          <w:lang w:val="el-GR"/>
        </w:rPr>
      </w:pPr>
      <w:r>
        <w:rPr>
          <w:sz w:val="22"/>
          <w:szCs w:val="22"/>
          <w:u w:val="single"/>
          <w:lang w:val="el-GR"/>
        </w:rPr>
        <w:t>Ελκώδης κολίτιδα σε ενήλικες και παιδιά</w:t>
      </w:r>
    </w:p>
    <w:p w14:paraId="3C2A5E3E" w14:textId="77777777" w:rsidR="00171824" w:rsidRDefault="00171824">
      <w:pPr>
        <w:widowControl/>
        <w:kinsoku w:val="0"/>
        <w:overflowPunct w:val="0"/>
        <w:rPr>
          <w:sz w:val="22"/>
          <w:szCs w:val="22"/>
          <w:lang w:val="el-GR"/>
        </w:rPr>
      </w:pPr>
    </w:p>
    <w:p w14:paraId="406E4053" w14:textId="77777777" w:rsidR="00171824" w:rsidRDefault="006D258C">
      <w:pPr>
        <w:widowControl/>
        <w:kinsoku w:val="0"/>
        <w:overflowPunct w:val="0"/>
        <w:rPr>
          <w:sz w:val="22"/>
          <w:szCs w:val="22"/>
          <w:lang w:val="el-GR"/>
        </w:rPr>
      </w:pPr>
      <w:r>
        <w:rPr>
          <w:sz w:val="22"/>
          <w:szCs w:val="22"/>
          <w:lang w:val="el-GR"/>
        </w:rPr>
        <w:t>Η ελκώδης κολίτιδα είναι μία φλεγμονώδης νόσος του παχέος εντέρου.</w:t>
      </w:r>
    </w:p>
    <w:p w14:paraId="60A68040" w14:textId="77777777" w:rsidR="00171824" w:rsidRDefault="00171824">
      <w:pPr>
        <w:widowControl/>
        <w:kinsoku w:val="0"/>
        <w:overflowPunct w:val="0"/>
        <w:rPr>
          <w:sz w:val="22"/>
          <w:szCs w:val="22"/>
          <w:lang w:val="el-GR"/>
        </w:rPr>
      </w:pPr>
    </w:p>
    <w:p w14:paraId="6E92F7C1"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μέτριας έως σοβαρής ελκώδους κολίτιδας σε ενήλικες και παιδιά ηλικίας 6 έως 17 ετών. Αν έχετε ελκώδη κολίτιδα, μπορεί πρώτα να σας χορηγηθούν άλλα φάρμακα. Αν δεν ανταποκριθείτε αρκετά καλά σε αυτά τα φάρμακα, θα σας δοθεί AMGEVITA για να μειωθούν τα σημεία και τα συμπτώματα της νόσου σας.</w:t>
      </w:r>
    </w:p>
    <w:p w14:paraId="1737A585" w14:textId="77777777" w:rsidR="00171824" w:rsidRDefault="00171824">
      <w:pPr>
        <w:widowControl/>
        <w:kinsoku w:val="0"/>
        <w:overflowPunct w:val="0"/>
        <w:rPr>
          <w:sz w:val="22"/>
          <w:szCs w:val="22"/>
          <w:lang w:val="el-GR"/>
        </w:rPr>
      </w:pPr>
    </w:p>
    <w:p w14:paraId="4CD5A347" w14:textId="77777777" w:rsidR="00171824" w:rsidRDefault="006D258C">
      <w:pPr>
        <w:pStyle w:val="BodyText"/>
        <w:widowControl/>
        <w:kinsoku w:val="0"/>
        <w:overflowPunct w:val="0"/>
        <w:ind w:left="0"/>
        <w:rPr>
          <w:lang w:val="el-GR"/>
        </w:rPr>
      </w:pPr>
      <w:r>
        <w:rPr>
          <w:u w:val="single"/>
          <w:lang w:val="el-GR"/>
        </w:rPr>
        <w:t>Μη-λοιμώδης ραγοειδίτιδα σε ενήλικες και παιδιά</w:t>
      </w:r>
    </w:p>
    <w:p w14:paraId="3AE5AAF8" w14:textId="77777777" w:rsidR="00171824" w:rsidRDefault="00171824">
      <w:pPr>
        <w:widowControl/>
        <w:kinsoku w:val="0"/>
        <w:overflowPunct w:val="0"/>
        <w:rPr>
          <w:sz w:val="22"/>
          <w:szCs w:val="22"/>
          <w:lang w:val="el-GR"/>
        </w:rPr>
      </w:pPr>
    </w:p>
    <w:p w14:paraId="17DCAD36" w14:textId="77777777" w:rsidR="00171824" w:rsidRDefault="006D258C">
      <w:pPr>
        <w:pStyle w:val="BodyText"/>
        <w:widowControl/>
        <w:kinsoku w:val="0"/>
        <w:overflowPunct w:val="0"/>
        <w:ind w:left="0"/>
        <w:rPr>
          <w:lang w:val="el-GR"/>
        </w:rPr>
      </w:pPr>
      <w:r>
        <w:rPr>
          <w:lang w:val="el-GR"/>
        </w:rPr>
        <w:t xml:space="preserve">Η μη-λοιμώδης ραγοειδίτιδα είναι μία φλεγμονώδης ασθένεια που επηρεάζει ορισμένα τμήματα του οφθαλμού. </w:t>
      </w:r>
    </w:p>
    <w:p w14:paraId="07ED9E2D" w14:textId="77777777" w:rsidR="00171824" w:rsidRDefault="00171824">
      <w:pPr>
        <w:pStyle w:val="BodyText"/>
        <w:widowControl/>
        <w:kinsoku w:val="0"/>
        <w:overflowPunct w:val="0"/>
        <w:ind w:left="0"/>
        <w:rPr>
          <w:lang w:val="el-GR"/>
        </w:rPr>
      </w:pPr>
    </w:p>
    <w:p w14:paraId="41D9E89C" w14:textId="77777777" w:rsidR="00171824" w:rsidRDefault="006D258C">
      <w:pPr>
        <w:pStyle w:val="BodyText"/>
        <w:widowControl/>
        <w:kinsoku w:val="0"/>
        <w:overflowPunct w:val="0"/>
        <w:ind w:left="0"/>
        <w:rPr>
          <w:lang w:val="el-GR"/>
        </w:rPr>
      </w:pPr>
      <w:r>
        <w:rPr>
          <w:lang w:val="el-GR"/>
        </w:rPr>
        <w:t xml:space="preserve">Το AMGEVITA χρησιμοποιείται για τη θεραπεία </w:t>
      </w:r>
    </w:p>
    <w:p w14:paraId="5FBD6E5B" w14:textId="77777777" w:rsidR="00171824" w:rsidRDefault="006D258C">
      <w:pPr>
        <w:pStyle w:val="BodyText"/>
        <w:widowControl/>
        <w:numPr>
          <w:ilvl w:val="0"/>
          <w:numId w:val="26"/>
        </w:numPr>
        <w:kinsoku w:val="0"/>
        <w:overflowPunct w:val="0"/>
        <w:ind w:left="567" w:hanging="567"/>
        <w:rPr>
          <w:lang w:val="el-GR"/>
        </w:rPr>
      </w:pPr>
      <w:r>
        <w:rPr>
          <w:lang w:val="el-GR"/>
        </w:rPr>
        <w:t xml:space="preserve">Ενηλίκων με μη-λοιμώδη ραγοειδίτιδα με φλεγμονή που επηρεάζει το οπίσθιο μέρος του οφθαλμού. </w:t>
      </w:r>
    </w:p>
    <w:p w14:paraId="013F700E" w14:textId="77777777" w:rsidR="00171824" w:rsidRDefault="006D258C">
      <w:pPr>
        <w:pStyle w:val="BodyText"/>
        <w:widowControl/>
        <w:numPr>
          <w:ilvl w:val="0"/>
          <w:numId w:val="26"/>
        </w:numPr>
        <w:kinsoku w:val="0"/>
        <w:overflowPunct w:val="0"/>
        <w:ind w:left="567" w:hanging="567"/>
        <w:rPr>
          <w:lang w:val="el-GR"/>
        </w:rPr>
      </w:pPr>
      <w:r>
        <w:rPr>
          <w:lang w:val="el-GR"/>
        </w:rPr>
        <w:t xml:space="preserve">Παιδιά από την ηλικία των 2 ετών με χρόνια μη-λοιμώδη ραγοειδίτιδα με φλεγμονή που επηρεάζει το μπροστινό μέρος του οφθαλμού. </w:t>
      </w:r>
    </w:p>
    <w:p w14:paraId="79BA7823" w14:textId="77777777" w:rsidR="00171824" w:rsidRDefault="00171824">
      <w:pPr>
        <w:pStyle w:val="BodyText"/>
        <w:widowControl/>
        <w:kinsoku w:val="0"/>
        <w:overflowPunct w:val="0"/>
        <w:rPr>
          <w:lang w:val="el-GR"/>
        </w:rPr>
      </w:pPr>
    </w:p>
    <w:p w14:paraId="019FD99F" w14:textId="77777777" w:rsidR="00171824" w:rsidRDefault="006D258C">
      <w:pPr>
        <w:pStyle w:val="BodyText"/>
        <w:widowControl/>
        <w:kinsoku w:val="0"/>
        <w:overflowPunct w:val="0"/>
        <w:ind w:left="0"/>
        <w:rPr>
          <w:lang w:val="el-GR"/>
        </w:rPr>
      </w:pPr>
      <w:r>
        <w:rPr>
          <w:lang w:val="el-GR"/>
        </w:rPr>
        <w:t>Η φλεγμονή αυτή μπορεί να οδηγήσει σε μείωση της όρασης και/ή στην παρουσία εξιδρωμάτων στον οφθαλμό (μαύρες κουκίδες ή ψιλές γραμμές που κινούνται σε όλο το πεδίο της όρασης). Το AMGEVITA δρα μειώνοντας αυτήν τη φλεγμονή.</w:t>
      </w:r>
    </w:p>
    <w:p w14:paraId="6C6C4E00" w14:textId="77777777" w:rsidR="00171824" w:rsidRDefault="00171824">
      <w:pPr>
        <w:widowControl/>
        <w:kinsoku w:val="0"/>
        <w:overflowPunct w:val="0"/>
        <w:rPr>
          <w:sz w:val="22"/>
          <w:szCs w:val="22"/>
          <w:lang w:val="el-GR"/>
        </w:rPr>
      </w:pPr>
    </w:p>
    <w:p w14:paraId="11F93A69" w14:textId="77777777" w:rsidR="00171824" w:rsidRDefault="00171824">
      <w:pPr>
        <w:widowControl/>
        <w:kinsoku w:val="0"/>
        <w:overflowPunct w:val="0"/>
        <w:rPr>
          <w:sz w:val="22"/>
          <w:szCs w:val="22"/>
          <w:lang w:val="el-GR"/>
        </w:rPr>
      </w:pPr>
    </w:p>
    <w:p w14:paraId="21427615" w14:textId="77777777" w:rsidR="00171824" w:rsidRDefault="006D258C">
      <w:pPr>
        <w:keepNext/>
        <w:widowControl/>
        <w:numPr>
          <w:ilvl w:val="0"/>
          <w:numId w:val="31"/>
        </w:numPr>
        <w:tabs>
          <w:tab w:val="left" w:pos="567"/>
        </w:tabs>
        <w:kinsoku w:val="0"/>
        <w:overflowPunct w:val="0"/>
        <w:autoSpaceDE/>
        <w:autoSpaceDN/>
        <w:adjustRightInd/>
        <w:ind w:left="567"/>
        <w:outlineLvl w:val="0"/>
        <w:rPr>
          <w:sz w:val="22"/>
          <w:szCs w:val="22"/>
          <w:lang w:val="el-GR"/>
        </w:rPr>
      </w:pPr>
      <w:r>
        <w:rPr>
          <w:b/>
          <w:bCs/>
          <w:sz w:val="22"/>
          <w:szCs w:val="22"/>
          <w:lang w:val="el-GR"/>
        </w:rPr>
        <w:t xml:space="preserve">Τι πρέπει να γνωρίζετε πριν χρησιμοποιήσετε το AMGEVITA </w:t>
      </w:r>
    </w:p>
    <w:p w14:paraId="0DB8D65A" w14:textId="77777777" w:rsidR="00171824" w:rsidRDefault="00171824">
      <w:pPr>
        <w:keepNext/>
        <w:widowControl/>
        <w:tabs>
          <w:tab w:val="left" w:pos="684"/>
        </w:tabs>
        <w:kinsoku w:val="0"/>
        <w:overflowPunct w:val="0"/>
        <w:outlineLvl w:val="0"/>
        <w:rPr>
          <w:sz w:val="22"/>
          <w:szCs w:val="22"/>
          <w:lang w:val="el-GR"/>
        </w:rPr>
      </w:pPr>
    </w:p>
    <w:p w14:paraId="0704028E" w14:textId="77777777" w:rsidR="00171824" w:rsidRDefault="006D258C">
      <w:pPr>
        <w:keepNext/>
        <w:widowControl/>
        <w:tabs>
          <w:tab w:val="left" w:pos="684"/>
        </w:tabs>
        <w:kinsoku w:val="0"/>
        <w:overflowPunct w:val="0"/>
        <w:outlineLvl w:val="0"/>
        <w:rPr>
          <w:b/>
          <w:bCs/>
          <w:sz w:val="22"/>
          <w:szCs w:val="22"/>
          <w:lang w:val="el-GR"/>
        </w:rPr>
      </w:pPr>
      <w:r>
        <w:rPr>
          <w:b/>
          <w:bCs/>
          <w:sz w:val="22"/>
          <w:szCs w:val="22"/>
          <w:lang w:val="el-GR"/>
        </w:rPr>
        <w:t>Μην χρησιμοποιήσετε το AMGEVITA:</w:t>
      </w:r>
    </w:p>
    <w:p w14:paraId="3FE2BC7B" w14:textId="77777777" w:rsidR="00171824" w:rsidRDefault="00171824">
      <w:pPr>
        <w:keepNext/>
        <w:widowControl/>
        <w:rPr>
          <w:sz w:val="22"/>
          <w:szCs w:val="22"/>
          <w:lang w:val="el-GR"/>
        </w:rPr>
      </w:pPr>
    </w:p>
    <w:p w14:paraId="78658BAE"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Σε περίπτωση αλλεργίας στο adalimumab ή σε οποιοδήποτε άλλο από τα συστατικά αυτού του φαρμάκου (αναφέρονται στην παράγραφο 6).</w:t>
      </w:r>
    </w:p>
    <w:p w14:paraId="6AAC799C" w14:textId="77777777" w:rsidR="00171824" w:rsidRDefault="006D258C">
      <w:pPr>
        <w:keepNext/>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Σε περίπτωση σοβαρής λοίμωξης, συμπεριλαμβανομένης και της ενεργού φυματίωσης,</w:t>
      </w:r>
      <w:r>
        <w:rPr>
          <w:lang w:val="el-GR"/>
        </w:rPr>
        <w:t xml:space="preserve"> </w:t>
      </w:r>
      <w:r>
        <w:rPr>
          <w:sz w:val="22"/>
          <w:szCs w:val="22"/>
          <w:lang w:val="el-GR"/>
        </w:rPr>
        <w:t>σηψαιμίας (λοίμωξης του αίματος) ή άλλων ευκαιριακών λοιμώξεων (ασυνήθιστων λοιμώξεων που συσχετίζονται με εξασθενημένο ανοσοποιητικό σύστημα) (βλέπε «Προειδοποιήσεις και Προφυλάξεις»). Είναι σημαντικό να ενημερώσετε τον γιατρό σας εάν έχετε συμπτώματα λοίμωξης, όπως π.χ. πυρετό, πληγές, αίσθημα κόπωσης ή οδοντικά προβλήματα.</w:t>
      </w:r>
    </w:p>
    <w:p w14:paraId="75C248FC"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Σε περίπτωση μέτριας ή σοβαρής καρδιακής ανεπάρκειας. Είναι σημαντικό να ενημερώσετε τον γιατρό σας εάν είχατε ή έχετε σοβαρή καρδιακή νόσο (βλέπε «Προειδοποιήσεις και Προφυλάξεις»).</w:t>
      </w:r>
    </w:p>
    <w:p w14:paraId="3976DA4B" w14:textId="77777777" w:rsidR="00171824" w:rsidRDefault="00171824">
      <w:pPr>
        <w:widowControl/>
        <w:kinsoku w:val="0"/>
        <w:overflowPunct w:val="0"/>
        <w:rPr>
          <w:sz w:val="22"/>
          <w:szCs w:val="22"/>
          <w:lang w:val="el-GR"/>
        </w:rPr>
      </w:pPr>
    </w:p>
    <w:p w14:paraId="1FA134B5" w14:textId="77777777" w:rsidR="00171824" w:rsidRDefault="006D258C">
      <w:pPr>
        <w:widowControl/>
        <w:kinsoku w:val="0"/>
        <w:overflowPunct w:val="0"/>
        <w:outlineLvl w:val="0"/>
        <w:rPr>
          <w:sz w:val="22"/>
          <w:szCs w:val="22"/>
          <w:lang w:val="el-GR"/>
        </w:rPr>
      </w:pPr>
      <w:r>
        <w:rPr>
          <w:b/>
          <w:bCs/>
          <w:sz w:val="22"/>
          <w:szCs w:val="22"/>
          <w:lang w:val="el-GR"/>
        </w:rPr>
        <w:t>Προειδοποιήσεις και προφυλάξεις</w:t>
      </w:r>
    </w:p>
    <w:p w14:paraId="066FC5D8" w14:textId="77777777" w:rsidR="00171824" w:rsidRDefault="00171824">
      <w:pPr>
        <w:widowControl/>
        <w:kinsoku w:val="0"/>
        <w:overflowPunct w:val="0"/>
        <w:rPr>
          <w:sz w:val="22"/>
          <w:szCs w:val="22"/>
          <w:lang w:val="el-GR"/>
        </w:rPr>
      </w:pPr>
    </w:p>
    <w:p w14:paraId="0905AAE4" w14:textId="77777777" w:rsidR="00171824" w:rsidRDefault="006D258C">
      <w:pPr>
        <w:widowControl/>
        <w:kinsoku w:val="0"/>
        <w:overflowPunct w:val="0"/>
        <w:rPr>
          <w:sz w:val="22"/>
          <w:szCs w:val="22"/>
          <w:lang w:val="el-GR"/>
        </w:rPr>
      </w:pPr>
      <w:r>
        <w:rPr>
          <w:sz w:val="22"/>
          <w:szCs w:val="22"/>
          <w:lang w:val="el-GR"/>
        </w:rPr>
        <w:t xml:space="preserve">Απευθυνθείτε στον γιατρό ή τον φαρμακοποιό σας πριν χρησιμοποιήσετε το AMGEVITA: </w:t>
      </w:r>
    </w:p>
    <w:p w14:paraId="3979A1E1" w14:textId="77777777" w:rsidR="00171824" w:rsidRDefault="00171824">
      <w:pPr>
        <w:widowControl/>
        <w:kinsoku w:val="0"/>
        <w:overflowPunct w:val="0"/>
        <w:rPr>
          <w:sz w:val="22"/>
          <w:szCs w:val="22"/>
          <w:lang w:val="el-GR"/>
        </w:rPr>
      </w:pPr>
    </w:p>
    <w:p w14:paraId="0A43FF4C" w14:textId="77777777" w:rsidR="00171824" w:rsidRDefault="006D258C">
      <w:pPr>
        <w:widowControl/>
        <w:kinsoku w:val="0"/>
        <w:overflowPunct w:val="0"/>
        <w:rPr>
          <w:sz w:val="22"/>
          <w:szCs w:val="22"/>
          <w:lang w:val="el-GR"/>
        </w:rPr>
      </w:pPr>
      <w:r>
        <w:rPr>
          <w:sz w:val="22"/>
          <w:szCs w:val="22"/>
          <w:lang w:val="el-GR"/>
        </w:rPr>
        <w:t xml:space="preserve">Αλλεργικές αντιδράσεις </w:t>
      </w:r>
    </w:p>
    <w:p w14:paraId="6DA5AFD1" w14:textId="77777777" w:rsidR="00171824" w:rsidRDefault="00171824">
      <w:pPr>
        <w:widowControl/>
        <w:kinsoku w:val="0"/>
        <w:overflowPunct w:val="0"/>
        <w:rPr>
          <w:sz w:val="22"/>
          <w:szCs w:val="22"/>
          <w:lang w:val="el-GR"/>
        </w:rPr>
      </w:pPr>
    </w:p>
    <w:p w14:paraId="0856E163"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Εάν εμφανίσετε αλλεργικές αντιδράσεις με συμπτώματα όπως αίσθημα σφιξίματος στο θώρακα, δύσπνοια, ζάλη, οίδημα ή εξάνθημα διακόψτε τις ενέσεις AMGEVITA και επικοινωνήστε αμέσως με τον γιατρό σας δεδομένου ότι, σε σπάνιες περιπτώσεις, αυτές οι αντιδράσεις μπορεί να είναι απειλητικές για τη ζωή.</w:t>
      </w:r>
    </w:p>
    <w:p w14:paraId="08113B35" w14:textId="77777777" w:rsidR="00171824" w:rsidRDefault="00171824">
      <w:pPr>
        <w:widowControl/>
        <w:kinsoku w:val="0"/>
        <w:overflowPunct w:val="0"/>
        <w:rPr>
          <w:sz w:val="22"/>
          <w:szCs w:val="22"/>
          <w:lang w:val="el-GR"/>
        </w:rPr>
      </w:pPr>
    </w:p>
    <w:p w14:paraId="18190220" w14:textId="77777777" w:rsidR="00171824" w:rsidRDefault="006D258C">
      <w:pPr>
        <w:widowControl/>
        <w:kinsoku w:val="0"/>
        <w:overflowPunct w:val="0"/>
        <w:rPr>
          <w:sz w:val="22"/>
          <w:szCs w:val="22"/>
          <w:lang w:val="el-GR"/>
        </w:rPr>
      </w:pPr>
      <w:r>
        <w:rPr>
          <w:sz w:val="22"/>
          <w:szCs w:val="22"/>
          <w:lang w:val="el-GR"/>
        </w:rPr>
        <w:t>Λοιμώξεις</w:t>
      </w:r>
    </w:p>
    <w:p w14:paraId="12733D00" w14:textId="77777777" w:rsidR="00171824" w:rsidRDefault="00171824">
      <w:pPr>
        <w:widowControl/>
        <w:kinsoku w:val="0"/>
        <w:overflowPunct w:val="0"/>
        <w:rPr>
          <w:sz w:val="22"/>
          <w:szCs w:val="22"/>
          <w:lang w:val="el-GR"/>
        </w:rPr>
      </w:pPr>
    </w:p>
    <w:p w14:paraId="69F7E564"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Εάν έχετε μια λοίμωξη, συμπεριλαμβανομένων των μακροχρόνιων ή των τοπικών λοιμώξεων (για παράδειγμα, έλκος κνήμης) συμβουλευθείτε τον γιατρό σας πριν αρχίσετε την αγωγή με το AMGEVITA. Εάν δεν είστε βέβαιος, παρακαλείσθε να επικοινωνήσετε με τον γιατρό σας.</w:t>
      </w:r>
    </w:p>
    <w:p w14:paraId="6628169A"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Μπορεί να εμφανίσετε λοιμώξεις ευκολότερα ενώ λαμβάνετε τη θεραπεία AMGEVITA. Ο κίνδυνος ενδέχεται να αυξηθεί εάν η πνευμονική λειτουργία σας είναι επηρεασμένη. Οι λοιμώξεις αυτές μπορεί να είναι επικίνδυνες και συμπεριλαμβάνουν φυματίωση, λοιμώξεις που προκαλούνται από ιούς, μύκητες ή βακτήρια ή άλλες ευκαιριακές λοιμώξεις και σηψαιμία, η οποία σε σπάνιες περιπτώσεις είναι πιθανό να είναι απειλητική για τη ζωή. Είναι σημαντικό να ενημερώσετε τον γιατρό σας εάν παρουσιάσετε συμπτώματα όπως πυρετό, πληγές, αίσθημα κόπωσης ή οδοντικά προβλήματα. Ο γιατρός σας είναι πιθανό να συστήσει προσωρινή διακοπή της θεραπείας με AMGEVITA.</w:t>
      </w:r>
    </w:p>
    <w:p w14:paraId="2AF7F3A7" w14:textId="77777777" w:rsidR="00171824" w:rsidRDefault="00171824">
      <w:pPr>
        <w:widowControl/>
        <w:kinsoku w:val="0"/>
        <w:overflowPunct w:val="0"/>
        <w:rPr>
          <w:sz w:val="22"/>
          <w:szCs w:val="22"/>
          <w:lang w:val="el-GR"/>
        </w:rPr>
      </w:pPr>
    </w:p>
    <w:p w14:paraId="054B221E" w14:textId="77777777" w:rsidR="00171824" w:rsidRDefault="006D258C">
      <w:pPr>
        <w:widowControl/>
        <w:kinsoku w:val="0"/>
        <w:overflowPunct w:val="0"/>
        <w:rPr>
          <w:sz w:val="22"/>
          <w:szCs w:val="22"/>
          <w:lang w:val="el-GR"/>
        </w:rPr>
      </w:pPr>
      <w:r>
        <w:rPr>
          <w:sz w:val="22"/>
          <w:szCs w:val="22"/>
          <w:lang w:val="el-GR"/>
        </w:rPr>
        <w:t>Φυματίωση</w:t>
      </w:r>
    </w:p>
    <w:p w14:paraId="2E688136" w14:textId="77777777" w:rsidR="00171824" w:rsidRDefault="00171824">
      <w:pPr>
        <w:widowControl/>
        <w:kinsoku w:val="0"/>
        <w:overflowPunct w:val="0"/>
        <w:rPr>
          <w:sz w:val="22"/>
          <w:szCs w:val="22"/>
          <w:lang w:val="el-GR"/>
        </w:rPr>
      </w:pPr>
    </w:p>
    <w:p w14:paraId="7A31C3D0"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 xml:space="preserve">Επειδή έχουν αναφερθεί περιπτώσεις φυματίωσης σε ασθενείς που έλαβαν το adalimumab, ο γιατρός σας θα σας εξετάσει για σημεία και συμπτώματα φυματίωσης πριν αρχίσετε να λαμβάνετε το AMGEVITA. Η εξέταση αυτή θα περιλαμβάνει πλήρη ιατρική εκτίμηση συμπεριλαμβανομένου του ιατρικού ιστορικού σας και κατάλληλο έλεγχο (για παράδειγμα, ακτινογραφία θώρακος και δοκιμασία φυματίνης). Τα αποτελέσματα αυτών των δοκιμασιών θα πρέπει να καταγράφονται στην </w:t>
      </w:r>
      <w:r>
        <w:rPr>
          <w:b/>
          <w:sz w:val="22"/>
          <w:szCs w:val="22"/>
          <w:lang w:val="el-GR"/>
        </w:rPr>
        <w:t>Κάρτα Υπενθύμισης του Ασθενούς</w:t>
      </w:r>
      <w:r>
        <w:rPr>
          <w:sz w:val="22"/>
          <w:szCs w:val="22"/>
          <w:lang w:val="el-GR"/>
        </w:rPr>
        <w:t xml:space="preserve"> . Είναι πολύ σημαντικό να ενημερώσετε τον γιατρό σας εάν είχατε ποτέ φυματίωση ή εάν ήλθατε σε στενή επαφή με κάποιον που είχε φυματίωση. </w:t>
      </w:r>
    </w:p>
    <w:p w14:paraId="6232028A"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 xml:space="preserve">Φυματίωση μπορεί να αναπτυχθεί κατά τη διάρκεια της θεραπείας ακόμη και εάν έχετε λάβει προληπτική θεραπεία για φυματίωση. </w:t>
      </w:r>
    </w:p>
    <w:p w14:paraId="33984B44"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lastRenderedPageBreak/>
        <w:t>Εάν συμπτώματα φυματίωσης (επίμονος βήχας, απώλεια βάρους, αφηρημάδα, ήπιος πυρετός) ή οποιαδήποτε άλλη λοίμωξη εμφανισθεί κατά τη διάρκεια της θεραπείας ή μετά από αυτή θα πρέπει να ενημερώσετε αμέσως τον γιατρό σας.</w:t>
      </w:r>
    </w:p>
    <w:p w14:paraId="748C2F17" w14:textId="77777777" w:rsidR="00171824" w:rsidRDefault="00171824">
      <w:pPr>
        <w:widowControl/>
        <w:kinsoku w:val="0"/>
        <w:overflowPunct w:val="0"/>
        <w:rPr>
          <w:sz w:val="22"/>
          <w:szCs w:val="22"/>
          <w:lang w:val="el-GR"/>
        </w:rPr>
      </w:pPr>
    </w:p>
    <w:p w14:paraId="40F778D2" w14:textId="77777777" w:rsidR="00171824" w:rsidRDefault="006D258C">
      <w:pPr>
        <w:keepNext/>
        <w:keepLines/>
        <w:widowControl/>
        <w:kinsoku w:val="0"/>
        <w:overflowPunct w:val="0"/>
        <w:rPr>
          <w:sz w:val="22"/>
          <w:szCs w:val="22"/>
          <w:lang w:val="el-GR"/>
        </w:rPr>
      </w:pPr>
      <w:r>
        <w:rPr>
          <w:sz w:val="22"/>
          <w:szCs w:val="22"/>
          <w:lang w:val="el-GR"/>
        </w:rPr>
        <w:t>Ταξιδιωτικές / υποτροπιάζουσες λοιμώξεις</w:t>
      </w:r>
    </w:p>
    <w:p w14:paraId="70E2E6AE" w14:textId="77777777" w:rsidR="00171824" w:rsidRDefault="00171824">
      <w:pPr>
        <w:keepNext/>
        <w:keepLines/>
        <w:widowControl/>
        <w:kinsoku w:val="0"/>
        <w:overflowPunct w:val="0"/>
        <w:rPr>
          <w:sz w:val="22"/>
          <w:szCs w:val="22"/>
          <w:lang w:val="el-GR"/>
        </w:rPr>
      </w:pPr>
    </w:p>
    <w:p w14:paraId="4BB88B9C"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Συμβουλευτείτε τον γιατρό σας εάν κατοικείτε ή ταξιδεύετε σε περιοχές όπου μυκητιασικές λοιμώξεις, όπως ιστοπλάσμωση, κοκκιδιοειδομυκητίαση ή βλαστομυκητίαση είναι ενδημικές.</w:t>
      </w:r>
    </w:p>
    <w:p w14:paraId="01D0B6D1"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Ενημερώστε τον γιατρό σας εάν έχετε ιστορικό υποτροπιαζουσών λοιμώξεων ή άλλες καταστάσεις που μπορεί να αυξήσουν τον κίνδυνο για λοιμώξεις.</w:t>
      </w:r>
    </w:p>
    <w:p w14:paraId="3F022CEB" w14:textId="77777777" w:rsidR="00171824" w:rsidRDefault="00171824">
      <w:pPr>
        <w:widowControl/>
        <w:kinsoku w:val="0"/>
        <w:overflowPunct w:val="0"/>
        <w:rPr>
          <w:sz w:val="22"/>
          <w:szCs w:val="22"/>
          <w:lang w:val="el-GR"/>
        </w:rPr>
      </w:pPr>
    </w:p>
    <w:p w14:paraId="518207AB" w14:textId="77777777" w:rsidR="00171824" w:rsidRDefault="006D258C">
      <w:pPr>
        <w:widowControl/>
        <w:kinsoku w:val="0"/>
        <w:overflowPunct w:val="0"/>
        <w:rPr>
          <w:sz w:val="22"/>
          <w:szCs w:val="22"/>
          <w:lang w:val="el-GR"/>
        </w:rPr>
      </w:pPr>
      <w:r>
        <w:rPr>
          <w:sz w:val="22"/>
          <w:szCs w:val="22"/>
          <w:lang w:val="el-GR"/>
        </w:rPr>
        <w:t>Ιός της ηπατίτιδας Β</w:t>
      </w:r>
    </w:p>
    <w:p w14:paraId="046D02DE" w14:textId="77777777" w:rsidR="00171824" w:rsidRDefault="00171824">
      <w:pPr>
        <w:widowControl/>
        <w:kinsoku w:val="0"/>
        <w:overflowPunct w:val="0"/>
        <w:rPr>
          <w:sz w:val="22"/>
          <w:szCs w:val="22"/>
          <w:lang w:val="el-GR"/>
        </w:rPr>
      </w:pPr>
    </w:p>
    <w:p w14:paraId="6513A6A9"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Ενημερώστε τον γιατρό σας εάν είστε φορέας του ιού της ηπατίτιδας Β, εάν έχετε ενεργό ηπατίτιδα Β, ή υποψιάζεστε ότι βρίσκεστε σε κίνδυνο να μολυνθείτε με τον ιό της ηπατίτιδας. Ο γιατρός σας θα πρέπει να σας εξετάσει για ιό της ηπατίτιδας Β. Το AMGEVITA είναι πιθανό να προκαλέσει επανενεργοποίηση της ηπατίτιδας Β σε ασθενείς οι οποίοι μεταφέρουν τον ιό. Σε κάποιες σπάνιες περιπτώσεις, ειδικά εάν λαμβάνετε και άλλα φάρμακα τα οποία καταστέλλουν το ανοσολογικό σύστημα, η επανενεργοποίηση του ιού της ηπατίτιδας Β, είναι πιθανό να αποδειχθεί απειλητική για τη ζωή.</w:t>
      </w:r>
    </w:p>
    <w:p w14:paraId="3DED7B16" w14:textId="77777777" w:rsidR="00171824" w:rsidRDefault="00171824">
      <w:pPr>
        <w:pStyle w:val="ListParagraph"/>
        <w:widowControl/>
        <w:kinsoku w:val="0"/>
        <w:overflowPunct w:val="0"/>
        <w:rPr>
          <w:sz w:val="22"/>
          <w:szCs w:val="22"/>
          <w:lang w:val="el-GR"/>
        </w:rPr>
      </w:pPr>
    </w:p>
    <w:p w14:paraId="5A97BEBA" w14:textId="77777777" w:rsidR="00171824" w:rsidRDefault="006D258C">
      <w:pPr>
        <w:pStyle w:val="ListParagraph"/>
        <w:widowControl/>
        <w:kinsoku w:val="0"/>
        <w:overflowPunct w:val="0"/>
        <w:rPr>
          <w:sz w:val="22"/>
          <w:szCs w:val="22"/>
          <w:lang w:val="el-GR"/>
        </w:rPr>
      </w:pPr>
      <w:r>
        <w:rPr>
          <w:sz w:val="22"/>
          <w:szCs w:val="22"/>
          <w:lang w:val="el-GR"/>
        </w:rPr>
        <w:t>Ηλικία άνω των 65 ετών</w:t>
      </w:r>
    </w:p>
    <w:p w14:paraId="0A7CC735" w14:textId="77777777" w:rsidR="00171824" w:rsidRDefault="00171824">
      <w:pPr>
        <w:widowControl/>
        <w:kinsoku w:val="0"/>
        <w:overflowPunct w:val="0"/>
        <w:rPr>
          <w:sz w:val="22"/>
          <w:szCs w:val="22"/>
          <w:lang w:val="el-GR"/>
        </w:rPr>
      </w:pPr>
    </w:p>
    <w:p w14:paraId="6FF2E35D"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Εάν είστε άνω των 65 ετών μπορεί να είστε πιο ευάλωτοι σε λοιμώξεις ενώ λαμβάνετε AMGEVITA. Εσείς και ο γιατρός σας πρέπει να δείξετε ιδιαίτερη προσοχή σε σημεία λοίμωξης ενώ λαμβάνετε θεραπεία με AMGEVITA. Είναι σημαντικό να πείτε στον γιατρό σας εάν έχετε συμπτώματα λοίμωξης, όπως είναι ο πυρετός, τραύματα, αίσθημα κόπωσης ή προβλήματα στα δόντια.</w:t>
      </w:r>
    </w:p>
    <w:p w14:paraId="54095FF1" w14:textId="77777777" w:rsidR="00171824" w:rsidRDefault="00171824">
      <w:pPr>
        <w:widowControl/>
        <w:kinsoku w:val="0"/>
        <w:overflowPunct w:val="0"/>
        <w:rPr>
          <w:sz w:val="22"/>
          <w:szCs w:val="22"/>
          <w:lang w:val="el-GR"/>
        </w:rPr>
      </w:pPr>
    </w:p>
    <w:p w14:paraId="06B295D1" w14:textId="77777777" w:rsidR="00171824" w:rsidRDefault="006D258C">
      <w:pPr>
        <w:widowControl/>
        <w:kinsoku w:val="0"/>
        <w:overflowPunct w:val="0"/>
        <w:rPr>
          <w:sz w:val="22"/>
          <w:szCs w:val="22"/>
          <w:lang w:val="el-GR"/>
        </w:rPr>
      </w:pPr>
      <w:r>
        <w:rPr>
          <w:sz w:val="22"/>
          <w:szCs w:val="22"/>
          <w:lang w:val="el-GR"/>
        </w:rPr>
        <w:t>Χειρουργικές ή οδοντιατρικές επεμβάσεις</w:t>
      </w:r>
    </w:p>
    <w:p w14:paraId="0C2A30AC" w14:textId="77777777" w:rsidR="00171824" w:rsidRDefault="00171824">
      <w:pPr>
        <w:widowControl/>
        <w:kinsoku w:val="0"/>
        <w:overflowPunct w:val="0"/>
        <w:rPr>
          <w:sz w:val="22"/>
          <w:szCs w:val="22"/>
          <w:lang w:val="el-GR"/>
        </w:rPr>
      </w:pPr>
    </w:p>
    <w:p w14:paraId="4999DD5F"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Εάν πρόκειται να υποβληθείτε σε εγχείρηση ή σε επέμβαση στα δόντια ενημερώστε τον γιατρό σας ότι λαμβάνετε AMGEVITA. Ο γιατρός σας είναι πιθανό να συστήσει προσωρινή διακοπή της θεραπείας με AMGEVITA.</w:t>
      </w:r>
    </w:p>
    <w:p w14:paraId="2ECE69C4" w14:textId="77777777" w:rsidR="00171824" w:rsidRDefault="00171824">
      <w:pPr>
        <w:pStyle w:val="ListParagraph"/>
        <w:widowControl/>
        <w:kinsoku w:val="0"/>
        <w:overflowPunct w:val="0"/>
        <w:rPr>
          <w:sz w:val="22"/>
          <w:szCs w:val="22"/>
          <w:lang w:val="el-GR"/>
        </w:rPr>
      </w:pPr>
    </w:p>
    <w:p w14:paraId="3FBC5F64" w14:textId="77777777" w:rsidR="00171824" w:rsidRDefault="006D258C">
      <w:pPr>
        <w:pStyle w:val="ListParagraph"/>
        <w:widowControl/>
        <w:kinsoku w:val="0"/>
        <w:overflowPunct w:val="0"/>
        <w:rPr>
          <w:sz w:val="22"/>
          <w:szCs w:val="22"/>
          <w:lang w:val="el-GR"/>
        </w:rPr>
      </w:pPr>
      <w:r>
        <w:rPr>
          <w:sz w:val="22"/>
          <w:szCs w:val="22"/>
          <w:lang w:val="el-GR"/>
        </w:rPr>
        <w:t>Απομυελινωτική νόσος</w:t>
      </w:r>
    </w:p>
    <w:p w14:paraId="38A45B57" w14:textId="77777777" w:rsidR="00171824" w:rsidRDefault="00171824">
      <w:pPr>
        <w:pStyle w:val="ListParagraph"/>
        <w:widowControl/>
        <w:kinsoku w:val="0"/>
        <w:overflowPunct w:val="0"/>
        <w:rPr>
          <w:sz w:val="22"/>
          <w:szCs w:val="22"/>
          <w:lang w:val="el-GR"/>
        </w:rPr>
      </w:pPr>
    </w:p>
    <w:p w14:paraId="1450F48C"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Εάν υποφέρετε ή εμφανίσετε μια απομυελινωτική νόσο, όπως η σκλήρυνση κατά πλάκας, ο γιατρός σας θα αποφασίσει εάν πρέπει να λάβετε ή να συνεχίσετε να λαμβάνετε το AMGEVITA. Ενημερώστε αμέσως τον γιατρό σας εάν βιώσετε συμπτώματα, όπως αλλαγές στην όραση, αδυναμία στα χέρια ή τα πόδια, ή μούδιασμα ή μυρμήγκιασμα σε οποιοδήποτε μέρος του σώματός σας.</w:t>
      </w:r>
    </w:p>
    <w:p w14:paraId="00C24D78" w14:textId="77777777" w:rsidR="00171824" w:rsidRDefault="00171824">
      <w:pPr>
        <w:widowControl/>
        <w:kinsoku w:val="0"/>
        <w:overflowPunct w:val="0"/>
        <w:rPr>
          <w:sz w:val="22"/>
          <w:szCs w:val="22"/>
          <w:lang w:val="el-GR"/>
        </w:rPr>
      </w:pPr>
    </w:p>
    <w:p w14:paraId="3922A752" w14:textId="77777777" w:rsidR="00171824" w:rsidRDefault="006D258C">
      <w:pPr>
        <w:pStyle w:val="ListParagraph"/>
        <w:widowControl/>
        <w:kinsoku w:val="0"/>
        <w:overflowPunct w:val="0"/>
        <w:rPr>
          <w:sz w:val="22"/>
          <w:szCs w:val="22"/>
          <w:lang w:val="el-GR"/>
        </w:rPr>
      </w:pPr>
      <w:r>
        <w:rPr>
          <w:sz w:val="22"/>
          <w:szCs w:val="22"/>
          <w:lang w:val="el-GR"/>
        </w:rPr>
        <w:t>Εμβολιασμοί</w:t>
      </w:r>
    </w:p>
    <w:p w14:paraId="0179CD82" w14:textId="77777777" w:rsidR="00171824" w:rsidRDefault="00171824">
      <w:pPr>
        <w:widowControl/>
        <w:kinsoku w:val="0"/>
        <w:overflowPunct w:val="0"/>
        <w:rPr>
          <w:sz w:val="22"/>
          <w:szCs w:val="22"/>
          <w:lang w:val="el-GR"/>
        </w:rPr>
      </w:pPr>
    </w:p>
    <w:p w14:paraId="38CDB591"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 xml:space="preserve">Ορισμένα εμβόλια περιέχουν ζωντανές αλλά εξασθενημένες μορφές παθογόνων βακτηρίων ή ιών που ενδέχεται να προκαλέσουν λοιμώξεις και δε θα πρέπει να γίνονται ενώ λαμβάνετε το AMGEVITA. Ρωτήστε τον γιατρό σας πριν λάβετε οποιοδήποτε εμβόλιο. Συνιστάται, εφ’ όσον είναι εφικτό, τα παιδιά να έχουν πραγματοποιήσει τους απαραίτητους εμβολιασμούς σύμφωνα με τις ισχύουσες κατευθυντήριες οδηγίες για την ανοσοποίηση πριν από την έναρξη της θεραπείας με AMGEVITA. </w:t>
      </w:r>
    </w:p>
    <w:p w14:paraId="46BB3E23"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 xml:space="preserve">Εάν λάβατε AMGEVITA ενώ ήσασταν έγκυος, το μωρό σας μπορεί να διατρέχει μεγαλύτερο κίνδυνο εμφάνισης τέτοιας λοίμωξης για διάστημα έως πέντε περίπου μήνες μετά την τελευταία δόση που λάβατε κατά τη διάρκεια της εγκυμοσύνης. Είναι σημαντικό να ενημερώσετε τους γιατρούς του μωρού σας και άλλους επαγγελματίες υγείας σχετικά με τη χρήση AMGEVITA </w:t>
      </w:r>
      <w:r>
        <w:rPr>
          <w:sz w:val="22"/>
          <w:szCs w:val="22"/>
          <w:lang w:val="el-GR"/>
        </w:rPr>
        <w:lastRenderedPageBreak/>
        <w:t>κατά τη διάρκεια της εγκυμοσύνης σας, ώστε να μπορούν να αποφασίζουν πότε το μωρό σας θα πρέπει να λάβει κάποιο εμβόλιο.</w:t>
      </w:r>
    </w:p>
    <w:p w14:paraId="184BAE71" w14:textId="77777777" w:rsidR="00171824" w:rsidRDefault="00171824">
      <w:pPr>
        <w:pStyle w:val="ListParagraph"/>
        <w:widowControl/>
        <w:kinsoku w:val="0"/>
        <w:overflowPunct w:val="0"/>
        <w:rPr>
          <w:sz w:val="22"/>
          <w:szCs w:val="22"/>
          <w:lang w:val="el-GR"/>
        </w:rPr>
      </w:pPr>
    </w:p>
    <w:p w14:paraId="2A6FE3D8" w14:textId="77777777" w:rsidR="00171824" w:rsidRDefault="006D258C">
      <w:pPr>
        <w:pStyle w:val="ListParagraph"/>
        <w:keepNext/>
        <w:keepLines/>
        <w:widowControl/>
        <w:kinsoku w:val="0"/>
        <w:overflowPunct w:val="0"/>
        <w:rPr>
          <w:sz w:val="22"/>
          <w:szCs w:val="22"/>
          <w:lang w:val="el-GR"/>
        </w:rPr>
      </w:pPr>
      <w:r>
        <w:rPr>
          <w:sz w:val="22"/>
          <w:szCs w:val="22"/>
          <w:lang w:val="el-GR"/>
        </w:rPr>
        <w:t>Καρδιακή ανεπάρκεια</w:t>
      </w:r>
    </w:p>
    <w:p w14:paraId="21849130" w14:textId="77777777" w:rsidR="00171824" w:rsidRDefault="00171824">
      <w:pPr>
        <w:keepNext/>
        <w:keepLines/>
        <w:widowControl/>
        <w:kinsoku w:val="0"/>
        <w:overflowPunct w:val="0"/>
        <w:rPr>
          <w:sz w:val="22"/>
          <w:szCs w:val="22"/>
          <w:lang w:val="el-GR"/>
        </w:rPr>
      </w:pPr>
    </w:p>
    <w:p w14:paraId="75C2AF5B"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Εάν υποφέρετε από ήπια καρδιακή ανεπάρκεια και λαμβάνετε θεραπεία με AMGEVITA, η καρδιακή ανεπάρκεια θα πρέπει να παρακολουθείται στενά από τον γιατρό σας. Είναι σημαντικό να πείτε στον γιατρό σας εάν είχατε στο παρελθόν ή υποφέρετε από σοβαρό καρδιακό πρόβλημα. Εάν παρουσιάσετε νέα συμπτώματα ή επιδείνωση των συμπτωμάτων της καρδιακής ανεπάρκειας (π.χ. δύσπνοια ή πρήξιμο ποδιών) θα πρέπει να επικοινωνήσετε αμέσως με τον γιατρό σας. Ο γιατρός σας θα αποφασίσει εάν πρέπει να λάβετε AMGEVITA.</w:t>
      </w:r>
    </w:p>
    <w:p w14:paraId="48CE3CDB" w14:textId="77777777" w:rsidR="00171824" w:rsidRDefault="00171824">
      <w:pPr>
        <w:pStyle w:val="ListParagraph"/>
        <w:tabs>
          <w:tab w:val="left" w:pos="567"/>
        </w:tabs>
        <w:rPr>
          <w:sz w:val="22"/>
          <w:szCs w:val="22"/>
          <w:lang w:val="el-GR" w:eastAsia="en-GB"/>
        </w:rPr>
      </w:pPr>
    </w:p>
    <w:p w14:paraId="2B016EB5" w14:textId="77777777" w:rsidR="00171824" w:rsidRDefault="006D258C">
      <w:pPr>
        <w:pStyle w:val="ListParagraph"/>
        <w:tabs>
          <w:tab w:val="left" w:pos="0"/>
        </w:tabs>
        <w:rPr>
          <w:sz w:val="22"/>
          <w:szCs w:val="22"/>
          <w:lang w:val="el-GR" w:eastAsia="en-GB"/>
        </w:rPr>
      </w:pPr>
      <w:r>
        <w:rPr>
          <w:sz w:val="22"/>
          <w:szCs w:val="22"/>
          <w:lang w:val="el-GR" w:eastAsia="en-GB"/>
        </w:rPr>
        <w:t>Πυρετός, μώλωπες, αιμορραγία ή ωχρότητα</w:t>
      </w:r>
    </w:p>
    <w:p w14:paraId="7100E4BA" w14:textId="77777777" w:rsidR="00171824" w:rsidRDefault="00171824">
      <w:pPr>
        <w:widowControl/>
        <w:kinsoku w:val="0"/>
        <w:overflowPunct w:val="0"/>
        <w:rPr>
          <w:sz w:val="22"/>
          <w:szCs w:val="22"/>
          <w:lang w:val="el-GR"/>
        </w:rPr>
      </w:pPr>
    </w:p>
    <w:p w14:paraId="4A539EA4"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Σε μερικούς ασθενείς ο οργανισμός είναι πιθανό να αποτύχει να παραγάγει αρκετή ποσότητα κυττάρων του αίματος τα οποία βοηθούν τον οργανισμό σας να αντιμετωπίσει τις λοιμώξεις ή σας βοηθά στη διακοπή της αιμορραγίας. Εάν εμφανίσετε πυρετό ο οποίος δεν υποχωρεί, ή μώλωπα ή αιμορραγείτε πολύ εύκολα ή φαίνεστε πολύ χλωμοί, επικοινωνήστε με τον γιατρό σας αμέσως. Ο γιατρός σας είναι πιθανό να αποφασίσει να διακόψει τη θεραπεία.</w:t>
      </w:r>
    </w:p>
    <w:p w14:paraId="04F9E926" w14:textId="77777777" w:rsidR="00171824" w:rsidRDefault="00171824">
      <w:pPr>
        <w:pStyle w:val="ListParagraph"/>
        <w:widowControl/>
        <w:kinsoku w:val="0"/>
        <w:overflowPunct w:val="0"/>
        <w:rPr>
          <w:sz w:val="22"/>
          <w:szCs w:val="22"/>
          <w:lang w:val="el-GR"/>
        </w:rPr>
      </w:pPr>
    </w:p>
    <w:p w14:paraId="02721C0B" w14:textId="77777777" w:rsidR="00171824" w:rsidRDefault="006D258C">
      <w:pPr>
        <w:pStyle w:val="ListParagraph"/>
        <w:widowControl/>
        <w:kinsoku w:val="0"/>
        <w:overflowPunct w:val="0"/>
        <w:rPr>
          <w:sz w:val="22"/>
          <w:szCs w:val="22"/>
          <w:lang w:val="el-GR"/>
        </w:rPr>
      </w:pPr>
      <w:r>
        <w:rPr>
          <w:sz w:val="22"/>
          <w:szCs w:val="22"/>
          <w:lang w:val="el-GR"/>
        </w:rPr>
        <w:t>Καρκίνος</w:t>
      </w:r>
    </w:p>
    <w:p w14:paraId="6EAA7F2D" w14:textId="77777777" w:rsidR="00171824" w:rsidRDefault="00171824">
      <w:pPr>
        <w:widowControl/>
        <w:kinsoku w:val="0"/>
        <w:overflowPunct w:val="0"/>
        <w:rPr>
          <w:sz w:val="22"/>
          <w:szCs w:val="22"/>
          <w:lang w:val="el-GR"/>
        </w:rPr>
      </w:pPr>
    </w:p>
    <w:p w14:paraId="1DDDCF7F"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 xml:space="preserve">Υπάρχουν πολύ σπάνιες περιπτώσεις εμφάνισης συγκεκριμένων ειδών καρκίνου σε παιδιά και ενήλικες ασθενείς που λαμβάνουν adalimumab ή άλλο TNF-ανταγωνιστή. Ασθενείς με πιο σοβαρή ρευματοειδή αρθρίτιδα οι οποίοι πάσχουν από μακροχρόνια νόσο είναι πιθανό να έχουν μεγαλύτερο του μέσου όρου κίνδυνο εμφάνισης λεμφώματος (ένας καρκίνος που επηρεάζει το λεμφικό σύστημα), και λευχαιμία (ένας καρκίνος που επηρεάζει το αίμα και το μυελό των οστών). </w:t>
      </w:r>
    </w:p>
    <w:p w14:paraId="616E0623"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 xml:space="preserve">Αν πάρετε το AMGEVITA, μπορεί να αυξηθεί ο κίνδυνος εμφάνισης λεμφώματος, λευχαιμίας ή άλλων μορφών καρκίνου. Σε σπάνιες περιπτώσεις, ένας ειδικός και σοβαρός τύπος λεμφώματος έχει παρατηρηθεί σε ασθενείς που λαμβάνουν adalimumab. Σε κάποιους από αυτούς τους ασθενείς χορηγήθηκε επίσης azathiοprine ή 6-mercaptopurine. Ενημερώστε τον γιατρό σας εάν λαμβάνετε azathiοprine ή 6-mercaptopurine με AMGEVITA. </w:t>
      </w:r>
    </w:p>
    <w:p w14:paraId="54EE6619"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Επιπλέον, περιπτώσεις μη μελανωματικού καρκίνου του δέρματος έχουν παρατηρηθεί σε ασθενείς οι οποίοι λαμβάνουν adalimumab. Εάν νέες δερματικές βλάβες εμφανιστούν κατά τη διάρκεια ή μετά τη θεραπεία ή εάν υπάρχουσες δερματικές βλάβες αλλάξουν μορφή, ενημερώστε τον γιατρό σας.</w:t>
      </w:r>
    </w:p>
    <w:p w14:paraId="58CFB0CF"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Υπήρξαν περιπτώσεις καρκίνων, εκτός του λεμφώματος, σε ασθενείς με συγκεκριμένου τύπου πνευμονοπάθεια η οποία καλείται Χρόνια Αποφρακτική Πνευμονοπάθεια (ΧΑΠ) στους οποίους έχει χορηγηθεί άλλος ΤΝF-ανταγωνιστής. Εάν πάσχετε από ΧΑΠ ή καπνίζετε πολύ, θα πρέπει να συζητήσετε με τον γιατρό σας εάν η θεραπεία με έναν TNF-ανταγωνιστή είναι κατάλληλη για εσάς.</w:t>
      </w:r>
    </w:p>
    <w:p w14:paraId="32BEEC56" w14:textId="77777777" w:rsidR="00171824" w:rsidRDefault="00171824">
      <w:pPr>
        <w:pStyle w:val="ListParagraph"/>
        <w:rPr>
          <w:sz w:val="22"/>
          <w:szCs w:val="22"/>
          <w:lang w:val="el-GR"/>
        </w:rPr>
      </w:pPr>
    </w:p>
    <w:p w14:paraId="617D71BD" w14:textId="77777777" w:rsidR="00171824" w:rsidRDefault="006D258C">
      <w:pPr>
        <w:pStyle w:val="ListParagraph"/>
        <w:rPr>
          <w:sz w:val="22"/>
          <w:szCs w:val="22"/>
          <w:lang w:val="el-GR"/>
        </w:rPr>
      </w:pPr>
      <w:r>
        <w:rPr>
          <w:sz w:val="22"/>
          <w:szCs w:val="22"/>
          <w:lang w:val="el-GR"/>
        </w:rPr>
        <w:t>Αυτοάνοσ</w:t>
      </w:r>
      <w:ins w:id="111" w:author="Author">
        <w:r>
          <w:rPr>
            <w:sz w:val="22"/>
            <w:szCs w:val="22"/>
            <w:lang w:val="el-GR"/>
          </w:rPr>
          <w:t>ο</w:t>
        </w:r>
      </w:ins>
      <w:del w:id="112" w:author="Author">
        <w:r>
          <w:rPr>
            <w:sz w:val="22"/>
            <w:szCs w:val="22"/>
            <w:lang w:val="el-GR"/>
          </w:rPr>
          <w:delText>α</w:delText>
        </w:r>
      </w:del>
      <w:r>
        <w:rPr>
          <w:sz w:val="22"/>
          <w:szCs w:val="22"/>
          <w:lang w:val="el-GR"/>
        </w:rPr>
        <w:t xml:space="preserve"> </w:t>
      </w:r>
      <w:ins w:id="113" w:author="Author">
        <w:r>
          <w:rPr>
            <w:sz w:val="22"/>
            <w:szCs w:val="22"/>
            <w:lang w:val="el-GR"/>
          </w:rPr>
          <w:t>νόσημα</w:t>
        </w:r>
      </w:ins>
      <w:del w:id="114" w:author="Author">
        <w:r>
          <w:rPr>
            <w:sz w:val="22"/>
            <w:szCs w:val="22"/>
            <w:lang w:val="el-GR"/>
          </w:rPr>
          <w:delText>νοσήματα</w:delText>
        </w:r>
      </w:del>
    </w:p>
    <w:p w14:paraId="248138FA" w14:textId="77777777" w:rsidR="00171824" w:rsidRDefault="00171824">
      <w:pPr>
        <w:pStyle w:val="ListParagraph"/>
        <w:rPr>
          <w:sz w:val="22"/>
          <w:szCs w:val="22"/>
          <w:lang w:val="el-GR"/>
        </w:rPr>
      </w:pPr>
    </w:p>
    <w:p w14:paraId="0C739615"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Σε σπάνιες περιπτώσεις, η θεραπεία με το AMGEVITA μπορεί να οδηγήσει σε σύνδρομο προσομοιάζον με λύκο. Ενημερώστε τον γιατρό σας εάν παρατηρηθούν συμπτώματα όπως επίμονο ανεξήγητο εξάνθημα, πυρετός, πόνος στις αρθρώσεις ή κόπωση.</w:t>
      </w:r>
    </w:p>
    <w:p w14:paraId="49514D24" w14:textId="77777777" w:rsidR="00171824" w:rsidRDefault="00171824">
      <w:pPr>
        <w:widowControl/>
        <w:kinsoku w:val="0"/>
        <w:overflowPunct w:val="0"/>
        <w:rPr>
          <w:sz w:val="22"/>
          <w:szCs w:val="22"/>
          <w:lang w:val="el-GR"/>
        </w:rPr>
      </w:pPr>
    </w:p>
    <w:p w14:paraId="4F0929AE" w14:textId="77777777" w:rsidR="00171824" w:rsidRDefault="006D258C">
      <w:pPr>
        <w:widowControl/>
        <w:rPr>
          <w:b/>
          <w:sz w:val="22"/>
          <w:szCs w:val="22"/>
          <w:lang w:val="el-GR"/>
        </w:rPr>
      </w:pPr>
      <w:r>
        <w:rPr>
          <w:sz w:val="22"/>
          <w:szCs w:val="22"/>
          <w:lang w:val="el-GR"/>
        </w:rPr>
        <w:t>Προκειμένου να βελτιωθεί η ιχνηλασιμότητα αυτού του φαρμάκου, ο γιατρός ή ο φαρμακοποιός σας θα πρέπει να καταγράφει την ονομασία και τον αριθμό παρτίδας του προϊόντος που σας έχει δοθεί στον φάκελο ασθενούς. Θα ήταν ίσως καλό να σημειώσετε κάπου αυτά τα στοιχεία, σε περίπτωση κατά την οποία σας ζητηθούν οι συγκεκριμένες πληροφορίες στο μέλλον.</w:t>
      </w:r>
    </w:p>
    <w:p w14:paraId="2D90DC9E" w14:textId="77777777" w:rsidR="00171824" w:rsidRDefault="00171824">
      <w:pPr>
        <w:widowControl/>
        <w:kinsoku w:val="0"/>
        <w:overflowPunct w:val="0"/>
        <w:rPr>
          <w:sz w:val="22"/>
          <w:szCs w:val="22"/>
          <w:lang w:val="el-GR"/>
        </w:rPr>
      </w:pPr>
    </w:p>
    <w:p w14:paraId="296C5C29" w14:textId="77777777" w:rsidR="00171824" w:rsidRDefault="006D258C">
      <w:pPr>
        <w:keepNext/>
        <w:keepLines/>
        <w:widowControl/>
        <w:kinsoku w:val="0"/>
        <w:overflowPunct w:val="0"/>
        <w:outlineLvl w:val="0"/>
        <w:rPr>
          <w:sz w:val="22"/>
          <w:szCs w:val="22"/>
          <w:lang w:val="el-GR"/>
        </w:rPr>
      </w:pPr>
      <w:r>
        <w:rPr>
          <w:b/>
          <w:bCs/>
          <w:sz w:val="22"/>
          <w:szCs w:val="22"/>
          <w:lang w:val="el-GR"/>
        </w:rPr>
        <w:lastRenderedPageBreak/>
        <w:t>Παιδιά και έφηβοι</w:t>
      </w:r>
    </w:p>
    <w:p w14:paraId="3D1864AA" w14:textId="77777777" w:rsidR="00171824" w:rsidRDefault="00171824">
      <w:pPr>
        <w:keepNext/>
        <w:keepLines/>
        <w:widowControl/>
        <w:kinsoku w:val="0"/>
        <w:overflowPunct w:val="0"/>
        <w:rPr>
          <w:sz w:val="22"/>
          <w:szCs w:val="22"/>
          <w:lang w:val="el-GR"/>
        </w:rPr>
      </w:pPr>
    </w:p>
    <w:p w14:paraId="6BDAAA71"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Εμβολιασμοί: εάν είναι δυνατόν το παιδί σας θα πρέπει να έχει πραγματοποιήσει τους απαραίτητους εμβολιασμούς πριν χρησιμοποιήσει το AMGEVITA.</w:t>
      </w:r>
    </w:p>
    <w:p w14:paraId="3EC9A557" w14:textId="77777777" w:rsidR="00171824" w:rsidRDefault="00171824">
      <w:pPr>
        <w:widowControl/>
        <w:kinsoku w:val="0"/>
        <w:overflowPunct w:val="0"/>
        <w:rPr>
          <w:sz w:val="22"/>
          <w:szCs w:val="22"/>
          <w:lang w:val="el-GR"/>
        </w:rPr>
      </w:pPr>
    </w:p>
    <w:p w14:paraId="58D8D0D9"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Μην χορηγείτε AMGEVITA σε παιδιά με πολυαρθρική νεανική αρθρίτιδα ηλικίας κάτω των 2 ετών.</w:t>
      </w:r>
    </w:p>
    <w:p w14:paraId="10D0F14C" w14:textId="77777777" w:rsidR="00171824" w:rsidRDefault="00171824">
      <w:pPr>
        <w:pStyle w:val="ListParagraph"/>
        <w:rPr>
          <w:sz w:val="22"/>
          <w:szCs w:val="22"/>
          <w:lang w:val="el-GR"/>
        </w:rPr>
      </w:pPr>
    </w:p>
    <w:p w14:paraId="3AC5A9A1"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Μην χορηγείτε AMGEVITA σε παιδιά με ψωρίαση κατά πλάκας ηλικίας κάτω των 4 ετών.</w:t>
      </w:r>
    </w:p>
    <w:p w14:paraId="4C096818" w14:textId="77777777" w:rsidR="00171824" w:rsidRDefault="00171824">
      <w:pPr>
        <w:widowControl/>
        <w:tabs>
          <w:tab w:val="left" w:pos="567"/>
        </w:tabs>
        <w:kinsoku w:val="0"/>
        <w:overflowPunct w:val="0"/>
        <w:autoSpaceDE/>
        <w:autoSpaceDN/>
        <w:adjustRightInd/>
        <w:ind w:left="567"/>
        <w:rPr>
          <w:sz w:val="22"/>
          <w:szCs w:val="22"/>
          <w:lang w:val="el-GR"/>
        </w:rPr>
      </w:pPr>
    </w:p>
    <w:p w14:paraId="1FEB3C0F" w14:textId="77777777" w:rsidR="00171824" w:rsidRDefault="006D258C">
      <w:pPr>
        <w:widowControl/>
        <w:numPr>
          <w:ilvl w:val="0"/>
          <w:numId w:val="24"/>
        </w:numPr>
        <w:tabs>
          <w:tab w:val="left" w:pos="567"/>
        </w:tabs>
        <w:kinsoku w:val="0"/>
        <w:overflowPunct w:val="0"/>
        <w:autoSpaceDE/>
        <w:autoSpaceDN/>
        <w:adjustRightInd/>
        <w:ind w:left="567" w:hanging="567"/>
        <w:rPr>
          <w:sz w:val="22"/>
          <w:szCs w:val="22"/>
          <w:lang w:val="el-GR"/>
        </w:rPr>
      </w:pPr>
      <w:r>
        <w:rPr>
          <w:sz w:val="22"/>
          <w:szCs w:val="22"/>
          <w:lang w:val="el-GR"/>
        </w:rPr>
        <w:t xml:space="preserve">Μην χορηγείτε AMGEVITA σε παιδιά με νόσο του Crohn ή ελκώδη κολίτιδα ηλικίας κάτω των 6 ετών. </w:t>
      </w:r>
    </w:p>
    <w:p w14:paraId="1E6BCF09" w14:textId="77777777" w:rsidR="00171824" w:rsidRDefault="00171824">
      <w:pPr>
        <w:widowControl/>
        <w:tabs>
          <w:tab w:val="left" w:pos="567"/>
        </w:tabs>
        <w:kinsoku w:val="0"/>
        <w:overflowPunct w:val="0"/>
        <w:autoSpaceDE/>
        <w:autoSpaceDN/>
        <w:adjustRightInd/>
        <w:ind w:left="567"/>
        <w:rPr>
          <w:sz w:val="22"/>
          <w:szCs w:val="22"/>
          <w:lang w:val="el-GR"/>
        </w:rPr>
      </w:pPr>
    </w:p>
    <w:p w14:paraId="28F25FF7" w14:textId="77777777" w:rsidR="00171824" w:rsidRDefault="006D258C">
      <w:pPr>
        <w:keepNext/>
        <w:widowControl/>
        <w:kinsoku w:val="0"/>
        <w:overflowPunct w:val="0"/>
        <w:outlineLvl w:val="0"/>
        <w:rPr>
          <w:sz w:val="22"/>
          <w:szCs w:val="22"/>
          <w:lang w:val="el-GR"/>
        </w:rPr>
      </w:pPr>
      <w:r>
        <w:rPr>
          <w:b/>
          <w:bCs/>
          <w:sz w:val="22"/>
          <w:szCs w:val="22"/>
          <w:lang w:val="el-GR"/>
        </w:rPr>
        <w:t xml:space="preserve">Άλλα φάρμακα και AMGEVITA </w:t>
      </w:r>
    </w:p>
    <w:p w14:paraId="75585C72" w14:textId="77777777" w:rsidR="00171824" w:rsidRDefault="00171824">
      <w:pPr>
        <w:keepNext/>
        <w:widowControl/>
        <w:kinsoku w:val="0"/>
        <w:overflowPunct w:val="0"/>
        <w:rPr>
          <w:sz w:val="22"/>
          <w:szCs w:val="22"/>
          <w:lang w:val="el-GR"/>
        </w:rPr>
      </w:pPr>
    </w:p>
    <w:p w14:paraId="59DF79D3" w14:textId="77777777" w:rsidR="00171824" w:rsidRDefault="006D258C">
      <w:pPr>
        <w:widowControl/>
        <w:kinsoku w:val="0"/>
        <w:overflowPunct w:val="0"/>
        <w:rPr>
          <w:sz w:val="22"/>
          <w:szCs w:val="22"/>
          <w:lang w:val="el-GR"/>
        </w:rPr>
      </w:pPr>
      <w:r>
        <w:rPr>
          <w:sz w:val="22"/>
          <w:szCs w:val="22"/>
          <w:lang w:val="el-GR"/>
        </w:rPr>
        <w:t>Ενημερώστε τον γιατρό ή τον φαρμακοποιό σας εάν παίρνετε, έχετε πρόσφατα πάρει ή μπορεί να πάρετε άλλα φάρμακα.</w:t>
      </w:r>
    </w:p>
    <w:p w14:paraId="6D516998" w14:textId="77777777" w:rsidR="00171824" w:rsidRDefault="00171824">
      <w:pPr>
        <w:widowControl/>
        <w:kinsoku w:val="0"/>
        <w:overflowPunct w:val="0"/>
        <w:rPr>
          <w:sz w:val="22"/>
          <w:szCs w:val="22"/>
          <w:lang w:val="el-GR"/>
        </w:rPr>
      </w:pPr>
    </w:p>
    <w:p w14:paraId="674CD32B" w14:textId="77777777" w:rsidR="00171824" w:rsidRDefault="006D258C">
      <w:pPr>
        <w:widowControl/>
        <w:kinsoku w:val="0"/>
        <w:overflowPunct w:val="0"/>
        <w:rPr>
          <w:sz w:val="22"/>
          <w:szCs w:val="22"/>
          <w:lang w:val="el-GR"/>
        </w:rPr>
      </w:pPr>
      <w:r>
        <w:rPr>
          <w:sz w:val="22"/>
          <w:szCs w:val="22"/>
          <w:lang w:val="el-GR"/>
        </w:rPr>
        <w:t>Μπορείτε να λαμβάνετε το AMGEVITA μαζί με μεθοτρεξάτη ή με συγκεκριμένα τροποποιητικά της νόσου αντιρευματικά φάρμακα (σουλφασαλαζίνη, υδροξυχλωροκίνη, λεφλουνομίδη και ενέσιμα σκευάσματα χρυσού), στεροειδή ή αναλγητικά φάρμακα συμπεριλαμβανομένων των μη στεροειδών αντιφλεγμονωδών φαρμάκων (ΜΣΑΦ).</w:t>
      </w:r>
    </w:p>
    <w:p w14:paraId="094E08A4" w14:textId="77777777" w:rsidR="00171824" w:rsidRDefault="00171824">
      <w:pPr>
        <w:widowControl/>
        <w:kinsoku w:val="0"/>
        <w:overflowPunct w:val="0"/>
        <w:rPr>
          <w:sz w:val="22"/>
          <w:szCs w:val="22"/>
          <w:lang w:val="el-GR"/>
        </w:rPr>
      </w:pPr>
    </w:p>
    <w:p w14:paraId="11AE4443" w14:textId="77777777" w:rsidR="00171824" w:rsidRDefault="006D258C">
      <w:pPr>
        <w:widowControl/>
        <w:kinsoku w:val="0"/>
        <w:overflowPunct w:val="0"/>
        <w:rPr>
          <w:sz w:val="22"/>
          <w:szCs w:val="22"/>
          <w:lang w:val="el-GR"/>
        </w:rPr>
      </w:pPr>
      <w:r>
        <w:rPr>
          <w:sz w:val="22"/>
          <w:szCs w:val="22"/>
          <w:lang w:val="el-GR"/>
        </w:rPr>
        <w:t>Δε θα πρέπει να λαμβάνετε AMGEVITA με φάρμακα τα οποία περιέχουν τις δραστικές ουσίες anakinra ή abatacept</w:t>
      </w:r>
      <w:r>
        <w:rPr>
          <w:rStyle w:val="shorttext"/>
          <w:rFonts w:ascii="Arial" w:hAnsi="Arial" w:cs="Arial"/>
          <w:color w:val="222222"/>
          <w:sz w:val="22"/>
          <w:lang w:val="el-GR"/>
        </w:rPr>
        <w:t xml:space="preserve"> </w:t>
      </w:r>
      <w:r>
        <w:rPr>
          <w:sz w:val="22"/>
          <w:szCs w:val="22"/>
          <w:lang w:val="el-GR"/>
        </w:rPr>
        <w:t>εξαιτίας υψηλού κινδύνου εκδήλωσης σοβαρής λοίμωξης. Εάν έχετε ερωτήσεις, παρακαλείσθε να απευθυνθείτε στον γιατρό σας.</w:t>
      </w:r>
    </w:p>
    <w:p w14:paraId="657D7928" w14:textId="77777777" w:rsidR="00171824" w:rsidRDefault="00171824">
      <w:pPr>
        <w:widowControl/>
        <w:kinsoku w:val="0"/>
        <w:overflowPunct w:val="0"/>
        <w:rPr>
          <w:sz w:val="22"/>
          <w:szCs w:val="22"/>
          <w:lang w:val="el-GR"/>
        </w:rPr>
      </w:pPr>
    </w:p>
    <w:p w14:paraId="199DE3ED" w14:textId="77777777" w:rsidR="00171824" w:rsidRDefault="006D258C">
      <w:pPr>
        <w:widowControl/>
        <w:kinsoku w:val="0"/>
        <w:overflowPunct w:val="0"/>
        <w:outlineLvl w:val="0"/>
        <w:rPr>
          <w:sz w:val="22"/>
          <w:szCs w:val="22"/>
          <w:lang w:val="el-GR"/>
        </w:rPr>
      </w:pPr>
      <w:r>
        <w:rPr>
          <w:b/>
          <w:bCs/>
          <w:sz w:val="22"/>
          <w:szCs w:val="22"/>
          <w:lang w:val="el-GR"/>
        </w:rPr>
        <w:t>Κύηση και θηλασμός</w:t>
      </w:r>
    </w:p>
    <w:p w14:paraId="593DC041" w14:textId="77777777" w:rsidR="00171824" w:rsidRDefault="00171824">
      <w:pPr>
        <w:numPr>
          <w:ilvl w:val="12"/>
          <w:numId w:val="0"/>
        </w:numPr>
        <w:tabs>
          <w:tab w:val="left" w:pos="567"/>
        </w:tabs>
        <w:ind w:right="-2"/>
        <w:rPr>
          <w:sz w:val="22"/>
          <w:lang w:val="el-GR"/>
        </w:rPr>
      </w:pPr>
    </w:p>
    <w:p w14:paraId="3105708E"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 xml:space="preserve">Θα πρέπει να εξετάζετε την χρήση κατάλληλης αντισύλληψης για την πρόληψη της εγκυμοσύνης και να συνεχίσετε την χρήση της για τουλάχιστον 5 μήνες μετά την τελευταία θεραπεία με AMGEVITA. </w:t>
      </w:r>
    </w:p>
    <w:p w14:paraId="38BBC37D"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Εάν είστε έγκυος, νομίζετε ότι μπορεί να είστε έγκυος ή σχεδιάζετε να αποκτήσετε παιδί, ζητήστε τη συμβουλή του γιατρού σας προτού χρησιμοποιήσετε αυτό το φάρμακο.</w:t>
      </w:r>
    </w:p>
    <w:p w14:paraId="16476C54" w14:textId="77777777" w:rsidR="00171824" w:rsidRDefault="006D258C">
      <w:pPr>
        <w:keepNext/>
        <w:widowControl/>
        <w:numPr>
          <w:ilvl w:val="0"/>
          <w:numId w:val="32"/>
        </w:numPr>
        <w:autoSpaceDE/>
        <w:autoSpaceDN/>
        <w:adjustRightInd/>
        <w:ind w:left="567" w:hanging="567"/>
        <w:rPr>
          <w:sz w:val="22"/>
          <w:szCs w:val="22"/>
          <w:lang w:val="el-GR"/>
        </w:rPr>
      </w:pPr>
      <w:r>
        <w:rPr>
          <w:sz w:val="22"/>
          <w:szCs w:val="22"/>
          <w:lang w:val="el-GR"/>
        </w:rPr>
        <w:t>Το AMGEVITA πρέπει να χρησιμοποιείται κατά την διάρκεια της εγκυμοσύνης μόνο εφόσον χρειάζεται.</w:t>
      </w:r>
    </w:p>
    <w:p w14:paraId="4D1384CB"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Σύμφωνα με μια μελέτη για την εγκυμοσύνη, δεν υπήρχε μεγαλύτερος κίνδυνος για συγγενείς δυσπλασίες όταν η μητέρα είχε λάβει AMGEVITA κατά την εγκυμοσύνη σε σύγκριση με τις μητέρες που έπασχαν από την ίδια νόσο και οι οποίες δεν έλαβαν AMGEVITA.</w:t>
      </w:r>
    </w:p>
    <w:p w14:paraId="00DA3505"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Το AMGEVITA μπορεί να χρησιμοποιηθεί κατά την διάρκεια του θηλασμού.</w:t>
      </w:r>
    </w:p>
    <w:p w14:paraId="4E30A90D"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 xml:space="preserve">Εάν λαμβάνετε AMGEVITA κατά την εγκυμοσύνη σας, το μωρό σας μπορεί να διατρέχει μεγαλύτερο κίνδυνο εμφάνισης λοίμωξης. </w:t>
      </w:r>
    </w:p>
    <w:p w14:paraId="3BD24652"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Είναι σημαντικό να ενημερώσετε τους γιατρούς του μωρού σας και άλλους επαγγελματίες υγείας σχετικά με τη χρήση AMGEVITA κατά τη διάρκεια της εγκυμοσύνης σας, πριν το μωρό σας λάβει κάποιο εμβόλιο. Για περισσότερες πληροφορίες σχετικά με τον εμβολιασμό βλέπε παράγραφο «Προειδοποιήσεις και προφυλάξεις».</w:t>
      </w:r>
    </w:p>
    <w:p w14:paraId="0CE07AA1" w14:textId="77777777" w:rsidR="00171824" w:rsidRDefault="00171824">
      <w:pPr>
        <w:widowControl/>
        <w:kinsoku w:val="0"/>
        <w:overflowPunct w:val="0"/>
        <w:rPr>
          <w:sz w:val="22"/>
          <w:szCs w:val="22"/>
          <w:lang w:val="el-GR"/>
        </w:rPr>
      </w:pPr>
    </w:p>
    <w:p w14:paraId="1ACD26DE" w14:textId="77777777" w:rsidR="00171824" w:rsidRDefault="006D258C">
      <w:pPr>
        <w:widowControl/>
        <w:kinsoku w:val="0"/>
        <w:overflowPunct w:val="0"/>
        <w:outlineLvl w:val="0"/>
        <w:rPr>
          <w:sz w:val="22"/>
          <w:szCs w:val="22"/>
          <w:lang w:val="el-GR"/>
        </w:rPr>
      </w:pPr>
      <w:r>
        <w:rPr>
          <w:b/>
          <w:bCs/>
          <w:sz w:val="22"/>
          <w:szCs w:val="22"/>
          <w:lang w:val="el-GR"/>
        </w:rPr>
        <w:t>Οδήγηση και χειρισμός μηχανημάτων</w:t>
      </w:r>
    </w:p>
    <w:p w14:paraId="4B58C4DA" w14:textId="77777777" w:rsidR="00171824" w:rsidRDefault="00171824">
      <w:pPr>
        <w:widowControl/>
        <w:kinsoku w:val="0"/>
        <w:overflowPunct w:val="0"/>
        <w:rPr>
          <w:sz w:val="22"/>
          <w:szCs w:val="22"/>
          <w:lang w:val="el-GR"/>
        </w:rPr>
      </w:pPr>
    </w:p>
    <w:p w14:paraId="2784AD7F" w14:textId="77777777" w:rsidR="00171824" w:rsidRDefault="006D258C">
      <w:pPr>
        <w:widowControl/>
        <w:kinsoku w:val="0"/>
        <w:overflowPunct w:val="0"/>
        <w:rPr>
          <w:sz w:val="22"/>
          <w:szCs w:val="22"/>
          <w:lang w:val="el-GR"/>
        </w:rPr>
      </w:pPr>
      <w:r>
        <w:rPr>
          <w:sz w:val="22"/>
          <w:szCs w:val="22"/>
          <w:lang w:val="el-GR"/>
        </w:rPr>
        <w:t>Το AMGEVITA μπορεί να έχει μικρή επίδραση στην ικανότητά σας για οδήγηση, ποδηλασία ή χειρισμού μηχανημάτων. Αίσθηση στροβιλισμού του δωματίου (ίλιγγος) και διαταραχές της όρασης μπορεί να προκύψουν μετά τη λήψη του AMGEVITA.</w:t>
      </w:r>
    </w:p>
    <w:p w14:paraId="2800B3DC" w14:textId="77777777" w:rsidR="00171824" w:rsidRDefault="00171824">
      <w:pPr>
        <w:widowControl/>
        <w:kinsoku w:val="0"/>
        <w:overflowPunct w:val="0"/>
        <w:rPr>
          <w:sz w:val="22"/>
          <w:szCs w:val="22"/>
          <w:lang w:val="el-GR"/>
        </w:rPr>
      </w:pPr>
    </w:p>
    <w:p w14:paraId="3E00C6C7" w14:textId="77777777" w:rsidR="00171824" w:rsidRDefault="006D258C">
      <w:pPr>
        <w:keepNext/>
        <w:keepLines/>
        <w:widowControl/>
        <w:numPr>
          <w:ilvl w:val="12"/>
          <w:numId w:val="0"/>
        </w:numPr>
        <w:ind w:right="-2"/>
        <w:outlineLvl w:val="0"/>
        <w:rPr>
          <w:b/>
          <w:sz w:val="22"/>
          <w:szCs w:val="22"/>
          <w:lang w:val="el-GR"/>
        </w:rPr>
      </w:pPr>
      <w:r>
        <w:rPr>
          <w:b/>
          <w:sz w:val="22"/>
          <w:szCs w:val="22"/>
          <w:lang w:val="el-GR"/>
        </w:rPr>
        <w:lastRenderedPageBreak/>
        <w:t>Το AMGEVITA περιέχει νάτριο</w:t>
      </w:r>
    </w:p>
    <w:p w14:paraId="3ED6A18D" w14:textId="77777777" w:rsidR="00171824" w:rsidRDefault="00171824">
      <w:pPr>
        <w:keepNext/>
        <w:keepLines/>
        <w:widowControl/>
        <w:numPr>
          <w:ilvl w:val="12"/>
          <w:numId w:val="0"/>
        </w:numPr>
        <w:rPr>
          <w:sz w:val="22"/>
          <w:szCs w:val="22"/>
          <w:lang w:val="el-GR"/>
        </w:rPr>
      </w:pPr>
    </w:p>
    <w:p w14:paraId="4B006F38" w14:textId="77777777" w:rsidR="00171824" w:rsidRDefault="006D258C">
      <w:pPr>
        <w:widowControl/>
        <w:numPr>
          <w:ilvl w:val="12"/>
          <w:numId w:val="0"/>
        </w:numPr>
        <w:rPr>
          <w:sz w:val="22"/>
          <w:szCs w:val="22"/>
          <w:lang w:val="el-GR"/>
        </w:rPr>
      </w:pPr>
      <w:r>
        <w:rPr>
          <w:sz w:val="22"/>
          <w:szCs w:val="22"/>
          <w:lang w:val="el-GR"/>
        </w:rPr>
        <w:t>Αυτό το φάρμακο περιέχει λιγότερο από 1 mmol νατρίου (23 mg) ανά δόση των 0,8 ml, είναι αυτό που ονομάζουμε «ελεύθερο νατρίου».</w:t>
      </w:r>
    </w:p>
    <w:p w14:paraId="6AB79EBE" w14:textId="77777777" w:rsidR="00171824" w:rsidRDefault="00171824">
      <w:pPr>
        <w:widowControl/>
        <w:kinsoku w:val="0"/>
        <w:overflowPunct w:val="0"/>
        <w:rPr>
          <w:sz w:val="22"/>
          <w:szCs w:val="22"/>
          <w:lang w:val="el-GR"/>
        </w:rPr>
      </w:pPr>
    </w:p>
    <w:p w14:paraId="2151D257" w14:textId="77777777" w:rsidR="00171824" w:rsidRDefault="00171824">
      <w:pPr>
        <w:widowControl/>
        <w:kinsoku w:val="0"/>
        <w:overflowPunct w:val="0"/>
        <w:rPr>
          <w:sz w:val="22"/>
          <w:szCs w:val="22"/>
          <w:lang w:val="el-GR"/>
        </w:rPr>
      </w:pPr>
    </w:p>
    <w:p w14:paraId="5AFF1BFC" w14:textId="77777777" w:rsidR="00171824" w:rsidRDefault="006D258C">
      <w:pPr>
        <w:keepNext/>
        <w:widowControl/>
        <w:numPr>
          <w:ilvl w:val="0"/>
          <w:numId w:val="31"/>
        </w:numPr>
        <w:tabs>
          <w:tab w:val="left" w:pos="567"/>
        </w:tabs>
        <w:kinsoku w:val="0"/>
        <w:overflowPunct w:val="0"/>
        <w:autoSpaceDE/>
        <w:autoSpaceDN/>
        <w:adjustRightInd/>
        <w:ind w:left="567"/>
        <w:outlineLvl w:val="0"/>
        <w:rPr>
          <w:sz w:val="22"/>
          <w:szCs w:val="22"/>
          <w:lang w:val="el-GR"/>
        </w:rPr>
      </w:pPr>
      <w:r>
        <w:rPr>
          <w:b/>
          <w:bCs/>
          <w:sz w:val="22"/>
          <w:szCs w:val="22"/>
          <w:lang w:val="el-GR"/>
        </w:rPr>
        <w:t xml:space="preserve">Πώς να χρησιμοποιήσετε το AMGEVITA </w:t>
      </w:r>
    </w:p>
    <w:p w14:paraId="07E17E39" w14:textId="77777777" w:rsidR="00171824" w:rsidRDefault="00171824">
      <w:pPr>
        <w:keepNext/>
        <w:widowControl/>
        <w:kinsoku w:val="0"/>
        <w:overflowPunct w:val="0"/>
        <w:rPr>
          <w:sz w:val="22"/>
          <w:szCs w:val="22"/>
          <w:lang w:val="el-GR"/>
        </w:rPr>
      </w:pPr>
    </w:p>
    <w:p w14:paraId="70B404DB" w14:textId="77777777" w:rsidR="00171824" w:rsidRDefault="006D258C">
      <w:pPr>
        <w:keepNext/>
        <w:widowControl/>
        <w:kinsoku w:val="0"/>
        <w:overflowPunct w:val="0"/>
        <w:rPr>
          <w:sz w:val="22"/>
          <w:szCs w:val="22"/>
          <w:lang w:val="el-GR"/>
        </w:rPr>
      </w:pPr>
      <w:r>
        <w:rPr>
          <w:sz w:val="22"/>
          <w:szCs w:val="22"/>
          <w:lang w:val="el-GR"/>
        </w:rPr>
        <w:t xml:space="preserve">Πάντοτε να χρησιμοποιείτε το φάρμακο αυτό αυστηρά σύμφωνα με τις οδηγίες του γιατρού ή του φαρμακοποιού σας. Εάν έχετε αμφιβολίες, ρωτήστε τον γιατρό ή τον φαρμακοποιό σας. </w:t>
      </w:r>
    </w:p>
    <w:p w14:paraId="452B2F95" w14:textId="77777777" w:rsidR="00171824" w:rsidRDefault="00171824">
      <w:pPr>
        <w:widowControl/>
        <w:kinsoku w:val="0"/>
        <w:overflowPunct w:val="0"/>
        <w:rPr>
          <w:sz w:val="22"/>
          <w:szCs w:val="22"/>
          <w:lang w:val="el-GR"/>
        </w:rPr>
      </w:pPr>
    </w:p>
    <w:p w14:paraId="24CD41DE" w14:textId="77777777" w:rsidR="00171824" w:rsidRDefault="006D258C">
      <w:pPr>
        <w:widowControl/>
        <w:kinsoku w:val="0"/>
        <w:overflowPunct w:val="0"/>
        <w:rPr>
          <w:sz w:val="22"/>
          <w:szCs w:val="22"/>
          <w:lang w:val="el-GR"/>
        </w:rPr>
      </w:pPr>
      <w:r>
        <w:rPr>
          <w:sz w:val="22"/>
          <w:szCs w:val="22"/>
          <w:u w:val="single"/>
          <w:lang w:val="el-GR"/>
        </w:rPr>
        <w:t>Ενήλικες με ρευματοειδή αρθρίτιδα, ψωριασική αρθρίτιδα, αγκυλοποιητική σπονδυλίτιδα ή αξονική</w:t>
      </w:r>
      <w:r>
        <w:rPr>
          <w:sz w:val="22"/>
          <w:szCs w:val="22"/>
          <w:lang w:val="el-GR"/>
        </w:rPr>
        <w:t xml:space="preserve"> </w:t>
      </w:r>
      <w:r>
        <w:rPr>
          <w:sz w:val="22"/>
          <w:szCs w:val="22"/>
          <w:u w:val="single"/>
          <w:lang w:val="el-GR"/>
        </w:rPr>
        <w:t>σπονδυλαρθρίτιδα χωρίς ακτινολογικά ευρήματα αγκυλοποιητικής σπονδυλίτιδας</w:t>
      </w:r>
    </w:p>
    <w:p w14:paraId="7164BA36" w14:textId="77777777" w:rsidR="00171824" w:rsidRDefault="00171824">
      <w:pPr>
        <w:widowControl/>
        <w:kinsoku w:val="0"/>
        <w:overflowPunct w:val="0"/>
        <w:rPr>
          <w:sz w:val="22"/>
          <w:szCs w:val="22"/>
          <w:lang w:val="el-GR"/>
        </w:rPr>
      </w:pPr>
    </w:p>
    <w:p w14:paraId="40489E48" w14:textId="77777777" w:rsidR="00171824" w:rsidRDefault="006D258C">
      <w:pPr>
        <w:widowControl/>
        <w:kinsoku w:val="0"/>
        <w:overflowPunct w:val="0"/>
        <w:rPr>
          <w:sz w:val="22"/>
          <w:szCs w:val="22"/>
          <w:lang w:val="el-GR"/>
        </w:rPr>
      </w:pPr>
      <w:r>
        <w:rPr>
          <w:sz w:val="22"/>
          <w:szCs w:val="22"/>
          <w:lang w:val="el-GR"/>
        </w:rPr>
        <w:t>Το AMGEVITA ενίεται κάτω από το δέρμα (υποδόρια χρήση). Η συνηθισμένη δοσολογία για ενήλικες με ρευματοειδή αρθρίτιδα, αγκυλοποιητική σπονδυλίτιδα, αξονική σπονδυλαρθρίτιδα χωρίς ακτινολογικά ευρήματα αγκυλοποιητικής σπονδυλίτιδας και για ασθενείς με ψωριασική αρθρίτιδα είναι 40 mg ανά δεύτερη εβδομάδα ως εφάπαξ δόση.</w:t>
      </w:r>
    </w:p>
    <w:p w14:paraId="3CED02F4" w14:textId="77777777" w:rsidR="00171824" w:rsidRDefault="00171824">
      <w:pPr>
        <w:widowControl/>
        <w:kinsoku w:val="0"/>
        <w:overflowPunct w:val="0"/>
        <w:rPr>
          <w:sz w:val="22"/>
          <w:szCs w:val="22"/>
          <w:lang w:val="el-GR"/>
        </w:rPr>
      </w:pPr>
    </w:p>
    <w:p w14:paraId="6B971976" w14:textId="77777777" w:rsidR="00171824" w:rsidRDefault="006D258C">
      <w:pPr>
        <w:widowControl/>
        <w:kinsoku w:val="0"/>
        <w:overflowPunct w:val="0"/>
        <w:jc w:val="both"/>
        <w:rPr>
          <w:sz w:val="22"/>
          <w:szCs w:val="22"/>
          <w:lang w:val="el-GR"/>
        </w:rPr>
      </w:pPr>
      <w:r>
        <w:rPr>
          <w:sz w:val="22"/>
          <w:szCs w:val="22"/>
          <w:lang w:val="el-GR"/>
        </w:rPr>
        <w:t>Στη ρευματοειδή αρθρίτιδα η χορήγηση της μεθοτρεξάτης συνεχίζεται όσο χορηγείται το AMGEVITA. Eάν ο γιατρός σας καθορίσει ότι η χορήγηση της μεθοτρεξάτης είναι ακατάλληλη, τότε το AMGEVITA μπορεί να χορηγηθεί μόνο του.</w:t>
      </w:r>
    </w:p>
    <w:p w14:paraId="1EB8C75E" w14:textId="77777777" w:rsidR="00171824" w:rsidRDefault="00171824">
      <w:pPr>
        <w:widowControl/>
        <w:kinsoku w:val="0"/>
        <w:overflowPunct w:val="0"/>
        <w:rPr>
          <w:sz w:val="22"/>
          <w:szCs w:val="22"/>
          <w:lang w:val="el-GR"/>
        </w:rPr>
      </w:pPr>
    </w:p>
    <w:p w14:paraId="31C53299" w14:textId="77777777" w:rsidR="00171824" w:rsidRDefault="006D258C">
      <w:pPr>
        <w:widowControl/>
        <w:kinsoku w:val="0"/>
        <w:overflowPunct w:val="0"/>
        <w:rPr>
          <w:sz w:val="22"/>
          <w:szCs w:val="22"/>
          <w:lang w:val="el-GR"/>
        </w:rPr>
      </w:pPr>
      <w:r>
        <w:rPr>
          <w:sz w:val="22"/>
          <w:szCs w:val="22"/>
          <w:lang w:val="el-GR"/>
        </w:rPr>
        <w:t>Εάν πάσχετε από ρευματοειδή αρθρίτιδα και δε λαμβάνετε μεθοτρεξάτη μαζί με το AMGEVITA, o γιατρός σας μπορεί να αποφασίσει να σας χορηγήσει 40 mg κάθε εβδομάδα ή 80 mg κάθε δεύτερη εβδομάδα.</w:t>
      </w:r>
    </w:p>
    <w:p w14:paraId="7532DC10" w14:textId="77777777" w:rsidR="00171824" w:rsidRDefault="00171824">
      <w:pPr>
        <w:widowControl/>
        <w:kinsoku w:val="0"/>
        <w:overflowPunct w:val="0"/>
        <w:rPr>
          <w:sz w:val="22"/>
          <w:szCs w:val="22"/>
          <w:lang w:val="el-GR"/>
        </w:rPr>
      </w:pPr>
    </w:p>
    <w:p w14:paraId="3B3152C4" w14:textId="77777777" w:rsidR="00171824" w:rsidRDefault="006D258C">
      <w:pPr>
        <w:keepNext/>
        <w:widowControl/>
        <w:kinsoku w:val="0"/>
        <w:overflowPunct w:val="0"/>
        <w:rPr>
          <w:sz w:val="22"/>
          <w:szCs w:val="22"/>
          <w:lang w:val="el-GR"/>
        </w:rPr>
      </w:pPr>
      <w:r>
        <w:rPr>
          <w:sz w:val="22"/>
          <w:szCs w:val="22"/>
          <w:u w:val="single"/>
          <w:lang w:val="el-GR"/>
        </w:rPr>
        <w:t>Παιδιά, έφηβοι και ενήλικες με πολυαρθρική νεανική ιδιοπαθή αρθρίτιδα</w:t>
      </w:r>
    </w:p>
    <w:p w14:paraId="6E40F3E7" w14:textId="77777777" w:rsidR="00171824" w:rsidRDefault="00171824">
      <w:pPr>
        <w:widowControl/>
        <w:kinsoku w:val="0"/>
        <w:overflowPunct w:val="0"/>
        <w:rPr>
          <w:sz w:val="22"/>
          <w:szCs w:val="22"/>
          <w:lang w:val="el-GR"/>
        </w:rPr>
      </w:pPr>
    </w:p>
    <w:p w14:paraId="4CD9E8CB" w14:textId="77777777" w:rsidR="00171824" w:rsidRDefault="006D258C">
      <w:pPr>
        <w:widowControl/>
        <w:kinsoku w:val="0"/>
        <w:overflowPunct w:val="0"/>
        <w:rPr>
          <w:sz w:val="22"/>
          <w:szCs w:val="22"/>
          <w:lang w:val="el-GR"/>
        </w:rPr>
      </w:pPr>
      <w:r>
        <w:rPr>
          <w:i/>
          <w:sz w:val="22"/>
          <w:szCs w:val="22"/>
          <w:lang w:val="el-GR"/>
        </w:rPr>
        <w:t xml:space="preserve">Παιδιά, έφηβοι και ενήλικες από την ηλικία των 2 ετών με βάρος 30 kg ή περισσότερο </w:t>
      </w:r>
    </w:p>
    <w:p w14:paraId="5EC48198" w14:textId="77777777" w:rsidR="00171824" w:rsidRDefault="00171824">
      <w:pPr>
        <w:widowControl/>
        <w:kinsoku w:val="0"/>
        <w:overflowPunct w:val="0"/>
        <w:rPr>
          <w:sz w:val="22"/>
          <w:szCs w:val="22"/>
          <w:lang w:val="el-GR"/>
        </w:rPr>
      </w:pPr>
    </w:p>
    <w:p w14:paraId="33AC99DB"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40 mg χορηγούμενο κάθε δεύτερη εβδομάδα.</w:t>
      </w:r>
    </w:p>
    <w:p w14:paraId="7F974723" w14:textId="77777777" w:rsidR="00171824" w:rsidRDefault="00171824">
      <w:pPr>
        <w:widowControl/>
        <w:kinsoku w:val="0"/>
        <w:overflowPunct w:val="0"/>
        <w:rPr>
          <w:sz w:val="22"/>
          <w:szCs w:val="22"/>
          <w:lang w:val="el-GR"/>
        </w:rPr>
      </w:pPr>
    </w:p>
    <w:p w14:paraId="69910F16" w14:textId="77777777" w:rsidR="00171824" w:rsidRDefault="006D258C">
      <w:pPr>
        <w:pStyle w:val="BodyText"/>
        <w:widowControl/>
        <w:kinsoku w:val="0"/>
        <w:overflowPunct w:val="0"/>
        <w:ind w:left="0"/>
        <w:rPr>
          <w:u w:val="single"/>
          <w:lang w:val="el-GR"/>
        </w:rPr>
      </w:pPr>
      <w:r>
        <w:rPr>
          <w:u w:val="single"/>
          <w:lang w:val="el-GR"/>
        </w:rPr>
        <w:t>Παιδιά, έφηβοι και ενήλικες με αρθρίτιδα σχετιζόμενη με ενθεσίτιδα</w:t>
      </w:r>
    </w:p>
    <w:p w14:paraId="7CFCA51E" w14:textId="77777777" w:rsidR="00171824" w:rsidRDefault="00171824">
      <w:pPr>
        <w:pStyle w:val="BodyText"/>
        <w:widowControl/>
        <w:kinsoku w:val="0"/>
        <w:overflowPunct w:val="0"/>
        <w:ind w:left="0"/>
        <w:rPr>
          <w:u w:val="single"/>
          <w:lang w:val="el-GR"/>
        </w:rPr>
      </w:pPr>
    </w:p>
    <w:p w14:paraId="03575FD8" w14:textId="77777777" w:rsidR="00171824" w:rsidRDefault="006D258C">
      <w:pPr>
        <w:widowControl/>
        <w:kinsoku w:val="0"/>
        <w:overflowPunct w:val="0"/>
        <w:rPr>
          <w:i/>
          <w:sz w:val="22"/>
          <w:szCs w:val="22"/>
          <w:lang w:val="el-GR"/>
        </w:rPr>
      </w:pPr>
      <w:r>
        <w:rPr>
          <w:i/>
          <w:sz w:val="22"/>
          <w:szCs w:val="22"/>
          <w:lang w:val="el-GR"/>
        </w:rPr>
        <w:t xml:space="preserve">Παιδιά, έφηβοι και ενήλικες από την ηλικία των 6 ετών με βάρος 30 kg ή περισσότερο </w:t>
      </w:r>
    </w:p>
    <w:p w14:paraId="4A04A355" w14:textId="77777777" w:rsidR="00171824" w:rsidRDefault="00171824">
      <w:pPr>
        <w:widowControl/>
        <w:kinsoku w:val="0"/>
        <w:overflowPunct w:val="0"/>
        <w:rPr>
          <w:sz w:val="22"/>
          <w:szCs w:val="22"/>
          <w:u w:val="single"/>
          <w:lang w:val="el-GR"/>
        </w:rPr>
      </w:pPr>
    </w:p>
    <w:p w14:paraId="2EFAC0C2"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40 mg κάθε δεύτερη εβδομάδα.</w:t>
      </w:r>
    </w:p>
    <w:p w14:paraId="64C193E3" w14:textId="77777777" w:rsidR="00171824" w:rsidRDefault="00171824">
      <w:pPr>
        <w:widowControl/>
        <w:kinsoku w:val="0"/>
        <w:overflowPunct w:val="0"/>
        <w:rPr>
          <w:sz w:val="22"/>
          <w:szCs w:val="22"/>
          <w:u w:val="single"/>
          <w:lang w:val="el-GR"/>
        </w:rPr>
      </w:pPr>
    </w:p>
    <w:p w14:paraId="71535B41" w14:textId="77777777" w:rsidR="00171824" w:rsidRDefault="006D258C">
      <w:pPr>
        <w:keepNext/>
        <w:widowControl/>
        <w:kinsoku w:val="0"/>
        <w:overflowPunct w:val="0"/>
        <w:rPr>
          <w:sz w:val="22"/>
          <w:szCs w:val="22"/>
          <w:lang w:val="el-GR"/>
        </w:rPr>
      </w:pPr>
      <w:r>
        <w:rPr>
          <w:sz w:val="22"/>
          <w:szCs w:val="22"/>
          <w:u w:val="single"/>
          <w:lang w:val="el-GR"/>
        </w:rPr>
        <w:t>Ενήλικες με ψωρίαση κατά πλάκας</w:t>
      </w:r>
    </w:p>
    <w:p w14:paraId="25E0CD1E" w14:textId="77777777" w:rsidR="00171824" w:rsidRDefault="00171824">
      <w:pPr>
        <w:keepNext/>
        <w:widowControl/>
        <w:kinsoku w:val="0"/>
        <w:overflowPunct w:val="0"/>
        <w:rPr>
          <w:sz w:val="22"/>
          <w:szCs w:val="22"/>
          <w:lang w:val="el-GR"/>
        </w:rPr>
      </w:pPr>
    </w:p>
    <w:p w14:paraId="3C29BF28" w14:textId="77777777" w:rsidR="00171824" w:rsidRDefault="006D258C">
      <w:pPr>
        <w:widowControl/>
        <w:kinsoku w:val="0"/>
        <w:overflowPunct w:val="0"/>
        <w:rPr>
          <w:sz w:val="22"/>
          <w:szCs w:val="22"/>
          <w:lang w:val="el-GR"/>
        </w:rPr>
      </w:pPr>
      <w:r>
        <w:rPr>
          <w:sz w:val="22"/>
          <w:szCs w:val="22"/>
          <w:lang w:val="el-GR"/>
        </w:rPr>
        <w:t>Η συνήθης δόση για τους ενήλικες με ψωρίαση κατά πλάκας είναι αρχική δόση 80 mg, (ωςδύο ενέσεις των 40 mg σε μία ημέρα) η οποία ακολουθείται από 40 mg χορηγούμενη κάθε δεύτερη εβδομάδα ξεκινώντας μια εβδομάδα μετά την αρχική δόση. Θα πρέπει να συνεχίσετε τις ενέσεις AMGEVITA για όσο χρόνο σας υποδείξει ο γιατρός σας. Ανάλογα με την ανταπόκρισή σας, ο γιατρός σας μπορεί να αυξήσει τη δόση σε 40 mg κάθε εβδομάδα ή 80 mg κάθε δεύτερη εβδομάδα.</w:t>
      </w:r>
    </w:p>
    <w:p w14:paraId="28973168" w14:textId="77777777" w:rsidR="00171824" w:rsidRDefault="00171824">
      <w:pPr>
        <w:widowControl/>
        <w:kinsoku w:val="0"/>
        <w:overflowPunct w:val="0"/>
        <w:rPr>
          <w:sz w:val="22"/>
          <w:szCs w:val="22"/>
          <w:lang w:val="el-GR"/>
        </w:rPr>
      </w:pPr>
    </w:p>
    <w:p w14:paraId="4B4F2E62" w14:textId="77777777" w:rsidR="00171824" w:rsidRDefault="006D258C">
      <w:pPr>
        <w:keepNext/>
        <w:widowControl/>
        <w:kinsoku w:val="0"/>
        <w:overflowPunct w:val="0"/>
        <w:rPr>
          <w:sz w:val="22"/>
          <w:szCs w:val="22"/>
          <w:u w:val="single"/>
          <w:lang w:val="el-GR"/>
        </w:rPr>
      </w:pPr>
      <w:r>
        <w:rPr>
          <w:sz w:val="22"/>
          <w:szCs w:val="22"/>
          <w:u w:val="single"/>
          <w:lang w:val="el-GR"/>
        </w:rPr>
        <w:t>Παιδιά και έφηβοι με ψωρίαση κατά πλάκας</w:t>
      </w:r>
    </w:p>
    <w:p w14:paraId="37B34A02" w14:textId="77777777" w:rsidR="00171824" w:rsidRDefault="00171824">
      <w:pPr>
        <w:keepNext/>
        <w:widowControl/>
        <w:kinsoku w:val="0"/>
        <w:overflowPunct w:val="0"/>
        <w:rPr>
          <w:sz w:val="22"/>
          <w:szCs w:val="22"/>
          <w:u w:val="single"/>
          <w:lang w:val="el-GR"/>
        </w:rPr>
      </w:pPr>
    </w:p>
    <w:p w14:paraId="742AF17C" w14:textId="77777777" w:rsidR="00171824" w:rsidRDefault="006D258C">
      <w:pPr>
        <w:widowControl/>
        <w:kinsoku w:val="0"/>
        <w:overflowPunct w:val="0"/>
        <w:rPr>
          <w:sz w:val="22"/>
          <w:szCs w:val="22"/>
          <w:lang w:val="el-GR"/>
        </w:rPr>
      </w:pPr>
      <w:r>
        <w:rPr>
          <w:i/>
          <w:sz w:val="22"/>
          <w:szCs w:val="22"/>
          <w:lang w:val="el-GR"/>
        </w:rPr>
        <w:t xml:space="preserve">Παιδιά και έφηβοι από την ηλικία των 4 έως 17 ετών με βάρος 30 kg ή περισσότερο </w:t>
      </w:r>
    </w:p>
    <w:p w14:paraId="2E7F1C2E" w14:textId="77777777" w:rsidR="00171824" w:rsidRDefault="00171824">
      <w:pPr>
        <w:widowControl/>
        <w:kinsoku w:val="0"/>
        <w:overflowPunct w:val="0"/>
        <w:rPr>
          <w:sz w:val="22"/>
          <w:szCs w:val="22"/>
          <w:lang w:val="el-GR"/>
        </w:rPr>
      </w:pPr>
    </w:p>
    <w:p w14:paraId="5D68ED8C"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αρχική δόση 40 mg, ακολουθούμενη από 40 mg μια εβδομάδα μετά. Κατόπιν, η συνήθης δόση είναι 40 mg κάθε δεύτερη εβδομάδα.</w:t>
      </w:r>
    </w:p>
    <w:p w14:paraId="1D6DEFB9" w14:textId="77777777" w:rsidR="00171824" w:rsidRDefault="00171824">
      <w:pPr>
        <w:widowControl/>
        <w:kinsoku w:val="0"/>
        <w:overflowPunct w:val="0"/>
        <w:rPr>
          <w:sz w:val="22"/>
          <w:szCs w:val="22"/>
          <w:u w:val="single"/>
          <w:lang w:val="el-GR"/>
        </w:rPr>
      </w:pPr>
    </w:p>
    <w:p w14:paraId="1D925A36" w14:textId="77777777" w:rsidR="00171824" w:rsidRDefault="006D258C">
      <w:pPr>
        <w:keepNext/>
        <w:widowControl/>
        <w:kinsoku w:val="0"/>
        <w:overflowPunct w:val="0"/>
        <w:rPr>
          <w:sz w:val="22"/>
          <w:szCs w:val="22"/>
          <w:lang w:val="el-GR"/>
        </w:rPr>
      </w:pPr>
      <w:r>
        <w:rPr>
          <w:sz w:val="22"/>
          <w:szCs w:val="22"/>
          <w:u w:val="single"/>
          <w:lang w:val="el-GR"/>
        </w:rPr>
        <w:lastRenderedPageBreak/>
        <w:t>Ενήλικες με διαπυητική ιδρωταδενίτιδα</w:t>
      </w:r>
    </w:p>
    <w:p w14:paraId="129B8078" w14:textId="77777777" w:rsidR="00171824" w:rsidRDefault="00171824">
      <w:pPr>
        <w:keepNext/>
        <w:widowControl/>
        <w:kinsoku w:val="0"/>
        <w:overflowPunct w:val="0"/>
        <w:rPr>
          <w:sz w:val="22"/>
          <w:szCs w:val="22"/>
          <w:lang w:val="el-GR"/>
        </w:rPr>
      </w:pPr>
    </w:p>
    <w:p w14:paraId="729C2D91" w14:textId="77777777" w:rsidR="00171824" w:rsidRDefault="006D258C">
      <w:pPr>
        <w:widowControl/>
        <w:kinsoku w:val="0"/>
        <w:overflowPunct w:val="0"/>
        <w:jc w:val="both"/>
        <w:rPr>
          <w:sz w:val="22"/>
          <w:szCs w:val="22"/>
          <w:lang w:val="el-GR"/>
        </w:rPr>
      </w:pPr>
      <w:r>
        <w:rPr>
          <w:sz w:val="22"/>
          <w:szCs w:val="22"/>
          <w:lang w:val="el-GR"/>
        </w:rPr>
        <w:t>Το σύνηθες δοσολογικό σχήμα για τη διαπυητική ιδρωταδενίτιδα είναι μια αρχική δόση 160 mg (δηλ τέσσερις ενέσεις 40 mg σε μία ημέρα ή δύο ενέσεις 40 mg ημερησίως για δύο συνεχόμενες ημέρες), ακολουθούμενη από μία δόση 80 mg (δηλ δύο ενέσεις 40 mg σε μία ημέρα) δύο εβδομάδες αργότερα. Μετά από δύο επιπλέον εβδομάδες, συνεχίστε με μια δόση 40 mg κάθε εβδομάδα</w:t>
      </w:r>
      <w:r>
        <w:rPr>
          <w:sz w:val="22"/>
          <w:lang w:val="el-GR"/>
        </w:rPr>
        <w:t xml:space="preserve"> </w:t>
      </w:r>
      <w:r>
        <w:rPr>
          <w:sz w:val="22"/>
          <w:szCs w:val="22"/>
          <w:lang w:val="el-GR"/>
        </w:rPr>
        <w:t>ή 80 mg κάθε δεύτερη εβδομάδα , όπως σας έχει συνταγογραφήσει ο γιατρός σας. Συνιστάται η καθημερινή χρήση αντισηπτικού σαπουνιού στις προσβεβλημένες περιοχές.</w:t>
      </w:r>
    </w:p>
    <w:p w14:paraId="6C8D19CC" w14:textId="77777777" w:rsidR="00171824" w:rsidRDefault="00171824">
      <w:pPr>
        <w:widowControl/>
        <w:kinsoku w:val="0"/>
        <w:overflowPunct w:val="0"/>
        <w:rPr>
          <w:sz w:val="22"/>
          <w:szCs w:val="22"/>
          <w:lang w:val="el-GR"/>
        </w:rPr>
      </w:pPr>
    </w:p>
    <w:p w14:paraId="7C238657" w14:textId="77777777" w:rsidR="00171824" w:rsidRDefault="006D258C">
      <w:pPr>
        <w:rPr>
          <w:sz w:val="22"/>
          <w:szCs w:val="22"/>
          <w:u w:val="single"/>
          <w:lang w:val="el-GR"/>
        </w:rPr>
      </w:pPr>
      <w:r>
        <w:rPr>
          <w:sz w:val="22"/>
          <w:szCs w:val="22"/>
          <w:u w:val="single"/>
          <w:lang w:val="el-GR"/>
        </w:rPr>
        <w:t>Έφηβοι με διαπυητική ιδρωταδενίτιδα από 12 έως 17 ετών βάρους 30 kg και άνω</w:t>
      </w:r>
    </w:p>
    <w:p w14:paraId="79E5B2B6" w14:textId="77777777" w:rsidR="00171824" w:rsidRDefault="00171824">
      <w:pPr>
        <w:rPr>
          <w:sz w:val="22"/>
          <w:szCs w:val="22"/>
          <w:lang w:val="el-GR"/>
        </w:rPr>
      </w:pPr>
    </w:p>
    <w:p w14:paraId="7C05DABD" w14:textId="77777777" w:rsidR="00171824" w:rsidRDefault="006D258C">
      <w:pPr>
        <w:rPr>
          <w:sz w:val="22"/>
          <w:szCs w:val="22"/>
          <w:lang w:val="el-GR"/>
        </w:rPr>
      </w:pPr>
      <w:r>
        <w:rPr>
          <w:sz w:val="22"/>
          <w:szCs w:val="22"/>
          <w:lang w:val="el-GR"/>
        </w:rPr>
        <w:t>Η συνιστώμενη δόση του AMGEVITA είναι μία αρχική δόση 80 mg (ως δυο ενέσεις 40 mg σε μία ημέρα), ακολουθούμενη από 40 mg κάθε δεύτερη εβδομάδα, ξεκινώντας μια εβδομάδα αργότερα. Εάν έχετε ανεπαρκή ανταπόκριση στο AMGEVITA 40 mg κάθε δεύτερη εβδομάδα, ο γιατρός σας μπορεί να αυξήσει τη δόση σας σε 40 mg κάθε εβδομάδα ή 80 mg κάθε δεύτερη εβδομάδα.</w:t>
      </w:r>
    </w:p>
    <w:p w14:paraId="07A570C9" w14:textId="77777777" w:rsidR="00171824" w:rsidRDefault="00171824">
      <w:pPr>
        <w:rPr>
          <w:sz w:val="22"/>
          <w:szCs w:val="22"/>
          <w:lang w:val="el-GR"/>
        </w:rPr>
      </w:pPr>
    </w:p>
    <w:p w14:paraId="70E486B0" w14:textId="77777777" w:rsidR="00171824" w:rsidRDefault="006D258C">
      <w:pPr>
        <w:rPr>
          <w:sz w:val="22"/>
          <w:szCs w:val="22"/>
          <w:lang w:val="el-GR"/>
        </w:rPr>
      </w:pPr>
      <w:r>
        <w:rPr>
          <w:sz w:val="22"/>
          <w:szCs w:val="22"/>
          <w:lang w:val="el-GR"/>
        </w:rPr>
        <w:t>Συνιστάται η καθημερινή χρήση αντισηπτικού σαπουνιού στις προσβεβλημένες περιοχές.</w:t>
      </w:r>
    </w:p>
    <w:p w14:paraId="0A100C92" w14:textId="77777777" w:rsidR="00171824" w:rsidRDefault="00171824">
      <w:pPr>
        <w:widowControl/>
        <w:kinsoku w:val="0"/>
        <w:overflowPunct w:val="0"/>
        <w:rPr>
          <w:sz w:val="22"/>
          <w:szCs w:val="22"/>
          <w:lang w:val="el-GR"/>
        </w:rPr>
      </w:pPr>
    </w:p>
    <w:p w14:paraId="24BEEF9E" w14:textId="77777777" w:rsidR="00171824" w:rsidRDefault="006D258C">
      <w:pPr>
        <w:widowControl/>
        <w:kinsoku w:val="0"/>
        <w:overflowPunct w:val="0"/>
        <w:rPr>
          <w:sz w:val="22"/>
          <w:szCs w:val="22"/>
          <w:lang w:val="el-GR"/>
        </w:rPr>
      </w:pPr>
      <w:r>
        <w:rPr>
          <w:sz w:val="22"/>
          <w:szCs w:val="22"/>
          <w:u w:val="single"/>
          <w:lang w:val="el-GR"/>
        </w:rPr>
        <w:t>Ενήλικες με νόσο του Crohn</w:t>
      </w:r>
    </w:p>
    <w:p w14:paraId="4BFB4B2D" w14:textId="77777777" w:rsidR="00171824" w:rsidRDefault="00171824">
      <w:pPr>
        <w:widowControl/>
        <w:kinsoku w:val="0"/>
        <w:overflowPunct w:val="0"/>
        <w:rPr>
          <w:sz w:val="22"/>
          <w:szCs w:val="22"/>
          <w:lang w:val="el-GR"/>
        </w:rPr>
      </w:pPr>
    </w:p>
    <w:p w14:paraId="027FE1D5" w14:textId="77777777" w:rsidR="00171824" w:rsidRDefault="006D258C">
      <w:pPr>
        <w:widowControl/>
        <w:kinsoku w:val="0"/>
        <w:overflowPunct w:val="0"/>
        <w:rPr>
          <w:sz w:val="22"/>
          <w:szCs w:val="22"/>
          <w:lang w:val="el-GR"/>
        </w:rPr>
      </w:pPr>
      <w:r>
        <w:rPr>
          <w:sz w:val="22"/>
          <w:szCs w:val="22"/>
          <w:lang w:val="el-GR"/>
        </w:rPr>
        <w:t>Το σύνηθες δοσολογικό σχήμα για τη νόσο του Crohn είναι 80 mg (ως δύο ενέσεις των 40 mg σε μία ημέρα) αρχικά ακολουθούμενο από 40 mg κάθε δεύτερη εβδομάδα, δύο εβδομάδες αργότερα. Εάν απαιτείται πιο γρήγορη ανταπόκριση στη θεραπεία, ο γιατρός σας μπορεί να σας συνταγογραφήσει μία αρχική δόση των 160 mg (η δόση μπορεί να χορηγηθεί ως τέσσερις ενέσεις 40 mg σε μία ημέρα ή ως δύο ενέσεις 40 mg ημερησίως για δύο συνεχόμενες ημέρες), ακολουθούμενη από 80 mg (ως δύο ενέσεις των 40 mg σε μία ημέρα) δύο εβδομάδες αργότερα, και ακολούθως 40 mg κάθε δεύτερη εβδομάδα. Ανάλογα με την ανταπόκρισή σας στη θεραπεία, ο γιατρός σας είναι πιθανό να αυξήσει τη δόση σε 40 mg κάθε εβδομάδα ή 80 mg κάθε δεύτερη εβδομάδα.</w:t>
      </w:r>
    </w:p>
    <w:p w14:paraId="7F074BBE" w14:textId="77777777" w:rsidR="00171824" w:rsidRDefault="00171824">
      <w:pPr>
        <w:widowControl/>
        <w:kinsoku w:val="0"/>
        <w:overflowPunct w:val="0"/>
        <w:rPr>
          <w:sz w:val="22"/>
          <w:szCs w:val="22"/>
          <w:lang w:val="el-GR"/>
        </w:rPr>
      </w:pPr>
    </w:p>
    <w:p w14:paraId="55F1AE09" w14:textId="77777777" w:rsidR="00171824" w:rsidRDefault="006D258C">
      <w:pPr>
        <w:keepNext/>
        <w:widowControl/>
        <w:kinsoku w:val="0"/>
        <w:overflowPunct w:val="0"/>
        <w:rPr>
          <w:sz w:val="22"/>
          <w:szCs w:val="22"/>
          <w:lang w:val="el-GR"/>
        </w:rPr>
      </w:pPr>
      <w:r>
        <w:rPr>
          <w:sz w:val="22"/>
          <w:szCs w:val="22"/>
          <w:u w:val="single"/>
          <w:lang w:val="el-GR"/>
        </w:rPr>
        <w:t>Παιδιά και έφηβοι με νόσο του Crohn</w:t>
      </w:r>
    </w:p>
    <w:p w14:paraId="33AE8356" w14:textId="77777777" w:rsidR="00171824" w:rsidRDefault="00171824">
      <w:pPr>
        <w:keepNext/>
        <w:widowControl/>
        <w:kinsoku w:val="0"/>
        <w:overflowPunct w:val="0"/>
        <w:rPr>
          <w:sz w:val="22"/>
          <w:szCs w:val="22"/>
          <w:lang w:val="el-GR"/>
        </w:rPr>
      </w:pPr>
    </w:p>
    <w:p w14:paraId="48F13B94" w14:textId="77777777" w:rsidR="00171824" w:rsidRDefault="006D258C">
      <w:pPr>
        <w:widowControl/>
        <w:kinsoku w:val="0"/>
        <w:overflowPunct w:val="0"/>
        <w:rPr>
          <w:i/>
          <w:sz w:val="22"/>
          <w:szCs w:val="22"/>
          <w:lang w:val="el-GR"/>
        </w:rPr>
      </w:pPr>
      <w:r>
        <w:rPr>
          <w:i/>
          <w:sz w:val="22"/>
          <w:szCs w:val="22"/>
          <w:lang w:val="el-GR"/>
        </w:rPr>
        <w:t>Παιδιά και έφηβοι με βάρος από την ηλικία των 6 έως 17 ετών με βάρος λιγότερο λιγότερο από 40 kg</w:t>
      </w:r>
    </w:p>
    <w:p w14:paraId="69878597" w14:textId="77777777" w:rsidR="00171824" w:rsidRDefault="00171824">
      <w:pPr>
        <w:widowControl/>
        <w:kinsoku w:val="0"/>
        <w:overflowPunct w:val="0"/>
        <w:rPr>
          <w:sz w:val="22"/>
          <w:szCs w:val="22"/>
          <w:lang w:val="el-GR"/>
        </w:rPr>
      </w:pPr>
    </w:p>
    <w:p w14:paraId="0F1CD01E" w14:textId="77777777" w:rsidR="00171824" w:rsidRDefault="006D258C">
      <w:pPr>
        <w:widowControl/>
        <w:kinsoku w:val="0"/>
        <w:overflowPunct w:val="0"/>
        <w:rPr>
          <w:sz w:val="22"/>
          <w:szCs w:val="22"/>
          <w:lang w:val="el-GR"/>
        </w:rPr>
      </w:pPr>
      <w:r>
        <w:rPr>
          <w:sz w:val="22"/>
          <w:szCs w:val="22"/>
          <w:lang w:val="el-GR"/>
        </w:rPr>
        <w:t>Το συνιστώμενο δοσολογικό σχήμα είναι αρχικά 40 mg, ακολουθούμενο από 20 mg δύο εβδομάδες αργότερα. Εάν απαιτείται πιο γρήγορη ανταπόκριση, ο γιατρός του παιδιού σας μπορεί να συνταγογραφήσει μία αρχική δόση των 80 mg (ως δύο ενέσεις 40 mg σε μία μέρα), ακολουθούμενη από 40 mg δύο εβδομάδες αργότερα.</w:t>
      </w:r>
    </w:p>
    <w:p w14:paraId="5F68D5B4" w14:textId="77777777" w:rsidR="00171824" w:rsidRDefault="00171824">
      <w:pPr>
        <w:widowControl/>
        <w:kinsoku w:val="0"/>
        <w:overflowPunct w:val="0"/>
        <w:rPr>
          <w:sz w:val="22"/>
          <w:szCs w:val="22"/>
          <w:lang w:val="el-GR"/>
        </w:rPr>
      </w:pPr>
    </w:p>
    <w:p w14:paraId="53DB4D2E" w14:textId="77777777" w:rsidR="00171824" w:rsidRDefault="006D258C">
      <w:pPr>
        <w:widowControl/>
        <w:kinsoku w:val="0"/>
        <w:overflowPunct w:val="0"/>
        <w:jc w:val="both"/>
        <w:rPr>
          <w:sz w:val="22"/>
          <w:szCs w:val="22"/>
          <w:lang w:val="el-GR"/>
        </w:rPr>
      </w:pPr>
      <w:r>
        <w:rPr>
          <w:sz w:val="22"/>
          <w:szCs w:val="22"/>
          <w:lang w:val="el-GR"/>
        </w:rPr>
        <w:t>Κατόπιν, η συνήθης δόση είναι 20 mg κάθε δεύτερη εβδομάδα. Ανάλογα με την ανταπόκριση του παιδιού σας, ο γιατρός του παιδιού σας μπορεί να αυξήσει τη συχνότητα της δόσης σε 20 mg κάθε εβδομάδα.</w:t>
      </w:r>
    </w:p>
    <w:p w14:paraId="1F2CC20B" w14:textId="77777777" w:rsidR="00171824" w:rsidRDefault="00171824">
      <w:pPr>
        <w:widowControl/>
        <w:kinsoku w:val="0"/>
        <w:overflowPunct w:val="0"/>
        <w:rPr>
          <w:sz w:val="22"/>
          <w:szCs w:val="22"/>
          <w:lang w:val="el-GR"/>
        </w:rPr>
      </w:pPr>
    </w:p>
    <w:p w14:paraId="131CDBCB" w14:textId="77777777" w:rsidR="00171824" w:rsidRDefault="006D258C">
      <w:pPr>
        <w:widowControl/>
        <w:kinsoku w:val="0"/>
        <w:overflowPunct w:val="0"/>
        <w:rPr>
          <w:sz w:val="22"/>
          <w:szCs w:val="22"/>
          <w:lang w:val="el-GR"/>
        </w:rPr>
      </w:pPr>
      <w:bookmarkStart w:id="115" w:name="_Hlk528329286"/>
      <w:r>
        <w:rPr>
          <w:sz w:val="22"/>
          <w:szCs w:val="22"/>
          <w:lang w:val="el-GR"/>
        </w:rPr>
        <w:t xml:space="preserve">Η προγεμισμένη συσκευή τύπου πένας των 40 mg δεν μπορεί να χρησιμοποιηθεί για τη δόση των 20 mg. Ωστόσο, μια προγεμισμένη </w:t>
      </w:r>
      <w:r>
        <w:rPr>
          <w:i/>
          <w:sz w:val="22"/>
          <w:szCs w:val="22"/>
          <w:lang w:val="el-GR"/>
        </w:rPr>
        <w:t>σύριγγα</w:t>
      </w:r>
      <w:r>
        <w:rPr>
          <w:sz w:val="22"/>
          <w:szCs w:val="22"/>
          <w:lang w:val="el-GR"/>
        </w:rPr>
        <w:t xml:space="preserve"> AMGEVITA των 20 mg είναι διαθέσιμη για τη δόση των 20 mg.</w:t>
      </w:r>
    </w:p>
    <w:bookmarkEnd w:id="115"/>
    <w:p w14:paraId="5528AC46" w14:textId="77777777" w:rsidR="00171824" w:rsidRDefault="00171824">
      <w:pPr>
        <w:widowControl/>
        <w:kinsoku w:val="0"/>
        <w:overflowPunct w:val="0"/>
        <w:rPr>
          <w:sz w:val="22"/>
          <w:szCs w:val="22"/>
          <w:lang w:val="el-GR"/>
        </w:rPr>
      </w:pPr>
    </w:p>
    <w:p w14:paraId="1465D5BF" w14:textId="77777777" w:rsidR="00171824" w:rsidRDefault="006D258C">
      <w:pPr>
        <w:keepNext/>
        <w:widowControl/>
        <w:kinsoku w:val="0"/>
        <w:overflowPunct w:val="0"/>
        <w:rPr>
          <w:i/>
          <w:sz w:val="22"/>
          <w:szCs w:val="22"/>
          <w:lang w:val="el-GR"/>
        </w:rPr>
      </w:pPr>
      <w:r>
        <w:rPr>
          <w:i/>
          <w:sz w:val="22"/>
          <w:szCs w:val="22"/>
          <w:lang w:val="el-GR"/>
        </w:rPr>
        <w:t>Παιδιά και έφηβοι από την ηλικία των 6 έως 17 ετών με βάρος 40 kg ή περισσότερο:</w:t>
      </w:r>
    </w:p>
    <w:p w14:paraId="21C5AB79" w14:textId="77777777" w:rsidR="00171824" w:rsidRDefault="00171824">
      <w:pPr>
        <w:keepNext/>
        <w:widowControl/>
        <w:kinsoku w:val="0"/>
        <w:overflowPunct w:val="0"/>
        <w:rPr>
          <w:sz w:val="22"/>
          <w:szCs w:val="22"/>
          <w:lang w:val="el-GR"/>
        </w:rPr>
      </w:pPr>
    </w:p>
    <w:p w14:paraId="37500571" w14:textId="77777777" w:rsidR="00171824" w:rsidRDefault="006D258C">
      <w:pPr>
        <w:widowControl/>
        <w:kinsoku w:val="0"/>
        <w:overflowPunct w:val="0"/>
        <w:rPr>
          <w:sz w:val="22"/>
          <w:szCs w:val="22"/>
          <w:lang w:val="el-GR"/>
        </w:rPr>
      </w:pPr>
      <w:r>
        <w:rPr>
          <w:sz w:val="22"/>
          <w:szCs w:val="22"/>
          <w:lang w:val="el-GR"/>
        </w:rPr>
        <w:t>Το συνιστώμενο δοσολογικό σχήμα είναι αρχικά 80 mg (ως δύο ενέσεις 40 mg σε μία ημέρα) ακολουθούμενο από 40 mg δύο εβδομάδες αργότερα. Εάν απαιτείται πιο γρήγορη ανταπόκριση, ο γιατρός του παιδιού σας μπορεί να συνταγογραφήσει μία αρχική δόση των 160 mg (ως τέσσερις ενέσεις 40 mg σε μια μέρα ή ως δύο ενέσεις 40 mg την ημέρα για δύο συνεχείς ημέρες), ακολουθούμενη από 80 mg (ως δύο ενέσεις των 40 mg σε μία ημέρα) δύο εβδομάδες αργότερα.</w:t>
      </w:r>
    </w:p>
    <w:p w14:paraId="13ED9AA4" w14:textId="77777777" w:rsidR="00171824" w:rsidRDefault="00171824">
      <w:pPr>
        <w:widowControl/>
        <w:kinsoku w:val="0"/>
        <w:overflowPunct w:val="0"/>
        <w:rPr>
          <w:sz w:val="22"/>
          <w:szCs w:val="22"/>
          <w:lang w:val="el-GR"/>
        </w:rPr>
      </w:pPr>
    </w:p>
    <w:p w14:paraId="1D525036" w14:textId="77777777" w:rsidR="00171824" w:rsidRDefault="006D258C">
      <w:pPr>
        <w:widowControl/>
        <w:kinsoku w:val="0"/>
        <w:overflowPunct w:val="0"/>
        <w:jc w:val="both"/>
        <w:rPr>
          <w:sz w:val="22"/>
          <w:szCs w:val="22"/>
          <w:lang w:val="el-GR"/>
        </w:rPr>
      </w:pPr>
      <w:r>
        <w:rPr>
          <w:sz w:val="22"/>
          <w:szCs w:val="22"/>
          <w:lang w:val="el-GR"/>
        </w:rPr>
        <w:t>Κατόπιν, η συνήθης δόση είναι 40 mg κάθε δεύτερη εβδομάδα. Ανάλογα με την ανταπόκριση του παιδιού σας, ο γιατρός του παιδιού σας μπορεί να αυξήσει τη δόση σε 40 mg κάθε εβδομάδα ή 80 mg κάθε δεύτερη εβδομάδα.</w:t>
      </w:r>
    </w:p>
    <w:p w14:paraId="79DBD7CB" w14:textId="77777777" w:rsidR="00171824" w:rsidRDefault="00171824">
      <w:pPr>
        <w:widowControl/>
        <w:kinsoku w:val="0"/>
        <w:overflowPunct w:val="0"/>
        <w:rPr>
          <w:sz w:val="22"/>
          <w:szCs w:val="22"/>
          <w:lang w:val="el-GR"/>
        </w:rPr>
      </w:pPr>
    </w:p>
    <w:p w14:paraId="01F27F16" w14:textId="77777777" w:rsidR="00171824" w:rsidRDefault="006D258C">
      <w:pPr>
        <w:widowControl/>
        <w:kinsoku w:val="0"/>
        <w:overflowPunct w:val="0"/>
        <w:rPr>
          <w:sz w:val="22"/>
          <w:szCs w:val="22"/>
          <w:lang w:val="el-GR"/>
        </w:rPr>
      </w:pPr>
      <w:r>
        <w:rPr>
          <w:sz w:val="22"/>
          <w:szCs w:val="22"/>
          <w:u w:val="single"/>
          <w:lang w:val="el-GR"/>
        </w:rPr>
        <w:t>Ενήλικες με ελκώδη κολίτιδα</w:t>
      </w:r>
    </w:p>
    <w:p w14:paraId="4F0217AD" w14:textId="77777777" w:rsidR="00171824" w:rsidRDefault="00171824">
      <w:pPr>
        <w:widowControl/>
        <w:kinsoku w:val="0"/>
        <w:overflowPunct w:val="0"/>
        <w:rPr>
          <w:sz w:val="22"/>
          <w:szCs w:val="22"/>
          <w:lang w:val="el-GR"/>
        </w:rPr>
      </w:pPr>
    </w:p>
    <w:p w14:paraId="1E5339E5" w14:textId="77777777" w:rsidR="00171824" w:rsidRDefault="006D258C">
      <w:pPr>
        <w:widowControl/>
        <w:kinsoku w:val="0"/>
        <w:overflowPunct w:val="0"/>
        <w:rPr>
          <w:sz w:val="22"/>
          <w:szCs w:val="22"/>
          <w:lang w:val="el-GR"/>
        </w:rPr>
      </w:pPr>
      <w:r>
        <w:rPr>
          <w:sz w:val="22"/>
          <w:szCs w:val="22"/>
          <w:lang w:val="el-GR"/>
        </w:rPr>
        <w:t>Η συνήθης δόση AMGEVITA για ενήλικες με ελκώδη κολίτιδα είναι 160 mg αρχικά (ως τέσσερις ενέσεις των 40 mg σε μία μέρα ή ως δύο ενέσεις 40 mg ημερησίως για δύο συνεχόμενες ημέρες) ακολουθούμενη από 80 mg (ως δύο ενέσεις των 40 mg σε μία ημέρα) δύο εβδομάδες αργότερα και στη συνέχεια 40 mg κάθε δεύτερη εβδομάδα. Ανάλογα με την ανταπόκρισή σας, ο γιατρός σας μπορεί να αυξήσει τη δόση σε 40 mg κάθε εβδομάδα ή 80 mg κάθε δεύτερη εβδομάδα.</w:t>
      </w:r>
    </w:p>
    <w:p w14:paraId="79E0BBD6" w14:textId="77777777" w:rsidR="00171824" w:rsidRDefault="00171824">
      <w:pPr>
        <w:widowControl/>
        <w:kinsoku w:val="0"/>
        <w:overflowPunct w:val="0"/>
        <w:rPr>
          <w:sz w:val="22"/>
          <w:szCs w:val="22"/>
          <w:lang w:val="el-GR"/>
        </w:rPr>
      </w:pPr>
    </w:p>
    <w:p w14:paraId="3D93030B" w14:textId="77777777" w:rsidR="00171824" w:rsidRDefault="006D258C">
      <w:pPr>
        <w:widowControl/>
        <w:rPr>
          <w:color w:val="000000"/>
          <w:sz w:val="22"/>
          <w:szCs w:val="22"/>
          <w:lang w:val="el-GR" w:eastAsia="ja-JP"/>
        </w:rPr>
      </w:pPr>
      <w:r>
        <w:rPr>
          <w:color w:val="000000"/>
          <w:sz w:val="22"/>
          <w:szCs w:val="22"/>
          <w:lang w:val="el-GR" w:eastAsia="ja-JP"/>
        </w:rPr>
        <w:t xml:space="preserve">Παιδιά και έφηβοι με ελκώδη κολίτιδα </w:t>
      </w:r>
    </w:p>
    <w:p w14:paraId="4BE8920A" w14:textId="77777777" w:rsidR="00171824" w:rsidRDefault="00171824">
      <w:pPr>
        <w:widowControl/>
        <w:rPr>
          <w:color w:val="000000"/>
          <w:sz w:val="22"/>
          <w:szCs w:val="22"/>
          <w:lang w:val="el-GR" w:eastAsia="ja-JP"/>
        </w:rPr>
      </w:pPr>
    </w:p>
    <w:p w14:paraId="343769B1" w14:textId="77777777" w:rsidR="00171824" w:rsidRDefault="006D258C">
      <w:pPr>
        <w:widowControl/>
        <w:rPr>
          <w:color w:val="000000"/>
          <w:sz w:val="22"/>
          <w:szCs w:val="22"/>
          <w:lang w:val="el-GR" w:eastAsia="ja-JP"/>
        </w:rPr>
      </w:pPr>
      <w:r>
        <w:rPr>
          <w:i/>
          <w:iCs/>
          <w:color w:val="000000"/>
          <w:sz w:val="22"/>
          <w:szCs w:val="22"/>
          <w:lang w:val="el-GR" w:eastAsia="ja-JP"/>
        </w:rPr>
        <w:t>Παιδιά και έφηβοι από την ηλικία των 6 ετών με βάρος λιγότερο από 40</w:t>
      </w:r>
      <w:r>
        <w:rPr>
          <w:color w:val="000000"/>
          <w:sz w:val="22"/>
          <w:szCs w:val="22"/>
          <w:lang w:val="el-GR" w:eastAsia="ja-JP"/>
        </w:rPr>
        <w:t> </w:t>
      </w:r>
      <w:r>
        <w:rPr>
          <w:i/>
          <w:iCs/>
          <w:color w:val="000000"/>
          <w:sz w:val="22"/>
          <w:szCs w:val="22"/>
          <w:lang w:val="el-GR" w:eastAsia="ja-JP"/>
        </w:rPr>
        <w:t xml:space="preserve">kg </w:t>
      </w:r>
    </w:p>
    <w:p w14:paraId="4CDE7FE5" w14:textId="77777777" w:rsidR="00171824" w:rsidRDefault="00171824">
      <w:pPr>
        <w:widowControl/>
        <w:rPr>
          <w:color w:val="000000"/>
          <w:sz w:val="22"/>
          <w:szCs w:val="22"/>
          <w:lang w:val="el-GR" w:eastAsia="ja-JP"/>
        </w:rPr>
      </w:pPr>
    </w:p>
    <w:p w14:paraId="0EDD50CE"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80</w:t>
      </w:r>
      <w:r>
        <w:rPr>
          <w:sz w:val="22"/>
          <w:szCs w:val="22"/>
          <w:lang w:val="el-GR"/>
        </w:rPr>
        <w:t> </w:t>
      </w:r>
      <w:r>
        <w:rPr>
          <w:color w:val="000000"/>
          <w:sz w:val="22"/>
          <w:szCs w:val="22"/>
          <w:lang w:val="el-GR" w:eastAsia="ja-JP"/>
        </w:rPr>
        <w:t>mg (ως δύο ενέσεις των 40</w:t>
      </w:r>
      <w:r>
        <w:rPr>
          <w:sz w:val="22"/>
          <w:szCs w:val="22"/>
          <w:lang w:val="el-GR"/>
        </w:rPr>
        <w:t> </w:t>
      </w:r>
      <w:r>
        <w:rPr>
          <w:color w:val="000000"/>
          <w:sz w:val="22"/>
          <w:szCs w:val="22"/>
          <w:lang w:val="el-GR" w:eastAsia="ja-JP"/>
        </w:rPr>
        <w:t>mg σε μία ημέρα) αρχικά, ακολουθούμενη από 40</w:t>
      </w:r>
      <w:r>
        <w:rPr>
          <w:sz w:val="22"/>
          <w:szCs w:val="22"/>
          <w:lang w:val="el-GR"/>
        </w:rPr>
        <w:t> </w:t>
      </w:r>
      <w:r>
        <w:rPr>
          <w:color w:val="000000"/>
          <w:sz w:val="22"/>
          <w:szCs w:val="22"/>
          <w:lang w:val="el-GR" w:eastAsia="ja-JP"/>
        </w:rPr>
        <w:t>mg (ως μία ένεση των 40</w:t>
      </w:r>
      <w:r>
        <w:rPr>
          <w:sz w:val="22"/>
          <w:szCs w:val="22"/>
          <w:lang w:val="el-GR"/>
        </w:rPr>
        <w:t> </w:t>
      </w:r>
      <w:r>
        <w:rPr>
          <w:color w:val="000000"/>
          <w:sz w:val="22"/>
          <w:szCs w:val="22"/>
          <w:lang w:val="el-GR" w:eastAsia="ja-JP"/>
        </w:rPr>
        <w:t>mg) δύο εβδομάδες μετά. Στη συνέχεια, η συνήθης δόση είναι 40</w:t>
      </w:r>
      <w:r>
        <w:rPr>
          <w:sz w:val="22"/>
          <w:szCs w:val="22"/>
          <w:lang w:val="el-GR"/>
        </w:rPr>
        <w:t> </w:t>
      </w:r>
      <w:r>
        <w:rPr>
          <w:color w:val="000000"/>
          <w:sz w:val="22"/>
          <w:szCs w:val="22"/>
          <w:lang w:val="el-GR" w:eastAsia="ja-JP"/>
        </w:rPr>
        <w:t xml:space="preserve">mg κάθε δεύτερη εβδομάδα. </w:t>
      </w:r>
    </w:p>
    <w:p w14:paraId="5B71B5CB" w14:textId="77777777" w:rsidR="00171824" w:rsidRDefault="00171824">
      <w:pPr>
        <w:widowControl/>
        <w:rPr>
          <w:color w:val="000000"/>
          <w:sz w:val="22"/>
          <w:szCs w:val="22"/>
          <w:lang w:val="el-GR" w:eastAsia="ja-JP"/>
        </w:rPr>
      </w:pPr>
    </w:p>
    <w:p w14:paraId="3458071C" w14:textId="77777777" w:rsidR="00171824" w:rsidRDefault="006D258C">
      <w:pPr>
        <w:widowControl/>
        <w:rPr>
          <w:color w:val="000000"/>
          <w:sz w:val="22"/>
          <w:szCs w:val="22"/>
          <w:lang w:val="el-GR" w:eastAsia="ja-JP"/>
        </w:rPr>
      </w:pPr>
      <w:r>
        <w:rPr>
          <w:color w:val="000000"/>
          <w:sz w:val="22"/>
          <w:szCs w:val="22"/>
          <w:lang w:val="el-GR" w:eastAsia="ja-JP"/>
        </w:rPr>
        <w:t>Οι ασθενείς που γίνονται 18 ετών ενώ λαμβάνουν 40</w:t>
      </w:r>
      <w:r>
        <w:rPr>
          <w:sz w:val="22"/>
          <w:szCs w:val="22"/>
          <w:lang w:val="el-GR"/>
        </w:rPr>
        <w:t> </w:t>
      </w:r>
      <w:r>
        <w:rPr>
          <w:color w:val="000000"/>
          <w:sz w:val="22"/>
          <w:szCs w:val="22"/>
          <w:lang w:val="el-GR" w:eastAsia="ja-JP"/>
        </w:rPr>
        <w:t xml:space="preserve">mg κάθε δεύτερη εβδομάδα θα πρέπει να συνεχίζουν τη συνιστώμενη δόση τους. </w:t>
      </w:r>
    </w:p>
    <w:p w14:paraId="30159943" w14:textId="77777777" w:rsidR="00171824" w:rsidRDefault="00171824">
      <w:pPr>
        <w:widowControl/>
        <w:rPr>
          <w:i/>
          <w:iCs/>
          <w:color w:val="000000"/>
          <w:sz w:val="22"/>
          <w:szCs w:val="22"/>
          <w:lang w:val="el-GR" w:eastAsia="ja-JP"/>
        </w:rPr>
      </w:pPr>
    </w:p>
    <w:p w14:paraId="47A55BE2" w14:textId="77777777" w:rsidR="00171824" w:rsidRDefault="006D258C">
      <w:pPr>
        <w:widowControl/>
        <w:rPr>
          <w:color w:val="000000"/>
          <w:sz w:val="22"/>
          <w:szCs w:val="22"/>
          <w:lang w:val="el-GR" w:eastAsia="ja-JP"/>
        </w:rPr>
      </w:pPr>
      <w:r>
        <w:rPr>
          <w:i/>
          <w:iCs/>
          <w:color w:val="000000"/>
          <w:sz w:val="22"/>
          <w:szCs w:val="22"/>
          <w:lang w:val="el-GR" w:eastAsia="ja-JP"/>
        </w:rPr>
        <w:t>Παιδιά και έφηβοι από την ηλικία των 6 ετών με βάρος 40</w:t>
      </w:r>
      <w:r>
        <w:rPr>
          <w:color w:val="000000"/>
          <w:sz w:val="22"/>
          <w:szCs w:val="22"/>
          <w:lang w:val="el-GR" w:eastAsia="ja-JP"/>
        </w:rPr>
        <w:t> </w:t>
      </w:r>
      <w:r>
        <w:rPr>
          <w:i/>
          <w:iCs/>
          <w:color w:val="000000"/>
          <w:sz w:val="22"/>
          <w:szCs w:val="22"/>
          <w:lang w:val="el-GR" w:eastAsia="ja-JP"/>
        </w:rPr>
        <w:t xml:space="preserve">kg ή περισσότερο </w:t>
      </w:r>
    </w:p>
    <w:p w14:paraId="2DC2BDF3" w14:textId="77777777" w:rsidR="00171824" w:rsidRDefault="00171824">
      <w:pPr>
        <w:widowControl/>
        <w:rPr>
          <w:color w:val="000000"/>
          <w:sz w:val="22"/>
          <w:szCs w:val="22"/>
          <w:lang w:val="el-GR" w:eastAsia="ja-JP"/>
        </w:rPr>
      </w:pPr>
    </w:p>
    <w:p w14:paraId="22FDECBE"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160</w:t>
      </w:r>
      <w:r>
        <w:rPr>
          <w:sz w:val="22"/>
          <w:szCs w:val="22"/>
          <w:lang w:val="el-GR"/>
        </w:rPr>
        <w:t> </w:t>
      </w:r>
      <w:r>
        <w:rPr>
          <w:color w:val="000000"/>
          <w:sz w:val="22"/>
          <w:szCs w:val="22"/>
          <w:lang w:val="el-GR" w:eastAsia="ja-JP"/>
        </w:rPr>
        <w:t>mg (ως τέσσερις ενέσεις των 40</w:t>
      </w:r>
      <w:r>
        <w:rPr>
          <w:sz w:val="22"/>
          <w:szCs w:val="22"/>
          <w:lang w:val="el-GR"/>
        </w:rPr>
        <w:t> </w:t>
      </w:r>
      <w:r>
        <w:rPr>
          <w:color w:val="000000"/>
          <w:sz w:val="22"/>
          <w:szCs w:val="22"/>
          <w:lang w:val="el-GR" w:eastAsia="ja-JP"/>
        </w:rPr>
        <w:t>mg σε μία ημέρα ή δύο ενέσεις των 40</w:t>
      </w:r>
      <w:r>
        <w:rPr>
          <w:sz w:val="22"/>
          <w:szCs w:val="22"/>
          <w:lang w:val="el-GR"/>
        </w:rPr>
        <w:t> </w:t>
      </w:r>
      <w:r>
        <w:rPr>
          <w:color w:val="000000"/>
          <w:sz w:val="22"/>
          <w:szCs w:val="22"/>
          <w:lang w:val="el-GR" w:eastAsia="ja-JP"/>
        </w:rPr>
        <w:t>mg ανά ημέρα για δύο διαδοχικές ημέρες) αρχικά, ακολουθούμενη από 80</w:t>
      </w:r>
      <w:r>
        <w:rPr>
          <w:sz w:val="22"/>
          <w:szCs w:val="22"/>
          <w:lang w:val="el-GR"/>
        </w:rPr>
        <w:t> </w:t>
      </w:r>
      <w:r>
        <w:rPr>
          <w:color w:val="000000"/>
          <w:sz w:val="22"/>
          <w:szCs w:val="22"/>
          <w:lang w:val="el-GR" w:eastAsia="ja-JP"/>
        </w:rPr>
        <w:t>mg (ως δύο ενέσεις των 40</w:t>
      </w:r>
      <w:r>
        <w:rPr>
          <w:sz w:val="22"/>
          <w:szCs w:val="22"/>
          <w:lang w:val="el-GR"/>
        </w:rPr>
        <w:t> </w:t>
      </w:r>
      <w:r>
        <w:rPr>
          <w:color w:val="000000"/>
          <w:sz w:val="22"/>
          <w:szCs w:val="22"/>
          <w:lang w:val="el-GR" w:eastAsia="ja-JP"/>
        </w:rPr>
        <w:t>mg σε μία ημέρα), δύο εβδομάδες μετά. Στη συνέχεια, η συνήθης δόση είναι 80</w:t>
      </w:r>
      <w:r>
        <w:rPr>
          <w:sz w:val="22"/>
          <w:szCs w:val="22"/>
          <w:lang w:val="el-GR"/>
        </w:rPr>
        <w:t> </w:t>
      </w:r>
      <w:r>
        <w:rPr>
          <w:color w:val="000000"/>
          <w:sz w:val="22"/>
          <w:szCs w:val="22"/>
          <w:lang w:val="el-GR" w:eastAsia="ja-JP"/>
        </w:rPr>
        <w:t xml:space="preserve">mg κάθε δεύτερη εβδομάδα. </w:t>
      </w:r>
    </w:p>
    <w:p w14:paraId="02700A39" w14:textId="77777777" w:rsidR="00171824" w:rsidRDefault="00171824">
      <w:pPr>
        <w:widowControl/>
        <w:kinsoku w:val="0"/>
        <w:overflowPunct w:val="0"/>
        <w:rPr>
          <w:color w:val="000000"/>
          <w:sz w:val="22"/>
          <w:szCs w:val="22"/>
          <w:lang w:val="el-GR" w:eastAsia="ja-JP"/>
        </w:rPr>
      </w:pPr>
    </w:p>
    <w:p w14:paraId="1F44CDFA" w14:textId="77777777" w:rsidR="00171824" w:rsidRDefault="006D258C">
      <w:pPr>
        <w:widowControl/>
        <w:tabs>
          <w:tab w:val="left" w:pos="1701"/>
        </w:tabs>
        <w:kinsoku w:val="0"/>
        <w:overflowPunct w:val="0"/>
        <w:rPr>
          <w:sz w:val="22"/>
          <w:szCs w:val="22"/>
          <w:lang w:val="el-GR"/>
        </w:rPr>
      </w:pPr>
      <w:r>
        <w:rPr>
          <w:color w:val="000000"/>
          <w:sz w:val="22"/>
          <w:szCs w:val="22"/>
          <w:lang w:val="el-GR" w:eastAsia="ja-JP"/>
        </w:rPr>
        <w:t>Οι ασθενείς που γίνονται 18 ετών ενώ λαμβάνουν 80 mg κάθε δεύτερη εβδομάδα θα πρέπει να συνεχίζουν τη συνιστώμενη δόση τους.</w:t>
      </w:r>
    </w:p>
    <w:p w14:paraId="2D9EBC2D" w14:textId="77777777" w:rsidR="00171824" w:rsidRDefault="00171824">
      <w:pPr>
        <w:widowControl/>
        <w:kinsoku w:val="0"/>
        <w:overflowPunct w:val="0"/>
        <w:rPr>
          <w:sz w:val="22"/>
          <w:szCs w:val="22"/>
          <w:lang w:val="el-GR"/>
        </w:rPr>
      </w:pPr>
    </w:p>
    <w:p w14:paraId="3DA5D859" w14:textId="77777777" w:rsidR="00171824" w:rsidRDefault="006D258C">
      <w:pPr>
        <w:pStyle w:val="BodyText"/>
        <w:widowControl/>
        <w:kinsoku w:val="0"/>
        <w:overflowPunct w:val="0"/>
        <w:ind w:left="0"/>
        <w:rPr>
          <w:lang w:val="el-GR"/>
        </w:rPr>
      </w:pPr>
      <w:r>
        <w:rPr>
          <w:u w:val="single"/>
          <w:lang w:val="el-GR"/>
        </w:rPr>
        <w:t>Ενήλικες με μη-λοιμώδη ραγοειδίτιδα</w:t>
      </w:r>
    </w:p>
    <w:p w14:paraId="1E69AB8C" w14:textId="77777777" w:rsidR="00171824" w:rsidRDefault="00171824">
      <w:pPr>
        <w:widowControl/>
        <w:kinsoku w:val="0"/>
        <w:overflowPunct w:val="0"/>
        <w:rPr>
          <w:sz w:val="22"/>
          <w:szCs w:val="22"/>
          <w:lang w:val="el-GR"/>
        </w:rPr>
      </w:pPr>
    </w:p>
    <w:p w14:paraId="56E6CBD6" w14:textId="77777777" w:rsidR="00171824" w:rsidRDefault="006D258C">
      <w:pPr>
        <w:pStyle w:val="BodyText"/>
        <w:widowControl/>
        <w:kinsoku w:val="0"/>
        <w:overflowPunct w:val="0"/>
        <w:ind w:left="0"/>
        <w:rPr>
          <w:lang w:val="el-GR"/>
        </w:rPr>
      </w:pPr>
      <w:r>
        <w:rPr>
          <w:lang w:val="el-GR"/>
        </w:rPr>
        <w:t>Η συνήθης δόση για ενήλικες με μη-λοιμώδη ραγοειδίτιδα είναι μία αρχική δόση 80 mg, (ως δύο ενέσεις των 40 mg σε μία ημέρα) ακολουθούμενη από 40 mg κάθε δεύτερη εβδομάδα, αρχίζοντας μία εβδομάδα μετά την αρχική δόση. Πρέπει να συνεχίσετε τις ενέσεις AMGEVITA για όσο διάστημα σας έχει υποδείξει ο γιατρός σας.</w:t>
      </w:r>
    </w:p>
    <w:p w14:paraId="6F26B07F" w14:textId="77777777" w:rsidR="00171824" w:rsidRDefault="00171824">
      <w:pPr>
        <w:widowControl/>
        <w:kinsoku w:val="0"/>
        <w:overflowPunct w:val="0"/>
        <w:rPr>
          <w:sz w:val="22"/>
          <w:szCs w:val="22"/>
          <w:lang w:val="el-GR"/>
        </w:rPr>
      </w:pPr>
    </w:p>
    <w:p w14:paraId="3A4DFD96" w14:textId="77777777" w:rsidR="00171824" w:rsidRDefault="006D258C">
      <w:pPr>
        <w:pStyle w:val="BodyText"/>
        <w:widowControl/>
        <w:kinsoku w:val="0"/>
        <w:overflowPunct w:val="0"/>
        <w:ind w:left="0"/>
        <w:rPr>
          <w:lang w:val="el-GR"/>
        </w:rPr>
      </w:pPr>
      <w:r>
        <w:rPr>
          <w:lang w:val="el-GR"/>
        </w:rPr>
        <w:t>Στη μη-λοιμώδη ραγοειδίτιδα, τα κορτικοστεροειδή ή άλλα φάρμακα που επηρεάζουν το ανοσοποιητικό σύστημα μπορεί να συνεχίζονται όταν λαμβάνετε AMGEVITA. Το AMGEVITA μπορεί επίσης να χορηγηθεί μόνο του.</w:t>
      </w:r>
    </w:p>
    <w:p w14:paraId="5D062A4C" w14:textId="77777777" w:rsidR="00171824" w:rsidRDefault="00171824">
      <w:pPr>
        <w:widowControl/>
        <w:kinsoku w:val="0"/>
        <w:overflowPunct w:val="0"/>
        <w:outlineLvl w:val="0"/>
        <w:rPr>
          <w:b/>
          <w:bCs/>
          <w:sz w:val="22"/>
          <w:szCs w:val="22"/>
          <w:lang w:val="el-GR"/>
        </w:rPr>
      </w:pPr>
    </w:p>
    <w:p w14:paraId="50919866" w14:textId="77777777" w:rsidR="00171824" w:rsidRDefault="006D258C">
      <w:pPr>
        <w:numPr>
          <w:ilvl w:val="12"/>
          <w:numId w:val="0"/>
        </w:numPr>
        <w:tabs>
          <w:tab w:val="left" w:pos="708"/>
        </w:tabs>
        <w:ind w:right="-2"/>
        <w:rPr>
          <w:sz w:val="22"/>
          <w:szCs w:val="22"/>
          <w:u w:val="single"/>
          <w:lang w:val="el-GR"/>
        </w:rPr>
      </w:pPr>
      <w:r>
        <w:rPr>
          <w:sz w:val="22"/>
          <w:szCs w:val="22"/>
          <w:u w:val="single"/>
          <w:lang w:val="el-GR"/>
        </w:rPr>
        <w:t>Παιδιά και έφηβοι με χρόνια μη-λοιμώδη ραγοειδίτιδα από την ηλικία των 2 ετών</w:t>
      </w:r>
    </w:p>
    <w:p w14:paraId="7C906561" w14:textId="77777777" w:rsidR="00171824" w:rsidRDefault="00171824">
      <w:pPr>
        <w:numPr>
          <w:ilvl w:val="12"/>
          <w:numId w:val="0"/>
        </w:numPr>
        <w:tabs>
          <w:tab w:val="left" w:pos="708"/>
        </w:tabs>
        <w:ind w:right="-2"/>
        <w:rPr>
          <w:sz w:val="22"/>
          <w:szCs w:val="22"/>
          <w:lang w:val="el-GR"/>
        </w:rPr>
      </w:pPr>
    </w:p>
    <w:p w14:paraId="4A8E42C2" w14:textId="77777777" w:rsidR="00171824" w:rsidRDefault="006D258C">
      <w:pPr>
        <w:numPr>
          <w:ilvl w:val="12"/>
          <w:numId w:val="0"/>
        </w:numPr>
        <w:tabs>
          <w:tab w:val="left" w:pos="708"/>
        </w:tabs>
        <w:ind w:right="-2"/>
        <w:rPr>
          <w:i/>
          <w:sz w:val="22"/>
          <w:szCs w:val="22"/>
          <w:lang w:val="el-GR"/>
        </w:rPr>
      </w:pPr>
      <w:r>
        <w:rPr>
          <w:i/>
          <w:sz w:val="22"/>
          <w:szCs w:val="22"/>
          <w:lang w:val="el-GR"/>
        </w:rPr>
        <w:t>Παιδιά και έφηβοι 2 ετών και άνω με βάρος λιγότερο από 30 kg:</w:t>
      </w:r>
    </w:p>
    <w:p w14:paraId="4EA3E484" w14:textId="77777777" w:rsidR="00171824" w:rsidRDefault="00171824">
      <w:pPr>
        <w:numPr>
          <w:ilvl w:val="12"/>
          <w:numId w:val="0"/>
        </w:numPr>
        <w:tabs>
          <w:tab w:val="left" w:pos="708"/>
        </w:tabs>
        <w:ind w:right="-2"/>
        <w:rPr>
          <w:sz w:val="22"/>
          <w:szCs w:val="22"/>
          <w:lang w:val="el-GR"/>
        </w:rPr>
      </w:pPr>
    </w:p>
    <w:p w14:paraId="00828635"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20 mg κάθε δεύτερη βδομάδα με μεθοτρεξάτη.</w:t>
      </w:r>
    </w:p>
    <w:p w14:paraId="2A634219" w14:textId="77777777" w:rsidR="00171824" w:rsidRDefault="00171824">
      <w:pPr>
        <w:rPr>
          <w:sz w:val="22"/>
          <w:szCs w:val="22"/>
          <w:lang w:val="el-GR"/>
        </w:rPr>
      </w:pPr>
    </w:p>
    <w:p w14:paraId="3CEB7E51" w14:textId="77777777" w:rsidR="00171824" w:rsidRDefault="006D258C">
      <w:pPr>
        <w:rPr>
          <w:sz w:val="22"/>
          <w:szCs w:val="22"/>
          <w:lang w:val="el-GR"/>
        </w:rPr>
      </w:pPr>
      <w:r>
        <w:rPr>
          <w:sz w:val="22"/>
          <w:szCs w:val="22"/>
          <w:lang w:val="el-GR"/>
        </w:rPr>
        <w:t>Ο γιατρός του παιδιού σας μπορεί επίσης να συνταγογραφήσει μία αρχική δόση των 40 mg η οποία μπορεί να χορηγηθεί μία εβδομάδα πριν την έναρξη της συνήθους δόσης.</w:t>
      </w:r>
    </w:p>
    <w:p w14:paraId="3159C879" w14:textId="77777777" w:rsidR="00171824" w:rsidRDefault="00171824">
      <w:pPr>
        <w:rPr>
          <w:rFonts w:ascii="Arial" w:hAnsi="Arial" w:cs="Arial"/>
          <w:color w:val="222222"/>
          <w:sz w:val="22"/>
          <w:lang w:val="el-GR"/>
        </w:rPr>
      </w:pPr>
    </w:p>
    <w:p w14:paraId="5C6CA06C" w14:textId="77777777" w:rsidR="00171824" w:rsidRDefault="006D258C">
      <w:pPr>
        <w:widowControl/>
        <w:kinsoku w:val="0"/>
        <w:overflowPunct w:val="0"/>
        <w:rPr>
          <w:sz w:val="22"/>
          <w:szCs w:val="22"/>
          <w:lang w:val="el-GR"/>
        </w:rPr>
      </w:pPr>
      <w:r>
        <w:rPr>
          <w:sz w:val="22"/>
          <w:szCs w:val="22"/>
          <w:lang w:val="el-GR"/>
        </w:rPr>
        <w:t xml:space="preserve">Η προγεμισμένη συσκευή τύπου πένας των 40 mg δεν μπορεί να χρησιμοποιηθεί για τη δόση των 20 mg. Ωστόσο, μια προγεμισμένη </w:t>
      </w:r>
      <w:r>
        <w:rPr>
          <w:i/>
          <w:sz w:val="22"/>
          <w:szCs w:val="22"/>
          <w:lang w:val="el-GR"/>
        </w:rPr>
        <w:t>σύριγγα</w:t>
      </w:r>
      <w:r>
        <w:rPr>
          <w:sz w:val="22"/>
          <w:szCs w:val="22"/>
          <w:lang w:val="el-GR"/>
        </w:rPr>
        <w:t xml:space="preserve"> AMGEVITA των 20 mg είναι διαθέσιμη για τη δόση των 20 mg.</w:t>
      </w:r>
    </w:p>
    <w:p w14:paraId="4E53409A" w14:textId="77777777" w:rsidR="00171824" w:rsidRDefault="00171824">
      <w:pPr>
        <w:rPr>
          <w:i/>
          <w:sz w:val="22"/>
          <w:szCs w:val="22"/>
          <w:lang w:val="el-GR"/>
        </w:rPr>
      </w:pPr>
    </w:p>
    <w:p w14:paraId="6AE226F7" w14:textId="77777777" w:rsidR="00171824" w:rsidRDefault="006D258C">
      <w:pPr>
        <w:rPr>
          <w:i/>
          <w:sz w:val="22"/>
          <w:szCs w:val="22"/>
          <w:lang w:val="el-GR"/>
        </w:rPr>
      </w:pPr>
      <w:r>
        <w:rPr>
          <w:i/>
          <w:sz w:val="22"/>
          <w:szCs w:val="22"/>
          <w:lang w:val="el-GR"/>
        </w:rPr>
        <w:t>Παιδιά και έφηβοι 2 ετών και άνω με βάρος 30 kg ή περισσότερο:</w:t>
      </w:r>
    </w:p>
    <w:p w14:paraId="00FDB577" w14:textId="77777777" w:rsidR="00171824" w:rsidRDefault="00171824">
      <w:pPr>
        <w:rPr>
          <w:sz w:val="22"/>
          <w:szCs w:val="22"/>
          <w:lang w:val="el-GR"/>
        </w:rPr>
      </w:pPr>
    </w:p>
    <w:p w14:paraId="202740B8"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40 mg κάθε δεύτερη βδομάδα με μεθοτρεξάτη.</w:t>
      </w:r>
    </w:p>
    <w:p w14:paraId="1CEA85F3" w14:textId="77777777" w:rsidR="00171824" w:rsidRDefault="00171824">
      <w:pPr>
        <w:rPr>
          <w:sz w:val="22"/>
          <w:szCs w:val="22"/>
          <w:lang w:val="el-GR"/>
        </w:rPr>
      </w:pPr>
    </w:p>
    <w:p w14:paraId="6C21759B" w14:textId="77777777" w:rsidR="00171824" w:rsidRDefault="006D258C">
      <w:pPr>
        <w:rPr>
          <w:sz w:val="22"/>
          <w:szCs w:val="22"/>
          <w:lang w:val="el-GR"/>
        </w:rPr>
      </w:pPr>
      <w:r>
        <w:rPr>
          <w:sz w:val="22"/>
          <w:szCs w:val="22"/>
          <w:lang w:val="el-GR"/>
        </w:rPr>
        <w:t>Ο γιατρός του παιδιού σας μπορεί επίσης να συνταγογραφήσει μία αρχική δόση των 80 mg η οποία μπορεί να χορηγηθεί μία εβδομάδα πριν την έναρξη της συνήθους δόσης.</w:t>
      </w:r>
    </w:p>
    <w:p w14:paraId="5AA9B7F3" w14:textId="77777777" w:rsidR="00171824" w:rsidRDefault="00171824">
      <w:pPr>
        <w:widowControl/>
        <w:kinsoku w:val="0"/>
        <w:overflowPunct w:val="0"/>
        <w:outlineLvl w:val="0"/>
        <w:rPr>
          <w:b/>
          <w:bCs/>
          <w:sz w:val="22"/>
          <w:szCs w:val="22"/>
          <w:lang w:val="el-GR"/>
        </w:rPr>
      </w:pPr>
    </w:p>
    <w:p w14:paraId="3C02D871" w14:textId="77777777" w:rsidR="00171824" w:rsidRDefault="006D258C">
      <w:pPr>
        <w:keepNext/>
        <w:widowControl/>
        <w:kinsoku w:val="0"/>
        <w:overflowPunct w:val="0"/>
        <w:outlineLvl w:val="0"/>
        <w:rPr>
          <w:sz w:val="22"/>
          <w:szCs w:val="22"/>
          <w:lang w:val="el-GR"/>
        </w:rPr>
      </w:pPr>
      <w:r>
        <w:rPr>
          <w:b/>
          <w:bCs/>
          <w:sz w:val="22"/>
          <w:szCs w:val="22"/>
          <w:lang w:val="el-GR"/>
        </w:rPr>
        <w:t>Τρόπος και οδός χορήγησης</w:t>
      </w:r>
    </w:p>
    <w:p w14:paraId="543647DB" w14:textId="77777777" w:rsidR="00171824" w:rsidRDefault="00171824">
      <w:pPr>
        <w:keepNext/>
        <w:widowControl/>
        <w:kinsoku w:val="0"/>
        <w:overflowPunct w:val="0"/>
        <w:rPr>
          <w:sz w:val="22"/>
          <w:szCs w:val="22"/>
          <w:lang w:val="el-GR"/>
        </w:rPr>
      </w:pPr>
    </w:p>
    <w:p w14:paraId="416F9079" w14:textId="77777777" w:rsidR="00171824" w:rsidRDefault="006D258C">
      <w:pPr>
        <w:widowControl/>
        <w:kinsoku w:val="0"/>
        <w:overflowPunct w:val="0"/>
        <w:rPr>
          <w:sz w:val="22"/>
          <w:szCs w:val="22"/>
          <w:lang w:val="el-GR"/>
        </w:rPr>
      </w:pPr>
      <w:r>
        <w:rPr>
          <w:sz w:val="22"/>
          <w:szCs w:val="22"/>
          <w:lang w:val="el-GR"/>
        </w:rPr>
        <w:t>Το AMGEVITA χορηγείται με ένεση κάτω από το δέρμα (υποδόρια ένεση).</w:t>
      </w:r>
    </w:p>
    <w:p w14:paraId="70064BB8" w14:textId="77777777" w:rsidR="00171824" w:rsidRDefault="00171824">
      <w:pPr>
        <w:widowControl/>
        <w:kinsoku w:val="0"/>
        <w:overflowPunct w:val="0"/>
        <w:rPr>
          <w:sz w:val="22"/>
          <w:szCs w:val="22"/>
          <w:lang w:val="el-GR"/>
        </w:rPr>
      </w:pPr>
    </w:p>
    <w:p w14:paraId="3C93C2E9" w14:textId="77777777" w:rsidR="00171824" w:rsidRDefault="006D258C">
      <w:pPr>
        <w:widowControl/>
        <w:kinsoku w:val="0"/>
        <w:overflowPunct w:val="0"/>
        <w:rPr>
          <w:sz w:val="22"/>
          <w:szCs w:val="22"/>
          <w:lang w:val="el-GR"/>
        </w:rPr>
      </w:pPr>
      <w:r>
        <w:rPr>
          <w:sz w:val="22"/>
          <w:szCs w:val="22"/>
          <w:lang w:val="el-GR"/>
        </w:rPr>
        <w:t>Λεπτομερείς οδηγίες σχετικά με τον τρόπο που πρέπει να κάνετε την ένεση του AMGEVITA παρέχονται στην παράγραφο «Οδηγίες χρήσης».</w:t>
      </w:r>
    </w:p>
    <w:p w14:paraId="0BA9423C" w14:textId="77777777" w:rsidR="00171824" w:rsidRDefault="00171824">
      <w:pPr>
        <w:widowControl/>
        <w:kinsoku w:val="0"/>
        <w:overflowPunct w:val="0"/>
        <w:rPr>
          <w:sz w:val="22"/>
          <w:szCs w:val="22"/>
          <w:lang w:val="el-GR"/>
        </w:rPr>
      </w:pPr>
    </w:p>
    <w:p w14:paraId="775EA640" w14:textId="77777777" w:rsidR="00171824" w:rsidRDefault="006D258C">
      <w:pPr>
        <w:keepNext/>
        <w:widowControl/>
        <w:kinsoku w:val="0"/>
        <w:overflowPunct w:val="0"/>
        <w:outlineLvl w:val="0"/>
        <w:rPr>
          <w:sz w:val="22"/>
          <w:szCs w:val="22"/>
          <w:lang w:val="el-GR"/>
        </w:rPr>
      </w:pPr>
      <w:r>
        <w:rPr>
          <w:b/>
          <w:bCs/>
          <w:sz w:val="22"/>
          <w:szCs w:val="22"/>
          <w:lang w:val="el-GR"/>
        </w:rPr>
        <w:t>Εάν χρησιμοποιήσετε μεγαλύτερη δόση AMGEVITA από την κανονική:</w:t>
      </w:r>
    </w:p>
    <w:p w14:paraId="051CD6C5" w14:textId="77777777" w:rsidR="00171824" w:rsidRDefault="00171824">
      <w:pPr>
        <w:widowControl/>
        <w:kinsoku w:val="0"/>
        <w:overflowPunct w:val="0"/>
        <w:rPr>
          <w:sz w:val="22"/>
          <w:szCs w:val="22"/>
          <w:lang w:val="el-GR"/>
        </w:rPr>
      </w:pPr>
    </w:p>
    <w:p w14:paraId="3E67FE3C" w14:textId="77777777" w:rsidR="00171824" w:rsidRDefault="006D258C">
      <w:pPr>
        <w:widowControl/>
        <w:kinsoku w:val="0"/>
        <w:overflowPunct w:val="0"/>
        <w:rPr>
          <w:sz w:val="22"/>
          <w:szCs w:val="22"/>
          <w:lang w:val="el-GR"/>
        </w:rPr>
      </w:pPr>
      <w:r>
        <w:rPr>
          <w:sz w:val="22"/>
          <w:szCs w:val="22"/>
          <w:lang w:val="el-GR"/>
        </w:rPr>
        <w:t>Εάν κατά λάθος κάνετε την ένεση του AMGEVITA πιο συχνά από ό,τι σας είπε ο/η γιατρός ή ο φαρμακοποιός σας, καλέσετε τον γιατρό ή τον φαρμακοποιός σας και να του/της πείτε ότι πήρατε μεγαλύτερη δόση. Θα πρέπει να έχετε πάντοτε την εξωτερική συσκευασία αυτού του φαρμάκου μαζί σας, ακόμη και όταν είναι άδεια.</w:t>
      </w:r>
    </w:p>
    <w:p w14:paraId="36912641" w14:textId="77777777" w:rsidR="00171824" w:rsidRDefault="00171824">
      <w:pPr>
        <w:widowControl/>
        <w:kinsoku w:val="0"/>
        <w:overflowPunct w:val="0"/>
        <w:rPr>
          <w:sz w:val="22"/>
          <w:szCs w:val="22"/>
          <w:lang w:val="el-GR"/>
        </w:rPr>
      </w:pPr>
    </w:p>
    <w:p w14:paraId="79755903" w14:textId="77777777" w:rsidR="00171824" w:rsidRDefault="006D258C">
      <w:pPr>
        <w:widowControl/>
        <w:kinsoku w:val="0"/>
        <w:overflowPunct w:val="0"/>
        <w:outlineLvl w:val="0"/>
        <w:rPr>
          <w:sz w:val="22"/>
          <w:szCs w:val="22"/>
          <w:lang w:val="el-GR"/>
        </w:rPr>
      </w:pPr>
      <w:r>
        <w:rPr>
          <w:b/>
          <w:bCs/>
          <w:sz w:val="22"/>
          <w:szCs w:val="22"/>
          <w:lang w:val="el-GR"/>
        </w:rPr>
        <w:t>Εάν ξεχάσετε να χρησιμοποιήσετε το AMGEVITA:</w:t>
      </w:r>
    </w:p>
    <w:p w14:paraId="25E4BA48" w14:textId="77777777" w:rsidR="00171824" w:rsidRDefault="00171824">
      <w:pPr>
        <w:widowControl/>
        <w:kinsoku w:val="0"/>
        <w:overflowPunct w:val="0"/>
        <w:rPr>
          <w:sz w:val="22"/>
          <w:szCs w:val="22"/>
          <w:lang w:val="el-GR"/>
        </w:rPr>
      </w:pPr>
    </w:p>
    <w:p w14:paraId="52CB2F1A" w14:textId="77777777" w:rsidR="00171824" w:rsidRDefault="006D258C">
      <w:pPr>
        <w:widowControl/>
        <w:kinsoku w:val="0"/>
        <w:overflowPunct w:val="0"/>
        <w:rPr>
          <w:sz w:val="22"/>
          <w:szCs w:val="22"/>
          <w:lang w:val="el-GR"/>
        </w:rPr>
      </w:pPr>
      <w:r>
        <w:rPr>
          <w:sz w:val="22"/>
          <w:szCs w:val="22"/>
          <w:lang w:val="el-GR"/>
        </w:rPr>
        <w:t xml:space="preserve">Εάν ξεχάσετε να κάνετε την ένεση, θα πρέπει να κάνετε την επόμενη δόση της ένεσης του </w:t>
      </w:r>
      <w:r>
        <w:rPr>
          <w:sz w:val="22"/>
          <w:lang w:val="el-GR"/>
        </w:rPr>
        <w:t>AMGEVITA</w:t>
      </w:r>
      <w:r>
        <w:rPr>
          <w:sz w:val="22"/>
          <w:szCs w:val="22"/>
          <w:lang w:val="el-GR"/>
        </w:rPr>
        <w:t xml:space="preserve"> αμέσως μόλις το θυμηθείτε. Κατόπιν θα συνεχίσετε την επόμενη δόση την ημέρα που είχε αρχικά προγραμματισθεί, εάν δεν είχατε ξεχάσει τη δόση.</w:t>
      </w:r>
    </w:p>
    <w:p w14:paraId="57DAD535" w14:textId="77777777" w:rsidR="00171824" w:rsidRDefault="00171824">
      <w:pPr>
        <w:widowControl/>
        <w:kinsoku w:val="0"/>
        <w:overflowPunct w:val="0"/>
        <w:rPr>
          <w:sz w:val="22"/>
          <w:szCs w:val="22"/>
          <w:lang w:val="el-GR"/>
        </w:rPr>
      </w:pPr>
    </w:p>
    <w:p w14:paraId="01322727" w14:textId="77777777" w:rsidR="00171824" w:rsidRDefault="006D258C">
      <w:pPr>
        <w:widowControl/>
        <w:kinsoku w:val="0"/>
        <w:overflowPunct w:val="0"/>
        <w:outlineLvl w:val="0"/>
        <w:rPr>
          <w:sz w:val="22"/>
          <w:szCs w:val="22"/>
          <w:lang w:val="el-GR"/>
        </w:rPr>
      </w:pPr>
      <w:r>
        <w:rPr>
          <w:b/>
          <w:bCs/>
          <w:sz w:val="22"/>
          <w:szCs w:val="22"/>
          <w:lang w:val="el-GR"/>
        </w:rPr>
        <w:t>Εάν σταματήσετε να χρησιμοποιείτε το AMGEVITA:</w:t>
      </w:r>
    </w:p>
    <w:p w14:paraId="7C14AEEC" w14:textId="77777777" w:rsidR="00171824" w:rsidRDefault="00171824">
      <w:pPr>
        <w:widowControl/>
        <w:kinsoku w:val="0"/>
        <w:overflowPunct w:val="0"/>
        <w:rPr>
          <w:sz w:val="22"/>
          <w:szCs w:val="22"/>
          <w:lang w:val="el-GR"/>
        </w:rPr>
      </w:pPr>
    </w:p>
    <w:p w14:paraId="408796EF" w14:textId="77777777" w:rsidR="00171824" w:rsidRDefault="006D258C">
      <w:pPr>
        <w:widowControl/>
        <w:kinsoku w:val="0"/>
        <w:overflowPunct w:val="0"/>
        <w:rPr>
          <w:sz w:val="22"/>
          <w:szCs w:val="22"/>
          <w:lang w:val="el-GR"/>
        </w:rPr>
      </w:pPr>
      <w:r>
        <w:rPr>
          <w:sz w:val="22"/>
          <w:szCs w:val="22"/>
          <w:lang w:val="el-GR"/>
        </w:rPr>
        <w:t>Η απόφαση να σταματήσετε να χρησιμοποιείτε το AMGEVITA θα πρέπει να συζητηθεί με τον γιατρό σας. Τα συμπτώματά σας μπορεί να επανέλθουν μετά την διακοπή.</w:t>
      </w:r>
    </w:p>
    <w:p w14:paraId="2CB6364D" w14:textId="77777777" w:rsidR="00171824" w:rsidRDefault="00171824">
      <w:pPr>
        <w:widowControl/>
        <w:kinsoku w:val="0"/>
        <w:overflowPunct w:val="0"/>
        <w:rPr>
          <w:sz w:val="22"/>
          <w:szCs w:val="22"/>
          <w:lang w:val="el-GR"/>
        </w:rPr>
      </w:pPr>
    </w:p>
    <w:p w14:paraId="654DFBE4" w14:textId="77777777" w:rsidR="00171824" w:rsidRDefault="006D258C">
      <w:pPr>
        <w:widowControl/>
        <w:kinsoku w:val="0"/>
        <w:overflowPunct w:val="0"/>
        <w:rPr>
          <w:sz w:val="22"/>
          <w:szCs w:val="22"/>
          <w:lang w:val="el-GR"/>
        </w:rPr>
      </w:pPr>
      <w:r>
        <w:rPr>
          <w:sz w:val="22"/>
          <w:szCs w:val="22"/>
          <w:lang w:val="el-GR"/>
        </w:rPr>
        <w:t>Εάν έχετε περισσότερες ερωτήσεις σχετικά με τη χρήση αυτού του φαρμάκου ρωτήστε τον γιατρό ή τον φαρμακοποιό σας.</w:t>
      </w:r>
    </w:p>
    <w:p w14:paraId="7BC54473" w14:textId="77777777" w:rsidR="00171824" w:rsidRDefault="00171824">
      <w:pPr>
        <w:widowControl/>
        <w:kinsoku w:val="0"/>
        <w:overflowPunct w:val="0"/>
        <w:rPr>
          <w:sz w:val="22"/>
          <w:szCs w:val="22"/>
          <w:lang w:val="el-GR"/>
        </w:rPr>
      </w:pPr>
    </w:p>
    <w:p w14:paraId="59DFDBD3" w14:textId="77777777" w:rsidR="00171824" w:rsidRDefault="00171824">
      <w:pPr>
        <w:widowControl/>
        <w:kinsoku w:val="0"/>
        <w:overflowPunct w:val="0"/>
        <w:rPr>
          <w:sz w:val="22"/>
          <w:szCs w:val="22"/>
          <w:lang w:val="el-GR"/>
        </w:rPr>
      </w:pPr>
    </w:p>
    <w:p w14:paraId="7C0104CA" w14:textId="77777777" w:rsidR="00171824" w:rsidRDefault="006D258C">
      <w:pPr>
        <w:widowControl/>
        <w:numPr>
          <w:ilvl w:val="0"/>
          <w:numId w:val="31"/>
        </w:numPr>
        <w:kinsoku w:val="0"/>
        <w:overflowPunct w:val="0"/>
        <w:autoSpaceDE/>
        <w:autoSpaceDN/>
        <w:adjustRightInd/>
        <w:ind w:left="567"/>
        <w:outlineLvl w:val="0"/>
        <w:rPr>
          <w:sz w:val="22"/>
          <w:szCs w:val="22"/>
          <w:lang w:val="el-GR"/>
        </w:rPr>
      </w:pPr>
      <w:r>
        <w:rPr>
          <w:b/>
          <w:bCs/>
          <w:sz w:val="22"/>
          <w:szCs w:val="22"/>
          <w:lang w:val="el-GR"/>
        </w:rPr>
        <w:t>Πιθανές ανεπιθύμητες ενέργειες</w:t>
      </w:r>
    </w:p>
    <w:p w14:paraId="4E21C31A" w14:textId="77777777" w:rsidR="00171824" w:rsidRDefault="00171824">
      <w:pPr>
        <w:widowControl/>
        <w:kinsoku w:val="0"/>
        <w:overflowPunct w:val="0"/>
        <w:rPr>
          <w:sz w:val="22"/>
          <w:szCs w:val="22"/>
          <w:lang w:val="el-GR"/>
        </w:rPr>
      </w:pPr>
    </w:p>
    <w:p w14:paraId="004690E5" w14:textId="77777777" w:rsidR="00171824" w:rsidRDefault="006D258C">
      <w:pPr>
        <w:widowControl/>
        <w:kinsoku w:val="0"/>
        <w:overflowPunct w:val="0"/>
        <w:rPr>
          <w:sz w:val="22"/>
          <w:szCs w:val="22"/>
          <w:lang w:val="el-GR"/>
        </w:rPr>
      </w:pPr>
      <w:r>
        <w:rPr>
          <w:sz w:val="22"/>
          <w:szCs w:val="22"/>
          <w:lang w:val="el-GR"/>
        </w:rPr>
        <w:t>Όπως όλα τα φάρμακα, έτσι και αυτό το φάρμακο μπορεί να προκαλέσει ανεπιθύμητες ενέργειες, αν και δεν παρουσιάζονται σε όλους τους ανθρώπους. Οι περισσότερες ανεπιθύμητες ενέργειες είναι ελαφρές έως μέτριες. Όμως κάποιες μπορεί να είναι σοβαρές και να απαιτούν θεραπεία. Ανεπιθύμητες ενέργειες μπορεί να εμφανιστούν το λιγότερο μέσα σε διάστημα 4 μηνών μετά την τελευταία ένεση AMGEVITA.</w:t>
      </w:r>
    </w:p>
    <w:p w14:paraId="2E314981" w14:textId="77777777" w:rsidR="00171824" w:rsidRDefault="00171824">
      <w:pPr>
        <w:widowControl/>
        <w:kinsoku w:val="0"/>
        <w:overflowPunct w:val="0"/>
        <w:rPr>
          <w:sz w:val="22"/>
          <w:szCs w:val="22"/>
          <w:lang w:val="el-GR"/>
        </w:rPr>
      </w:pPr>
    </w:p>
    <w:p w14:paraId="33DDA911" w14:textId="77777777" w:rsidR="00171824" w:rsidRDefault="006D258C">
      <w:pPr>
        <w:widowControl/>
        <w:kinsoku w:val="0"/>
        <w:overflowPunct w:val="0"/>
        <w:rPr>
          <w:sz w:val="22"/>
          <w:szCs w:val="22"/>
          <w:lang w:val="el-GR"/>
        </w:rPr>
      </w:pPr>
      <w:r>
        <w:rPr>
          <w:sz w:val="22"/>
          <w:szCs w:val="22"/>
          <w:lang w:val="el-GR"/>
        </w:rPr>
        <w:t>Ενημερώστε αμέσως τον γιατρό σας εάν παρατηρήσετε κάποιο από τα ακόλουθα</w:t>
      </w:r>
      <w:r>
        <w:rPr>
          <w:lang w:val="el-GR"/>
        </w:rPr>
        <w:t xml:space="preserve"> </w:t>
      </w:r>
      <w:r>
        <w:rPr>
          <w:sz w:val="22"/>
          <w:szCs w:val="22"/>
          <w:lang w:val="el-GR"/>
        </w:rPr>
        <w:t>σημεία αλλεργικής αντίδρασης ή καρδιακής ανεπάρκειας:</w:t>
      </w:r>
    </w:p>
    <w:p w14:paraId="59ABB2D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Σοβαρό εξάνθημα, κνίδωση ή άλλα σημεία αλλεργικής αντίδρασης,</w:t>
      </w:r>
    </w:p>
    <w:p w14:paraId="2AF7B3E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 χεριών και ποδιών,</w:t>
      </w:r>
    </w:p>
    <w:p w14:paraId="7BBD4C5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Αναπνευστικό πρόβλημα, δυσκολία κατάποσης,</w:t>
      </w:r>
    </w:p>
    <w:p w14:paraId="2826213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Δυσκολία αναπνοής κατά την προσπάθεια ή κατά την κατάκλιση ή οίδημα στα πόδια.</w:t>
      </w:r>
    </w:p>
    <w:p w14:paraId="59D3ECDA" w14:textId="77777777" w:rsidR="00171824" w:rsidRDefault="00171824">
      <w:pPr>
        <w:widowControl/>
        <w:kinsoku w:val="0"/>
        <w:overflowPunct w:val="0"/>
        <w:rPr>
          <w:sz w:val="22"/>
          <w:szCs w:val="22"/>
          <w:lang w:val="el-GR"/>
        </w:rPr>
      </w:pPr>
    </w:p>
    <w:p w14:paraId="32324CCD" w14:textId="77777777" w:rsidR="00171824" w:rsidRDefault="006D258C">
      <w:pPr>
        <w:widowControl/>
        <w:kinsoku w:val="0"/>
        <w:overflowPunct w:val="0"/>
        <w:rPr>
          <w:sz w:val="22"/>
          <w:szCs w:val="22"/>
          <w:lang w:val="el-GR"/>
        </w:rPr>
      </w:pPr>
      <w:r>
        <w:rPr>
          <w:sz w:val="22"/>
          <w:szCs w:val="22"/>
          <w:lang w:val="el-GR"/>
        </w:rPr>
        <w:t>Ενημερώστε αμέσως τον γιατρό σας εάν παρατηρήσετε κάποιο από τα ακόλουθα:</w:t>
      </w:r>
    </w:p>
    <w:p w14:paraId="4EB913A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λοίμωξης, όπως πυρετός, αίσθημα ασθένειας, πληγές, οδοντικά προβλήματα, αίσθηση καύσου κατά την ούρηση,</w:t>
      </w:r>
    </w:p>
    <w:p w14:paraId="2D3332C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αδυναμίας ή κόπωσης,</w:t>
      </w:r>
    </w:p>
    <w:p w14:paraId="202FB89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Βήχα,</w:t>
      </w:r>
    </w:p>
    <w:p w14:paraId="61CA1AF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Κνησμό,</w:t>
      </w:r>
    </w:p>
    <w:p w14:paraId="2179CEA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Μούδιασμα,</w:t>
      </w:r>
    </w:p>
    <w:p w14:paraId="58F98A5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Διπλή όραση,</w:t>
      </w:r>
    </w:p>
    <w:p w14:paraId="783E571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Αδυναμία χεριών ή ποδιών,</w:t>
      </w:r>
    </w:p>
    <w:p w14:paraId="0A9F315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καρκίνου του δέρματος όπως τοπικό πρήξιμο, ή ανοιχτό έλκος το οποίο δε θεραπεύεται,</w:t>
      </w:r>
    </w:p>
    <w:p w14:paraId="1834D4B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και συμπτώματα ύποπτα για αιματολογικές διαταραχές, όπως παρατεινόμενος πυρετός, μώλωπες, αιμορραγία, ωχρότητα.</w:t>
      </w:r>
    </w:p>
    <w:p w14:paraId="3DD1187E" w14:textId="77777777" w:rsidR="00171824" w:rsidRDefault="00171824">
      <w:pPr>
        <w:widowControl/>
        <w:kinsoku w:val="0"/>
        <w:overflowPunct w:val="0"/>
        <w:rPr>
          <w:sz w:val="22"/>
          <w:szCs w:val="22"/>
          <w:lang w:val="el-GR"/>
        </w:rPr>
      </w:pPr>
    </w:p>
    <w:p w14:paraId="19A57377" w14:textId="77777777" w:rsidR="00171824" w:rsidRDefault="006D258C">
      <w:pPr>
        <w:widowControl/>
        <w:kinsoku w:val="0"/>
        <w:overflowPunct w:val="0"/>
        <w:rPr>
          <w:sz w:val="22"/>
          <w:szCs w:val="22"/>
          <w:lang w:val="el-GR"/>
        </w:rPr>
      </w:pPr>
      <w:r>
        <w:rPr>
          <w:sz w:val="22"/>
          <w:szCs w:val="22"/>
          <w:lang w:val="el-GR"/>
        </w:rPr>
        <w:t>Τα παραπάνω συμπτώματα μπορεί να αποτελούν ένδειξη για τις ακόλουθες ανεπιθύμητες ενέργειες, οι οποίες έχουν παρατηρηθεί με το adalimumab.</w:t>
      </w:r>
    </w:p>
    <w:p w14:paraId="7B4B5FF6" w14:textId="77777777" w:rsidR="00171824" w:rsidRDefault="00171824">
      <w:pPr>
        <w:widowControl/>
        <w:kinsoku w:val="0"/>
        <w:overflowPunct w:val="0"/>
        <w:rPr>
          <w:sz w:val="22"/>
          <w:szCs w:val="22"/>
          <w:lang w:val="el-GR"/>
        </w:rPr>
      </w:pPr>
    </w:p>
    <w:p w14:paraId="15AD685D" w14:textId="77777777" w:rsidR="00171824" w:rsidRDefault="006D258C">
      <w:pPr>
        <w:keepNext/>
        <w:widowControl/>
        <w:kinsoku w:val="0"/>
        <w:overflowPunct w:val="0"/>
        <w:rPr>
          <w:sz w:val="22"/>
          <w:szCs w:val="22"/>
          <w:lang w:val="el-GR"/>
        </w:rPr>
      </w:pPr>
      <w:r>
        <w:rPr>
          <w:sz w:val="22"/>
          <w:szCs w:val="22"/>
          <w:lang w:val="el-GR"/>
        </w:rPr>
        <w:t>Πολύ συχνές (μπορεί να επηρεάσουν περισσότερους από 1 στους 10 ανθρώπους)</w:t>
      </w:r>
    </w:p>
    <w:p w14:paraId="38898556" w14:textId="77777777" w:rsidR="00171824" w:rsidRDefault="006D258C">
      <w:pPr>
        <w:keepNext/>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αντιδράσεις της θέσης ένεσης (που συμπεριλαμβάνουν άλγος, οίδημα, ερυθρότητα ή κνησμό),</w:t>
      </w:r>
    </w:p>
    <w:p w14:paraId="0ECD0E0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αναπνευστικού συστήματος (συμπεριλαμβάνεται κρυολόγημα, καταρροή, ιγμορίτιδα, πνευμονία),</w:t>
      </w:r>
    </w:p>
    <w:p w14:paraId="6B9F2D6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πονοκέφαλος,</w:t>
      </w:r>
    </w:p>
    <w:p w14:paraId="549EB27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πόνος στην κοιλιά,</w:t>
      </w:r>
    </w:p>
    <w:p w14:paraId="673199C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ναυτία και έμετος,</w:t>
      </w:r>
    </w:p>
    <w:p w14:paraId="74E6697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εξάνθημα,</w:t>
      </w:r>
    </w:p>
    <w:p w14:paraId="4669278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μυοσκελετικός πόνος.</w:t>
      </w:r>
    </w:p>
    <w:p w14:paraId="4B1EB837" w14:textId="77777777" w:rsidR="00171824" w:rsidRDefault="00171824">
      <w:pPr>
        <w:widowControl/>
        <w:kinsoku w:val="0"/>
        <w:overflowPunct w:val="0"/>
        <w:rPr>
          <w:sz w:val="22"/>
          <w:szCs w:val="22"/>
          <w:lang w:val="el-GR"/>
        </w:rPr>
      </w:pPr>
    </w:p>
    <w:p w14:paraId="748E0313" w14:textId="77777777" w:rsidR="00171824" w:rsidRDefault="006D258C">
      <w:pPr>
        <w:widowControl/>
        <w:kinsoku w:val="0"/>
        <w:overflowPunct w:val="0"/>
        <w:rPr>
          <w:sz w:val="22"/>
          <w:szCs w:val="22"/>
          <w:lang w:val="el-GR"/>
        </w:rPr>
      </w:pPr>
      <w:r>
        <w:rPr>
          <w:sz w:val="22"/>
          <w:szCs w:val="22"/>
          <w:lang w:val="el-GR"/>
        </w:rPr>
        <w:t>Συχνές</w:t>
      </w:r>
      <w:r>
        <w:rPr>
          <w:b/>
          <w:sz w:val="22"/>
          <w:szCs w:val="22"/>
          <w:lang w:val="el-GR"/>
        </w:rPr>
        <w:t xml:space="preserve"> </w:t>
      </w:r>
      <w:r>
        <w:rPr>
          <w:sz w:val="22"/>
          <w:szCs w:val="22"/>
          <w:lang w:val="el-GR"/>
        </w:rPr>
        <w:t>(μπορεί να επηρεάσουν έως 1 στους 10 ανθρώπους)</w:t>
      </w:r>
    </w:p>
    <w:p w14:paraId="0718DBB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σοβαρές λοιμώξεις (συμπεριλαμβάνεται σηψαιμία και γρίπη),</w:t>
      </w:r>
    </w:p>
    <w:p w14:paraId="5FB230B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εντερικές λοιμώξεις (συμπεριλαμβάνεται γαστρεντερίτιδα),</w:t>
      </w:r>
    </w:p>
    <w:p w14:paraId="52045EA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δέρματος (συμπεριλαμβάνεται κυτταρίτιδα και έρπης),</w:t>
      </w:r>
    </w:p>
    <w:p w14:paraId="0CB136D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αυτιού,</w:t>
      </w:r>
    </w:p>
    <w:p w14:paraId="0592AD9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στοματικές λοιμώξεις (συμπεριλαμβάνονται λοιμώξεις των δοντιών και πόνοι από κρυολόγημα),</w:t>
      </w:r>
    </w:p>
    <w:p w14:paraId="6719D2D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αναπαραγωγικού συστήματος,</w:t>
      </w:r>
    </w:p>
    <w:p w14:paraId="64B983C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ουροποιητικού συστήματος,</w:t>
      </w:r>
    </w:p>
    <w:p w14:paraId="3C0139B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μυκητιασικές λοιμώξεις,</w:t>
      </w:r>
    </w:p>
    <w:p w14:paraId="160F115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των αρθρώσεων,</w:t>
      </w:r>
    </w:p>
    <w:p w14:paraId="5B183E5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καλοήθεις όγκοι,</w:t>
      </w:r>
    </w:p>
    <w:p w14:paraId="4C1CA1B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καρκίνος δέρματος,</w:t>
      </w:r>
    </w:p>
    <w:p w14:paraId="0174CAF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αλλεργικές αντιδράσεις (συμπεριλαμβάνεται εποχική αλλεργία),</w:t>
      </w:r>
    </w:p>
    <w:p w14:paraId="789B254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αφυδάτωση,</w:t>
      </w:r>
    </w:p>
    <w:p w14:paraId="72F1A31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αλλαγές της διάθεσης (συμπεριλαμβάνεται κατάθλιψη),</w:t>
      </w:r>
    </w:p>
    <w:p w14:paraId="3B0B1C8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άγχος,</w:t>
      </w:r>
    </w:p>
    <w:p w14:paraId="34511E5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δυσκολίες στον ύπνο,</w:t>
      </w:r>
    </w:p>
    <w:p w14:paraId="2704A54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της αίσθησης όπως μυρμήγκιασμα, αίσθημα τσιμπήματος ή μούδιασμα,</w:t>
      </w:r>
    </w:p>
    <w:p w14:paraId="7846445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ημικρανία,</w:t>
      </w:r>
    </w:p>
    <w:p w14:paraId="3AB81DB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συμπίεση νευρικής ρίζας (συμπεριλαμβάνεται πόνος χαμηλά στη μέση και πόνος στο πόδι),</w:t>
      </w:r>
    </w:p>
    <w:p w14:paraId="4457B46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όρασης,</w:t>
      </w:r>
    </w:p>
    <w:p w14:paraId="73B036C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οφθαλμική φλεγμονή,</w:t>
      </w:r>
    </w:p>
    <w:p w14:paraId="4A32FB1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των βλεφάρων και πρήξιμο του ματιού,</w:t>
      </w:r>
    </w:p>
    <w:p w14:paraId="20D85AA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ίλιγγος (αίσθηση ζάλης ή στροβιλισμού του δωματίου),</w:t>
      </w:r>
    </w:p>
    <w:p w14:paraId="2719BD3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γρήγορου καρδιακού παλμού,</w:t>
      </w:r>
    </w:p>
    <w:p w14:paraId="217BA71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υψηλή αρτηριακή πίεση,</w:t>
      </w:r>
    </w:p>
    <w:p w14:paraId="1FC5F03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κοκκίνισμα,</w:t>
      </w:r>
    </w:p>
    <w:p w14:paraId="079DB6D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αιμάτωμα,</w:t>
      </w:r>
    </w:p>
    <w:p w14:paraId="487D154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βήχας,</w:t>
      </w:r>
    </w:p>
    <w:p w14:paraId="01A6FCB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άσθμα,</w:t>
      </w:r>
    </w:p>
    <w:p w14:paraId="7E39FF3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κόψιμο της αναπνοής (δύσπνοια),</w:t>
      </w:r>
    </w:p>
    <w:p w14:paraId="1200380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γαστρεντερική αιμορραγία,</w:t>
      </w:r>
    </w:p>
    <w:p w14:paraId="2D71096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δυσπεψία (δυσπεψία, φούσκωμα, καούρα),</w:t>
      </w:r>
    </w:p>
    <w:p w14:paraId="64819C9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παλινδρόμηση,</w:t>
      </w:r>
    </w:p>
    <w:p w14:paraId="5B620CB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ξηρότητας (συμπεριλαμβάνονται ξηρότητα στα μάτια και ξηροστομία),</w:t>
      </w:r>
    </w:p>
    <w:p w14:paraId="5B8EFF4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κνησμός,</w:t>
      </w:r>
    </w:p>
    <w:p w14:paraId="17E534F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εξάνθημα με φαγούρα,</w:t>
      </w:r>
    </w:p>
    <w:p w14:paraId="4F2DDB9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μώλωπες,</w:t>
      </w:r>
    </w:p>
    <w:p w14:paraId="2D4D42D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του δέρματος (όπως έκζεμα),</w:t>
      </w:r>
    </w:p>
    <w:p w14:paraId="0809DA9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σπάσιμο των νυχιών του χεριού και του ποδιού,</w:t>
      </w:r>
    </w:p>
    <w:p w14:paraId="7D12C9C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αυξημένη εφίδρωση,</w:t>
      </w:r>
    </w:p>
    <w:p w14:paraId="54D501E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απώλεια τριχών (αλωπεκία),</w:t>
      </w:r>
    </w:p>
    <w:p w14:paraId="0AB811D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πρόσφατη έναρξη ή επιδείνωση των συμπτωμάτων ψωρίασης,</w:t>
      </w:r>
    </w:p>
    <w:p w14:paraId="5291C4D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μυϊκοί σπασμοί,</w:t>
      </w:r>
    </w:p>
    <w:p w14:paraId="3D39547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αιματουρία,</w:t>
      </w:r>
    </w:p>
    <w:p w14:paraId="5B6ACD7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προβλήματα στους νεφρούς,</w:t>
      </w:r>
    </w:p>
    <w:p w14:paraId="2B5A60A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πόνος στο στήθος,</w:t>
      </w:r>
    </w:p>
    <w:p w14:paraId="453B70A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w:t>
      </w:r>
    </w:p>
    <w:p w14:paraId="145DFCD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πυρετός,</w:t>
      </w:r>
    </w:p>
    <w:p w14:paraId="74BA21E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μείωση των αιμοπεταλίων του αίματος που αυξάνει τον κίνδυνο αιμορραγίας ή εμφάνισης μωλώπων,</w:t>
      </w:r>
    </w:p>
    <w:p w14:paraId="23B31AD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δυσχερής επούλωση.</w:t>
      </w:r>
    </w:p>
    <w:p w14:paraId="2919A36B" w14:textId="77777777" w:rsidR="00171824" w:rsidRDefault="00171824">
      <w:pPr>
        <w:widowControl/>
        <w:kinsoku w:val="0"/>
        <w:overflowPunct w:val="0"/>
        <w:rPr>
          <w:sz w:val="22"/>
          <w:szCs w:val="22"/>
          <w:lang w:val="el-GR"/>
        </w:rPr>
      </w:pPr>
    </w:p>
    <w:p w14:paraId="579EF645" w14:textId="77777777" w:rsidR="00171824" w:rsidRDefault="006D258C">
      <w:pPr>
        <w:widowControl/>
        <w:kinsoku w:val="0"/>
        <w:overflowPunct w:val="0"/>
        <w:rPr>
          <w:sz w:val="22"/>
          <w:szCs w:val="22"/>
          <w:lang w:val="el-GR"/>
        </w:rPr>
      </w:pPr>
      <w:r>
        <w:rPr>
          <w:sz w:val="22"/>
          <w:szCs w:val="22"/>
          <w:lang w:val="el-GR"/>
        </w:rPr>
        <w:t>Όχι συχνές (μπορεί να επηρεάσουν έως 1 στους 100 ανθρώπους)</w:t>
      </w:r>
    </w:p>
    <w:p w14:paraId="085A89F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ευκαιριακές λοιμώξεις (που συμπεριλαμβάνουν φυματίωση και άλλες λοιμώξεις που προκύπτουν όταν μειώνεται η αντίσταση στη νόσο),</w:t>
      </w:r>
    </w:p>
    <w:p w14:paraId="146B747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νευρολογικές λοιμώξεις (συμπεριλαμβάνεται ιογενής μηνιγγίτιδα),</w:t>
      </w:r>
    </w:p>
    <w:p w14:paraId="7960BC3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οφθαλμικές λοιμώξεις,</w:t>
      </w:r>
    </w:p>
    <w:p w14:paraId="0F2298C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βακτηριακές λοιμώξεις,</w:t>
      </w:r>
    </w:p>
    <w:p w14:paraId="3D4ACBE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εκκολπωματίτιδα (φλεγμονή και λοίμωξη του παχέος εντέρου),</w:t>
      </w:r>
    </w:p>
    <w:p w14:paraId="797D21B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καρκίνος, συμπεριλαμβανομένου του καρκίνου που επηρεάζει το λεμφικό σύστημα (λέμφωμα) και του μελανώματος (καρκίνος του δέρματος),</w:t>
      </w:r>
    </w:p>
    <w:p w14:paraId="5082C67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του ανοσοποιητικού συστήματος που μπορεί να επηρεάσουν τους πνεύμονες, το δέρμα και τους λεμφαδένες (παρουσιάζονται συνηθέστερα ως σαρκοείδωση),</w:t>
      </w:r>
    </w:p>
    <w:p w14:paraId="440589F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αγγειίτιδα (φλεγμονή αιμοφόρων αγγείων),</w:t>
      </w:r>
    </w:p>
    <w:p w14:paraId="238BB44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τρόμος,</w:t>
      </w:r>
    </w:p>
    <w:p w14:paraId="4190144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νευροπάθεια,</w:t>
      </w:r>
    </w:p>
    <w:p w14:paraId="4F66FE1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εγκεφαλικό επεισόδιο,</w:t>
      </w:r>
    </w:p>
    <w:p w14:paraId="3D2EED2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απώλεια ακοής, βουητό,</w:t>
      </w:r>
    </w:p>
    <w:p w14:paraId="4C4CFCD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ανώμαλου καρδιακού ρυθμού όπως παράλειψη καρδιακών παλμών,</w:t>
      </w:r>
    </w:p>
    <w:p w14:paraId="408C676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καρδιολογικά προβλήματα που μπορεί να προκαλέσουν κόψιμο της αναπνοής (δύσπνοια) ή πρήξιμο των αστραγάλων,</w:t>
      </w:r>
    </w:p>
    <w:p w14:paraId="65677CB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καρδιακή προσβολή,</w:t>
      </w:r>
    </w:p>
    <w:p w14:paraId="4E29197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ένα σάκο στο τοίχωμα μιας μεγάλης αρτηρίας (ανεύρυσμα), φλεγμονή και θρόμβωση μίας φλέβας, απόφραξη ενός αιμοφόρου αγγείου,</w:t>
      </w:r>
    </w:p>
    <w:p w14:paraId="19C34DB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πνευμονικές νόσοι που προκαλούν κόψιμο της αναπνοής (δύσπνοια) (συμπεριλαμβάνεται φλεγμονή),</w:t>
      </w:r>
    </w:p>
    <w:p w14:paraId="74892AA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πνευμονική εμβολή (απόφραξη μίας αρτηρίας των πνευμόνων),</w:t>
      </w:r>
    </w:p>
    <w:p w14:paraId="4D35A22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υπεζωκοτική συλλογή (μη φυσιολογική συλλογή υγρού στη περιοχή των πλευρών),</w:t>
      </w:r>
    </w:p>
    <w:p w14:paraId="1D9AA49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του παγκρέατος που προκαλεί σοβαρό πόνο στην κοιλιά και την πλάτη,</w:t>
      </w:r>
    </w:p>
    <w:p w14:paraId="50A8CFF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δυσκολία στην κατάποση,</w:t>
      </w:r>
    </w:p>
    <w:p w14:paraId="773FA09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w:t>
      </w:r>
    </w:p>
    <w:p w14:paraId="5F004A2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της χοληδόχου κύστης, πέτρες στη χολή,</w:t>
      </w:r>
    </w:p>
    <w:p w14:paraId="29295B5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λιπώδες ήπαρ,</w:t>
      </w:r>
    </w:p>
    <w:p w14:paraId="32A2C42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νυκτερινοί ιδρώτες,</w:t>
      </w:r>
    </w:p>
    <w:p w14:paraId="294C871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ουλή,</w:t>
      </w:r>
    </w:p>
    <w:p w14:paraId="77E7D65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ανώμαλη μυϊκή κατάπτωση,</w:t>
      </w:r>
    </w:p>
    <w:p w14:paraId="1416EF5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συστηματικός ερυθηματώδης λύκος (συμπεριλαμβάνονται φλεγμονές του δέρματος, της καρδιάς, του πνεύμονα, των αρθρώσεων και άλλων οργανικών συστημάτων),</w:t>
      </w:r>
    </w:p>
    <w:p w14:paraId="4EE9DDA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διαταραχές του ύπνου,</w:t>
      </w:r>
    </w:p>
    <w:p w14:paraId="7CE9878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ανικανότητα,</w:t>
      </w:r>
    </w:p>
    <w:p w14:paraId="2601AF9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φλεγμονές.</w:t>
      </w:r>
    </w:p>
    <w:p w14:paraId="29BA3ACE" w14:textId="77777777" w:rsidR="00171824" w:rsidRDefault="00171824">
      <w:pPr>
        <w:widowControl/>
        <w:kinsoku w:val="0"/>
        <w:overflowPunct w:val="0"/>
        <w:rPr>
          <w:sz w:val="22"/>
          <w:szCs w:val="22"/>
          <w:lang w:val="el-GR"/>
        </w:rPr>
      </w:pPr>
    </w:p>
    <w:p w14:paraId="686EA97B" w14:textId="77777777" w:rsidR="00171824" w:rsidRDefault="006D258C">
      <w:pPr>
        <w:widowControl/>
        <w:kinsoku w:val="0"/>
        <w:overflowPunct w:val="0"/>
        <w:rPr>
          <w:sz w:val="22"/>
          <w:szCs w:val="22"/>
          <w:lang w:val="el-GR"/>
        </w:rPr>
      </w:pPr>
      <w:r>
        <w:rPr>
          <w:sz w:val="22"/>
          <w:szCs w:val="22"/>
          <w:lang w:val="el-GR"/>
        </w:rPr>
        <w:t>Σπάνιες (μπορεί να επηρεάσουν έως 1 στους 1.000 ανθρώπους)</w:t>
      </w:r>
    </w:p>
    <w:p w14:paraId="7868B9C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λευχαιμία (καρκίνος που επηρεάζει το αίμα και το μυελό των οστών),</w:t>
      </w:r>
    </w:p>
    <w:p w14:paraId="64AD2A2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σοβαρή αλλεργική αντίδραση με καταπληξία,</w:t>
      </w:r>
    </w:p>
    <w:p w14:paraId="62368F4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σκλήρυνση κατά πλάκας,</w:t>
      </w:r>
    </w:p>
    <w:p w14:paraId="6224703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νευρολογικές διαταραχές (όπως φλεγμονή του οφθαλμικού νεύρου και σύνδρομο Guillain</w:t>
      </w:r>
      <w:r>
        <w:rPr>
          <w:sz w:val="22"/>
          <w:szCs w:val="22"/>
          <w:lang w:val="el-GR"/>
        </w:rPr>
        <w:noBreakHyphen/>
        <w:t>Barré που μπορεί να προκαλέσει μυϊκή αδυναμία, παθολογική αίσθηση (αισθητικότητα)), μυρμηκίαση στους βραχίονες και στο άνω μέρος του σώματος,</w:t>
      </w:r>
    </w:p>
    <w:p w14:paraId="2AF1AF6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καρδιακή ανακοπή,</w:t>
      </w:r>
    </w:p>
    <w:p w14:paraId="14E27F2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πνευμονική ίνωση (ουλές στον πνεύμονα),</w:t>
      </w:r>
    </w:p>
    <w:p w14:paraId="5033A26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διάτρηση του εντέρου</w:t>
      </w:r>
      <w:r>
        <w:rPr>
          <w:lang w:val="el-GR"/>
        </w:rPr>
        <w:t xml:space="preserve"> (</w:t>
      </w:r>
      <w:r>
        <w:rPr>
          <w:sz w:val="22"/>
          <w:szCs w:val="22"/>
          <w:lang w:val="el-GR"/>
        </w:rPr>
        <w:t>τρύπα στο τοίχωμα του εντέρου),</w:t>
      </w:r>
    </w:p>
    <w:p w14:paraId="67EA109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ηπατίτιδα (φλεγμονή του ήπατος),</w:t>
      </w:r>
    </w:p>
    <w:p w14:paraId="198BACD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επανενεργοποίηση της ηπατίτιδας B,</w:t>
      </w:r>
    </w:p>
    <w:p w14:paraId="1E72F6E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αυτοάνοση ηπατίτιδα (φλεγμονή του ήπατος που προκαλείται από το ανοσοποιητικό σας σύστημα),</w:t>
      </w:r>
    </w:p>
    <w:p w14:paraId="3B77796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δερματική αγγειίτιδα (φλεγμονή των αιμοφόρων αγγείων του δέρματος),</w:t>
      </w:r>
    </w:p>
    <w:p w14:paraId="71792AB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Stevens-Johnson (αντίδραση απειλητική για τη ζωή με γριποειδή συμπτώματα και φυσαλιδώδες εξάνθημα),</w:t>
      </w:r>
    </w:p>
    <w:p w14:paraId="5067FD6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 που συνοδεύεται από αλλεργικές αντιδράσεις,</w:t>
      </w:r>
    </w:p>
    <w:p w14:paraId="4071334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πολύμορφο ερύθημα (φλεγμονώδες εξάνθημα δέρματος),</w:t>
      </w:r>
    </w:p>
    <w:p w14:paraId="51CA1DD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προσομοιάζον με λύκο,</w:t>
      </w:r>
    </w:p>
    <w:p w14:paraId="51E7872A" w14:textId="77777777" w:rsidR="00171824" w:rsidRDefault="006D258C">
      <w:pPr>
        <w:widowControl/>
        <w:numPr>
          <w:ilvl w:val="0"/>
          <w:numId w:val="26"/>
        </w:numPr>
        <w:tabs>
          <w:tab w:val="left" w:pos="567"/>
        </w:tabs>
        <w:kinsoku w:val="0"/>
        <w:overflowPunct w:val="0"/>
        <w:autoSpaceDE/>
        <w:autoSpaceDN/>
        <w:adjustRightInd/>
        <w:ind w:left="567" w:hanging="567"/>
        <w:rPr>
          <w:lang w:val="el-GR"/>
        </w:rPr>
      </w:pPr>
      <w:r>
        <w:rPr>
          <w:sz w:val="22"/>
          <w:szCs w:val="22"/>
          <w:lang w:val="el-GR"/>
        </w:rPr>
        <w:t>αγγειοοίδημα</w:t>
      </w:r>
      <w:r>
        <w:rPr>
          <w:lang w:val="el-GR"/>
        </w:rPr>
        <w:t xml:space="preserve"> (τοπικό πρήξιμο δέρματος),</w:t>
      </w:r>
    </w:p>
    <w:p w14:paraId="3A3929BB" w14:textId="77777777" w:rsidR="00171824" w:rsidRDefault="006D258C">
      <w:pPr>
        <w:widowControl/>
        <w:numPr>
          <w:ilvl w:val="0"/>
          <w:numId w:val="26"/>
        </w:numPr>
        <w:tabs>
          <w:tab w:val="left" w:pos="567"/>
        </w:tabs>
        <w:kinsoku w:val="0"/>
        <w:overflowPunct w:val="0"/>
        <w:autoSpaceDE/>
        <w:autoSpaceDN/>
        <w:adjustRightInd/>
        <w:ind w:left="567" w:hanging="567"/>
        <w:rPr>
          <w:sz w:val="22"/>
          <w:lang w:val="el-GR"/>
        </w:rPr>
      </w:pPr>
      <w:r>
        <w:rPr>
          <w:sz w:val="22"/>
          <w:szCs w:val="22"/>
          <w:lang w:val="el-GR"/>
        </w:rPr>
        <w:t>λειχηνοειδής</w:t>
      </w:r>
      <w:r>
        <w:rPr>
          <w:sz w:val="22"/>
          <w:lang w:val="el-GR"/>
        </w:rPr>
        <w:t xml:space="preserve"> αντίδραση δέρματος (κνησμώδες ερυθρό-μωβ εξάνθημα στο δέρμα).</w:t>
      </w:r>
    </w:p>
    <w:p w14:paraId="3E02ABBF" w14:textId="77777777" w:rsidR="00171824" w:rsidRDefault="00171824">
      <w:pPr>
        <w:widowControl/>
        <w:kinsoku w:val="0"/>
        <w:overflowPunct w:val="0"/>
        <w:rPr>
          <w:sz w:val="22"/>
          <w:szCs w:val="22"/>
          <w:lang w:val="el-GR"/>
        </w:rPr>
      </w:pPr>
    </w:p>
    <w:p w14:paraId="07839CCD" w14:textId="77777777" w:rsidR="00171824" w:rsidRDefault="006D258C">
      <w:pPr>
        <w:keepNext/>
        <w:widowControl/>
        <w:kinsoku w:val="0"/>
        <w:overflowPunct w:val="0"/>
        <w:rPr>
          <w:sz w:val="22"/>
          <w:szCs w:val="22"/>
          <w:lang w:val="el-GR"/>
        </w:rPr>
      </w:pPr>
      <w:r>
        <w:rPr>
          <w:sz w:val="22"/>
          <w:szCs w:val="22"/>
          <w:lang w:val="el-GR"/>
        </w:rPr>
        <w:t>Mη γνωστές (η συχνότητα δεν μπορεί να εκτιμηθεί με βάση τα διαθέσιμα δεδομένα)</w:t>
      </w:r>
    </w:p>
    <w:p w14:paraId="5F2312D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ηπατοσπληνικό λέμφωμα εκ Τ-κυττάρων (ένα σπάνιο είδος καρκίνου του αίματος που συχνά είναι θανατηφόρο),</w:t>
      </w:r>
    </w:p>
    <w:p w14:paraId="5F971FB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καρκίνωμα εκ κυττάρων Merkel (τύπος καρκίνου του δέρματος),</w:t>
      </w:r>
    </w:p>
    <w:p w14:paraId="43A9A11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color w:val="000000"/>
          <w:sz w:val="22"/>
          <w:szCs w:val="22"/>
          <w:lang w:val="el-GR" w:eastAsia="ja-JP"/>
        </w:rPr>
        <w:t>Σάρκωμα Kaposi, μια σπάνια μορφή καρκίνου που σχετίζεται με λοίμωξη από τον ιό του ανθρώπινου έρπητα τύπου 8. Το σάρκωμα Kaposi εμφανίζεται συχνότερα με τη μορφή πορφυρών βλαβών του δέρματος,</w:t>
      </w:r>
    </w:p>
    <w:p w14:paraId="5D963D8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ηπατική ανεπάρκεια,</w:t>
      </w:r>
    </w:p>
    <w:p w14:paraId="67C46BF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επιδείνωση μίας κατάστασης η οποία ονομάζεται δερματομυοσίτιδα (εμφανίζεται ως δερματικό εξάνθημα συνοδευόμενο από μυϊκή αδυναμία)</w:t>
      </w:r>
    </w:p>
    <w:p w14:paraId="756FCF5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αύξηση βάρους (για τους περισσότερους ασθενείς, η αύξηση βάρους ήταν μικρή).</w:t>
      </w:r>
    </w:p>
    <w:p w14:paraId="5D71C479" w14:textId="77777777" w:rsidR="00171824" w:rsidRDefault="00171824">
      <w:pPr>
        <w:widowControl/>
        <w:kinsoku w:val="0"/>
        <w:overflowPunct w:val="0"/>
        <w:rPr>
          <w:sz w:val="22"/>
          <w:szCs w:val="22"/>
          <w:lang w:val="el-GR"/>
        </w:rPr>
      </w:pPr>
    </w:p>
    <w:p w14:paraId="708B32A4" w14:textId="77777777" w:rsidR="00171824" w:rsidRDefault="006D258C">
      <w:pPr>
        <w:keepNext/>
        <w:widowControl/>
        <w:kinsoku w:val="0"/>
        <w:overflowPunct w:val="0"/>
        <w:rPr>
          <w:sz w:val="22"/>
          <w:szCs w:val="22"/>
          <w:lang w:val="el-GR"/>
        </w:rPr>
      </w:pPr>
      <w:r>
        <w:rPr>
          <w:sz w:val="22"/>
          <w:szCs w:val="22"/>
          <w:lang w:val="el-GR"/>
        </w:rPr>
        <w:t>Κάποιες ανεπιθύμητες ενέργειες που παρουσιάστηκαν με το adalimumab μπορεί να μην έχουν συμπτώματα και μπορεί να ανακαλυφθούν μόνο με εξετάσεις αίματος. Αυτές συμπεριλαμβάνουν:</w:t>
      </w:r>
    </w:p>
    <w:p w14:paraId="2722B1DE" w14:textId="77777777" w:rsidR="00171824" w:rsidRDefault="00171824">
      <w:pPr>
        <w:keepNext/>
        <w:widowControl/>
        <w:kinsoku w:val="0"/>
        <w:overflowPunct w:val="0"/>
        <w:rPr>
          <w:sz w:val="22"/>
          <w:szCs w:val="22"/>
          <w:lang w:val="el-GR"/>
        </w:rPr>
      </w:pPr>
    </w:p>
    <w:p w14:paraId="790E67E3" w14:textId="77777777" w:rsidR="00171824" w:rsidRDefault="006D258C">
      <w:pPr>
        <w:keepNext/>
        <w:widowControl/>
        <w:kinsoku w:val="0"/>
        <w:overflowPunct w:val="0"/>
        <w:rPr>
          <w:sz w:val="22"/>
          <w:szCs w:val="22"/>
          <w:lang w:val="el-GR"/>
        </w:rPr>
      </w:pPr>
      <w:r>
        <w:rPr>
          <w:sz w:val="22"/>
          <w:szCs w:val="22"/>
          <w:lang w:val="el-GR"/>
        </w:rPr>
        <w:t>Πολύ συχνές (μπορεί να επηρεάσουν περισσότερους από 1 στους 10 ανθρώπους)</w:t>
      </w:r>
    </w:p>
    <w:p w14:paraId="38B4724A" w14:textId="77777777" w:rsidR="00171824" w:rsidRDefault="006D258C">
      <w:pPr>
        <w:keepNext/>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λευκοκυττάρων,</w:t>
      </w:r>
    </w:p>
    <w:p w14:paraId="7D91606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ερυθροκυττάρων,</w:t>
      </w:r>
    </w:p>
    <w:p w14:paraId="4D2CB30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αυξημένα λιπίδια αίματος,</w:t>
      </w:r>
    </w:p>
    <w:p w14:paraId="46DDCCF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αυξημένα ηπατικά ένζυμα.</w:t>
      </w:r>
    </w:p>
    <w:p w14:paraId="460D185D" w14:textId="77777777" w:rsidR="00171824" w:rsidRDefault="00171824">
      <w:pPr>
        <w:widowControl/>
        <w:kinsoku w:val="0"/>
        <w:overflowPunct w:val="0"/>
        <w:rPr>
          <w:sz w:val="22"/>
          <w:szCs w:val="22"/>
          <w:lang w:val="el-GR"/>
        </w:rPr>
      </w:pPr>
    </w:p>
    <w:p w14:paraId="7F6C928E" w14:textId="77777777" w:rsidR="00171824" w:rsidRDefault="006D258C">
      <w:pPr>
        <w:widowControl/>
        <w:kinsoku w:val="0"/>
        <w:overflowPunct w:val="0"/>
        <w:rPr>
          <w:sz w:val="22"/>
          <w:szCs w:val="22"/>
          <w:lang w:val="el-GR"/>
        </w:rPr>
      </w:pPr>
      <w:r>
        <w:rPr>
          <w:sz w:val="22"/>
          <w:szCs w:val="22"/>
          <w:lang w:val="el-GR"/>
        </w:rPr>
        <w:t>Συχνές (μπορεί να επηρεάσουν έως 1 στους 10 ανθρώπους)</w:t>
      </w:r>
    </w:p>
    <w:p w14:paraId="033F4B9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υψηλές τιμές των λευκοκυττάρων,</w:t>
      </w:r>
    </w:p>
    <w:p w14:paraId="2E42EEC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αιμοπεταλίων του αίματος</w:t>
      </w:r>
    </w:p>
    <w:p w14:paraId="58CF918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αυξημένο ουρικό οξύ αίματος,</w:t>
      </w:r>
    </w:p>
    <w:p w14:paraId="2E0FBAB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μη φυσιολογικές τιμές νατρίου του αίματος,</w:t>
      </w:r>
    </w:p>
    <w:p w14:paraId="2C7AFF4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ασβεστίου αίματος,</w:t>
      </w:r>
    </w:p>
    <w:p w14:paraId="05A0503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φωσφόρου του αίματος,</w:t>
      </w:r>
    </w:p>
    <w:p w14:paraId="7232066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υψηλό σάκχαρο αίματος,</w:t>
      </w:r>
    </w:p>
    <w:p w14:paraId="042C6EA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υψηλές τιμές αίματος της γαλακτικής αφυδρογονάσης,</w:t>
      </w:r>
    </w:p>
    <w:p w14:paraId="379D5F8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παρουσία αυτοαντισωμάτων στο αίμα,</w:t>
      </w:r>
    </w:p>
    <w:p w14:paraId="2B66584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χαμηλό κάλιο αίματος,</w:t>
      </w:r>
    </w:p>
    <w:p w14:paraId="10551893" w14:textId="77777777" w:rsidR="00171824" w:rsidRDefault="00171824">
      <w:pPr>
        <w:widowControl/>
        <w:kinsoku w:val="0"/>
        <w:overflowPunct w:val="0"/>
        <w:rPr>
          <w:sz w:val="22"/>
          <w:szCs w:val="22"/>
          <w:lang w:val="el-GR"/>
        </w:rPr>
      </w:pPr>
    </w:p>
    <w:p w14:paraId="2B9C7A26" w14:textId="77777777" w:rsidR="00171824" w:rsidRDefault="006D258C">
      <w:pPr>
        <w:widowControl/>
        <w:kinsoku w:val="0"/>
        <w:overflowPunct w:val="0"/>
        <w:rPr>
          <w:sz w:val="22"/>
          <w:szCs w:val="22"/>
          <w:lang w:val="el-GR"/>
        </w:rPr>
      </w:pPr>
      <w:r>
        <w:rPr>
          <w:sz w:val="22"/>
          <w:szCs w:val="22"/>
          <w:lang w:val="el-GR"/>
        </w:rPr>
        <w:t>Όχι συχνές (μπορεί να επηρεάσουν έως 1 στους 100 ανθρώπους)</w:t>
      </w:r>
    </w:p>
    <w:p w14:paraId="2D06C6DE" w14:textId="77777777" w:rsidR="00171824" w:rsidRDefault="006D258C">
      <w:pPr>
        <w:pStyle w:val="ListParagraph"/>
        <w:widowControl/>
        <w:numPr>
          <w:ilvl w:val="0"/>
          <w:numId w:val="33"/>
        </w:numPr>
        <w:kinsoku w:val="0"/>
        <w:overflowPunct w:val="0"/>
        <w:ind w:left="567" w:hanging="567"/>
        <w:rPr>
          <w:sz w:val="22"/>
          <w:szCs w:val="22"/>
          <w:lang w:val="el-GR"/>
        </w:rPr>
      </w:pPr>
      <w:r>
        <w:rPr>
          <w:sz w:val="22"/>
          <w:szCs w:val="22"/>
          <w:lang w:val="el-GR"/>
        </w:rPr>
        <w:t>υψηλή μέτρηση της χολερυθρίνης (ηπατικές δοκιμασίες αίματος).</w:t>
      </w:r>
    </w:p>
    <w:p w14:paraId="7807FBED" w14:textId="77777777" w:rsidR="00171824" w:rsidRDefault="00171824">
      <w:pPr>
        <w:widowControl/>
        <w:kinsoku w:val="0"/>
        <w:overflowPunct w:val="0"/>
        <w:rPr>
          <w:b/>
          <w:sz w:val="22"/>
          <w:szCs w:val="22"/>
          <w:lang w:val="el-GR"/>
        </w:rPr>
      </w:pPr>
    </w:p>
    <w:p w14:paraId="6558A5A9" w14:textId="77777777" w:rsidR="00171824" w:rsidRDefault="006D258C">
      <w:pPr>
        <w:widowControl/>
        <w:kinsoku w:val="0"/>
        <w:overflowPunct w:val="0"/>
        <w:rPr>
          <w:sz w:val="22"/>
          <w:szCs w:val="22"/>
          <w:lang w:val="el-GR"/>
        </w:rPr>
      </w:pPr>
      <w:r>
        <w:rPr>
          <w:sz w:val="22"/>
          <w:szCs w:val="22"/>
          <w:lang w:val="el-GR"/>
        </w:rPr>
        <w:t>Σπάνιες (μπορεί να επηρεάσουν έως 1 στους 1.000 ανθρώπους)</w:t>
      </w:r>
    </w:p>
    <w:p w14:paraId="14D83A4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 xml:space="preserve">χαμηλές τιμές των λευκοκυττάρων, των ερυθροκυττάρων και των αιμοπεταλίων του αίματος. </w:t>
      </w:r>
    </w:p>
    <w:p w14:paraId="463FC51A" w14:textId="77777777" w:rsidR="00171824" w:rsidRDefault="00171824">
      <w:pPr>
        <w:widowControl/>
        <w:tabs>
          <w:tab w:val="left" w:pos="567"/>
        </w:tabs>
        <w:kinsoku w:val="0"/>
        <w:overflowPunct w:val="0"/>
        <w:rPr>
          <w:sz w:val="22"/>
          <w:szCs w:val="22"/>
          <w:lang w:val="el-GR"/>
        </w:rPr>
      </w:pPr>
    </w:p>
    <w:p w14:paraId="17794918" w14:textId="77777777" w:rsidR="00171824" w:rsidRDefault="006D258C">
      <w:pPr>
        <w:widowControl/>
        <w:tabs>
          <w:tab w:val="left" w:pos="567"/>
        </w:tabs>
        <w:kinsoku w:val="0"/>
        <w:overflowPunct w:val="0"/>
        <w:rPr>
          <w:b/>
          <w:sz w:val="22"/>
          <w:szCs w:val="22"/>
          <w:lang w:val="el-GR"/>
        </w:rPr>
      </w:pPr>
      <w:r>
        <w:rPr>
          <w:b/>
          <w:sz w:val="22"/>
          <w:szCs w:val="22"/>
          <w:lang w:val="el-GR"/>
        </w:rPr>
        <w:t>Αναφορά ανεπιθύμητων ενεργειών</w:t>
      </w:r>
    </w:p>
    <w:p w14:paraId="22F5DE9C" w14:textId="77777777" w:rsidR="00171824" w:rsidRDefault="00171824">
      <w:pPr>
        <w:widowControl/>
        <w:tabs>
          <w:tab w:val="left" w:pos="567"/>
        </w:tabs>
        <w:kinsoku w:val="0"/>
        <w:overflowPunct w:val="0"/>
        <w:rPr>
          <w:sz w:val="22"/>
          <w:szCs w:val="22"/>
          <w:lang w:val="el-GR"/>
        </w:rPr>
      </w:pPr>
    </w:p>
    <w:p w14:paraId="4D69C5B0" w14:textId="77777777" w:rsidR="00171824" w:rsidRDefault="006D258C">
      <w:pPr>
        <w:widowControl/>
        <w:rPr>
          <w:sz w:val="22"/>
          <w:szCs w:val="22"/>
          <w:lang w:val="el-GR"/>
        </w:rPr>
      </w:pPr>
      <w:r>
        <w:rPr>
          <w:sz w:val="22"/>
          <w:szCs w:val="22"/>
          <w:lang w:val="el-GR"/>
        </w:rPr>
        <w:t xml:space="preserve">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Μπορείτε επίσης να αναφέρετε ανεπιθύμητες ενέργειες απευθείας, μέσω </w:t>
      </w:r>
      <w:r>
        <w:rPr>
          <w:sz w:val="22"/>
          <w:szCs w:val="22"/>
          <w:highlight w:val="lightGray"/>
          <w:lang w:val="el-GR"/>
        </w:rPr>
        <w:t xml:space="preserve">του εθνικού συστήματος αναφοράς που αναγράφεται στο </w:t>
      </w:r>
      <w:hyperlink r:id="rId39" w:history="1">
        <w:r>
          <w:rPr>
            <w:rStyle w:val="Hyperlink"/>
            <w:color w:val="0000FF"/>
            <w:sz w:val="22"/>
            <w:szCs w:val="22"/>
            <w:highlight w:val="lightGray"/>
            <w:lang w:val="el-GR"/>
          </w:rPr>
          <w:t>Παράρτημα V</w:t>
        </w:r>
      </w:hyperlink>
      <w:r>
        <w:rPr>
          <w:sz w:val="22"/>
          <w:szCs w:val="22"/>
          <w:lang w:val="el-GR"/>
        </w:rPr>
        <w:t>. Μέσω της αναφοράς ανεπιθύμητων ενεργειών, μπορείτε να βοηθήσετε στη συλλογή περισσότερων πληροφοριών σχετικά με την ασφάλεια του παρόντος φαρμάκου.</w:t>
      </w:r>
    </w:p>
    <w:p w14:paraId="6DD1C18F" w14:textId="77777777" w:rsidR="00171824" w:rsidRDefault="00171824">
      <w:pPr>
        <w:widowControl/>
        <w:rPr>
          <w:sz w:val="22"/>
          <w:szCs w:val="22"/>
          <w:lang w:val="el-GR"/>
        </w:rPr>
      </w:pPr>
    </w:p>
    <w:p w14:paraId="22FB75E0" w14:textId="77777777" w:rsidR="00171824" w:rsidRDefault="00171824">
      <w:pPr>
        <w:widowControl/>
        <w:rPr>
          <w:sz w:val="22"/>
          <w:szCs w:val="22"/>
          <w:lang w:val="el-GR"/>
        </w:rPr>
      </w:pPr>
    </w:p>
    <w:p w14:paraId="23E5CDA5" w14:textId="77777777" w:rsidR="00171824" w:rsidRDefault="006D258C">
      <w:pPr>
        <w:widowControl/>
        <w:numPr>
          <w:ilvl w:val="0"/>
          <w:numId w:val="31"/>
        </w:numPr>
        <w:kinsoku w:val="0"/>
        <w:overflowPunct w:val="0"/>
        <w:autoSpaceDE/>
        <w:autoSpaceDN/>
        <w:adjustRightInd/>
        <w:ind w:left="567"/>
        <w:outlineLvl w:val="0"/>
        <w:rPr>
          <w:sz w:val="22"/>
          <w:szCs w:val="22"/>
          <w:lang w:val="el-GR"/>
        </w:rPr>
      </w:pPr>
      <w:r>
        <w:rPr>
          <w:b/>
          <w:bCs/>
          <w:sz w:val="22"/>
          <w:szCs w:val="22"/>
          <w:lang w:val="el-GR"/>
        </w:rPr>
        <w:t xml:space="preserve">Πώς να φυλάσσετε το AMGEVITA </w:t>
      </w:r>
    </w:p>
    <w:p w14:paraId="420F006B" w14:textId="77777777" w:rsidR="00171824" w:rsidRDefault="00171824">
      <w:pPr>
        <w:widowControl/>
        <w:kinsoku w:val="0"/>
        <w:overflowPunct w:val="0"/>
        <w:rPr>
          <w:sz w:val="22"/>
          <w:szCs w:val="22"/>
          <w:lang w:val="el-GR"/>
        </w:rPr>
      </w:pPr>
    </w:p>
    <w:p w14:paraId="548FDBAA" w14:textId="77777777" w:rsidR="00171824" w:rsidRDefault="006D258C">
      <w:pPr>
        <w:widowControl/>
        <w:kinsoku w:val="0"/>
        <w:overflowPunct w:val="0"/>
        <w:rPr>
          <w:sz w:val="22"/>
          <w:szCs w:val="22"/>
          <w:lang w:val="el-GR"/>
        </w:rPr>
      </w:pPr>
      <w:r>
        <w:rPr>
          <w:sz w:val="22"/>
          <w:szCs w:val="22"/>
          <w:lang w:val="el-GR"/>
        </w:rPr>
        <w:t>Το φάρμακο αυτό πρέπει να φυλάσσεται σε μέρη που δεν το βλέπουν και δεν το φθάνουν τα παιδιά.</w:t>
      </w:r>
    </w:p>
    <w:p w14:paraId="2DEAFDF2" w14:textId="77777777" w:rsidR="00171824" w:rsidRDefault="00171824">
      <w:pPr>
        <w:widowControl/>
        <w:kinsoku w:val="0"/>
        <w:overflowPunct w:val="0"/>
        <w:rPr>
          <w:sz w:val="22"/>
          <w:szCs w:val="22"/>
          <w:lang w:val="el-GR"/>
        </w:rPr>
      </w:pPr>
    </w:p>
    <w:p w14:paraId="2B1D0A0D" w14:textId="77777777" w:rsidR="00171824" w:rsidRDefault="006D258C">
      <w:pPr>
        <w:widowControl/>
        <w:kinsoku w:val="0"/>
        <w:overflowPunct w:val="0"/>
        <w:rPr>
          <w:sz w:val="22"/>
          <w:szCs w:val="22"/>
          <w:lang w:val="el-GR"/>
        </w:rPr>
      </w:pPr>
      <w:r>
        <w:rPr>
          <w:sz w:val="22"/>
          <w:szCs w:val="22"/>
          <w:lang w:val="el-GR"/>
        </w:rPr>
        <w:t>Να μη χρησιμοποιείτε αυτό το φάρμακο μετά την ημερομηνία λήξης που αναφέρεται στην επισήμανση και στο κουτί μετά τη ΛΗΞΗ. H ημερομηνία λήξης είναι η τελευταία ημέρα του μήνα που αναφέρεται εκεί.</w:t>
      </w:r>
    </w:p>
    <w:p w14:paraId="14176619" w14:textId="77777777" w:rsidR="00171824" w:rsidRDefault="00171824">
      <w:pPr>
        <w:widowControl/>
        <w:kinsoku w:val="0"/>
        <w:overflowPunct w:val="0"/>
        <w:rPr>
          <w:sz w:val="22"/>
          <w:szCs w:val="22"/>
          <w:lang w:val="el-GR"/>
        </w:rPr>
      </w:pPr>
    </w:p>
    <w:p w14:paraId="60B48A99" w14:textId="77777777" w:rsidR="00171824" w:rsidRDefault="006D258C">
      <w:pPr>
        <w:widowControl/>
        <w:kinsoku w:val="0"/>
        <w:overflowPunct w:val="0"/>
        <w:rPr>
          <w:sz w:val="22"/>
          <w:szCs w:val="22"/>
          <w:lang w:val="el-GR"/>
        </w:rPr>
      </w:pPr>
      <w:r>
        <w:rPr>
          <w:sz w:val="22"/>
          <w:szCs w:val="22"/>
          <w:lang w:val="el-GR"/>
        </w:rPr>
        <w:t>Φυλάσσετε σε ψυγείο (2°C – 8°C). Μην καταψύχετε.</w:t>
      </w:r>
    </w:p>
    <w:p w14:paraId="0935EE4C" w14:textId="77777777" w:rsidR="00171824" w:rsidRDefault="00171824">
      <w:pPr>
        <w:widowControl/>
        <w:kinsoku w:val="0"/>
        <w:overflowPunct w:val="0"/>
        <w:rPr>
          <w:sz w:val="22"/>
          <w:szCs w:val="22"/>
          <w:lang w:val="el-GR"/>
        </w:rPr>
      </w:pPr>
    </w:p>
    <w:p w14:paraId="75037D7F" w14:textId="77777777" w:rsidR="00171824" w:rsidRDefault="006D258C">
      <w:pPr>
        <w:widowControl/>
        <w:kinsoku w:val="0"/>
        <w:overflowPunct w:val="0"/>
        <w:rPr>
          <w:sz w:val="22"/>
          <w:szCs w:val="22"/>
          <w:lang w:val="el-GR"/>
        </w:rPr>
      </w:pPr>
      <w:r>
        <w:rPr>
          <w:sz w:val="22"/>
          <w:szCs w:val="22"/>
          <w:lang w:val="el-GR"/>
        </w:rPr>
        <w:t>Φυλάσσετε το φάρμακο στο εξωτερικό κουτί για να προστατεύεται από το φως.</w:t>
      </w:r>
    </w:p>
    <w:p w14:paraId="21F27191" w14:textId="77777777" w:rsidR="00171824" w:rsidRDefault="00171824">
      <w:pPr>
        <w:widowControl/>
        <w:kinsoku w:val="0"/>
        <w:overflowPunct w:val="0"/>
        <w:rPr>
          <w:sz w:val="22"/>
          <w:szCs w:val="22"/>
          <w:lang w:val="el-GR"/>
        </w:rPr>
      </w:pPr>
    </w:p>
    <w:p w14:paraId="6CFB8809" w14:textId="77777777" w:rsidR="00171824" w:rsidRDefault="006D258C">
      <w:pPr>
        <w:widowControl/>
        <w:kinsoku w:val="0"/>
        <w:overflowPunct w:val="0"/>
        <w:rPr>
          <w:sz w:val="22"/>
          <w:szCs w:val="22"/>
          <w:lang w:val="el-GR"/>
        </w:rPr>
      </w:pPr>
      <w:r>
        <w:rPr>
          <w:sz w:val="22"/>
          <w:szCs w:val="22"/>
          <w:lang w:val="el-GR"/>
        </w:rPr>
        <w:t>Κάθε προγεμισμένη συσκευή τύπου πένας AMGEVITA μπορεί να φυλάσσεται σε θερμοκρασίες μέχρι 25 °C κατά μέγιστο για χρονικό διάστημα έως και 14 ημέρες. Η προγεμισμένη συσκευή τύπου πένας θα πρέπει να είναι προστατευμένη από το φως και να απορριφθεί εάν δεν</w:t>
      </w:r>
      <w:r>
        <w:rPr>
          <w:b/>
          <w:bCs/>
          <w:sz w:val="22"/>
          <w:szCs w:val="22"/>
          <w:lang w:val="el-GR"/>
        </w:rPr>
        <w:t xml:space="preserve"> </w:t>
      </w:r>
      <w:r>
        <w:rPr>
          <w:bCs/>
          <w:sz w:val="22"/>
          <w:szCs w:val="22"/>
          <w:lang w:val="el-GR"/>
        </w:rPr>
        <w:t>χρησιμοποιηθεί εντός της περιόδου 14 ημερών</w:t>
      </w:r>
      <w:r>
        <w:rPr>
          <w:sz w:val="22"/>
          <w:szCs w:val="22"/>
          <w:lang w:val="el-GR"/>
        </w:rPr>
        <w:t>.</w:t>
      </w:r>
    </w:p>
    <w:p w14:paraId="089EC299" w14:textId="77777777" w:rsidR="00171824" w:rsidRDefault="00171824">
      <w:pPr>
        <w:widowControl/>
        <w:kinsoku w:val="0"/>
        <w:overflowPunct w:val="0"/>
        <w:rPr>
          <w:sz w:val="22"/>
          <w:szCs w:val="22"/>
          <w:lang w:val="el-GR"/>
        </w:rPr>
      </w:pPr>
    </w:p>
    <w:p w14:paraId="4D9C2ED7" w14:textId="77777777" w:rsidR="00171824" w:rsidRDefault="006D258C">
      <w:pPr>
        <w:widowControl/>
        <w:kinsoku w:val="0"/>
        <w:overflowPunct w:val="0"/>
        <w:rPr>
          <w:sz w:val="22"/>
          <w:szCs w:val="22"/>
          <w:lang w:val="el-GR"/>
        </w:rPr>
      </w:pPr>
      <w:r>
        <w:rPr>
          <w:sz w:val="22"/>
          <w:szCs w:val="22"/>
          <w:lang w:val="el-GR"/>
        </w:rPr>
        <w:t>Μην πετάτε φάρμακα στο νερό της αποχέτευσης ή στα οικιακά απορρίμματα. Ρωτήστε τον φαρμακοποιό σας για το πώς να πετάξετε τα φάρμακα που δεν χρησιμοποιείτε πια. Αυτά τα μέτρα θα βοηθήσουν στην προστασία του περιβάλλοντος.</w:t>
      </w:r>
    </w:p>
    <w:p w14:paraId="7BBDBDFA" w14:textId="77777777" w:rsidR="00171824" w:rsidRDefault="00171824">
      <w:pPr>
        <w:widowControl/>
        <w:kinsoku w:val="0"/>
        <w:overflowPunct w:val="0"/>
        <w:rPr>
          <w:sz w:val="22"/>
          <w:szCs w:val="22"/>
          <w:lang w:val="el-GR"/>
        </w:rPr>
      </w:pPr>
    </w:p>
    <w:p w14:paraId="392E11C9" w14:textId="77777777" w:rsidR="00171824" w:rsidRDefault="00171824">
      <w:pPr>
        <w:widowControl/>
        <w:kinsoku w:val="0"/>
        <w:overflowPunct w:val="0"/>
        <w:rPr>
          <w:sz w:val="22"/>
          <w:szCs w:val="22"/>
          <w:lang w:val="el-GR"/>
        </w:rPr>
      </w:pPr>
    </w:p>
    <w:p w14:paraId="376D3080" w14:textId="77777777" w:rsidR="00171824" w:rsidRDefault="006D258C">
      <w:pPr>
        <w:widowControl/>
        <w:numPr>
          <w:ilvl w:val="0"/>
          <w:numId w:val="31"/>
        </w:numPr>
        <w:tabs>
          <w:tab w:val="left" w:pos="567"/>
        </w:tabs>
        <w:kinsoku w:val="0"/>
        <w:overflowPunct w:val="0"/>
        <w:autoSpaceDE/>
        <w:autoSpaceDN/>
        <w:adjustRightInd/>
        <w:ind w:left="567"/>
        <w:outlineLvl w:val="0"/>
        <w:rPr>
          <w:sz w:val="22"/>
          <w:szCs w:val="22"/>
          <w:lang w:val="el-GR"/>
        </w:rPr>
      </w:pPr>
      <w:r>
        <w:rPr>
          <w:b/>
          <w:bCs/>
          <w:sz w:val="22"/>
          <w:szCs w:val="22"/>
          <w:lang w:val="el-GR"/>
        </w:rPr>
        <w:t>Περιεχόμενα της συσκευασίας και λοιπές πληροφορίες</w:t>
      </w:r>
    </w:p>
    <w:p w14:paraId="72EA683A" w14:textId="77777777" w:rsidR="00171824" w:rsidRDefault="00171824">
      <w:pPr>
        <w:widowControl/>
        <w:tabs>
          <w:tab w:val="left" w:pos="567"/>
        </w:tabs>
        <w:kinsoku w:val="0"/>
        <w:overflowPunct w:val="0"/>
        <w:outlineLvl w:val="0"/>
        <w:rPr>
          <w:bCs/>
          <w:sz w:val="22"/>
          <w:szCs w:val="22"/>
          <w:lang w:val="el-GR"/>
        </w:rPr>
      </w:pPr>
    </w:p>
    <w:p w14:paraId="25AD6F16" w14:textId="77777777" w:rsidR="00171824" w:rsidRDefault="006D258C">
      <w:pPr>
        <w:widowControl/>
        <w:tabs>
          <w:tab w:val="left" w:pos="567"/>
        </w:tabs>
        <w:kinsoku w:val="0"/>
        <w:overflowPunct w:val="0"/>
        <w:outlineLvl w:val="0"/>
        <w:rPr>
          <w:b/>
          <w:bCs/>
          <w:sz w:val="22"/>
          <w:szCs w:val="22"/>
          <w:lang w:val="el-GR"/>
        </w:rPr>
      </w:pPr>
      <w:r>
        <w:rPr>
          <w:b/>
          <w:bCs/>
          <w:sz w:val="22"/>
          <w:szCs w:val="22"/>
          <w:lang w:val="el-GR"/>
        </w:rPr>
        <w:t xml:space="preserve">Tι περιέχει το AMGEVITA </w:t>
      </w:r>
    </w:p>
    <w:p w14:paraId="098B55C5" w14:textId="77777777" w:rsidR="00171824" w:rsidRDefault="006D258C">
      <w:pPr>
        <w:pStyle w:val="ListParagraph"/>
        <w:widowControl/>
        <w:numPr>
          <w:ilvl w:val="0"/>
          <w:numId w:val="29"/>
        </w:numPr>
        <w:kinsoku w:val="0"/>
        <w:overflowPunct w:val="0"/>
        <w:ind w:left="567" w:hanging="567"/>
        <w:rPr>
          <w:sz w:val="22"/>
          <w:szCs w:val="22"/>
          <w:lang w:val="el-GR"/>
        </w:rPr>
      </w:pPr>
      <w:r>
        <w:rPr>
          <w:sz w:val="22"/>
          <w:szCs w:val="22"/>
          <w:lang w:val="el-GR"/>
        </w:rPr>
        <w:t>H δραστική ουσία είναι adalimumab. Κάθε προγεμισμένη συσκευή τύπου πένας περιέχει 40 mg adalimumab σε 0,8 ml διαλύματος.</w:t>
      </w:r>
    </w:p>
    <w:p w14:paraId="41661193" w14:textId="77777777" w:rsidR="00171824" w:rsidRDefault="006D258C">
      <w:pPr>
        <w:pStyle w:val="ListParagraph"/>
        <w:widowControl/>
        <w:numPr>
          <w:ilvl w:val="0"/>
          <w:numId w:val="29"/>
        </w:numPr>
        <w:kinsoku w:val="0"/>
        <w:overflowPunct w:val="0"/>
        <w:ind w:left="567" w:hanging="567"/>
        <w:rPr>
          <w:sz w:val="22"/>
          <w:szCs w:val="22"/>
          <w:lang w:val="el-GR"/>
        </w:rPr>
      </w:pPr>
      <w:r>
        <w:rPr>
          <w:sz w:val="22"/>
          <w:szCs w:val="22"/>
          <w:lang w:val="el-GR"/>
        </w:rPr>
        <w:t>Τα άλλα συστατικά είναι παγόμορφο οξικό οξύ, σακχαρόζη, πολυσορβικό 80, υδροξείδιο του νατρίου και ενέσιμο ύδωρ.</w:t>
      </w:r>
    </w:p>
    <w:p w14:paraId="03BD1849" w14:textId="77777777" w:rsidR="00171824" w:rsidRDefault="00171824">
      <w:pPr>
        <w:widowControl/>
        <w:kinsoku w:val="0"/>
        <w:overflowPunct w:val="0"/>
        <w:rPr>
          <w:sz w:val="22"/>
          <w:szCs w:val="22"/>
          <w:lang w:val="el-GR"/>
        </w:rPr>
      </w:pPr>
    </w:p>
    <w:p w14:paraId="085960DF" w14:textId="77777777" w:rsidR="00171824" w:rsidRDefault="006D258C">
      <w:pPr>
        <w:widowControl/>
        <w:kinsoku w:val="0"/>
        <w:overflowPunct w:val="0"/>
        <w:outlineLvl w:val="0"/>
        <w:rPr>
          <w:sz w:val="22"/>
          <w:szCs w:val="22"/>
          <w:lang w:val="el-GR"/>
        </w:rPr>
      </w:pPr>
      <w:r>
        <w:rPr>
          <w:b/>
          <w:bCs/>
          <w:sz w:val="22"/>
          <w:szCs w:val="22"/>
          <w:lang w:val="el-GR"/>
        </w:rPr>
        <w:t>Εμφάνιση του AMGEVITA και περιεχόμενα της συσκευασίας</w:t>
      </w:r>
    </w:p>
    <w:p w14:paraId="67E5EEE6" w14:textId="77777777" w:rsidR="00171824" w:rsidRDefault="00171824">
      <w:pPr>
        <w:widowControl/>
        <w:kinsoku w:val="0"/>
        <w:overflowPunct w:val="0"/>
        <w:rPr>
          <w:sz w:val="22"/>
          <w:szCs w:val="22"/>
          <w:lang w:val="el-GR"/>
        </w:rPr>
      </w:pPr>
    </w:p>
    <w:p w14:paraId="7B0AEDFA" w14:textId="77777777" w:rsidR="00171824" w:rsidRDefault="006D258C">
      <w:pPr>
        <w:widowControl/>
        <w:kinsoku w:val="0"/>
        <w:overflowPunct w:val="0"/>
        <w:rPr>
          <w:sz w:val="22"/>
          <w:szCs w:val="22"/>
          <w:lang w:val="el-GR"/>
        </w:rPr>
      </w:pPr>
      <w:r>
        <w:rPr>
          <w:sz w:val="22"/>
          <w:szCs w:val="22"/>
          <w:lang w:val="el-GR"/>
        </w:rPr>
        <w:t>Το AMGEVITA</w:t>
      </w:r>
      <w:r>
        <w:rPr>
          <w:b/>
          <w:sz w:val="22"/>
          <w:szCs w:val="22"/>
          <w:lang w:val="el-GR"/>
        </w:rPr>
        <w:t xml:space="preserve"> </w:t>
      </w:r>
      <w:r>
        <w:rPr>
          <w:sz w:val="22"/>
          <w:szCs w:val="22"/>
          <w:lang w:val="el-GR"/>
        </w:rPr>
        <w:t>είναι ένα διαυγές και άχρωμο έως ελαφρώς κίτρινο διάλυμα.</w:t>
      </w:r>
    </w:p>
    <w:p w14:paraId="6D589CC2" w14:textId="77777777" w:rsidR="00171824" w:rsidRDefault="00171824">
      <w:pPr>
        <w:widowControl/>
        <w:kinsoku w:val="0"/>
        <w:overflowPunct w:val="0"/>
        <w:rPr>
          <w:sz w:val="22"/>
          <w:szCs w:val="22"/>
          <w:lang w:val="el-GR"/>
        </w:rPr>
      </w:pPr>
    </w:p>
    <w:p w14:paraId="7B82B1F0" w14:textId="77777777" w:rsidR="00171824" w:rsidRDefault="006D258C">
      <w:pPr>
        <w:widowControl/>
        <w:kinsoku w:val="0"/>
        <w:overflowPunct w:val="0"/>
        <w:rPr>
          <w:sz w:val="22"/>
          <w:szCs w:val="22"/>
          <w:lang w:val="el-GR"/>
        </w:rPr>
      </w:pPr>
      <w:r>
        <w:rPr>
          <w:sz w:val="22"/>
          <w:szCs w:val="22"/>
          <w:lang w:val="el-GR"/>
        </w:rPr>
        <w:t>Κάθε συσκευασία περιέχει 1, 2, 4 ή 6 προγεμισμένες συσκευές τύπου πένας μίας χρήσης SureClick.</w:t>
      </w:r>
    </w:p>
    <w:p w14:paraId="5FF140F1" w14:textId="77777777" w:rsidR="00171824" w:rsidRDefault="00171824">
      <w:pPr>
        <w:keepNext/>
        <w:widowControl/>
        <w:kinsoku w:val="0"/>
        <w:overflowPunct w:val="0"/>
        <w:rPr>
          <w:sz w:val="22"/>
          <w:szCs w:val="22"/>
          <w:lang w:val="el-GR"/>
        </w:rPr>
      </w:pPr>
    </w:p>
    <w:p w14:paraId="45554806" w14:textId="77777777" w:rsidR="00171824" w:rsidRDefault="006D258C">
      <w:pPr>
        <w:keepNext/>
        <w:widowControl/>
        <w:kinsoku w:val="0"/>
        <w:overflowPunct w:val="0"/>
        <w:outlineLvl w:val="0"/>
        <w:rPr>
          <w:sz w:val="22"/>
          <w:szCs w:val="22"/>
          <w:lang w:val="el-GR"/>
        </w:rPr>
      </w:pPr>
      <w:r>
        <w:rPr>
          <w:b/>
          <w:bCs/>
          <w:sz w:val="22"/>
          <w:szCs w:val="22"/>
          <w:lang w:val="el-GR"/>
        </w:rPr>
        <w:t>Κάτοχος Άδειας Κυκλοφορίας και Παρασκευαστής</w:t>
      </w:r>
    </w:p>
    <w:p w14:paraId="73B8EC49" w14:textId="77777777" w:rsidR="00171824" w:rsidRDefault="006D258C">
      <w:pPr>
        <w:widowControl/>
        <w:tabs>
          <w:tab w:val="left" w:pos="567"/>
        </w:tabs>
        <w:autoSpaceDE/>
        <w:autoSpaceDN/>
        <w:adjustRightInd/>
        <w:rPr>
          <w:rFonts w:eastAsia="PMingLiU"/>
          <w:sz w:val="22"/>
          <w:szCs w:val="20"/>
          <w:lang w:val="el-GR"/>
        </w:rPr>
      </w:pPr>
      <w:r>
        <w:rPr>
          <w:rFonts w:eastAsia="PMingLiU"/>
          <w:sz w:val="22"/>
          <w:szCs w:val="20"/>
          <w:lang w:val="el-GR"/>
        </w:rPr>
        <w:t xml:space="preserve">Amgen Europe B.V. </w:t>
      </w:r>
      <w:r>
        <w:rPr>
          <w:rFonts w:eastAsia="PMingLiU"/>
          <w:sz w:val="22"/>
          <w:szCs w:val="20"/>
          <w:lang w:val="el-GR"/>
        </w:rPr>
        <w:br/>
        <w:t xml:space="preserve">Minervum 7061 </w:t>
      </w:r>
      <w:r>
        <w:rPr>
          <w:rFonts w:eastAsia="PMingLiU"/>
          <w:sz w:val="22"/>
          <w:szCs w:val="20"/>
          <w:lang w:val="el-GR"/>
        </w:rPr>
        <w:br/>
        <w:t xml:space="preserve">4817 ZK Breda </w:t>
      </w:r>
      <w:r>
        <w:rPr>
          <w:rFonts w:eastAsia="PMingLiU"/>
          <w:sz w:val="22"/>
          <w:szCs w:val="20"/>
          <w:lang w:val="el-GR"/>
        </w:rPr>
        <w:br/>
        <w:t>Ολλανδία</w:t>
      </w:r>
    </w:p>
    <w:p w14:paraId="184DB21F" w14:textId="77777777" w:rsidR="00171824" w:rsidRDefault="00171824">
      <w:pPr>
        <w:widowControl/>
        <w:kinsoku w:val="0"/>
        <w:overflowPunct w:val="0"/>
        <w:rPr>
          <w:sz w:val="22"/>
          <w:szCs w:val="22"/>
          <w:lang w:val="el-GR"/>
        </w:rPr>
      </w:pPr>
    </w:p>
    <w:p w14:paraId="77B6FDA4" w14:textId="77777777" w:rsidR="00171824" w:rsidRDefault="006D258C">
      <w:pPr>
        <w:keepNext/>
        <w:keepLines/>
        <w:widowControl/>
        <w:tabs>
          <w:tab w:val="left" w:pos="567"/>
        </w:tabs>
        <w:autoSpaceDE/>
        <w:autoSpaceDN/>
        <w:adjustRightInd/>
        <w:rPr>
          <w:rFonts w:eastAsia="PMingLiU"/>
          <w:b/>
          <w:bCs/>
          <w:sz w:val="22"/>
          <w:szCs w:val="20"/>
          <w:highlight w:val="lightGray"/>
          <w:lang w:val="el-GR"/>
        </w:rPr>
      </w:pPr>
      <w:r>
        <w:rPr>
          <w:rFonts w:eastAsia="PMingLiU"/>
          <w:b/>
          <w:bCs/>
          <w:sz w:val="22"/>
          <w:szCs w:val="20"/>
          <w:highlight w:val="lightGray"/>
          <w:lang w:val="el-GR"/>
        </w:rPr>
        <w:t>Κάτοχος Άδειας Κυκλοφορίας</w:t>
      </w:r>
    </w:p>
    <w:p w14:paraId="422D6720" w14:textId="77777777" w:rsidR="00171824" w:rsidRDefault="006D258C">
      <w:pPr>
        <w:keepNext/>
        <w:keepLines/>
        <w:widowControl/>
        <w:tabs>
          <w:tab w:val="left" w:pos="567"/>
        </w:tabs>
        <w:autoSpaceDE/>
        <w:autoSpaceDN/>
        <w:adjustRightInd/>
        <w:rPr>
          <w:rFonts w:eastAsia="PMingLiU"/>
          <w:sz w:val="22"/>
          <w:szCs w:val="20"/>
          <w:highlight w:val="lightGray"/>
          <w:lang w:val="el-GR"/>
        </w:rPr>
      </w:pPr>
      <w:r w:rsidRPr="00422380">
        <w:rPr>
          <w:rFonts w:eastAsia="PMingLiU"/>
          <w:sz w:val="22"/>
          <w:szCs w:val="20"/>
          <w:highlight w:val="lightGray"/>
        </w:rPr>
        <w:t>Amgen</w:t>
      </w:r>
      <w:r>
        <w:rPr>
          <w:rFonts w:eastAsia="PMingLiU"/>
          <w:sz w:val="22"/>
          <w:szCs w:val="20"/>
          <w:highlight w:val="lightGray"/>
          <w:lang w:val="el-GR"/>
        </w:rPr>
        <w:t xml:space="preserve"> </w:t>
      </w:r>
      <w:r w:rsidRPr="00422380">
        <w:rPr>
          <w:rFonts w:eastAsia="PMingLiU"/>
          <w:sz w:val="22"/>
          <w:szCs w:val="20"/>
          <w:highlight w:val="lightGray"/>
        </w:rPr>
        <w:t>Europe</w:t>
      </w:r>
      <w:r>
        <w:rPr>
          <w:rFonts w:eastAsia="PMingLiU"/>
          <w:sz w:val="22"/>
          <w:szCs w:val="20"/>
          <w:highlight w:val="lightGray"/>
          <w:lang w:val="el-GR"/>
        </w:rPr>
        <w:t xml:space="preserve"> </w:t>
      </w:r>
      <w:r w:rsidRPr="00422380">
        <w:rPr>
          <w:rFonts w:eastAsia="PMingLiU"/>
          <w:sz w:val="22"/>
          <w:szCs w:val="20"/>
          <w:highlight w:val="lightGray"/>
        </w:rPr>
        <w:t>B</w:t>
      </w:r>
      <w:r>
        <w:rPr>
          <w:rFonts w:eastAsia="PMingLiU"/>
          <w:sz w:val="22"/>
          <w:szCs w:val="20"/>
          <w:highlight w:val="lightGray"/>
          <w:lang w:val="el-GR"/>
        </w:rPr>
        <w:t>.</w:t>
      </w:r>
      <w:r w:rsidRPr="00422380">
        <w:rPr>
          <w:rFonts w:eastAsia="PMingLiU"/>
          <w:sz w:val="22"/>
          <w:szCs w:val="20"/>
          <w:highlight w:val="lightGray"/>
        </w:rPr>
        <w:t>V</w:t>
      </w:r>
      <w:r>
        <w:rPr>
          <w:rFonts w:eastAsia="PMingLiU"/>
          <w:sz w:val="22"/>
          <w:szCs w:val="20"/>
          <w:highlight w:val="lightGray"/>
          <w:lang w:val="el-GR"/>
        </w:rPr>
        <w:t xml:space="preserve">. </w:t>
      </w:r>
      <w:r>
        <w:rPr>
          <w:rFonts w:eastAsia="PMingLiU"/>
          <w:sz w:val="22"/>
          <w:szCs w:val="20"/>
          <w:highlight w:val="lightGray"/>
          <w:lang w:val="el-GR"/>
        </w:rPr>
        <w:br/>
      </w:r>
      <w:r w:rsidRPr="00422380">
        <w:rPr>
          <w:rFonts w:eastAsia="PMingLiU"/>
          <w:sz w:val="22"/>
          <w:szCs w:val="20"/>
          <w:highlight w:val="lightGray"/>
        </w:rPr>
        <w:t>Minervum</w:t>
      </w:r>
      <w:r>
        <w:rPr>
          <w:rFonts w:eastAsia="PMingLiU"/>
          <w:sz w:val="22"/>
          <w:szCs w:val="20"/>
          <w:highlight w:val="lightGray"/>
          <w:lang w:val="el-GR"/>
        </w:rPr>
        <w:t xml:space="preserve"> 7061 </w:t>
      </w:r>
      <w:r>
        <w:rPr>
          <w:rFonts w:eastAsia="PMingLiU"/>
          <w:sz w:val="22"/>
          <w:szCs w:val="20"/>
          <w:highlight w:val="lightGray"/>
          <w:lang w:val="el-GR"/>
        </w:rPr>
        <w:br/>
        <w:t xml:space="preserve">4817 </w:t>
      </w:r>
      <w:r w:rsidRPr="00422380">
        <w:rPr>
          <w:rFonts w:eastAsia="PMingLiU"/>
          <w:sz w:val="22"/>
          <w:szCs w:val="20"/>
          <w:highlight w:val="lightGray"/>
        </w:rPr>
        <w:t>ZK</w:t>
      </w:r>
      <w:r>
        <w:rPr>
          <w:rFonts w:eastAsia="PMingLiU"/>
          <w:sz w:val="22"/>
          <w:szCs w:val="20"/>
          <w:highlight w:val="lightGray"/>
          <w:lang w:val="el-GR"/>
        </w:rPr>
        <w:t xml:space="preserve"> </w:t>
      </w:r>
      <w:r w:rsidRPr="00422380">
        <w:rPr>
          <w:rFonts w:eastAsia="PMingLiU"/>
          <w:sz w:val="22"/>
          <w:szCs w:val="20"/>
          <w:highlight w:val="lightGray"/>
        </w:rPr>
        <w:t>Breda</w:t>
      </w:r>
      <w:r>
        <w:rPr>
          <w:rFonts w:eastAsia="PMingLiU"/>
          <w:sz w:val="22"/>
          <w:szCs w:val="20"/>
          <w:highlight w:val="lightGray"/>
          <w:lang w:val="el-GR"/>
        </w:rPr>
        <w:t xml:space="preserve"> </w:t>
      </w:r>
      <w:r>
        <w:rPr>
          <w:rFonts w:eastAsia="PMingLiU"/>
          <w:sz w:val="22"/>
          <w:szCs w:val="20"/>
          <w:highlight w:val="lightGray"/>
          <w:lang w:val="el-GR"/>
        </w:rPr>
        <w:br/>
        <w:t>Ολλανδία</w:t>
      </w:r>
    </w:p>
    <w:p w14:paraId="62DA1BDA" w14:textId="77777777" w:rsidR="00171824" w:rsidRDefault="00171824">
      <w:pPr>
        <w:widowControl/>
        <w:tabs>
          <w:tab w:val="left" w:pos="567"/>
        </w:tabs>
        <w:autoSpaceDE/>
        <w:autoSpaceDN/>
        <w:adjustRightInd/>
        <w:rPr>
          <w:rFonts w:eastAsia="PMingLiU"/>
          <w:sz w:val="22"/>
          <w:szCs w:val="20"/>
          <w:highlight w:val="lightGray"/>
          <w:lang w:val="el-GR"/>
        </w:rPr>
      </w:pPr>
    </w:p>
    <w:p w14:paraId="646B633E" w14:textId="77777777" w:rsidR="00171824" w:rsidRDefault="006D258C">
      <w:pPr>
        <w:keepNext/>
        <w:widowControl/>
        <w:tabs>
          <w:tab w:val="left" w:pos="567"/>
        </w:tabs>
        <w:autoSpaceDE/>
        <w:autoSpaceDN/>
        <w:adjustRightInd/>
        <w:rPr>
          <w:rFonts w:eastAsia="PMingLiU"/>
          <w:b/>
          <w:sz w:val="22"/>
          <w:szCs w:val="20"/>
          <w:highlight w:val="lightGray"/>
          <w:lang w:val="el-GR"/>
        </w:rPr>
      </w:pPr>
      <w:r>
        <w:rPr>
          <w:rFonts w:eastAsia="PMingLiU"/>
          <w:b/>
          <w:sz w:val="22"/>
          <w:szCs w:val="20"/>
          <w:highlight w:val="lightGray"/>
          <w:lang w:val="el-GR"/>
        </w:rPr>
        <w:t>Παρασκευαστής</w:t>
      </w:r>
    </w:p>
    <w:p w14:paraId="06CB34B1" w14:textId="77777777" w:rsidR="00171824" w:rsidRDefault="006D258C">
      <w:pPr>
        <w:keepNext/>
        <w:widowControl/>
        <w:tabs>
          <w:tab w:val="left" w:pos="567"/>
        </w:tabs>
        <w:autoSpaceDE/>
        <w:autoSpaceDN/>
        <w:adjustRightInd/>
        <w:rPr>
          <w:rFonts w:eastAsia="PMingLiU"/>
          <w:sz w:val="22"/>
          <w:szCs w:val="20"/>
          <w:highlight w:val="lightGray"/>
          <w:lang w:val="el-GR"/>
        </w:rPr>
      </w:pPr>
      <w:r w:rsidRPr="00422380">
        <w:rPr>
          <w:rFonts w:eastAsia="PMingLiU"/>
          <w:sz w:val="22"/>
          <w:szCs w:val="20"/>
          <w:highlight w:val="lightGray"/>
        </w:rPr>
        <w:t>Amgen</w:t>
      </w:r>
      <w:r>
        <w:rPr>
          <w:rFonts w:eastAsia="PMingLiU"/>
          <w:sz w:val="22"/>
          <w:szCs w:val="20"/>
          <w:highlight w:val="lightGray"/>
          <w:lang w:val="el-GR"/>
        </w:rPr>
        <w:t xml:space="preserve"> </w:t>
      </w:r>
      <w:r w:rsidRPr="00422380">
        <w:rPr>
          <w:rFonts w:eastAsia="PMingLiU"/>
          <w:sz w:val="22"/>
          <w:szCs w:val="20"/>
          <w:highlight w:val="lightGray"/>
        </w:rPr>
        <w:t>Technology</w:t>
      </w:r>
      <w:r>
        <w:rPr>
          <w:rFonts w:eastAsia="PMingLiU"/>
          <w:sz w:val="22"/>
          <w:szCs w:val="20"/>
          <w:highlight w:val="lightGray"/>
          <w:lang w:val="el-GR"/>
        </w:rPr>
        <w:t xml:space="preserve"> </w:t>
      </w:r>
      <w:r w:rsidRPr="00422380">
        <w:rPr>
          <w:rFonts w:eastAsia="PMingLiU"/>
          <w:sz w:val="22"/>
          <w:szCs w:val="20"/>
          <w:highlight w:val="lightGray"/>
        </w:rPr>
        <w:t>Ireland</w:t>
      </w:r>
      <w:r>
        <w:rPr>
          <w:rFonts w:eastAsia="PMingLiU"/>
          <w:sz w:val="22"/>
          <w:szCs w:val="20"/>
          <w:highlight w:val="lightGray"/>
          <w:lang w:val="el-GR"/>
        </w:rPr>
        <w:t xml:space="preserve"> </w:t>
      </w:r>
      <w:r w:rsidRPr="00422380">
        <w:rPr>
          <w:rFonts w:eastAsia="PMingLiU"/>
          <w:sz w:val="22"/>
          <w:szCs w:val="20"/>
          <w:highlight w:val="lightGray"/>
        </w:rPr>
        <w:t>UC</w:t>
      </w:r>
      <w:r>
        <w:rPr>
          <w:rFonts w:eastAsia="PMingLiU"/>
          <w:sz w:val="22"/>
          <w:szCs w:val="20"/>
          <w:highlight w:val="lightGray"/>
          <w:lang w:val="el-GR"/>
        </w:rPr>
        <w:t xml:space="preserve"> </w:t>
      </w:r>
    </w:p>
    <w:p w14:paraId="3CB124BF" w14:textId="77777777" w:rsidR="00171824" w:rsidRPr="00422380"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Pottery Road</w:t>
      </w:r>
    </w:p>
    <w:p w14:paraId="72DB80EF" w14:textId="77777777" w:rsidR="00171824" w:rsidRPr="00422380"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Dun Laoghaire</w:t>
      </w:r>
    </w:p>
    <w:p w14:paraId="69EE50F3" w14:textId="77777777" w:rsidR="00171824" w:rsidRPr="00422380"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Co Dublin</w:t>
      </w:r>
    </w:p>
    <w:p w14:paraId="76A46B7E" w14:textId="77777777" w:rsidR="00171824" w:rsidRDefault="006D258C">
      <w:pPr>
        <w:widowControl/>
        <w:tabs>
          <w:tab w:val="left" w:pos="567"/>
        </w:tabs>
        <w:autoSpaceDE/>
        <w:autoSpaceDN/>
        <w:adjustRightInd/>
        <w:rPr>
          <w:rFonts w:eastAsia="PMingLiU"/>
          <w:sz w:val="22"/>
          <w:szCs w:val="20"/>
          <w:highlight w:val="lightGray"/>
          <w:lang w:val="el-GR"/>
        </w:rPr>
      </w:pPr>
      <w:r>
        <w:rPr>
          <w:rFonts w:eastAsia="PMingLiU"/>
          <w:sz w:val="22"/>
          <w:szCs w:val="20"/>
          <w:highlight w:val="lightGray"/>
          <w:lang w:val="el-GR"/>
        </w:rPr>
        <w:t>Ιρλανδία</w:t>
      </w:r>
    </w:p>
    <w:p w14:paraId="1CBCAC39" w14:textId="77777777" w:rsidR="00171824" w:rsidRPr="00A07F46" w:rsidRDefault="00171824">
      <w:pPr>
        <w:widowControl/>
        <w:kinsoku w:val="0"/>
        <w:overflowPunct w:val="0"/>
        <w:rPr>
          <w:sz w:val="22"/>
          <w:szCs w:val="22"/>
          <w:lang w:val="el-GR"/>
        </w:rPr>
      </w:pPr>
    </w:p>
    <w:p w14:paraId="0D27CC78" w14:textId="77777777" w:rsidR="00171824" w:rsidRDefault="006D258C">
      <w:pPr>
        <w:widowControl/>
        <w:tabs>
          <w:tab w:val="left" w:pos="567"/>
        </w:tabs>
        <w:autoSpaceDE/>
        <w:autoSpaceDN/>
        <w:adjustRightInd/>
        <w:rPr>
          <w:rFonts w:eastAsia="PMingLiU"/>
          <w:b/>
          <w:sz w:val="22"/>
          <w:szCs w:val="20"/>
          <w:highlight w:val="lightGray"/>
          <w:lang w:val="el-GR"/>
        </w:rPr>
      </w:pPr>
      <w:bookmarkStart w:id="116" w:name="_Hlk503442726"/>
      <w:r>
        <w:rPr>
          <w:rFonts w:eastAsia="PMingLiU"/>
          <w:b/>
          <w:sz w:val="22"/>
          <w:szCs w:val="20"/>
          <w:highlight w:val="lightGray"/>
          <w:lang w:val="el-GR"/>
        </w:rPr>
        <w:t>Παρασκευαστής</w:t>
      </w:r>
    </w:p>
    <w:p w14:paraId="4ADBCF31" w14:textId="77777777" w:rsidR="00171824" w:rsidRDefault="006D258C">
      <w:pPr>
        <w:rPr>
          <w:sz w:val="22"/>
          <w:szCs w:val="22"/>
          <w:highlight w:val="lightGray"/>
          <w:lang w:val="el-GR" w:eastAsia="ja-JP"/>
        </w:rPr>
      </w:pPr>
      <w:r w:rsidRPr="00422380">
        <w:rPr>
          <w:sz w:val="22"/>
          <w:szCs w:val="22"/>
          <w:highlight w:val="lightGray"/>
          <w:lang w:eastAsia="ja-JP"/>
        </w:rPr>
        <w:t>Amgen</w:t>
      </w:r>
      <w:r>
        <w:rPr>
          <w:sz w:val="22"/>
          <w:szCs w:val="22"/>
          <w:highlight w:val="lightGray"/>
          <w:lang w:val="el-GR" w:eastAsia="ja-JP"/>
        </w:rPr>
        <w:t xml:space="preserve"> </w:t>
      </w:r>
      <w:r w:rsidRPr="00422380">
        <w:rPr>
          <w:sz w:val="22"/>
          <w:szCs w:val="22"/>
          <w:highlight w:val="lightGray"/>
          <w:lang w:eastAsia="ja-JP"/>
        </w:rPr>
        <w:t>NV</w:t>
      </w:r>
    </w:p>
    <w:p w14:paraId="6DA85C18" w14:textId="77777777" w:rsidR="00171824" w:rsidRDefault="006D258C">
      <w:pPr>
        <w:rPr>
          <w:sz w:val="22"/>
          <w:szCs w:val="22"/>
          <w:highlight w:val="lightGray"/>
          <w:lang w:val="el-GR" w:eastAsia="ja-JP"/>
        </w:rPr>
      </w:pPr>
      <w:r>
        <w:rPr>
          <w:sz w:val="22"/>
          <w:szCs w:val="22"/>
          <w:highlight w:val="lightGray"/>
          <w:lang w:val="el-GR" w:eastAsia="ja-JP"/>
        </w:rPr>
        <w:t>Telecomlaan 5-7</w:t>
      </w:r>
    </w:p>
    <w:p w14:paraId="6EE207FE" w14:textId="77777777" w:rsidR="00171824" w:rsidRDefault="006D258C">
      <w:pPr>
        <w:rPr>
          <w:sz w:val="22"/>
          <w:szCs w:val="22"/>
          <w:highlight w:val="lightGray"/>
          <w:lang w:val="el-GR" w:eastAsia="ja-JP"/>
        </w:rPr>
      </w:pPr>
      <w:r>
        <w:rPr>
          <w:sz w:val="22"/>
          <w:szCs w:val="22"/>
          <w:highlight w:val="lightGray"/>
          <w:lang w:val="el-GR" w:eastAsia="ja-JP"/>
        </w:rPr>
        <w:t>1831 Diegem</w:t>
      </w:r>
    </w:p>
    <w:p w14:paraId="70597E1A" w14:textId="77777777" w:rsidR="00171824" w:rsidRDefault="006D258C">
      <w:pPr>
        <w:rPr>
          <w:sz w:val="22"/>
          <w:szCs w:val="22"/>
          <w:highlight w:val="lightGray"/>
          <w:lang w:val="el-GR" w:eastAsia="ja-JP"/>
        </w:rPr>
      </w:pPr>
      <w:r>
        <w:rPr>
          <w:sz w:val="22"/>
          <w:szCs w:val="22"/>
          <w:highlight w:val="lightGray"/>
          <w:lang w:val="el-GR" w:eastAsia="ja-JP"/>
        </w:rPr>
        <w:t>Βέλγιο</w:t>
      </w:r>
    </w:p>
    <w:bookmarkEnd w:id="116"/>
    <w:p w14:paraId="34479BC4" w14:textId="77777777" w:rsidR="00171824" w:rsidRDefault="00171824">
      <w:pPr>
        <w:widowControl/>
        <w:kinsoku w:val="0"/>
        <w:overflowPunct w:val="0"/>
        <w:rPr>
          <w:sz w:val="22"/>
          <w:szCs w:val="22"/>
          <w:lang w:val="el-GR"/>
        </w:rPr>
      </w:pPr>
    </w:p>
    <w:p w14:paraId="3A2F6C78" w14:textId="77777777" w:rsidR="00171824" w:rsidRDefault="006D258C">
      <w:pPr>
        <w:widowControl/>
        <w:kinsoku w:val="0"/>
        <w:overflowPunct w:val="0"/>
        <w:rPr>
          <w:sz w:val="22"/>
          <w:szCs w:val="22"/>
          <w:lang w:val="el-GR"/>
        </w:rPr>
      </w:pPr>
      <w:r>
        <w:rPr>
          <w:sz w:val="22"/>
          <w:szCs w:val="22"/>
          <w:lang w:val="el-GR"/>
        </w:rPr>
        <w:t>Για οποιαδήποτε πληροφορία σχετικά με το παρόν φαρμακευτικό προϊόν, παρακαλείστε να απευθυνθείτε στον τοπικό αντιπρόσωπο του Κατόχου της Άδειας Κυκλοφορίας:</w:t>
      </w:r>
    </w:p>
    <w:p w14:paraId="48610F42" w14:textId="77777777" w:rsidR="00171824" w:rsidRDefault="00171824">
      <w:pPr>
        <w:widowControl/>
        <w:kinsoku w:val="0"/>
        <w:overflowPunct w:val="0"/>
        <w:rPr>
          <w:sz w:val="22"/>
          <w:szCs w:val="22"/>
          <w:lang w:val="el-GR"/>
        </w:rPr>
      </w:pPr>
    </w:p>
    <w:tbl>
      <w:tblPr>
        <w:tblW w:w="9356" w:type="dxa"/>
        <w:tblLook w:val="04A0" w:firstRow="1" w:lastRow="0" w:firstColumn="1" w:lastColumn="0" w:noHBand="0" w:noVBand="1"/>
      </w:tblPr>
      <w:tblGrid>
        <w:gridCol w:w="4677"/>
        <w:gridCol w:w="4679"/>
      </w:tblGrid>
      <w:tr w:rsidR="00171824" w14:paraId="0325466A" w14:textId="77777777">
        <w:trPr>
          <w:cantSplit/>
        </w:trPr>
        <w:tc>
          <w:tcPr>
            <w:tcW w:w="4677" w:type="dxa"/>
          </w:tcPr>
          <w:p w14:paraId="4E9344BF"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b/>
                <w:sz w:val="22"/>
                <w:szCs w:val="22"/>
                <w:lang w:val="fr-FR"/>
              </w:rPr>
              <w:t>België/Belgique/Belgien</w:t>
            </w:r>
          </w:p>
          <w:p w14:paraId="02C13133"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s.a. Amgen n.v.</w:t>
            </w:r>
          </w:p>
          <w:p w14:paraId="488934E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Tél/Tel: +32 (0)2 7752711</w:t>
            </w:r>
          </w:p>
          <w:p w14:paraId="52BECD9F"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CE31F7B" w14:textId="77777777" w:rsidR="00171824" w:rsidRPr="00CB2FBB" w:rsidRDefault="006D258C">
            <w:pPr>
              <w:widowControl/>
              <w:tabs>
                <w:tab w:val="left" w:pos="567"/>
              </w:tabs>
              <w:autoSpaceDE/>
              <w:autoSpaceDN/>
              <w:adjustRightInd/>
              <w:rPr>
                <w:rFonts w:eastAsia="PMingLiU"/>
                <w:b/>
                <w:sz w:val="22"/>
                <w:szCs w:val="22"/>
                <w:lang w:val="el-GR"/>
              </w:rPr>
            </w:pPr>
            <w:r w:rsidRPr="00422380">
              <w:rPr>
                <w:rFonts w:eastAsia="PMingLiU"/>
                <w:b/>
                <w:sz w:val="22"/>
                <w:szCs w:val="22"/>
              </w:rPr>
              <w:t>Lietuva</w:t>
            </w:r>
          </w:p>
          <w:p w14:paraId="303B9FE8" w14:textId="77777777" w:rsidR="00171824" w:rsidRPr="00CB2FBB" w:rsidRDefault="006D258C">
            <w:pPr>
              <w:widowControl/>
              <w:tabs>
                <w:tab w:val="left" w:pos="567"/>
              </w:tabs>
              <w:autoSpaceDE/>
              <w:autoSpaceDN/>
              <w:adjustRightInd/>
              <w:rPr>
                <w:rFonts w:eastAsia="PMingLiU"/>
                <w:bCs/>
                <w:sz w:val="22"/>
                <w:szCs w:val="22"/>
                <w:lang w:val="el-GR"/>
              </w:rPr>
            </w:pPr>
            <w:r w:rsidRPr="00422380">
              <w:rPr>
                <w:rFonts w:eastAsia="PMingLiU"/>
                <w:sz w:val="22"/>
                <w:szCs w:val="22"/>
              </w:rPr>
              <w:t>Amgen</w:t>
            </w:r>
            <w:r w:rsidRPr="00CB2FBB">
              <w:rPr>
                <w:rFonts w:eastAsia="PMingLiU"/>
                <w:sz w:val="22"/>
                <w:szCs w:val="22"/>
                <w:lang w:val="el-GR"/>
              </w:rPr>
              <w:t xml:space="preserve"> </w:t>
            </w:r>
            <w:r w:rsidRPr="00422380">
              <w:rPr>
                <w:rFonts w:eastAsia="PMingLiU"/>
                <w:sz w:val="22"/>
                <w:szCs w:val="22"/>
              </w:rPr>
              <w:t>Switzerland</w:t>
            </w:r>
            <w:r w:rsidRPr="00CB2FBB">
              <w:rPr>
                <w:rFonts w:eastAsia="PMingLiU"/>
                <w:sz w:val="22"/>
                <w:szCs w:val="22"/>
                <w:lang w:val="el-GR"/>
              </w:rPr>
              <w:t xml:space="preserve"> </w:t>
            </w:r>
            <w:r w:rsidRPr="00422380">
              <w:rPr>
                <w:rFonts w:eastAsia="PMingLiU"/>
                <w:sz w:val="22"/>
                <w:szCs w:val="22"/>
              </w:rPr>
              <w:t>AG</w:t>
            </w:r>
            <w:r w:rsidRPr="00CB2FBB">
              <w:rPr>
                <w:rFonts w:eastAsia="PMingLiU"/>
                <w:sz w:val="22"/>
                <w:szCs w:val="22"/>
                <w:lang w:val="el-GR"/>
              </w:rPr>
              <w:t xml:space="preserve"> </w:t>
            </w:r>
            <w:r w:rsidRPr="00422380">
              <w:rPr>
                <w:rFonts w:eastAsia="PMingLiU"/>
                <w:sz w:val="22"/>
                <w:szCs w:val="22"/>
              </w:rPr>
              <w:t>Vilniaus</w:t>
            </w:r>
            <w:r w:rsidRPr="00CB2FBB">
              <w:rPr>
                <w:rFonts w:eastAsia="PMingLiU"/>
                <w:sz w:val="22"/>
                <w:szCs w:val="22"/>
                <w:lang w:val="el-GR"/>
              </w:rPr>
              <w:t xml:space="preserve"> </w:t>
            </w:r>
            <w:r w:rsidRPr="00422380">
              <w:rPr>
                <w:rFonts w:eastAsia="PMingLiU"/>
                <w:sz w:val="22"/>
                <w:szCs w:val="22"/>
              </w:rPr>
              <w:t>filialas</w:t>
            </w:r>
          </w:p>
          <w:p w14:paraId="7A72423F"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w:t>
            </w:r>
            <w:del w:id="117" w:author="Author">
              <w:r>
                <w:rPr>
                  <w:rFonts w:eastAsia="PMingLiU"/>
                  <w:bCs/>
                  <w:sz w:val="22"/>
                  <w:szCs w:val="22"/>
                  <w:lang w:val="el-GR"/>
                </w:rPr>
                <w:delText xml:space="preserve">: </w:delText>
              </w:r>
            </w:del>
            <w:ins w:id="118" w:author="Author">
              <w:r>
                <w:rPr>
                  <w:rFonts w:eastAsia="PMingLiU"/>
                  <w:bCs/>
                  <w:sz w:val="22"/>
                  <w:szCs w:val="22"/>
                  <w:lang w:val="el-GR"/>
                </w:rPr>
                <w:t xml:space="preserve">. </w:t>
              </w:r>
            </w:ins>
            <w:r>
              <w:rPr>
                <w:rFonts w:eastAsia="PMingLiU"/>
                <w:bCs/>
                <w:sz w:val="22"/>
                <w:szCs w:val="22"/>
                <w:lang w:val="el-GR"/>
              </w:rPr>
              <w:t>+370 5 219 7474</w:t>
            </w:r>
          </w:p>
          <w:p w14:paraId="0C646938" w14:textId="77777777" w:rsidR="00171824" w:rsidRDefault="00171824">
            <w:pPr>
              <w:widowControl/>
              <w:tabs>
                <w:tab w:val="left" w:pos="567"/>
              </w:tabs>
              <w:autoSpaceDE/>
              <w:autoSpaceDN/>
              <w:adjustRightInd/>
              <w:rPr>
                <w:rFonts w:eastAsia="PMingLiU"/>
                <w:sz w:val="22"/>
                <w:szCs w:val="22"/>
                <w:lang w:val="el-GR"/>
              </w:rPr>
            </w:pPr>
          </w:p>
        </w:tc>
      </w:tr>
      <w:tr w:rsidR="00171824" w:rsidRPr="00AA11B3" w14:paraId="57CD7326" w14:textId="77777777">
        <w:trPr>
          <w:cantSplit/>
        </w:trPr>
        <w:tc>
          <w:tcPr>
            <w:tcW w:w="4677" w:type="dxa"/>
          </w:tcPr>
          <w:p w14:paraId="480B0568" w14:textId="77777777" w:rsidR="00171824" w:rsidRPr="00422380" w:rsidRDefault="006D258C">
            <w:pPr>
              <w:widowControl/>
              <w:tabs>
                <w:tab w:val="left" w:pos="567"/>
              </w:tabs>
              <w:rPr>
                <w:rFonts w:eastAsia="PMingLiU"/>
                <w:b/>
                <w:sz w:val="22"/>
                <w:szCs w:val="22"/>
                <w:lang w:val="ru-RU"/>
              </w:rPr>
            </w:pPr>
            <w:r>
              <w:rPr>
                <w:rFonts w:eastAsia="PMingLiU"/>
                <w:b/>
                <w:sz w:val="22"/>
                <w:szCs w:val="22"/>
                <w:lang w:val="ru-RU"/>
              </w:rPr>
              <w:t>България</w:t>
            </w:r>
          </w:p>
          <w:p w14:paraId="69DB49C3" w14:textId="77777777" w:rsidR="00171824" w:rsidRPr="00422380" w:rsidRDefault="006D258C">
            <w:pPr>
              <w:widowControl/>
              <w:tabs>
                <w:tab w:val="left" w:pos="567"/>
              </w:tabs>
              <w:autoSpaceDE/>
              <w:autoSpaceDN/>
              <w:adjustRightInd/>
              <w:rPr>
                <w:rFonts w:eastAsia="PMingLiU"/>
                <w:sz w:val="22"/>
                <w:szCs w:val="22"/>
                <w:lang w:val="ru-RU"/>
              </w:rPr>
            </w:pPr>
            <w:r>
              <w:rPr>
                <w:rFonts w:eastAsia="Arial Unicode MS"/>
                <w:sz w:val="22"/>
                <w:szCs w:val="22"/>
                <w:lang w:val="ru-RU" w:eastAsia="en-GB"/>
              </w:rPr>
              <w:t>Амджен</w:t>
            </w:r>
            <w:r w:rsidRPr="00422380">
              <w:rPr>
                <w:rFonts w:eastAsia="Arial Unicode MS"/>
                <w:sz w:val="22"/>
                <w:szCs w:val="22"/>
                <w:lang w:val="ru-RU" w:eastAsia="en-GB"/>
              </w:rPr>
              <w:t xml:space="preserve"> </w:t>
            </w:r>
            <w:r>
              <w:rPr>
                <w:rFonts w:eastAsia="Arial Unicode MS"/>
                <w:sz w:val="22"/>
                <w:szCs w:val="22"/>
                <w:lang w:val="ru-RU" w:eastAsia="en-GB"/>
              </w:rPr>
              <w:t>България</w:t>
            </w:r>
            <w:r w:rsidRPr="00422380">
              <w:rPr>
                <w:rFonts w:eastAsia="PMingLiU"/>
                <w:sz w:val="22"/>
                <w:szCs w:val="22"/>
                <w:lang w:val="ru-RU"/>
              </w:rPr>
              <w:t xml:space="preserve"> </w:t>
            </w:r>
            <w:r>
              <w:rPr>
                <w:rFonts w:eastAsia="PMingLiU"/>
                <w:sz w:val="22"/>
                <w:szCs w:val="22"/>
                <w:lang w:val="ru-RU"/>
              </w:rPr>
              <w:t>ЕООД</w:t>
            </w:r>
          </w:p>
          <w:p w14:paraId="1CA9ACA9" w14:textId="77777777" w:rsidR="00171824" w:rsidRPr="00422380" w:rsidRDefault="006D258C">
            <w:pPr>
              <w:widowControl/>
              <w:tabs>
                <w:tab w:val="left" w:pos="567"/>
              </w:tabs>
              <w:autoSpaceDE/>
              <w:autoSpaceDN/>
              <w:adjustRightInd/>
              <w:rPr>
                <w:rFonts w:eastAsia="Arial Unicode MS"/>
                <w:bCs/>
                <w:sz w:val="22"/>
                <w:szCs w:val="22"/>
                <w:lang w:val="ru-RU"/>
              </w:rPr>
            </w:pPr>
            <w:r>
              <w:rPr>
                <w:rFonts w:eastAsia="PMingLiU"/>
                <w:sz w:val="22"/>
                <w:szCs w:val="22"/>
                <w:lang w:val="ru-RU"/>
              </w:rPr>
              <w:t>Тел</w:t>
            </w:r>
            <w:r w:rsidRPr="00422380">
              <w:rPr>
                <w:rFonts w:eastAsia="Arial Unicode MS"/>
                <w:sz w:val="22"/>
                <w:szCs w:val="22"/>
                <w:lang w:val="ru-RU" w:eastAsia="en-GB"/>
              </w:rPr>
              <w:t>.: +</w:t>
            </w:r>
            <w:r w:rsidRPr="00422380">
              <w:rPr>
                <w:rFonts w:eastAsia="PMingLiU"/>
                <w:sz w:val="22"/>
                <w:szCs w:val="22"/>
                <w:lang w:val="ru-RU"/>
              </w:rPr>
              <w:t xml:space="preserve">359 </w:t>
            </w:r>
            <w:r w:rsidRPr="00422380">
              <w:rPr>
                <w:rFonts w:eastAsia="Arial Unicode MS"/>
                <w:bCs/>
                <w:sz w:val="22"/>
                <w:szCs w:val="22"/>
                <w:lang w:val="ru-RU"/>
              </w:rPr>
              <w:t>(0)</w:t>
            </w:r>
            <w:r w:rsidRPr="00422380">
              <w:rPr>
                <w:rFonts w:eastAsia="PMingLiU"/>
                <w:sz w:val="22"/>
                <w:szCs w:val="22"/>
                <w:lang w:val="ru-RU"/>
              </w:rPr>
              <w:t>2</w:t>
            </w:r>
            <w:r w:rsidRPr="00422380">
              <w:rPr>
                <w:rFonts w:eastAsia="Arial Unicode MS"/>
                <w:bCs/>
                <w:sz w:val="22"/>
                <w:szCs w:val="22"/>
              </w:rPr>
              <w:t> </w:t>
            </w:r>
            <w:r w:rsidRPr="00422380">
              <w:rPr>
                <w:rFonts w:eastAsia="Arial Unicode MS"/>
                <w:bCs/>
                <w:sz w:val="22"/>
                <w:szCs w:val="22"/>
                <w:lang w:val="ru-RU"/>
              </w:rPr>
              <w:t>424 7440</w:t>
            </w:r>
          </w:p>
          <w:p w14:paraId="34519BAC" w14:textId="77777777" w:rsidR="00171824" w:rsidRPr="00422380" w:rsidRDefault="00171824">
            <w:pPr>
              <w:widowControl/>
              <w:tabs>
                <w:tab w:val="left" w:pos="567"/>
              </w:tabs>
              <w:autoSpaceDE/>
              <w:autoSpaceDN/>
              <w:adjustRightInd/>
              <w:rPr>
                <w:rFonts w:eastAsia="PMingLiU"/>
                <w:sz w:val="22"/>
                <w:szCs w:val="22"/>
                <w:lang w:val="ru-RU"/>
              </w:rPr>
            </w:pPr>
          </w:p>
        </w:tc>
        <w:tc>
          <w:tcPr>
            <w:tcW w:w="4679" w:type="dxa"/>
          </w:tcPr>
          <w:p w14:paraId="39CDEBE1"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b/>
                <w:sz w:val="22"/>
                <w:szCs w:val="22"/>
                <w:lang w:val="de-DE"/>
              </w:rPr>
              <w:t>Luxembourg/Luxemburg</w:t>
            </w:r>
          </w:p>
          <w:p w14:paraId="2BDEDAC6"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 xml:space="preserve">s.a. Amgen </w:t>
            </w:r>
          </w:p>
          <w:p w14:paraId="1F7BB513"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Belgique/Belgien</w:t>
            </w:r>
          </w:p>
          <w:p w14:paraId="67DE56E4"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Tél/Tel: +32 (0)2 7752711</w:t>
            </w:r>
          </w:p>
          <w:p w14:paraId="57B8637C" w14:textId="77777777" w:rsidR="00171824" w:rsidRPr="00422380" w:rsidRDefault="00171824">
            <w:pPr>
              <w:widowControl/>
              <w:tabs>
                <w:tab w:val="left" w:pos="567"/>
              </w:tabs>
              <w:autoSpaceDE/>
              <w:autoSpaceDN/>
              <w:adjustRightInd/>
              <w:rPr>
                <w:rFonts w:eastAsia="PMingLiU"/>
                <w:sz w:val="22"/>
                <w:szCs w:val="22"/>
                <w:lang w:val="fr-FR"/>
              </w:rPr>
            </w:pPr>
          </w:p>
        </w:tc>
      </w:tr>
      <w:tr w:rsidR="00171824" w14:paraId="1C570D2D" w14:textId="77777777">
        <w:trPr>
          <w:cantSplit/>
        </w:trPr>
        <w:tc>
          <w:tcPr>
            <w:tcW w:w="4677" w:type="dxa"/>
          </w:tcPr>
          <w:p w14:paraId="7FC7503E" w14:textId="77777777" w:rsidR="00171824" w:rsidRPr="00422380" w:rsidRDefault="006D258C">
            <w:pPr>
              <w:keepNext/>
              <w:widowControl/>
              <w:tabs>
                <w:tab w:val="left" w:pos="567"/>
              </w:tabs>
              <w:autoSpaceDE/>
              <w:autoSpaceDN/>
              <w:adjustRightInd/>
              <w:rPr>
                <w:rFonts w:eastAsia="PMingLiU"/>
                <w:b/>
                <w:sz w:val="22"/>
                <w:szCs w:val="22"/>
                <w:lang w:val="sv-SE"/>
              </w:rPr>
            </w:pPr>
            <w:r w:rsidRPr="00422380">
              <w:rPr>
                <w:rFonts w:eastAsia="PMingLiU"/>
                <w:b/>
                <w:sz w:val="22"/>
                <w:szCs w:val="22"/>
                <w:lang w:val="sv-SE"/>
              </w:rPr>
              <w:t>Česká republika</w:t>
            </w:r>
          </w:p>
          <w:p w14:paraId="1C5E59C1" w14:textId="77777777" w:rsidR="00171824" w:rsidRPr="00422380" w:rsidRDefault="006D258C">
            <w:pPr>
              <w:keepNext/>
              <w:widowControl/>
              <w:tabs>
                <w:tab w:val="left" w:pos="567"/>
              </w:tabs>
              <w:autoSpaceDE/>
              <w:autoSpaceDN/>
              <w:adjustRightInd/>
              <w:rPr>
                <w:rFonts w:eastAsia="PMingLiU"/>
                <w:sz w:val="22"/>
                <w:szCs w:val="22"/>
                <w:lang w:val="sv-SE"/>
              </w:rPr>
            </w:pPr>
            <w:r w:rsidRPr="00422380">
              <w:rPr>
                <w:rFonts w:eastAsia="PMingLiU"/>
                <w:bCs/>
                <w:sz w:val="22"/>
                <w:szCs w:val="22"/>
                <w:lang w:val="sv-SE"/>
              </w:rPr>
              <w:t>Amgen</w:t>
            </w:r>
            <w:r w:rsidRPr="00422380">
              <w:rPr>
                <w:rFonts w:eastAsia="PMingLiU"/>
                <w:sz w:val="22"/>
                <w:szCs w:val="22"/>
                <w:lang w:val="sv-SE"/>
              </w:rPr>
              <w:t xml:space="preserve"> s.r.o.</w:t>
            </w:r>
          </w:p>
          <w:p w14:paraId="6AA60512"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+420 </w:t>
            </w:r>
            <w:r>
              <w:rPr>
                <w:rFonts w:eastAsia="PMingLiU"/>
                <w:bCs/>
                <w:sz w:val="22"/>
                <w:szCs w:val="22"/>
                <w:lang w:val="el-GR"/>
              </w:rPr>
              <w:t>221 773 500</w:t>
            </w:r>
          </w:p>
          <w:p w14:paraId="7E1D7A12"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4BE11261"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Magyarország</w:t>
            </w:r>
          </w:p>
          <w:p w14:paraId="148AE73C" w14:textId="77777777" w:rsidR="00171824" w:rsidRDefault="006D258C">
            <w:pPr>
              <w:widowControl/>
              <w:tabs>
                <w:tab w:val="left" w:pos="567"/>
              </w:tabs>
              <w:autoSpaceDE/>
              <w:autoSpaceDN/>
              <w:adjustRightInd/>
              <w:rPr>
                <w:rFonts w:eastAsia="PMingLiU"/>
                <w:sz w:val="22"/>
                <w:szCs w:val="22"/>
                <w:lang w:val="el-GR"/>
              </w:rPr>
            </w:pPr>
            <w:r>
              <w:rPr>
                <w:rFonts w:eastAsia="PMingLiU"/>
                <w:bCs/>
                <w:sz w:val="22"/>
                <w:szCs w:val="22"/>
                <w:lang w:val="el-GR"/>
              </w:rPr>
              <w:t>Amgen</w:t>
            </w:r>
            <w:r>
              <w:rPr>
                <w:rFonts w:eastAsia="PMingLiU"/>
                <w:sz w:val="22"/>
                <w:szCs w:val="22"/>
                <w:lang w:val="el-GR"/>
              </w:rPr>
              <w:t xml:space="preserve"> Kft.</w:t>
            </w:r>
          </w:p>
          <w:p w14:paraId="2FD5B407"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Tel</w:t>
            </w:r>
            <w:r>
              <w:rPr>
                <w:rFonts w:eastAsia="PMingLiU"/>
                <w:bCs/>
                <w:sz w:val="22"/>
                <w:szCs w:val="22"/>
                <w:lang w:val="el-GR"/>
              </w:rPr>
              <w:t>.: +</w:t>
            </w:r>
            <w:r>
              <w:rPr>
                <w:rFonts w:eastAsia="PMingLiU"/>
                <w:sz w:val="22"/>
                <w:szCs w:val="22"/>
                <w:lang w:val="el-GR"/>
              </w:rPr>
              <w:t xml:space="preserve">36 1 </w:t>
            </w:r>
            <w:r>
              <w:rPr>
                <w:rFonts w:eastAsia="PMingLiU"/>
                <w:bCs/>
                <w:sz w:val="22"/>
                <w:szCs w:val="22"/>
                <w:lang w:val="el-GR"/>
              </w:rPr>
              <w:t>35 44 700</w:t>
            </w:r>
          </w:p>
          <w:p w14:paraId="3468321B" w14:textId="77777777" w:rsidR="00171824" w:rsidRDefault="00171824">
            <w:pPr>
              <w:widowControl/>
              <w:tabs>
                <w:tab w:val="left" w:pos="567"/>
              </w:tabs>
              <w:autoSpaceDE/>
              <w:autoSpaceDN/>
              <w:adjustRightInd/>
              <w:rPr>
                <w:rFonts w:eastAsia="PMingLiU"/>
                <w:sz w:val="22"/>
                <w:szCs w:val="22"/>
                <w:lang w:val="el-GR"/>
              </w:rPr>
            </w:pPr>
          </w:p>
        </w:tc>
      </w:tr>
      <w:tr w:rsidR="00171824" w14:paraId="0724CEB9" w14:textId="77777777">
        <w:trPr>
          <w:cantSplit/>
        </w:trPr>
        <w:tc>
          <w:tcPr>
            <w:tcW w:w="4677" w:type="dxa"/>
          </w:tcPr>
          <w:p w14:paraId="52A1493E"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Danmark</w:t>
            </w:r>
          </w:p>
          <w:p w14:paraId="1083BDD2"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filial af Amgen AB, Sverige</w:t>
            </w:r>
          </w:p>
          <w:p w14:paraId="2915E327"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w:t>
            </w:r>
            <w:ins w:id="119" w:author="Author">
              <w:r>
                <w:rPr>
                  <w:rFonts w:eastAsia="PMingLiU"/>
                  <w:sz w:val="22"/>
                  <w:szCs w:val="22"/>
                  <w:lang w:val="el-GR"/>
                </w:rPr>
                <w:t>.</w:t>
              </w:r>
            </w:ins>
            <w:r>
              <w:rPr>
                <w:rFonts w:eastAsia="PMingLiU"/>
                <w:sz w:val="22"/>
                <w:szCs w:val="22"/>
                <w:lang w:val="el-GR"/>
              </w:rPr>
              <w:t>: +45 39617500</w:t>
            </w:r>
          </w:p>
          <w:p w14:paraId="47B81C0B"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D18B9C5" w14:textId="77777777" w:rsidR="00171824" w:rsidRPr="00422380" w:rsidRDefault="006D258C">
            <w:pPr>
              <w:widowControl/>
              <w:tabs>
                <w:tab w:val="left" w:pos="567"/>
              </w:tabs>
              <w:autoSpaceDE/>
              <w:autoSpaceDN/>
              <w:adjustRightInd/>
              <w:rPr>
                <w:rFonts w:eastAsia="PMingLiU"/>
                <w:b/>
                <w:sz w:val="22"/>
                <w:szCs w:val="22"/>
                <w:lang w:val="it-IT"/>
              </w:rPr>
            </w:pPr>
            <w:r w:rsidRPr="00422380">
              <w:rPr>
                <w:rFonts w:eastAsia="PMingLiU"/>
                <w:b/>
                <w:sz w:val="22"/>
                <w:szCs w:val="22"/>
                <w:lang w:val="it-IT"/>
              </w:rPr>
              <w:t>Malta</w:t>
            </w:r>
          </w:p>
          <w:p w14:paraId="389BAA5C" w14:textId="77777777" w:rsidR="00171824" w:rsidRPr="00422380" w:rsidRDefault="006D258C">
            <w:pPr>
              <w:widowControl/>
              <w:tabs>
                <w:tab w:val="left" w:pos="567"/>
              </w:tabs>
              <w:autoSpaceDE/>
              <w:autoSpaceDN/>
              <w:adjustRightInd/>
              <w:rPr>
                <w:rFonts w:eastAsia="PMingLiU"/>
                <w:bCs/>
                <w:sz w:val="22"/>
                <w:szCs w:val="22"/>
                <w:lang w:val="it-IT"/>
              </w:rPr>
            </w:pPr>
            <w:r w:rsidRPr="00422380">
              <w:rPr>
                <w:rFonts w:eastAsia="PMingLiU"/>
                <w:bCs/>
                <w:sz w:val="22"/>
                <w:szCs w:val="22"/>
                <w:lang w:val="it-IT"/>
              </w:rPr>
              <w:t>Amgen S.r.l.</w:t>
            </w:r>
          </w:p>
          <w:p w14:paraId="46E3658F"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Italy</w:t>
            </w:r>
          </w:p>
          <w:p w14:paraId="1CBC0C7F"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 +39 02 6241121</w:t>
            </w:r>
          </w:p>
          <w:p w14:paraId="75382D0A" w14:textId="77777777" w:rsidR="00171824" w:rsidRDefault="00171824">
            <w:pPr>
              <w:widowControl/>
              <w:tabs>
                <w:tab w:val="left" w:pos="567"/>
              </w:tabs>
              <w:autoSpaceDE/>
              <w:autoSpaceDN/>
              <w:adjustRightInd/>
              <w:rPr>
                <w:rFonts w:eastAsia="PMingLiU"/>
                <w:sz w:val="22"/>
                <w:szCs w:val="22"/>
                <w:lang w:val="el-GR"/>
              </w:rPr>
            </w:pPr>
          </w:p>
        </w:tc>
      </w:tr>
      <w:tr w:rsidR="00171824" w:rsidRPr="00A07F46" w14:paraId="030AB3F9" w14:textId="77777777">
        <w:trPr>
          <w:cantSplit/>
        </w:trPr>
        <w:tc>
          <w:tcPr>
            <w:tcW w:w="4677" w:type="dxa"/>
          </w:tcPr>
          <w:p w14:paraId="2A1B4CE0"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Deutschland</w:t>
            </w:r>
          </w:p>
          <w:p w14:paraId="7460F3A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GmbH</w:t>
            </w:r>
          </w:p>
          <w:p w14:paraId="46705C6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+49 89 1490960</w:t>
            </w:r>
          </w:p>
          <w:p w14:paraId="5F95DCAB"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133F72A0"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Nederland</w:t>
            </w:r>
          </w:p>
          <w:p w14:paraId="041D2A30"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B.V.</w:t>
            </w:r>
          </w:p>
          <w:p w14:paraId="6DE8208B"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sz w:val="22"/>
                <w:szCs w:val="22"/>
                <w:lang w:val="da-DK"/>
              </w:rPr>
              <w:t>Tel: +31 (0)76 5732500</w:t>
            </w:r>
          </w:p>
          <w:p w14:paraId="7D355BAB" w14:textId="77777777" w:rsidR="00171824" w:rsidRPr="00422380" w:rsidRDefault="00171824">
            <w:pPr>
              <w:widowControl/>
              <w:tabs>
                <w:tab w:val="left" w:pos="567"/>
              </w:tabs>
              <w:autoSpaceDE/>
              <w:autoSpaceDN/>
              <w:adjustRightInd/>
              <w:rPr>
                <w:rFonts w:eastAsia="PMingLiU"/>
                <w:sz w:val="22"/>
                <w:szCs w:val="22"/>
                <w:lang w:val="da-DK"/>
              </w:rPr>
            </w:pPr>
          </w:p>
        </w:tc>
      </w:tr>
      <w:tr w:rsidR="00171824" w14:paraId="65C0D2B6" w14:textId="77777777">
        <w:trPr>
          <w:cantSplit/>
        </w:trPr>
        <w:tc>
          <w:tcPr>
            <w:tcW w:w="4677" w:type="dxa"/>
          </w:tcPr>
          <w:p w14:paraId="4CA70CE1" w14:textId="77777777" w:rsidR="00171824" w:rsidRPr="00422380" w:rsidRDefault="006D258C">
            <w:pPr>
              <w:widowControl/>
              <w:tabs>
                <w:tab w:val="left" w:pos="567"/>
              </w:tabs>
              <w:autoSpaceDE/>
              <w:autoSpaceDN/>
              <w:adjustRightInd/>
              <w:rPr>
                <w:rFonts w:eastAsia="PMingLiU"/>
                <w:b/>
                <w:sz w:val="22"/>
                <w:szCs w:val="22"/>
                <w:lang w:val="da-DK"/>
              </w:rPr>
            </w:pPr>
            <w:r w:rsidRPr="00422380">
              <w:rPr>
                <w:rFonts w:eastAsia="PMingLiU"/>
                <w:b/>
                <w:sz w:val="22"/>
                <w:szCs w:val="22"/>
                <w:lang w:val="da-DK"/>
              </w:rPr>
              <w:t>Eesti</w:t>
            </w:r>
          </w:p>
          <w:p w14:paraId="3FA60123"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bCs/>
                <w:sz w:val="22"/>
                <w:szCs w:val="22"/>
                <w:lang w:val="da-DK"/>
              </w:rPr>
              <w:t xml:space="preserve">Amgen Switzerland AG </w:t>
            </w:r>
            <w:r w:rsidRPr="00422380">
              <w:rPr>
                <w:rFonts w:eastAsia="PMingLiU"/>
                <w:sz w:val="22"/>
                <w:szCs w:val="22"/>
                <w:lang w:val="da-DK"/>
              </w:rPr>
              <w:t>Vilniaus filialas</w:t>
            </w:r>
          </w:p>
          <w:p w14:paraId="5E866DA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+372 586 09553</w:t>
            </w:r>
          </w:p>
          <w:p w14:paraId="662AC7D6"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124140D9"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Norge</w:t>
            </w:r>
          </w:p>
          <w:p w14:paraId="6C619215"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AB</w:t>
            </w:r>
          </w:p>
          <w:p w14:paraId="762E13E1"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 +47 23308000</w:t>
            </w:r>
          </w:p>
          <w:p w14:paraId="60BDA070" w14:textId="77777777" w:rsidR="00171824" w:rsidRDefault="00171824">
            <w:pPr>
              <w:widowControl/>
              <w:tabs>
                <w:tab w:val="left" w:pos="567"/>
              </w:tabs>
              <w:autoSpaceDE/>
              <w:autoSpaceDN/>
              <w:adjustRightInd/>
              <w:rPr>
                <w:rFonts w:eastAsia="PMingLiU"/>
                <w:sz w:val="22"/>
                <w:szCs w:val="22"/>
                <w:lang w:val="el-GR"/>
              </w:rPr>
            </w:pPr>
          </w:p>
        </w:tc>
      </w:tr>
      <w:tr w:rsidR="00171824" w14:paraId="623EFF48" w14:textId="77777777">
        <w:trPr>
          <w:cantSplit/>
        </w:trPr>
        <w:tc>
          <w:tcPr>
            <w:tcW w:w="4677" w:type="dxa"/>
          </w:tcPr>
          <w:p w14:paraId="31606AC8"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lastRenderedPageBreak/>
              <w:t>Ελλάδα</w:t>
            </w:r>
          </w:p>
          <w:p w14:paraId="5AED4C4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Ελλάς Φαρμακευτικά Ε.Π.Ε. </w:t>
            </w:r>
          </w:p>
          <w:p w14:paraId="5C932C0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Τηλ: +30 210 3447000</w:t>
            </w:r>
          </w:p>
          <w:p w14:paraId="150D279E"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4B5A3C7"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Österreich</w:t>
            </w:r>
          </w:p>
          <w:p w14:paraId="3758D8C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GmbH </w:t>
            </w:r>
          </w:p>
          <w:p w14:paraId="6681B2DE"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+43 (0)1 50 217</w:t>
            </w:r>
          </w:p>
          <w:p w14:paraId="18B7E7A9" w14:textId="77777777" w:rsidR="00171824" w:rsidRDefault="00171824">
            <w:pPr>
              <w:widowControl/>
              <w:tabs>
                <w:tab w:val="left" w:pos="567"/>
              </w:tabs>
              <w:autoSpaceDE/>
              <w:autoSpaceDN/>
              <w:adjustRightInd/>
              <w:rPr>
                <w:rFonts w:eastAsia="PMingLiU"/>
                <w:sz w:val="22"/>
                <w:szCs w:val="22"/>
                <w:lang w:val="el-GR"/>
              </w:rPr>
            </w:pPr>
          </w:p>
        </w:tc>
      </w:tr>
      <w:tr w:rsidR="00171824" w14:paraId="0BFBCFD0" w14:textId="77777777">
        <w:trPr>
          <w:cantSplit/>
        </w:trPr>
        <w:tc>
          <w:tcPr>
            <w:tcW w:w="4677" w:type="dxa"/>
          </w:tcPr>
          <w:p w14:paraId="25D45289"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b/>
                <w:sz w:val="22"/>
                <w:szCs w:val="22"/>
                <w:lang w:val="es-ES"/>
              </w:rPr>
              <w:t>España</w:t>
            </w:r>
          </w:p>
          <w:p w14:paraId="5D6F2264"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Amgen S.A.</w:t>
            </w:r>
          </w:p>
          <w:p w14:paraId="0B874141"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 xml:space="preserve">Tel: +34 93 600 18 60 </w:t>
            </w:r>
          </w:p>
          <w:p w14:paraId="5EDF15CE" w14:textId="77777777" w:rsidR="00171824" w:rsidRPr="00422380" w:rsidRDefault="00171824">
            <w:pPr>
              <w:keepNext/>
              <w:widowControl/>
              <w:tabs>
                <w:tab w:val="left" w:pos="567"/>
              </w:tabs>
              <w:autoSpaceDE/>
              <w:autoSpaceDN/>
              <w:adjustRightInd/>
              <w:rPr>
                <w:rFonts w:eastAsia="PMingLiU"/>
                <w:sz w:val="22"/>
                <w:szCs w:val="22"/>
                <w:lang w:val="es-ES"/>
              </w:rPr>
            </w:pPr>
          </w:p>
        </w:tc>
        <w:tc>
          <w:tcPr>
            <w:tcW w:w="4679" w:type="dxa"/>
          </w:tcPr>
          <w:p w14:paraId="2F546CB5" w14:textId="77777777" w:rsidR="00171824" w:rsidRPr="00422380" w:rsidRDefault="006D258C">
            <w:pPr>
              <w:keepNext/>
              <w:widowControl/>
              <w:tabs>
                <w:tab w:val="left" w:pos="567"/>
              </w:tabs>
              <w:autoSpaceDE/>
              <w:autoSpaceDN/>
              <w:adjustRightInd/>
              <w:rPr>
                <w:rFonts w:eastAsia="PMingLiU"/>
                <w:b/>
                <w:sz w:val="22"/>
                <w:szCs w:val="22"/>
                <w:lang w:val="pl-PL"/>
              </w:rPr>
            </w:pPr>
            <w:r w:rsidRPr="00422380">
              <w:rPr>
                <w:rFonts w:eastAsia="PMingLiU"/>
                <w:b/>
                <w:sz w:val="22"/>
                <w:szCs w:val="22"/>
                <w:lang w:val="pl-PL"/>
              </w:rPr>
              <w:t>Polska</w:t>
            </w:r>
          </w:p>
          <w:p w14:paraId="54DB32AB" w14:textId="77777777" w:rsidR="00171824" w:rsidRPr="00422380" w:rsidRDefault="006D258C">
            <w:pPr>
              <w:keepNext/>
              <w:widowControl/>
              <w:tabs>
                <w:tab w:val="left" w:pos="567"/>
              </w:tabs>
              <w:autoSpaceDE/>
              <w:autoSpaceDN/>
              <w:adjustRightInd/>
              <w:rPr>
                <w:rFonts w:eastAsia="PMingLiU"/>
                <w:sz w:val="22"/>
                <w:szCs w:val="22"/>
                <w:lang w:val="pl-PL"/>
              </w:rPr>
            </w:pPr>
            <w:r w:rsidRPr="00422380">
              <w:rPr>
                <w:rFonts w:eastAsia="PMingLiU"/>
                <w:sz w:val="22"/>
                <w:szCs w:val="22"/>
                <w:lang w:val="pl-PL"/>
              </w:rPr>
              <w:t xml:space="preserve">Amgen </w:t>
            </w:r>
            <w:r w:rsidRPr="00422380">
              <w:rPr>
                <w:rFonts w:eastAsia="PMingLiU"/>
                <w:color w:val="000000"/>
                <w:sz w:val="22"/>
                <w:szCs w:val="22"/>
                <w:lang w:val="pl-PL" w:eastAsia="en-GB"/>
              </w:rPr>
              <w:t>Biotechnologia</w:t>
            </w:r>
            <w:r w:rsidRPr="00422380">
              <w:rPr>
                <w:rFonts w:eastAsia="PMingLiU"/>
                <w:sz w:val="22"/>
                <w:szCs w:val="22"/>
                <w:lang w:val="pl-PL"/>
              </w:rPr>
              <w:t xml:space="preserve"> Sp. z o.o.</w:t>
            </w:r>
          </w:p>
          <w:p w14:paraId="7833BEEE"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+48 22 </w:t>
            </w:r>
            <w:r>
              <w:rPr>
                <w:rFonts w:eastAsia="PMingLiU"/>
                <w:bCs/>
                <w:sz w:val="22"/>
                <w:szCs w:val="22"/>
                <w:lang w:val="el-GR"/>
              </w:rPr>
              <w:t>581 3000</w:t>
            </w:r>
          </w:p>
          <w:p w14:paraId="7430B77B" w14:textId="77777777" w:rsidR="00171824" w:rsidRDefault="00171824">
            <w:pPr>
              <w:keepNext/>
              <w:widowControl/>
              <w:tabs>
                <w:tab w:val="left" w:pos="567"/>
              </w:tabs>
              <w:autoSpaceDE/>
              <w:autoSpaceDN/>
              <w:adjustRightInd/>
              <w:rPr>
                <w:rFonts w:eastAsia="PMingLiU"/>
                <w:sz w:val="22"/>
                <w:szCs w:val="22"/>
                <w:lang w:val="el-GR"/>
              </w:rPr>
            </w:pPr>
          </w:p>
        </w:tc>
      </w:tr>
      <w:tr w:rsidR="00171824" w14:paraId="769240DE" w14:textId="77777777">
        <w:trPr>
          <w:cantSplit/>
        </w:trPr>
        <w:tc>
          <w:tcPr>
            <w:tcW w:w="4677" w:type="dxa"/>
          </w:tcPr>
          <w:p w14:paraId="56602837"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b/>
                <w:sz w:val="22"/>
                <w:szCs w:val="22"/>
                <w:lang w:val="fr-CA"/>
              </w:rPr>
              <w:t>France</w:t>
            </w:r>
          </w:p>
          <w:p w14:paraId="41F3B506"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sz w:val="22"/>
                <w:szCs w:val="22"/>
                <w:lang w:val="fr-CA"/>
              </w:rPr>
              <w:t>Amgen S.A.S.</w:t>
            </w:r>
          </w:p>
          <w:p w14:paraId="3D74885D" w14:textId="77777777" w:rsidR="00171824" w:rsidRDefault="006D258C">
            <w:pPr>
              <w:widowControl/>
              <w:tabs>
                <w:tab w:val="left" w:pos="567"/>
              </w:tabs>
              <w:autoSpaceDE/>
              <w:autoSpaceDN/>
              <w:adjustRightInd/>
              <w:rPr>
                <w:rFonts w:eastAsia="MS Mincho"/>
                <w:sz w:val="22"/>
                <w:szCs w:val="22"/>
                <w:lang w:val="el-GR" w:eastAsia="en-IN"/>
              </w:rPr>
            </w:pPr>
            <w:r>
              <w:rPr>
                <w:rFonts w:eastAsia="PMingLiU"/>
                <w:sz w:val="22"/>
                <w:szCs w:val="22"/>
                <w:lang w:val="el-GR"/>
              </w:rPr>
              <w:t>Tél: +33 (0)9 69 363 363</w:t>
            </w:r>
          </w:p>
          <w:p w14:paraId="3AA021D1"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2C3E1416"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b/>
                <w:sz w:val="22"/>
                <w:szCs w:val="22"/>
              </w:rPr>
              <w:t>Portugal</w:t>
            </w:r>
          </w:p>
          <w:p w14:paraId="64955C91"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Biofarmacêutica, Lda.</w:t>
            </w:r>
          </w:p>
          <w:p w14:paraId="510D18F1"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Tel: +351 21 4220606</w:t>
            </w:r>
          </w:p>
          <w:p w14:paraId="7E82AF76" w14:textId="77777777" w:rsidR="00171824" w:rsidRPr="00422380" w:rsidRDefault="00171824">
            <w:pPr>
              <w:widowControl/>
              <w:tabs>
                <w:tab w:val="left" w:pos="567"/>
              </w:tabs>
              <w:autoSpaceDE/>
              <w:autoSpaceDN/>
              <w:adjustRightInd/>
              <w:rPr>
                <w:rFonts w:eastAsia="PMingLiU"/>
                <w:sz w:val="22"/>
                <w:szCs w:val="22"/>
              </w:rPr>
            </w:pPr>
          </w:p>
        </w:tc>
      </w:tr>
      <w:tr w:rsidR="00171824" w:rsidRPr="00422380" w14:paraId="7D59E9F2" w14:textId="77777777">
        <w:trPr>
          <w:cantSplit/>
        </w:trPr>
        <w:tc>
          <w:tcPr>
            <w:tcW w:w="4677" w:type="dxa"/>
          </w:tcPr>
          <w:p w14:paraId="63CF805A"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b/>
                <w:sz w:val="22"/>
                <w:szCs w:val="22"/>
                <w:lang w:val="sv-SE"/>
              </w:rPr>
              <w:t>Hrvatska</w:t>
            </w:r>
          </w:p>
          <w:p w14:paraId="2A7BF8B4"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sz w:val="22"/>
                <w:szCs w:val="22"/>
                <w:lang w:val="sv-SE"/>
              </w:rPr>
              <w:t>Amgen d.o.o.</w:t>
            </w:r>
          </w:p>
          <w:p w14:paraId="7100DC77" w14:textId="77777777" w:rsidR="00171824" w:rsidRDefault="006D258C">
            <w:pPr>
              <w:keepNext/>
              <w:keepLines/>
              <w:widowControl/>
              <w:tabs>
                <w:tab w:val="left" w:pos="567"/>
              </w:tabs>
              <w:autoSpaceDE/>
              <w:autoSpaceDN/>
              <w:adjustRightInd/>
              <w:rPr>
                <w:rFonts w:eastAsia="MS Mincho"/>
                <w:sz w:val="22"/>
                <w:szCs w:val="22"/>
                <w:lang w:val="el-GR" w:eastAsia="en-IN"/>
              </w:rPr>
            </w:pPr>
            <w:r>
              <w:rPr>
                <w:rFonts w:eastAsia="PMingLiU"/>
                <w:sz w:val="22"/>
                <w:szCs w:val="22"/>
                <w:lang w:val="el-GR"/>
              </w:rPr>
              <w:t>Tel: +385 (0)1 562 57 20</w:t>
            </w:r>
          </w:p>
          <w:p w14:paraId="4916C195" w14:textId="77777777" w:rsidR="00171824" w:rsidRDefault="00171824">
            <w:pPr>
              <w:keepNext/>
              <w:keepLines/>
              <w:widowControl/>
              <w:tabs>
                <w:tab w:val="left" w:pos="567"/>
              </w:tabs>
              <w:autoSpaceDE/>
              <w:autoSpaceDN/>
              <w:adjustRightInd/>
              <w:rPr>
                <w:rFonts w:eastAsia="PMingLiU"/>
                <w:sz w:val="22"/>
                <w:szCs w:val="22"/>
                <w:lang w:val="el-GR"/>
              </w:rPr>
            </w:pPr>
          </w:p>
        </w:tc>
        <w:tc>
          <w:tcPr>
            <w:tcW w:w="4679" w:type="dxa"/>
          </w:tcPr>
          <w:p w14:paraId="090D50D1" w14:textId="77777777" w:rsidR="00171824" w:rsidRPr="00422380" w:rsidRDefault="006D258C">
            <w:pPr>
              <w:keepNext/>
              <w:keepLines/>
              <w:widowControl/>
              <w:tabs>
                <w:tab w:val="left" w:pos="567"/>
              </w:tabs>
              <w:suppressAutoHyphens/>
              <w:autoSpaceDE/>
              <w:autoSpaceDN/>
              <w:adjustRightInd/>
              <w:rPr>
                <w:rFonts w:eastAsia="PMingLiU"/>
                <w:b/>
                <w:sz w:val="22"/>
                <w:szCs w:val="22"/>
                <w:lang w:val="it-IT"/>
              </w:rPr>
            </w:pPr>
            <w:r w:rsidRPr="00422380">
              <w:rPr>
                <w:rFonts w:eastAsia="PMingLiU"/>
                <w:b/>
                <w:sz w:val="22"/>
                <w:szCs w:val="22"/>
                <w:lang w:val="it-IT"/>
              </w:rPr>
              <w:t>România</w:t>
            </w:r>
          </w:p>
          <w:p w14:paraId="5EE213AD" w14:textId="77777777" w:rsidR="00171824" w:rsidRPr="00422380" w:rsidRDefault="006D258C">
            <w:pPr>
              <w:keepNext/>
              <w:keepLines/>
              <w:widowControl/>
              <w:tabs>
                <w:tab w:val="left" w:pos="567"/>
              </w:tabs>
              <w:autoSpaceDE/>
              <w:autoSpaceDN/>
              <w:adjustRightInd/>
              <w:rPr>
                <w:rFonts w:eastAsia="PMingLiU"/>
                <w:color w:val="000000"/>
                <w:sz w:val="22"/>
                <w:szCs w:val="22"/>
                <w:lang w:val="it-IT"/>
              </w:rPr>
            </w:pPr>
            <w:r w:rsidRPr="00422380">
              <w:rPr>
                <w:rFonts w:eastAsia="PMingLiU"/>
                <w:color w:val="000000"/>
                <w:sz w:val="22"/>
                <w:szCs w:val="22"/>
                <w:lang w:val="it-IT"/>
              </w:rPr>
              <w:t>Amgen România SRL</w:t>
            </w:r>
          </w:p>
          <w:p w14:paraId="2219C511" w14:textId="77777777" w:rsidR="00171824" w:rsidRPr="00422380" w:rsidRDefault="006D258C">
            <w:pPr>
              <w:keepNext/>
              <w:keepLines/>
              <w:widowControl/>
              <w:tabs>
                <w:tab w:val="left" w:pos="567"/>
              </w:tabs>
              <w:autoSpaceDE/>
              <w:autoSpaceDN/>
              <w:adjustRightInd/>
              <w:rPr>
                <w:rFonts w:eastAsia="PMingLiU"/>
                <w:sz w:val="22"/>
                <w:szCs w:val="22"/>
                <w:lang w:val="it-IT"/>
              </w:rPr>
            </w:pPr>
            <w:r w:rsidRPr="00422380">
              <w:rPr>
                <w:rFonts w:eastAsia="PMingLiU"/>
                <w:sz w:val="22"/>
                <w:szCs w:val="22"/>
                <w:lang w:val="it-IT"/>
              </w:rPr>
              <w:t>Tel: +4021 527 3000</w:t>
            </w:r>
          </w:p>
          <w:p w14:paraId="51A9E242" w14:textId="77777777" w:rsidR="00171824" w:rsidRPr="00422380" w:rsidRDefault="00171824">
            <w:pPr>
              <w:keepNext/>
              <w:keepLines/>
              <w:widowControl/>
              <w:tabs>
                <w:tab w:val="left" w:pos="567"/>
              </w:tabs>
              <w:autoSpaceDE/>
              <w:autoSpaceDN/>
              <w:adjustRightInd/>
              <w:rPr>
                <w:rFonts w:eastAsia="PMingLiU"/>
                <w:sz w:val="22"/>
                <w:szCs w:val="22"/>
                <w:lang w:val="it-IT"/>
              </w:rPr>
            </w:pPr>
          </w:p>
        </w:tc>
      </w:tr>
      <w:tr w:rsidR="00171824" w14:paraId="101E1BD7" w14:textId="77777777">
        <w:trPr>
          <w:cantSplit/>
        </w:trPr>
        <w:tc>
          <w:tcPr>
            <w:tcW w:w="4677" w:type="dxa"/>
          </w:tcPr>
          <w:p w14:paraId="7D70DF4C"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Ireland</w:t>
            </w:r>
          </w:p>
          <w:p w14:paraId="6E336682" w14:textId="77777777" w:rsidR="00171824" w:rsidRPr="00422380" w:rsidRDefault="006D258C">
            <w:pPr>
              <w:widowControl/>
              <w:tabs>
                <w:tab w:val="left" w:pos="567"/>
              </w:tabs>
              <w:autoSpaceDE/>
              <w:autoSpaceDN/>
              <w:adjustRightInd/>
              <w:rPr>
                <w:rFonts w:eastAsia="PMingLiU"/>
                <w:sz w:val="22"/>
                <w:szCs w:val="22"/>
              </w:rPr>
            </w:pPr>
            <w:r w:rsidRPr="00422380">
              <w:rPr>
                <w:rFonts w:eastAsia="Arial Unicode MS"/>
                <w:bCs/>
                <w:sz w:val="22"/>
                <w:szCs w:val="22"/>
              </w:rPr>
              <w:t>Amgen</w:t>
            </w:r>
            <w:r w:rsidRPr="00422380">
              <w:rPr>
                <w:rFonts w:eastAsia="PMingLiU"/>
                <w:sz w:val="22"/>
                <w:szCs w:val="22"/>
              </w:rPr>
              <w:t xml:space="preserve"> Ireland Limited</w:t>
            </w:r>
          </w:p>
          <w:p w14:paraId="44F08BD4" w14:textId="77777777" w:rsidR="00171824" w:rsidRPr="00422380" w:rsidRDefault="006D258C">
            <w:pPr>
              <w:widowControl/>
              <w:tabs>
                <w:tab w:val="left" w:pos="567"/>
              </w:tabs>
              <w:autoSpaceDE/>
              <w:autoSpaceDN/>
              <w:adjustRightInd/>
              <w:rPr>
                <w:rFonts w:eastAsia="Arial Unicode MS"/>
                <w:bCs/>
                <w:sz w:val="22"/>
                <w:szCs w:val="22"/>
              </w:rPr>
            </w:pPr>
            <w:r w:rsidRPr="00422380">
              <w:rPr>
                <w:rFonts w:eastAsia="PMingLiU"/>
                <w:sz w:val="22"/>
                <w:szCs w:val="22"/>
              </w:rPr>
              <w:t>Tel: +</w:t>
            </w:r>
            <w:r w:rsidRPr="00422380">
              <w:rPr>
                <w:rFonts w:eastAsia="Arial Unicode MS"/>
                <w:bCs/>
                <w:sz w:val="22"/>
                <w:szCs w:val="22"/>
              </w:rPr>
              <w:t>353 1 8527400</w:t>
            </w:r>
          </w:p>
          <w:p w14:paraId="5B310E91"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0408C69E" w14:textId="77777777" w:rsidR="00171824" w:rsidRPr="00422380" w:rsidRDefault="006D258C">
            <w:pPr>
              <w:widowControl/>
              <w:tabs>
                <w:tab w:val="left" w:pos="567"/>
              </w:tabs>
              <w:autoSpaceDE/>
              <w:autoSpaceDN/>
              <w:adjustRightInd/>
              <w:rPr>
                <w:rFonts w:eastAsia="PMingLiU"/>
                <w:b/>
                <w:sz w:val="22"/>
                <w:szCs w:val="22"/>
                <w:lang w:val="it-IT"/>
              </w:rPr>
            </w:pPr>
            <w:r w:rsidRPr="00422380">
              <w:rPr>
                <w:rFonts w:eastAsia="PMingLiU"/>
                <w:b/>
                <w:sz w:val="22"/>
                <w:szCs w:val="22"/>
                <w:lang w:val="it-IT"/>
              </w:rPr>
              <w:t>Slovenija</w:t>
            </w:r>
          </w:p>
          <w:p w14:paraId="5FB84B20" w14:textId="77777777" w:rsidR="00171824" w:rsidRPr="00422380" w:rsidRDefault="006D258C">
            <w:pPr>
              <w:widowControl/>
              <w:tabs>
                <w:tab w:val="left" w:pos="567"/>
              </w:tabs>
              <w:autoSpaceDE/>
              <w:autoSpaceDN/>
              <w:adjustRightInd/>
              <w:rPr>
                <w:rFonts w:eastAsia="PMingLiU"/>
                <w:sz w:val="22"/>
                <w:szCs w:val="22"/>
                <w:lang w:val="it-IT"/>
              </w:rPr>
            </w:pPr>
            <w:r w:rsidRPr="00422380">
              <w:rPr>
                <w:rFonts w:eastAsia="PMingLiU"/>
                <w:sz w:val="22"/>
                <w:szCs w:val="22"/>
                <w:lang w:val="it-IT"/>
              </w:rPr>
              <w:t>AMGEN zdravila d.o.o.</w:t>
            </w:r>
          </w:p>
          <w:p w14:paraId="3C26FF84" w14:textId="77777777" w:rsidR="00171824" w:rsidRDefault="006D258C">
            <w:pPr>
              <w:widowControl/>
              <w:tabs>
                <w:tab w:val="left" w:pos="567"/>
              </w:tabs>
              <w:autoSpaceDE/>
              <w:autoSpaceDN/>
              <w:adjustRightInd/>
              <w:rPr>
                <w:rFonts w:eastAsia="PMingLiU"/>
                <w:bCs/>
                <w:sz w:val="22"/>
                <w:szCs w:val="22"/>
              </w:rPr>
            </w:pPr>
            <w:r>
              <w:rPr>
                <w:rFonts w:eastAsia="PMingLiU"/>
                <w:sz w:val="22"/>
                <w:szCs w:val="22"/>
              </w:rPr>
              <w:t>Tel: +386 (</w:t>
            </w:r>
            <w:r>
              <w:rPr>
                <w:rFonts w:eastAsia="PMingLiU"/>
                <w:bCs/>
                <w:sz w:val="22"/>
                <w:szCs w:val="22"/>
              </w:rPr>
              <w:t>0)</w:t>
            </w:r>
            <w:r>
              <w:rPr>
                <w:rFonts w:eastAsia="PMingLiU"/>
                <w:sz w:val="22"/>
                <w:szCs w:val="22"/>
              </w:rPr>
              <w:t>1</w:t>
            </w:r>
            <w:r>
              <w:rPr>
                <w:rFonts w:eastAsia="PMingLiU"/>
                <w:bCs/>
                <w:sz w:val="22"/>
                <w:szCs w:val="22"/>
              </w:rPr>
              <w:t xml:space="preserve"> 585 1767</w:t>
            </w:r>
          </w:p>
          <w:p w14:paraId="3F252C37" w14:textId="77777777" w:rsidR="00171824" w:rsidRDefault="00171824">
            <w:pPr>
              <w:widowControl/>
              <w:tabs>
                <w:tab w:val="left" w:pos="567"/>
              </w:tabs>
              <w:autoSpaceDE/>
              <w:autoSpaceDN/>
              <w:adjustRightInd/>
              <w:rPr>
                <w:rFonts w:eastAsia="PMingLiU"/>
                <w:sz w:val="22"/>
                <w:szCs w:val="22"/>
              </w:rPr>
            </w:pPr>
          </w:p>
        </w:tc>
      </w:tr>
      <w:tr w:rsidR="00171824" w14:paraId="5EF72915" w14:textId="77777777">
        <w:trPr>
          <w:cantSplit/>
        </w:trPr>
        <w:tc>
          <w:tcPr>
            <w:tcW w:w="4677" w:type="dxa"/>
          </w:tcPr>
          <w:p w14:paraId="6E1EC31F"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Ísland</w:t>
            </w:r>
          </w:p>
          <w:p w14:paraId="2D30690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Vistor</w:t>
            </w:r>
            <w:del w:id="120" w:author="Author">
              <w:r>
                <w:rPr>
                  <w:rFonts w:eastAsia="PMingLiU"/>
                  <w:sz w:val="22"/>
                  <w:szCs w:val="22"/>
                  <w:lang w:val="el-GR"/>
                </w:rPr>
                <w:delText xml:space="preserve"> hf.</w:delText>
              </w:r>
            </w:del>
          </w:p>
          <w:p w14:paraId="353B346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Sími: +354 535 7000</w:t>
            </w:r>
          </w:p>
          <w:p w14:paraId="3B55FFA0"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6D3C7D68" w14:textId="77777777" w:rsidR="00171824" w:rsidRPr="00422380" w:rsidRDefault="006D258C">
            <w:pPr>
              <w:widowControl/>
              <w:tabs>
                <w:tab w:val="left" w:pos="567"/>
              </w:tabs>
              <w:autoSpaceDE/>
              <w:autoSpaceDN/>
              <w:adjustRightInd/>
              <w:rPr>
                <w:rFonts w:eastAsia="PMingLiU"/>
                <w:b/>
                <w:sz w:val="22"/>
                <w:szCs w:val="22"/>
                <w:lang w:val="sv-SE"/>
              </w:rPr>
            </w:pPr>
            <w:r w:rsidRPr="00422380">
              <w:rPr>
                <w:rFonts w:eastAsia="PMingLiU"/>
                <w:b/>
                <w:sz w:val="22"/>
                <w:szCs w:val="22"/>
                <w:lang w:val="sv-SE"/>
              </w:rPr>
              <w:t>Slovenská republika</w:t>
            </w:r>
          </w:p>
          <w:p w14:paraId="44A3E848" w14:textId="77777777" w:rsidR="00171824" w:rsidRPr="00422380" w:rsidRDefault="006D258C">
            <w:pPr>
              <w:widowControl/>
              <w:tabs>
                <w:tab w:val="left" w:pos="567"/>
              </w:tabs>
              <w:autoSpaceDE/>
              <w:autoSpaceDN/>
              <w:adjustRightInd/>
              <w:rPr>
                <w:rFonts w:eastAsia="PMingLiU"/>
                <w:sz w:val="22"/>
                <w:szCs w:val="22"/>
                <w:lang w:val="sv-SE"/>
              </w:rPr>
            </w:pPr>
            <w:r w:rsidRPr="00422380">
              <w:rPr>
                <w:rFonts w:eastAsia="PMingLiU"/>
                <w:bCs/>
                <w:sz w:val="22"/>
                <w:szCs w:val="22"/>
                <w:lang w:val="sv-SE"/>
              </w:rPr>
              <w:t>Amgen Slovakia</w:t>
            </w:r>
            <w:r w:rsidRPr="00422380">
              <w:rPr>
                <w:rFonts w:eastAsia="PMingLiU"/>
                <w:sz w:val="22"/>
                <w:szCs w:val="22"/>
                <w:lang w:val="sv-SE"/>
              </w:rPr>
              <w:t xml:space="preserve"> s.r.o.</w:t>
            </w:r>
          </w:p>
          <w:p w14:paraId="5F12E267"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 xml:space="preserve">Tel: +421 </w:t>
            </w:r>
            <w:r>
              <w:rPr>
                <w:rFonts w:eastAsia="PMingLiU"/>
                <w:bCs/>
                <w:sz w:val="22"/>
                <w:szCs w:val="22"/>
                <w:lang w:val="el-GR"/>
              </w:rPr>
              <w:t>2 321 114 49</w:t>
            </w:r>
          </w:p>
          <w:p w14:paraId="728477DC" w14:textId="77777777" w:rsidR="00171824" w:rsidRDefault="00171824">
            <w:pPr>
              <w:widowControl/>
              <w:tabs>
                <w:tab w:val="left" w:pos="567"/>
              </w:tabs>
              <w:autoSpaceDE/>
              <w:autoSpaceDN/>
              <w:adjustRightInd/>
              <w:rPr>
                <w:rFonts w:eastAsia="PMingLiU"/>
                <w:sz w:val="22"/>
                <w:szCs w:val="22"/>
                <w:lang w:val="el-GR"/>
              </w:rPr>
            </w:pPr>
          </w:p>
        </w:tc>
      </w:tr>
      <w:tr w:rsidR="00171824" w14:paraId="19436C4E" w14:textId="77777777">
        <w:trPr>
          <w:cantSplit/>
        </w:trPr>
        <w:tc>
          <w:tcPr>
            <w:tcW w:w="4677" w:type="dxa"/>
          </w:tcPr>
          <w:p w14:paraId="4AEFF5B3"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b/>
                <w:sz w:val="22"/>
                <w:szCs w:val="22"/>
                <w:lang w:val="es-ES"/>
              </w:rPr>
              <w:t>Italia</w:t>
            </w:r>
          </w:p>
          <w:p w14:paraId="72B1C385"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sz w:val="22"/>
                <w:szCs w:val="22"/>
                <w:lang w:val="es-ES"/>
              </w:rPr>
              <w:t>Amgen S.r.l.</w:t>
            </w:r>
          </w:p>
          <w:p w14:paraId="28A6A9F2"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+39 02 6241121</w:t>
            </w:r>
          </w:p>
          <w:p w14:paraId="1CD280A8"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529E7B68" w14:textId="77777777" w:rsidR="00171824" w:rsidRPr="00CB2FBB" w:rsidRDefault="006D258C">
            <w:pPr>
              <w:widowControl/>
              <w:tabs>
                <w:tab w:val="left" w:pos="567"/>
              </w:tabs>
              <w:autoSpaceDE/>
              <w:autoSpaceDN/>
              <w:adjustRightInd/>
              <w:rPr>
                <w:rFonts w:eastAsia="PMingLiU"/>
                <w:sz w:val="22"/>
                <w:szCs w:val="22"/>
                <w:lang w:val="el-GR"/>
              </w:rPr>
            </w:pPr>
            <w:r w:rsidRPr="00422380">
              <w:rPr>
                <w:rFonts w:eastAsia="PMingLiU"/>
                <w:b/>
                <w:sz w:val="22"/>
                <w:szCs w:val="22"/>
                <w:lang w:val="it-IT"/>
              </w:rPr>
              <w:t>Suomi</w:t>
            </w:r>
            <w:r w:rsidRPr="00CB2FBB">
              <w:rPr>
                <w:rFonts w:eastAsia="PMingLiU"/>
                <w:b/>
                <w:sz w:val="22"/>
                <w:szCs w:val="22"/>
                <w:lang w:val="el-GR"/>
              </w:rPr>
              <w:t>/</w:t>
            </w:r>
            <w:r w:rsidRPr="00422380">
              <w:rPr>
                <w:rFonts w:eastAsia="PMingLiU"/>
                <w:b/>
                <w:sz w:val="22"/>
                <w:szCs w:val="22"/>
                <w:lang w:val="it-IT"/>
              </w:rPr>
              <w:t>Finland</w:t>
            </w:r>
          </w:p>
          <w:p w14:paraId="24F11E79" w14:textId="77777777" w:rsidR="00171824" w:rsidRPr="00CB2FBB" w:rsidRDefault="006D258C">
            <w:pPr>
              <w:pStyle w:val="lbltxt"/>
              <w:rPr>
                <w:szCs w:val="22"/>
                <w:lang w:val="el-GR"/>
              </w:rPr>
            </w:pPr>
            <w:r w:rsidRPr="00422380">
              <w:rPr>
                <w:szCs w:val="22"/>
                <w:lang w:val="it-IT"/>
              </w:rPr>
              <w:t>Amgen</w:t>
            </w:r>
            <w:r w:rsidRPr="00CB2FBB">
              <w:rPr>
                <w:szCs w:val="22"/>
                <w:lang w:val="el-GR"/>
              </w:rPr>
              <w:t xml:space="preserve"> </w:t>
            </w:r>
            <w:r w:rsidRPr="00422380">
              <w:rPr>
                <w:szCs w:val="22"/>
                <w:lang w:val="it-IT"/>
              </w:rPr>
              <w:t>AB</w:t>
            </w:r>
            <w:r w:rsidRPr="00CB2FBB">
              <w:rPr>
                <w:szCs w:val="22"/>
                <w:lang w:val="el-GR"/>
              </w:rPr>
              <w:t xml:space="preserve">, </w:t>
            </w:r>
            <w:r w:rsidRPr="00422380">
              <w:rPr>
                <w:szCs w:val="22"/>
                <w:lang w:val="it-IT"/>
              </w:rPr>
              <w:t>sivuliike</w:t>
            </w:r>
            <w:r w:rsidRPr="00CB2FBB">
              <w:rPr>
                <w:szCs w:val="22"/>
                <w:lang w:val="el-GR"/>
              </w:rPr>
              <w:t xml:space="preserve"> </w:t>
            </w:r>
            <w:r w:rsidRPr="00422380">
              <w:rPr>
                <w:szCs w:val="22"/>
                <w:lang w:val="it-IT"/>
              </w:rPr>
              <w:t>Suomessa</w:t>
            </w:r>
            <w:r w:rsidRPr="00CB2FBB">
              <w:rPr>
                <w:szCs w:val="22"/>
                <w:lang w:val="el-GR"/>
              </w:rPr>
              <w:t>/</w:t>
            </w:r>
            <w:r w:rsidRPr="00422380">
              <w:rPr>
                <w:szCs w:val="22"/>
                <w:lang w:val="it-IT"/>
              </w:rPr>
              <w:t>Amgen</w:t>
            </w:r>
            <w:r w:rsidRPr="00CB2FBB">
              <w:rPr>
                <w:szCs w:val="22"/>
                <w:lang w:val="el-GR"/>
              </w:rPr>
              <w:t xml:space="preserve"> </w:t>
            </w:r>
            <w:r w:rsidRPr="00422380">
              <w:rPr>
                <w:szCs w:val="22"/>
                <w:lang w:val="it-IT"/>
              </w:rPr>
              <w:t>AB</w:t>
            </w:r>
            <w:r w:rsidRPr="00CB2FBB">
              <w:rPr>
                <w:szCs w:val="22"/>
                <w:lang w:val="el-GR"/>
              </w:rPr>
              <w:t xml:space="preserve">, </w:t>
            </w:r>
            <w:r w:rsidRPr="00422380">
              <w:rPr>
                <w:szCs w:val="22"/>
                <w:lang w:val="it-IT"/>
              </w:rPr>
              <w:t>filial</w:t>
            </w:r>
            <w:r w:rsidRPr="00CB2FBB">
              <w:rPr>
                <w:szCs w:val="22"/>
                <w:lang w:val="el-GR"/>
              </w:rPr>
              <w:t xml:space="preserve"> </w:t>
            </w:r>
            <w:r w:rsidRPr="00422380">
              <w:rPr>
                <w:szCs w:val="22"/>
                <w:lang w:val="it-IT"/>
              </w:rPr>
              <w:t>i</w:t>
            </w:r>
            <w:r w:rsidRPr="00CB2FBB">
              <w:rPr>
                <w:szCs w:val="22"/>
                <w:lang w:val="el-GR"/>
              </w:rPr>
              <w:t xml:space="preserve"> </w:t>
            </w:r>
            <w:r w:rsidRPr="00422380">
              <w:rPr>
                <w:szCs w:val="22"/>
                <w:lang w:val="it-IT"/>
              </w:rPr>
              <w:t>Finland</w:t>
            </w:r>
          </w:p>
          <w:p w14:paraId="512ACBB1"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Puh/Tel: +358 (0)9 54900500</w:t>
            </w:r>
          </w:p>
          <w:p w14:paraId="71D526EE" w14:textId="77777777" w:rsidR="00171824" w:rsidRDefault="00171824">
            <w:pPr>
              <w:widowControl/>
              <w:tabs>
                <w:tab w:val="left" w:pos="567"/>
              </w:tabs>
              <w:autoSpaceDE/>
              <w:autoSpaceDN/>
              <w:adjustRightInd/>
              <w:rPr>
                <w:rFonts w:eastAsia="PMingLiU"/>
                <w:sz w:val="22"/>
                <w:szCs w:val="22"/>
                <w:lang w:val="el-GR"/>
              </w:rPr>
            </w:pPr>
          </w:p>
        </w:tc>
      </w:tr>
      <w:tr w:rsidR="00171824" w14:paraId="18A77A1C" w14:textId="77777777">
        <w:trPr>
          <w:cantSplit/>
        </w:trPr>
        <w:tc>
          <w:tcPr>
            <w:tcW w:w="4677" w:type="dxa"/>
          </w:tcPr>
          <w:p w14:paraId="4A9E98EB"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K</w:t>
            </w:r>
            <w:r>
              <w:rPr>
                <w:rFonts w:eastAsia="PMingLiU"/>
                <w:b/>
                <w:sz w:val="22"/>
                <w:szCs w:val="22"/>
                <w:lang w:val="el-GR"/>
              </w:rPr>
              <w:t>ύπρος</w:t>
            </w:r>
          </w:p>
          <w:p w14:paraId="415D4C22"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C.A. Papaellinas Ltd</w:t>
            </w:r>
          </w:p>
          <w:p w14:paraId="333E893F" w14:textId="77777777" w:rsidR="00171824" w:rsidRPr="00422380" w:rsidRDefault="006D258C">
            <w:pPr>
              <w:widowControl/>
              <w:tabs>
                <w:tab w:val="left" w:pos="567"/>
              </w:tabs>
              <w:autoSpaceDE/>
              <w:autoSpaceDN/>
              <w:adjustRightInd/>
              <w:rPr>
                <w:rFonts w:eastAsia="PMingLiU"/>
                <w:sz w:val="22"/>
                <w:szCs w:val="22"/>
              </w:rPr>
            </w:pPr>
            <w:r>
              <w:rPr>
                <w:rFonts w:eastAsia="PMingLiU"/>
                <w:sz w:val="22"/>
                <w:szCs w:val="22"/>
                <w:lang w:val="el-GR"/>
              </w:rPr>
              <w:t>Τηλ</w:t>
            </w:r>
            <w:r w:rsidRPr="00422380">
              <w:rPr>
                <w:rFonts w:eastAsia="PMingLiU"/>
                <w:sz w:val="22"/>
                <w:szCs w:val="22"/>
              </w:rPr>
              <w:t>: +357 22741 741</w:t>
            </w:r>
          </w:p>
          <w:p w14:paraId="01240803"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5E541190"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Sverige</w:t>
            </w:r>
          </w:p>
          <w:p w14:paraId="5A329D2D"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AB </w:t>
            </w:r>
          </w:p>
          <w:p w14:paraId="62C4A0C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+46 (0)8 6951100</w:t>
            </w:r>
          </w:p>
          <w:p w14:paraId="2C5A20C2" w14:textId="77777777" w:rsidR="00171824" w:rsidRDefault="00171824">
            <w:pPr>
              <w:widowControl/>
              <w:tabs>
                <w:tab w:val="left" w:pos="567"/>
              </w:tabs>
              <w:autoSpaceDE/>
              <w:autoSpaceDN/>
              <w:adjustRightInd/>
              <w:rPr>
                <w:rFonts w:eastAsia="PMingLiU"/>
                <w:sz w:val="22"/>
                <w:szCs w:val="22"/>
                <w:lang w:val="el-GR"/>
              </w:rPr>
            </w:pPr>
          </w:p>
        </w:tc>
      </w:tr>
      <w:tr w:rsidR="00171824" w14:paraId="487330EB" w14:textId="77777777">
        <w:trPr>
          <w:cantSplit/>
        </w:trPr>
        <w:tc>
          <w:tcPr>
            <w:tcW w:w="4677" w:type="dxa"/>
          </w:tcPr>
          <w:p w14:paraId="6C045085"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Latvija</w:t>
            </w:r>
          </w:p>
          <w:p w14:paraId="7C920209"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Switzerland AG Rīgas filiāle</w:t>
            </w:r>
          </w:p>
          <w:p w14:paraId="0865201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+371 257 25888</w:t>
            </w:r>
          </w:p>
          <w:p w14:paraId="2A8BC4FB"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4F108961" w14:textId="77777777" w:rsidR="00171824" w:rsidRDefault="00171824">
            <w:pPr>
              <w:widowControl/>
              <w:tabs>
                <w:tab w:val="left" w:pos="567"/>
              </w:tabs>
              <w:autoSpaceDE/>
              <w:autoSpaceDN/>
              <w:adjustRightInd/>
              <w:rPr>
                <w:rFonts w:eastAsia="PMingLiU"/>
                <w:sz w:val="22"/>
                <w:szCs w:val="22"/>
                <w:lang w:val="el-GR"/>
              </w:rPr>
            </w:pPr>
          </w:p>
        </w:tc>
      </w:tr>
    </w:tbl>
    <w:p w14:paraId="062889AE" w14:textId="77777777" w:rsidR="00171824" w:rsidRDefault="00171824">
      <w:pPr>
        <w:widowControl/>
        <w:kinsoku w:val="0"/>
        <w:overflowPunct w:val="0"/>
        <w:rPr>
          <w:sz w:val="22"/>
          <w:szCs w:val="22"/>
          <w:lang w:val="el-GR"/>
        </w:rPr>
      </w:pPr>
    </w:p>
    <w:p w14:paraId="5C3697AC" w14:textId="77777777" w:rsidR="00171824" w:rsidRDefault="006D258C">
      <w:pPr>
        <w:keepNext/>
        <w:widowControl/>
        <w:kinsoku w:val="0"/>
        <w:overflowPunct w:val="0"/>
        <w:outlineLvl w:val="0"/>
        <w:rPr>
          <w:sz w:val="22"/>
          <w:szCs w:val="22"/>
          <w:lang w:val="el-GR"/>
        </w:rPr>
      </w:pPr>
      <w:r>
        <w:rPr>
          <w:b/>
          <w:bCs/>
          <w:sz w:val="22"/>
          <w:szCs w:val="22"/>
          <w:lang w:val="el-GR"/>
        </w:rPr>
        <w:t>Το παρόν φύλλο οδηγιών χρήσης αναθεωρήθηκε για τελευταία φορά στις</w:t>
      </w:r>
    </w:p>
    <w:p w14:paraId="35659BEB" w14:textId="77777777" w:rsidR="00171824" w:rsidRDefault="00171824">
      <w:pPr>
        <w:keepNext/>
        <w:widowControl/>
        <w:kinsoku w:val="0"/>
        <w:overflowPunct w:val="0"/>
        <w:rPr>
          <w:sz w:val="22"/>
          <w:szCs w:val="22"/>
          <w:lang w:val="el-GR"/>
        </w:rPr>
      </w:pPr>
    </w:p>
    <w:p w14:paraId="161B5892" w14:textId="77777777" w:rsidR="00171824" w:rsidRDefault="006D258C">
      <w:pPr>
        <w:keepNext/>
        <w:widowControl/>
        <w:numPr>
          <w:ilvl w:val="12"/>
          <w:numId w:val="0"/>
        </w:numPr>
        <w:ind w:right="-2"/>
        <w:rPr>
          <w:b/>
          <w:sz w:val="22"/>
          <w:lang w:val="el-GR"/>
        </w:rPr>
      </w:pPr>
      <w:r>
        <w:rPr>
          <w:b/>
          <w:sz w:val="22"/>
          <w:lang w:val="el-GR"/>
        </w:rPr>
        <w:t>Άλλες πηγές πληροφοριών</w:t>
      </w:r>
    </w:p>
    <w:p w14:paraId="3221967B" w14:textId="77777777" w:rsidR="00171824" w:rsidRDefault="00171824">
      <w:pPr>
        <w:widowControl/>
        <w:kinsoku w:val="0"/>
        <w:overflowPunct w:val="0"/>
        <w:rPr>
          <w:sz w:val="22"/>
          <w:szCs w:val="22"/>
          <w:lang w:val="el-GR"/>
        </w:rPr>
      </w:pPr>
    </w:p>
    <w:p w14:paraId="4D96C46D" w14:textId="77777777" w:rsidR="00171824" w:rsidRDefault="006D258C">
      <w:pPr>
        <w:widowControl/>
        <w:kinsoku w:val="0"/>
        <w:overflowPunct w:val="0"/>
        <w:rPr>
          <w:sz w:val="22"/>
          <w:szCs w:val="22"/>
          <w:lang w:val="el-GR"/>
        </w:rPr>
      </w:pPr>
      <w:r>
        <w:rPr>
          <w:sz w:val="22"/>
          <w:szCs w:val="22"/>
          <w:lang w:val="el-GR"/>
        </w:rPr>
        <w:t xml:space="preserve">Λεπτομερείς πληροφορίες για το φάρμακο αυτό είναι διαθέσιμες στο δικτυακό τόπο του Ευρωπαϊκού Οργανισμού Φαρμάκων: </w:t>
      </w:r>
      <w:hyperlink r:id="rId40" w:history="1">
        <w:r>
          <w:rPr>
            <w:rStyle w:val="Hyperlink"/>
            <w:color w:val="0000FF"/>
            <w:sz w:val="22"/>
            <w:szCs w:val="22"/>
            <w:lang w:val="el-GR"/>
          </w:rPr>
          <w:t>http://www.ema.europa.eu</w:t>
        </w:r>
      </w:hyperlink>
      <w:r>
        <w:rPr>
          <w:sz w:val="22"/>
          <w:szCs w:val="22"/>
          <w:lang w:val="el-GR"/>
        </w:rPr>
        <w:t>.</w:t>
      </w:r>
    </w:p>
    <w:p w14:paraId="2BFA57F9" w14:textId="77777777" w:rsidR="00171824" w:rsidRDefault="00171824">
      <w:pPr>
        <w:widowControl/>
        <w:autoSpaceDE/>
        <w:autoSpaceDN/>
        <w:adjustRightInd/>
        <w:rPr>
          <w:rFonts w:eastAsia="Arial Unicode MS"/>
          <w:color w:val="000000"/>
          <w:sz w:val="22"/>
          <w:lang w:val="el-GR" w:bidi="en-US"/>
        </w:rPr>
      </w:pPr>
    </w:p>
    <w:p w14:paraId="3E0DC526" w14:textId="77777777" w:rsidR="00171824" w:rsidRDefault="006D258C">
      <w:pPr>
        <w:pStyle w:val="BodyText"/>
        <w:widowControl/>
        <w:kinsoku w:val="0"/>
        <w:overflowPunct w:val="0"/>
        <w:ind w:left="0"/>
        <w:rPr>
          <w:color w:val="000000"/>
          <w:lang w:val="el-GR"/>
        </w:rPr>
      </w:pPr>
      <w:r>
        <w:rPr>
          <w:color w:val="000000"/>
          <w:lang w:val="el-GR"/>
        </w:rPr>
        <w:br w:type="page"/>
      </w:r>
      <w:bookmarkEnd w:id="110"/>
    </w:p>
    <w:tbl>
      <w:tblPr>
        <w:tblW w:w="4999" w:type="pct"/>
        <w:tblLayout w:type="fixed"/>
        <w:tblLook w:val="04A0" w:firstRow="1" w:lastRow="0" w:firstColumn="1" w:lastColumn="0" w:noHBand="0" w:noVBand="1"/>
      </w:tblPr>
      <w:tblGrid>
        <w:gridCol w:w="1870"/>
        <w:gridCol w:w="2669"/>
        <w:gridCol w:w="2482"/>
        <w:gridCol w:w="2038"/>
      </w:tblGrid>
      <w:tr w:rsidR="00171824" w14:paraId="36324702"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3151068B" w14:textId="77777777" w:rsidR="00171824" w:rsidRDefault="006D258C">
            <w:pPr>
              <w:keepNext/>
              <w:keepLines/>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lastRenderedPageBreak/>
              <w:t>Οδηγίες χρήσης:</w:t>
            </w:r>
          </w:p>
          <w:p w14:paraId="0C74BDC5" w14:textId="77777777" w:rsidR="00171824" w:rsidRDefault="006D258C">
            <w:pPr>
              <w:keepNext/>
              <w:keepLines/>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AMGEVITA προγεμισμένη συσκευή τύπου πένας SureClick μίας χρήσης</w:t>
            </w:r>
          </w:p>
          <w:p w14:paraId="75A0D5AD" w14:textId="77777777" w:rsidR="00171824" w:rsidRDefault="006D258C">
            <w:pPr>
              <w:keepNext/>
              <w:keepLines/>
              <w:widowControl/>
              <w:tabs>
                <w:tab w:val="left" w:pos="567"/>
              </w:tabs>
              <w:autoSpaceDE/>
              <w:autoSpaceDN/>
              <w:adjustRightInd/>
              <w:rPr>
                <w:rFonts w:eastAsia="PMingLiU"/>
                <w:b/>
                <w:sz w:val="22"/>
                <w:lang w:val="el-GR" w:bidi="en-US"/>
              </w:rPr>
            </w:pPr>
            <w:r>
              <w:rPr>
                <w:rFonts w:eastAsia="Arial Unicode MS" w:cs="Arial Unicode MS"/>
                <w:sz w:val="22"/>
                <w:szCs w:val="22"/>
                <w:lang w:val="el-GR" w:bidi="en-US"/>
              </w:rPr>
              <w:t>Για υποδόρια χρήση</w:t>
            </w:r>
          </w:p>
        </w:tc>
      </w:tr>
      <w:tr w:rsidR="00171824" w14:paraId="05CE6C3C" w14:textId="77777777">
        <w:trPr>
          <w:trHeight w:val="73"/>
        </w:trPr>
        <w:tc>
          <w:tcPr>
            <w:tcW w:w="5000" w:type="pct"/>
            <w:gridSpan w:val="4"/>
            <w:tcBorders>
              <w:top w:val="single" w:sz="4" w:space="0" w:color="auto"/>
              <w:bottom w:val="single" w:sz="4" w:space="0" w:color="auto"/>
            </w:tcBorders>
          </w:tcPr>
          <w:p w14:paraId="41DAE6A0" w14:textId="77777777" w:rsidR="00171824" w:rsidRDefault="00171824">
            <w:pPr>
              <w:keepNext/>
              <w:keepLines/>
              <w:widowControl/>
              <w:tabs>
                <w:tab w:val="left" w:pos="567"/>
              </w:tabs>
              <w:autoSpaceDE/>
              <w:autoSpaceDN/>
              <w:adjustRightInd/>
              <w:jc w:val="center"/>
              <w:rPr>
                <w:rFonts w:eastAsia="PMingLiU"/>
                <w:bCs/>
                <w:sz w:val="22"/>
                <w:lang w:val="el-GR"/>
              </w:rPr>
            </w:pPr>
          </w:p>
        </w:tc>
      </w:tr>
      <w:tr w:rsidR="00171824" w:rsidRPr="00A07F46" w14:paraId="462A0934" w14:textId="77777777">
        <w:tc>
          <w:tcPr>
            <w:tcW w:w="5000" w:type="pct"/>
            <w:gridSpan w:val="4"/>
            <w:tcBorders>
              <w:top w:val="single" w:sz="4" w:space="0" w:color="auto"/>
              <w:left w:val="single" w:sz="4" w:space="0" w:color="auto"/>
              <w:bottom w:val="single" w:sz="4" w:space="0" w:color="auto"/>
              <w:right w:val="single" w:sz="4" w:space="0" w:color="auto"/>
            </w:tcBorders>
          </w:tcPr>
          <w:p w14:paraId="5B1AE0AF" w14:textId="77777777" w:rsidR="00171824" w:rsidRDefault="006D258C">
            <w:pPr>
              <w:keepNext/>
              <w:keepLines/>
              <w:widowControl/>
              <w:tabs>
                <w:tab w:val="left" w:pos="567"/>
              </w:tabs>
              <w:autoSpaceDE/>
              <w:autoSpaceDN/>
              <w:adjustRightInd/>
              <w:jc w:val="center"/>
              <w:rPr>
                <w:rFonts w:eastAsia="PMingLiU"/>
                <w:b/>
                <w:bCs/>
                <w:sz w:val="22"/>
                <w:lang w:val="el-GR" w:bidi="en-US"/>
              </w:rPr>
            </w:pPr>
            <w:r>
              <w:rPr>
                <w:rFonts w:eastAsia="Arial Unicode MS" w:cs="Arial Unicode MS"/>
                <w:b/>
                <w:bCs/>
                <w:sz w:val="22"/>
                <w:szCs w:val="22"/>
                <w:lang w:val="el-GR" w:bidi="en-US"/>
              </w:rPr>
              <w:t>Οδηγός για τα τμήματα της σύριγγας</w:t>
            </w:r>
          </w:p>
          <w:p w14:paraId="312A7DD4" w14:textId="77777777" w:rsidR="00171824" w:rsidRDefault="00171824">
            <w:pPr>
              <w:keepNext/>
              <w:keepLines/>
              <w:widowControl/>
              <w:tabs>
                <w:tab w:val="left" w:pos="567"/>
              </w:tabs>
              <w:autoSpaceDE/>
              <w:autoSpaceDN/>
              <w:adjustRightInd/>
              <w:jc w:val="center"/>
              <w:rPr>
                <w:rFonts w:eastAsia="PMingLiU"/>
                <w:b/>
                <w:sz w:val="22"/>
                <w:lang w:val="el-GR"/>
              </w:rPr>
            </w:pPr>
          </w:p>
        </w:tc>
      </w:tr>
      <w:tr w:rsidR="00171824" w14:paraId="04011E88" w14:textId="77777777">
        <w:trPr>
          <w:trHeight w:val="332"/>
        </w:trPr>
        <w:tc>
          <w:tcPr>
            <w:tcW w:w="2505" w:type="pct"/>
            <w:gridSpan w:val="2"/>
            <w:tcBorders>
              <w:top w:val="single" w:sz="4" w:space="0" w:color="auto"/>
              <w:left w:val="single" w:sz="4" w:space="0" w:color="auto"/>
              <w:right w:val="single" w:sz="4" w:space="0" w:color="auto"/>
            </w:tcBorders>
          </w:tcPr>
          <w:p w14:paraId="55AFEBE7" w14:textId="77777777" w:rsidR="00171824" w:rsidRDefault="006D258C">
            <w:pPr>
              <w:keepNext/>
              <w:keepLines/>
              <w:widowControl/>
              <w:tabs>
                <w:tab w:val="left" w:pos="567"/>
              </w:tabs>
              <w:autoSpaceDE/>
              <w:autoSpaceDN/>
              <w:adjustRightInd/>
              <w:jc w:val="center"/>
              <w:rPr>
                <w:rFonts w:eastAsia="PMingLiU"/>
                <w:b/>
                <w:bCs/>
                <w:sz w:val="22"/>
                <w:lang w:val="el-GR" w:bidi="en-US"/>
              </w:rPr>
            </w:pPr>
            <w:r>
              <w:rPr>
                <w:rFonts w:eastAsia="Arial Unicode MS" w:cs="Arial Unicode MS"/>
                <w:b/>
                <w:bCs/>
                <w:sz w:val="22"/>
                <w:szCs w:val="22"/>
                <w:lang w:val="el-GR" w:bidi="en-US"/>
              </w:rPr>
              <w:t>Πριν από τη χρήση</w:t>
            </w:r>
          </w:p>
        </w:tc>
        <w:tc>
          <w:tcPr>
            <w:tcW w:w="2495" w:type="pct"/>
            <w:gridSpan w:val="2"/>
            <w:tcBorders>
              <w:top w:val="single" w:sz="4" w:space="0" w:color="auto"/>
              <w:left w:val="single" w:sz="4" w:space="0" w:color="auto"/>
              <w:right w:val="single" w:sz="4" w:space="0" w:color="auto"/>
            </w:tcBorders>
          </w:tcPr>
          <w:p w14:paraId="58F9D8DB" w14:textId="77777777" w:rsidR="00171824" w:rsidRDefault="006D258C">
            <w:pPr>
              <w:keepNext/>
              <w:widowControl/>
              <w:tabs>
                <w:tab w:val="left" w:pos="567"/>
              </w:tabs>
              <w:autoSpaceDE/>
              <w:autoSpaceDN/>
              <w:adjustRightInd/>
              <w:jc w:val="center"/>
              <w:rPr>
                <w:rFonts w:eastAsia="PMingLiU"/>
                <w:b/>
                <w:bCs/>
                <w:sz w:val="22"/>
                <w:lang w:val="el-GR" w:bidi="en-US"/>
              </w:rPr>
            </w:pPr>
            <w:r>
              <w:rPr>
                <w:rFonts w:eastAsia="Arial Unicode MS" w:cs="Arial Unicode MS"/>
                <w:b/>
                <w:bCs/>
                <w:sz w:val="22"/>
                <w:szCs w:val="22"/>
                <w:lang w:val="el-GR" w:bidi="en-US"/>
              </w:rPr>
              <w:t>Μετά τη χρήση</w:t>
            </w:r>
          </w:p>
        </w:tc>
      </w:tr>
      <w:tr w:rsidR="00171824" w14:paraId="6C8C3F69" w14:textId="77777777">
        <w:trPr>
          <w:trHeight w:val="332"/>
        </w:trPr>
        <w:tc>
          <w:tcPr>
            <w:tcW w:w="2505" w:type="pct"/>
            <w:gridSpan w:val="2"/>
            <w:tcBorders>
              <w:top w:val="single" w:sz="4" w:space="0" w:color="auto"/>
              <w:left w:val="single" w:sz="4" w:space="0" w:color="auto"/>
              <w:right w:val="single" w:sz="4" w:space="0" w:color="auto"/>
            </w:tcBorders>
            <w:vAlign w:val="center"/>
          </w:tcPr>
          <w:p w14:paraId="39FCFA22" w14:textId="77777777" w:rsidR="00171824" w:rsidRDefault="006D258C">
            <w:pPr>
              <w:keepNext/>
              <w:keepLines/>
              <w:widowControl/>
              <w:tabs>
                <w:tab w:val="left" w:pos="567"/>
              </w:tabs>
              <w:autoSpaceDE/>
              <w:autoSpaceDN/>
              <w:adjustRightInd/>
              <w:jc w:val="center"/>
              <w:rPr>
                <w:rFonts w:eastAsia="PMingLiU"/>
                <w:b/>
                <w:bCs/>
                <w:sz w:val="22"/>
                <w:lang w:val="el-GR" w:bidi="en-US"/>
              </w:rPr>
            </w:pPr>
            <w:r>
              <w:rPr>
                <w:rFonts w:eastAsia="Arial Unicode MS" w:cs="Arial Unicode MS"/>
                <w:sz w:val="22"/>
                <w:szCs w:val="22"/>
                <w:lang w:val="el-GR" w:bidi="en-US"/>
              </w:rPr>
              <w:t>Μπλε πλήκτρο χορήγησης</w:t>
            </w:r>
          </w:p>
        </w:tc>
        <w:tc>
          <w:tcPr>
            <w:tcW w:w="2495" w:type="pct"/>
            <w:gridSpan w:val="2"/>
            <w:tcBorders>
              <w:top w:val="single" w:sz="4" w:space="0" w:color="auto"/>
              <w:left w:val="single" w:sz="4" w:space="0" w:color="auto"/>
              <w:right w:val="single" w:sz="4" w:space="0" w:color="auto"/>
            </w:tcBorders>
          </w:tcPr>
          <w:p w14:paraId="3914C311" w14:textId="77777777" w:rsidR="00171824" w:rsidRDefault="00171824">
            <w:pPr>
              <w:keepNext/>
              <w:widowControl/>
              <w:tabs>
                <w:tab w:val="left" w:pos="567"/>
              </w:tabs>
              <w:autoSpaceDE/>
              <w:autoSpaceDN/>
              <w:adjustRightInd/>
              <w:jc w:val="center"/>
              <w:rPr>
                <w:rFonts w:eastAsia="PMingLiU"/>
                <w:b/>
                <w:bCs/>
                <w:sz w:val="22"/>
                <w:lang w:val="el-GR"/>
              </w:rPr>
            </w:pPr>
          </w:p>
        </w:tc>
      </w:tr>
      <w:tr w:rsidR="00171824" w14:paraId="4D44F76C" w14:textId="77777777">
        <w:trPr>
          <w:cantSplit/>
          <w:trHeight w:val="9168"/>
        </w:trPr>
        <w:tc>
          <w:tcPr>
            <w:tcW w:w="1032" w:type="pct"/>
            <w:tcBorders>
              <w:left w:val="single" w:sz="4" w:space="0" w:color="auto"/>
              <w:bottom w:val="single" w:sz="4" w:space="0" w:color="auto"/>
            </w:tcBorders>
          </w:tcPr>
          <w:tbl>
            <w:tblPr>
              <w:tblW w:w="1701" w:type="dxa"/>
              <w:tblLayout w:type="fixed"/>
              <w:tblLook w:val="04A0" w:firstRow="1" w:lastRow="0" w:firstColumn="1" w:lastColumn="0" w:noHBand="0" w:noVBand="1"/>
            </w:tblPr>
            <w:tblGrid>
              <w:gridCol w:w="1701"/>
            </w:tblGrid>
            <w:tr w:rsidR="00171824" w14:paraId="7BC5A5AA" w14:textId="77777777">
              <w:trPr>
                <w:trHeight w:val="923"/>
              </w:trPr>
              <w:tc>
                <w:tcPr>
                  <w:tcW w:w="1701" w:type="dxa"/>
                  <w:tcMar>
                    <w:top w:w="113" w:type="dxa"/>
                  </w:tcMar>
                  <w:vAlign w:val="bottom"/>
                </w:tcPr>
                <w:p w14:paraId="5B698FFC" w14:textId="77777777" w:rsidR="00171824" w:rsidRDefault="006D258C">
                  <w:pPr>
                    <w:keepNext/>
                    <w:keepLines/>
                    <w:widowControl/>
                    <w:tabs>
                      <w:tab w:val="left" w:pos="567"/>
                    </w:tabs>
                    <w:autoSpaceDE/>
                    <w:autoSpaceDN/>
                    <w:adjustRightInd/>
                    <w:jc w:val="right"/>
                    <w:rPr>
                      <w:rFonts w:eastAsia="PMingLiU"/>
                      <w:sz w:val="22"/>
                      <w:lang w:val="el-GR" w:bidi="en-US"/>
                    </w:rPr>
                  </w:pPr>
                  <w:r>
                    <w:rPr>
                      <w:rFonts w:eastAsia="Arial Unicode MS" w:cs="Arial Unicode MS"/>
                      <w:sz w:val="22"/>
                      <w:szCs w:val="22"/>
                      <w:lang w:val="el-GR" w:bidi="en-US"/>
                    </w:rPr>
                    <w:t>Ημερομηνία λήξης</w:t>
                  </w:r>
                </w:p>
              </w:tc>
            </w:tr>
            <w:tr w:rsidR="00171824" w14:paraId="5E867AB3" w14:textId="77777777">
              <w:trPr>
                <w:trHeight w:val="3404"/>
              </w:trPr>
              <w:tc>
                <w:tcPr>
                  <w:tcW w:w="1701" w:type="dxa"/>
                  <w:vAlign w:val="bottom"/>
                </w:tcPr>
                <w:p w14:paraId="687152E8" w14:textId="77777777" w:rsidR="00171824" w:rsidRDefault="006D258C">
                  <w:pPr>
                    <w:keepNext/>
                    <w:keepLines/>
                    <w:widowControl/>
                    <w:tabs>
                      <w:tab w:val="left" w:pos="567"/>
                    </w:tabs>
                    <w:autoSpaceDE/>
                    <w:autoSpaceDN/>
                    <w:adjustRightInd/>
                    <w:jc w:val="right"/>
                    <w:rPr>
                      <w:rFonts w:eastAsia="PMingLiU"/>
                      <w:sz w:val="22"/>
                      <w:lang w:val="el-GR" w:bidi="en-US"/>
                    </w:rPr>
                  </w:pPr>
                  <w:r>
                    <w:rPr>
                      <w:rFonts w:eastAsia="Arial Unicode MS" w:cs="Arial Unicode MS"/>
                      <w:sz w:val="22"/>
                      <w:szCs w:val="22"/>
                      <w:lang w:val="el-GR" w:bidi="en-US"/>
                    </w:rPr>
                    <w:t>Παράθυρο</w:t>
                  </w:r>
                </w:p>
              </w:tc>
            </w:tr>
            <w:tr w:rsidR="00171824" w14:paraId="6692C519" w14:textId="77777777">
              <w:trPr>
                <w:trHeight w:val="863"/>
              </w:trPr>
              <w:tc>
                <w:tcPr>
                  <w:tcW w:w="1701" w:type="dxa"/>
                  <w:vAlign w:val="bottom"/>
                </w:tcPr>
                <w:p w14:paraId="681E1EDC" w14:textId="77777777" w:rsidR="00171824" w:rsidRDefault="006D258C">
                  <w:pPr>
                    <w:keepNext/>
                    <w:keepLines/>
                    <w:widowControl/>
                    <w:tabs>
                      <w:tab w:val="left" w:pos="567"/>
                    </w:tabs>
                    <w:autoSpaceDE/>
                    <w:autoSpaceDN/>
                    <w:adjustRightInd/>
                    <w:jc w:val="right"/>
                    <w:rPr>
                      <w:rFonts w:eastAsia="PMingLiU"/>
                      <w:sz w:val="22"/>
                      <w:lang w:val="el-GR" w:bidi="en-US"/>
                    </w:rPr>
                  </w:pPr>
                  <w:r>
                    <w:rPr>
                      <w:rFonts w:eastAsia="Arial Unicode MS" w:cs="Arial Unicode MS"/>
                      <w:sz w:val="22"/>
                      <w:szCs w:val="22"/>
                      <w:lang w:val="el-GR" w:bidi="en-US"/>
                    </w:rPr>
                    <w:t>Φάρμακο</w:t>
                  </w:r>
                </w:p>
              </w:tc>
            </w:tr>
            <w:tr w:rsidR="00171824" w14:paraId="47246C84" w14:textId="77777777">
              <w:trPr>
                <w:trHeight w:val="988"/>
              </w:trPr>
              <w:tc>
                <w:tcPr>
                  <w:tcW w:w="1701" w:type="dxa"/>
                  <w:vAlign w:val="bottom"/>
                </w:tcPr>
                <w:p w14:paraId="27A02E7E" w14:textId="77777777" w:rsidR="00171824" w:rsidRDefault="006D258C">
                  <w:pPr>
                    <w:keepNext/>
                    <w:keepLines/>
                    <w:widowControl/>
                    <w:tabs>
                      <w:tab w:val="left" w:pos="567"/>
                    </w:tabs>
                    <w:autoSpaceDE/>
                    <w:autoSpaceDN/>
                    <w:adjustRightInd/>
                    <w:jc w:val="right"/>
                    <w:rPr>
                      <w:rFonts w:eastAsia="PMingLiU"/>
                      <w:sz w:val="22"/>
                      <w:lang w:val="el-GR" w:bidi="en-US"/>
                    </w:rPr>
                  </w:pPr>
                  <w:r>
                    <w:rPr>
                      <w:rFonts w:eastAsia="Arial Unicode MS" w:cs="Arial Unicode MS"/>
                      <w:sz w:val="22"/>
                      <w:szCs w:val="22"/>
                      <w:lang w:val="el-GR" w:bidi="en-US"/>
                    </w:rPr>
                    <w:t>Κίτρινο κάλυμμα, κλειστό</w:t>
                  </w:r>
                </w:p>
              </w:tc>
            </w:tr>
          </w:tbl>
          <w:p w14:paraId="5B63EE80" w14:textId="77777777" w:rsidR="00171824" w:rsidRDefault="00171824">
            <w:pPr>
              <w:keepNext/>
              <w:keepLines/>
              <w:widowControl/>
              <w:tabs>
                <w:tab w:val="left" w:pos="567"/>
              </w:tabs>
              <w:autoSpaceDE/>
              <w:autoSpaceDN/>
              <w:adjustRightInd/>
              <w:jc w:val="right"/>
              <w:rPr>
                <w:rFonts w:eastAsia="PMingLiU"/>
                <w:sz w:val="22"/>
                <w:lang w:val="el-GR"/>
              </w:rPr>
            </w:pPr>
          </w:p>
        </w:tc>
        <w:tc>
          <w:tcPr>
            <w:tcW w:w="1472" w:type="pct"/>
            <w:tcBorders>
              <w:bottom w:val="single" w:sz="4" w:space="0" w:color="auto"/>
              <w:right w:val="single" w:sz="4" w:space="0" w:color="auto"/>
            </w:tcBorders>
          </w:tcPr>
          <w:p w14:paraId="23C18995" w14:textId="54C0B08D" w:rsidR="00171824" w:rsidRDefault="009039B7">
            <w:pPr>
              <w:keepNext/>
              <w:keepLines/>
              <w:widowControl/>
              <w:tabs>
                <w:tab w:val="left" w:pos="567"/>
              </w:tabs>
              <w:autoSpaceDE/>
              <w:autoSpaceDN/>
              <w:adjustRightInd/>
              <w:ind w:left="-75"/>
              <w:rPr>
                <w:rFonts w:eastAsia="PMingLiU"/>
                <w:sz w:val="22"/>
                <w:lang w:val="el-GR" w:bidi="en-US"/>
              </w:rPr>
            </w:pPr>
            <w:r>
              <w:rPr>
                <w:noProof/>
                <w:sz w:val="22"/>
                <w:szCs w:val="22"/>
                <w:lang w:val="el-GR" w:eastAsia="zh-CN"/>
              </w:rPr>
              <w:drawing>
                <wp:inline distT="0" distB="0" distL="0" distR="0" wp14:anchorId="71139BB9" wp14:editId="54978B1D">
                  <wp:extent cx="731520" cy="4017645"/>
                  <wp:effectExtent l="0" t="0" r="0" b="0"/>
                  <wp:docPr id="27" name="Picture 14" descr="ILL0948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LL0948 v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1520" cy="4017645"/>
                          </a:xfrm>
                          <a:prstGeom prst="rect">
                            <a:avLst/>
                          </a:prstGeom>
                          <a:noFill/>
                          <a:ln>
                            <a:noFill/>
                          </a:ln>
                        </pic:spPr>
                      </pic:pic>
                    </a:graphicData>
                  </a:graphic>
                </wp:inline>
              </w:drawing>
            </w:r>
          </w:p>
        </w:tc>
        <w:tc>
          <w:tcPr>
            <w:tcW w:w="1370" w:type="pct"/>
            <w:tcBorders>
              <w:left w:val="single" w:sz="4" w:space="0" w:color="auto"/>
              <w:bottom w:val="single" w:sz="4" w:space="0" w:color="auto"/>
            </w:tcBorders>
          </w:tcPr>
          <w:p w14:paraId="52C7CDE1" w14:textId="77777777" w:rsidR="00171824" w:rsidRDefault="00171824">
            <w:pPr>
              <w:widowControl/>
              <w:tabs>
                <w:tab w:val="left" w:pos="567"/>
              </w:tabs>
              <w:autoSpaceDE/>
              <w:autoSpaceDN/>
              <w:adjustRightInd/>
              <w:ind w:right="139"/>
              <w:jc w:val="right"/>
              <w:rPr>
                <w:rFonts w:eastAsia="PMingLiU"/>
                <w:sz w:val="10"/>
                <w:szCs w:val="10"/>
                <w:lang w:val="el-GR" w:eastAsia="en-GB"/>
              </w:rPr>
            </w:pPr>
          </w:p>
          <w:p w14:paraId="563205C8" w14:textId="27A41A00" w:rsidR="00171824" w:rsidRDefault="009039B7">
            <w:pPr>
              <w:widowControl/>
              <w:tabs>
                <w:tab w:val="left" w:pos="567"/>
              </w:tabs>
              <w:autoSpaceDE/>
              <w:autoSpaceDN/>
              <w:adjustRightInd/>
              <w:ind w:right="139"/>
              <w:jc w:val="right"/>
              <w:rPr>
                <w:rFonts w:eastAsia="PMingLiU"/>
                <w:sz w:val="22"/>
                <w:lang w:val="el-GR" w:bidi="en-US"/>
              </w:rPr>
            </w:pPr>
            <w:r>
              <w:rPr>
                <w:noProof/>
                <w:sz w:val="22"/>
                <w:szCs w:val="22"/>
                <w:lang w:val="el-GR" w:eastAsia="zh-CN"/>
              </w:rPr>
              <w:drawing>
                <wp:inline distT="0" distB="0" distL="0" distR="0" wp14:anchorId="2A736814" wp14:editId="6C1974D6">
                  <wp:extent cx="731520" cy="5126355"/>
                  <wp:effectExtent l="0" t="0" r="0" b="0"/>
                  <wp:docPr id="28" name="Picture 13" descr="ILL0949 DEVIC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LL0949 DEVICE MISC N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31520" cy="5126355"/>
                          </a:xfrm>
                          <a:prstGeom prst="rect">
                            <a:avLst/>
                          </a:prstGeom>
                          <a:noFill/>
                          <a:ln>
                            <a:noFill/>
                          </a:ln>
                        </pic:spPr>
                      </pic:pic>
                    </a:graphicData>
                  </a:graphic>
                </wp:inline>
              </w:drawing>
            </w:r>
          </w:p>
        </w:tc>
        <w:tc>
          <w:tcPr>
            <w:tcW w:w="1125" w:type="pct"/>
            <w:tcBorders>
              <w:bottom w:val="single" w:sz="4" w:space="0" w:color="auto"/>
              <w:right w:val="single" w:sz="4" w:space="0" w:color="auto"/>
            </w:tcBorders>
          </w:tcPr>
          <w:tbl>
            <w:tblPr>
              <w:tblW w:w="0" w:type="auto"/>
              <w:tblLayout w:type="fixed"/>
              <w:tblLook w:val="04A0" w:firstRow="1" w:lastRow="0" w:firstColumn="1" w:lastColumn="0" w:noHBand="0" w:noVBand="1"/>
            </w:tblPr>
            <w:tblGrid>
              <w:gridCol w:w="1974"/>
            </w:tblGrid>
            <w:tr w:rsidR="00171824" w14:paraId="2BBFA613" w14:textId="77777777">
              <w:trPr>
                <w:trHeight w:val="1054"/>
              </w:trPr>
              <w:tc>
                <w:tcPr>
                  <w:tcW w:w="1974" w:type="dxa"/>
                  <w:vAlign w:val="bottom"/>
                </w:tcPr>
                <w:p w14:paraId="5814A9B7"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Ημερομηνία λήξης</w:t>
                  </w:r>
                </w:p>
              </w:tc>
            </w:tr>
            <w:tr w:rsidR="00171824" w14:paraId="75BAA5E8" w14:textId="77777777">
              <w:trPr>
                <w:trHeight w:val="3841"/>
              </w:trPr>
              <w:tc>
                <w:tcPr>
                  <w:tcW w:w="1974" w:type="dxa"/>
                  <w:vAlign w:val="bottom"/>
                </w:tcPr>
                <w:p w14:paraId="72530383"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Κίτρινο παράθυρο (ολοκληρωμένη ένεση)</w:t>
                  </w:r>
                </w:p>
              </w:tc>
            </w:tr>
            <w:tr w:rsidR="00171824" w14:paraId="690526C2" w14:textId="77777777">
              <w:trPr>
                <w:trHeight w:val="1983"/>
              </w:trPr>
              <w:tc>
                <w:tcPr>
                  <w:tcW w:w="1974" w:type="dxa"/>
                  <w:vAlign w:val="bottom"/>
                </w:tcPr>
                <w:p w14:paraId="147BB616"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Κίτρινο προστατευτικό</w:t>
                  </w:r>
                  <w:r>
                    <w:rPr>
                      <w:rFonts w:eastAsia="Arial Unicode MS" w:cs="Arial Unicode MS"/>
                      <w:sz w:val="22"/>
                      <w:szCs w:val="22"/>
                      <w:lang w:val="el-GR" w:bidi="en-US"/>
                    </w:rPr>
                    <w:br/>
                    <w:t xml:space="preserve">κάλυμμα ασφαλείας </w:t>
                  </w:r>
                </w:p>
              </w:tc>
            </w:tr>
            <w:tr w:rsidR="00171824" w14:paraId="503D9289" w14:textId="77777777">
              <w:trPr>
                <w:trHeight w:val="990"/>
              </w:trPr>
              <w:tc>
                <w:tcPr>
                  <w:tcW w:w="1974" w:type="dxa"/>
                  <w:vAlign w:val="bottom"/>
                </w:tcPr>
                <w:p w14:paraId="05ACC63C"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Κίτρινο κάλυμμα, ανοιχτό</w:t>
                  </w:r>
                </w:p>
              </w:tc>
            </w:tr>
          </w:tbl>
          <w:p w14:paraId="652B6816" w14:textId="77777777" w:rsidR="00171824" w:rsidRDefault="00171824">
            <w:pPr>
              <w:widowControl/>
              <w:tabs>
                <w:tab w:val="left" w:pos="567"/>
              </w:tabs>
              <w:autoSpaceDE/>
              <w:autoSpaceDN/>
              <w:adjustRightInd/>
              <w:rPr>
                <w:rFonts w:eastAsia="PMingLiU"/>
                <w:sz w:val="22"/>
                <w:lang w:val="el-GR"/>
              </w:rPr>
            </w:pPr>
          </w:p>
        </w:tc>
      </w:tr>
      <w:tr w:rsidR="00171824" w:rsidRPr="00A07F46" w14:paraId="22A97C1E"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69D4C57F"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b/>
                <w:sz w:val="22"/>
                <w:szCs w:val="22"/>
                <w:lang w:val="el-GR" w:bidi="en-US"/>
              </w:rPr>
              <w:t xml:space="preserve">Σημαντικό: </w:t>
            </w:r>
            <w:r>
              <w:rPr>
                <w:rFonts w:eastAsia="Arial Unicode MS" w:cs="Arial Unicode MS"/>
                <w:sz w:val="22"/>
                <w:szCs w:val="22"/>
                <w:lang w:val="el-GR" w:bidi="en-US"/>
              </w:rPr>
              <w:t>Η βελόνα βρίσκεται στο εσωτερικό</w:t>
            </w:r>
          </w:p>
        </w:tc>
      </w:tr>
    </w:tbl>
    <w:p w14:paraId="5B0B62B7" w14:textId="77777777" w:rsidR="00171824" w:rsidRDefault="00171824">
      <w:pPr>
        <w:pageBreakBefore/>
        <w:widowControl/>
        <w:tabs>
          <w:tab w:val="left" w:pos="567"/>
        </w:tabs>
        <w:autoSpaceDE/>
        <w:autoSpaceDN/>
        <w:adjustRightInd/>
        <w:rPr>
          <w:rFonts w:eastAsia="PMingLiU"/>
          <w:b/>
          <w:sz w:val="22"/>
          <w:szCs w:val="22"/>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171824" w14:paraId="73BC0338"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5ED6DBD2" w14:textId="77777777" w:rsidR="00171824" w:rsidRDefault="006D258C">
            <w:pPr>
              <w:keepNext/>
              <w:keepLines/>
              <w:widowControl/>
              <w:tabs>
                <w:tab w:val="left" w:pos="567"/>
              </w:tabs>
              <w:autoSpaceDE/>
              <w:autoSpaceDN/>
              <w:adjustRightInd/>
              <w:jc w:val="center"/>
              <w:rPr>
                <w:rFonts w:eastAsia="PMingLiU"/>
                <w:b/>
                <w:sz w:val="22"/>
                <w:lang w:val="el-GR" w:bidi="en-US"/>
              </w:rPr>
            </w:pPr>
            <w:r>
              <w:rPr>
                <w:rFonts w:eastAsia="Arial Unicode MS" w:cs="Arial Unicode MS"/>
                <w:b/>
                <w:sz w:val="22"/>
                <w:szCs w:val="22"/>
                <w:lang w:val="el-GR" w:bidi="en-US"/>
              </w:rPr>
              <w:t>Σημαντικό</w:t>
            </w:r>
          </w:p>
        </w:tc>
      </w:tr>
      <w:tr w:rsidR="00171824" w:rsidRPr="00A07F46" w14:paraId="5792D55F" w14:textId="77777777">
        <w:trPr>
          <w:cantSplit/>
          <w:trHeight w:val="449"/>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0ED465D2" w14:textId="77777777" w:rsidR="00171824" w:rsidRDefault="006D258C">
            <w:pPr>
              <w:keepNext/>
              <w:keepLines/>
              <w:widowControl/>
              <w:tabs>
                <w:tab w:val="left" w:pos="567"/>
              </w:tabs>
              <w:suppressAutoHyphens/>
              <w:textAlignment w:val="center"/>
              <w:rPr>
                <w:rFonts w:eastAsia="Arial Unicode MS" w:cs="Arial Unicode MS"/>
                <w:b/>
                <w:bCs/>
                <w:color w:val="000000"/>
                <w:sz w:val="22"/>
                <w:szCs w:val="22"/>
                <w:lang w:val="el-GR" w:bidi="en-US"/>
              </w:rPr>
            </w:pPr>
            <w:r>
              <w:rPr>
                <w:rFonts w:eastAsia="Arial Unicode MS" w:cs="Arial Unicode MS"/>
                <w:b/>
                <w:bCs/>
                <w:color w:val="000000"/>
                <w:sz w:val="22"/>
                <w:szCs w:val="22"/>
                <w:lang w:val="el-GR" w:bidi="en-US"/>
              </w:rPr>
              <w:t>Πριν χρησιμοποιήσετε την προγεμισμένη συσκευή τύπου πένας του AMGEVITA, διαβάστε αυτές τις σημαντικές πληροφορίες:</w:t>
            </w:r>
          </w:p>
          <w:p w14:paraId="0552E11D" w14:textId="77777777" w:rsidR="00171824" w:rsidRDefault="00171824">
            <w:pPr>
              <w:keepNext/>
              <w:keepLines/>
              <w:widowControl/>
              <w:tabs>
                <w:tab w:val="left" w:pos="567"/>
              </w:tabs>
              <w:suppressAutoHyphens/>
              <w:textAlignment w:val="center"/>
              <w:rPr>
                <w:rFonts w:eastAsia="PMingLiU"/>
                <w:b/>
                <w:bCs/>
                <w:color w:val="000000"/>
                <w:sz w:val="22"/>
                <w:lang w:val="el-GR" w:bidi="en-US"/>
              </w:rPr>
            </w:pPr>
          </w:p>
        </w:tc>
      </w:tr>
      <w:tr w:rsidR="00171824" w:rsidRPr="00A07F46" w14:paraId="121AD731" w14:textId="77777777">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3710946C" w14:textId="77777777" w:rsidR="00171824" w:rsidRDefault="006D258C">
            <w:pPr>
              <w:widowControl/>
              <w:rPr>
                <w:rFonts w:eastAsia="Calibri"/>
                <w:b/>
                <w:bCs/>
                <w:sz w:val="22"/>
                <w:lang w:val="el-GR" w:bidi="en-US"/>
              </w:rPr>
            </w:pPr>
            <w:r>
              <w:rPr>
                <w:rFonts w:eastAsia="Arial Unicode MS" w:cs="Arial Unicode MS"/>
                <w:b/>
                <w:bCs/>
                <w:sz w:val="22"/>
                <w:szCs w:val="22"/>
                <w:lang w:val="el-GR" w:bidi="en-US"/>
              </w:rPr>
              <w:t>Χρήση της προγεμισμένης συσκευή τύπου πένας του AMGEVITA</w:t>
            </w:r>
          </w:p>
        </w:tc>
      </w:tr>
      <w:tr w:rsidR="00171824" w:rsidRPr="00422380" w14:paraId="48D16058" w14:textId="77777777">
        <w:trPr>
          <w:cantSplit/>
        </w:trPr>
        <w:tc>
          <w:tcPr>
            <w:tcW w:w="314" w:type="pct"/>
            <w:tcBorders>
              <w:top w:val="nil"/>
              <w:left w:val="single" w:sz="4" w:space="0" w:color="auto"/>
              <w:bottom w:val="nil"/>
              <w:right w:val="nil"/>
            </w:tcBorders>
            <w:tcMar>
              <w:left w:w="57" w:type="dxa"/>
            </w:tcMar>
          </w:tcPr>
          <w:p w14:paraId="2ABE321E"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86" w:type="pct"/>
            <w:tcBorders>
              <w:top w:val="nil"/>
              <w:left w:val="nil"/>
              <w:bottom w:val="nil"/>
              <w:right w:val="single" w:sz="4" w:space="0" w:color="auto"/>
            </w:tcBorders>
            <w:tcMar>
              <w:top w:w="57" w:type="dxa"/>
              <w:left w:w="0" w:type="dxa"/>
              <w:bottom w:w="57" w:type="dxa"/>
              <w:right w:w="57" w:type="dxa"/>
            </w:tcMar>
          </w:tcPr>
          <w:p w14:paraId="5D956F08" w14:textId="77777777" w:rsidR="00171824" w:rsidRDefault="006D258C">
            <w:pPr>
              <w:widowControl/>
              <w:rPr>
                <w:rFonts w:eastAsia="Calibri"/>
                <w:sz w:val="22"/>
                <w:lang w:val="el-GR" w:bidi="en-US"/>
              </w:rPr>
            </w:pPr>
            <w:r>
              <w:rPr>
                <w:rFonts w:eastAsia="Arial Unicode MS" w:cs="Arial Unicode MS"/>
                <w:sz w:val="22"/>
                <w:szCs w:val="22"/>
                <w:lang w:val="el-GR" w:bidi="en-US"/>
              </w:rPr>
              <w:t>Είναι σημαντικό να μην επιχειρήσετε να κάνετε την ένεση παρά μόνο εάν εσείς ή ο φροντιστής σας έχετε λάβει τη σχετική εκπαίδευση.</w:t>
            </w:r>
          </w:p>
        </w:tc>
      </w:tr>
      <w:tr w:rsidR="00171824" w14:paraId="4DE0D3F4" w14:textId="77777777">
        <w:trPr>
          <w:cantSplit/>
        </w:trPr>
        <w:tc>
          <w:tcPr>
            <w:tcW w:w="314" w:type="pct"/>
            <w:tcBorders>
              <w:top w:val="nil"/>
              <w:left w:val="single" w:sz="4" w:space="0" w:color="auto"/>
              <w:bottom w:val="single" w:sz="4" w:space="0" w:color="auto"/>
              <w:right w:val="nil"/>
            </w:tcBorders>
            <w:tcMar>
              <w:left w:w="57" w:type="dxa"/>
            </w:tcMar>
          </w:tcPr>
          <w:p w14:paraId="2369F307"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86" w:type="pct"/>
            <w:tcBorders>
              <w:top w:val="nil"/>
              <w:left w:val="nil"/>
              <w:bottom w:val="single" w:sz="4" w:space="0" w:color="auto"/>
              <w:right w:val="single" w:sz="4" w:space="0" w:color="auto"/>
            </w:tcBorders>
            <w:tcMar>
              <w:top w:w="57" w:type="dxa"/>
              <w:left w:w="0" w:type="dxa"/>
              <w:bottom w:w="57" w:type="dxa"/>
              <w:right w:w="57" w:type="dxa"/>
            </w:tcMar>
          </w:tcPr>
          <w:p w14:paraId="329D0BF7" w14:textId="77777777" w:rsidR="00171824" w:rsidRDefault="006D258C">
            <w:pPr>
              <w:widowControl/>
              <w:rPr>
                <w:rFonts w:eastAsia="Calibri"/>
                <w:sz w:val="22"/>
                <w:lang w:val="el-GR" w:bidi="en-US"/>
              </w:rPr>
            </w:pPr>
            <w:r>
              <w:rPr>
                <w:rFonts w:eastAsia="Arial Unicode MS" w:cs="Arial Unicode MS"/>
                <w:b/>
                <w:bCs/>
                <w:sz w:val="22"/>
                <w:szCs w:val="22"/>
                <w:lang w:val="el-GR" w:bidi="en-US"/>
              </w:rPr>
              <w:t xml:space="preserve">Μη </w:t>
            </w:r>
            <w:r>
              <w:rPr>
                <w:rFonts w:eastAsia="Arial Unicode MS" w:cs="Arial Unicode MS"/>
                <w:sz w:val="22"/>
                <w:szCs w:val="22"/>
                <w:lang w:val="el-GR" w:bidi="en-US"/>
              </w:rPr>
              <w:t>χρησιμοποιείτε μία προγεμισμένη συσκευή τύπου πένας του AMGEVITA εάν έχει πέσει επάνω σε μία σκληρή επιφάνεια. Κάποιο μέρος της προγεμισμένης συσκευής τύπου πένας του AMGEVITA μπορεί να έχει σπάσει, ακόμη και εάν το σπάσιμο δεν είναι ορατό. Χρησιμοποιήστε μία νέα προγεμισμένη συσκευή τύπου πένας του AMGEVITA.</w:t>
            </w:r>
          </w:p>
        </w:tc>
      </w:tr>
    </w:tbl>
    <w:p w14:paraId="45300D95" w14:textId="77777777" w:rsidR="00171824" w:rsidRDefault="00171824">
      <w:pPr>
        <w:widowControl/>
        <w:tabs>
          <w:tab w:val="left" w:pos="567"/>
        </w:tabs>
        <w:autoSpaceDE/>
        <w:autoSpaceDN/>
        <w:adjustRightInd/>
        <w:ind w:left="567" w:hanging="567"/>
        <w:rPr>
          <w:rFonts w:eastAsia="PMingLiU"/>
          <w:b/>
          <w:bCs/>
          <w:sz w:val="22"/>
          <w:szCs w:val="22"/>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71824" w14:paraId="30F19323"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F85F414" w14:textId="77777777" w:rsidR="00171824" w:rsidRDefault="006D258C">
            <w:pPr>
              <w:keepLines/>
              <w:widowControl/>
              <w:tabs>
                <w:tab w:val="left" w:pos="567"/>
              </w:tabs>
              <w:suppressAutoHyphens/>
              <w:jc w:val="center"/>
              <w:textAlignment w:val="center"/>
              <w:rPr>
                <w:rFonts w:eastAsia="PMingLiU"/>
                <w:b/>
                <w:color w:val="000000"/>
                <w:sz w:val="22"/>
                <w:lang w:val="el-GR" w:bidi="en-US"/>
              </w:rPr>
            </w:pPr>
            <w:r>
              <w:rPr>
                <w:rFonts w:eastAsia="Arial Unicode MS" w:cs="Arial Unicode MS"/>
                <w:b/>
                <w:bCs/>
                <w:sz w:val="22"/>
                <w:szCs w:val="22"/>
                <w:lang w:val="el-GR" w:bidi="en-US"/>
              </w:rPr>
              <w:t>Βήμα 1: Προετοιμαστείτε</w:t>
            </w:r>
          </w:p>
        </w:tc>
      </w:tr>
    </w:tbl>
    <w:p w14:paraId="3EA66076" w14:textId="77777777" w:rsidR="00171824" w:rsidRDefault="00171824">
      <w:pPr>
        <w:keepLines/>
        <w:widowControl/>
        <w:tabs>
          <w:tab w:val="left" w:pos="567"/>
        </w:tabs>
        <w:autoSpaceDE/>
        <w:autoSpaceDN/>
        <w:adjustRightInd/>
        <w:ind w:left="567" w:hanging="567"/>
        <w:rPr>
          <w:rFonts w:eastAsia="PMingLiU"/>
          <w:b/>
          <w:bCs/>
          <w:sz w:val="22"/>
          <w:szCs w:val="16"/>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71824" w:rsidRPr="00422380" w14:paraId="1468A53A"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FCF51EE" w14:textId="77777777" w:rsidR="00171824" w:rsidRDefault="006D258C">
            <w:pPr>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Α.</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F86E0BE" w14:textId="77777777" w:rsidR="00171824" w:rsidRDefault="006D258C">
            <w:pPr>
              <w:keepLines/>
              <w:widowControl/>
              <w:rPr>
                <w:rFonts w:eastAsia="PMingLiU"/>
                <w:color w:val="000000"/>
                <w:sz w:val="22"/>
                <w:lang w:val="el-GR" w:bidi="en-US"/>
              </w:rPr>
            </w:pPr>
            <w:r>
              <w:rPr>
                <w:rFonts w:eastAsia="Arial Unicode MS" w:cs="Arial Unicode MS"/>
                <w:bCs/>
                <w:sz w:val="22"/>
                <w:szCs w:val="22"/>
                <w:lang w:val="el-GR" w:bidi="en-US"/>
              </w:rPr>
              <w:t xml:space="preserve">Αφαιρέστε μία προγεμισμένη </w:t>
            </w:r>
            <w:r>
              <w:rPr>
                <w:rFonts w:eastAsia="Arial Unicode MS" w:cs="Arial Unicode MS"/>
                <w:sz w:val="22"/>
                <w:szCs w:val="22"/>
                <w:lang w:val="el-GR" w:bidi="en-US"/>
              </w:rPr>
              <w:t xml:space="preserve">συσκευή τύπου πένας </w:t>
            </w:r>
            <w:r>
              <w:rPr>
                <w:rFonts w:eastAsia="Arial Unicode MS" w:cs="Arial Unicode MS"/>
                <w:bCs/>
                <w:sz w:val="22"/>
                <w:szCs w:val="22"/>
                <w:lang w:val="el-GR" w:bidi="en-US"/>
              </w:rPr>
              <w:t>του AMGEVITA από τη συσκευασία.</w:t>
            </w:r>
          </w:p>
        </w:tc>
      </w:tr>
      <w:tr w:rsidR="00171824" w:rsidRPr="00422380" w14:paraId="3A5A866C"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0D97717F"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 xml:space="preserve">Απομακρύνετε προσεκτικά την προγεμισμένη </w:t>
            </w:r>
            <w:r>
              <w:rPr>
                <w:rFonts w:eastAsia="Arial Unicode MS" w:cs="Arial Unicode MS"/>
                <w:sz w:val="22"/>
                <w:szCs w:val="22"/>
                <w:lang w:val="el-GR" w:bidi="en-US"/>
              </w:rPr>
              <w:t xml:space="preserve">συσκευή τύπου πένας </w:t>
            </w:r>
            <w:r>
              <w:rPr>
                <w:rFonts w:eastAsia="Arial Unicode MS" w:cs="Arial Unicode MS"/>
                <w:color w:val="000000"/>
                <w:sz w:val="22"/>
                <w:szCs w:val="22"/>
                <w:lang w:val="el-GR" w:bidi="en-US"/>
              </w:rPr>
              <w:t>από το κουτί.</w:t>
            </w:r>
          </w:p>
          <w:p w14:paraId="05E9DD4C" w14:textId="77777777" w:rsidR="00171824" w:rsidRDefault="00171824">
            <w:pPr>
              <w:widowControl/>
              <w:tabs>
                <w:tab w:val="left" w:pos="567"/>
              </w:tabs>
              <w:suppressAutoHyphens/>
              <w:textAlignment w:val="center"/>
              <w:rPr>
                <w:rFonts w:eastAsia="PMingLiU"/>
                <w:color w:val="000000"/>
                <w:sz w:val="22"/>
                <w:lang w:val="el-GR"/>
              </w:rPr>
            </w:pPr>
          </w:p>
          <w:p w14:paraId="77DB5D03"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Τοποθετήστε την αρχική συσκευασία με όσες αχρησιμοποίητες προγεμισμένες συσκευές τύπου πένας απομένουν και πάλι στο ψυγείο.</w:t>
            </w:r>
          </w:p>
          <w:p w14:paraId="358C22F8" w14:textId="77777777" w:rsidR="00171824" w:rsidRDefault="00171824">
            <w:pPr>
              <w:widowControl/>
              <w:tabs>
                <w:tab w:val="left" w:pos="567"/>
              </w:tabs>
              <w:suppressAutoHyphens/>
              <w:textAlignment w:val="center"/>
              <w:rPr>
                <w:rFonts w:eastAsia="PMingLiU"/>
                <w:color w:val="000000"/>
                <w:sz w:val="22"/>
                <w:lang w:val="el-GR"/>
              </w:rPr>
            </w:pPr>
          </w:p>
          <w:p w14:paraId="5C2646B4"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 xml:space="preserve">Για να είναι πιο άνετη η ένεση, αφήστε την προγεμισμένη </w:t>
            </w:r>
            <w:r>
              <w:rPr>
                <w:rFonts w:eastAsia="Arial Unicode MS" w:cs="Arial Unicode MS"/>
                <w:sz w:val="22"/>
                <w:szCs w:val="22"/>
                <w:lang w:val="el-GR" w:bidi="en-US"/>
              </w:rPr>
              <w:t xml:space="preserve">συσκευή τύπου πένας </w:t>
            </w:r>
            <w:r>
              <w:rPr>
                <w:rFonts w:eastAsia="Arial Unicode MS" w:cs="Arial Unicode MS"/>
                <w:color w:val="000000"/>
                <w:sz w:val="22"/>
                <w:szCs w:val="22"/>
                <w:lang w:val="el-GR" w:bidi="en-US"/>
              </w:rPr>
              <w:t xml:space="preserve">σε θερμοκρασία δωματίου για </w:t>
            </w:r>
            <w:r>
              <w:rPr>
                <w:rFonts w:eastAsia="Arial Unicode MS" w:cs="Arial Unicode MS"/>
                <w:b/>
                <w:color w:val="000000"/>
                <w:sz w:val="22"/>
                <w:szCs w:val="22"/>
                <w:lang w:val="el-GR" w:bidi="en-US"/>
              </w:rPr>
              <w:t>15 έως 30</w:t>
            </w:r>
            <w:r>
              <w:rPr>
                <w:rFonts w:eastAsia="Arial Unicode MS" w:cs="Arial Unicode MS"/>
                <w:color w:val="000000"/>
                <w:sz w:val="22"/>
                <w:szCs w:val="22"/>
                <w:lang w:val="el-GR" w:bidi="en-US"/>
              </w:rPr>
              <w:t xml:space="preserve"> λεπτά πριν από την ένεση.</w:t>
            </w:r>
          </w:p>
          <w:p w14:paraId="43735396" w14:textId="77777777" w:rsidR="00171824" w:rsidRDefault="00171824">
            <w:pPr>
              <w:widowControl/>
              <w:tabs>
                <w:tab w:val="left" w:pos="567"/>
              </w:tabs>
              <w:suppressAutoHyphens/>
              <w:textAlignment w:val="center"/>
              <w:rPr>
                <w:rFonts w:eastAsia="PMingLiU"/>
                <w:color w:val="000000"/>
                <w:sz w:val="22"/>
                <w:lang w:val="el-GR"/>
              </w:rPr>
            </w:pPr>
          </w:p>
        </w:tc>
      </w:tr>
      <w:tr w:rsidR="00171824" w:rsidRPr="00422380" w14:paraId="35796A45" w14:textId="77777777">
        <w:tc>
          <w:tcPr>
            <w:tcW w:w="303" w:type="pct"/>
            <w:tcBorders>
              <w:top w:val="nil"/>
              <w:left w:val="single" w:sz="4" w:space="0" w:color="auto"/>
              <w:bottom w:val="nil"/>
              <w:right w:val="nil"/>
            </w:tcBorders>
            <w:tcMar>
              <w:top w:w="28" w:type="dxa"/>
              <w:left w:w="57" w:type="dxa"/>
              <w:bottom w:w="28" w:type="dxa"/>
              <w:right w:w="57" w:type="dxa"/>
            </w:tcMar>
          </w:tcPr>
          <w:p w14:paraId="3DE3AA69"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620D5B6E" w14:textId="77777777" w:rsidR="00171824" w:rsidRDefault="006D258C">
            <w:pPr>
              <w:widowControl/>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τοποθετήσετε την προγεμισμένη συσκευή τύπου πένας και πάλι στο ψυγείο αφού φτάσει σε θερμοκρασία δωματίου.</w:t>
            </w:r>
          </w:p>
        </w:tc>
      </w:tr>
      <w:tr w:rsidR="00171824" w:rsidRPr="00422380" w14:paraId="5A063A68" w14:textId="77777777">
        <w:tc>
          <w:tcPr>
            <w:tcW w:w="303" w:type="pct"/>
            <w:tcBorders>
              <w:top w:val="nil"/>
              <w:left w:val="single" w:sz="4" w:space="0" w:color="auto"/>
              <w:bottom w:val="nil"/>
              <w:right w:val="nil"/>
            </w:tcBorders>
            <w:tcMar>
              <w:top w:w="28" w:type="dxa"/>
              <w:left w:w="57" w:type="dxa"/>
              <w:bottom w:w="28" w:type="dxa"/>
              <w:right w:w="57" w:type="dxa"/>
            </w:tcMar>
          </w:tcPr>
          <w:p w14:paraId="0DEEB4B5"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19973CDA" w14:textId="77777777" w:rsidR="00171824" w:rsidRDefault="006D258C">
            <w:pPr>
              <w:widowControl/>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επιχειρήσετε να θερμάνετε την προγεμισμένη συσκευή τύπου πένας χρησιμοποιώντας κάποια πηγή θερμότητας, όπως το ζεστό νερό ή ο φούρνος μικροκυμάτων.</w:t>
            </w:r>
          </w:p>
        </w:tc>
      </w:tr>
      <w:tr w:rsidR="00171824" w:rsidRPr="00422380" w14:paraId="5A003B8A" w14:textId="77777777">
        <w:tc>
          <w:tcPr>
            <w:tcW w:w="303" w:type="pct"/>
            <w:tcBorders>
              <w:top w:val="nil"/>
              <w:left w:val="single" w:sz="4" w:space="0" w:color="auto"/>
              <w:bottom w:val="nil"/>
              <w:right w:val="nil"/>
            </w:tcBorders>
            <w:tcMar>
              <w:top w:w="28" w:type="dxa"/>
              <w:left w:w="57" w:type="dxa"/>
              <w:bottom w:w="28" w:type="dxa"/>
              <w:right w:w="57" w:type="dxa"/>
            </w:tcMar>
          </w:tcPr>
          <w:p w14:paraId="3BFB7F00"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3A43E6F6" w14:textId="77777777" w:rsidR="00171824" w:rsidRDefault="006D258C">
            <w:pPr>
              <w:widowControl/>
              <w:ind w:left="720" w:hanging="720"/>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ανακινείτε την προγεμισμένη συσκευή τύπου πένας.</w:t>
            </w:r>
          </w:p>
        </w:tc>
      </w:tr>
      <w:tr w:rsidR="00171824" w:rsidRPr="00422380" w14:paraId="2B7A937B"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55F9049C"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single" w:sz="4" w:space="0" w:color="auto"/>
              <w:right w:val="single" w:sz="4" w:space="0" w:color="auto"/>
            </w:tcBorders>
            <w:tcMar>
              <w:left w:w="0" w:type="dxa"/>
            </w:tcMar>
          </w:tcPr>
          <w:p w14:paraId="4D32A897" w14:textId="77777777" w:rsidR="00171824" w:rsidRDefault="006D258C">
            <w:pPr>
              <w:widowControl/>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αφαιρείτε ακόμη το κίτρινο κάλυμμα από την προγεμισμένη συσκευή τύπου πένας.</w:t>
            </w:r>
          </w:p>
        </w:tc>
      </w:tr>
    </w:tbl>
    <w:p w14:paraId="18789B5F" w14:textId="77777777" w:rsidR="00171824" w:rsidRDefault="00171824">
      <w:pPr>
        <w:widowControl/>
        <w:suppressAutoHyphens/>
        <w:textAlignment w:val="center"/>
        <w:rPr>
          <w:rFonts w:eastAsia="PMingLiU"/>
          <w:b/>
          <w:bCs/>
          <w:sz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71824" w:rsidRPr="00422380" w14:paraId="15EB12AD"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5ED3C23" w14:textId="77777777" w:rsidR="00171824" w:rsidRDefault="006D258C">
            <w:pPr>
              <w:keepNext/>
              <w:widowControl/>
              <w:tabs>
                <w:tab w:val="left" w:pos="567"/>
              </w:tabs>
              <w:suppressAutoHyphens/>
              <w:textAlignment w:val="center"/>
              <w:rPr>
                <w:rFonts w:eastAsia="PMingLiU"/>
                <w:b/>
                <w:color w:val="000000"/>
                <w:sz w:val="22"/>
                <w:lang w:val="el-GR" w:bidi="en-US"/>
              </w:rPr>
            </w:pPr>
            <w:r>
              <w:rPr>
                <w:rFonts w:eastAsia="Arial Unicode MS" w:cs="Arial Unicode MS"/>
                <w:b/>
                <w:bCs/>
                <w:sz w:val="22"/>
                <w:lang w:val="el-GR" w:bidi="en-US"/>
              </w:rPr>
              <w:t>Β.</w:t>
            </w:r>
          </w:p>
        </w:tc>
        <w:tc>
          <w:tcPr>
            <w:tcW w:w="4696" w:type="pct"/>
            <w:tcBorders>
              <w:top w:val="single" w:sz="4" w:space="0" w:color="auto"/>
              <w:left w:val="single" w:sz="4" w:space="0" w:color="auto"/>
              <w:bottom w:val="single" w:sz="4" w:space="0" w:color="auto"/>
              <w:right w:val="single" w:sz="4" w:space="0" w:color="auto"/>
            </w:tcBorders>
            <w:tcMar>
              <w:left w:w="57" w:type="dxa"/>
            </w:tcMar>
          </w:tcPr>
          <w:p w14:paraId="5929067F" w14:textId="77777777" w:rsidR="00171824" w:rsidRDefault="006D258C">
            <w:pPr>
              <w:keepNext/>
              <w:widowControl/>
              <w:rPr>
                <w:rFonts w:eastAsia="PMingLiU"/>
                <w:color w:val="000000"/>
                <w:sz w:val="22"/>
                <w:lang w:val="el-GR" w:bidi="en-US"/>
              </w:rPr>
            </w:pPr>
            <w:r>
              <w:rPr>
                <w:rFonts w:eastAsia="Arial Unicode MS" w:cs="Arial Unicode MS"/>
                <w:sz w:val="22"/>
                <w:szCs w:val="22"/>
                <w:lang w:val="el-GR" w:bidi="en-US"/>
              </w:rPr>
              <w:t>Επιθεωρήστε οπτικά την προγεμισμένη συσκευή τύπου πένας του AMGEVITA.</w:t>
            </w:r>
          </w:p>
        </w:tc>
      </w:tr>
      <w:tr w:rsidR="00171824" w14:paraId="0401BE2C" w14:textId="77777777">
        <w:trPr>
          <w:trHeight w:val="1624"/>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842"/>
              <w:gridCol w:w="2522"/>
              <w:gridCol w:w="4583"/>
            </w:tblGrid>
            <w:tr w:rsidR="00171824" w14:paraId="659C8E3A" w14:textId="77777777">
              <w:tc>
                <w:tcPr>
                  <w:tcW w:w="9107" w:type="dxa"/>
                  <w:gridSpan w:val="3"/>
                </w:tcPr>
                <w:p w14:paraId="763836D5" w14:textId="49DA7914" w:rsidR="00171824" w:rsidRDefault="009039B7">
                  <w:pPr>
                    <w:keepNext/>
                    <w:widowControl/>
                    <w:rPr>
                      <w:rFonts w:eastAsia="Calibri"/>
                      <w:bCs/>
                      <w:sz w:val="22"/>
                      <w:lang w:val="el-GR" w:bidi="en-US"/>
                    </w:rPr>
                  </w:pPr>
                  <w:r>
                    <w:rPr>
                      <w:rFonts w:eastAsia="Calibri"/>
                      <w:noProof/>
                      <w:sz w:val="22"/>
                      <w:szCs w:val="22"/>
                      <w:lang w:val="el-GR" w:eastAsia="zh-CN"/>
                    </w:rPr>
                    <w:drawing>
                      <wp:inline distT="0" distB="0" distL="0" distR="0" wp14:anchorId="46583203" wp14:editId="1585D21E">
                        <wp:extent cx="3383280" cy="914400"/>
                        <wp:effectExtent l="0" t="0" r="0" b="0"/>
                        <wp:docPr id="29" name="Picture 12" descr="ILL0950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LL0950 v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3280" cy="914400"/>
                                </a:xfrm>
                                <a:prstGeom prst="rect">
                                  <a:avLst/>
                                </a:prstGeom>
                                <a:noFill/>
                                <a:ln>
                                  <a:noFill/>
                                </a:ln>
                              </pic:spPr>
                            </pic:pic>
                          </a:graphicData>
                        </a:graphic>
                      </wp:inline>
                    </w:drawing>
                  </w:r>
                </w:p>
              </w:tc>
            </w:tr>
            <w:tr w:rsidR="00171824" w14:paraId="23DC0D80" w14:textId="77777777">
              <w:tc>
                <w:tcPr>
                  <w:tcW w:w="1843" w:type="dxa"/>
                </w:tcPr>
                <w:p w14:paraId="420922DC" w14:textId="77777777" w:rsidR="00171824" w:rsidRDefault="006D258C">
                  <w:pPr>
                    <w:keepNext/>
                    <w:widowControl/>
                    <w:rPr>
                      <w:rFonts w:eastAsia="Calibri"/>
                      <w:bCs/>
                      <w:sz w:val="22"/>
                      <w:lang w:val="el-GR" w:bidi="en-US"/>
                    </w:rPr>
                  </w:pPr>
                  <w:r>
                    <w:rPr>
                      <w:rFonts w:eastAsia="Arial Unicode MS" w:cs="Arial Unicode MS"/>
                      <w:bCs/>
                      <w:sz w:val="22"/>
                      <w:szCs w:val="22"/>
                      <w:lang w:val="el-GR" w:bidi="en-US"/>
                    </w:rPr>
                    <w:t>Κίτρινο κάλυμμα, κλειστό</w:t>
                  </w:r>
                </w:p>
              </w:tc>
              <w:tc>
                <w:tcPr>
                  <w:tcW w:w="2552" w:type="dxa"/>
                </w:tcPr>
                <w:p w14:paraId="738B18F3" w14:textId="77777777" w:rsidR="00171824" w:rsidRDefault="006D258C">
                  <w:pPr>
                    <w:keepNext/>
                    <w:widowControl/>
                    <w:jc w:val="center"/>
                    <w:rPr>
                      <w:rFonts w:eastAsia="Calibri"/>
                      <w:bCs/>
                      <w:sz w:val="22"/>
                      <w:lang w:val="el-GR" w:bidi="en-US"/>
                    </w:rPr>
                  </w:pPr>
                  <w:r>
                    <w:rPr>
                      <w:rFonts w:eastAsia="Arial Unicode MS" w:cs="Arial Unicode MS"/>
                      <w:bCs/>
                      <w:sz w:val="22"/>
                      <w:szCs w:val="22"/>
                      <w:lang w:val="el-GR" w:bidi="en-US"/>
                    </w:rPr>
                    <w:t>Παράθυρο</w:t>
                  </w:r>
                </w:p>
              </w:tc>
              <w:tc>
                <w:tcPr>
                  <w:tcW w:w="4712" w:type="dxa"/>
                </w:tcPr>
                <w:p w14:paraId="3A4929F9" w14:textId="77777777" w:rsidR="00171824" w:rsidRDefault="006D258C">
                  <w:pPr>
                    <w:keepNext/>
                    <w:widowControl/>
                    <w:rPr>
                      <w:rFonts w:eastAsia="Calibri"/>
                      <w:bCs/>
                      <w:sz w:val="22"/>
                      <w:lang w:val="el-GR" w:bidi="en-US"/>
                    </w:rPr>
                  </w:pPr>
                  <w:r>
                    <w:rPr>
                      <w:rFonts w:eastAsia="Arial Unicode MS" w:cs="Arial Unicode MS"/>
                      <w:bCs/>
                      <w:sz w:val="22"/>
                      <w:szCs w:val="22"/>
                      <w:lang w:val="el-GR" w:bidi="en-US"/>
                    </w:rPr>
                    <w:t>Φάρμακο</w:t>
                  </w:r>
                </w:p>
              </w:tc>
            </w:tr>
          </w:tbl>
          <w:p w14:paraId="4BFEAB62" w14:textId="77777777" w:rsidR="00171824" w:rsidRDefault="00171824">
            <w:pPr>
              <w:keepNext/>
              <w:widowControl/>
              <w:rPr>
                <w:rFonts w:eastAsia="Calibri"/>
                <w:bCs/>
                <w:sz w:val="22"/>
                <w:lang w:val="el-GR"/>
              </w:rPr>
            </w:pPr>
          </w:p>
        </w:tc>
      </w:tr>
      <w:tr w:rsidR="00171824" w:rsidRPr="00A07F46" w14:paraId="1363A89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1E96338" w14:textId="77777777" w:rsidR="00171824" w:rsidRDefault="006D258C">
            <w:pPr>
              <w:keepNext/>
              <w:widowControl/>
              <w:rPr>
                <w:rFonts w:eastAsia="Calibri"/>
                <w:b/>
                <w:bCs/>
                <w:sz w:val="22"/>
                <w:lang w:val="el-GR" w:bidi="en-US"/>
              </w:rPr>
            </w:pPr>
            <w:r>
              <w:rPr>
                <w:rFonts w:eastAsia="Arial Unicode MS" w:cs="Arial Unicode MS"/>
                <w:b/>
                <w:bCs/>
                <w:sz w:val="22"/>
                <w:szCs w:val="22"/>
                <w:lang w:val="el-GR" w:bidi="en-US"/>
              </w:rPr>
              <w:t>Βεβαιωθείτε ότι το φάρμακο που φαίνεται στο παράθυρο της συσκευής τύπου πένας είναι διάφανο και άχρωμο προς ελαφρώς κίτρινο.</w:t>
            </w:r>
          </w:p>
          <w:p w14:paraId="01902EE5" w14:textId="77777777" w:rsidR="00171824" w:rsidRDefault="00171824">
            <w:pPr>
              <w:keepNext/>
              <w:widowControl/>
              <w:rPr>
                <w:rFonts w:eastAsia="Calibri"/>
                <w:bCs/>
                <w:sz w:val="22"/>
                <w:lang w:val="el-GR"/>
              </w:rPr>
            </w:pPr>
          </w:p>
        </w:tc>
      </w:tr>
      <w:tr w:rsidR="00171824" w:rsidRPr="00422380" w14:paraId="66C83442" w14:textId="77777777">
        <w:tc>
          <w:tcPr>
            <w:tcW w:w="303" w:type="pct"/>
            <w:tcBorders>
              <w:top w:val="nil"/>
              <w:left w:val="single" w:sz="4" w:space="0" w:color="auto"/>
              <w:bottom w:val="nil"/>
              <w:right w:val="nil"/>
            </w:tcBorders>
            <w:tcMar>
              <w:top w:w="28" w:type="dxa"/>
              <w:left w:w="57" w:type="dxa"/>
              <w:bottom w:w="28" w:type="dxa"/>
              <w:right w:w="57" w:type="dxa"/>
            </w:tcMar>
          </w:tcPr>
          <w:p w14:paraId="714842F5" w14:textId="77777777" w:rsidR="00171824" w:rsidRDefault="006D258C">
            <w:pPr>
              <w:keepNext/>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6" w:type="pct"/>
            <w:tcBorders>
              <w:top w:val="nil"/>
              <w:left w:val="nil"/>
              <w:bottom w:val="nil"/>
              <w:right w:val="single" w:sz="4" w:space="0" w:color="auto"/>
            </w:tcBorders>
            <w:tcMar>
              <w:left w:w="57" w:type="dxa"/>
            </w:tcMar>
          </w:tcPr>
          <w:p w14:paraId="7C3DB7FC" w14:textId="77777777" w:rsidR="00171824" w:rsidRDefault="006D258C">
            <w:pPr>
              <w:keepNext/>
              <w:widowControl/>
              <w:suppressAutoHyphens/>
              <w:contextualSpacing/>
              <w:textAlignment w:val="center"/>
              <w:rPr>
                <w:rFonts w:eastAsia="PMingLiU"/>
                <w:color w:val="000000"/>
                <w:sz w:val="22"/>
                <w:lang w:val="el-GR" w:bidi="en-US"/>
              </w:rPr>
            </w:pPr>
            <w:r>
              <w:rPr>
                <w:rFonts w:eastAsia="Arial Unicode MS" w:cs="Arial Unicode MS"/>
                <w:b/>
                <w:bCs/>
                <w:color w:val="000000"/>
                <w:sz w:val="22"/>
                <w:szCs w:val="22"/>
                <w:lang w:val="el-GR" w:bidi="en-US"/>
              </w:rPr>
              <w:t>Μη</w:t>
            </w:r>
            <w:r>
              <w:rPr>
                <w:rFonts w:eastAsia="Arial Unicode MS" w:cs="Arial Unicode MS"/>
                <w:color w:val="000000"/>
                <w:sz w:val="22"/>
                <w:szCs w:val="22"/>
                <w:lang w:val="el-GR" w:bidi="en-US"/>
              </w:rPr>
              <w:t xml:space="preserve"> χρησιμοποιήσετε την προγεμισμένη </w:t>
            </w:r>
            <w:r>
              <w:rPr>
                <w:rFonts w:eastAsia="Arial Unicode MS" w:cs="Arial Unicode MS"/>
                <w:sz w:val="22"/>
                <w:szCs w:val="22"/>
                <w:lang w:val="el-GR" w:bidi="en-US"/>
              </w:rPr>
              <w:t xml:space="preserve">συσκευή τύπου πένας </w:t>
            </w:r>
            <w:r>
              <w:rPr>
                <w:rFonts w:eastAsia="Arial Unicode MS" w:cs="Arial Unicode MS"/>
                <w:color w:val="000000"/>
                <w:sz w:val="22"/>
                <w:szCs w:val="22"/>
                <w:lang w:val="el-GR" w:bidi="en-US"/>
              </w:rPr>
              <w:t>εάν:</w:t>
            </w:r>
          </w:p>
        </w:tc>
      </w:tr>
      <w:tr w:rsidR="00171824" w:rsidRPr="00422380" w14:paraId="223CC214" w14:textId="77777777">
        <w:tc>
          <w:tcPr>
            <w:tcW w:w="303" w:type="pct"/>
            <w:tcBorders>
              <w:top w:val="nil"/>
              <w:left w:val="single" w:sz="4" w:space="0" w:color="auto"/>
              <w:bottom w:val="nil"/>
              <w:right w:val="nil"/>
            </w:tcBorders>
            <w:tcMar>
              <w:top w:w="28" w:type="dxa"/>
              <w:left w:w="57" w:type="dxa"/>
              <w:bottom w:w="28" w:type="dxa"/>
              <w:right w:w="57" w:type="dxa"/>
            </w:tcMar>
          </w:tcPr>
          <w:p w14:paraId="2989AF9B" w14:textId="77777777" w:rsidR="00171824" w:rsidRDefault="00171824">
            <w:pPr>
              <w:keepNext/>
              <w:widowControl/>
              <w:tabs>
                <w:tab w:val="left" w:pos="567"/>
              </w:tabs>
              <w:autoSpaceDE/>
              <w:autoSpaceDN/>
              <w:adjustRightInd/>
              <w:rPr>
                <w:rFonts w:eastAsia="PMingLiU"/>
                <w:color w:val="000000"/>
                <w:sz w:val="22"/>
                <w:lang w:val="el-GR"/>
              </w:rPr>
            </w:pPr>
          </w:p>
        </w:tc>
        <w:tc>
          <w:tcPr>
            <w:tcW w:w="4696" w:type="pct"/>
            <w:tcBorders>
              <w:top w:val="nil"/>
              <w:left w:val="nil"/>
              <w:bottom w:val="nil"/>
              <w:right w:val="single" w:sz="4" w:space="0" w:color="auto"/>
            </w:tcBorders>
            <w:tcMar>
              <w:left w:w="57" w:type="dxa"/>
            </w:tcMar>
          </w:tcPr>
          <w:p w14:paraId="222288CE" w14:textId="77777777" w:rsidR="00171824" w:rsidRDefault="006D258C">
            <w:pPr>
              <w:keepNext/>
              <w:widowControl/>
              <w:numPr>
                <w:ilvl w:val="0"/>
                <w:numId w:val="28"/>
              </w:numPr>
              <w:tabs>
                <w:tab w:val="left" w:pos="567"/>
              </w:tabs>
              <w:autoSpaceDE/>
              <w:autoSpaceDN/>
              <w:adjustRightInd/>
              <w:contextualSpacing/>
              <w:rPr>
                <w:rFonts w:eastAsia="PMingLiU"/>
                <w:sz w:val="22"/>
                <w:lang w:val="el-GR" w:bidi="en-US"/>
              </w:rPr>
            </w:pPr>
            <w:r>
              <w:rPr>
                <w:rFonts w:eastAsia="Arial Unicode MS" w:cs="Arial Unicode MS"/>
                <w:sz w:val="22"/>
                <w:szCs w:val="22"/>
                <w:lang w:val="el-GR" w:bidi="en-US"/>
              </w:rPr>
              <w:t>Το φάρμακο είναι θολό ή αποχρωματισμένο ή περιέχει νιφάδες ή σωματίδια.</w:t>
            </w:r>
          </w:p>
          <w:p w14:paraId="21E702DB" w14:textId="77777777" w:rsidR="00171824" w:rsidRDefault="006D258C">
            <w:pPr>
              <w:keepNext/>
              <w:widowControl/>
              <w:numPr>
                <w:ilvl w:val="0"/>
                <w:numId w:val="28"/>
              </w:numPr>
              <w:tabs>
                <w:tab w:val="left" w:pos="567"/>
              </w:tabs>
              <w:autoSpaceDE/>
              <w:autoSpaceDN/>
              <w:adjustRightInd/>
              <w:contextualSpacing/>
              <w:rPr>
                <w:rFonts w:eastAsia="PMingLiU"/>
                <w:sz w:val="22"/>
                <w:lang w:val="el-GR" w:bidi="en-US"/>
              </w:rPr>
            </w:pPr>
            <w:r>
              <w:rPr>
                <w:rFonts w:eastAsia="Arial Unicode MS" w:cs="Arial Unicode MS"/>
                <w:sz w:val="22"/>
                <w:szCs w:val="22"/>
                <w:lang w:val="el-GR" w:bidi="en-US"/>
              </w:rPr>
              <w:t>Κάποιο μέρος της φαίνεται να είναι ραγισμένο ή σπασμένο.</w:t>
            </w:r>
          </w:p>
          <w:p w14:paraId="366551FE" w14:textId="77777777" w:rsidR="00171824" w:rsidRDefault="006D258C">
            <w:pPr>
              <w:keepNext/>
              <w:widowControl/>
              <w:numPr>
                <w:ilvl w:val="0"/>
                <w:numId w:val="28"/>
              </w:numPr>
              <w:tabs>
                <w:tab w:val="left" w:pos="567"/>
              </w:tabs>
              <w:autoSpaceDE/>
              <w:autoSpaceDN/>
              <w:adjustRightInd/>
              <w:contextualSpacing/>
              <w:rPr>
                <w:rFonts w:eastAsia="PMingLiU"/>
                <w:sz w:val="22"/>
                <w:lang w:val="el-GR" w:bidi="en-US"/>
              </w:rPr>
            </w:pPr>
            <w:r>
              <w:rPr>
                <w:rFonts w:eastAsia="Arial Unicode MS" w:cs="Arial Unicode MS"/>
                <w:sz w:val="22"/>
                <w:szCs w:val="22"/>
                <w:lang w:val="el-GR" w:bidi="en-US"/>
              </w:rPr>
              <w:t>H προγεμισμένη συσκευή τύπου πένας έχει πέσει επάνω σε μία σκληρή επιφάνεια.</w:t>
            </w:r>
          </w:p>
          <w:p w14:paraId="68074D38" w14:textId="77777777" w:rsidR="00171824" w:rsidRDefault="006D258C">
            <w:pPr>
              <w:keepNext/>
              <w:widowControl/>
              <w:numPr>
                <w:ilvl w:val="0"/>
                <w:numId w:val="28"/>
              </w:numPr>
              <w:tabs>
                <w:tab w:val="left" w:pos="567"/>
              </w:tabs>
              <w:autoSpaceDE/>
              <w:autoSpaceDN/>
              <w:adjustRightInd/>
              <w:contextualSpacing/>
              <w:rPr>
                <w:rFonts w:eastAsia="PMingLiU"/>
                <w:sz w:val="22"/>
                <w:lang w:val="el-GR" w:bidi="en-US"/>
              </w:rPr>
            </w:pPr>
            <w:r>
              <w:rPr>
                <w:rFonts w:eastAsia="Arial Unicode MS" w:cs="Arial Unicode MS"/>
                <w:sz w:val="22"/>
                <w:szCs w:val="22"/>
                <w:lang w:val="el-GR" w:bidi="en-US"/>
              </w:rPr>
              <w:t>Το κίτρινο κάλυμμα λείπει ή δεν είναι καλά τοποθετημένο.</w:t>
            </w:r>
          </w:p>
          <w:p w14:paraId="7B2A5646" w14:textId="77777777" w:rsidR="00171824" w:rsidRDefault="006D258C">
            <w:pPr>
              <w:keepNext/>
              <w:widowControl/>
              <w:numPr>
                <w:ilvl w:val="0"/>
                <w:numId w:val="28"/>
              </w:numPr>
              <w:tabs>
                <w:tab w:val="left" w:pos="567"/>
              </w:tabs>
              <w:autoSpaceDE/>
              <w:autoSpaceDN/>
              <w:adjustRightInd/>
              <w:contextualSpacing/>
              <w:rPr>
                <w:rFonts w:eastAsia="PMingLiU"/>
                <w:sz w:val="22"/>
                <w:lang w:val="el-GR" w:bidi="en-US"/>
              </w:rPr>
            </w:pPr>
            <w:r>
              <w:rPr>
                <w:rFonts w:eastAsia="Arial Unicode MS" w:cs="Arial Unicode MS"/>
                <w:sz w:val="22"/>
                <w:szCs w:val="22"/>
                <w:lang w:val="el-GR" w:bidi="en-US"/>
              </w:rPr>
              <w:t>Η ημερομηνία λήξης που είναι τυπωμένη στην ετικέτα έχει παρέλθει.</w:t>
            </w:r>
          </w:p>
        </w:tc>
      </w:tr>
      <w:tr w:rsidR="00171824" w:rsidRPr="00422380" w14:paraId="4192EB89"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0FEE3C7B" w14:textId="77777777" w:rsidR="00171824" w:rsidRDefault="006D258C">
            <w:pPr>
              <w:widowControl/>
              <w:autoSpaceDE/>
              <w:autoSpaceDN/>
              <w:adjustRightInd/>
              <w:ind w:right="-46"/>
              <w:rPr>
                <w:color w:val="231F20"/>
                <w:sz w:val="22"/>
                <w:lang w:val="el-GR" w:bidi="en-US"/>
              </w:rPr>
            </w:pPr>
            <w:r>
              <w:rPr>
                <w:rFonts w:eastAsia="Arial Unicode MS" w:cs="Arial Unicode MS"/>
                <w:color w:val="000000"/>
                <w:sz w:val="22"/>
                <w:szCs w:val="22"/>
                <w:lang w:val="el-GR" w:bidi="en-US"/>
              </w:rPr>
              <w:t xml:space="preserve">Σε οποιαδήποτε από τις περιπτώσεις αυτές, χρησιμοποιήστε μία νέα προγεμισμένη </w:t>
            </w:r>
            <w:r>
              <w:rPr>
                <w:rFonts w:eastAsia="Arial Unicode MS" w:cs="Arial Unicode MS"/>
                <w:sz w:val="22"/>
                <w:szCs w:val="22"/>
                <w:lang w:val="el-GR" w:bidi="en-US"/>
              </w:rPr>
              <w:t>συσκευή τύπου πένας</w:t>
            </w:r>
            <w:r>
              <w:rPr>
                <w:rFonts w:eastAsia="Arial Unicode MS" w:cs="Arial Unicode MS"/>
                <w:color w:val="000000"/>
                <w:sz w:val="22"/>
                <w:szCs w:val="22"/>
                <w:lang w:val="el-GR" w:bidi="en-US"/>
              </w:rPr>
              <w:t>.</w:t>
            </w:r>
          </w:p>
        </w:tc>
      </w:tr>
    </w:tbl>
    <w:p w14:paraId="3C62D118" w14:textId="77777777" w:rsidR="00171824" w:rsidRDefault="00171824">
      <w:pPr>
        <w:widowControl/>
        <w:tabs>
          <w:tab w:val="left" w:pos="567"/>
        </w:tabs>
        <w:autoSpaceDE/>
        <w:autoSpaceDN/>
        <w:adjustRightInd/>
        <w:rPr>
          <w:rFonts w:eastAsia="PMingLiU"/>
          <w:sz w:val="22"/>
          <w:szCs w:val="20"/>
          <w:lang w:val="el-G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171824" w:rsidRPr="00422380" w14:paraId="10BDCB42"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FC55E5" w14:textId="77777777" w:rsidR="00171824" w:rsidRDefault="006D258C">
            <w:pPr>
              <w:widowControl/>
              <w:tabs>
                <w:tab w:val="left" w:pos="567"/>
              </w:tabs>
              <w:suppressAutoHyphens/>
              <w:textAlignment w:val="center"/>
              <w:rPr>
                <w:rFonts w:eastAsia="PMingLiU"/>
                <w:b/>
                <w:color w:val="000000"/>
                <w:sz w:val="22"/>
                <w:lang w:val="el-GR" w:bidi="en-US"/>
              </w:rPr>
            </w:pPr>
            <w:r>
              <w:rPr>
                <w:rFonts w:eastAsia="Arial Unicode MS" w:cs="Arial Unicode MS"/>
                <w:b/>
                <w:bCs/>
                <w:sz w:val="22"/>
                <w:lang w:val="el-GR" w:bidi="en-US"/>
              </w:rPr>
              <w:lastRenderedPageBreak/>
              <w:t>Γ.</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2C77F34E" w14:textId="77777777" w:rsidR="00171824" w:rsidRDefault="006D258C">
            <w:pPr>
              <w:widowControl/>
              <w:suppressAutoHyphens/>
              <w:textAlignment w:val="center"/>
              <w:rPr>
                <w:rFonts w:eastAsia="PMingLiU"/>
                <w:bCs/>
                <w:color w:val="000000"/>
                <w:sz w:val="22"/>
                <w:lang w:val="el-GR" w:bidi="en-US"/>
              </w:rPr>
            </w:pPr>
            <w:r>
              <w:rPr>
                <w:rFonts w:eastAsia="Arial Unicode MS" w:cs="Arial Unicode MS"/>
                <w:bCs/>
                <w:color w:val="000000"/>
                <w:sz w:val="22"/>
                <w:szCs w:val="22"/>
                <w:lang w:val="el-GR" w:bidi="en-US"/>
              </w:rPr>
              <w:t>Συγκεντρώστε όλα τα υλικά που απαιτούνται για την ένεσή σας.</w:t>
            </w:r>
          </w:p>
        </w:tc>
      </w:tr>
      <w:tr w:rsidR="00171824" w:rsidRPr="00422380" w14:paraId="04BB020F"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C2B673C"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Πλύνετε σχολαστικά τα χέρια σας με σαπούνι και νερό.</w:t>
            </w:r>
          </w:p>
          <w:p w14:paraId="082454D9"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2"/>
                <w:lang w:val="el-GR" w:bidi="en-US"/>
              </w:rPr>
              <w:t xml:space="preserve">Σε μία καθαρή, καλά φωτισμένη επιφάνεια εργασίας, τοποθετήστε </w:t>
            </w:r>
            <w:r>
              <w:rPr>
                <w:rFonts w:eastAsia="Arial Unicode MS" w:cs="Arial Unicode MS"/>
                <w:sz w:val="22"/>
                <w:szCs w:val="20"/>
                <w:lang w:val="el-GR" w:bidi="en-US"/>
              </w:rPr>
              <w:t xml:space="preserve">μία νέα προγεμισμένη </w:t>
            </w:r>
            <w:r>
              <w:rPr>
                <w:rFonts w:eastAsia="Arial Unicode MS" w:cs="Arial Unicode MS"/>
                <w:sz w:val="22"/>
                <w:szCs w:val="22"/>
                <w:lang w:val="el-GR" w:bidi="en-US"/>
              </w:rPr>
              <w:t>συσκευή τύπου πένας</w:t>
            </w:r>
            <w:r>
              <w:rPr>
                <w:rFonts w:eastAsia="Arial Unicode MS" w:cs="Arial Unicode MS"/>
                <w:sz w:val="22"/>
                <w:szCs w:val="20"/>
                <w:lang w:val="el-GR" w:bidi="en-US"/>
              </w:rPr>
              <w:t>.</w:t>
            </w:r>
          </w:p>
          <w:p w14:paraId="74D7B975" w14:textId="77777777" w:rsidR="00171824" w:rsidRDefault="00171824">
            <w:pPr>
              <w:widowControl/>
              <w:tabs>
                <w:tab w:val="left" w:pos="567"/>
              </w:tabs>
              <w:autoSpaceDE/>
              <w:autoSpaceDN/>
              <w:adjustRightInd/>
              <w:rPr>
                <w:rFonts w:eastAsia="PMingLiU"/>
                <w:sz w:val="22"/>
                <w:lang w:val="el-GR"/>
              </w:rPr>
            </w:pPr>
          </w:p>
          <w:p w14:paraId="12F2B94A"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sz w:val="22"/>
                <w:szCs w:val="20"/>
                <w:lang w:val="el-GR" w:bidi="en-US"/>
              </w:rPr>
              <w:t>Θα χρειαστείτε επίσης τα ακόλουθα επιπρόσθετα αντικείμενα, τα οποία δεν περιλαμβάνονται στο κουτί της συσκευασίας</w:t>
            </w:r>
            <w:r>
              <w:rPr>
                <w:rFonts w:eastAsia="Arial Unicode MS" w:cs="Arial Unicode MS"/>
                <w:sz w:val="22"/>
                <w:szCs w:val="22"/>
                <w:lang w:val="el-GR" w:bidi="en-US"/>
              </w:rPr>
              <w:t>:</w:t>
            </w:r>
          </w:p>
        </w:tc>
      </w:tr>
      <w:tr w:rsidR="00171824" w14:paraId="44E35FB2" w14:textId="77777777">
        <w:tc>
          <w:tcPr>
            <w:tcW w:w="303" w:type="pct"/>
            <w:tcBorders>
              <w:top w:val="nil"/>
              <w:left w:val="single" w:sz="4" w:space="0" w:color="auto"/>
              <w:bottom w:val="nil"/>
              <w:right w:val="nil"/>
            </w:tcBorders>
            <w:tcMar>
              <w:top w:w="28" w:type="dxa"/>
              <w:left w:w="57" w:type="dxa"/>
              <w:bottom w:w="28" w:type="dxa"/>
              <w:right w:w="57" w:type="dxa"/>
            </w:tcMar>
          </w:tcPr>
          <w:p w14:paraId="154AB971"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6EB8DC2B"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Μαντηλάκια οινοπνεύματος</w:t>
            </w:r>
          </w:p>
        </w:tc>
      </w:tr>
      <w:tr w:rsidR="00171824" w14:paraId="5B47BDCA" w14:textId="77777777">
        <w:tc>
          <w:tcPr>
            <w:tcW w:w="303" w:type="pct"/>
            <w:tcBorders>
              <w:top w:val="nil"/>
              <w:left w:val="single" w:sz="4" w:space="0" w:color="auto"/>
              <w:bottom w:val="nil"/>
              <w:right w:val="nil"/>
            </w:tcBorders>
            <w:tcMar>
              <w:top w:w="28" w:type="dxa"/>
              <w:left w:w="57" w:type="dxa"/>
              <w:bottom w:w="28" w:type="dxa"/>
              <w:right w:w="57" w:type="dxa"/>
            </w:tcMar>
          </w:tcPr>
          <w:p w14:paraId="61DB1617"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2CEB55CF"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Κομμάτι βαμβάκι ή γάζα</w:t>
            </w:r>
          </w:p>
        </w:tc>
      </w:tr>
      <w:tr w:rsidR="00171824" w14:paraId="09E865B7" w14:textId="77777777">
        <w:tc>
          <w:tcPr>
            <w:tcW w:w="303" w:type="pct"/>
            <w:tcBorders>
              <w:top w:val="nil"/>
              <w:left w:val="single" w:sz="4" w:space="0" w:color="auto"/>
              <w:bottom w:val="nil"/>
              <w:right w:val="nil"/>
            </w:tcBorders>
            <w:tcMar>
              <w:top w:w="28" w:type="dxa"/>
              <w:left w:w="57" w:type="dxa"/>
              <w:bottom w:w="28" w:type="dxa"/>
              <w:right w:w="57" w:type="dxa"/>
            </w:tcMar>
          </w:tcPr>
          <w:p w14:paraId="6A48D52F"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07274E02"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Αυτοκόλλητος επίδεσμος</w:t>
            </w:r>
          </w:p>
        </w:tc>
      </w:tr>
      <w:tr w:rsidR="00171824" w14:paraId="32A06497" w14:textId="77777777">
        <w:tc>
          <w:tcPr>
            <w:tcW w:w="303" w:type="pct"/>
            <w:tcBorders>
              <w:top w:val="nil"/>
              <w:left w:val="single" w:sz="4" w:space="0" w:color="auto"/>
              <w:bottom w:val="nil"/>
              <w:right w:val="nil"/>
            </w:tcBorders>
            <w:tcMar>
              <w:top w:w="28" w:type="dxa"/>
              <w:left w:w="57" w:type="dxa"/>
              <w:bottom w:w="28" w:type="dxa"/>
              <w:right w:w="57" w:type="dxa"/>
            </w:tcMar>
          </w:tcPr>
          <w:p w14:paraId="3392DFCB"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24A03F12"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Δοχείο απόρριψης αιχμηρών αντικειμένων</w:t>
            </w:r>
          </w:p>
        </w:tc>
      </w:tr>
      <w:tr w:rsidR="00171824" w14:paraId="2916AB48"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171824" w14:paraId="2859134C" w14:textId="77777777">
              <w:tc>
                <w:tcPr>
                  <w:tcW w:w="2830" w:type="dxa"/>
                  <w:vAlign w:val="center"/>
                </w:tcPr>
                <w:p w14:paraId="4E3FC088" w14:textId="50141B26" w:rsidR="00171824" w:rsidRDefault="009039B7">
                  <w:pPr>
                    <w:widowControl/>
                    <w:autoSpaceDE/>
                    <w:autoSpaceDN/>
                    <w:adjustRightInd/>
                    <w:ind w:right="-46"/>
                    <w:jc w:val="center"/>
                    <w:rPr>
                      <w:color w:val="231F20"/>
                      <w:sz w:val="22"/>
                      <w:lang w:val="el-GR" w:bidi="en-US"/>
                    </w:rPr>
                  </w:pPr>
                  <w:r>
                    <w:rPr>
                      <w:noProof/>
                      <w:sz w:val="22"/>
                      <w:szCs w:val="22"/>
                      <w:lang w:val="el-GR" w:eastAsia="zh-CN"/>
                    </w:rPr>
                    <w:drawing>
                      <wp:inline distT="0" distB="0" distL="0" distR="0" wp14:anchorId="322E7FCA" wp14:editId="7A19EFDE">
                        <wp:extent cx="1457325" cy="182880"/>
                        <wp:effectExtent l="0" t="0" r="0" b="0"/>
                        <wp:docPr id="30" name="Picture 48" descr="ILL0937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LL0937 v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57325" cy="182880"/>
                                </a:xfrm>
                                <a:prstGeom prst="rect">
                                  <a:avLst/>
                                </a:prstGeom>
                                <a:noFill/>
                                <a:ln>
                                  <a:noFill/>
                                </a:ln>
                              </pic:spPr>
                            </pic:pic>
                          </a:graphicData>
                        </a:graphic>
                      </wp:inline>
                    </w:drawing>
                  </w:r>
                </w:p>
              </w:tc>
              <w:tc>
                <w:tcPr>
                  <w:tcW w:w="6237" w:type="dxa"/>
                </w:tcPr>
                <w:p w14:paraId="7ECA0CC6" w14:textId="4B82A2FE" w:rsidR="00171824" w:rsidRDefault="009039B7">
                  <w:pPr>
                    <w:widowControl/>
                    <w:autoSpaceDE/>
                    <w:autoSpaceDN/>
                    <w:adjustRightInd/>
                    <w:ind w:right="-46"/>
                    <w:rPr>
                      <w:color w:val="231F20"/>
                      <w:sz w:val="22"/>
                      <w:lang w:val="el-GR" w:bidi="en-US"/>
                    </w:rPr>
                  </w:pPr>
                  <w:r>
                    <w:rPr>
                      <w:noProof/>
                      <w:sz w:val="22"/>
                      <w:szCs w:val="22"/>
                      <w:lang w:val="el-GR" w:eastAsia="zh-CN"/>
                    </w:rPr>
                    <w:drawing>
                      <wp:inline distT="0" distB="0" distL="0" distR="0" wp14:anchorId="41F41EF3" wp14:editId="61BA84B9">
                        <wp:extent cx="1731645" cy="1097280"/>
                        <wp:effectExtent l="0" t="0" r="0" b="0"/>
                        <wp:docPr id="31" name="Picture 47" descr="ILL0012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LL0012 v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1645" cy="1097280"/>
                                </a:xfrm>
                                <a:prstGeom prst="rect">
                                  <a:avLst/>
                                </a:prstGeom>
                                <a:noFill/>
                                <a:ln>
                                  <a:noFill/>
                                </a:ln>
                              </pic:spPr>
                            </pic:pic>
                          </a:graphicData>
                        </a:graphic>
                      </wp:inline>
                    </w:drawing>
                  </w:r>
                </w:p>
              </w:tc>
            </w:tr>
          </w:tbl>
          <w:p w14:paraId="7C461EC0" w14:textId="77777777" w:rsidR="00171824" w:rsidRDefault="00171824">
            <w:pPr>
              <w:widowControl/>
              <w:autoSpaceDE/>
              <w:autoSpaceDN/>
              <w:adjustRightInd/>
              <w:ind w:right="-46"/>
              <w:rPr>
                <w:color w:val="231F20"/>
                <w:sz w:val="22"/>
                <w:lang w:val="el-GR" w:eastAsia="ja-JP"/>
              </w:rPr>
            </w:pPr>
          </w:p>
        </w:tc>
      </w:tr>
    </w:tbl>
    <w:p w14:paraId="65B5A2A0" w14:textId="77777777" w:rsidR="00171824" w:rsidRDefault="00171824">
      <w:pPr>
        <w:widowControl/>
        <w:suppressAutoHyphens/>
        <w:textAlignment w:val="center"/>
        <w:rPr>
          <w:rFonts w:eastAsia="PMingLiU"/>
          <w:b/>
          <w:bCs/>
          <w:sz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71824" w:rsidRPr="00422380" w14:paraId="6E76EAFC"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2CBA2E"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bCs/>
                <w:sz w:val="22"/>
                <w:lang w:val="el-GR" w:bidi="en-US"/>
              </w:rPr>
              <w:t>Δ.</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42EF3953" w14:textId="77777777" w:rsidR="00171824" w:rsidRDefault="006D258C">
            <w:pPr>
              <w:keepNext/>
              <w:keepLines/>
              <w:widowControl/>
              <w:suppressAutoHyphens/>
              <w:textAlignment w:val="center"/>
              <w:rPr>
                <w:rFonts w:eastAsia="PMingLiU"/>
                <w:b/>
                <w:bCs/>
                <w:color w:val="000000"/>
                <w:sz w:val="22"/>
                <w:lang w:val="el-GR" w:bidi="en-US"/>
              </w:rPr>
            </w:pPr>
            <w:r>
              <w:rPr>
                <w:rFonts w:eastAsia="Arial Unicode MS" w:cs="Arial Unicode MS"/>
                <w:bCs/>
                <w:color w:val="000000"/>
                <w:sz w:val="22"/>
                <w:szCs w:val="22"/>
                <w:lang w:val="el-GR" w:bidi="en-US"/>
              </w:rPr>
              <w:t>Προετοιμάστε και καθαρίστε τη θέση της ένεσης.</w:t>
            </w:r>
          </w:p>
        </w:tc>
      </w:tr>
      <w:tr w:rsidR="00171824" w14:paraId="4886864D"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64"/>
              <w:gridCol w:w="3593"/>
            </w:tblGrid>
            <w:tr w:rsidR="00171824" w14:paraId="187BE04C" w14:textId="77777777">
              <w:trPr>
                <w:trHeight w:val="1679"/>
                <w:jc w:val="right"/>
              </w:trPr>
              <w:tc>
                <w:tcPr>
                  <w:tcW w:w="2598" w:type="dxa"/>
                  <w:vMerge w:val="restart"/>
                </w:tcPr>
                <w:p w14:paraId="6321AA79" w14:textId="03D4DAA3" w:rsidR="00171824" w:rsidRDefault="009039B7">
                  <w:pPr>
                    <w:keepNext/>
                    <w:keepLines/>
                    <w:widowControl/>
                    <w:suppressAutoHyphens/>
                    <w:ind w:right="-108"/>
                    <w:textAlignment w:val="center"/>
                    <w:rPr>
                      <w:rFonts w:eastAsia="PMingLiU"/>
                      <w:b/>
                      <w:bCs/>
                      <w:color w:val="000000"/>
                      <w:sz w:val="22"/>
                      <w:lang w:val="el-GR" w:bidi="en-US"/>
                    </w:rPr>
                  </w:pPr>
                  <w:r>
                    <w:rPr>
                      <w:b/>
                      <w:noProof/>
                      <w:sz w:val="22"/>
                      <w:szCs w:val="22"/>
                      <w:lang w:val="el-GR" w:eastAsia="zh-CN"/>
                    </w:rPr>
                    <w:drawing>
                      <wp:inline distT="0" distB="0" distL="0" distR="0" wp14:anchorId="23CC967F" wp14:editId="3F42E195">
                        <wp:extent cx="1554480" cy="2188845"/>
                        <wp:effectExtent l="0" t="0" r="0" b="0"/>
                        <wp:docPr id="32" name="Picture 11" descr="ILL0124 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LL0124 v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54480" cy="2188845"/>
                                </a:xfrm>
                                <a:prstGeom prst="rect">
                                  <a:avLst/>
                                </a:prstGeom>
                                <a:noFill/>
                                <a:ln>
                                  <a:noFill/>
                                </a:ln>
                              </pic:spPr>
                            </pic:pic>
                          </a:graphicData>
                        </a:graphic>
                      </wp:inline>
                    </w:drawing>
                  </w:r>
                </w:p>
              </w:tc>
              <w:tc>
                <w:tcPr>
                  <w:tcW w:w="3593" w:type="dxa"/>
                  <w:vAlign w:val="bottom"/>
                </w:tcPr>
                <w:p w14:paraId="1D95D793" w14:textId="77777777" w:rsidR="00171824" w:rsidRDefault="006D258C">
                  <w:pPr>
                    <w:keepNext/>
                    <w:keepLines/>
                    <w:widowControl/>
                    <w:suppressAutoHyphens/>
                    <w:ind w:left="-36"/>
                    <w:textAlignment w:val="center"/>
                    <w:rPr>
                      <w:rFonts w:eastAsia="PMingLiU"/>
                      <w:bCs/>
                      <w:color w:val="000000"/>
                      <w:sz w:val="22"/>
                      <w:lang w:val="el-GR" w:bidi="en-US"/>
                    </w:rPr>
                  </w:pPr>
                  <w:r>
                    <w:rPr>
                      <w:rFonts w:eastAsia="Arial Unicode MS" w:cs="Arial Unicode MS"/>
                      <w:bCs/>
                      <w:color w:val="000000"/>
                      <w:sz w:val="22"/>
                      <w:szCs w:val="22"/>
                      <w:lang w:val="el-GR" w:bidi="en-US"/>
                    </w:rPr>
                    <w:t>Κοιλιά</w:t>
                  </w:r>
                </w:p>
              </w:tc>
            </w:tr>
            <w:tr w:rsidR="00171824" w14:paraId="2E92BD2E" w14:textId="77777777">
              <w:trPr>
                <w:jc w:val="right"/>
              </w:trPr>
              <w:tc>
                <w:tcPr>
                  <w:tcW w:w="2598" w:type="dxa"/>
                  <w:vMerge/>
                </w:tcPr>
                <w:p w14:paraId="6358786F" w14:textId="77777777" w:rsidR="00171824" w:rsidRDefault="00171824">
                  <w:pPr>
                    <w:keepNext/>
                    <w:keepLines/>
                    <w:widowControl/>
                    <w:suppressAutoHyphens/>
                    <w:textAlignment w:val="center"/>
                    <w:rPr>
                      <w:rFonts w:eastAsia="PMingLiU"/>
                      <w:b/>
                      <w:bCs/>
                      <w:color w:val="000000"/>
                      <w:sz w:val="22"/>
                      <w:lang w:val="el-GR" w:eastAsia="ja-JP"/>
                    </w:rPr>
                  </w:pPr>
                </w:p>
              </w:tc>
              <w:tc>
                <w:tcPr>
                  <w:tcW w:w="3593" w:type="dxa"/>
                  <w:vAlign w:val="center"/>
                </w:tcPr>
                <w:p w14:paraId="54111656" w14:textId="77777777" w:rsidR="00171824" w:rsidRDefault="006D258C">
                  <w:pPr>
                    <w:keepNext/>
                    <w:keepLines/>
                    <w:widowControl/>
                    <w:suppressAutoHyphens/>
                    <w:ind w:left="-36"/>
                    <w:textAlignment w:val="center"/>
                    <w:rPr>
                      <w:rFonts w:eastAsia="PMingLiU"/>
                      <w:bCs/>
                      <w:color w:val="000000"/>
                      <w:sz w:val="22"/>
                      <w:lang w:val="el-GR" w:bidi="en-US"/>
                    </w:rPr>
                  </w:pPr>
                  <w:r>
                    <w:rPr>
                      <w:rFonts w:eastAsia="Arial Unicode MS" w:cs="Arial Unicode MS"/>
                      <w:bCs/>
                      <w:color w:val="000000"/>
                      <w:sz w:val="22"/>
                      <w:szCs w:val="22"/>
                      <w:lang w:val="el-GR" w:bidi="en-US"/>
                    </w:rPr>
                    <w:t>Μηρός</w:t>
                  </w:r>
                </w:p>
              </w:tc>
            </w:tr>
          </w:tbl>
          <w:p w14:paraId="4E7062AE" w14:textId="77777777" w:rsidR="00171824" w:rsidRDefault="00171824">
            <w:pPr>
              <w:keepNext/>
              <w:keepLines/>
              <w:widowControl/>
              <w:tabs>
                <w:tab w:val="left" w:pos="567"/>
              </w:tabs>
              <w:autoSpaceDE/>
              <w:autoSpaceDN/>
              <w:adjustRightInd/>
              <w:rPr>
                <w:rFonts w:eastAsia="PMingLiU"/>
                <w:sz w:val="22"/>
                <w:lang w:val="el-GR"/>
              </w:rPr>
            </w:pPr>
          </w:p>
        </w:tc>
      </w:tr>
      <w:tr w:rsidR="00171824" w14:paraId="4E1C0C2C" w14:textId="77777777">
        <w:trPr>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BDB10AF" w14:textId="77777777" w:rsidR="00171824" w:rsidRDefault="006D258C">
            <w:pPr>
              <w:keepNext/>
              <w:keepLines/>
              <w:widowControl/>
              <w:tabs>
                <w:tab w:val="left" w:pos="567"/>
              </w:tabs>
              <w:suppressAutoHyphens/>
              <w:textAlignment w:val="center"/>
              <w:rPr>
                <w:rFonts w:eastAsia="PMingLiU"/>
                <w:b/>
                <w:bCs/>
                <w:color w:val="000000"/>
                <w:sz w:val="22"/>
                <w:lang w:val="el-GR" w:bidi="en-US"/>
              </w:rPr>
            </w:pPr>
            <w:r>
              <w:rPr>
                <w:rFonts w:eastAsia="Arial Unicode MS" w:cs="Arial Unicode MS"/>
                <w:b/>
                <w:bCs/>
                <w:color w:val="000000"/>
                <w:sz w:val="22"/>
                <w:szCs w:val="22"/>
                <w:lang w:val="el-GR" w:bidi="en-US"/>
              </w:rPr>
              <w:t>Μπορείτε να χρησιμοποιήσετε:</w:t>
            </w:r>
          </w:p>
        </w:tc>
      </w:tr>
      <w:tr w:rsidR="00171824" w14:paraId="7F3254DD" w14:textId="77777777">
        <w:tc>
          <w:tcPr>
            <w:tcW w:w="303" w:type="pct"/>
            <w:tcBorders>
              <w:top w:val="nil"/>
              <w:left w:val="single" w:sz="4" w:space="0" w:color="auto"/>
              <w:bottom w:val="nil"/>
              <w:right w:val="nil"/>
            </w:tcBorders>
            <w:tcMar>
              <w:top w:w="28" w:type="dxa"/>
              <w:left w:w="57" w:type="dxa"/>
              <w:bottom w:w="28" w:type="dxa"/>
              <w:right w:w="57" w:type="dxa"/>
            </w:tcMar>
          </w:tcPr>
          <w:p w14:paraId="250BE4E7" w14:textId="77777777" w:rsidR="00171824" w:rsidRDefault="006D258C">
            <w:pPr>
              <w:keepNext/>
              <w:keepLines/>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5459417E" w14:textId="77777777" w:rsidR="00171824" w:rsidRDefault="006D258C">
            <w:pPr>
              <w:keepNext/>
              <w:keepLines/>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Τον μηρό σας</w:t>
            </w:r>
          </w:p>
        </w:tc>
      </w:tr>
      <w:tr w:rsidR="00171824" w:rsidRPr="00422380" w14:paraId="67E2F487" w14:textId="77777777">
        <w:tc>
          <w:tcPr>
            <w:tcW w:w="303" w:type="pct"/>
            <w:tcBorders>
              <w:top w:val="nil"/>
              <w:left w:val="single" w:sz="4" w:space="0" w:color="auto"/>
              <w:bottom w:val="nil"/>
              <w:right w:val="nil"/>
            </w:tcBorders>
            <w:tcMar>
              <w:top w:w="28" w:type="dxa"/>
              <w:left w:w="57" w:type="dxa"/>
              <w:bottom w:w="28" w:type="dxa"/>
              <w:right w:w="57" w:type="dxa"/>
            </w:tcMar>
          </w:tcPr>
          <w:p w14:paraId="48EE972C" w14:textId="77777777" w:rsidR="00171824" w:rsidRDefault="006D258C">
            <w:pPr>
              <w:keepNext/>
              <w:keepLines/>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042A5A9D" w14:textId="77777777" w:rsidR="00171824" w:rsidRDefault="006D258C">
            <w:pPr>
              <w:keepNext/>
              <w:keepLines/>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Την κοιλιά, εκτός από μία περιοχή διαμέτρου 5 εκατοστών γύρω από τον ομφαλό σας</w:t>
            </w:r>
          </w:p>
        </w:tc>
      </w:tr>
      <w:tr w:rsidR="00171824" w:rsidRPr="00422380" w14:paraId="1B40B7D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8CBC16D" w14:textId="77777777" w:rsidR="00171824" w:rsidRDefault="00171824">
            <w:pPr>
              <w:keepNext/>
              <w:keepLines/>
              <w:widowControl/>
              <w:suppressAutoHyphens/>
              <w:contextualSpacing/>
              <w:textAlignment w:val="center"/>
              <w:rPr>
                <w:rFonts w:eastAsia="PMingLiU"/>
                <w:color w:val="000000"/>
                <w:sz w:val="22"/>
                <w:lang w:val="el-GR" w:eastAsia="en-GB"/>
              </w:rPr>
            </w:pPr>
          </w:p>
          <w:p w14:paraId="0BC83909" w14:textId="77777777" w:rsidR="00171824" w:rsidRDefault="006D258C">
            <w:pPr>
              <w:keepNext/>
              <w:keepLines/>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Καθαρίστε τη θέση της ένεσης με ένα μαντηλάκι οινοπνεύματος. Αφήστε το δέρμα σας να στεγνώσει.</w:t>
            </w:r>
          </w:p>
        </w:tc>
      </w:tr>
      <w:tr w:rsidR="00171824" w:rsidRPr="00422380" w14:paraId="66E1E190" w14:textId="77777777">
        <w:tc>
          <w:tcPr>
            <w:tcW w:w="303" w:type="pct"/>
            <w:tcBorders>
              <w:top w:val="nil"/>
              <w:left w:val="single" w:sz="4" w:space="0" w:color="auto"/>
              <w:bottom w:val="nil"/>
              <w:right w:val="nil"/>
            </w:tcBorders>
            <w:tcMar>
              <w:top w:w="28" w:type="dxa"/>
              <w:left w:w="57" w:type="dxa"/>
              <w:bottom w:w="28" w:type="dxa"/>
              <w:right w:w="57" w:type="dxa"/>
            </w:tcMar>
          </w:tcPr>
          <w:p w14:paraId="1CDA1F22" w14:textId="77777777" w:rsidR="00171824" w:rsidRDefault="006D258C">
            <w:pPr>
              <w:keepNext/>
              <w:keepLines/>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76E91545" w14:textId="77777777" w:rsidR="00171824" w:rsidRDefault="006D258C">
            <w:pPr>
              <w:keepNext/>
              <w:keepLines/>
              <w:widowControl/>
              <w:suppressAutoHyphens/>
              <w:contextualSpacing/>
              <w:textAlignment w:val="center"/>
              <w:rPr>
                <w:rFonts w:eastAsia="PMingLiU"/>
                <w:color w:val="000000"/>
                <w:sz w:val="22"/>
                <w:lang w:val="el-GR" w:bidi="en-US"/>
              </w:rPr>
            </w:pPr>
            <w:r>
              <w:rPr>
                <w:rFonts w:eastAsia="Arial Unicode MS" w:cs="Arial Unicode MS"/>
                <w:b/>
                <w:bCs/>
                <w:color w:val="000000"/>
                <w:sz w:val="22"/>
                <w:szCs w:val="22"/>
                <w:lang w:val="el-GR" w:bidi="en-US"/>
              </w:rPr>
              <w:t xml:space="preserve">Μην </w:t>
            </w:r>
            <w:r>
              <w:rPr>
                <w:rFonts w:eastAsia="Arial Unicode MS" w:cs="Arial Unicode MS"/>
                <w:color w:val="000000"/>
                <w:sz w:val="22"/>
                <w:szCs w:val="22"/>
                <w:lang w:val="el-GR" w:bidi="en-US"/>
              </w:rPr>
              <w:t>αγγίξετε αυτή την περιοχή ξανά πριν κάνετε την ένεση.</w:t>
            </w:r>
          </w:p>
        </w:tc>
      </w:tr>
      <w:tr w:rsidR="00171824" w:rsidRPr="00422380" w14:paraId="58190F83" w14:textId="77777777">
        <w:tc>
          <w:tcPr>
            <w:tcW w:w="303" w:type="pct"/>
            <w:tcBorders>
              <w:top w:val="nil"/>
              <w:left w:val="single" w:sz="4" w:space="0" w:color="auto"/>
              <w:bottom w:val="nil"/>
              <w:right w:val="nil"/>
            </w:tcBorders>
            <w:tcMar>
              <w:top w:w="28" w:type="dxa"/>
              <w:left w:w="57" w:type="dxa"/>
              <w:bottom w:w="28" w:type="dxa"/>
              <w:right w:w="57" w:type="dxa"/>
            </w:tcMar>
          </w:tcPr>
          <w:p w14:paraId="029747EE" w14:textId="77777777" w:rsidR="00171824" w:rsidRDefault="006D258C">
            <w:pPr>
              <w:keepNext/>
              <w:keepLines/>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57" w:type="dxa"/>
            </w:tcMar>
          </w:tcPr>
          <w:p w14:paraId="00AF172F" w14:textId="77777777" w:rsidR="00171824" w:rsidRDefault="006D258C">
            <w:pPr>
              <w:keepNext/>
              <w:keepLines/>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Εάν θέλετε να χρησιμοποιήσετε την ίδια θέση ένεσης, βεβαιωθείτε ότι δεν είναι το ίδιο ακριβώς σημείο της συγκεκριμένης θέσης ένεσης που χρησιμοποιήσατε για μία προηγούμενη ένεση.</w:t>
            </w:r>
          </w:p>
        </w:tc>
      </w:tr>
      <w:tr w:rsidR="00171824" w:rsidRPr="00422380" w14:paraId="51BA27CF" w14:textId="77777777">
        <w:tc>
          <w:tcPr>
            <w:tcW w:w="303" w:type="pct"/>
            <w:tcBorders>
              <w:top w:val="nil"/>
              <w:left w:val="single" w:sz="4" w:space="0" w:color="auto"/>
              <w:bottom w:val="nil"/>
              <w:right w:val="nil"/>
            </w:tcBorders>
            <w:tcMar>
              <w:top w:w="28" w:type="dxa"/>
              <w:left w:w="57" w:type="dxa"/>
              <w:bottom w:w="28" w:type="dxa"/>
              <w:right w:w="57" w:type="dxa"/>
            </w:tcMar>
          </w:tcPr>
          <w:p w14:paraId="5474F038" w14:textId="77777777" w:rsidR="00171824" w:rsidRDefault="00171824">
            <w:pPr>
              <w:widowControl/>
              <w:tabs>
                <w:tab w:val="left" w:pos="567"/>
              </w:tabs>
              <w:autoSpaceDE/>
              <w:autoSpaceDN/>
              <w:adjustRightInd/>
              <w:rPr>
                <w:rFonts w:eastAsia="PMingLiU"/>
                <w:color w:val="000000"/>
                <w:sz w:val="22"/>
                <w:lang w:val="el-GR"/>
              </w:rPr>
            </w:pPr>
          </w:p>
        </w:tc>
        <w:tc>
          <w:tcPr>
            <w:tcW w:w="4697" w:type="pct"/>
            <w:tcBorders>
              <w:top w:val="nil"/>
              <w:left w:val="nil"/>
              <w:bottom w:val="nil"/>
              <w:right w:val="single" w:sz="4" w:space="0" w:color="auto"/>
            </w:tcBorders>
            <w:tcMar>
              <w:left w:w="57" w:type="dxa"/>
            </w:tcMar>
          </w:tcPr>
          <w:p w14:paraId="25308710" w14:textId="77777777" w:rsidR="00171824" w:rsidRDefault="006D258C">
            <w:pPr>
              <w:widowControl/>
              <w:numPr>
                <w:ilvl w:val="0"/>
                <w:numId w:val="29"/>
              </w:numPr>
              <w:autoSpaceDE/>
              <w:autoSpaceDN/>
              <w:adjustRightInd/>
              <w:ind w:left="357" w:hanging="357"/>
              <w:contextualSpacing/>
              <w:rPr>
                <w:rFonts w:eastAsia="PMingLiU"/>
                <w:sz w:val="22"/>
                <w:lang w:val="el-GR" w:bidi="en-US"/>
              </w:rPr>
            </w:pPr>
            <w:r>
              <w:rPr>
                <w:rFonts w:eastAsia="Arial Unicode MS" w:cs="Arial Unicode MS"/>
                <w:b/>
                <w:sz w:val="22"/>
                <w:szCs w:val="22"/>
                <w:lang w:val="el-GR" w:bidi="en-US"/>
              </w:rPr>
              <w:t>Μην</w:t>
            </w:r>
            <w:r>
              <w:rPr>
                <w:rFonts w:eastAsia="Arial Unicode MS" w:cs="Arial Unicode MS"/>
                <w:sz w:val="22"/>
                <w:szCs w:val="22"/>
                <w:lang w:val="el-GR" w:bidi="en-US"/>
              </w:rPr>
              <w:t xml:space="preserve"> κάνετε την ένεση σε περιοχές όπου το δέρμα είναι ευαίσθητο, έχει μώλωπες, είναι ερυθρό ή σκληρό. Αποφεύγετε να κάνετε ενέσεις σε περιοχές με ουλές ή ραγάδες.</w:t>
            </w:r>
          </w:p>
        </w:tc>
      </w:tr>
      <w:tr w:rsidR="00171824" w:rsidRPr="00422380" w14:paraId="572A7A93"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6D961679" w14:textId="77777777" w:rsidR="00171824" w:rsidRDefault="006D258C">
            <w:pPr>
              <w:widowControl/>
              <w:tabs>
                <w:tab w:val="left" w:pos="567"/>
              </w:tabs>
              <w:autoSpaceDE/>
              <w:autoSpaceDN/>
              <w:adjustRightInd/>
              <w:rPr>
                <w:rFonts w:eastAsia="PMingLiU"/>
                <w:sz w:val="22"/>
                <w:lang w:val="el-GR" w:bidi="en-US"/>
              </w:rPr>
            </w:pPr>
            <w:r>
              <w:rPr>
                <w:rFonts w:eastAsia="Arial Unicode MS" w:cs="Arial Unicode MS"/>
                <w:color w:val="000000"/>
                <w:sz w:val="22"/>
                <w:szCs w:val="22"/>
                <w:lang w:val="el-GR" w:bidi="en-US"/>
              </w:rPr>
              <w:t>●</w:t>
            </w:r>
          </w:p>
        </w:tc>
        <w:tc>
          <w:tcPr>
            <w:tcW w:w="4697" w:type="pct"/>
            <w:tcBorders>
              <w:top w:val="nil"/>
              <w:left w:val="nil"/>
              <w:bottom w:val="single" w:sz="4" w:space="0" w:color="auto"/>
              <w:right w:val="single" w:sz="4" w:space="0" w:color="auto"/>
            </w:tcBorders>
            <w:tcMar>
              <w:left w:w="57" w:type="dxa"/>
            </w:tcMar>
          </w:tcPr>
          <w:p w14:paraId="31E91DD6" w14:textId="77777777" w:rsidR="00171824" w:rsidRDefault="006D258C">
            <w:pPr>
              <w:widowControl/>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Εάν έχετε ψωρίαση, θα πρέπει να αποφεύγετε να κάνετε ενέσεις απευθείας σε επηρμένη, πεπαχυμένη, ερυθρόχρωμη ή αποφολιδωμένη περιοχή του δέρματος ή βλάβη.</w:t>
            </w:r>
          </w:p>
        </w:tc>
      </w:tr>
    </w:tbl>
    <w:p w14:paraId="13AD3F75" w14:textId="77777777" w:rsidR="00171824" w:rsidRDefault="00171824">
      <w:pPr>
        <w:widowControl/>
        <w:suppressAutoHyphens/>
        <w:textAlignment w:val="center"/>
        <w:rPr>
          <w:rFonts w:eastAsia="PMingLiU"/>
          <w:b/>
          <w:color w:val="000000"/>
          <w:sz w:val="22"/>
          <w:szCs w:val="22"/>
          <w:lang w:val="el-GR" w:eastAsia="ja-JP"/>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171824" w14:paraId="4FBDFABB"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8682E1D" w14:textId="77777777" w:rsidR="00171824" w:rsidRDefault="006D258C">
            <w:pPr>
              <w:keepNext/>
              <w:keepLines/>
              <w:widowControl/>
              <w:tabs>
                <w:tab w:val="left" w:pos="567"/>
              </w:tabs>
              <w:suppressAutoHyphens/>
              <w:jc w:val="center"/>
              <w:textAlignment w:val="center"/>
              <w:rPr>
                <w:rFonts w:eastAsia="PMingLiU"/>
                <w:b/>
                <w:bCs/>
                <w:color w:val="000000"/>
                <w:sz w:val="22"/>
                <w:lang w:val="el-GR" w:bidi="en-US"/>
              </w:rPr>
            </w:pPr>
            <w:r>
              <w:rPr>
                <w:rFonts w:eastAsia="Arial Unicode MS" w:cs="Arial Unicode MS"/>
                <w:b/>
                <w:bCs/>
                <w:sz w:val="22"/>
                <w:szCs w:val="22"/>
                <w:lang w:val="el-GR" w:bidi="en-US"/>
              </w:rPr>
              <w:lastRenderedPageBreak/>
              <w:t>Βήμα 2: Ετοιμαστείτε</w:t>
            </w:r>
          </w:p>
        </w:tc>
      </w:tr>
    </w:tbl>
    <w:p w14:paraId="4648BCDD" w14:textId="77777777" w:rsidR="00171824" w:rsidRDefault="00171824">
      <w:pPr>
        <w:keepNext/>
        <w:keepLines/>
        <w:widowControl/>
        <w:tabs>
          <w:tab w:val="left" w:pos="567"/>
        </w:tabs>
        <w:autoSpaceDE/>
        <w:autoSpaceDN/>
        <w:adjustRightInd/>
        <w:ind w:left="567" w:hanging="567"/>
        <w:rPr>
          <w:rFonts w:eastAsia="PMingLiU"/>
          <w:b/>
          <w:bCs/>
          <w:sz w:val="22"/>
          <w:szCs w:val="16"/>
          <w:lang w:val="el-GR"/>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171824" w:rsidRPr="00422380" w14:paraId="36CBC28D" w14:textId="77777777">
        <w:tc>
          <w:tcPr>
            <w:tcW w:w="33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F823775"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E.</w:t>
            </w:r>
          </w:p>
        </w:tc>
        <w:tc>
          <w:tcPr>
            <w:tcW w:w="466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1968726" w14:textId="77777777" w:rsidR="00171824" w:rsidRDefault="006D258C">
            <w:pPr>
              <w:keepNext/>
              <w:keepLines/>
              <w:widowControl/>
              <w:rPr>
                <w:rFonts w:eastAsia="PMingLiU"/>
                <w:color w:val="000000"/>
                <w:sz w:val="22"/>
                <w:lang w:val="el-GR" w:bidi="en-US"/>
              </w:rPr>
            </w:pPr>
            <w:r>
              <w:rPr>
                <w:rFonts w:eastAsia="Arial Unicode MS" w:cs="Arial Unicode MS"/>
                <w:sz w:val="22"/>
                <w:szCs w:val="22"/>
                <w:lang w:val="el-GR" w:bidi="en-US"/>
              </w:rPr>
              <w:t>Όταν είστε έτοιμοι να κάνετε την ένεση, αφαιρέστε το κίτρινο κάλυμμα.</w:t>
            </w:r>
          </w:p>
        </w:tc>
      </w:tr>
      <w:tr w:rsidR="00171824" w14:paraId="3531E93A"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41F37DE7" w14:textId="0638E887" w:rsidR="00171824" w:rsidRDefault="009039B7">
            <w:pPr>
              <w:keepNext/>
              <w:widowControl/>
              <w:tabs>
                <w:tab w:val="left" w:pos="567"/>
              </w:tabs>
              <w:suppressAutoHyphens/>
              <w:textAlignment w:val="center"/>
              <w:rPr>
                <w:rFonts w:eastAsia="PMingLiU"/>
                <w:color w:val="000000"/>
                <w:sz w:val="22"/>
                <w:lang w:val="el-GR" w:bidi="en-US"/>
              </w:rPr>
            </w:pPr>
            <w:r>
              <w:rPr>
                <w:noProof/>
                <w:sz w:val="22"/>
                <w:lang w:val="el-GR" w:eastAsia="zh-CN"/>
              </w:rPr>
              <w:drawing>
                <wp:inline distT="0" distB="0" distL="0" distR="0" wp14:anchorId="5ECE5110" wp14:editId="4851D3D8">
                  <wp:extent cx="3017520" cy="2188845"/>
                  <wp:effectExtent l="0" t="0" r="0" b="0"/>
                  <wp:docPr id="33" name="Picture 10" descr="ILL0940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LL0940 v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7520" cy="2188845"/>
                          </a:xfrm>
                          <a:prstGeom prst="rect">
                            <a:avLst/>
                          </a:prstGeom>
                          <a:noFill/>
                          <a:ln>
                            <a:noFill/>
                          </a:ln>
                        </pic:spPr>
                      </pic:pic>
                    </a:graphicData>
                  </a:graphic>
                </wp:inline>
              </w:drawing>
            </w:r>
          </w:p>
        </w:tc>
      </w:tr>
      <w:tr w:rsidR="00171824" w:rsidRPr="00A07F46" w14:paraId="14BFFCD8"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6CD1589"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Είναι φυσιολογικό να δείτε μία σταγόνα υγρού στο άκρο της βελόνας ή του κίτρινου προστατευτικού καλύμματος ασφαλείας.</w:t>
            </w:r>
          </w:p>
        </w:tc>
      </w:tr>
      <w:tr w:rsidR="00171824" w:rsidRPr="00422380" w14:paraId="38970909" w14:textId="77777777">
        <w:tc>
          <w:tcPr>
            <w:tcW w:w="335" w:type="pct"/>
            <w:tcBorders>
              <w:top w:val="nil"/>
              <w:left w:val="single" w:sz="4" w:space="0" w:color="auto"/>
              <w:bottom w:val="nil"/>
              <w:right w:val="nil"/>
            </w:tcBorders>
            <w:tcMar>
              <w:top w:w="28" w:type="dxa"/>
              <w:left w:w="57" w:type="dxa"/>
              <w:bottom w:w="28" w:type="dxa"/>
              <w:right w:w="57" w:type="dxa"/>
            </w:tcMar>
          </w:tcPr>
          <w:p w14:paraId="2453964E"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65" w:type="pct"/>
            <w:tcBorders>
              <w:top w:val="nil"/>
              <w:left w:val="nil"/>
              <w:bottom w:val="nil"/>
              <w:right w:val="single" w:sz="4" w:space="0" w:color="auto"/>
            </w:tcBorders>
            <w:tcMar>
              <w:left w:w="0" w:type="dxa"/>
            </w:tcMar>
          </w:tcPr>
          <w:p w14:paraId="35B9EBC7" w14:textId="77777777" w:rsidR="00171824" w:rsidRDefault="006D258C">
            <w:pPr>
              <w:widowControl/>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περιστρέφετε ή λυγίζετε το κίτρινο κάλυμμα.</w:t>
            </w:r>
          </w:p>
        </w:tc>
      </w:tr>
      <w:tr w:rsidR="00171824" w:rsidRPr="00422380" w14:paraId="5A803D96" w14:textId="77777777">
        <w:tc>
          <w:tcPr>
            <w:tcW w:w="335" w:type="pct"/>
            <w:tcBorders>
              <w:top w:val="nil"/>
              <w:left w:val="single" w:sz="4" w:space="0" w:color="auto"/>
              <w:bottom w:val="nil"/>
              <w:right w:val="nil"/>
            </w:tcBorders>
            <w:tcMar>
              <w:top w:w="28" w:type="dxa"/>
              <w:left w:w="57" w:type="dxa"/>
              <w:bottom w:w="28" w:type="dxa"/>
              <w:right w:w="57" w:type="dxa"/>
            </w:tcMar>
          </w:tcPr>
          <w:p w14:paraId="15426CA6"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65" w:type="pct"/>
            <w:tcBorders>
              <w:top w:val="nil"/>
              <w:left w:val="nil"/>
              <w:bottom w:val="nil"/>
              <w:right w:val="single" w:sz="4" w:space="0" w:color="auto"/>
            </w:tcBorders>
            <w:tcMar>
              <w:left w:w="0" w:type="dxa"/>
            </w:tcMar>
          </w:tcPr>
          <w:p w14:paraId="304ECFA2" w14:textId="77777777" w:rsidR="00171824" w:rsidRDefault="006D258C">
            <w:pPr>
              <w:widowControl/>
              <w:ind w:left="720" w:hanging="720"/>
              <w:rPr>
                <w:rFonts w:eastAsia="Calibri"/>
                <w:sz w:val="22"/>
                <w:lang w:val="el-GR" w:bidi="en-US"/>
              </w:rPr>
            </w:pPr>
            <w:r>
              <w:rPr>
                <w:rFonts w:eastAsia="Arial Unicode MS" w:cs="Arial Unicode MS"/>
                <w:b/>
                <w:bCs/>
                <w:sz w:val="22"/>
                <w:szCs w:val="22"/>
                <w:lang w:val="el-GR" w:bidi="en-US"/>
              </w:rPr>
              <w:t xml:space="preserve">Μην </w:t>
            </w:r>
            <w:r>
              <w:rPr>
                <w:rFonts w:eastAsia="Arial Unicode MS" w:cs="Arial Unicode MS"/>
                <w:sz w:val="22"/>
                <w:szCs w:val="22"/>
                <w:lang w:val="el-GR" w:bidi="en-US"/>
              </w:rPr>
              <w:t>τοποθετείτε το κίτρινο κάλυμμα και πάλι στην προγεμισμένη συσκευή τύπου πένας.</w:t>
            </w:r>
          </w:p>
        </w:tc>
      </w:tr>
      <w:tr w:rsidR="00171824" w:rsidRPr="00422380" w14:paraId="5603BA3D" w14:textId="77777777">
        <w:tc>
          <w:tcPr>
            <w:tcW w:w="335" w:type="pct"/>
            <w:tcBorders>
              <w:top w:val="nil"/>
              <w:left w:val="single" w:sz="4" w:space="0" w:color="auto"/>
              <w:bottom w:val="single" w:sz="4" w:space="0" w:color="auto"/>
              <w:right w:val="nil"/>
            </w:tcBorders>
            <w:tcMar>
              <w:top w:w="28" w:type="dxa"/>
              <w:left w:w="57" w:type="dxa"/>
              <w:bottom w:w="28" w:type="dxa"/>
              <w:right w:w="57" w:type="dxa"/>
            </w:tcMar>
          </w:tcPr>
          <w:p w14:paraId="04C78521" w14:textId="77777777" w:rsidR="00171824" w:rsidRDefault="006D258C">
            <w:pPr>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65" w:type="pct"/>
            <w:tcBorders>
              <w:top w:val="nil"/>
              <w:left w:val="nil"/>
              <w:bottom w:val="single" w:sz="4" w:space="0" w:color="auto"/>
              <w:right w:val="single" w:sz="4" w:space="0" w:color="auto"/>
            </w:tcBorders>
            <w:tcMar>
              <w:left w:w="0" w:type="dxa"/>
            </w:tcMar>
          </w:tcPr>
          <w:p w14:paraId="754AEA19" w14:textId="77777777" w:rsidR="00171824" w:rsidRDefault="006D258C">
            <w:pPr>
              <w:widowControl/>
              <w:tabs>
                <w:tab w:val="left" w:pos="5520"/>
              </w:tabs>
              <w:rPr>
                <w:rFonts w:eastAsia="Calibri"/>
                <w:sz w:val="22"/>
                <w:lang w:val="el-GR" w:bidi="en-US"/>
              </w:rPr>
            </w:pPr>
            <w:r>
              <w:rPr>
                <w:rFonts w:eastAsia="Arial Unicode MS" w:cs="Arial Unicode MS"/>
                <w:b/>
                <w:bCs/>
                <w:sz w:val="22"/>
                <w:szCs w:val="22"/>
                <w:lang w:val="el-GR" w:bidi="en-US"/>
              </w:rPr>
              <w:t>Μην</w:t>
            </w:r>
            <w:r>
              <w:rPr>
                <w:rFonts w:eastAsia="Arial Unicode MS" w:cs="Arial Unicode MS"/>
                <w:sz w:val="22"/>
                <w:szCs w:val="22"/>
                <w:lang w:val="el-GR" w:bidi="en-US"/>
              </w:rPr>
              <w:t xml:space="preserve"> αφαιρείτε το πορτοκαλί κάλυμμα από την προγεμισμένη συσκευή τύπου πένας εάν δεν είστε έτοιμοι για την ένεση.</w:t>
            </w:r>
          </w:p>
        </w:tc>
      </w:tr>
    </w:tbl>
    <w:p w14:paraId="680CAB6C" w14:textId="77777777" w:rsidR="00171824" w:rsidRDefault="00171824">
      <w:pPr>
        <w:widowControl/>
        <w:suppressAutoHyphens/>
        <w:textAlignment w:val="center"/>
        <w:rPr>
          <w:rFonts w:eastAsia="PMingLiU"/>
          <w:b/>
          <w:bCs/>
          <w:sz w:val="22"/>
          <w:lang w:val="el-GR" w:eastAsia="ja-JP"/>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2"/>
        <w:gridCol w:w="8614"/>
      </w:tblGrid>
      <w:tr w:rsidR="00171824" w:rsidRPr="00422380" w14:paraId="1606B5D1" w14:textId="77777777">
        <w:tc>
          <w:tcPr>
            <w:tcW w:w="29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9193257"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ΣΤ.</w:t>
            </w:r>
          </w:p>
        </w:tc>
        <w:tc>
          <w:tcPr>
            <w:tcW w:w="47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6AD00DB" w14:textId="77777777" w:rsidR="00171824" w:rsidRDefault="006D258C">
            <w:pPr>
              <w:keepNext/>
              <w:keepLines/>
              <w:widowControl/>
              <w:rPr>
                <w:rFonts w:eastAsia="PMingLiU"/>
                <w:color w:val="000000"/>
                <w:sz w:val="22"/>
                <w:lang w:val="el-GR" w:bidi="en-US"/>
              </w:rPr>
            </w:pPr>
            <w:r>
              <w:rPr>
                <w:rFonts w:eastAsia="Arial Unicode MS" w:cs="Arial Unicode MS"/>
                <w:sz w:val="22"/>
                <w:szCs w:val="22"/>
                <w:lang w:val="el-GR" w:bidi="en-US"/>
              </w:rPr>
              <w:t>Τεντώστε ή «τσιμπήστε» τη θέση ένεσης για να δημιουργήσετε μία σταθερή επιφάνεια.</w:t>
            </w:r>
          </w:p>
        </w:tc>
      </w:tr>
      <w:tr w:rsidR="00171824" w14:paraId="4CF0ECC3"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A79C7C1" w14:textId="77777777" w:rsidR="00171824" w:rsidRDefault="006D258C">
            <w:pPr>
              <w:keepNext/>
              <w:keepLines/>
              <w:widowControl/>
              <w:tabs>
                <w:tab w:val="left" w:pos="810"/>
              </w:tabs>
              <w:suppressAutoHyphens/>
              <w:contextualSpacing/>
              <w:textAlignment w:val="center"/>
              <w:rPr>
                <w:rFonts w:eastAsia="PMingLiU"/>
                <w:b/>
                <w:color w:val="000000"/>
                <w:sz w:val="22"/>
                <w:lang w:val="el-GR" w:bidi="en-US"/>
              </w:rPr>
            </w:pPr>
            <w:r>
              <w:rPr>
                <w:rFonts w:eastAsia="Arial Unicode MS" w:cs="Arial Unicode MS"/>
                <w:b/>
                <w:color w:val="000000"/>
                <w:sz w:val="22"/>
                <w:szCs w:val="22"/>
                <w:lang w:val="el-GR" w:bidi="en-US"/>
              </w:rPr>
              <w:t>Μέθοδος τεντώματος</w:t>
            </w:r>
          </w:p>
        </w:tc>
      </w:tr>
      <w:tr w:rsidR="00171824" w14:paraId="13D13744" w14:textId="77777777">
        <w:trPr>
          <w:trHeight w:val="1757"/>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1B7D0C7" w14:textId="40D3B355" w:rsidR="00171824" w:rsidRDefault="009039B7">
            <w:pPr>
              <w:keepNext/>
              <w:keepLines/>
              <w:widowControl/>
              <w:tabs>
                <w:tab w:val="left" w:pos="567"/>
              </w:tabs>
              <w:suppressAutoHyphens/>
              <w:textAlignment w:val="center"/>
              <w:rPr>
                <w:rFonts w:eastAsia="PMingLiU"/>
                <w:color w:val="000000"/>
                <w:sz w:val="22"/>
                <w:lang w:val="el-GR" w:bidi="en-US"/>
              </w:rPr>
            </w:pPr>
            <w:r>
              <w:rPr>
                <w:b/>
                <w:noProof/>
                <w:sz w:val="22"/>
                <w:szCs w:val="22"/>
                <w:lang w:val="el-GR" w:eastAsia="zh-CN"/>
              </w:rPr>
              <w:drawing>
                <wp:inline distT="0" distB="0" distL="0" distR="0" wp14:anchorId="7939E56A" wp14:editId="00E73472">
                  <wp:extent cx="2383155" cy="1828800"/>
                  <wp:effectExtent l="0" t="0" r="0" b="0"/>
                  <wp:docPr id="34" name="Picture 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83155" cy="1828800"/>
                          </a:xfrm>
                          <a:prstGeom prst="rect">
                            <a:avLst/>
                          </a:prstGeom>
                          <a:noFill/>
                          <a:ln>
                            <a:noFill/>
                          </a:ln>
                        </pic:spPr>
                      </pic:pic>
                    </a:graphicData>
                  </a:graphic>
                </wp:inline>
              </w:drawing>
            </w:r>
          </w:p>
        </w:tc>
      </w:tr>
      <w:tr w:rsidR="00171824" w:rsidRPr="00A07F46" w14:paraId="65FEFAA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C41DE6E" w14:textId="77777777" w:rsidR="00171824" w:rsidRDefault="006D258C">
            <w:pPr>
              <w:keepNext/>
              <w:keepLines/>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 xml:space="preserve">Τεντώστε σταθερά το δέρμα μετακινώντας τον αντίχειρα και τα δάκτυλά σας προς αντίθετες κατευθύνσεις, δημιουργώντας μία περιοχή πλάτους περίπου </w:t>
            </w:r>
            <w:r>
              <w:rPr>
                <w:rFonts w:eastAsia="Arial Unicode MS" w:cs="Arial Unicode MS"/>
                <w:b/>
                <w:color w:val="000000"/>
                <w:sz w:val="22"/>
                <w:szCs w:val="22"/>
                <w:lang w:val="el-GR" w:bidi="en-US"/>
              </w:rPr>
              <w:t>5</w:t>
            </w:r>
            <w:r>
              <w:rPr>
                <w:rFonts w:eastAsia="Arial Unicode MS" w:cs="Arial Unicode MS"/>
                <w:color w:val="000000"/>
                <w:sz w:val="22"/>
                <w:szCs w:val="22"/>
                <w:lang w:val="el-GR" w:bidi="en-US"/>
              </w:rPr>
              <w:t xml:space="preserve"> εκατοστών.</w:t>
            </w:r>
          </w:p>
        </w:tc>
      </w:tr>
      <w:tr w:rsidR="00171824" w14:paraId="13C16579"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1E39B17" w14:textId="77777777" w:rsidR="00171824" w:rsidRDefault="006D258C">
            <w:pPr>
              <w:keepNext/>
              <w:keepLines/>
              <w:widowControl/>
              <w:ind w:left="720" w:hanging="720"/>
              <w:jc w:val="center"/>
              <w:rPr>
                <w:rFonts w:eastAsia="Calibri"/>
                <w:b/>
                <w:bCs/>
                <w:sz w:val="22"/>
                <w:lang w:val="el-GR" w:bidi="en-US"/>
              </w:rPr>
            </w:pPr>
            <w:r>
              <w:rPr>
                <w:rFonts w:eastAsia="Arial Unicode MS" w:cs="Arial Unicode MS"/>
                <w:b/>
                <w:bCs/>
                <w:sz w:val="22"/>
                <w:szCs w:val="22"/>
                <w:lang w:val="el-GR" w:bidi="en-US"/>
              </w:rPr>
              <w:t>Ή</w:t>
            </w:r>
          </w:p>
        </w:tc>
      </w:tr>
      <w:tr w:rsidR="00171824" w14:paraId="3182D488"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D5E9B90" w14:textId="77777777" w:rsidR="00171824" w:rsidRDefault="006D258C">
            <w:pPr>
              <w:widowControl/>
              <w:tabs>
                <w:tab w:val="left" w:pos="810"/>
              </w:tabs>
              <w:suppressAutoHyphens/>
              <w:contextualSpacing/>
              <w:textAlignment w:val="center"/>
              <w:rPr>
                <w:rFonts w:eastAsia="PMingLiU"/>
                <w:b/>
                <w:color w:val="000000"/>
                <w:sz w:val="22"/>
                <w:lang w:val="el-GR" w:bidi="en-US"/>
              </w:rPr>
            </w:pPr>
            <w:r>
              <w:rPr>
                <w:rFonts w:eastAsia="Arial Unicode MS" w:cs="Arial Unicode MS"/>
                <w:b/>
                <w:color w:val="000000"/>
                <w:sz w:val="22"/>
                <w:szCs w:val="22"/>
                <w:lang w:val="el-GR" w:bidi="en-US"/>
              </w:rPr>
              <w:t>Μέθοδος «τσιμπήματος»</w:t>
            </w:r>
          </w:p>
        </w:tc>
      </w:tr>
      <w:tr w:rsidR="00171824" w14:paraId="040DC942"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3202A92" w14:textId="02AFB40E" w:rsidR="00171824" w:rsidRDefault="009039B7">
            <w:pPr>
              <w:widowControl/>
              <w:ind w:left="720" w:hanging="720"/>
              <w:rPr>
                <w:rFonts w:eastAsia="Calibri"/>
                <w:b/>
                <w:bCs/>
                <w:sz w:val="22"/>
                <w:lang w:val="el-GR" w:bidi="en-US"/>
              </w:rPr>
            </w:pPr>
            <w:r>
              <w:rPr>
                <w:noProof/>
                <w:sz w:val="22"/>
                <w:szCs w:val="22"/>
                <w:lang w:val="el-GR" w:eastAsia="zh-CN"/>
              </w:rPr>
              <w:drawing>
                <wp:inline distT="0" distB="0" distL="0" distR="0" wp14:anchorId="58DA9821" wp14:editId="52DCFBAB">
                  <wp:extent cx="2383155" cy="1371600"/>
                  <wp:effectExtent l="0" t="0" r="0" b="0"/>
                  <wp:docPr id="35" name="Picture 8" descr="ILL0718 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LL0718 v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83155" cy="1371600"/>
                          </a:xfrm>
                          <a:prstGeom prst="rect">
                            <a:avLst/>
                          </a:prstGeom>
                          <a:noFill/>
                          <a:ln>
                            <a:noFill/>
                          </a:ln>
                        </pic:spPr>
                      </pic:pic>
                    </a:graphicData>
                  </a:graphic>
                </wp:inline>
              </w:drawing>
            </w:r>
          </w:p>
        </w:tc>
      </w:tr>
      <w:tr w:rsidR="00171824" w:rsidRPr="00A07F46" w14:paraId="1DDE4ED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FEE8E85"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 xml:space="preserve">«Τσιμπήστε» σταθερά το δέρμα μεταξύ του αντίχειρα και των δακτύλων σας, δημιουργώντας μία περιοχή πλάτους περίπου </w:t>
            </w:r>
            <w:r>
              <w:rPr>
                <w:rFonts w:eastAsia="Arial Unicode MS" w:cs="Arial Unicode MS"/>
                <w:b/>
                <w:color w:val="000000"/>
                <w:sz w:val="22"/>
                <w:szCs w:val="22"/>
                <w:lang w:val="el-GR" w:bidi="en-US"/>
              </w:rPr>
              <w:t>5</w:t>
            </w:r>
            <w:r>
              <w:rPr>
                <w:rFonts w:eastAsia="Arial Unicode MS" w:cs="Arial Unicode MS"/>
                <w:color w:val="000000"/>
                <w:sz w:val="22"/>
                <w:szCs w:val="22"/>
                <w:lang w:val="el-GR" w:bidi="en-US"/>
              </w:rPr>
              <w:t xml:space="preserve"> εκατοστών.</w:t>
            </w:r>
          </w:p>
        </w:tc>
      </w:tr>
      <w:tr w:rsidR="00171824" w:rsidRPr="00A07F46" w14:paraId="0EE32F56"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7484349C" w14:textId="77777777" w:rsidR="00171824" w:rsidRDefault="006D258C">
            <w:pPr>
              <w:widowControl/>
              <w:rPr>
                <w:rFonts w:eastAsia="Calibri"/>
                <w:sz w:val="22"/>
                <w:lang w:val="el-GR" w:bidi="en-US"/>
              </w:rPr>
            </w:pPr>
            <w:r>
              <w:rPr>
                <w:rFonts w:eastAsia="Arial Unicode MS" w:cs="Arial Unicode MS"/>
                <w:b/>
                <w:bCs/>
                <w:sz w:val="22"/>
                <w:szCs w:val="22"/>
                <w:lang w:val="el-GR" w:bidi="en-US"/>
              </w:rPr>
              <w:t xml:space="preserve">Σημαντικό: </w:t>
            </w:r>
            <w:r>
              <w:rPr>
                <w:rFonts w:eastAsia="Arial Unicode MS" w:cs="Arial Unicode MS"/>
                <w:sz w:val="22"/>
                <w:szCs w:val="22"/>
                <w:lang w:val="el-GR" w:bidi="en-US"/>
              </w:rPr>
              <w:t>Είναι σημαντικό να κρατήσετε το δέρμα τεντωμένο ή «τσιμπημένο» κατά τη διάρκεια της ένεσης.</w:t>
            </w:r>
          </w:p>
        </w:tc>
      </w:tr>
    </w:tbl>
    <w:p w14:paraId="3C9BAC44" w14:textId="77777777" w:rsidR="00171824" w:rsidRDefault="00171824">
      <w:pPr>
        <w:widowControl/>
        <w:tabs>
          <w:tab w:val="left" w:pos="810"/>
        </w:tabs>
        <w:suppressAutoHyphens/>
        <w:contextualSpacing/>
        <w:textAlignment w:val="center"/>
        <w:rPr>
          <w:rFonts w:eastAsia="PMingLiU"/>
          <w:b/>
          <w:color w:val="000000"/>
          <w:sz w:val="22"/>
          <w:szCs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71824" w14:paraId="35FBB6A0"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B2C851E" w14:textId="77777777" w:rsidR="00171824" w:rsidRDefault="006D258C">
            <w:pPr>
              <w:widowControl/>
              <w:tabs>
                <w:tab w:val="left" w:pos="810"/>
              </w:tabs>
              <w:suppressAutoHyphens/>
              <w:contextualSpacing/>
              <w:jc w:val="center"/>
              <w:textAlignment w:val="center"/>
              <w:rPr>
                <w:rFonts w:eastAsia="PMingLiU"/>
                <w:b/>
                <w:color w:val="000000"/>
                <w:sz w:val="22"/>
                <w:lang w:val="el-GR" w:bidi="en-US"/>
              </w:rPr>
            </w:pPr>
            <w:r>
              <w:rPr>
                <w:rFonts w:eastAsia="Arial Unicode MS" w:cs="Arial Unicode MS"/>
                <w:b/>
                <w:color w:val="000000"/>
                <w:sz w:val="22"/>
                <w:szCs w:val="22"/>
                <w:lang w:val="el-GR" w:bidi="en-US"/>
              </w:rPr>
              <w:t>Βήμα 3: Κάντε την ένεση</w:t>
            </w:r>
          </w:p>
        </w:tc>
      </w:tr>
    </w:tbl>
    <w:p w14:paraId="1499F317" w14:textId="77777777" w:rsidR="00171824" w:rsidRDefault="00171824">
      <w:pPr>
        <w:keepLines/>
        <w:widowControl/>
        <w:tabs>
          <w:tab w:val="left" w:pos="567"/>
        </w:tabs>
        <w:autoSpaceDE/>
        <w:autoSpaceDN/>
        <w:adjustRightInd/>
        <w:ind w:left="567" w:hanging="567"/>
        <w:rPr>
          <w:rFonts w:eastAsia="PMingLiU"/>
          <w:b/>
          <w:bCs/>
          <w:sz w:val="22"/>
          <w:szCs w:val="16"/>
          <w:lang w:val="el-GR"/>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171824" w:rsidRPr="00422380" w14:paraId="3645A077"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10F8076" w14:textId="77777777" w:rsidR="00171824" w:rsidRDefault="006D258C">
            <w:pPr>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Ζ.</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C0172A" w14:textId="77777777" w:rsidR="00171824" w:rsidRDefault="006D258C">
            <w:pPr>
              <w:keepLines/>
              <w:widowControl/>
              <w:rPr>
                <w:rFonts w:eastAsia="PMingLiU"/>
                <w:color w:val="000000"/>
                <w:sz w:val="22"/>
                <w:lang w:val="el-GR" w:bidi="en-US"/>
              </w:rPr>
            </w:pPr>
            <w:r>
              <w:rPr>
                <w:rFonts w:eastAsia="Arial Unicode MS" w:cs="Arial Unicode MS"/>
                <w:sz w:val="22"/>
                <w:szCs w:val="22"/>
                <w:lang w:val="el-GR" w:bidi="en-US"/>
              </w:rPr>
              <w:t xml:space="preserve">Κρατήστε το δέρμα τεντωμένο ή τσιμπημένο. Έχοντας αφαιρέσει το κίτρινο κάλυμμα, </w:t>
            </w:r>
            <w:r>
              <w:rPr>
                <w:rFonts w:eastAsia="Arial Unicode MS" w:cs="Arial Unicode MS"/>
                <w:b/>
                <w:bCs/>
                <w:sz w:val="22"/>
                <w:szCs w:val="22"/>
                <w:lang w:val="el-GR" w:bidi="en-US"/>
              </w:rPr>
              <w:t>τοποθετήστε</w:t>
            </w:r>
            <w:r>
              <w:rPr>
                <w:rFonts w:eastAsia="Arial Unicode MS" w:cs="Arial Unicode MS"/>
                <w:sz w:val="22"/>
                <w:szCs w:val="22"/>
                <w:lang w:val="el-GR" w:bidi="en-US"/>
              </w:rPr>
              <w:t xml:space="preserve"> την προγεμισμένη συσκευή τύπου πένας επάνω στο δέρμα σας σε γωνία 90 μοιρών.</w:t>
            </w:r>
          </w:p>
        </w:tc>
      </w:tr>
      <w:tr w:rsidR="00171824" w14:paraId="68752623"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829D8F6" w14:textId="0CF43BC7" w:rsidR="00171824" w:rsidRDefault="009039B7">
            <w:pPr>
              <w:widowControl/>
              <w:tabs>
                <w:tab w:val="left" w:pos="567"/>
              </w:tabs>
              <w:suppressAutoHyphens/>
              <w:textAlignment w:val="center"/>
              <w:rPr>
                <w:rFonts w:eastAsia="PMingLiU"/>
                <w:color w:val="000000"/>
                <w:sz w:val="22"/>
                <w:lang w:val="el-GR" w:bidi="en-US"/>
              </w:rPr>
            </w:pPr>
            <w:r>
              <w:rPr>
                <w:rFonts w:ascii="Verdana" w:hAnsi="Verdana" w:cs="Arial"/>
                <w:b/>
                <w:noProof/>
                <w:sz w:val="22"/>
                <w:szCs w:val="22"/>
                <w:lang w:val="el-GR" w:eastAsia="zh-CN"/>
              </w:rPr>
              <w:drawing>
                <wp:inline distT="0" distB="0" distL="0" distR="0" wp14:anchorId="2A57783E" wp14:editId="4801ED2A">
                  <wp:extent cx="2743200" cy="1554480"/>
                  <wp:effectExtent l="0" t="0" r="0" b="0"/>
                  <wp:docPr id="36" name="Picture 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tc>
      </w:tr>
      <w:tr w:rsidR="00171824" w:rsidRPr="00A07F46" w14:paraId="7FF3B1B7"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71450592" w14:textId="77777777" w:rsidR="00171824" w:rsidRDefault="006D258C">
            <w:pPr>
              <w:widowControl/>
              <w:tabs>
                <w:tab w:val="left" w:pos="810"/>
              </w:tabs>
              <w:suppressAutoHyphens/>
              <w:contextualSpacing/>
              <w:textAlignment w:val="center"/>
              <w:rPr>
                <w:rFonts w:eastAsia="PMingLiU"/>
                <w:color w:val="000000"/>
                <w:sz w:val="22"/>
                <w:lang w:val="el-GR" w:bidi="en-US"/>
              </w:rPr>
            </w:pPr>
            <w:r>
              <w:rPr>
                <w:rFonts w:eastAsia="Arial Unicode MS" w:cs="Arial Unicode MS"/>
                <w:b/>
                <w:color w:val="000000"/>
                <w:sz w:val="22"/>
                <w:szCs w:val="22"/>
                <w:lang w:val="el-GR" w:bidi="en-US"/>
              </w:rPr>
              <w:t xml:space="preserve">Σημαντικό: </w:t>
            </w:r>
            <w:r>
              <w:rPr>
                <w:rFonts w:eastAsia="Arial Unicode MS" w:cs="Arial Unicode MS"/>
                <w:color w:val="000000"/>
                <w:sz w:val="22"/>
                <w:szCs w:val="22"/>
                <w:lang w:val="el-GR" w:bidi="en-US"/>
              </w:rPr>
              <w:t>Μην αγγίξετε το μπλε πλήκτρο χορήγησης της ένεσης.</w:t>
            </w:r>
          </w:p>
        </w:tc>
      </w:tr>
    </w:tbl>
    <w:p w14:paraId="42F5A71A" w14:textId="77777777" w:rsidR="00171824" w:rsidRDefault="00171824">
      <w:pPr>
        <w:widowControl/>
        <w:suppressAutoHyphens/>
        <w:textAlignment w:val="center"/>
        <w:rPr>
          <w:rFonts w:eastAsia="PMingLiU"/>
          <w:b/>
          <w:bCs/>
          <w:sz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78"/>
        <w:gridCol w:w="8383"/>
      </w:tblGrid>
      <w:tr w:rsidR="00171824" w:rsidRPr="00422380" w14:paraId="19A04BA0" w14:textId="77777777">
        <w:tc>
          <w:tcPr>
            <w:tcW w:w="3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5186064"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Η.</w:t>
            </w:r>
          </w:p>
        </w:tc>
        <w:tc>
          <w:tcPr>
            <w:tcW w:w="46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36D542" w14:textId="77777777" w:rsidR="00171824" w:rsidRDefault="006D258C">
            <w:pPr>
              <w:keepLines/>
              <w:widowControl/>
              <w:rPr>
                <w:rFonts w:eastAsia="PMingLiU"/>
                <w:color w:val="000000"/>
                <w:sz w:val="22"/>
                <w:lang w:val="el-GR" w:bidi="en-US"/>
              </w:rPr>
            </w:pPr>
            <w:r>
              <w:rPr>
                <w:rFonts w:eastAsia="Arial Unicode MS" w:cs="Arial Unicode MS"/>
                <w:b/>
                <w:sz w:val="22"/>
                <w:szCs w:val="22"/>
                <w:lang w:val="el-GR" w:bidi="en-US"/>
              </w:rPr>
              <w:t>Πιέστε</w:t>
            </w:r>
            <w:r>
              <w:rPr>
                <w:rFonts w:eastAsia="Arial Unicode MS" w:cs="Arial Unicode MS"/>
                <w:sz w:val="22"/>
                <w:szCs w:val="22"/>
                <w:lang w:val="el-GR" w:bidi="en-US"/>
              </w:rPr>
              <w:t xml:space="preserve"> </w:t>
            </w:r>
            <w:r>
              <w:rPr>
                <w:rFonts w:eastAsia="Arial Unicode MS" w:cs="Arial Unicode MS"/>
                <w:bCs/>
                <w:sz w:val="22"/>
                <w:szCs w:val="22"/>
                <w:lang w:val="el-GR" w:bidi="en-US"/>
              </w:rPr>
              <w:t xml:space="preserve">σταθερά προς τα κάτω την προγεμισμένη </w:t>
            </w:r>
            <w:r>
              <w:rPr>
                <w:rFonts w:eastAsia="Arial Unicode MS" w:cs="Arial Unicode MS"/>
                <w:sz w:val="22"/>
                <w:szCs w:val="22"/>
                <w:lang w:val="el-GR" w:bidi="en-US"/>
              </w:rPr>
              <w:t xml:space="preserve">συσκευή τύπου πένας </w:t>
            </w:r>
            <w:r>
              <w:rPr>
                <w:rFonts w:eastAsia="Arial Unicode MS" w:cs="Arial Unicode MS"/>
                <w:bCs/>
                <w:sz w:val="22"/>
                <w:szCs w:val="22"/>
                <w:lang w:val="el-GR" w:bidi="en-US"/>
              </w:rPr>
              <w:t>επάνω στο δέρμα, έως ότου σταματήσει να κινείται.</w:t>
            </w:r>
          </w:p>
        </w:tc>
      </w:tr>
      <w:tr w:rsidR="00171824" w14:paraId="182102D3"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171824" w14:paraId="432DE0D4" w14:textId="77777777">
              <w:trPr>
                <w:trHeight w:val="437"/>
              </w:trPr>
              <w:tc>
                <w:tcPr>
                  <w:tcW w:w="4820" w:type="dxa"/>
                  <w:vMerge w:val="restart"/>
                </w:tcPr>
                <w:p w14:paraId="3581FC56" w14:textId="1F11FB33" w:rsidR="00171824" w:rsidRDefault="009039B7">
                  <w:pPr>
                    <w:keepNext/>
                    <w:keepLines/>
                    <w:widowControl/>
                    <w:tabs>
                      <w:tab w:val="left" w:pos="810"/>
                    </w:tabs>
                    <w:suppressAutoHyphens/>
                    <w:contextualSpacing/>
                    <w:textAlignment w:val="center"/>
                    <w:rPr>
                      <w:rFonts w:eastAsia="PMingLiU"/>
                      <w:b/>
                      <w:color w:val="000000"/>
                      <w:sz w:val="22"/>
                      <w:lang w:val="el-GR" w:bidi="en-US"/>
                    </w:rPr>
                  </w:pPr>
                  <w:r>
                    <w:rPr>
                      <w:b/>
                      <w:noProof/>
                      <w:sz w:val="22"/>
                      <w:szCs w:val="22"/>
                      <w:lang w:val="el-GR" w:eastAsia="zh-CN"/>
                    </w:rPr>
                    <w:drawing>
                      <wp:inline distT="0" distB="0" distL="0" distR="0" wp14:anchorId="69E486CC" wp14:editId="049D3BF6">
                        <wp:extent cx="2743200" cy="1468755"/>
                        <wp:effectExtent l="0" t="0" r="0" b="0"/>
                        <wp:docPr id="37" name="Picture 66" descr="ILL094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LL0942 v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468755"/>
                                </a:xfrm>
                                <a:prstGeom prst="rect">
                                  <a:avLst/>
                                </a:prstGeom>
                                <a:noFill/>
                                <a:ln>
                                  <a:noFill/>
                                </a:ln>
                              </pic:spPr>
                            </pic:pic>
                          </a:graphicData>
                        </a:graphic>
                      </wp:inline>
                    </w:drawing>
                  </w:r>
                  <w:r w:rsidR="006D258C">
                    <w:rPr>
                      <w:rFonts w:eastAsia="Arial Unicode MS" w:cs="Arial Unicode MS"/>
                      <w:b/>
                      <w:color w:val="000000"/>
                      <w:sz w:val="22"/>
                      <w:szCs w:val="22"/>
                      <w:lang w:val="el-GR" w:bidi="en-US"/>
                    </w:rPr>
                    <w:t xml:space="preserve">  </w:t>
                  </w:r>
                </w:p>
              </w:tc>
              <w:tc>
                <w:tcPr>
                  <w:tcW w:w="4054" w:type="dxa"/>
                  <w:tcMar>
                    <w:left w:w="567" w:type="dxa"/>
                  </w:tcMar>
                  <w:vAlign w:val="bottom"/>
                </w:tcPr>
                <w:p w14:paraId="56BA4675" w14:textId="77777777" w:rsidR="00171824" w:rsidRDefault="006D258C">
                  <w:pPr>
                    <w:keepNext/>
                    <w:keepLines/>
                    <w:widowControl/>
                    <w:tabs>
                      <w:tab w:val="left" w:pos="810"/>
                    </w:tabs>
                    <w:suppressAutoHyphens/>
                    <w:contextualSpacing/>
                    <w:textAlignment w:val="center"/>
                    <w:rPr>
                      <w:rFonts w:eastAsia="PMingLiU"/>
                      <w:b/>
                      <w:color w:val="000000"/>
                      <w:sz w:val="22"/>
                      <w:lang w:val="el-GR" w:bidi="en-US"/>
                    </w:rPr>
                  </w:pPr>
                  <w:r>
                    <w:rPr>
                      <w:color w:val="000000"/>
                      <w:sz w:val="22"/>
                      <w:szCs w:val="22"/>
                      <w:lang w:val="el-GR" w:eastAsia="ja-JP"/>
                    </w:rPr>
                    <w:t xml:space="preserve"> </w:t>
                  </w:r>
                </w:p>
              </w:tc>
            </w:tr>
            <w:tr w:rsidR="00171824" w14:paraId="10C7E3B9" w14:textId="77777777">
              <w:trPr>
                <w:trHeight w:val="1200"/>
              </w:trPr>
              <w:tc>
                <w:tcPr>
                  <w:tcW w:w="4820" w:type="dxa"/>
                  <w:vMerge/>
                </w:tcPr>
                <w:p w14:paraId="5216F530" w14:textId="77777777" w:rsidR="00171824" w:rsidRDefault="00171824">
                  <w:pPr>
                    <w:keepNext/>
                    <w:keepLines/>
                    <w:widowControl/>
                    <w:tabs>
                      <w:tab w:val="left" w:pos="810"/>
                    </w:tabs>
                    <w:suppressAutoHyphens/>
                    <w:contextualSpacing/>
                    <w:textAlignment w:val="center"/>
                    <w:rPr>
                      <w:rFonts w:eastAsia="PMingLiU"/>
                      <w:b/>
                      <w:color w:val="000000"/>
                      <w:sz w:val="22"/>
                      <w:lang w:val="el-GR" w:eastAsia="nl-NL"/>
                    </w:rPr>
                  </w:pPr>
                </w:p>
              </w:tc>
              <w:tc>
                <w:tcPr>
                  <w:tcW w:w="4054" w:type="dxa"/>
                </w:tcPr>
                <w:p w14:paraId="55C919EA" w14:textId="6B7EF7AF" w:rsidR="00171824" w:rsidRDefault="009039B7">
                  <w:pPr>
                    <w:widowControl/>
                    <w:suppressAutoHyphens/>
                    <w:textAlignment w:val="center"/>
                    <w:rPr>
                      <w:b/>
                      <w:bCs/>
                      <w:color w:val="000000"/>
                      <w:sz w:val="22"/>
                      <w:szCs w:val="22"/>
                      <w:lang w:val="el-GR"/>
                    </w:rPr>
                  </w:pPr>
                  <w:r>
                    <w:rPr>
                      <w:noProof/>
                    </w:rPr>
                    <w:drawing>
                      <wp:anchor distT="0" distB="0" distL="114300" distR="114300" simplePos="0" relativeHeight="251646976" behindDoc="0" locked="0" layoutInCell="1" allowOverlap="1" wp14:anchorId="579CC44D" wp14:editId="4FD64E19">
                        <wp:simplePos x="0" y="0"/>
                        <wp:positionH relativeFrom="column">
                          <wp:posOffset>-1905</wp:posOffset>
                        </wp:positionH>
                        <wp:positionV relativeFrom="paragraph">
                          <wp:posOffset>0</wp:posOffset>
                        </wp:positionV>
                        <wp:extent cx="759460" cy="748030"/>
                        <wp:effectExtent l="0" t="0" r="0" b="0"/>
                        <wp:wrapSquare wrapText="bothSides"/>
                        <wp:docPr id="251403316" name="Picture 36" descr="ILL0943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LL0943 v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9460" cy="748030"/>
                                </a:xfrm>
                                <a:prstGeom prst="rect">
                                  <a:avLst/>
                                </a:prstGeom>
                                <a:noFill/>
                              </pic:spPr>
                            </pic:pic>
                          </a:graphicData>
                        </a:graphic>
                        <wp14:sizeRelH relativeFrom="page">
                          <wp14:pctWidth>0</wp14:pctWidth>
                        </wp14:sizeRelH>
                        <wp14:sizeRelV relativeFrom="page">
                          <wp14:pctHeight>0</wp14:pctHeight>
                        </wp14:sizeRelV>
                      </wp:anchor>
                    </w:drawing>
                  </w:r>
                  <w:r w:rsidR="006D258C">
                    <w:rPr>
                      <w:b/>
                      <w:bCs/>
                      <w:color w:val="000000"/>
                      <w:sz w:val="22"/>
                      <w:szCs w:val="22"/>
                      <w:lang w:val="el-GR"/>
                    </w:rPr>
                    <w:t>ΠΙΕΣΤΕ</w:t>
                  </w:r>
                </w:p>
                <w:p w14:paraId="1EF3F9EE" w14:textId="77777777" w:rsidR="00171824" w:rsidRDefault="006D258C">
                  <w:pPr>
                    <w:keepNext/>
                    <w:keepLines/>
                    <w:widowControl/>
                    <w:tabs>
                      <w:tab w:val="left" w:pos="810"/>
                    </w:tabs>
                    <w:suppressAutoHyphens/>
                    <w:ind w:left="189"/>
                    <w:contextualSpacing/>
                    <w:textAlignment w:val="center"/>
                    <w:rPr>
                      <w:rFonts w:eastAsia="PMingLiU"/>
                      <w:b/>
                      <w:color w:val="000000"/>
                      <w:sz w:val="22"/>
                      <w:lang w:val="el-GR"/>
                    </w:rPr>
                  </w:pPr>
                  <w:r>
                    <w:rPr>
                      <w:b/>
                      <w:bCs/>
                      <w:color w:val="000000"/>
                      <w:sz w:val="22"/>
                      <w:szCs w:val="22"/>
                      <w:lang w:val="el-GR"/>
                    </w:rPr>
                    <w:t>ΠΡΟΣ ΤΑ ΚΑΤΩ</w:t>
                  </w:r>
                </w:p>
              </w:tc>
            </w:tr>
          </w:tbl>
          <w:p w14:paraId="5F77F5E4" w14:textId="77777777" w:rsidR="00171824" w:rsidRDefault="00171824">
            <w:pPr>
              <w:keepNext/>
              <w:keepLines/>
              <w:widowControl/>
              <w:tabs>
                <w:tab w:val="left" w:pos="567"/>
              </w:tabs>
              <w:suppressAutoHyphens/>
              <w:textAlignment w:val="center"/>
              <w:rPr>
                <w:rFonts w:eastAsia="PMingLiU"/>
                <w:color w:val="000000"/>
                <w:sz w:val="22"/>
                <w:lang w:val="el-GR"/>
              </w:rPr>
            </w:pPr>
          </w:p>
        </w:tc>
      </w:tr>
      <w:tr w:rsidR="00171824" w:rsidRPr="00A07F46" w14:paraId="5C12874A"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457607B5" w14:textId="77777777" w:rsidR="00171824" w:rsidRDefault="006D258C">
            <w:pPr>
              <w:keepNext/>
              <w:keepLines/>
              <w:widowControl/>
              <w:tabs>
                <w:tab w:val="left" w:pos="810"/>
              </w:tabs>
              <w:suppressAutoHyphens/>
              <w:contextualSpacing/>
              <w:textAlignment w:val="center"/>
              <w:rPr>
                <w:rFonts w:eastAsia="PMingLiU"/>
                <w:color w:val="000000"/>
                <w:sz w:val="22"/>
                <w:lang w:val="el-GR" w:bidi="en-US"/>
              </w:rPr>
            </w:pPr>
            <w:r>
              <w:rPr>
                <w:rFonts w:eastAsia="Arial Unicode MS" w:cs="Arial Unicode MS"/>
                <w:b/>
                <w:color w:val="000000"/>
                <w:sz w:val="22"/>
                <w:szCs w:val="22"/>
                <w:lang w:val="el-GR" w:bidi="en-US"/>
              </w:rPr>
              <w:t xml:space="preserve">Σημαντικό: </w:t>
            </w:r>
            <w:r>
              <w:rPr>
                <w:rFonts w:eastAsia="Arial Unicode MS" w:cs="Arial Unicode MS"/>
                <w:bCs/>
                <w:color w:val="000000"/>
                <w:sz w:val="22"/>
                <w:szCs w:val="22"/>
                <w:lang w:val="el-GR" w:bidi="en-US"/>
              </w:rPr>
              <w:t xml:space="preserve">Θα πρέπει να πιέσετε τη </w:t>
            </w:r>
            <w:r>
              <w:rPr>
                <w:rFonts w:eastAsia="Arial Unicode MS" w:cs="Arial Unicode MS"/>
                <w:sz w:val="22"/>
                <w:szCs w:val="22"/>
                <w:lang w:val="el-GR" w:bidi="en-US"/>
              </w:rPr>
              <w:t xml:space="preserve">συσκευή τύπου πένας </w:t>
            </w:r>
            <w:r>
              <w:rPr>
                <w:rFonts w:eastAsia="Arial Unicode MS" w:cs="Arial Unicode MS"/>
                <w:bCs/>
                <w:color w:val="000000"/>
                <w:sz w:val="22"/>
                <w:szCs w:val="22"/>
                <w:lang w:val="el-GR" w:bidi="en-US"/>
              </w:rPr>
              <w:t>προς τα κάτω έως το τέλος της διαδρομής της, αλλά μην αγγίξετε το μπλε πλήκτρο χορήγησης εάν δεν είστε έτοιμοι για την ένεση.</w:t>
            </w:r>
          </w:p>
        </w:tc>
      </w:tr>
    </w:tbl>
    <w:p w14:paraId="4DDD083C" w14:textId="77777777" w:rsidR="00171824" w:rsidRDefault="00171824">
      <w:pPr>
        <w:widowControl/>
        <w:tabs>
          <w:tab w:val="left" w:pos="810"/>
        </w:tabs>
        <w:suppressAutoHyphens/>
        <w:contextualSpacing/>
        <w:textAlignment w:val="center"/>
        <w:rPr>
          <w:rFonts w:eastAsia="PMingLiU"/>
          <w:b/>
          <w:color w:val="000000"/>
          <w:sz w:val="22"/>
          <w:szCs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171824" w14:paraId="4C6A0013" w14:textId="77777777">
        <w:tc>
          <w:tcPr>
            <w:tcW w:w="29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391C448" w14:textId="77777777" w:rsidR="00171824" w:rsidRDefault="006D258C">
            <w:pPr>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Θ.</w:t>
            </w:r>
          </w:p>
        </w:tc>
        <w:tc>
          <w:tcPr>
            <w:tcW w:w="470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23D9DE" w14:textId="77777777" w:rsidR="00171824" w:rsidRDefault="006D258C">
            <w:pPr>
              <w:keepLines/>
              <w:widowControl/>
              <w:rPr>
                <w:rFonts w:eastAsia="PMingLiU"/>
                <w:color w:val="000000"/>
                <w:sz w:val="22"/>
                <w:lang w:val="el-GR" w:bidi="en-US"/>
              </w:rPr>
            </w:pPr>
            <w:r>
              <w:rPr>
                <w:rFonts w:eastAsia="Arial Unicode MS" w:cs="Arial Unicode MS"/>
                <w:sz w:val="22"/>
                <w:szCs w:val="22"/>
                <w:lang w:val="el-GR" w:bidi="en-US"/>
              </w:rPr>
              <w:t xml:space="preserve">Όταν είστε έτοιμοι να κάνετε την ένεση, </w:t>
            </w:r>
            <w:r>
              <w:rPr>
                <w:rFonts w:eastAsia="Arial Unicode MS" w:cs="Arial Unicode MS"/>
                <w:b/>
                <w:bCs/>
                <w:sz w:val="22"/>
                <w:szCs w:val="22"/>
                <w:lang w:val="el-GR" w:bidi="en-US"/>
              </w:rPr>
              <w:t xml:space="preserve">πιέστε </w:t>
            </w:r>
            <w:r>
              <w:rPr>
                <w:rFonts w:eastAsia="Arial Unicode MS" w:cs="Arial Unicode MS"/>
                <w:sz w:val="22"/>
                <w:szCs w:val="22"/>
                <w:lang w:val="el-GR" w:bidi="en-US"/>
              </w:rPr>
              <w:t>το μπλε πλήκτρο χορήγησης. Θα ακούσετε ένα κλικ.</w:t>
            </w:r>
          </w:p>
        </w:tc>
      </w:tr>
      <w:tr w:rsidR="00171824" w14:paraId="07436086" w14:textId="77777777">
        <w:trPr>
          <w:trHeight w:val="39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91BE6F" w14:textId="1D7C1D6A" w:rsidR="00171824" w:rsidRDefault="009039B7">
            <w:pPr>
              <w:widowControl/>
              <w:tabs>
                <w:tab w:val="left" w:pos="567"/>
              </w:tabs>
              <w:suppressAutoHyphens/>
              <w:textAlignment w:val="center"/>
              <w:rPr>
                <w:rFonts w:eastAsia="PMingLiU"/>
                <w:color w:val="000000"/>
                <w:sz w:val="22"/>
                <w:lang w:val="el-GR" w:bidi="en-US"/>
              </w:rPr>
            </w:pPr>
            <w:r>
              <w:rPr>
                <w:noProof/>
              </w:rPr>
              <mc:AlternateContent>
                <mc:Choice Requires="wps">
                  <w:drawing>
                    <wp:anchor distT="0" distB="0" distL="114300" distR="114300" simplePos="0" relativeHeight="251643904" behindDoc="0" locked="0" layoutInCell="1" allowOverlap="1" wp14:anchorId="499B448F" wp14:editId="10D38403">
                      <wp:simplePos x="0" y="0"/>
                      <wp:positionH relativeFrom="column">
                        <wp:posOffset>471170</wp:posOffset>
                      </wp:positionH>
                      <wp:positionV relativeFrom="paragraph">
                        <wp:posOffset>175895</wp:posOffset>
                      </wp:positionV>
                      <wp:extent cx="666750" cy="295910"/>
                      <wp:effectExtent l="0" t="0" r="0" b="8890"/>
                      <wp:wrapNone/>
                      <wp:docPr id="111904480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166FB4A6" w14:textId="77777777" w:rsidR="00171824" w:rsidRDefault="006D258C">
                                  <w:pPr>
                                    <w:rPr>
                                      <w:color w:val="FFFFFF"/>
                                      <w:sz w:val="20"/>
                                    </w:rPr>
                                  </w:pPr>
                                  <w:r>
                                    <w:rPr>
                                      <w:b/>
                                      <w:color w:val="FFFFFF"/>
                                      <w:sz w:val="20"/>
                                    </w:rPr>
                                    <w:t>"Κλικ"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499B448F" id="_x0000_t202" coordsize="21600,21600" o:spt="202" path="m,l,21600r21600,l21600,xe">
                      <v:stroke joinstyle="miter"/>
                      <v:path gradientshapeok="t" o:connecttype="rect"/>
                    </v:shapetype>
                    <v:shape id="Text Box 49" o:spid="_x0000_s1026" type="#_x0000_t202" style="position:absolute;margin-left:37.1pt;margin-top:13.85pt;width:52.5pt;height:23.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yVOQIAAH0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" fillcolor="windowText" strokeweight=".5pt">
                      <v:path arrowok="t"/>
                      <v:textbox>
                        <w:txbxContent>
                          <w:p w14:paraId="166FB4A6" w14:textId="77777777" w:rsidR="00171824" w:rsidRDefault="006D258C">
                            <w:pPr>
                              <w:rPr>
                                <w:color w:val="FFFFFF"/>
                                <w:sz w:val="20"/>
                              </w:rPr>
                            </w:pPr>
                            <w:r>
                              <w:rPr>
                                <w:b/>
                                <w:color w:val="FFFFFF"/>
                                <w:sz w:val="20"/>
                              </w:rPr>
                              <w:t>"Κλικ"</w:t>
                            </w:r>
                          </w:p>
                        </w:txbxContent>
                      </v:textbox>
                    </v:shape>
                  </w:pict>
                </mc:Fallback>
              </mc:AlternateContent>
            </w:r>
            <w:r>
              <w:rPr>
                <w:noProof/>
                <w:sz w:val="22"/>
                <w:lang w:val="el-GR" w:eastAsia="zh-CN"/>
              </w:rPr>
              <w:drawing>
                <wp:inline distT="0" distB="0" distL="0" distR="0" wp14:anchorId="02BF77A5" wp14:editId="5A4E32FE">
                  <wp:extent cx="3840480" cy="2383155"/>
                  <wp:effectExtent l="0" t="0" r="0" b="0"/>
                  <wp:docPr id="38" name="Picture 6" descr="ILL0944 DEVIC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LL0944 DEVICE MISC N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40480" cy="2383155"/>
                          </a:xfrm>
                          <a:prstGeom prst="rect">
                            <a:avLst/>
                          </a:prstGeom>
                          <a:noFill/>
                          <a:ln>
                            <a:noFill/>
                          </a:ln>
                        </pic:spPr>
                      </pic:pic>
                    </a:graphicData>
                  </a:graphic>
                </wp:inline>
              </w:drawing>
            </w:r>
          </w:p>
        </w:tc>
      </w:tr>
    </w:tbl>
    <w:p w14:paraId="3EDAB0FF" w14:textId="77777777" w:rsidR="00171824" w:rsidRDefault="00171824">
      <w:pPr>
        <w:widowControl/>
        <w:tabs>
          <w:tab w:val="left" w:pos="810"/>
        </w:tabs>
        <w:suppressAutoHyphens/>
        <w:contextualSpacing/>
        <w:textAlignment w:val="center"/>
        <w:rPr>
          <w:rFonts w:eastAsia="PMingLiU"/>
          <w:b/>
          <w:color w:val="000000"/>
          <w:sz w:val="22"/>
          <w:szCs w:val="22"/>
          <w:lang w:val="el-GR" w:eastAsia="ja-JP"/>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6"/>
        <w:gridCol w:w="8371"/>
      </w:tblGrid>
      <w:tr w:rsidR="00171824" w14:paraId="61F6BC4E" w14:textId="77777777">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6C508F1" w14:textId="77777777" w:rsidR="00171824" w:rsidRDefault="006D258C">
            <w:pPr>
              <w:keepNext/>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lastRenderedPageBreak/>
              <w:t>Ι.</w:t>
            </w:r>
          </w:p>
        </w:tc>
        <w:tc>
          <w:tcPr>
            <w:tcW w:w="464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F4EB61" w14:textId="77777777" w:rsidR="00171824" w:rsidRDefault="006D258C">
            <w:pPr>
              <w:keepLines/>
              <w:widowControl/>
              <w:rPr>
                <w:rFonts w:eastAsia="PMingLiU"/>
                <w:color w:val="000000"/>
                <w:sz w:val="22"/>
                <w:lang w:val="el-GR" w:bidi="en-US"/>
              </w:rPr>
            </w:pPr>
            <w:r>
              <w:rPr>
                <w:rFonts w:eastAsia="Arial Unicode MS" w:cs="Arial Unicode MS"/>
                <w:sz w:val="22"/>
                <w:szCs w:val="22"/>
                <w:lang w:val="el-GR" w:bidi="en-US"/>
              </w:rPr>
              <w:t xml:space="preserve">Συνεχίστε να </w:t>
            </w:r>
            <w:r>
              <w:rPr>
                <w:rFonts w:eastAsia="Arial Unicode MS" w:cs="Arial Unicode MS"/>
                <w:b/>
                <w:bCs/>
                <w:sz w:val="22"/>
                <w:szCs w:val="22"/>
                <w:lang w:val="el-GR" w:bidi="en-US"/>
              </w:rPr>
              <w:t xml:space="preserve">πιέζετε </w:t>
            </w:r>
            <w:r>
              <w:rPr>
                <w:rFonts w:eastAsia="Arial Unicode MS" w:cs="Arial Unicode MS"/>
                <w:sz w:val="22"/>
                <w:szCs w:val="22"/>
                <w:lang w:val="el-GR" w:bidi="en-US"/>
              </w:rPr>
              <w:t>τη συσκευή τύπου πένας προς τα κάτω επάνω στο δέρμα σας. Η ένεσή σας μπορεί να διαρκέσει περίπου 10 δευτερόλεπτα.</w:t>
            </w:r>
          </w:p>
        </w:tc>
      </w:tr>
      <w:tr w:rsidR="00171824" w14:paraId="46943C61" w14:textId="77777777">
        <w:trPr>
          <w:trHeight w:val="293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930"/>
              <w:gridCol w:w="362"/>
              <w:gridCol w:w="1684"/>
            </w:tblGrid>
            <w:tr w:rsidR="00171824" w14:paraId="10FE05B1" w14:textId="77777777">
              <w:tc>
                <w:tcPr>
                  <w:tcW w:w="6096" w:type="dxa"/>
                  <w:gridSpan w:val="2"/>
                  <w:vMerge w:val="restart"/>
                </w:tcPr>
                <w:p w14:paraId="51A2F4E5" w14:textId="3B1524FC" w:rsidR="00171824" w:rsidRDefault="009039B7">
                  <w:pPr>
                    <w:keepNext/>
                    <w:keepLines/>
                    <w:widowControl/>
                    <w:tabs>
                      <w:tab w:val="left" w:pos="810"/>
                    </w:tabs>
                    <w:suppressAutoHyphens/>
                    <w:contextualSpacing/>
                    <w:textAlignment w:val="center"/>
                    <w:rPr>
                      <w:rFonts w:eastAsia="PMingLiU"/>
                      <w:color w:val="000000"/>
                      <w:sz w:val="20"/>
                      <w:lang w:val="el-GR" w:bidi="en-US"/>
                    </w:rPr>
                  </w:pPr>
                  <w:r>
                    <w:rPr>
                      <w:noProof/>
                    </w:rPr>
                    <mc:AlternateContent>
                      <mc:Choice Requires="wps">
                        <w:drawing>
                          <wp:anchor distT="0" distB="0" distL="114300" distR="114300" simplePos="0" relativeHeight="251644928" behindDoc="0" locked="0" layoutInCell="1" allowOverlap="1" wp14:anchorId="1CCA93E5" wp14:editId="3B0E9FCC">
                            <wp:simplePos x="0" y="0"/>
                            <wp:positionH relativeFrom="column">
                              <wp:posOffset>389890</wp:posOffset>
                            </wp:positionH>
                            <wp:positionV relativeFrom="paragraph">
                              <wp:posOffset>355600</wp:posOffset>
                            </wp:positionV>
                            <wp:extent cx="666750" cy="295910"/>
                            <wp:effectExtent l="0" t="0" r="0" b="8890"/>
                            <wp:wrapNone/>
                            <wp:docPr id="96756996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704F21E4" w14:textId="77777777" w:rsidR="00171824" w:rsidRDefault="006D258C">
                                        <w:pPr>
                                          <w:rPr>
                                            <w:color w:val="FFFFFF"/>
                                            <w:sz w:val="20"/>
                                          </w:rPr>
                                        </w:pPr>
                                        <w:r>
                                          <w:rPr>
                                            <w:b/>
                                            <w:color w:val="FFFFFF"/>
                                            <w:sz w:val="20"/>
                                          </w:rPr>
                                          <w:t>"Κλικ"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CCA93E5" id="Text Box 48" o:spid="_x0000_s1027" type="#_x0000_t202" style="position:absolute;margin-left:30.7pt;margin-top:28pt;width:52.5pt;height:23.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J0PgIAAIQ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" fillcolor="windowText" strokeweight=".5pt">
                            <v:path arrowok="t"/>
                            <v:textbox>
                              <w:txbxContent>
                                <w:p w14:paraId="704F21E4" w14:textId="77777777" w:rsidR="00171824" w:rsidRDefault="006D258C">
                                  <w:pPr>
                                    <w:rPr>
                                      <w:color w:val="FFFFFF"/>
                                      <w:sz w:val="20"/>
                                    </w:rPr>
                                  </w:pPr>
                                  <w:r>
                                    <w:rPr>
                                      <w:b/>
                                      <w:color w:val="FFFFFF"/>
                                      <w:sz w:val="20"/>
                                    </w:rPr>
                                    <w:t>"Κλικ"</w:t>
                                  </w:r>
                                </w:p>
                              </w:txbxContent>
                            </v:textbox>
                          </v:shape>
                        </w:pict>
                      </mc:Fallback>
                    </mc:AlternateContent>
                  </w:r>
                  <w:r w:rsidR="006D258C">
                    <w:rPr>
                      <w:rFonts w:ascii="Verdana" w:eastAsia="Arial Unicode MS" w:hAnsi="Verdana" w:cs="Arial Unicode MS"/>
                      <w:color w:val="000000"/>
                      <w:sz w:val="14"/>
                      <w:szCs w:val="14"/>
                      <w:lang w:val="el-GR" w:bidi="en-US"/>
                    </w:rPr>
                    <w:t xml:space="preserve">   </w:t>
                  </w:r>
                  <w:r>
                    <w:rPr>
                      <w:rFonts w:ascii="Verdana" w:eastAsia="Arial Unicode MS" w:hAnsi="Verdana" w:cs="Arial Unicode MS"/>
                      <w:noProof/>
                      <w:color w:val="000000"/>
                      <w:sz w:val="14"/>
                      <w:szCs w:val="14"/>
                      <w:lang w:val="el-GR" w:eastAsia="zh-CN"/>
                    </w:rPr>
                    <w:drawing>
                      <wp:inline distT="0" distB="0" distL="0" distR="0" wp14:anchorId="4166218C" wp14:editId="750C4D8E">
                        <wp:extent cx="3754755" cy="2383155"/>
                        <wp:effectExtent l="0" t="0" r="0" b="0"/>
                        <wp:docPr id="39" name="Picture 5" descr="ILL0945 DEVICE MISC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LL0945 DEVICE MISC N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54755" cy="2383155"/>
                                </a:xfrm>
                                <a:prstGeom prst="rect">
                                  <a:avLst/>
                                </a:prstGeom>
                                <a:noFill/>
                                <a:ln>
                                  <a:noFill/>
                                </a:ln>
                              </pic:spPr>
                            </pic:pic>
                          </a:graphicData>
                        </a:graphic>
                      </wp:inline>
                    </w:drawing>
                  </w:r>
                </w:p>
              </w:tc>
              <w:tc>
                <w:tcPr>
                  <w:tcW w:w="1292" w:type="dxa"/>
                  <w:gridSpan w:val="2"/>
                </w:tcPr>
                <w:p w14:paraId="7399D8FE" w14:textId="77777777" w:rsidR="00171824" w:rsidRDefault="006D258C">
                  <w:pPr>
                    <w:keepNext/>
                    <w:keepLines/>
                    <w:widowControl/>
                    <w:tabs>
                      <w:tab w:val="left" w:pos="567"/>
                    </w:tabs>
                    <w:suppressAutoHyphens/>
                    <w:jc w:val="center"/>
                    <w:textAlignment w:val="center"/>
                    <w:rPr>
                      <w:rFonts w:eastAsia="PMingLiU"/>
                      <w:color w:val="000000"/>
                      <w:sz w:val="22"/>
                      <w:lang w:val="el-GR" w:bidi="en-US"/>
                    </w:rPr>
                  </w:pPr>
                  <w:r>
                    <w:rPr>
                      <w:rFonts w:eastAsia="Arial Unicode MS" w:cs="Arial Unicode MS"/>
                      <w:b/>
                      <w:color w:val="000000"/>
                      <w:sz w:val="22"/>
                      <w:szCs w:val="22"/>
                      <w:lang w:val="el-GR" w:bidi="en-US"/>
                    </w:rPr>
                    <w:t>~10s</w:t>
                  </w:r>
                </w:p>
              </w:tc>
              <w:tc>
                <w:tcPr>
                  <w:tcW w:w="1684" w:type="dxa"/>
                </w:tcPr>
                <w:p w14:paraId="70268660" w14:textId="77777777" w:rsidR="00171824" w:rsidRDefault="00171824">
                  <w:pPr>
                    <w:keepNext/>
                    <w:keepLines/>
                    <w:widowControl/>
                    <w:tabs>
                      <w:tab w:val="left" w:pos="567"/>
                    </w:tabs>
                    <w:suppressAutoHyphens/>
                    <w:textAlignment w:val="center"/>
                    <w:rPr>
                      <w:rFonts w:eastAsia="PMingLiU"/>
                      <w:color w:val="000000"/>
                      <w:sz w:val="22"/>
                      <w:lang w:val="el-GR"/>
                    </w:rPr>
                  </w:pPr>
                </w:p>
              </w:tc>
            </w:tr>
            <w:tr w:rsidR="00171824" w14:paraId="58F17BE2" w14:textId="77777777">
              <w:trPr>
                <w:trHeight w:val="960"/>
              </w:trPr>
              <w:tc>
                <w:tcPr>
                  <w:tcW w:w="6096" w:type="dxa"/>
                  <w:gridSpan w:val="2"/>
                  <w:vMerge/>
                </w:tcPr>
                <w:p w14:paraId="7C2D11AB" w14:textId="77777777" w:rsidR="00171824" w:rsidRDefault="00171824">
                  <w:pPr>
                    <w:keepNext/>
                    <w:keepLines/>
                    <w:widowControl/>
                    <w:tabs>
                      <w:tab w:val="left" w:pos="567"/>
                    </w:tabs>
                    <w:suppressAutoHyphens/>
                    <w:textAlignment w:val="center"/>
                    <w:rPr>
                      <w:rFonts w:eastAsia="PMingLiU"/>
                      <w:color w:val="000000"/>
                      <w:sz w:val="22"/>
                      <w:lang w:val="el-GR"/>
                    </w:rPr>
                  </w:pPr>
                </w:p>
              </w:tc>
              <w:tc>
                <w:tcPr>
                  <w:tcW w:w="930" w:type="dxa"/>
                </w:tcPr>
                <w:p w14:paraId="680BBA11" w14:textId="5CC049DC" w:rsidR="00171824" w:rsidRDefault="009039B7">
                  <w:pPr>
                    <w:keepNext/>
                    <w:keepLines/>
                    <w:widowControl/>
                    <w:tabs>
                      <w:tab w:val="left" w:pos="567"/>
                    </w:tabs>
                    <w:suppressAutoHyphens/>
                    <w:jc w:val="center"/>
                    <w:textAlignment w:val="center"/>
                    <w:rPr>
                      <w:rFonts w:eastAsia="PMingLiU"/>
                      <w:color w:val="000000"/>
                      <w:sz w:val="22"/>
                      <w:lang w:val="el-GR" w:bidi="en-US"/>
                    </w:rPr>
                  </w:pPr>
                  <w:bookmarkStart w:id="121" w:name="_Hlk104892377"/>
                  <w:r>
                    <w:rPr>
                      <w:noProof/>
                      <w:sz w:val="22"/>
                      <w:lang w:val="el-GR" w:eastAsia="zh-CN"/>
                    </w:rPr>
                    <w:drawing>
                      <wp:inline distT="0" distB="0" distL="0" distR="0" wp14:anchorId="667BE983" wp14:editId="071F7460">
                        <wp:extent cx="457200" cy="457200"/>
                        <wp:effectExtent l="0" t="0" r="0" b="0"/>
                        <wp:docPr id="40" name="Picture 4"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YM0152 v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bookmarkEnd w:id="121"/>
                </w:p>
              </w:tc>
              <w:tc>
                <w:tcPr>
                  <w:tcW w:w="2046" w:type="dxa"/>
                  <w:gridSpan w:val="2"/>
                </w:tcPr>
                <w:p w14:paraId="24EDFC36" w14:textId="37AA0B33" w:rsidR="00171824" w:rsidRDefault="009039B7">
                  <w:pPr>
                    <w:keepNext/>
                    <w:keepLines/>
                    <w:widowControl/>
                    <w:tabs>
                      <w:tab w:val="left" w:pos="567"/>
                    </w:tabs>
                    <w:suppressAutoHyphens/>
                    <w:textAlignment w:val="center"/>
                    <w:rPr>
                      <w:rFonts w:eastAsia="PMingLiU"/>
                      <w:color w:val="000000"/>
                      <w:sz w:val="22"/>
                      <w:lang w:val="el-GR" w:bidi="en-US"/>
                    </w:rPr>
                  </w:pPr>
                  <w:bookmarkStart w:id="122" w:name="_Hlk104892405"/>
                  <w:r>
                    <w:rPr>
                      <w:noProof/>
                      <w:color w:val="000000"/>
                      <w:sz w:val="22"/>
                      <w:szCs w:val="22"/>
                      <w:lang w:val="el-GR" w:eastAsia="zh-CN"/>
                    </w:rPr>
                    <w:drawing>
                      <wp:inline distT="0" distB="0" distL="0" distR="0" wp14:anchorId="3D4FE7CC" wp14:editId="6693301F">
                        <wp:extent cx="914400" cy="914400"/>
                        <wp:effectExtent l="0" t="0" r="0" b="0"/>
                        <wp:docPr id="41" name="Picture 3" descr="ILL0996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LL0996 v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bookmarkEnd w:id="122"/>
                </w:p>
              </w:tc>
            </w:tr>
            <w:tr w:rsidR="00171824" w:rsidRPr="00422380" w14:paraId="3CE42378" w14:textId="77777777">
              <w:trPr>
                <w:trHeight w:val="2116"/>
              </w:trPr>
              <w:tc>
                <w:tcPr>
                  <w:tcW w:w="6096" w:type="dxa"/>
                  <w:gridSpan w:val="2"/>
                  <w:vMerge/>
                </w:tcPr>
                <w:p w14:paraId="432A65E4" w14:textId="77777777" w:rsidR="00171824" w:rsidRDefault="00171824">
                  <w:pPr>
                    <w:keepNext/>
                    <w:keepLines/>
                    <w:widowControl/>
                    <w:tabs>
                      <w:tab w:val="left" w:pos="567"/>
                    </w:tabs>
                    <w:suppressAutoHyphens/>
                    <w:textAlignment w:val="center"/>
                    <w:rPr>
                      <w:rFonts w:eastAsia="PMingLiU"/>
                      <w:color w:val="000000"/>
                      <w:sz w:val="22"/>
                      <w:lang w:val="el-GR"/>
                    </w:rPr>
                  </w:pPr>
                </w:p>
              </w:tc>
              <w:tc>
                <w:tcPr>
                  <w:tcW w:w="2976" w:type="dxa"/>
                  <w:gridSpan w:val="3"/>
                </w:tcPr>
                <w:p w14:paraId="4C93BF08" w14:textId="77777777" w:rsidR="00171824" w:rsidRDefault="006D258C">
                  <w:pPr>
                    <w:keepNext/>
                    <w:keepLines/>
                    <w:widowControl/>
                    <w:tabs>
                      <w:tab w:val="left" w:pos="567"/>
                    </w:tabs>
                    <w:ind w:right="99"/>
                    <w:jc w:val="both"/>
                    <w:textAlignment w:val="center"/>
                    <w:rPr>
                      <w:rFonts w:eastAsia="PMingLiU"/>
                      <w:color w:val="000000"/>
                      <w:sz w:val="22"/>
                      <w:lang w:val="el-GR" w:bidi="en-US"/>
                    </w:rPr>
                  </w:pPr>
                  <w:r>
                    <w:rPr>
                      <w:rFonts w:eastAsia="Arial Unicode MS" w:cs="Arial Unicode MS"/>
                      <w:color w:val="000000"/>
                      <w:sz w:val="22"/>
                      <w:szCs w:val="22"/>
                      <w:lang w:val="el-GR" w:bidi="en-US"/>
                    </w:rPr>
                    <w:t xml:space="preserve">Το παράθυρο γίνεται κίτρινο </w:t>
                  </w:r>
                </w:p>
                <w:p w14:paraId="5B1482A0" w14:textId="77777777" w:rsidR="00171824" w:rsidRDefault="006D258C">
                  <w:pPr>
                    <w:keepNext/>
                    <w:keepLines/>
                    <w:widowControl/>
                    <w:tabs>
                      <w:tab w:val="left" w:pos="567"/>
                    </w:tabs>
                    <w:ind w:right="99"/>
                    <w:jc w:val="both"/>
                    <w:textAlignment w:val="center"/>
                    <w:rPr>
                      <w:rFonts w:eastAsia="PMingLiU"/>
                      <w:color w:val="000000"/>
                      <w:sz w:val="22"/>
                      <w:lang w:val="el-GR" w:bidi="en-US"/>
                    </w:rPr>
                  </w:pPr>
                  <w:r>
                    <w:rPr>
                      <w:rFonts w:eastAsia="Arial Unicode MS" w:cs="Arial Unicode MS"/>
                      <w:color w:val="000000"/>
                      <w:sz w:val="22"/>
                      <w:szCs w:val="22"/>
                      <w:lang w:val="el-GR" w:bidi="en-US"/>
                    </w:rPr>
                    <w:t>όταν η ένεση ολοκληρωθεί. Μπορεί να ακούσετε ένα δεύτερο κλικ.</w:t>
                  </w:r>
                </w:p>
              </w:tc>
            </w:tr>
            <w:tr w:rsidR="00171824" w:rsidRPr="00422380" w14:paraId="7AAD639D" w14:textId="77777777">
              <w:trPr>
                <w:trHeight w:val="1835"/>
              </w:trPr>
              <w:tc>
                <w:tcPr>
                  <w:tcW w:w="3196" w:type="dxa"/>
                  <w:tcMar>
                    <w:left w:w="0" w:type="dxa"/>
                    <w:right w:w="0" w:type="dxa"/>
                  </w:tcMar>
                </w:tcPr>
                <w:p w14:paraId="1731894A" w14:textId="7E8BCED6" w:rsidR="00171824" w:rsidRDefault="009039B7">
                  <w:pPr>
                    <w:keepNext/>
                    <w:keepLines/>
                    <w:widowControl/>
                    <w:tabs>
                      <w:tab w:val="left" w:pos="567"/>
                    </w:tabs>
                    <w:suppressAutoHyphens/>
                    <w:textAlignment w:val="center"/>
                    <w:rPr>
                      <w:rFonts w:eastAsia="PMingLiU"/>
                      <w:color w:val="000000"/>
                      <w:sz w:val="22"/>
                      <w:lang w:val="el-GR" w:bidi="en-US"/>
                    </w:rPr>
                  </w:pPr>
                  <w:bookmarkStart w:id="123" w:name="_Hlk104892432"/>
                  <w:r>
                    <w:rPr>
                      <w:noProof/>
                      <w:color w:val="000000"/>
                      <w:sz w:val="22"/>
                      <w:szCs w:val="22"/>
                      <w:lang w:val="el-GR" w:eastAsia="zh-CN"/>
                    </w:rPr>
                    <w:drawing>
                      <wp:inline distT="0" distB="0" distL="0" distR="0" wp14:anchorId="3C065A5C" wp14:editId="1D3E6A96">
                        <wp:extent cx="1011555" cy="1011555"/>
                        <wp:effectExtent l="0" t="0" r="0" b="0"/>
                        <wp:docPr id="42" name="Picture 2" descr="ILL0997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LL0997 v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1555" cy="1011555"/>
                                </a:xfrm>
                                <a:prstGeom prst="rect">
                                  <a:avLst/>
                                </a:prstGeom>
                                <a:noFill/>
                                <a:ln>
                                  <a:noFill/>
                                </a:ln>
                              </pic:spPr>
                            </pic:pic>
                          </a:graphicData>
                        </a:graphic>
                      </wp:inline>
                    </w:drawing>
                  </w:r>
                  <w:bookmarkEnd w:id="123"/>
                </w:p>
              </w:tc>
              <w:tc>
                <w:tcPr>
                  <w:tcW w:w="5876" w:type="dxa"/>
                  <w:gridSpan w:val="4"/>
                  <w:tcMar>
                    <w:top w:w="142" w:type="dxa"/>
                  </w:tcMar>
                </w:tcPr>
                <w:p w14:paraId="626C956D" w14:textId="77777777" w:rsidR="00171824" w:rsidRDefault="006D258C">
                  <w:pPr>
                    <w:keepNext/>
                    <w:keepLines/>
                    <w:widowControl/>
                    <w:tabs>
                      <w:tab w:val="left" w:pos="567"/>
                    </w:tabs>
                    <w:suppressAutoHyphens/>
                    <w:textAlignment w:val="center"/>
                    <w:rPr>
                      <w:rFonts w:eastAsia="PMingLiU"/>
                      <w:color w:val="000000"/>
                      <w:sz w:val="22"/>
                      <w:lang w:val="el-GR" w:bidi="en-US"/>
                    </w:rPr>
                  </w:pPr>
                  <w:r>
                    <w:rPr>
                      <w:rFonts w:eastAsia="Arial Unicode MS" w:cs="Arial Unicode MS"/>
                      <w:b/>
                      <w:bCs/>
                      <w:color w:val="000000"/>
                      <w:sz w:val="22"/>
                      <w:szCs w:val="22"/>
                      <w:lang w:val="el-GR" w:bidi="en-US"/>
                    </w:rPr>
                    <w:t xml:space="preserve">Σημείωση: </w:t>
                  </w:r>
                  <w:r>
                    <w:rPr>
                      <w:rFonts w:eastAsia="Arial Unicode MS" w:cs="Arial Unicode MS"/>
                      <w:color w:val="000000"/>
                      <w:sz w:val="22"/>
                      <w:szCs w:val="22"/>
                      <w:lang w:val="el-GR" w:bidi="en-US"/>
                    </w:rPr>
                    <w:t xml:space="preserve">Αφού απομακρύνετε την προγεμισμένη </w:t>
                  </w:r>
                  <w:r>
                    <w:rPr>
                      <w:rFonts w:eastAsia="Arial Unicode MS" w:cs="Arial Unicode MS"/>
                      <w:sz w:val="22"/>
                      <w:szCs w:val="22"/>
                      <w:lang w:val="el-GR" w:bidi="en-US"/>
                    </w:rPr>
                    <w:t xml:space="preserve">συσκευή τύπου πένας </w:t>
                  </w:r>
                  <w:r>
                    <w:rPr>
                      <w:rFonts w:eastAsia="Arial Unicode MS" w:cs="Arial Unicode MS"/>
                      <w:color w:val="000000"/>
                      <w:sz w:val="22"/>
                      <w:szCs w:val="22"/>
                      <w:lang w:val="el-GR" w:bidi="en-US"/>
                    </w:rPr>
                    <w:t>από το δέρμα σας, η βελόνα θα καλυφθεί αυτομάτως.</w:t>
                  </w:r>
                </w:p>
              </w:tc>
            </w:tr>
            <w:tr w:rsidR="00171824" w14:paraId="164548F9" w14:textId="77777777">
              <w:tc>
                <w:tcPr>
                  <w:tcW w:w="9072" w:type="dxa"/>
                  <w:gridSpan w:val="5"/>
                </w:tcPr>
                <w:p w14:paraId="68D38940" w14:textId="77777777" w:rsidR="00171824" w:rsidRDefault="006D258C">
                  <w:pPr>
                    <w:keepNext/>
                    <w:keepLines/>
                    <w:widowControl/>
                    <w:tabs>
                      <w:tab w:val="left" w:pos="567"/>
                    </w:tabs>
                    <w:suppressAutoHyphens/>
                    <w:textAlignment w:val="center"/>
                    <w:rPr>
                      <w:rFonts w:eastAsia="PMingLiU"/>
                      <w:color w:val="000000"/>
                      <w:sz w:val="22"/>
                      <w:lang w:val="el-GR" w:bidi="en-US"/>
                    </w:rPr>
                  </w:pPr>
                  <w:r>
                    <w:rPr>
                      <w:rFonts w:eastAsia="Arial Unicode MS" w:cs="Arial Unicode MS"/>
                      <w:b/>
                      <w:sz w:val="22"/>
                      <w:szCs w:val="22"/>
                      <w:lang w:val="el-GR" w:bidi="en-US"/>
                    </w:rPr>
                    <w:t>Σημαντικό:</w:t>
                  </w:r>
                  <w:r>
                    <w:rPr>
                      <w:rFonts w:eastAsia="Arial Unicode MS" w:cs="Arial Unicode MS"/>
                      <w:sz w:val="22"/>
                      <w:szCs w:val="22"/>
                      <w:lang w:val="el-GR" w:bidi="en-US"/>
                    </w:rPr>
                    <w:t xml:space="preserve"> Όταν απομακρύνετε την προγεμισμένη συσκευή τύπου πένας, εάν το παράθυρο δεν έχει γίνει κίτρινο ή εάν φαίνεται ότι η διαδικασία της ένεσης συνεχίζεται, τότε δεν έχετε λάβει μία πλήρη δόση του φαρμάκου. Τηλεφωνήστε αμέσως στον γιατρό σας.</w:t>
                  </w:r>
                </w:p>
              </w:tc>
            </w:tr>
          </w:tbl>
          <w:p w14:paraId="7B0D416F" w14:textId="77777777" w:rsidR="00171824" w:rsidRDefault="00171824">
            <w:pPr>
              <w:keepLines/>
              <w:widowControl/>
              <w:tabs>
                <w:tab w:val="left" w:pos="567"/>
              </w:tabs>
              <w:suppressAutoHyphens/>
              <w:textAlignment w:val="center"/>
              <w:rPr>
                <w:rFonts w:eastAsia="PMingLiU"/>
                <w:color w:val="000000"/>
                <w:sz w:val="22"/>
                <w:lang w:val="el-GR"/>
              </w:rPr>
            </w:pPr>
          </w:p>
        </w:tc>
      </w:tr>
    </w:tbl>
    <w:p w14:paraId="3FDD3539" w14:textId="77777777" w:rsidR="00171824" w:rsidRDefault="00171824">
      <w:pPr>
        <w:widowControl/>
        <w:tabs>
          <w:tab w:val="left" w:pos="240"/>
          <w:tab w:val="left" w:pos="360"/>
          <w:tab w:val="left" w:pos="660"/>
          <w:tab w:val="left" w:pos="780"/>
        </w:tabs>
        <w:suppressAutoHyphens/>
        <w:textAlignment w:val="center"/>
        <w:rPr>
          <w:rFonts w:eastAsia="PMingLiU"/>
          <w:b/>
          <w:bCs/>
          <w:color w:val="000000"/>
          <w:sz w:val="22"/>
          <w:szCs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171824" w14:paraId="1CBA329D"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44F9956" w14:textId="77777777" w:rsidR="00171824" w:rsidRDefault="006D258C">
            <w:pPr>
              <w:keepNext/>
              <w:widowControl/>
              <w:tabs>
                <w:tab w:val="left" w:pos="810"/>
              </w:tabs>
              <w:suppressAutoHyphens/>
              <w:contextualSpacing/>
              <w:jc w:val="center"/>
              <w:textAlignment w:val="center"/>
              <w:rPr>
                <w:rFonts w:eastAsia="PMingLiU"/>
                <w:b/>
                <w:color w:val="000000"/>
                <w:sz w:val="22"/>
                <w:lang w:val="el-GR" w:bidi="en-US"/>
              </w:rPr>
            </w:pPr>
            <w:r>
              <w:rPr>
                <w:rFonts w:eastAsia="Arial Unicode MS" w:cs="Arial Unicode MS"/>
                <w:b/>
                <w:color w:val="000000"/>
                <w:sz w:val="22"/>
                <w:szCs w:val="22"/>
                <w:lang w:val="el-GR" w:bidi="en-US"/>
              </w:rPr>
              <w:lastRenderedPageBreak/>
              <w:t>Βήμα 4: Ολοκληρώστε τη διαδικασία</w:t>
            </w:r>
          </w:p>
        </w:tc>
      </w:tr>
    </w:tbl>
    <w:p w14:paraId="2E34779E" w14:textId="77777777" w:rsidR="00171824" w:rsidRDefault="00171824">
      <w:pPr>
        <w:keepNext/>
        <w:keepLines/>
        <w:widowControl/>
        <w:tabs>
          <w:tab w:val="left" w:pos="567"/>
        </w:tabs>
        <w:autoSpaceDE/>
        <w:autoSpaceDN/>
        <w:adjustRightInd/>
        <w:ind w:left="567" w:hanging="567"/>
        <w:rPr>
          <w:rFonts w:eastAsia="PMingLiU"/>
          <w:b/>
          <w:bCs/>
          <w:sz w:val="22"/>
          <w:szCs w:val="22"/>
          <w:lang w:val="el-GR"/>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171824" w:rsidRPr="00422380" w14:paraId="70B66DDD"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DDDC649" w14:textId="77777777" w:rsidR="00171824" w:rsidRDefault="006D258C">
            <w:pPr>
              <w:keepNext/>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ΙΑ.</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00CA8DA" w14:textId="77777777" w:rsidR="00171824" w:rsidRDefault="006D258C">
            <w:pPr>
              <w:keepNext/>
              <w:widowControl/>
              <w:rPr>
                <w:rFonts w:eastAsia="PMingLiU"/>
                <w:color w:val="000000"/>
                <w:sz w:val="22"/>
                <w:lang w:val="el-GR" w:bidi="en-US"/>
              </w:rPr>
            </w:pPr>
            <w:r>
              <w:rPr>
                <w:rFonts w:eastAsia="Arial Unicode MS" w:cs="Arial Unicode MS"/>
                <w:sz w:val="22"/>
                <w:szCs w:val="22"/>
                <w:lang w:val="el-GR" w:bidi="en-US"/>
              </w:rPr>
              <w:t>Απορρίψτε τη χρησιμοποιημένη προγεμισμένη συσκευή τύπου πένας και το κίτρινο κάλυμμα.</w:t>
            </w:r>
          </w:p>
        </w:tc>
      </w:tr>
      <w:tr w:rsidR="00171824" w14:paraId="4F93DB93" w14:textId="77777777">
        <w:trPr>
          <w:trHeight w:val="3930"/>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21A199BE" w14:textId="38F6366E" w:rsidR="00171824" w:rsidRDefault="009039B7">
            <w:pPr>
              <w:keepNext/>
              <w:widowControl/>
              <w:tabs>
                <w:tab w:val="left" w:pos="567"/>
              </w:tabs>
              <w:suppressAutoHyphens/>
              <w:textAlignment w:val="center"/>
              <w:rPr>
                <w:rFonts w:eastAsia="PMingLiU"/>
                <w:color w:val="000000"/>
                <w:sz w:val="22"/>
                <w:lang w:val="el-GR" w:bidi="en-US"/>
              </w:rPr>
            </w:pPr>
            <w:r>
              <w:rPr>
                <w:rFonts w:ascii="Verdana" w:hAnsi="Verdana" w:cs="Arial"/>
                <w:noProof/>
                <w:sz w:val="22"/>
                <w:szCs w:val="22"/>
                <w:lang w:val="el-GR" w:eastAsia="zh-CN"/>
              </w:rPr>
              <w:drawing>
                <wp:inline distT="0" distB="0" distL="0" distR="0" wp14:anchorId="64CA4D2B" wp14:editId="3B57F8F2">
                  <wp:extent cx="1731645" cy="2383155"/>
                  <wp:effectExtent l="0" t="0" r="0" b="0"/>
                  <wp:docPr id="43" name="Picture 69" descr="ILL0947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LL0947 v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31645" cy="2383155"/>
                          </a:xfrm>
                          <a:prstGeom prst="rect">
                            <a:avLst/>
                          </a:prstGeom>
                          <a:noFill/>
                          <a:ln>
                            <a:noFill/>
                          </a:ln>
                        </pic:spPr>
                      </pic:pic>
                    </a:graphicData>
                  </a:graphic>
                </wp:inline>
              </w:drawing>
            </w:r>
          </w:p>
        </w:tc>
      </w:tr>
      <w:tr w:rsidR="00171824" w:rsidRPr="00422380" w14:paraId="4B7909BD"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65B702A" w14:textId="77777777" w:rsidR="00171824" w:rsidRDefault="006D258C">
            <w:pPr>
              <w:keepNext/>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2CEAEC53" w14:textId="77777777" w:rsidR="00171824" w:rsidRDefault="006D258C">
            <w:pPr>
              <w:keepNext/>
              <w:widowControl/>
              <w:rPr>
                <w:rFonts w:eastAsia="Calibri"/>
                <w:sz w:val="22"/>
                <w:lang w:val="el-GR" w:bidi="en-US"/>
              </w:rPr>
            </w:pPr>
            <w:r>
              <w:rPr>
                <w:rFonts w:eastAsia="Arial Unicode MS" w:cs="Arial Unicode MS"/>
                <w:sz w:val="22"/>
                <w:szCs w:val="22"/>
                <w:lang w:val="el-GR" w:bidi="en-US"/>
              </w:rPr>
              <w:t xml:space="preserve">Τοποθετήστε τη χρησιμοποιημένη προγεμισμένη συσκευή τύπου πένας σε ένα δοχείο απόρριψης αιχμηρών αντικειμένων αμέσως μετά τη χρήση. </w:t>
            </w:r>
            <w:r>
              <w:rPr>
                <w:rFonts w:eastAsia="Arial Unicode MS" w:cs="Arial Unicode MS"/>
                <w:b/>
                <w:sz w:val="22"/>
                <w:szCs w:val="22"/>
                <w:lang w:val="el-GR" w:bidi="en-US"/>
              </w:rPr>
              <w:t>Μην</w:t>
            </w:r>
            <w:r>
              <w:rPr>
                <w:rFonts w:eastAsia="Arial Unicode MS" w:cs="Arial Unicode MS"/>
                <w:sz w:val="22"/>
                <w:szCs w:val="22"/>
                <w:lang w:val="el-GR" w:bidi="en-US"/>
              </w:rPr>
              <w:t xml:space="preserve"> απορρίπτετε (πετάτε) την προγεμισμένη συσκευή τύπου πένας στα οικιακά απορρίμματα.</w:t>
            </w:r>
          </w:p>
        </w:tc>
      </w:tr>
      <w:tr w:rsidR="00171824" w14:paraId="597A73C6"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D776C7A" w14:textId="77777777" w:rsidR="00171824" w:rsidRDefault="006D258C">
            <w:pPr>
              <w:keepNext/>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698975D6" w14:textId="77777777" w:rsidR="00171824" w:rsidRDefault="006D258C">
            <w:pPr>
              <w:keepNext/>
              <w:widowControl/>
              <w:suppressAutoHyphens/>
              <w:textAlignment w:val="center"/>
              <w:rPr>
                <w:rFonts w:eastAsia="PMingLiU"/>
                <w:color w:val="000000"/>
                <w:sz w:val="22"/>
                <w:lang w:val="el-GR" w:bidi="en-US"/>
              </w:rPr>
            </w:pPr>
            <w:r>
              <w:rPr>
                <w:rFonts w:eastAsia="Arial Unicode MS" w:cs="Arial Unicode MS"/>
                <w:sz w:val="22"/>
                <w:szCs w:val="22"/>
                <w:lang w:val="el-GR" w:bidi="en-US"/>
              </w:rPr>
              <w:t>Συζητήστε με τον γιατρό ή τον φαρμακοποιό σας σχετικά με τον σωστό τρόπο απόρριψης. Μπορεί να υπάρχουν τοπικές κατευθυντήριες οδηγίες απόρριψης.</w:t>
            </w:r>
          </w:p>
        </w:tc>
      </w:tr>
      <w:tr w:rsidR="00171824" w:rsidRPr="00422380" w14:paraId="71D2D5F9"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9B85563" w14:textId="77777777" w:rsidR="00171824" w:rsidRDefault="006D258C">
            <w:pPr>
              <w:keepNext/>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3FB0845E" w14:textId="77777777" w:rsidR="00171824" w:rsidRDefault="006D258C">
            <w:pPr>
              <w:keepNext/>
              <w:widowControl/>
              <w:rPr>
                <w:rFonts w:eastAsia="Calibri"/>
                <w:b/>
                <w:bCs/>
                <w:sz w:val="22"/>
                <w:lang w:val="el-GR" w:bidi="en-US"/>
              </w:rPr>
            </w:pPr>
            <w:r>
              <w:rPr>
                <w:rFonts w:eastAsia="Arial Unicode MS" w:cs="Arial Unicode MS"/>
                <w:b/>
                <w:bCs/>
                <w:sz w:val="22"/>
                <w:szCs w:val="22"/>
                <w:lang w:val="el-GR" w:bidi="en-US"/>
              </w:rPr>
              <w:t>Μη</w:t>
            </w:r>
            <w:r>
              <w:rPr>
                <w:rFonts w:eastAsia="Arial Unicode MS" w:cs="Arial Unicode MS"/>
                <w:sz w:val="22"/>
                <w:szCs w:val="22"/>
                <w:lang w:val="el-GR" w:bidi="en-US"/>
              </w:rPr>
              <w:t xml:space="preserve"> χρησιμοποιήσετε και πάλι την προγεμισμένη συσκευή τύπου πένας.</w:t>
            </w:r>
          </w:p>
        </w:tc>
      </w:tr>
      <w:tr w:rsidR="00171824" w:rsidRPr="00422380" w14:paraId="2E34A17F"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067AAC4" w14:textId="77777777" w:rsidR="00171824" w:rsidRDefault="006D258C">
            <w:pPr>
              <w:keepNext/>
              <w:widowControl/>
              <w:tabs>
                <w:tab w:val="left" w:pos="90"/>
              </w:tabs>
              <w:suppressAutoHyphens/>
              <w:contextualSpacing/>
              <w:textAlignment w:val="center"/>
              <w:rPr>
                <w:rFonts w:eastAsia="PMingLiU"/>
                <w:color w:val="000000"/>
                <w:sz w:val="22"/>
                <w:lang w:val="el-GR" w:bidi="en-US"/>
              </w:rPr>
            </w:pPr>
            <w:r>
              <w:rPr>
                <w:rFonts w:eastAsia="Arial Unicode MS" w:cs="Arial Unicode MS"/>
                <w:color w:val="000000"/>
                <w:sz w:val="22"/>
                <w:szCs w:val="22"/>
                <w:lang w:val="el-GR" w:bidi="en-US"/>
              </w:rPr>
              <w:t>●</w:t>
            </w:r>
          </w:p>
        </w:tc>
        <w:tc>
          <w:tcPr>
            <w:tcW w:w="4697" w:type="pct"/>
            <w:tcBorders>
              <w:top w:val="nil"/>
              <w:left w:val="nil"/>
              <w:bottom w:val="nil"/>
              <w:right w:val="single" w:sz="4" w:space="0" w:color="auto"/>
            </w:tcBorders>
            <w:tcMar>
              <w:left w:w="0" w:type="dxa"/>
            </w:tcMar>
          </w:tcPr>
          <w:p w14:paraId="640EFE0A" w14:textId="77777777" w:rsidR="00171824" w:rsidRDefault="006D258C">
            <w:pPr>
              <w:keepNext/>
              <w:widowControl/>
              <w:rPr>
                <w:rFonts w:eastAsia="Calibri"/>
                <w:b/>
                <w:bCs/>
                <w:sz w:val="22"/>
                <w:lang w:val="el-GR" w:bidi="en-US"/>
              </w:rPr>
            </w:pPr>
            <w:r>
              <w:rPr>
                <w:rFonts w:eastAsia="Arial Unicode MS" w:cs="Arial Unicode MS"/>
                <w:b/>
                <w:bCs/>
                <w:sz w:val="22"/>
                <w:szCs w:val="22"/>
                <w:lang w:val="el-GR" w:bidi="en-US"/>
              </w:rPr>
              <w:t>Μην</w:t>
            </w:r>
            <w:r>
              <w:rPr>
                <w:rFonts w:eastAsia="Arial Unicode MS" w:cs="Arial Unicode MS"/>
                <w:sz w:val="22"/>
                <w:szCs w:val="22"/>
                <w:lang w:val="el-GR" w:bidi="en-US"/>
              </w:rPr>
              <w:t xml:space="preserve"> ανακυκλώνετε την προγεμισμένη συσκευή τύπου πένας ή το δοχείο απόρριψης αιχμηρών αντικειμένων και μην τα πετάτε στα οικιακά απορρίμματα.</w:t>
            </w:r>
          </w:p>
        </w:tc>
      </w:tr>
      <w:tr w:rsidR="00171824" w:rsidRPr="00422380" w14:paraId="709642EC"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34245323" w14:textId="77777777" w:rsidR="00171824" w:rsidRDefault="006D258C">
            <w:pPr>
              <w:keepNext/>
              <w:widowControl/>
              <w:suppressAutoHyphens/>
              <w:textAlignment w:val="center"/>
              <w:rPr>
                <w:rFonts w:eastAsia="PMingLiU"/>
                <w:bCs/>
                <w:color w:val="000000"/>
                <w:sz w:val="22"/>
                <w:lang w:val="el-GR" w:bidi="en-US"/>
              </w:rPr>
            </w:pPr>
            <w:r>
              <w:rPr>
                <w:rFonts w:eastAsia="Arial Unicode MS" w:cs="Arial Unicode MS"/>
                <w:b/>
                <w:color w:val="000000"/>
                <w:sz w:val="22"/>
                <w:szCs w:val="22"/>
                <w:lang w:val="el-GR" w:bidi="en-US"/>
              </w:rPr>
              <w:t>Σημαντικό:</w:t>
            </w:r>
            <w:r>
              <w:rPr>
                <w:rFonts w:eastAsia="Arial Unicode MS" w:cs="Arial Unicode MS"/>
                <w:bCs/>
                <w:color w:val="000000"/>
                <w:sz w:val="22"/>
                <w:szCs w:val="22"/>
                <w:lang w:val="el-GR" w:bidi="en-US"/>
              </w:rPr>
              <w:t xml:space="preserve"> Φυλάσσετε πάντοτε το δοχείο απόρριψης αιχμηρών αντικειμένων σε μέρος που δεν βλέπουν και δεν προσεγγίζουν τα παιδιά.</w:t>
            </w:r>
          </w:p>
        </w:tc>
      </w:tr>
    </w:tbl>
    <w:p w14:paraId="4F925670" w14:textId="77777777" w:rsidR="00171824" w:rsidRDefault="00171824">
      <w:pPr>
        <w:widowControl/>
        <w:suppressAutoHyphens/>
        <w:textAlignment w:val="center"/>
        <w:rPr>
          <w:rFonts w:eastAsia="PMingLiU"/>
          <w:b/>
          <w:bCs/>
          <w:sz w:val="22"/>
          <w:lang w:val="el-GR" w:eastAsia="ja-JP"/>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171824" w:rsidRPr="00422380" w14:paraId="1FDC9920"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0AE685" w14:textId="77777777" w:rsidR="00171824" w:rsidRDefault="006D258C">
            <w:pPr>
              <w:keepLines/>
              <w:widowControl/>
              <w:tabs>
                <w:tab w:val="left" w:pos="567"/>
              </w:tabs>
              <w:suppressAutoHyphens/>
              <w:textAlignment w:val="center"/>
              <w:rPr>
                <w:rFonts w:eastAsia="PMingLiU"/>
                <w:b/>
                <w:color w:val="000000"/>
                <w:sz w:val="22"/>
                <w:lang w:val="el-GR" w:bidi="en-US"/>
              </w:rPr>
            </w:pPr>
            <w:r>
              <w:rPr>
                <w:rFonts w:eastAsia="Arial Unicode MS" w:cs="Arial Unicode MS"/>
                <w:b/>
                <w:sz w:val="22"/>
                <w:szCs w:val="22"/>
                <w:lang w:val="el-GR" w:bidi="en-US"/>
              </w:rPr>
              <w:t>ΙΒ.</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93A625F" w14:textId="77777777" w:rsidR="00171824" w:rsidRDefault="006D258C">
            <w:pPr>
              <w:keepLines/>
              <w:widowControl/>
              <w:rPr>
                <w:rFonts w:eastAsia="PMingLiU"/>
                <w:color w:val="000000"/>
                <w:sz w:val="22"/>
                <w:lang w:val="el-GR" w:bidi="en-US"/>
              </w:rPr>
            </w:pPr>
            <w:r>
              <w:rPr>
                <w:rFonts w:eastAsia="Arial Unicode MS" w:cs="Arial Unicode MS"/>
                <w:sz w:val="22"/>
                <w:szCs w:val="22"/>
                <w:lang w:val="el-GR" w:bidi="en-US"/>
              </w:rPr>
              <w:t>Επιθεωρήστε οπτικά τη θέση της ένεσης.</w:t>
            </w:r>
          </w:p>
        </w:tc>
      </w:tr>
      <w:tr w:rsidR="00171824" w:rsidRPr="00422380" w14:paraId="142F3B6F"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CEB2675" w14:textId="77777777" w:rsidR="00171824" w:rsidRDefault="006D258C">
            <w:pPr>
              <w:widowControl/>
              <w:tabs>
                <w:tab w:val="left" w:pos="567"/>
              </w:tabs>
              <w:suppressAutoHyphens/>
              <w:textAlignment w:val="center"/>
              <w:rPr>
                <w:rFonts w:eastAsia="PMingLiU"/>
                <w:color w:val="000000"/>
                <w:sz w:val="22"/>
                <w:lang w:val="el-GR" w:bidi="en-US"/>
              </w:rPr>
            </w:pPr>
            <w:r>
              <w:rPr>
                <w:rFonts w:eastAsia="Arial Unicode MS" w:cs="Arial Unicode MS"/>
                <w:color w:val="000000"/>
                <w:sz w:val="22"/>
                <w:szCs w:val="22"/>
                <w:lang w:val="el-GR" w:bidi="en-US"/>
              </w:rPr>
              <w:t xml:space="preserve">Εάν υπάρχει αίμα, πιέστε ένα κομμάτι βαμβακιού ή γάζας επάνω στη θέση της ένεσης. </w:t>
            </w:r>
            <w:r>
              <w:rPr>
                <w:rFonts w:eastAsia="Arial Unicode MS" w:cs="Arial Unicode MS"/>
                <w:b/>
                <w:bCs/>
                <w:color w:val="000000"/>
                <w:sz w:val="22"/>
                <w:szCs w:val="22"/>
                <w:lang w:val="el-GR" w:bidi="en-US"/>
              </w:rPr>
              <w:t>Μην</w:t>
            </w:r>
            <w:r>
              <w:rPr>
                <w:rFonts w:eastAsia="Arial Unicode MS" w:cs="Arial Unicode MS"/>
                <w:color w:val="000000"/>
                <w:sz w:val="22"/>
                <w:szCs w:val="22"/>
                <w:lang w:val="el-GR" w:bidi="en-US"/>
              </w:rPr>
              <w:t xml:space="preserve"> τρίβετε τη θέση της ένεσης. Εάν χρειαστεί, τοποθετήστε έναν αυτοκόλλητο επίδεσμο.</w:t>
            </w:r>
          </w:p>
        </w:tc>
      </w:tr>
    </w:tbl>
    <w:p w14:paraId="7307DE93" w14:textId="77777777" w:rsidR="00171824" w:rsidRDefault="00171824">
      <w:pPr>
        <w:widowControl/>
        <w:tabs>
          <w:tab w:val="left" w:pos="0"/>
        </w:tabs>
        <w:autoSpaceDE/>
        <w:autoSpaceDN/>
        <w:adjustRightInd/>
        <w:rPr>
          <w:rFonts w:eastAsia="PMingLiU"/>
          <w:sz w:val="22"/>
          <w:szCs w:val="20"/>
          <w:highlight w:val="lightGray"/>
          <w:lang w:val="el-GR"/>
        </w:rPr>
      </w:pPr>
    </w:p>
    <w:p w14:paraId="0FF291A9" w14:textId="77777777" w:rsidR="00171824" w:rsidRDefault="00171824">
      <w:pPr>
        <w:pStyle w:val="BodyText"/>
        <w:widowControl/>
        <w:kinsoku w:val="0"/>
        <w:overflowPunct w:val="0"/>
        <w:ind w:left="0"/>
        <w:rPr>
          <w:color w:val="000000"/>
          <w:lang w:val="el-GR"/>
        </w:rPr>
      </w:pPr>
    </w:p>
    <w:p w14:paraId="67CAB55E" w14:textId="77777777" w:rsidR="00171824" w:rsidRDefault="006D258C">
      <w:pPr>
        <w:widowControl/>
        <w:jc w:val="center"/>
        <w:rPr>
          <w:b/>
          <w:bCs/>
          <w:sz w:val="22"/>
          <w:szCs w:val="22"/>
          <w:lang w:val="el-GR"/>
        </w:rPr>
      </w:pPr>
      <w:r>
        <w:rPr>
          <w:sz w:val="22"/>
          <w:lang w:val="el-GR"/>
        </w:rPr>
        <w:br w:type="page"/>
      </w:r>
      <w:r>
        <w:rPr>
          <w:b/>
          <w:bCs/>
          <w:sz w:val="22"/>
          <w:szCs w:val="22"/>
          <w:lang w:val="el-GR"/>
        </w:rPr>
        <w:lastRenderedPageBreak/>
        <w:t>Φύλλο οδηγιών χρήσης: Πληροφορίες για τον ασθενή</w:t>
      </w:r>
    </w:p>
    <w:p w14:paraId="669CC118" w14:textId="77777777" w:rsidR="00171824" w:rsidRDefault="00171824">
      <w:pPr>
        <w:widowControl/>
        <w:kinsoku w:val="0"/>
        <w:overflowPunct w:val="0"/>
        <w:jc w:val="center"/>
        <w:rPr>
          <w:sz w:val="22"/>
          <w:szCs w:val="22"/>
          <w:lang w:val="el-GR"/>
        </w:rPr>
      </w:pPr>
    </w:p>
    <w:p w14:paraId="26A8AFC7" w14:textId="77777777" w:rsidR="00171824" w:rsidRDefault="006D258C">
      <w:pPr>
        <w:widowControl/>
        <w:kinsoku w:val="0"/>
        <w:overflowPunct w:val="0"/>
        <w:jc w:val="center"/>
        <w:rPr>
          <w:b/>
          <w:bCs/>
          <w:sz w:val="22"/>
          <w:szCs w:val="22"/>
          <w:lang w:val="el-GR"/>
        </w:rPr>
      </w:pPr>
      <w:r>
        <w:rPr>
          <w:b/>
          <w:bCs/>
          <w:sz w:val="22"/>
          <w:szCs w:val="22"/>
          <w:lang w:val="el-GR"/>
        </w:rPr>
        <w:t>AMGEVITA 20 mg ενέσιμο διάλυμα σε προγεμισμένη σύριγγα</w:t>
      </w:r>
    </w:p>
    <w:p w14:paraId="306C3B03" w14:textId="77777777" w:rsidR="00171824" w:rsidRDefault="006D258C">
      <w:pPr>
        <w:widowControl/>
        <w:kinsoku w:val="0"/>
        <w:overflowPunct w:val="0"/>
        <w:jc w:val="center"/>
        <w:rPr>
          <w:b/>
          <w:bCs/>
          <w:sz w:val="22"/>
          <w:szCs w:val="22"/>
          <w:lang w:val="el-GR"/>
        </w:rPr>
      </w:pPr>
      <w:r>
        <w:rPr>
          <w:b/>
          <w:bCs/>
          <w:sz w:val="22"/>
          <w:szCs w:val="22"/>
          <w:lang w:val="el-GR"/>
        </w:rPr>
        <w:t>AMGEVITA 40 mg ενέσιμο διάλυμα σε προγεμισμένη σύριγγα</w:t>
      </w:r>
    </w:p>
    <w:p w14:paraId="4320B423" w14:textId="77777777" w:rsidR="00171824" w:rsidRDefault="006D258C">
      <w:pPr>
        <w:tabs>
          <w:tab w:val="left" w:pos="993"/>
        </w:tabs>
        <w:jc w:val="center"/>
        <w:outlineLvl w:val="0"/>
        <w:rPr>
          <w:b/>
          <w:sz w:val="22"/>
          <w:szCs w:val="22"/>
          <w:lang w:val="el-GR"/>
        </w:rPr>
      </w:pPr>
      <w:r>
        <w:rPr>
          <w:b/>
          <w:sz w:val="22"/>
          <w:szCs w:val="22"/>
          <w:lang w:val="el-GR"/>
        </w:rPr>
        <w:t>AMGEVITA 80 mg ενέσιμο διάλυμα σε προγεμισμένη σύριγγα</w:t>
      </w:r>
      <w:r>
        <w:rPr>
          <w:b/>
          <w:sz w:val="22"/>
          <w:szCs w:val="22"/>
          <w:lang w:val="el-GR"/>
        </w:rPr>
        <w:fldChar w:fldCharType="begin"/>
      </w:r>
      <w:r>
        <w:rPr>
          <w:b/>
          <w:sz w:val="22"/>
          <w:szCs w:val="22"/>
          <w:lang w:val="el-GR"/>
        </w:rPr>
        <w:instrText xml:space="preserve"> DOCVARIABLE vault_nd_9da34410-c33f-4004-aec6-13ebaddce3bc \* MERGEFORMAT </w:instrText>
      </w:r>
      <w:r>
        <w:rPr>
          <w:b/>
          <w:sz w:val="22"/>
          <w:szCs w:val="22"/>
          <w:lang w:val="el-GR"/>
        </w:rPr>
        <w:fldChar w:fldCharType="separate"/>
      </w:r>
      <w:r>
        <w:rPr>
          <w:b/>
          <w:sz w:val="22"/>
          <w:szCs w:val="22"/>
          <w:lang w:val="el-GR"/>
        </w:rPr>
        <w:t xml:space="preserve"> </w:t>
      </w:r>
      <w:r>
        <w:rPr>
          <w:b/>
          <w:sz w:val="22"/>
          <w:szCs w:val="22"/>
          <w:lang w:val="el-GR"/>
        </w:rPr>
        <w:fldChar w:fldCharType="end"/>
      </w:r>
    </w:p>
    <w:p w14:paraId="58AB7895" w14:textId="77777777" w:rsidR="00171824" w:rsidRDefault="006D258C">
      <w:pPr>
        <w:pStyle w:val="BodyText"/>
        <w:widowControl/>
        <w:kinsoku w:val="0"/>
        <w:overflowPunct w:val="0"/>
        <w:ind w:left="0"/>
        <w:jc w:val="center"/>
        <w:rPr>
          <w:lang w:val="el-GR"/>
        </w:rPr>
      </w:pPr>
      <w:r>
        <w:rPr>
          <w:lang w:val="el-GR"/>
        </w:rPr>
        <w:t>adalimumab</w:t>
      </w:r>
    </w:p>
    <w:p w14:paraId="453DCC1D" w14:textId="77777777" w:rsidR="00171824" w:rsidRDefault="00171824">
      <w:pPr>
        <w:widowControl/>
        <w:kinsoku w:val="0"/>
        <w:overflowPunct w:val="0"/>
        <w:rPr>
          <w:sz w:val="22"/>
          <w:szCs w:val="22"/>
          <w:lang w:val="el-GR"/>
        </w:rPr>
      </w:pPr>
    </w:p>
    <w:p w14:paraId="6ECC4229" w14:textId="77777777" w:rsidR="00171824" w:rsidRDefault="00171824">
      <w:pPr>
        <w:widowControl/>
        <w:kinsoku w:val="0"/>
        <w:overflowPunct w:val="0"/>
        <w:rPr>
          <w:sz w:val="22"/>
          <w:szCs w:val="22"/>
          <w:lang w:val="el-GR"/>
        </w:rPr>
      </w:pPr>
    </w:p>
    <w:p w14:paraId="2D12FFA1" w14:textId="77777777" w:rsidR="00171824" w:rsidRDefault="006D258C">
      <w:pPr>
        <w:pStyle w:val="Heading1"/>
        <w:widowControl/>
        <w:kinsoku w:val="0"/>
        <w:overflowPunct w:val="0"/>
        <w:ind w:left="0"/>
        <w:rPr>
          <w:b w:val="0"/>
          <w:bCs w:val="0"/>
          <w:lang w:val="el-GR"/>
        </w:rPr>
      </w:pPr>
      <w:r>
        <w:rPr>
          <w:lang w:val="el-GR"/>
        </w:rPr>
        <w:t>Διαβάστε προσεκτικά ολόκληρο το φύλλο οδηγιών χρήσης πριν αρχίσετε να χρησιμοποιείτε αυτό το φάρμακο, διότι περιλαμβάνει σημαντικές πληροφορίες για σας.</w:t>
      </w:r>
    </w:p>
    <w:p w14:paraId="4CE58A25"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Φυλάξτε αυτό το φύλλο οδηγιών χρήσης. Ίσως χρειαστεί να το διαβάσετε ξανά.</w:t>
      </w:r>
    </w:p>
    <w:p w14:paraId="1CF1924C"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 xml:space="preserve">Ο γιατρός σας θα σας δώσει μια </w:t>
      </w:r>
      <w:r>
        <w:rPr>
          <w:b/>
          <w:lang w:val="el-GR"/>
        </w:rPr>
        <w:t>Κάρτα Υπενθύμισης του Ασθενούς</w:t>
      </w:r>
      <w:r>
        <w:rPr>
          <w:lang w:val="el-GR"/>
        </w:rPr>
        <w:t xml:space="preserve">, η οποία περιέχει σημαντικές πληροφορίες για την ασφάλεια του φαρμάκου τις οποίες θα πρέπει να γνωρίζετε πριν λάβετε AMGEVITA καθώς και κατά τη διάρκεια της θεραπείας με AMGEVITA. Φυλάξτε την </w:t>
      </w:r>
      <w:r>
        <w:rPr>
          <w:b/>
          <w:lang w:val="el-GR"/>
        </w:rPr>
        <w:t>Κάρτα Υπενθύμισης του Ασθενούς</w:t>
      </w:r>
      <w:r>
        <w:rPr>
          <w:lang w:val="el-GR"/>
        </w:rPr>
        <w:t xml:space="preserve"> μαζί με το φύλλο οδηγιών χρήσης.</w:t>
      </w:r>
    </w:p>
    <w:p w14:paraId="7A8633D0"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Εάν έχετε περαιτέρω απορίες, ρωτήστε τον γιατρό ή τον φαρμακοποιό σας.</w:t>
      </w:r>
    </w:p>
    <w:p w14:paraId="097EBA56"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Η συνταγή για αυτό το φάρμακο χορηγήθηκε αποκλειστικά για σας. Δεν πρέπει να δώσετε το φάρμακο σε άλλους. Μπορεί να τους προκαλέσει βλάβη, ακόμα και όταν τα συμπτώματα της ασθένειάς τους είναι ίδια με τα δικά σας.</w:t>
      </w:r>
    </w:p>
    <w:p w14:paraId="5DBF2DD0" w14:textId="77777777" w:rsidR="00171824" w:rsidRDefault="006D258C">
      <w:pPr>
        <w:pStyle w:val="BodyText"/>
        <w:widowControl/>
        <w:numPr>
          <w:ilvl w:val="0"/>
          <w:numId w:val="20"/>
        </w:numPr>
        <w:tabs>
          <w:tab w:val="left" w:pos="567"/>
        </w:tabs>
        <w:kinsoku w:val="0"/>
        <w:overflowPunct w:val="0"/>
        <w:ind w:left="567" w:hanging="567"/>
        <w:rPr>
          <w:lang w:val="el-GR"/>
        </w:rPr>
      </w:pPr>
      <w:r>
        <w:rPr>
          <w:lang w:val="el-GR"/>
        </w:rPr>
        <w:t>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(βλέπε παράγραφο 4).</w:t>
      </w:r>
    </w:p>
    <w:p w14:paraId="0A4D63BA" w14:textId="77777777" w:rsidR="00171824" w:rsidRDefault="00171824">
      <w:pPr>
        <w:widowControl/>
        <w:kinsoku w:val="0"/>
        <w:overflowPunct w:val="0"/>
        <w:rPr>
          <w:sz w:val="22"/>
          <w:szCs w:val="22"/>
          <w:lang w:val="el-GR"/>
        </w:rPr>
      </w:pPr>
    </w:p>
    <w:p w14:paraId="55F77DE8" w14:textId="77777777" w:rsidR="00171824" w:rsidRDefault="006D258C">
      <w:pPr>
        <w:pStyle w:val="Heading1"/>
        <w:widowControl/>
        <w:kinsoku w:val="0"/>
        <w:overflowPunct w:val="0"/>
        <w:ind w:left="0"/>
        <w:rPr>
          <w:b w:val="0"/>
          <w:bCs w:val="0"/>
          <w:lang w:val="el-GR"/>
        </w:rPr>
      </w:pPr>
      <w:r>
        <w:rPr>
          <w:lang w:val="el-GR"/>
        </w:rPr>
        <w:t>Τι περιέχει το παρόν φύλλο οδηγιών:</w:t>
      </w:r>
    </w:p>
    <w:p w14:paraId="12A614FC" w14:textId="77777777" w:rsidR="00171824" w:rsidRDefault="006D258C">
      <w:pPr>
        <w:pStyle w:val="BodyText"/>
        <w:widowControl/>
        <w:tabs>
          <w:tab w:val="left" w:pos="567"/>
        </w:tabs>
        <w:kinsoku w:val="0"/>
        <w:overflowPunct w:val="0"/>
        <w:ind w:left="567" w:hanging="567"/>
        <w:rPr>
          <w:lang w:val="el-GR"/>
        </w:rPr>
      </w:pPr>
      <w:r>
        <w:rPr>
          <w:lang w:val="el-GR"/>
        </w:rPr>
        <w:t>1.</w:t>
      </w:r>
      <w:r>
        <w:rPr>
          <w:lang w:val="el-GR"/>
        </w:rPr>
        <w:tab/>
        <w:t>Τι είναι το AMGEVITA και ποια είναι η χρήση του</w:t>
      </w:r>
    </w:p>
    <w:p w14:paraId="087FCA03" w14:textId="77777777" w:rsidR="00171824" w:rsidRDefault="006D258C">
      <w:pPr>
        <w:pStyle w:val="BodyText"/>
        <w:widowControl/>
        <w:tabs>
          <w:tab w:val="left" w:pos="567"/>
        </w:tabs>
        <w:kinsoku w:val="0"/>
        <w:overflowPunct w:val="0"/>
        <w:ind w:left="567" w:hanging="567"/>
        <w:rPr>
          <w:lang w:val="el-GR"/>
        </w:rPr>
      </w:pPr>
      <w:r>
        <w:rPr>
          <w:lang w:val="el-GR"/>
        </w:rPr>
        <w:t>2.</w:t>
      </w:r>
      <w:r>
        <w:rPr>
          <w:lang w:val="el-GR"/>
        </w:rPr>
        <w:tab/>
        <w:t xml:space="preserve">Τι πρέπει να γνωρίζετε πριν χρησιμοποιήσετε το AMGEVITA </w:t>
      </w:r>
    </w:p>
    <w:p w14:paraId="29758CFD" w14:textId="77777777" w:rsidR="00171824" w:rsidRDefault="006D258C">
      <w:pPr>
        <w:pStyle w:val="BodyText"/>
        <w:widowControl/>
        <w:tabs>
          <w:tab w:val="left" w:pos="567"/>
        </w:tabs>
        <w:kinsoku w:val="0"/>
        <w:overflowPunct w:val="0"/>
        <w:ind w:left="567" w:hanging="567"/>
        <w:rPr>
          <w:lang w:val="el-GR"/>
        </w:rPr>
      </w:pPr>
      <w:r>
        <w:rPr>
          <w:lang w:val="el-GR"/>
        </w:rPr>
        <w:t>3.</w:t>
      </w:r>
      <w:r>
        <w:rPr>
          <w:lang w:val="el-GR"/>
        </w:rPr>
        <w:tab/>
        <w:t xml:space="preserve">Πώς να χρησιμοποιήσετε το AMGEVITA </w:t>
      </w:r>
    </w:p>
    <w:p w14:paraId="1DAE8CB8" w14:textId="77777777" w:rsidR="00171824" w:rsidRDefault="006D258C">
      <w:pPr>
        <w:pStyle w:val="BodyText"/>
        <w:widowControl/>
        <w:tabs>
          <w:tab w:val="left" w:pos="567"/>
        </w:tabs>
        <w:kinsoku w:val="0"/>
        <w:overflowPunct w:val="0"/>
        <w:ind w:left="567" w:hanging="567"/>
        <w:rPr>
          <w:lang w:val="el-GR"/>
        </w:rPr>
      </w:pPr>
      <w:r>
        <w:rPr>
          <w:lang w:val="el-GR"/>
        </w:rPr>
        <w:t>4.</w:t>
      </w:r>
      <w:r>
        <w:rPr>
          <w:lang w:val="el-GR"/>
        </w:rPr>
        <w:tab/>
        <w:t>Πιθανές ανεπιθύμητες ενέργειες</w:t>
      </w:r>
    </w:p>
    <w:p w14:paraId="4C593B45" w14:textId="77777777" w:rsidR="00171824" w:rsidRDefault="006D258C">
      <w:pPr>
        <w:pStyle w:val="BodyText"/>
        <w:widowControl/>
        <w:tabs>
          <w:tab w:val="left" w:pos="567"/>
        </w:tabs>
        <w:kinsoku w:val="0"/>
        <w:overflowPunct w:val="0"/>
        <w:ind w:left="567" w:hanging="567"/>
        <w:rPr>
          <w:lang w:val="el-GR"/>
        </w:rPr>
      </w:pPr>
      <w:r>
        <w:rPr>
          <w:lang w:val="el-GR"/>
        </w:rPr>
        <w:t>5.</w:t>
      </w:r>
      <w:r>
        <w:rPr>
          <w:lang w:val="el-GR"/>
        </w:rPr>
        <w:tab/>
        <w:t xml:space="preserve">Πώς να φυλάσσετε το AMGEVITA </w:t>
      </w:r>
    </w:p>
    <w:p w14:paraId="1643AA66" w14:textId="77777777" w:rsidR="00171824" w:rsidRDefault="006D258C">
      <w:pPr>
        <w:pStyle w:val="BodyText"/>
        <w:widowControl/>
        <w:tabs>
          <w:tab w:val="left" w:pos="567"/>
        </w:tabs>
        <w:kinsoku w:val="0"/>
        <w:overflowPunct w:val="0"/>
        <w:ind w:left="567" w:hanging="567"/>
        <w:rPr>
          <w:lang w:val="el-GR"/>
        </w:rPr>
      </w:pPr>
      <w:r>
        <w:rPr>
          <w:lang w:val="el-GR"/>
        </w:rPr>
        <w:t>6.</w:t>
      </w:r>
      <w:r>
        <w:rPr>
          <w:lang w:val="el-GR"/>
        </w:rPr>
        <w:tab/>
        <w:t>Περιεχόμενο της συσκευασίας και λοιπές πληροφορίες</w:t>
      </w:r>
    </w:p>
    <w:p w14:paraId="3CECC6D9" w14:textId="77777777" w:rsidR="00171824" w:rsidRDefault="00171824">
      <w:pPr>
        <w:widowControl/>
        <w:kinsoku w:val="0"/>
        <w:overflowPunct w:val="0"/>
        <w:rPr>
          <w:sz w:val="22"/>
          <w:szCs w:val="22"/>
          <w:lang w:val="el-GR"/>
        </w:rPr>
      </w:pPr>
    </w:p>
    <w:p w14:paraId="62954AB9" w14:textId="77777777" w:rsidR="00171824" w:rsidRDefault="00171824">
      <w:pPr>
        <w:widowControl/>
        <w:kinsoku w:val="0"/>
        <w:overflowPunct w:val="0"/>
        <w:rPr>
          <w:sz w:val="22"/>
          <w:szCs w:val="22"/>
          <w:lang w:val="el-GR"/>
        </w:rPr>
      </w:pPr>
    </w:p>
    <w:p w14:paraId="14607786" w14:textId="77777777" w:rsidR="00171824" w:rsidRDefault="006D258C">
      <w:pPr>
        <w:pStyle w:val="Heading1"/>
        <w:widowControl/>
        <w:numPr>
          <w:ilvl w:val="0"/>
          <w:numId w:val="34"/>
        </w:numPr>
        <w:tabs>
          <w:tab w:val="left" w:pos="567"/>
        </w:tabs>
        <w:kinsoku w:val="0"/>
        <w:overflowPunct w:val="0"/>
        <w:ind w:left="567"/>
        <w:rPr>
          <w:b w:val="0"/>
          <w:bCs w:val="0"/>
          <w:lang w:val="el-GR"/>
        </w:rPr>
      </w:pPr>
      <w:r>
        <w:rPr>
          <w:lang w:val="el-GR"/>
        </w:rPr>
        <w:t>Τι είναι το AMGEVITA και ποια είναι η χρήση του</w:t>
      </w:r>
    </w:p>
    <w:p w14:paraId="53D5FAC3" w14:textId="77777777" w:rsidR="00171824" w:rsidRDefault="00171824">
      <w:pPr>
        <w:widowControl/>
        <w:kinsoku w:val="0"/>
        <w:overflowPunct w:val="0"/>
        <w:rPr>
          <w:sz w:val="22"/>
          <w:szCs w:val="22"/>
          <w:lang w:val="el-GR"/>
        </w:rPr>
      </w:pPr>
    </w:p>
    <w:p w14:paraId="5301F5B0" w14:textId="77777777" w:rsidR="00171824" w:rsidRDefault="006D258C">
      <w:pPr>
        <w:pStyle w:val="BodyText"/>
        <w:widowControl/>
        <w:kinsoku w:val="0"/>
        <w:overflowPunct w:val="0"/>
        <w:ind w:left="0"/>
        <w:rPr>
          <w:lang w:val="el-GR"/>
        </w:rPr>
      </w:pPr>
      <w:r>
        <w:rPr>
          <w:lang w:val="el-GR"/>
        </w:rPr>
        <w:t xml:space="preserve">Το AMGEVITA περιέχει τη δραστική ουσία adalimumab, ένα φάρμακο που δρα στο ανοσοποιητικό (αμυντικό) σύστημα του οργανισμού σας. </w:t>
      </w:r>
    </w:p>
    <w:p w14:paraId="0D3B3B87" w14:textId="77777777" w:rsidR="00171824" w:rsidRDefault="00171824">
      <w:pPr>
        <w:pStyle w:val="BodyText"/>
        <w:widowControl/>
        <w:kinsoku w:val="0"/>
        <w:overflowPunct w:val="0"/>
        <w:ind w:left="0"/>
        <w:rPr>
          <w:lang w:val="el-GR"/>
        </w:rPr>
      </w:pPr>
    </w:p>
    <w:p w14:paraId="346774AC" w14:textId="77777777" w:rsidR="00171824" w:rsidRDefault="006D258C">
      <w:pPr>
        <w:pStyle w:val="BodyText"/>
        <w:widowControl/>
        <w:kinsoku w:val="0"/>
        <w:overflowPunct w:val="0"/>
        <w:ind w:left="0"/>
        <w:rPr>
          <w:lang w:val="el-GR"/>
        </w:rPr>
      </w:pPr>
      <w:r>
        <w:rPr>
          <w:lang w:val="el-GR"/>
        </w:rPr>
        <w:t xml:space="preserve">Το AMGEVITA προορίζεται για τη θεραπεία των φλεγμονώδων νοσημάτων που περιγράφονται παρακάτω: </w:t>
      </w:r>
    </w:p>
    <w:p w14:paraId="7FF3C106" w14:textId="77777777" w:rsidR="00171824" w:rsidRDefault="006D258C">
      <w:pPr>
        <w:pStyle w:val="BodyText"/>
        <w:widowControl/>
        <w:numPr>
          <w:ilvl w:val="0"/>
          <w:numId w:val="23"/>
        </w:numPr>
        <w:kinsoku w:val="0"/>
        <w:overflowPunct w:val="0"/>
        <w:ind w:left="567" w:hanging="567"/>
        <w:rPr>
          <w:lang w:val="el-GR"/>
        </w:rPr>
      </w:pPr>
      <w:r>
        <w:rPr>
          <w:lang w:val="el-GR"/>
        </w:rPr>
        <w:t>Ρευματοειδής αρθρίτιδα</w:t>
      </w:r>
    </w:p>
    <w:p w14:paraId="4540FB84" w14:textId="77777777" w:rsidR="00171824" w:rsidRDefault="006D258C">
      <w:pPr>
        <w:pStyle w:val="BodyText"/>
        <w:widowControl/>
        <w:numPr>
          <w:ilvl w:val="0"/>
          <w:numId w:val="23"/>
        </w:numPr>
        <w:kinsoku w:val="0"/>
        <w:overflowPunct w:val="0"/>
        <w:ind w:left="567" w:hanging="567"/>
        <w:rPr>
          <w:lang w:val="el-GR"/>
        </w:rPr>
      </w:pPr>
      <w:r>
        <w:rPr>
          <w:lang w:val="el-GR"/>
        </w:rPr>
        <w:t>Πολυαρθρική νεανική ιδιοπαθής αρθρίτιδα</w:t>
      </w:r>
    </w:p>
    <w:p w14:paraId="68FDC600" w14:textId="77777777" w:rsidR="00171824" w:rsidRDefault="006D258C">
      <w:pPr>
        <w:pStyle w:val="BodyText"/>
        <w:widowControl/>
        <w:numPr>
          <w:ilvl w:val="0"/>
          <w:numId w:val="23"/>
        </w:numPr>
        <w:kinsoku w:val="0"/>
        <w:overflowPunct w:val="0"/>
        <w:ind w:left="567" w:hanging="567"/>
        <w:rPr>
          <w:lang w:val="el-GR"/>
        </w:rPr>
      </w:pPr>
      <w:r>
        <w:rPr>
          <w:lang w:val="el-GR"/>
        </w:rPr>
        <w:t>Αρθρίτιδα σχετιζόμενη με ενθεσίτιδα</w:t>
      </w:r>
    </w:p>
    <w:p w14:paraId="6AA1E00A" w14:textId="77777777" w:rsidR="00171824" w:rsidRDefault="006D258C">
      <w:pPr>
        <w:pStyle w:val="BodyText"/>
        <w:widowControl/>
        <w:numPr>
          <w:ilvl w:val="0"/>
          <w:numId w:val="23"/>
        </w:numPr>
        <w:kinsoku w:val="0"/>
        <w:overflowPunct w:val="0"/>
        <w:ind w:left="567" w:hanging="567"/>
        <w:rPr>
          <w:lang w:val="el-GR"/>
        </w:rPr>
      </w:pPr>
      <w:r>
        <w:rPr>
          <w:lang w:val="el-GR"/>
        </w:rPr>
        <w:t>Αγκυλοποιητική σπονδυλίτιδα</w:t>
      </w:r>
    </w:p>
    <w:p w14:paraId="5F1CCB01" w14:textId="77777777" w:rsidR="00171824" w:rsidRDefault="006D258C">
      <w:pPr>
        <w:pStyle w:val="BodyText"/>
        <w:widowControl/>
        <w:numPr>
          <w:ilvl w:val="0"/>
          <w:numId w:val="23"/>
        </w:numPr>
        <w:kinsoku w:val="0"/>
        <w:overflowPunct w:val="0"/>
        <w:ind w:left="567" w:hanging="567"/>
        <w:rPr>
          <w:lang w:val="el-GR"/>
        </w:rPr>
      </w:pPr>
      <w:r>
        <w:rPr>
          <w:lang w:val="el-GR"/>
        </w:rPr>
        <w:t>Αξονική σπονδυλαρθρίτιδα χωρίς ακτινολογικά ευρήματα αγκυλοποιητικής σπονδυλίτιδας</w:t>
      </w:r>
    </w:p>
    <w:p w14:paraId="6EA4CA5D" w14:textId="77777777" w:rsidR="00171824" w:rsidRDefault="006D258C">
      <w:pPr>
        <w:pStyle w:val="BodyText"/>
        <w:widowControl/>
        <w:numPr>
          <w:ilvl w:val="0"/>
          <w:numId w:val="23"/>
        </w:numPr>
        <w:kinsoku w:val="0"/>
        <w:overflowPunct w:val="0"/>
        <w:ind w:left="567" w:hanging="567"/>
        <w:rPr>
          <w:lang w:val="el-GR"/>
        </w:rPr>
      </w:pPr>
      <w:r>
        <w:rPr>
          <w:lang w:val="el-GR"/>
        </w:rPr>
        <w:t>Ψωριασική αρθρίτιδα</w:t>
      </w:r>
    </w:p>
    <w:p w14:paraId="42F44C4B" w14:textId="77777777" w:rsidR="00171824" w:rsidRDefault="006D258C">
      <w:pPr>
        <w:pStyle w:val="BodyText"/>
        <w:widowControl/>
        <w:numPr>
          <w:ilvl w:val="0"/>
          <w:numId w:val="23"/>
        </w:numPr>
        <w:kinsoku w:val="0"/>
        <w:overflowPunct w:val="0"/>
        <w:ind w:left="567" w:hanging="567"/>
        <w:rPr>
          <w:lang w:val="el-GR"/>
        </w:rPr>
      </w:pPr>
      <w:r>
        <w:rPr>
          <w:lang w:val="el-GR"/>
        </w:rPr>
        <w:t xml:space="preserve">Ψωρίαση κατά πλάκας </w:t>
      </w:r>
    </w:p>
    <w:p w14:paraId="311FB27D" w14:textId="77777777" w:rsidR="00171824" w:rsidRDefault="006D258C">
      <w:pPr>
        <w:pStyle w:val="BodyText"/>
        <w:widowControl/>
        <w:numPr>
          <w:ilvl w:val="0"/>
          <w:numId w:val="23"/>
        </w:numPr>
        <w:kinsoku w:val="0"/>
        <w:overflowPunct w:val="0"/>
        <w:ind w:left="567" w:hanging="567"/>
        <w:rPr>
          <w:lang w:val="el-GR"/>
        </w:rPr>
      </w:pPr>
      <w:r>
        <w:rPr>
          <w:lang w:val="el-GR"/>
        </w:rPr>
        <w:t>Διαπυητική ιδρωταδενίτιδα</w:t>
      </w:r>
    </w:p>
    <w:p w14:paraId="280F25B3" w14:textId="77777777" w:rsidR="00171824" w:rsidRDefault="006D258C">
      <w:pPr>
        <w:pStyle w:val="BodyText"/>
        <w:widowControl/>
        <w:numPr>
          <w:ilvl w:val="0"/>
          <w:numId w:val="23"/>
        </w:numPr>
        <w:kinsoku w:val="0"/>
        <w:overflowPunct w:val="0"/>
        <w:ind w:left="567" w:hanging="567"/>
        <w:rPr>
          <w:lang w:val="el-GR"/>
        </w:rPr>
      </w:pPr>
      <w:r>
        <w:rPr>
          <w:lang w:val="el-GR"/>
        </w:rPr>
        <w:t xml:space="preserve">Νόσος του Crohn </w:t>
      </w:r>
    </w:p>
    <w:p w14:paraId="68261805" w14:textId="77777777" w:rsidR="00171824" w:rsidRDefault="006D258C">
      <w:pPr>
        <w:pStyle w:val="BodyText"/>
        <w:widowControl/>
        <w:numPr>
          <w:ilvl w:val="0"/>
          <w:numId w:val="23"/>
        </w:numPr>
        <w:kinsoku w:val="0"/>
        <w:overflowPunct w:val="0"/>
        <w:ind w:left="567" w:hanging="567"/>
        <w:rPr>
          <w:lang w:val="el-GR"/>
        </w:rPr>
      </w:pPr>
      <w:r>
        <w:rPr>
          <w:lang w:val="el-GR"/>
        </w:rPr>
        <w:t>Ελκώδης κολίτιδα</w:t>
      </w:r>
    </w:p>
    <w:p w14:paraId="18746969" w14:textId="77777777" w:rsidR="00171824" w:rsidRDefault="006D258C">
      <w:pPr>
        <w:pStyle w:val="BodyText"/>
        <w:widowControl/>
        <w:numPr>
          <w:ilvl w:val="0"/>
          <w:numId w:val="23"/>
        </w:numPr>
        <w:kinsoku w:val="0"/>
        <w:overflowPunct w:val="0"/>
        <w:ind w:left="567" w:hanging="567"/>
        <w:rPr>
          <w:lang w:val="el-GR"/>
        </w:rPr>
      </w:pPr>
      <w:r>
        <w:rPr>
          <w:lang w:val="el-GR"/>
        </w:rPr>
        <w:t>Μη λοιμώδης ραγοειδίτιδα</w:t>
      </w:r>
    </w:p>
    <w:p w14:paraId="44FCA2B5" w14:textId="77777777" w:rsidR="00171824" w:rsidRDefault="00171824">
      <w:pPr>
        <w:pStyle w:val="BodyText"/>
        <w:widowControl/>
        <w:kinsoku w:val="0"/>
        <w:overflowPunct w:val="0"/>
        <w:ind w:left="0"/>
        <w:rPr>
          <w:lang w:val="el-GR"/>
        </w:rPr>
      </w:pPr>
    </w:p>
    <w:p w14:paraId="2AFAD11F" w14:textId="77777777" w:rsidR="00171824" w:rsidRDefault="006D258C">
      <w:pPr>
        <w:pStyle w:val="BodyText"/>
        <w:widowControl/>
        <w:kinsoku w:val="0"/>
        <w:overflowPunct w:val="0"/>
        <w:ind w:left="0"/>
        <w:rPr>
          <w:lang w:val="el-GR"/>
        </w:rPr>
      </w:pPr>
      <w:r>
        <w:rPr>
          <w:lang w:val="el-GR"/>
        </w:rPr>
        <w:t xml:space="preserve">Η δραστική ουσία του AMGEVITA, το adalimumab, είναι ένα ανθρώπινο μονοκλωνικό αντίσωμα. Τα μονοκλωνικά αντίσωματα είναι πρωτεΐνες που συνδέονται με έναν συγκεκριμένο στόχο. </w:t>
      </w:r>
    </w:p>
    <w:p w14:paraId="73356428" w14:textId="77777777" w:rsidR="00171824" w:rsidRDefault="00171824">
      <w:pPr>
        <w:pStyle w:val="BodyText"/>
        <w:widowControl/>
        <w:kinsoku w:val="0"/>
        <w:overflowPunct w:val="0"/>
        <w:ind w:left="0"/>
        <w:rPr>
          <w:lang w:val="el-GR"/>
        </w:rPr>
      </w:pPr>
    </w:p>
    <w:p w14:paraId="625040D3" w14:textId="77777777" w:rsidR="00171824" w:rsidRDefault="006D258C">
      <w:pPr>
        <w:pStyle w:val="BodyText"/>
        <w:widowControl/>
        <w:kinsoku w:val="0"/>
        <w:overflowPunct w:val="0"/>
        <w:ind w:left="0"/>
        <w:rPr>
          <w:lang w:val="el-GR"/>
        </w:rPr>
      </w:pPr>
      <w:r>
        <w:rPr>
          <w:lang w:val="el-GR"/>
        </w:rPr>
        <w:t xml:space="preserve">Ο στόχος του adalimumab είναι μία πρωτεΐνη που ονομάζεται παράγοντας νέκρωσης όγκων (TNFα), η οποία εμπλέκεται στο ανοσολογικό (αμυντικό) σύστημα και παρουσιάζεται σε αυξημένα επίπεδα </w:t>
      </w:r>
      <w:r>
        <w:rPr>
          <w:lang w:val="el-GR"/>
        </w:rPr>
        <w:lastRenderedPageBreak/>
        <w:t>στις φλεγμονώδεις νόσους που αναφέρονται ανωτέρω. Συνδέοντας με τον TNFa, το AMGEVITA μειώνει τη διαδικασία της φλεγμονής σε αυτές τις ασθένειες.</w:t>
      </w:r>
    </w:p>
    <w:p w14:paraId="3BD3C6E1" w14:textId="77777777" w:rsidR="00171824" w:rsidRDefault="00171824">
      <w:pPr>
        <w:widowControl/>
        <w:kinsoku w:val="0"/>
        <w:overflowPunct w:val="0"/>
        <w:rPr>
          <w:sz w:val="22"/>
          <w:szCs w:val="22"/>
          <w:lang w:val="el-GR"/>
        </w:rPr>
      </w:pPr>
    </w:p>
    <w:p w14:paraId="4681729D" w14:textId="77777777" w:rsidR="00171824" w:rsidRDefault="006D258C">
      <w:pPr>
        <w:pStyle w:val="BodyText"/>
        <w:keepNext/>
        <w:widowControl/>
        <w:kinsoku w:val="0"/>
        <w:overflowPunct w:val="0"/>
        <w:ind w:left="0"/>
        <w:rPr>
          <w:lang w:val="el-GR"/>
        </w:rPr>
      </w:pPr>
      <w:r>
        <w:rPr>
          <w:u w:val="single"/>
          <w:lang w:val="el-GR"/>
        </w:rPr>
        <w:t>Ρευματοειδής αρθρίτιδα</w:t>
      </w:r>
    </w:p>
    <w:p w14:paraId="6F16D8CF" w14:textId="77777777" w:rsidR="00171824" w:rsidRDefault="00171824">
      <w:pPr>
        <w:keepNext/>
        <w:widowControl/>
        <w:kinsoku w:val="0"/>
        <w:overflowPunct w:val="0"/>
        <w:rPr>
          <w:sz w:val="22"/>
          <w:szCs w:val="22"/>
          <w:lang w:val="el-GR"/>
        </w:rPr>
      </w:pPr>
    </w:p>
    <w:p w14:paraId="5A886CFE" w14:textId="77777777" w:rsidR="00171824" w:rsidRDefault="006D258C">
      <w:pPr>
        <w:pStyle w:val="BodyText"/>
        <w:widowControl/>
        <w:kinsoku w:val="0"/>
        <w:overflowPunct w:val="0"/>
        <w:ind w:left="0"/>
        <w:rPr>
          <w:lang w:val="el-GR"/>
        </w:rPr>
      </w:pPr>
      <w:r>
        <w:rPr>
          <w:lang w:val="el-GR"/>
        </w:rPr>
        <w:t>Η ρευματοειδής αρθρίτιδα είναι μια φλεγμονώδης νόσος των αρθρώσεων.</w:t>
      </w:r>
    </w:p>
    <w:p w14:paraId="3ECA266A" w14:textId="77777777" w:rsidR="00171824" w:rsidRDefault="00171824">
      <w:pPr>
        <w:widowControl/>
        <w:kinsoku w:val="0"/>
        <w:overflowPunct w:val="0"/>
        <w:rPr>
          <w:sz w:val="22"/>
          <w:szCs w:val="22"/>
          <w:lang w:val="el-GR"/>
        </w:rPr>
      </w:pPr>
    </w:p>
    <w:p w14:paraId="6C3077B0"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ρευματοειδούς αρθρίτιδας στους ενήλικες. Εάν υποφέρετε από μετρίως έως σοβαρή ενεργό ρευματοειδή αρθρίτιδα, μπορεί αρχικά να σας χορηγηθούν άλλα τροποποιητικά της νόσου φάρμακα, όπως η μεθοτρεξάτη. Εάν δεν ανταποκριθείτε ικανοποιητικά σε αυτά τα φάρμακα, θα σας χορηγηθεί το AMGEVITA για τη θεραπεία της ρευματοειδούς αρθρίτιδας.</w:t>
      </w:r>
    </w:p>
    <w:p w14:paraId="1A6C8A35" w14:textId="77777777" w:rsidR="00171824" w:rsidRDefault="00171824">
      <w:pPr>
        <w:widowControl/>
        <w:kinsoku w:val="0"/>
        <w:overflowPunct w:val="0"/>
        <w:rPr>
          <w:sz w:val="22"/>
          <w:szCs w:val="22"/>
          <w:lang w:val="el-GR"/>
        </w:rPr>
      </w:pPr>
    </w:p>
    <w:p w14:paraId="50FEE30D" w14:textId="77777777" w:rsidR="00171824" w:rsidRDefault="006D258C">
      <w:pPr>
        <w:pStyle w:val="BodyText"/>
        <w:widowControl/>
        <w:kinsoku w:val="0"/>
        <w:overflowPunct w:val="0"/>
        <w:ind w:left="0"/>
        <w:rPr>
          <w:lang w:val="el-GR"/>
        </w:rPr>
      </w:pPr>
      <w:r>
        <w:rPr>
          <w:lang w:val="el-GR"/>
        </w:rPr>
        <w:t>Το AMGEVITA μπορεί επίσης να χορηγηθεί για τη θεραπεία της σοβαρής, ενεργού και εξελισσόμενης ρευματοειδούς αρθρίτιδας χωρίς να έχει προηγηθεί θεραπεία με μεθοτρεξάτη.</w:t>
      </w:r>
    </w:p>
    <w:p w14:paraId="5D5954B8" w14:textId="77777777" w:rsidR="00171824" w:rsidRDefault="00171824">
      <w:pPr>
        <w:widowControl/>
        <w:kinsoku w:val="0"/>
        <w:overflowPunct w:val="0"/>
        <w:rPr>
          <w:sz w:val="22"/>
          <w:szCs w:val="22"/>
          <w:lang w:val="el-GR"/>
        </w:rPr>
      </w:pPr>
    </w:p>
    <w:p w14:paraId="4713FF5E" w14:textId="77777777" w:rsidR="00171824" w:rsidRDefault="006D258C">
      <w:pPr>
        <w:pStyle w:val="BodyText"/>
        <w:widowControl/>
        <w:kinsoku w:val="0"/>
        <w:overflowPunct w:val="0"/>
        <w:ind w:left="0"/>
        <w:rPr>
          <w:lang w:val="el-GR"/>
        </w:rPr>
      </w:pPr>
      <w:r>
        <w:rPr>
          <w:lang w:val="el-GR"/>
        </w:rPr>
        <w:t>Το AMGEVITA επιβραδύνει τις βλάβες στο χόνδρο και στα οστά των αρθρώσεών σας που προκαλούνται από τη νόσο και βελτιώνει τη λειτουργικότητα.</w:t>
      </w:r>
    </w:p>
    <w:p w14:paraId="6538A1E5" w14:textId="77777777" w:rsidR="00171824" w:rsidRDefault="00171824">
      <w:pPr>
        <w:widowControl/>
        <w:kinsoku w:val="0"/>
        <w:overflowPunct w:val="0"/>
        <w:rPr>
          <w:sz w:val="22"/>
          <w:szCs w:val="22"/>
          <w:lang w:val="el-GR"/>
        </w:rPr>
      </w:pPr>
    </w:p>
    <w:p w14:paraId="48A7CBD9" w14:textId="77777777" w:rsidR="00171824" w:rsidRDefault="006D258C">
      <w:pPr>
        <w:pStyle w:val="BodyText"/>
        <w:widowControl/>
        <w:kinsoku w:val="0"/>
        <w:overflowPunct w:val="0"/>
        <w:ind w:left="0"/>
        <w:rPr>
          <w:lang w:val="el-GR"/>
        </w:rPr>
      </w:pPr>
      <w:r>
        <w:rPr>
          <w:lang w:val="el-GR"/>
        </w:rPr>
        <w:t>Συνήθως το AMGEVITA χορηγείται με μεθοτρεξάτη. Εάν ο γιατρός σας καθορίσει ότι η χορήγηση της μεθοτρεξάτης είναι ακατάλληλη, τότε το AMGEVITA μπορεί να χορηγηθεί μόνο του.</w:t>
      </w:r>
    </w:p>
    <w:p w14:paraId="68440EC2" w14:textId="77777777" w:rsidR="00171824" w:rsidRDefault="00171824">
      <w:pPr>
        <w:widowControl/>
        <w:kinsoku w:val="0"/>
        <w:overflowPunct w:val="0"/>
        <w:rPr>
          <w:sz w:val="22"/>
          <w:szCs w:val="22"/>
          <w:lang w:val="el-GR"/>
        </w:rPr>
      </w:pPr>
    </w:p>
    <w:p w14:paraId="15F71AE5" w14:textId="77777777" w:rsidR="00171824" w:rsidRDefault="006D258C">
      <w:pPr>
        <w:pStyle w:val="BodyText"/>
        <w:widowControl/>
        <w:kinsoku w:val="0"/>
        <w:overflowPunct w:val="0"/>
        <w:ind w:left="0"/>
        <w:rPr>
          <w:lang w:val="el-GR"/>
        </w:rPr>
      </w:pPr>
      <w:r>
        <w:rPr>
          <w:u w:val="single"/>
          <w:lang w:val="el-GR"/>
        </w:rPr>
        <w:t>Πολυαρθρική νεανική ιδιοπαθής αρθρίτιδα και αρθρίτιδα σχετιζόμενη με ενθεσίτιδα</w:t>
      </w:r>
    </w:p>
    <w:p w14:paraId="43CF84AE" w14:textId="77777777" w:rsidR="00171824" w:rsidRDefault="00171824">
      <w:pPr>
        <w:widowControl/>
        <w:kinsoku w:val="0"/>
        <w:overflowPunct w:val="0"/>
        <w:rPr>
          <w:sz w:val="22"/>
          <w:szCs w:val="22"/>
          <w:lang w:val="el-GR"/>
        </w:rPr>
      </w:pPr>
    </w:p>
    <w:p w14:paraId="0B21D79D" w14:textId="77777777" w:rsidR="00171824" w:rsidRDefault="006D258C">
      <w:pPr>
        <w:pStyle w:val="BodyText"/>
        <w:widowControl/>
        <w:kinsoku w:val="0"/>
        <w:overflowPunct w:val="0"/>
        <w:ind w:left="0"/>
        <w:rPr>
          <w:lang w:val="el-GR"/>
        </w:rPr>
      </w:pPr>
      <w:r>
        <w:rPr>
          <w:lang w:val="el-GR"/>
        </w:rPr>
        <w:t>Η πολυαρθρική νεανική ιδιοπαθής αρθρίτιδα και η αρθρίτιδα σχετιζόμενη με ενθεσίτιδα είναι φλεγμονώδεις νόσοι των αρθρώσεων που συνήθως εμφανίζονται για πρώτη φορά στην παιδική ηλικία.</w:t>
      </w:r>
    </w:p>
    <w:p w14:paraId="2C5951B1" w14:textId="77777777" w:rsidR="00171824" w:rsidRDefault="00171824">
      <w:pPr>
        <w:widowControl/>
        <w:kinsoku w:val="0"/>
        <w:overflowPunct w:val="0"/>
        <w:rPr>
          <w:sz w:val="22"/>
          <w:szCs w:val="22"/>
          <w:lang w:val="el-GR"/>
        </w:rPr>
      </w:pPr>
    </w:p>
    <w:p w14:paraId="799FBADB"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πολυαρθρικής νεανικής ιδιοπαθούς αρθρίτιδας σε ασθενείς από την ηλικία των 2 ετών και της αρθρίτιδας σχετιζόμενης με ενθεσίτιδα σε ασθενείς από την ηλικία των 6 ετών. Μπορεί να λάβετε πρώτα άλλα τροποποιητικά της νόσου φάρμακα όπως μεθοτρεξάτη. Εάν δεν ανταποκριθείτε αρκετά καλά στα φάρμακα αυτά, θα σας χορηγηθεί το AMGEVITA για τη θεραπεία της πολυαρθρικής νεανικής ιδιοπαθούς αρθρίτιδάς σας ή της αρθρίτιδας σχετιζόμενης με ενθεσίτιδα.</w:t>
      </w:r>
    </w:p>
    <w:p w14:paraId="7FD04F4D" w14:textId="77777777" w:rsidR="00171824" w:rsidRDefault="00171824">
      <w:pPr>
        <w:widowControl/>
        <w:kinsoku w:val="0"/>
        <w:overflowPunct w:val="0"/>
        <w:rPr>
          <w:sz w:val="22"/>
          <w:szCs w:val="22"/>
          <w:lang w:val="el-GR"/>
        </w:rPr>
      </w:pPr>
    </w:p>
    <w:p w14:paraId="757F44F7" w14:textId="77777777" w:rsidR="00171824" w:rsidRDefault="006D258C">
      <w:pPr>
        <w:pStyle w:val="BodyText"/>
        <w:widowControl/>
        <w:kinsoku w:val="0"/>
        <w:overflowPunct w:val="0"/>
        <w:ind w:left="0"/>
        <w:rPr>
          <w:lang w:val="el-GR"/>
        </w:rPr>
      </w:pPr>
      <w:r>
        <w:rPr>
          <w:u w:val="single"/>
          <w:lang w:val="el-GR"/>
        </w:rPr>
        <w:t>Αγκυλοποιητική σπονδυλίτιδα και αξονική σπονδυλαρθρίτιδα χωρίς ακτινολογικά ευρήματα</w:t>
      </w:r>
      <w:r>
        <w:rPr>
          <w:lang w:val="el-GR"/>
        </w:rPr>
        <w:t xml:space="preserve"> </w:t>
      </w:r>
      <w:r>
        <w:rPr>
          <w:u w:val="single"/>
          <w:lang w:val="el-GR"/>
        </w:rPr>
        <w:t>αγκυλοποιητικής σπονδυλίτιδας</w:t>
      </w:r>
    </w:p>
    <w:p w14:paraId="2E85ABA5" w14:textId="77777777" w:rsidR="00171824" w:rsidRDefault="00171824">
      <w:pPr>
        <w:widowControl/>
        <w:kinsoku w:val="0"/>
        <w:overflowPunct w:val="0"/>
        <w:rPr>
          <w:sz w:val="22"/>
          <w:szCs w:val="22"/>
          <w:lang w:val="el-GR"/>
        </w:rPr>
      </w:pPr>
    </w:p>
    <w:p w14:paraId="5916B2C7" w14:textId="77777777" w:rsidR="00171824" w:rsidRDefault="006D258C">
      <w:pPr>
        <w:pStyle w:val="BodyText"/>
        <w:widowControl/>
        <w:kinsoku w:val="0"/>
        <w:overflowPunct w:val="0"/>
        <w:ind w:left="0"/>
        <w:rPr>
          <w:lang w:val="el-GR"/>
        </w:rPr>
      </w:pPr>
      <w:r>
        <w:rPr>
          <w:lang w:val="el-GR"/>
        </w:rPr>
        <w:t>Η αγκυλοποιητική σπονδυλίτιδα και η αξονική σπονδυλαρθρίτιδα χωρίς ακτινολογικά ευρήματα αγκυλοποιητικής σπονδυλίτιδας είναι φλεγμονώδεις νόσοι της σπονδυλικής στήλης.</w:t>
      </w:r>
    </w:p>
    <w:p w14:paraId="56D57454" w14:textId="77777777" w:rsidR="00171824" w:rsidRDefault="00171824">
      <w:pPr>
        <w:widowControl/>
        <w:kinsoku w:val="0"/>
        <w:overflowPunct w:val="0"/>
        <w:rPr>
          <w:sz w:val="22"/>
          <w:szCs w:val="22"/>
          <w:lang w:val="el-GR"/>
        </w:rPr>
      </w:pPr>
    </w:p>
    <w:p w14:paraId="55DC93E7"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αγκυλοποιητικής σπονδυλίτιδας και της αξονικής σπονδυλαρθρίτιδας χωρίς ακτινολογικά ευρήματα αγκυλοποιητικής σπονδυλίτιδας στους ενήλικες. Εάν πάσχετε από αγκυλοποιητική σπονδυλίτιδα ή αξονική σπονδυλαρθρίτιδα χωρίς ακτινολογικά ευρήματα αγκυλοποιητικής σπονδυλίτιδας, θα σας χορηγηθούν αρχικά άλλα φάρμακα. Εάν δεν ανταποκριθείτε αρκετά καλά σε αυτά, θα σας χορηγηθεί AMGEVITA ώστε να μειωθούν τα σημεία και τα συμπτώματα της νόσου σας.</w:t>
      </w:r>
    </w:p>
    <w:p w14:paraId="0A22F983" w14:textId="77777777" w:rsidR="00171824" w:rsidRDefault="00171824">
      <w:pPr>
        <w:widowControl/>
        <w:kinsoku w:val="0"/>
        <w:overflowPunct w:val="0"/>
        <w:rPr>
          <w:sz w:val="22"/>
          <w:szCs w:val="22"/>
          <w:lang w:val="el-GR"/>
        </w:rPr>
      </w:pPr>
    </w:p>
    <w:p w14:paraId="7ACABBFA" w14:textId="77777777" w:rsidR="00171824" w:rsidRDefault="006D258C">
      <w:pPr>
        <w:pStyle w:val="BodyText"/>
        <w:widowControl/>
        <w:kinsoku w:val="0"/>
        <w:overflowPunct w:val="0"/>
        <w:ind w:left="0"/>
        <w:rPr>
          <w:lang w:val="el-GR"/>
        </w:rPr>
      </w:pPr>
      <w:r>
        <w:rPr>
          <w:u w:val="single"/>
          <w:lang w:val="el-GR"/>
        </w:rPr>
        <w:t>Ψωριασική αρθρίτιδα</w:t>
      </w:r>
    </w:p>
    <w:p w14:paraId="4E9A5829" w14:textId="77777777" w:rsidR="00171824" w:rsidRDefault="00171824">
      <w:pPr>
        <w:widowControl/>
        <w:kinsoku w:val="0"/>
        <w:overflowPunct w:val="0"/>
        <w:rPr>
          <w:sz w:val="22"/>
          <w:szCs w:val="22"/>
          <w:lang w:val="el-GR"/>
        </w:rPr>
      </w:pPr>
    </w:p>
    <w:p w14:paraId="1234FDEE" w14:textId="77777777" w:rsidR="00171824" w:rsidRDefault="006D258C">
      <w:pPr>
        <w:pStyle w:val="BodyText"/>
        <w:widowControl/>
        <w:kinsoku w:val="0"/>
        <w:overflowPunct w:val="0"/>
        <w:ind w:left="0"/>
        <w:rPr>
          <w:lang w:val="el-GR"/>
        </w:rPr>
      </w:pPr>
      <w:r>
        <w:rPr>
          <w:lang w:val="el-GR"/>
        </w:rPr>
        <w:t>Η ψωριασική αρθρίτιδα είναι μια φλεγμονή των αρθρώσεων που συνδέεται με ψωρίαση.</w:t>
      </w:r>
    </w:p>
    <w:p w14:paraId="15FE4F8E" w14:textId="77777777" w:rsidR="00171824" w:rsidRDefault="00171824">
      <w:pPr>
        <w:widowControl/>
        <w:kinsoku w:val="0"/>
        <w:overflowPunct w:val="0"/>
        <w:rPr>
          <w:sz w:val="22"/>
          <w:szCs w:val="22"/>
          <w:lang w:val="el-GR"/>
        </w:rPr>
      </w:pPr>
    </w:p>
    <w:p w14:paraId="583EC7FC"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ψωριασικής αρθρίτιδας στους ενήλικες. Το AMGEVITA επιβραδύνει τις βλάβες στο χόνδρο και στα οστά των αρθρώσεών σας που προκαλούνται από τη νόσο και βελτιώνει τη λειτουργικότητα.</w:t>
      </w:r>
    </w:p>
    <w:p w14:paraId="7B8B00BC" w14:textId="77777777" w:rsidR="00171824" w:rsidRDefault="00171824">
      <w:pPr>
        <w:widowControl/>
        <w:kinsoku w:val="0"/>
        <w:overflowPunct w:val="0"/>
        <w:rPr>
          <w:sz w:val="22"/>
          <w:szCs w:val="22"/>
          <w:lang w:val="el-GR"/>
        </w:rPr>
      </w:pPr>
    </w:p>
    <w:p w14:paraId="1EA8259C" w14:textId="77777777" w:rsidR="00171824" w:rsidRDefault="006D258C">
      <w:pPr>
        <w:pStyle w:val="BodyText"/>
        <w:keepNext/>
        <w:widowControl/>
        <w:kinsoku w:val="0"/>
        <w:overflowPunct w:val="0"/>
        <w:ind w:left="0"/>
        <w:rPr>
          <w:lang w:val="el-GR"/>
        </w:rPr>
      </w:pPr>
      <w:r>
        <w:rPr>
          <w:u w:val="single"/>
          <w:lang w:val="el-GR"/>
        </w:rPr>
        <w:lastRenderedPageBreak/>
        <w:t>Ψωρίαση κατά πλάκας σε ενήλικες και παιδιά</w:t>
      </w:r>
    </w:p>
    <w:p w14:paraId="33B78825" w14:textId="77777777" w:rsidR="00171824" w:rsidRDefault="00171824">
      <w:pPr>
        <w:keepNext/>
        <w:widowControl/>
        <w:kinsoku w:val="0"/>
        <w:overflowPunct w:val="0"/>
        <w:rPr>
          <w:sz w:val="22"/>
          <w:szCs w:val="22"/>
          <w:lang w:val="el-GR"/>
        </w:rPr>
      </w:pPr>
    </w:p>
    <w:p w14:paraId="22EECF4E" w14:textId="77777777" w:rsidR="00171824" w:rsidRDefault="006D258C">
      <w:pPr>
        <w:pStyle w:val="BodyText"/>
        <w:widowControl/>
        <w:kinsoku w:val="0"/>
        <w:overflowPunct w:val="0"/>
        <w:ind w:left="0"/>
        <w:rPr>
          <w:lang w:val="el-GR"/>
        </w:rPr>
      </w:pPr>
      <w:r>
        <w:rPr>
          <w:lang w:val="el-GR"/>
        </w:rPr>
        <w:t>Η ψωρίαση κατά πλάκας είναι μια δερματοπάθεια που προκαλεί ερυθρές, φολιδωτές, λεπιδώδεις πλάκες δέρματος που καλύπτονται από αργυρόχροα λέπια. Η ψωρίαση κατά πλάκας μπορεί επίσης να προσβάλει τα νύχια, προκαλώντας απώλεια του νυχιού, πάχυνση και αποκόλληση από την κοίτη του νυχιού, το οποίο μπορεί να είναι επώδυνο. Η ψωρίαση πιστεύεται ότι προκαλείται από ένα πρόβλημα στο ανοσοποιητικό σύστημα του οργανισμού, που οδηγεί σε αυξημένη παραγωγή επιδερμιδικών κυττάρων.</w:t>
      </w:r>
    </w:p>
    <w:p w14:paraId="3E93B156" w14:textId="77777777" w:rsidR="00171824" w:rsidRDefault="00171824">
      <w:pPr>
        <w:widowControl/>
        <w:kinsoku w:val="0"/>
        <w:overflowPunct w:val="0"/>
        <w:rPr>
          <w:sz w:val="22"/>
          <w:szCs w:val="22"/>
          <w:lang w:val="el-GR"/>
        </w:rPr>
      </w:pPr>
    </w:p>
    <w:p w14:paraId="43070D74"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μέτριας έως σοβαρής ψωρίασης κατά πλάκας στους ενήλικες. Το AMGEVITA χρησιμοποιείται επίσης και για τη θεραπεία της σοβαρής ψωρίασης κατά πλάκας σε παιδιά και εφήβους ηλικίας 4 μέχρι 17 ετών για τους οποίους η τοπική θεραπεία και οι φωτοθεραπείες είτε δεν λειτούργησαν πολύ καλά ή δεν ήταν κατάλληλες.</w:t>
      </w:r>
    </w:p>
    <w:p w14:paraId="009BF37C" w14:textId="77777777" w:rsidR="00171824" w:rsidRDefault="00171824">
      <w:pPr>
        <w:pStyle w:val="BodyText"/>
        <w:widowControl/>
        <w:kinsoku w:val="0"/>
        <w:overflowPunct w:val="0"/>
        <w:ind w:left="0"/>
        <w:rPr>
          <w:lang w:val="el-GR"/>
        </w:rPr>
      </w:pPr>
    </w:p>
    <w:p w14:paraId="79D89570" w14:textId="77777777" w:rsidR="00171824" w:rsidRDefault="006D258C">
      <w:pPr>
        <w:pStyle w:val="BodyText"/>
        <w:widowControl/>
        <w:kinsoku w:val="0"/>
        <w:overflowPunct w:val="0"/>
        <w:ind w:left="0"/>
        <w:rPr>
          <w:lang w:val="el-GR"/>
        </w:rPr>
      </w:pPr>
      <w:r>
        <w:rPr>
          <w:u w:val="single"/>
          <w:lang w:val="el-GR"/>
        </w:rPr>
        <w:t>Διαπυητική ιδρωταδενίτιδα σε ενήλικες και παιδιά</w:t>
      </w:r>
    </w:p>
    <w:p w14:paraId="04E9EF24" w14:textId="77777777" w:rsidR="00171824" w:rsidRDefault="00171824">
      <w:pPr>
        <w:widowControl/>
        <w:kinsoku w:val="0"/>
        <w:overflowPunct w:val="0"/>
        <w:rPr>
          <w:sz w:val="22"/>
          <w:szCs w:val="22"/>
          <w:lang w:val="el-GR"/>
        </w:rPr>
      </w:pPr>
    </w:p>
    <w:p w14:paraId="1D87E410" w14:textId="77777777" w:rsidR="00171824" w:rsidRDefault="006D258C">
      <w:pPr>
        <w:pStyle w:val="BodyText"/>
        <w:widowControl/>
        <w:kinsoku w:val="0"/>
        <w:overflowPunct w:val="0"/>
        <w:ind w:left="0"/>
        <w:rPr>
          <w:lang w:val="el-GR"/>
        </w:rPr>
      </w:pPr>
      <w:r>
        <w:rPr>
          <w:lang w:val="el-GR"/>
        </w:rPr>
        <w:t>Η διαπυητική ιδρωταδενίτιδα (ονομάζεται και ανάστροφη ακµή) είναι μία χρόνια και συχνά επώδυνη φλεγμονώδης νόσος του δέρματος. Τα συμπτώματα μπορεί να περιλαμβάνουν ευαίσθητα οζίδια (εξογκώματα) και αποστήματα (δοθιήνες) που μπορεί να εκκρίνουν πύον. Εμφανίζεται συχνότερα σε συγκεκριμένες περιοχές του δέρματος, όπως κάτω από το στήθος, στις μασχάλες, στο εσωτερικό των μηρών, στη βουβωνική χώρα και τους γλουτούς. Στις προσβεβλημένες περιοχές μπορεί επίσης να εμφανιστούν ουλές.</w:t>
      </w:r>
    </w:p>
    <w:p w14:paraId="01450532" w14:textId="77777777" w:rsidR="00171824" w:rsidRDefault="00171824">
      <w:pPr>
        <w:widowControl/>
        <w:kinsoku w:val="0"/>
        <w:overflowPunct w:val="0"/>
        <w:rPr>
          <w:sz w:val="22"/>
          <w:szCs w:val="22"/>
          <w:lang w:val="el-GR"/>
        </w:rPr>
      </w:pPr>
    </w:p>
    <w:p w14:paraId="4FE4F84D"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διαπυητικής ιδρωταδενίτιδας σε ενήλικες και παιδιά από την ηλικία των 12 ετών. Το AMGEVITA μπορεί να μειώσει τον αριθμό των οζιδίων και των αποστημάτων, καθώς και τον πόνο που συνδέεται συχνά με τη νόσο.</w:t>
      </w:r>
      <w:r>
        <w:rPr>
          <w:rFonts w:ascii="Arial" w:hAnsi="Arial" w:cs="Arial"/>
          <w:color w:val="222222"/>
          <w:lang w:val="el-GR"/>
        </w:rPr>
        <w:t xml:space="preserve"> </w:t>
      </w:r>
      <w:r>
        <w:rPr>
          <w:lang w:val="el-GR"/>
        </w:rPr>
        <w:t>Μπορεί πρώτα να σας χορηγηθούν άλλα φάρμακα. Αν δεν ανταποκριθείτε καλά σε αυτά τα φάρμακα, θα σας δοθεί το AMGEVITA.</w:t>
      </w:r>
    </w:p>
    <w:p w14:paraId="1E16711A" w14:textId="77777777" w:rsidR="00171824" w:rsidRDefault="00171824">
      <w:pPr>
        <w:widowControl/>
        <w:kinsoku w:val="0"/>
        <w:overflowPunct w:val="0"/>
        <w:rPr>
          <w:sz w:val="22"/>
          <w:szCs w:val="22"/>
          <w:lang w:val="el-GR"/>
        </w:rPr>
      </w:pPr>
    </w:p>
    <w:p w14:paraId="5DFDAA31" w14:textId="77777777" w:rsidR="00171824" w:rsidRDefault="006D258C">
      <w:pPr>
        <w:pStyle w:val="BodyText"/>
        <w:widowControl/>
        <w:kinsoku w:val="0"/>
        <w:overflowPunct w:val="0"/>
        <w:ind w:left="0"/>
        <w:rPr>
          <w:lang w:val="el-GR"/>
        </w:rPr>
      </w:pPr>
      <w:r>
        <w:rPr>
          <w:u w:val="single"/>
          <w:lang w:val="el-GR"/>
        </w:rPr>
        <w:t>Nόσος του Crohn σε ενήλικες και παιδιά</w:t>
      </w:r>
    </w:p>
    <w:p w14:paraId="6776F908" w14:textId="77777777" w:rsidR="00171824" w:rsidRDefault="00171824">
      <w:pPr>
        <w:widowControl/>
        <w:kinsoku w:val="0"/>
        <w:overflowPunct w:val="0"/>
        <w:rPr>
          <w:sz w:val="22"/>
          <w:szCs w:val="22"/>
          <w:lang w:val="el-GR"/>
        </w:rPr>
      </w:pPr>
    </w:p>
    <w:p w14:paraId="5A3CA2F0" w14:textId="77777777" w:rsidR="00171824" w:rsidRDefault="006D258C">
      <w:pPr>
        <w:pStyle w:val="BodyText"/>
        <w:widowControl/>
        <w:kinsoku w:val="0"/>
        <w:overflowPunct w:val="0"/>
        <w:ind w:left="0"/>
        <w:rPr>
          <w:lang w:val="el-GR"/>
        </w:rPr>
      </w:pPr>
      <w:r>
        <w:rPr>
          <w:lang w:val="el-GR"/>
        </w:rPr>
        <w:t>H νόσος του Crohn είναι μια φλεγμονώδης νόσος του πεπτικού συστήματος.</w:t>
      </w:r>
    </w:p>
    <w:p w14:paraId="6343B4C4" w14:textId="77777777" w:rsidR="00171824" w:rsidRDefault="00171824">
      <w:pPr>
        <w:widowControl/>
        <w:kinsoku w:val="0"/>
        <w:overflowPunct w:val="0"/>
        <w:rPr>
          <w:sz w:val="22"/>
          <w:szCs w:val="22"/>
          <w:lang w:val="el-GR"/>
        </w:rPr>
      </w:pPr>
    </w:p>
    <w:p w14:paraId="377AAC67"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νόσου του Crohn σε ενήλικες και παιδιά ηλικίας 6 έως 17 ετών. Εάν πάσχετε από νόσο του Crohn θα πρέπει να σας δοθεί αρχικά άλλη φαρμακευτική αγωγή. Εάν δεν ανταποκριθείτε αρκετά καλά σε αυτή τη φαρμακευτική αγωγή, θα σας δοθεί AMGEVITA ώστε να μειωθούν τα σημεία και τα συμπτώματα της νόσου του Crohn.</w:t>
      </w:r>
    </w:p>
    <w:p w14:paraId="7834C627" w14:textId="77777777" w:rsidR="00171824" w:rsidRDefault="00171824">
      <w:pPr>
        <w:widowControl/>
        <w:kinsoku w:val="0"/>
        <w:overflowPunct w:val="0"/>
        <w:rPr>
          <w:sz w:val="22"/>
          <w:szCs w:val="22"/>
          <w:lang w:val="el-GR"/>
        </w:rPr>
      </w:pPr>
    </w:p>
    <w:p w14:paraId="1BA2C519" w14:textId="77777777" w:rsidR="00171824" w:rsidRDefault="006D258C">
      <w:pPr>
        <w:pStyle w:val="BodyText"/>
        <w:widowControl/>
        <w:kinsoku w:val="0"/>
        <w:overflowPunct w:val="0"/>
        <w:ind w:left="0"/>
        <w:rPr>
          <w:lang w:val="el-GR"/>
        </w:rPr>
      </w:pPr>
      <w:r>
        <w:rPr>
          <w:u w:val="single"/>
          <w:lang w:val="el-GR"/>
        </w:rPr>
        <w:t>Ελκώδης κολίτιδα σε ενήλικες και παιδιά</w:t>
      </w:r>
    </w:p>
    <w:p w14:paraId="4E701E88" w14:textId="77777777" w:rsidR="00171824" w:rsidRDefault="00171824">
      <w:pPr>
        <w:widowControl/>
        <w:kinsoku w:val="0"/>
        <w:overflowPunct w:val="0"/>
        <w:rPr>
          <w:sz w:val="22"/>
          <w:szCs w:val="22"/>
          <w:lang w:val="el-GR"/>
        </w:rPr>
      </w:pPr>
    </w:p>
    <w:p w14:paraId="3E502810" w14:textId="77777777" w:rsidR="00171824" w:rsidRDefault="006D258C">
      <w:pPr>
        <w:pStyle w:val="BodyText"/>
        <w:widowControl/>
        <w:kinsoku w:val="0"/>
        <w:overflowPunct w:val="0"/>
        <w:ind w:left="0"/>
        <w:rPr>
          <w:lang w:val="el-GR"/>
        </w:rPr>
      </w:pPr>
      <w:r>
        <w:rPr>
          <w:lang w:val="el-GR"/>
        </w:rPr>
        <w:t>Η ελκώδης κολίτιδα είναι μία φλεγμονώδης νόσος του παχέος εντέρου.</w:t>
      </w:r>
    </w:p>
    <w:p w14:paraId="241DD3CB" w14:textId="77777777" w:rsidR="00171824" w:rsidRDefault="00171824">
      <w:pPr>
        <w:widowControl/>
        <w:kinsoku w:val="0"/>
        <w:overflowPunct w:val="0"/>
        <w:rPr>
          <w:sz w:val="22"/>
          <w:szCs w:val="22"/>
          <w:lang w:val="el-GR"/>
        </w:rPr>
      </w:pPr>
    </w:p>
    <w:p w14:paraId="2752CE64" w14:textId="77777777" w:rsidR="00171824" w:rsidRDefault="006D258C">
      <w:pPr>
        <w:pStyle w:val="BodyText"/>
        <w:widowControl/>
        <w:kinsoku w:val="0"/>
        <w:overflowPunct w:val="0"/>
        <w:ind w:left="0"/>
        <w:rPr>
          <w:lang w:val="el-GR"/>
        </w:rPr>
      </w:pPr>
      <w:r>
        <w:rPr>
          <w:lang w:val="el-GR"/>
        </w:rPr>
        <w:t>Το AMGEVITA χρησιμοποιείται για τη θεραπεία της μέτριας έως σοβαρής ελκώδους κολίτιδας σε ενήλικες και παιδιά ηλικίας 6 έως 17 ετών. Αν έχετε ελκώδη κολίτιδα, μπορεί πρώτα να σας χορηγηθούν άλλα φάρμακα. Αν δεν ανταποκριθείτε αρκετά καλά σε αυτά τα φάρμακα, θα σας δοθεί AMGEVITA για να μειωθούν τα σημεία και τα συμπτώματα της νόσου σας.</w:t>
      </w:r>
    </w:p>
    <w:p w14:paraId="2EC49C49" w14:textId="77777777" w:rsidR="00171824" w:rsidRDefault="00171824">
      <w:pPr>
        <w:widowControl/>
        <w:kinsoku w:val="0"/>
        <w:overflowPunct w:val="0"/>
        <w:rPr>
          <w:sz w:val="22"/>
          <w:szCs w:val="22"/>
          <w:lang w:val="el-GR"/>
        </w:rPr>
      </w:pPr>
    </w:p>
    <w:p w14:paraId="47AC5AB6" w14:textId="77777777" w:rsidR="00171824" w:rsidRDefault="006D258C">
      <w:pPr>
        <w:pStyle w:val="BodyText"/>
        <w:widowControl/>
        <w:kinsoku w:val="0"/>
        <w:overflowPunct w:val="0"/>
        <w:ind w:left="0"/>
        <w:rPr>
          <w:lang w:val="el-GR"/>
        </w:rPr>
      </w:pPr>
      <w:r>
        <w:rPr>
          <w:u w:val="single"/>
          <w:lang w:val="el-GR"/>
        </w:rPr>
        <w:t>Μη-λοιμώδης ραγοειδίτιδα σε ενήλικες και παιδιά</w:t>
      </w:r>
    </w:p>
    <w:p w14:paraId="3A20C8D1" w14:textId="77777777" w:rsidR="00171824" w:rsidRDefault="00171824">
      <w:pPr>
        <w:widowControl/>
        <w:kinsoku w:val="0"/>
        <w:overflowPunct w:val="0"/>
        <w:rPr>
          <w:sz w:val="22"/>
          <w:szCs w:val="22"/>
          <w:lang w:val="el-GR"/>
        </w:rPr>
      </w:pPr>
    </w:p>
    <w:p w14:paraId="16C4C575" w14:textId="77777777" w:rsidR="00171824" w:rsidRDefault="006D258C">
      <w:pPr>
        <w:pStyle w:val="BodyText"/>
        <w:widowControl/>
        <w:kinsoku w:val="0"/>
        <w:overflowPunct w:val="0"/>
        <w:ind w:left="0"/>
        <w:rPr>
          <w:lang w:val="el-GR"/>
        </w:rPr>
      </w:pPr>
      <w:r>
        <w:rPr>
          <w:lang w:val="el-GR"/>
        </w:rPr>
        <w:t xml:space="preserve">Η μη-λοιμώδης ραγοειδίτιδα είναι μία φλεγμονώδης ασθένεια που επηρεάζει ορισμένα τμήματα του οφθαλμού. </w:t>
      </w:r>
    </w:p>
    <w:p w14:paraId="15D7D094" w14:textId="77777777" w:rsidR="00171824" w:rsidRDefault="00171824">
      <w:pPr>
        <w:pStyle w:val="BodyText"/>
        <w:widowControl/>
        <w:kinsoku w:val="0"/>
        <w:overflowPunct w:val="0"/>
        <w:ind w:left="0"/>
        <w:rPr>
          <w:lang w:val="el-GR"/>
        </w:rPr>
      </w:pPr>
    </w:p>
    <w:p w14:paraId="136984A7" w14:textId="77777777" w:rsidR="00171824" w:rsidRDefault="006D258C">
      <w:pPr>
        <w:pStyle w:val="BodyText"/>
        <w:widowControl/>
        <w:kinsoku w:val="0"/>
        <w:overflowPunct w:val="0"/>
        <w:ind w:left="0"/>
        <w:rPr>
          <w:lang w:val="el-GR"/>
        </w:rPr>
      </w:pPr>
      <w:r>
        <w:rPr>
          <w:lang w:val="el-GR"/>
        </w:rPr>
        <w:t xml:space="preserve">Το AMGEVITA χρησιμοποιείται για τη θεραπεία </w:t>
      </w:r>
    </w:p>
    <w:p w14:paraId="5212A7B3" w14:textId="77777777" w:rsidR="00171824" w:rsidRDefault="006D258C">
      <w:pPr>
        <w:pStyle w:val="BodyText"/>
        <w:widowControl/>
        <w:numPr>
          <w:ilvl w:val="0"/>
          <w:numId w:val="23"/>
        </w:numPr>
        <w:kinsoku w:val="0"/>
        <w:overflowPunct w:val="0"/>
        <w:ind w:left="567" w:hanging="567"/>
        <w:rPr>
          <w:lang w:val="el-GR"/>
        </w:rPr>
      </w:pPr>
      <w:r>
        <w:rPr>
          <w:lang w:val="el-GR"/>
        </w:rPr>
        <w:t xml:space="preserve">Ενηλίκων με μη-λοιμώδη ραγοειδίτιδα με φλεγμονή που επηρεάζει το οπίσθιο μέρος του οφθαλμού. </w:t>
      </w:r>
    </w:p>
    <w:p w14:paraId="30B85E3D" w14:textId="77777777" w:rsidR="00171824" w:rsidRDefault="006D258C">
      <w:pPr>
        <w:pStyle w:val="BodyText"/>
        <w:widowControl/>
        <w:numPr>
          <w:ilvl w:val="0"/>
          <w:numId w:val="23"/>
        </w:numPr>
        <w:kinsoku w:val="0"/>
        <w:overflowPunct w:val="0"/>
        <w:ind w:left="567" w:hanging="567"/>
        <w:rPr>
          <w:lang w:val="el-GR"/>
        </w:rPr>
      </w:pPr>
      <w:r>
        <w:rPr>
          <w:lang w:val="el-GR"/>
        </w:rPr>
        <w:t xml:space="preserve">Παιδιά από την ηλικία των 2 ετών με μη-λοιμώδη ραγοειδίτιδα με φλεγμονή που επηρεάζει το μπροστινό μέρος του οφθαλμού. </w:t>
      </w:r>
    </w:p>
    <w:p w14:paraId="2C040654" w14:textId="77777777" w:rsidR="00171824" w:rsidRDefault="00171824">
      <w:pPr>
        <w:pStyle w:val="BodyText"/>
        <w:widowControl/>
        <w:kinsoku w:val="0"/>
        <w:overflowPunct w:val="0"/>
        <w:ind w:left="0"/>
        <w:rPr>
          <w:lang w:val="el-GR"/>
        </w:rPr>
      </w:pPr>
    </w:p>
    <w:p w14:paraId="317398E3" w14:textId="77777777" w:rsidR="00171824" w:rsidRDefault="006D258C">
      <w:pPr>
        <w:pStyle w:val="BodyText"/>
        <w:widowControl/>
        <w:kinsoku w:val="0"/>
        <w:overflowPunct w:val="0"/>
        <w:ind w:left="0"/>
        <w:rPr>
          <w:lang w:val="el-GR"/>
        </w:rPr>
      </w:pPr>
      <w:r>
        <w:rPr>
          <w:lang w:val="el-GR"/>
        </w:rPr>
        <w:t>Η φλεγμονή αυτή μπορεί να οδηγήσει σε μείωση της όρασης και/ή στην παρουσία εξιδρωμάτων στον οφθαλμό (μαύρες κουκίδες ή ψιλές γραμμές που κινούνται σε όλο το πεδίο της όρασης). Το AMGEVITA δρα μειώνοντας αυτήν τη φλεγμονή.</w:t>
      </w:r>
    </w:p>
    <w:p w14:paraId="3ABD042C" w14:textId="77777777" w:rsidR="00171824" w:rsidRDefault="00171824">
      <w:pPr>
        <w:widowControl/>
        <w:kinsoku w:val="0"/>
        <w:overflowPunct w:val="0"/>
        <w:rPr>
          <w:sz w:val="22"/>
          <w:szCs w:val="22"/>
          <w:lang w:val="el-GR"/>
        </w:rPr>
      </w:pPr>
    </w:p>
    <w:p w14:paraId="0055DF4F" w14:textId="77777777" w:rsidR="00171824" w:rsidRDefault="00171824">
      <w:pPr>
        <w:widowControl/>
        <w:kinsoku w:val="0"/>
        <w:overflowPunct w:val="0"/>
        <w:rPr>
          <w:sz w:val="22"/>
          <w:szCs w:val="22"/>
          <w:lang w:val="el-GR"/>
        </w:rPr>
      </w:pPr>
    </w:p>
    <w:p w14:paraId="79648C93" w14:textId="77777777" w:rsidR="00171824" w:rsidRDefault="006D258C">
      <w:pPr>
        <w:pStyle w:val="Heading1"/>
        <w:keepNext/>
        <w:widowControl/>
        <w:numPr>
          <w:ilvl w:val="0"/>
          <w:numId w:val="34"/>
        </w:numPr>
        <w:tabs>
          <w:tab w:val="left" w:pos="567"/>
        </w:tabs>
        <w:kinsoku w:val="0"/>
        <w:overflowPunct w:val="0"/>
        <w:ind w:left="567"/>
        <w:rPr>
          <w:b w:val="0"/>
          <w:bCs w:val="0"/>
          <w:lang w:val="el-GR"/>
        </w:rPr>
      </w:pPr>
      <w:r>
        <w:rPr>
          <w:lang w:val="el-GR"/>
        </w:rPr>
        <w:t xml:space="preserve">Τι πρέπει να γνωρίζετε πριν χρησιμοποιήσετε το AMGEVITA </w:t>
      </w:r>
    </w:p>
    <w:p w14:paraId="2171CA0F" w14:textId="77777777" w:rsidR="00171824" w:rsidRDefault="00171824">
      <w:pPr>
        <w:pStyle w:val="Heading1"/>
        <w:keepNext/>
        <w:widowControl/>
        <w:tabs>
          <w:tab w:val="left" w:pos="684"/>
        </w:tabs>
        <w:kinsoku w:val="0"/>
        <w:overflowPunct w:val="0"/>
        <w:ind w:left="0"/>
        <w:rPr>
          <w:b w:val="0"/>
          <w:bCs w:val="0"/>
          <w:lang w:val="el-GR"/>
        </w:rPr>
      </w:pPr>
    </w:p>
    <w:p w14:paraId="25615D78" w14:textId="77777777" w:rsidR="00171824" w:rsidRDefault="006D258C">
      <w:pPr>
        <w:pStyle w:val="Heading1"/>
        <w:keepNext/>
        <w:widowControl/>
        <w:tabs>
          <w:tab w:val="left" w:pos="684"/>
        </w:tabs>
        <w:kinsoku w:val="0"/>
        <w:overflowPunct w:val="0"/>
        <w:ind w:left="0"/>
        <w:rPr>
          <w:lang w:val="el-GR"/>
        </w:rPr>
      </w:pPr>
      <w:r>
        <w:rPr>
          <w:lang w:val="el-GR"/>
        </w:rPr>
        <w:t xml:space="preserve">Μην χρησιμοποιήσετε το AMGEVITA: </w:t>
      </w:r>
    </w:p>
    <w:p w14:paraId="234B8B07" w14:textId="77777777" w:rsidR="00171824" w:rsidRDefault="00171824">
      <w:pPr>
        <w:keepNext/>
        <w:widowControl/>
        <w:rPr>
          <w:sz w:val="22"/>
          <w:szCs w:val="22"/>
          <w:lang w:val="el-GR"/>
        </w:rPr>
      </w:pPr>
    </w:p>
    <w:p w14:paraId="24215B7E"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Σε περίπτωση αλλεργίας στο adalimumab ή σε οποιοδήποτε άλλο από τα συστατικά αυτού του φαρμάκου (αναφέρονται στην παράγραφο 6).</w:t>
      </w:r>
    </w:p>
    <w:p w14:paraId="2EBFC359"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Σε περίπτωση σοβαρής λοίμωξης, συμπεριλαμβανομένης και της ενεργού φυματίωσης, σηψαιμίας (λοίμωξης του αίματος) ή άλλων ευκαιριακών λοιμώξεων (ασυνήθιστων λοιμώξεων που συσχετίζονται με εξασθενημένο ανοσοποιητικό σύστημα) (βλέπε «Προειδοποιήσεις και Προφυλάξεις»). Είναι σημαντικό να ενημερώσετε τον γιατρό σας εάν έχετε συμπτώματα λοίμωξης, όπως π.χ. πυρετό, πληγές, αίσθημα κόπωσης ή οδοντικά προβλήματα.</w:t>
      </w:r>
    </w:p>
    <w:p w14:paraId="0DB5E741"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Σε περίπτωση μέτριας ή σοβαρής καρδιακής ανεπάρκειας. Είναι σημαντικό να ενημερώσετε τον γιατρό σας εάν είχατε ή έχετε σοβαρή καρδιακή νόσο (βλέπε «Προειδοποιήσεις και Προφυλάξεις»).</w:t>
      </w:r>
    </w:p>
    <w:p w14:paraId="16756BC0" w14:textId="77777777" w:rsidR="00171824" w:rsidRDefault="00171824">
      <w:pPr>
        <w:widowControl/>
        <w:kinsoku w:val="0"/>
        <w:overflowPunct w:val="0"/>
        <w:rPr>
          <w:sz w:val="22"/>
          <w:szCs w:val="22"/>
          <w:lang w:val="el-GR"/>
        </w:rPr>
      </w:pPr>
    </w:p>
    <w:p w14:paraId="31B37500" w14:textId="77777777" w:rsidR="00171824" w:rsidRDefault="006D258C">
      <w:pPr>
        <w:pStyle w:val="Heading1"/>
        <w:widowControl/>
        <w:kinsoku w:val="0"/>
        <w:overflowPunct w:val="0"/>
        <w:ind w:left="0"/>
        <w:rPr>
          <w:b w:val="0"/>
          <w:bCs w:val="0"/>
          <w:lang w:val="el-GR"/>
        </w:rPr>
      </w:pPr>
      <w:r>
        <w:rPr>
          <w:lang w:val="el-GR"/>
        </w:rPr>
        <w:t>Προειδοποιήσεις και προφυλάξεις</w:t>
      </w:r>
    </w:p>
    <w:p w14:paraId="4C9C4915" w14:textId="77777777" w:rsidR="00171824" w:rsidRDefault="00171824">
      <w:pPr>
        <w:widowControl/>
        <w:kinsoku w:val="0"/>
        <w:overflowPunct w:val="0"/>
        <w:rPr>
          <w:sz w:val="22"/>
          <w:szCs w:val="22"/>
          <w:lang w:val="el-GR"/>
        </w:rPr>
      </w:pPr>
    </w:p>
    <w:p w14:paraId="22AC7A6E" w14:textId="77777777" w:rsidR="00171824" w:rsidRDefault="006D258C">
      <w:pPr>
        <w:pStyle w:val="BodyText"/>
        <w:widowControl/>
        <w:kinsoku w:val="0"/>
        <w:overflowPunct w:val="0"/>
        <w:ind w:left="0"/>
        <w:rPr>
          <w:lang w:val="el-GR"/>
        </w:rPr>
      </w:pPr>
      <w:r>
        <w:rPr>
          <w:lang w:val="el-GR"/>
        </w:rPr>
        <w:t xml:space="preserve">Απευθυνθείτε στον γιατρό ή τον φαρμακοποιό σας πριν χρησιμοποιήσετε το AMGEVITA: </w:t>
      </w:r>
    </w:p>
    <w:p w14:paraId="4DE19298" w14:textId="77777777" w:rsidR="00171824" w:rsidRDefault="00171824">
      <w:pPr>
        <w:widowControl/>
        <w:kinsoku w:val="0"/>
        <w:overflowPunct w:val="0"/>
        <w:rPr>
          <w:sz w:val="22"/>
          <w:szCs w:val="22"/>
          <w:lang w:val="el-GR"/>
        </w:rPr>
      </w:pPr>
    </w:p>
    <w:p w14:paraId="61C1B9BE" w14:textId="77777777" w:rsidR="00171824" w:rsidRDefault="006D258C">
      <w:pPr>
        <w:widowControl/>
        <w:kinsoku w:val="0"/>
        <w:overflowPunct w:val="0"/>
        <w:rPr>
          <w:sz w:val="22"/>
          <w:szCs w:val="22"/>
          <w:lang w:val="el-GR"/>
        </w:rPr>
      </w:pPr>
      <w:r>
        <w:rPr>
          <w:sz w:val="22"/>
          <w:szCs w:val="22"/>
          <w:lang w:val="el-GR"/>
        </w:rPr>
        <w:t>Αλλεργικές αντιδράσεις</w:t>
      </w:r>
    </w:p>
    <w:p w14:paraId="5FFF96C6" w14:textId="77777777" w:rsidR="00171824" w:rsidRDefault="00171824">
      <w:pPr>
        <w:widowControl/>
        <w:kinsoku w:val="0"/>
        <w:overflowPunct w:val="0"/>
        <w:rPr>
          <w:sz w:val="22"/>
          <w:szCs w:val="22"/>
          <w:lang w:val="el-GR"/>
        </w:rPr>
      </w:pPr>
    </w:p>
    <w:p w14:paraId="6B480138"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Εάν εμφανίσετε αλλεργικές αντιδράσεις με συμπτώματα όπως αίσθημα σφιξίματος στο θώρακα, δύσπνοια, ζάλη, οίδημα ή εξάνθημα διακόψτε τις ενέσεις AMGEVITA και επικοινωνήστε αμέσως με τον γιατρό σας δεδομένου ότι, σε σπάνιες περιπτώσεις, αυτές οι αντιδράσεις μπορεί να είναι απειλητικές για τη ζωή.</w:t>
      </w:r>
    </w:p>
    <w:p w14:paraId="4463B2A3" w14:textId="77777777" w:rsidR="00171824" w:rsidRDefault="00171824">
      <w:pPr>
        <w:pStyle w:val="BodyText"/>
        <w:widowControl/>
        <w:tabs>
          <w:tab w:val="left" w:pos="567"/>
        </w:tabs>
        <w:kinsoku w:val="0"/>
        <w:overflowPunct w:val="0"/>
        <w:ind w:left="567"/>
        <w:rPr>
          <w:lang w:val="el-GR"/>
        </w:rPr>
      </w:pPr>
    </w:p>
    <w:p w14:paraId="3FC8E344" w14:textId="77777777" w:rsidR="00171824" w:rsidRDefault="006D258C">
      <w:pPr>
        <w:pStyle w:val="BodyText"/>
        <w:widowControl/>
        <w:tabs>
          <w:tab w:val="left" w:pos="567"/>
        </w:tabs>
        <w:kinsoku w:val="0"/>
        <w:overflowPunct w:val="0"/>
        <w:ind w:left="0"/>
        <w:rPr>
          <w:lang w:val="el-GR"/>
        </w:rPr>
      </w:pPr>
      <w:r>
        <w:rPr>
          <w:lang w:val="el-GR"/>
        </w:rPr>
        <w:t>Λοιμώξεις</w:t>
      </w:r>
    </w:p>
    <w:p w14:paraId="18C38F8E" w14:textId="77777777" w:rsidR="00171824" w:rsidRDefault="00171824">
      <w:pPr>
        <w:widowControl/>
        <w:kinsoku w:val="0"/>
        <w:overflowPunct w:val="0"/>
        <w:rPr>
          <w:sz w:val="22"/>
          <w:szCs w:val="22"/>
          <w:lang w:val="el-GR"/>
        </w:rPr>
      </w:pPr>
    </w:p>
    <w:p w14:paraId="21670AFC"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Εάν έχετε μια λοίμωξη, συμπεριλαμβανομένων των μακροχρόνιων ή των τοπικών λοιμώξεων (για παράδειγμα, έλκος κάτω άκρου) συμβουλευθείτε τον γιατρό σας πριν αρχίσετε την αγωγή με το AMGEVITA. Εάν δεν είστε βέβαιος, επικοινωνήσετε με τον γιατρό σας.</w:t>
      </w:r>
    </w:p>
    <w:p w14:paraId="091D3B91"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Μπορεί να εμφανίσετε λοιμώξεις ευκολότερα ενώ λαμβάνετε τη θεραπεία AMGEVITA. Ο κίνδυνος ενδέχεται να αυξηθεί εάν η πνευμονική λειτουργία σας είναι επηρεασμένη. Οι λοιμώξεις αυτές μπορεί να είναι επικίνδυνες και συμπεριλαμβάνουν φυματίωση, λοιμώξεις που προκαλούνται από ιούς, μύκητες ή βακτήρια ή άλλες ευκαιριακές λοιμώξεις και σηψαιμία, η οποία σε σπάνιες περιπτώσεις είναι πιθανό να είναι απειλητική για τη ζωή. Είναι σημαντικό να ενημερώσετε τον γιατρό σας εάν παρουσιάσετε συμπτώματα όπως πυρετό, πληγές, αίσθημα κόπωσης ή οδοντικά προβλήματα. Ο γιατρός σας είναι πιθανό να συστήσει προσωρινή διακοπή της θεραπείας με AMGEVITA.</w:t>
      </w:r>
    </w:p>
    <w:p w14:paraId="4182F13C" w14:textId="77777777" w:rsidR="00171824" w:rsidRDefault="00171824">
      <w:pPr>
        <w:pStyle w:val="ListParagraph"/>
        <w:rPr>
          <w:lang w:val="el-GR"/>
        </w:rPr>
      </w:pPr>
    </w:p>
    <w:p w14:paraId="576D502E" w14:textId="77777777" w:rsidR="00171824" w:rsidRDefault="006D258C">
      <w:pPr>
        <w:pStyle w:val="BodyText"/>
        <w:widowControl/>
        <w:tabs>
          <w:tab w:val="left" w:pos="567"/>
        </w:tabs>
        <w:kinsoku w:val="0"/>
        <w:overflowPunct w:val="0"/>
        <w:ind w:left="0"/>
        <w:rPr>
          <w:lang w:val="el-GR"/>
        </w:rPr>
      </w:pPr>
      <w:r>
        <w:rPr>
          <w:lang w:val="el-GR"/>
        </w:rPr>
        <w:t>Φυματίωση</w:t>
      </w:r>
    </w:p>
    <w:p w14:paraId="17A9D632" w14:textId="77777777" w:rsidR="00171824" w:rsidRDefault="00171824">
      <w:pPr>
        <w:widowControl/>
        <w:kinsoku w:val="0"/>
        <w:overflowPunct w:val="0"/>
        <w:rPr>
          <w:sz w:val="22"/>
          <w:szCs w:val="22"/>
          <w:lang w:val="el-GR"/>
        </w:rPr>
      </w:pPr>
    </w:p>
    <w:p w14:paraId="698AFBB3"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 xml:space="preserve">Επειδή έχουν αναφερθεί περιπτώσεις φυματίωσης σε ασθενείς που έλαβαν το adalimumab, ο γιατρός σας θα σας εξετάσει για σημεία και συμπτώματα φυματίωσης πριν αρχίσετε να λαμβάνετε το AMGEVITA. Η εξέταση αυτή θα περιλαμβάνει πλήρη ιατρική εκτίμηση συμπεριλαμβανομένου του ιατρικού ιστορικού σας και κατάλληλο έλεγχο (για παράδειγμα, ακτινογραφία θώρακος και δοκιμασία φυματίνης). Τα αποτελέσματα αυτών των δοκιμασιών θα πρέπει να καταγράφονται στην </w:t>
      </w:r>
      <w:r>
        <w:rPr>
          <w:b/>
          <w:lang w:val="el-GR"/>
        </w:rPr>
        <w:t>Κάρτα Υπενθύμισης του</w:t>
      </w:r>
      <w:r>
        <w:rPr>
          <w:lang w:val="el-GR"/>
        </w:rPr>
        <w:t> </w:t>
      </w:r>
      <w:r>
        <w:rPr>
          <w:b/>
          <w:lang w:val="el-GR"/>
        </w:rPr>
        <w:t>Ασθενούς</w:t>
      </w:r>
      <w:r>
        <w:rPr>
          <w:lang w:val="el-GR"/>
        </w:rPr>
        <w:t xml:space="preserve">. Είναι πολύ σημαντικό να ενημερώσετε τον γιατρό σας εάν είχατε ποτέ φυματίωση ή εάν ήλθατε σε στενή επαφή με κάποιον που είχε φυματίωση. </w:t>
      </w:r>
    </w:p>
    <w:p w14:paraId="13E7036E" w14:textId="77777777" w:rsidR="00171824" w:rsidRDefault="006D258C">
      <w:pPr>
        <w:pStyle w:val="BodyText"/>
        <w:widowControl/>
        <w:tabs>
          <w:tab w:val="left" w:pos="567"/>
        </w:tabs>
        <w:kinsoku w:val="0"/>
        <w:overflowPunct w:val="0"/>
        <w:ind w:left="567" w:hanging="567"/>
        <w:rPr>
          <w:lang w:val="el-GR"/>
        </w:rPr>
      </w:pPr>
      <w:r>
        <w:rPr>
          <w:lang w:val="el-GR"/>
        </w:rPr>
        <w:lastRenderedPageBreak/>
        <w:t>-</w:t>
      </w:r>
      <w:r>
        <w:rPr>
          <w:lang w:val="el-GR"/>
        </w:rPr>
        <w:tab/>
        <w:t xml:space="preserve">Φυματίωση μπορεί να αναπτυχθεί κατά τη διάρκεια της θεραπείας ακόμη και εάν έχετε λάβει προληπτική θεραπεία για φυματίωση. </w:t>
      </w:r>
    </w:p>
    <w:p w14:paraId="207B610A"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Εάν συμπτώματα φυματίωσης (επίμονος βήχας, απώλεια βάρους, αφηρημάδα, ήπιος πυρετός) ή οποιαδήποτε άλλη λοίμωξη εμφανισθεί κατά τη διάρκεια της θεραπείας ή μετά από αυτή θα πρέπει να ενημερώσετε αμέσως τον γιατρό σας.</w:t>
      </w:r>
    </w:p>
    <w:p w14:paraId="38467A73" w14:textId="77777777" w:rsidR="00171824" w:rsidRDefault="00171824">
      <w:pPr>
        <w:pStyle w:val="BodyText"/>
        <w:widowControl/>
        <w:tabs>
          <w:tab w:val="left" w:pos="567"/>
        </w:tabs>
        <w:kinsoku w:val="0"/>
        <w:overflowPunct w:val="0"/>
        <w:ind w:left="0"/>
        <w:rPr>
          <w:lang w:val="el-GR"/>
        </w:rPr>
      </w:pPr>
    </w:p>
    <w:p w14:paraId="02D46200" w14:textId="77777777" w:rsidR="00171824" w:rsidRDefault="006D258C">
      <w:pPr>
        <w:pStyle w:val="BodyText"/>
        <w:kinsoku w:val="0"/>
        <w:overflowPunct w:val="0"/>
        <w:ind w:left="0"/>
        <w:rPr>
          <w:lang w:val="el-GR"/>
        </w:rPr>
      </w:pPr>
      <w:r>
        <w:rPr>
          <w:lang w:val="el-GR"/>
        </w:rPr>
        <w:t>Ταξιδιωτικές / υποτροπιάζουσες λοιμώξεις</w:t>
      </w:r>
    </w:p>
    <w:p w14:paraId="28C053C5" w14:textId="77777777" w:rsidR="00171824" w:rsidRDefault="00171824">
      <w:pPr>
        <w:pStyle w:val="BodyText"/>
        <w:widowControl/>
        <w:tabs>
          <w:tab w:val="left" w:pos="567"/>
        </w:tabs>
        <w:kinsoku w:val="0"/>
        <w:overflowPunct w:val="0"/>
        <w:ind w:left="0"/>
        <w:rPr>
          <w:lang w:val="el-GR"/>
        </w:rPr>
      </w:pPr>
    </w:p>
    <w:p w14:paraId="755A8821"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Συμβουλευτείτε τον γιατρό σας εάν κατοικείτε ή ταξιδεύετε σε περιοχές όπου μυκητιασικές λοιμώξεις, όπως ιστοπλάσμωση, κοκκιδιοειδομυκητίαση ή βλαστομυκητίαση είναι ενδημικές.</w:t>
      </w:r>
    </w:p>
    <w:p w14:paraId="2D25497C"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Ενημερώστε τον γιατρό σας εάν έχετε ιστορικό υποτροπιαζουσών λοιμώξεων ή άλλες καταστάσεις που μπορεί να αυξήσουν τον κίνδυνο για λοιμώξεις.</w:t>
      </w:r>
    </w:p>
    <w:p w14:paraId="0A80D851" w14:textId="77777777" w:rsidR="00171824" w:rsidRDefault="00171824">
      <w:pPr>
        <w:widowControl/>
        <w:kinsoku w:val="0"/>
        <w:overflowPunct w:val="0"/>
        <w:rPr>
          <w:sz w:val="22"/>
          <w:szCs w:val="22"/>
          <w:lang w:val="el-GR"/>
        </w:rPr>
      </w:pPr>
    </w:p>
    <w:p w14:paraId="0BF74CBB" w14:textId="77777777" w:rsidR="00171824" w:rsidRDefault="006D258C">
      <w:pPr>
        <w:widowControl/>
        <w:kinsoku w:val="0"/>
        <w:overflowPunct w:val="0"/>
        <w:rPr>
          <w:sz w:val="22"/>
          <w:szCs w:val="22"/>
          <w:lang w:val="el-GR"/>
        </w:rPr>
      </w:pPr>
      <w:r>
        <w:rPr>
          <w:sz w:val="22"/>
          <w:szCs w:val="22"/>
          <w:lang w:val="el-GR"/>
        </w:rPr>
        <w:t>Ιός της ηπατίτιδας Β</w:t>
      </w:r>
    </w:p>
    <w:p w14:paraId="29476958" w14:textId="77777777" w:rsidR="00171824" w:rsidRDefault="00171824">
      <w:pPr>
        <w:widowControl/>
        <w:kinsoku w:val="0"/>
        <w:overflowPunct w:val="0"/>
        <w:rPr>
          <w:sz w:val="22"/>
          <w:szCs w:val="22"/>
          <w:lang w:val="el-GR"/>
        </w:rPr>
      </w:pPr>
    </w:p>
    <w:p w14:paraId="33A10C6B"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Ενημερώστε τον γιατρό σας εάν είστε φορέας του ιού της ηπατίτιδας Β, εάν έχετε ενεργό ηπατίτιδα Β, ή υποψιάζεστε ότι βρίσκεστε σε κίνδυνο να μολυνθείτε με τον ιό της ηπατίτιδας. Ο γιατρός σας θα πρέπει να σας εξετάσει για ιό της ηπατίτιδας Β. Το AMGEVITA είναι πιθανό να προκαλέσει επανενεργοποίηση της ηπατίτιδας Β σε ασθενείς οι οποίοι μεταφέρουν τον ιό. Σε κάποιες σπάνιες περιπτώσεις, ειδικά εάν λαμβάνετε και άλλα φάρμακα τα οποία καταστέλλουν το ανοσολογικό σύστημα, η επανενεργοποίηση του ιού της ηπατίτιδας Β, είναι πιθανό να αποδειχθεί απειλητική για τη ζωή.</w:t>
      </w:r>
    </w:p>
    <w:p w14:paraId="4466283B" w14:textId="77777777" w:rsidR="00171824" w:rsidRDefault="00171824">
      <w:pPr>
        <w:widowControl/>
        <w:kinsoku w:val="0"/>
        <w:overflowPunct w:val="0"/>
        <w:rPr>
          <w:sz w:val="22"/>
          <w:szCs w:val="22"/>
          <w:lang w:val="el-GR"/>
        </w:rPr>
      </w:pPr>
    </w:p>
    <w:p w14:paraId="1E224497" w14:textId="77777777" w:rsidR="00171824" w:rsidRDefault="006D258C">
      <w:pPr>
        <w:widowControl/>
        <w:kinsoku w:val="0"/>
        <w:overflowPunct w:val="0"/>
        <w:rPr>
          <w:sz w:val="22"/>
          <w:szCs w:val="22"/>
          <w:lang w:val="el-GR"/>
        </w:rPr>
      </w:pPr>
      <w:r>
        <w:rPr>
          <w:sz w:val="22"/>
          <w:szCs w:val="22"/>
          <w:lang w:val="el-GR"/>
        </w:rPr>
        <w:t>Ηλικία άνω των 65 ετών</w:t>
      </w:r>
    </w:p>
    <w:p w14:paraId="23AE1093" w14:textId="77777777" w:rsidR="00171824" w:rsidRDefault="00171824">
      <w:pPr>
        <w:widowControl/>
        <w:kinsoku w:val="0"/>
        <w:overflowPunct w:val="0"/>
        <w:rPr>
          <w:sz w:val="22"/>
          <w:szCs w:val="22"/>
          <w:lang w:val="el-GR"/>
        </w:rPr>
      </w:pPr>
    </w:p>
    <w:p w14:paraId="67BEA853"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Εάν είστε άνω των 65 ετών μπορεί να είστε πιο ευάλωτοι σε λοιμώξεις ενώ λαμβάνετε AMGEVITA. Εσείς και ο γιατρός σας πρέπει να δείξετε ιδιαίτερη προσοχή σε σημεία λοίμωξης ενώ λαμβάνετε θεραπεία με AMGEVITA. Είναι σημαντικό να πείτε στον γιατρό σας εάν έχετε συμπτώματα λοίμωξης, όπως είναι ο πυρετός, τραύματα, αίσθημα κόπωσης ή προβλήματα στα δόντια.</w:t>
      </w:r>
    </w:p>
    <w:p w14:paraId="184C5896" w14:textId="77777777" w:rsidR="00171824" w:rsidRDefault="00171824">
      <w:pPr>
        <w:widowControl/>
        <w:kinsoku w:val="0"/>
        <w:overflowPunct w:val="0"/>
        <w:rPr>
          <w:sz w:val="22"/>
          <w:szCs w:val="22"/>
          <w:lang w:val="el-GR"/>
        </w:rPr>
      </w:pPr>
    </w:p>
    <w:p w14:paraId="43EF4391" w14:textId="77777777" w:rsidR="00171824" w:rsidRDefault="006D258C">
      <w:pPr>
        <w:widowControl/>
        <w:kinsoku w:val="0"/>
        <w:overflowPunct w:val="0"/>
        <w:rPr>
          <w:sz w:val="22"/>
          <w:szCs w:val="22"/>
          <w:lang w:val="el-GR"/>
        </w:rPr>
      </w:pPr>
      <w:r>
        <w:rPr>
          <w:sz w:val="22"/>
          <w:szCs w:val="22"/>
          <w:lang w:val="el-GR"/>
        </w:rPr>
        <w:t>Χειρουργικές ή οδοντιατρικές επεμβάσεις</w:t>
      </w:r>
    </w:p>
    <w:p w14:paraId="4CFFD9AE" w14:textId="77777777" w:rsidR="00171824" w:rsidRDefault="00171824">
      <w:pPr>
        <w:widowControl/>
        <w:kinsoku w:val="0"/>
        <w:overflowPunct w:val="0"/>
        <w:rPr>
          <w:sz w:val="22"/>
          <w:szCs w:val="22"/>
          <w:lang w:val="el-GR"/>
        </w:rPr>
      </w:pPr>
    </w:p>
    <w:p w14:paraId="0E4ED768"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Εάν πρόκειται να υποβληθείτε σε εγχείρηση ή σε επέμβαση στα δόντια ενημερώστε τον γιατρό σας ότι λαμβάνετε AMGEVITA. Ο γιατρός σας είναι πιθανό να συστήσει προσωρινή διακοπή της θεραπείας με AMGEVITA.</w:t>
      </w:r>
    </w:p>
    <w:p w14:paraId="01AA798A" w14:textId="77777777" w:rsidR="00171824" w:rsidRDefault="00171824">
      <w:pPr>
        <w:widowControl/>
        <w:kinsoku w:val="0"/>
        <w:overflowPunct w:val="0"/>
        <w:rPr>
          <w:sz w:val="22"/>
          <w:szCs w:val="22"/>
          <w:lang w:val="el-GR"/>
        </w:rPr>
      </w:pPr>
    </w:p>
    <w:p w14:paraId="040564ED" w14:textId="77777777" w:rsidR="00171824" w:rsidRDefault="006D258C">
      <w:pPr>
        <w:widowControl/>
        <w:kinsoku w:val="0"/>
        <w:overflowPunct w:val="0"/>
        <w:rPr>
          <w:sz w:val="22"/>
          <w:szCs w:val="22"/>
          <w:lang w:val="el-GR"/>
        </w:rPr>
      </w:pPr>
      <w:r>
        <w:rPr>
          <w:sz w:val="22"/>
          <w:szCs w:val="22"/>
          <w:lang w:val="el-GR"/>
        </w:rPr>
        <w:t>Απομυελινωτική νόσος</w:t>
      </w:r>
    </w:p>
    <w:p w14:paraId="5DFD77A5" w14:textId="77777777" w:rsidR="00171824" w:rsidRDefault="00171824">
      <w:pPr>
        <w:widowControl/>
        <w:kinsoku w:val="0"/>
        <w:overflowPunct w:val="0"/>
        <w:rPr>
          <w:sz w:val="22"/>
          <w:szCs w:val="22"/>
          <w:lang w:val="el-GR"/>
        </w:rPr>
      </w:pPr>
    </w:p>
    <w:p w14:paraId="5FE3D178"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Εάν υποφέρετε ή εμφανίσετε μια απομυελινωτική νόσο, όπως η σκλήρυνση κατά πλάκας, ο γιατρός σας θα αποφασίσει εάν πρέπει να λάβετε ή να συνεχίσετε να λαμβάνετε το AMGEVITA. Ενημερώστε αμέσως τον γιατρό σας εάν βιώσετε συμπτώματα, όπως αλλαγές στην όραση, αδυναμία στα χέρια ή τα πόδια, ή μούδιασμα ή μυρμήγκιασμα σε οποιοδήποτε μέρος του σώματός σας.</w:t>
      </w:r>
    </w:p>
    <w:p w14:paraId="41E7BFA9" w14:textId="77777777" w:rsidR="00171824" w:rsidRDefault="00171824">
      <w:pPr>
        <w:widowControl/>
        <w:kinsoku w:val="0"/>
        <w:overflowPunct w:val="0"/>
        <w:rPr>
          <w:sz w:val="22"/>
          <w:szCs w:val="22"/>
          <w:lang w:val="el-GR"/>
        </w:rPr>
      </w:pPr>
    </w:p>
    <w:p w14:paraId="72B092C7" w14:textId="77777777" w:rsidR="00171824" w:rsidRDefault="006D258C">
      <w:pPr>
        <w:widowControl/>
        <w:kinsoku w:val="0"/>
        <w:overflowPunct w:val="0"/>
        <w:rPr>
          <w:sz w:val="22"/>
          <w:szCs w:val="22"/>
          <w:lang w:val="el-GR"/>
        </w:rPr>
      </w:pPr>
      <w:r>
        <w:rPr>
          <w:sz w:val="22"/>
          <w:szCs w:val="22"/>
          <w:lang w:val="el-GR"/>
        </w:rPr>
        <w:t>Εμβολιασμοί</w:t>
      </w:r>
    </w:p>
    <w:p w14:paraId="7AFBDB12" w14:textId="77777777" w:rsidR="00171824" w:rsidRDefault="00171824">
      <w:pPr>
        <w:widowControl/>
        <w:kinsoku w:val="0"/>
        <w:overflowPunct w:val="0"/>
        <w:rPr>
          <w:sz w:val="22"/>
          <w:szCs w:val="22"/>
          <w:lang w:val="el-GR"/>
        </w:rPr>
      </w:pPr>
    </w:p>
    <w:p w14:paraId="2B102844"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 xml:space="preserve">Ορισμένα εμβόλια περιέχουν ζωντανές αλλά εξασθενημένες μορφές παθογόνων βακτηρίων ή ιών που ενδέχεται να προκαλέσουν λοιμώξεις και δε θα πρέπει να γίνονται ενώ λαμβάνετε το AMGEVITA. Ρωτήστε τον γιατρό σας πριν λάβετε οποιοδήποτε εμβόλιο. Συνιστάται, εφ’ όσον είναι εφικτό, τα παιδιά να έχουν πραγματοποιήσει τους απαραίτητους εμβολιασμούς σύμφωνα με τις ισχύουσες κατευθυντήριες οδηγίες για την ανοσοποίηση πριν από την έναρξη της θεραπείας με AMGEVITA. </w:t>
      </w:r>
    </w:p>
    <w:p w14:paraId="25E593BE"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 xml:space="preserve">Εάν λάβατε AMGEVITA ενώ ήσασταν έγκυος, το μωρό σας μπορεί να διατρέχει μεγαλύτερο κίνδυνο εμφάνισης τέτοιας λοίμωξης για διάστημα έως πέντε περίπου μήνες μετά την τελευταία δόση που λάβατε κατά τη διάρκεια της εγκυμοσύνης. Είναι σημαντικό να ενημερώσετε τους γιατρούς του μωρού σας και άλλους επαγγελματίες υγείας σχετικά με τη χρήση AMGEVITA </w:t>
      </w:r>
      <w:r>
        <w:rPr>
          <w:lang w:val="el-GR"/>
        </w:rPr>
        <w:lastRenderedPageBreak/>
        <w:t>κατά τη διάρκεια της εγκυμοσύνης σας, ώστε να μπορούν να αποφασίζουν πότε το μωρό σας θα πρέπει να λάβει κάποιο εμβόλιο.</w:t>
      </w:r>
    </w:p>
    <w:p w14:paraId="7361AE19" w14:textId="77777777" w:rsidR="00171824" w:rsidRDefault="00171824">
      <w:pPr>
        <w:widowControl/>
        <w:kinsoku w:val="0"/>
        <w:overflowPunct w:val="0"/>
        <w:rPr>
          <w:sz w:val="22"/>
          <w:szCs w:val="22"/>
          <w:lang w:val="el-GR"/>
        </w:rPr>
      </w:pPr>
    </w:p>
    <w:p w14:paraId="0560D944" w14:textId="77777777" w:rsidR="00171824" w:rsidRDefault="006D258C">
      <w:pPr>
        <w:widowControl/>
        <w:kinsoku w:val="0"/>
        <w:overflowPunct w:val="0"/>
        <w:rPr>
          <w:sz w:val="22"/>
          <w:szCs w:val="22"/>
          <w:lang w:val="el-GR"/>
        </w:rPr>
      </w:pPr>
      <w:r>
        <w:rPr>
          <w:sz w:val="22"/>
          <w:szCs w:val="22"/>
          <w:lang w:val="el-GR"/>
        </w:rPr>
        <w:t>Καρδιακή ανεπάρκεια</w:t>
      </w:r>
    </w:p>
    <w:p w14:paraId="6F7BB3A2" w14:textId="77777777" w:rsidR="00171824" w:rsidRDefault="00171824">
      <w:pPr>
        <w:widowControl/>
        <w:kinsoku w:val="0"/>
        <w:overflowPunct w:val="0"/>
        <w:rPr>
          <w:sz w:val="22"/>
          <w:szCs w:val="22"/>
          <w:lang w:val="el-GR"/>
        </w:rPr>
      </w:pPr>
    </w:p>
    <w:p w14:paraId="77A734F3"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Εάν υποφέρετε από ήπια καρδιακή ανεπάρκεια και λαμβάνετε θεραπεία με AMGEVITA, η καρδιακή ανεπάρκεια θα πρέπει να παρακολουθείται στενά από τον γιατρό σας. Είναι σημαντικό να πείτε στον γιατρό σας εάν είχατε στο παρελθόν ή υποφέρετε από σοβαρό καρδιακό πρόβλημα. Εάν παρουσιάσετε νέα συμπτώματα ή επιδείνωση των συμπτωμάτων της καρδιακής ανεπάρκειας (π.χ. δύσπνοια ή πρήξιμο ποδιών) θα πρέπει να επικοινωνήσετε αμέσως με τον γιατρό σας. Ο γιατρός σας θα αποφασίσει εάν πρέπει να λάβετε το AMGEVITA.</w:t>
      </w:r>
    </w:p>
    <w:p w14:paraId="64A74C14" w14:textId="77777777" w:rsidR="00171824" w:rsidRDefault="00171824">
      <w:pPr>
        <w:tabs>
          <w:tab w:val="left" w:pos="567"/>
        </w:tabs>
        <w:ind w:left="567"/>
        <w:rPr>
          <w:sz w:val="22"/>
          <w:szCs w:val="22"/>
          <w:lang w:val="el-GR" w:eastAsia="en-GB"/>
        </w:rPr>
      </w:pPr>
    </w:p>
    <w:p w14:paraId="011E9A93" w14:textId="77777777" w:rsidR="00171824" w:rsidRDefault="006D258C">
      <w:pPr>
        <w:tabs>
          <w:tab w:val="left" w:pos="0"/>
        </w:tabs>
        <w:rPr>
          <w:sz w:val="22"/>
          <w:szCs w:val="22"/>
          <w:lang w:val="el-GR" w:eastAsia="en-GB"/>
        </w:rPr>
      </w:pPr>
      <w:r>
        <w:rPr>
          <w:sz w:val="22"/>
          <w:szCs w:val="22"/>
          <w:lang w:val="el-GR" w:eastAsia="en-GB"/>
        </w:rPr>
        <w:t>Πυρετός, μώλωπες, αιμορραγία ή ωχρότητα</w:t>
      </w:r>
    </w:p>
    <w:p w14:paraId="0E1C9DD2" w14:textId="77777777" w:rsidR="00171824" w:rsidRDefault="00171824">
      <w:pPr>
        <w:widowControl/>
        <w:kinsoku w:val="0"/>
        <w:overflowPunct w:val="0"/>
        <w:rPr>
          <w:sz w:val="22"/>
          <w:szCs w:val="22"/>
          <w:lang w:val="el-GR"/>
        </w:rPr>
      </w:pPr>
    </w:p>
    <w:p w14:paraId="7ADF3F67"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Σε μερικούς ασθενείς ο οργανισμός είναι πιθανό να αποτύχει να παραγάγει αρκετή ποσότητα κυττάρων του αίματος τα οποία βοηθούν τον οργανισμό σας να αντιμετωπίσει τις λοιμώξεις ή σας βοηθά στη διακοπή της αιμορραγίας. Εάν εμφανίσετε πυρετό ο οποίος δεν υποχωρεί, ή μώλωπα ή αιμορραγείτε πολύ εύκολα ή φαίνεστε πολύ χλωμοί, επικοινωνήστε με τον γιατρό σας αμέσως. Ο γιατρός σας είναι πιθανό να αποφασίσει να διακόψει τη θεραπεία.</w:t>
      </w:r>
    </w:p>
    <w:p w14:paraId="61904E03" w14:textId="77777777" w:rsidR="00171824" w:rsidRDefault="00171824">
      <w:pPr>
        <w:widowControl/>
        <w:kinsoku w:val="0"/>
        <w:overflowPunct w:val="0"/>
        <w:rPr>
          <w:sz w:val="22"/>
          <w:szCs w:val="22"/>
          <w:lang w:val="el-GR"/>
        </w:rPr>
      </w:pPr>
    </w:p>
    <w:p w14:paraId="780DA76C" w14:textId="77777777" w:rsidR="00171824" w:rsidRDefault="006D258C">
      <w:pPr>
        <w:widowControl/>
        <w:kinsoku w:val="0"/>
        <w:overflowPunct w:val="0"/>
        <w:rPr>
          <w:sz w:val="22"/>
          <w:szCs w:val="22"/>
          <w:lang w:val="el-GR"/>
        </w:rPr>
      </w:pPr>
      <w:r>
        <w:rPr>
          <w:sz w:val="22"/>
          <w:szCs w:val="22"/>
          <w:lang w:val="el-GR"/>
        </w:rPr>
        <w:t>Καρκίνος</w:t>
      </w:r>
    </w:p>
    <w:p w14:paraId="3EDCCE60" w14:textId="77777777" w:rsidR="00171824" w:rsidRDefault="00171824">
      <w:pPr>
        <w:widowControl/>
        <w:kinsoku w:val="0"/>
        <w:overflowPunct w:val="0"/>
        <w:rPr>
          <w:sz w:val="22"/>
          <w:szCs w:val="22"/>
          <w:lang w:val="el-GR"/>
        </w:rPr>
      </w:pPr>
    </w:p>
    <w:p w14:paraId="37E60155"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 xml:space="preserve">Υπάρχουν πολύ σπάνιες περιπτώσεις εμφάνισης συγκεκριμένων ειδών καρκίνου σε παιδιά και ενήλικες ασθενείς που λαμβάνουν adalimumab ή άλλο TNF-ανταγωνιστή. Ασθενείς με πιο σοβαρή ρευματοειδή αρθρίτιδα οι οποίοι πάσχουν από μακροχρόνια νόσο είναι πιθανό να έχουν μεγαλύτερο του μέσου όρου κίνδυνο εμφάνισης λεμφώματος (ένας καρκίνος που επηρεάζει το λεμφικό σύστημα), και λευχαιμία (ένας καρκίνος που επηρεάζει το αίμα και το μυελό των οστών). </w:t>
      </w:r>
    </w:p>
    <w:p w14:paraId="0DCDE629"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Αν πάρετε το AMGEVITA, μπορεί να αυξηθεί ο κίνδυνος εμφάνισης λεμφώματος, λευχαιμίας ή άλλων μορφών καρκίνου. Σε σπάνιες περιπτώσεις, ένας ειδικός και σοβαρός τύπος λεμφώματος έχει παρατηρηθεί σε ασθενείς που λαμβάνουν adalimumab. Σε κάποιους από αυτούς τους ασθενείς χορηγήθηκε επίσης azathiοprine ή 6</w:t>
      </w:r>
      <w:r>
        <w:rPr>
          <w:lang w:val="el-GR" w:eastAsia="en-GB"/>
        </w:rPr>
        <w:noBreakHyphen/>
      </w:r>
      <w:r>
        <w:rPr>
          <w:lang w:val="el-GR"/>
        </w:rPr>
        <w:t>mercaptopurine. Ενημερώστε τον γιατρό σας εάν λαμβάνετε azathiοprine ή 6</w:t>
      </w:r>
      <w:r>
        <w:rPr>
          <w:lang w:val="el-GR" w:eastAsia="en-GB"/>
        </w:rPr>
        <w:noBreakHyphen/>
      </w:r>
      <w:r>
        <w:rPr>
          <w:lang w:val="el-GR"/>
        </w:rPr>
        <w:t xml:space="preserve">mercaptopurine με AMGEVITA. </w:t>
      </w:r>
    </w:p>
    <w:p w14:paraId="2F0362ED"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Επιπλέον, περιπτώσεις μη μελανωματικού καρκίνου του δέρματος έχουν παρατηρηθεί σε ασθενείς οι οποίοι λαμβάνουν adalimumab. Εάν νέες δερματικές βλάβες εμφανιστούν κατά τη διάρκεια ή μετά τη θεραπεία ή εάν υπάρχουσες δερματικές βλάβες αλλάξουν μορφή, ενημερώστε τον γιατρό σας.</w:t>
      </w:r>
    </w:p>
    <w:p w14:paraId="2FF6E222"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Υπήρξαν περιπτώσεις καρκίνων, εκτός του λεμφώματος, σε ασθενείς με συγκεκριμένου τύπου πνευμονοπάθεια η οποία καλείται Χρόνια Αποφρακτική Πνευμονοπάθεια (ΧΑΠ) στους οποίους έχει χορηγηθεί άλλος ΤΝF-ανταγωνιστής. Εάν πάσχετε από ΧΑΠ ή καπνίζετε πολύ, θα πρέπει να συζητήσετε με τον γιατρό σας εάν η θεραπεία με έναν TNF-ανταγωνιστή είναι κατάλληλη για εσάς.</w:t>
      </w:r>
    </w:p>
    <w:p w14:paraId="2D4E097F" w14:textId="77777777" w:rsidR="00171824" w:rsidRDefault="00171824">
      <w:pPr>
        <w:pStyle w:val="ListParagraph"/>
        <w:rPr>
          <w:sz w:val="22"/>
          <w:lang w:val="el-GR"/>
        </w:rPr>
      </w:pPr>
    </w:p>
    <w:p w14:paraId="25CF0A21" w14:textId="77777777" w:rsidR="00171824" w:rsidRDefault="006D258C">
      <w:pPr>
        <w:pStyle w:val="ListParagraph"/>
        <w:rPr>
          <w:sz w:val="22"/>
          <w:lang w:val="el-GR"/>
        </w:rPr>
      </w:pPr>
      <w:r>
        <w:rPr>
          <w:sz w:val="22"/>
          <w:lang w:val="el-GR"/>
        </w:rPr>
        <w:t>Αυτοάνοσ</w:t>
      </w:r>
      <w:del w:id="124" w:author="Author">
        <w:r>
          <w:rPr>
            <w:sz w:val="22"/>
            <w:lang w:val="el-GR"/>
          </w:rPr>
          <w:delText>α νοσήματα</w:delText>
        </w:r>
      </w:del>
      <w:ins w:id="125" w:author="Author">
        <w:r>
          <w:rPr>
            <w:sz w:val="22"/>
            <w:lang w:val="el-GR"/>
          </w:rPr>
          <w:t>ο νόσημα</w:t>
        </w:r>
      </w:ins>
    </w:p>
    <w:p w14:paraId="12C46849" w14:textId="77777777" w:rsidR="00171824" w:rsidRDefault="00171824">
      <w:pPr>
        <w:pStyle w:val="ListParagraph"/>
        <w:rPr>
          <w:sz w:val="22"/>
          <w:lang w:val="el-GR"/>
        </w:rPr>
      </w:pPr>
    </w:p>
    <w:p w14:paraId="13E17943"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Σε σπάνιες περιπτώσεις, η θεραπεία με AMGEVITA μπορεί να οδηγήσει σε σύνδρομο τύπου λύκου. Επικοινωνήστε με το γιατρό σας εάν εμφανιστούν συμπτώματα όπως διαρκές ανεξήγητο εξάνθημα, πυρετός, πόνος στις αρθρώσεις ή κόπωση.</w:t>
      </w:r>
    </w:p>
    <w:p w14:paraId="4BF5B06B" w14:textId="77777777" w:rsidR="00171824" w:rsidRDefault="00171824">
      <w:pPr>
        <w:widowControl/>
        <w:kinsoku w:val="0"/>
        <w:overflowPunct w:val="0"/>
        <w:rPr>
          <w:sz w:val="22"/>
          <w:szCs w:val="22"/>
          <w:lang w:val="el-GR"/>
        </w:rPr>
      </w:pPr>
    </w:p>
    <w:p w14:paraId="2B7DD1BD" w14:textId="77777777" w:rsidR="00171824" w:rsidRDefault="006D258C">
      <w:pPr>
        <w:widowControl/>
        <w:rPr>
          <w:b/>
          <w:sz w:val="22"/>
          <w:szCs w:val="22"/>
          <w:lang w:val="el-GR"/>
        </w:rPr>
      </w:pPr>
      <w:r>
        <w:rPr>
          <w:sz w:val="22"/>
          <w:szCs w:val="22"/>
          <w:lang w:val="el-GR"/>
        </w:rPr>
        <w:t>Προκειμένου να βελτιωθεί η ιχνηλασιμότητα αυτού του φαρμάκου, ο γιατρός ή ο φαρμακοποιός σας θα πρέπει να καταγράφει την ονομασία και τον αριθμό παρτίδας του προϊόντος που σας έχει δοθεί στον φάκελο ασθενούς. Θα ήταν ίσως καλό να σημειώσετε κάπου αυτά τα στοιχεία, σε περίπτωση κατά την οποία σας ζητηθούν οι συγκεκριμένες πληροφορίες στο μέλλον.</w:t>
      </w:r>
    </w:p>
    <w:p w14:paraId="14E40379" w14:textId="77777777" w:rsidR="00171824" w:rsidRDefault="00171824">
      <w:pPr>
        <w:widowControl/>
        <w:kinsoku w:val="0"/>
        <w:overflowPunct w:val="0"/>
        <w:rPr>
          <w:sz w:val="22"/>
          <w:szCs w:val="22"/>
          <w:lang w:val="el-GR"/>
        </w:rPr>
      </w:pPr>
    </w:p>
    <w:p w14:paraId="0A65FB32" w14:textId="77777777" w:rsidR="00171824" w:rsidRDefault="006D258C">
      <w:pPr>
        <w:pStyle w:val="Heading1"/>
        <w:keepNext/>
        <w:keepLines/>
        <w:widowControl/>
        <w:kinsoku w:val="0"/>
        <w:overflowPunct w:val="0"/>
        <w:ind w:left="0"/>
        <w:rPr>
          <w:b w:val="0"/>
          <w:bCs w:val="0"/>
          <w:lang w:val="el-GR"/>
        </w:rPr>
      </w:pPr>
      <w:r>
        <w:rPr>
          <w:lang w:val="el-GR"/>
        </w:rPr>
        <w:lastRenderedPageBreak/>
        <w:t>Παιδιά και έφηβοι</w:t>
      </w:r>
    </w:p>
    <w:p w14:paraId="05627686" w14:textId="77777777" w:rsidR="00171824" w:rsidRDefault="00171824">
      <w:pPr>
        <w:keepNext/>
        <w:keepLines/>
        <w:widowControl/>
        <w:kinsoku w:val="0"/>
        <w:overflowPunct w:val="0"/>
        <w:rPr>
          <w:sz w:val="22"/>
          <w:szCs w:val="22"/>
          <w:lang w:val="el-GR"/>
        </w:rPr>
      </w:pPr>
    </w:p>
    <w:p w14:paraId="2D699F7D"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Εμβολιασμοί: εάν είναι δυνατόν το παιδί σας θα πρέπει να έχει πραγματοποιήσει τους απαραίτητους εμβολιασμούς πριν χρησιμοποιήσει το AMGEVITA.</w:t>
      </w:r>
    </w:p>
    <w:p w14:paraId="481849B7" w14:textId="77777777" w:rsidR="00171824" w:rsidRDefault="00171824">
      <w:pPr>
        <w:widowControl/>
        <w:kinsoku w:val="0"/>
        <w:overflowPunct w:val="0"/>
        <w:rPr>
          <w:sz w:val="22"/>
          <w:szCs w:val="22"/>
          <w:lang w:val="el-GR"/>
        </w:rPr>
      </w:pPr>
    </w:p>
    <w:p w14:paraId="66D0BA02" w14:textId="77777777" w:rsidR="00171824" w:rsidRDefault="006D258C">
      <w:pPr>
        <w:pStyle w:val="BodyText"/>
        <w:widowControl/>
        <w:tabs>
          <w:tab w:val="left" w:pos="567"/>
        </w:tabs>
        <w:kinsoku w:val="0"/>
        <w:overflowPunct w:val="0"/>
        <w:ind w:left="567" w:hanging="567"/>
        <w:rPr>
          <w:lang w:val="el-GR"/>
        </w:rPr>
      </w:pPr>
      <w:r>
        <w:rPr>
          <w:lang w:val="el-GR"/>
        </w:rPr>
        <w:t>-</w:t>
      </w:r>
      <w:r>
        <w:rPr>
          <w:lang w:val="el-GR"/>
        </w:rPr>
        <w:tab/>
        <w:t>Μην χορηγείτε AMGEVITA σε παιδιά με πολυαρθρική νεανική αρθρίτιδα ηλικίας κάτω των 2 ετών.</w:t>
      </w:r>
    </w:p>
    <w:p w14:paraId="707CD855" w14:textId="77777777" w:rsidR="00171824" w:rsidRDefault="00171824">
      <w:pPr>
        <w:pStyle w:val="ListParagraph"/>
        <w:rPr>
          <w:lang w:val="el-GR"/>
        </w:rPr>
      </w:pPr>
    </w:p>
    <w:p w14:paraId="00842D85" w14:textId="77777777" w:rsidR="00171824" w:rsidRDefault="006D258C">
      <w:pPr>
        <w:pStyle w:val="BodyText"/>
        <w:kinsoku w:val="0"/>
        <w:overflowPunct w:val="0"/>
        <w:ind w:left="567" w:hanging="567"/>
        <w:rPr>
          <w:lang w:val="el-GR"/>
        </w:rPr>
      </w:pPr>
      <w:r>
        <w:rPr>
          <w:lang w:val="el-GR"/>
        </w:rPr>
        <w:t>-</w:t>
      </w:r>
      <w:r>
        <w:rPr>
          <w:lang w:val="el-GR"/>
        </w:rPr>
        <w:tab/>
        <w:t>Μην χορηγείτε AMGEVITA σε παιδιά με ψωρίαση κατά πλάκας ηλικίας κάτω των 4 ετών.</w:t>
      </w:r>
    </w:p>
    <w:p w14:paraId="69D2E583" w14:textId="77777777" w:rsidR="00171824" w:rsidRDefault="00171824">
      <w:pPr>
        <w:pStyle w:val="BodyText"/>
        <w:tabs>
          <w:tab w:val="left" w:pos="567"/>
        </w:tabs>
        <w:kinsoku w:val="0"/>
        <w:overflowPunct w:val="0"/>
        <w:ind w:left="0"/>
        <w:rPr>
          <w:lang w:val="el-GR"/>
        </w:rPr>
      </w:pPr>
    </w:p>
    <w:p w14:paraId="5ABBB425" w14:textId="77777777" w:rsidR="00171824" w:rsidRDefault="006D258C">
      <w:pPr>
        <w:pStyle w:val="BodyText"/>
        <w:kinsoku w:val="0"/>
        <w:overflowPunct w:val="0"/>
        <w:ind w:left="567" w:hanging="567"/>
        <w:rPr>
          <w:lang w:val="el-GR"/>
        </w:rPr>
      </w:pPr>
      <w:r>
        <w:rPr>
          <w:lang w:val="el-GR"/>
        </w:rPr>
        <w:t>-</w:t>
      </w:r>
      <w:r>
        <w:rPr>
          <w:lang w:val="el-GR"/>
        </w:rPr>
        <w:tab/>
        <w:t xml:space="preserve">Μην χορηγείτε AMGEVITA σε παιδιά με νόσο του Crohn ή ελκώδη κολίτιδα ηλικίας κάτω των 6 ετών. </w:t>
      </w:r>
    </w:p>
    <w:p w14:paraId="6DFAE7C6" w14:textId="77777777" w:rsidR="00171824" w:rsidRDefault="00171824">
      <w:pPr>
        <w:widowControl/>
        <w:kinsoku w:val="0"/>
        <w:overflowPunct w:val="0"/>
        <w:rPr>
          <w:sz w:val="22"/>
          <w:szCs w:val="22"/>
          <w:lang w:val="el-GR"/>
        </w:rPr>
      </w:pPr>
    </w:p>
    <w:p w14:paraId="4D9A8C31" w14:textId="77777777" w:rsidR="00171824" w:rsidRDefault="006D258C">
      <w:pPr>
        <w:pStyle w:val="Heading1"/>
        <w:keepNext/>
        <w:widowControl/>
        <w:kinsoku w:val="0"/>
        <w:overflowPunct w:val="0"/>
        <w:ind w:left="0"/>
        <w:rPr>
          <w:b w:val="0"/>
          <w:bCs w:val="0"/>
          <w:lang w:val="el-GR"/>
        </w:rPr>
      </w:pPr>
      <w:r>
        <w:rPr>
          <w:lang w:val="el-GR"/>
        </w:rPr>
        <w:t xml:space="preserve">Άλλα φάρμακα και AMGEVITA </w:t>
      </w:r>
    </w:p>
    <w:p w14:paraId="3D0117FB" w14:textId="77777777" w:rsidR="00171824" w:rsidRDefault="00171824">
      <w:pPr>
        <w:keepNext/>
        <w:widowControl/>
        <w:kinsoku w:val="0"/>
        <w:overflowPunct w:val="0"/>
        <w:rPr>
          <w:sz w:val="22"/>
          <w:szCs w:val="22"/>
          <w:lang w:val="el-GR"/>
        </w:rPr>
      </w:pPr>
    </w:p>
    <w:p w14:paraId="6E01CC67" w14:textId="77777777" w:rsidR="00171824" w:rsidRDefault="006D258C">
      <w:pPr>
        <w:pStyle w:val="BodyText"/>
        <w:widowControl/>
        <w:kinsoku w:val="0"/>
        <w:overflowPunct w:val="0"/>
        <w:ind w:left="0"/>
        <w:rPr>
          <w:lang w:val="el-GR"/>
        </w:rPr>
      </w:pPr>
      <w:r>
        <w:rPr>
          <w:lang w:val="el-GR"/>
        </w:rPr>
        <w:t>Ενημερώστε τον γιατρό ή τον φαρμακοποιό σας εάν παίρνετε, έχετε πρόσφατα πάρει ή μπορεί να πάρετε άλλα φάρμακα.</w:t>
      </w:r>
    </w:p>
    <w:p w14:paraId="560B6B8D" w14:textId="77777777" w:rsidR="00171824" w:rsidRDefault="00171824">
      <w:pPr>
        <w:widowControl/>
        <w:kinsoku w:val="0"/>
        <w:overflowPunct w:val="0"/>
        <w:rPr>
          <w:sz w:val="22"/>
          <w:szCs w:val="22"/>
          <w:lang w:val="el-GR"/>
        </w:rPr>
      </w:pPr>
    </w:p>
    <w:p w14:paraId="0F29DBDD" w14:textId="77777777" w:rsidR="00171824" w:rsidRDefault="006D258C">
      <w:pPr>
        <w:pStyle w:val="BodyText"/>
        <w:widowControl/>
        <w:kinsoku w:val="0"/>
        <w:overflowPunct w:val="0"/>
        <w:ind w:left="0"/>
        <w:rPr>
          <w:lang w:val="el-GR"/>
        </w:rPr>
      </w:pPr>
      <w:r>
        <w:rPr>
          <w:lang w:val="el-GR"/>
        </w:rPr>
        <w:t>Μπορείτε να λαμβάνετε το AMGEVITA μαζί με μεθοτρεξάτη ή με συγκεκριμένα τροποποιητικά της νόσου αντιρευματικά φάρμακα (σουλφασαλαζίνη, υδροξυχλωροκίνη, λεφλουνομίδη και ενέσιμα σκευάσματα χρυσού), στεροειδή ή αναλγητικά φάρμακα συμπεριλαμβανομένων των μη στεροειδών αντιφλεγμονωδών φαρμάκων (ΜΣΑΦ).</w:t>
      </w:r>
    </w:p>
    <w:p w14:paraId="53E46661" w14:textId="77777777" w:rsidR="00171824" w:rsidRDefault="00171824">
      <w:pPr>
        <w:widowControl/>
        <w:kinsoku w:val="0"/>
        <w:overflowPunct w:val="0"/>
        <w:rPr>
          <w:sz w:val="22"/>
          <w:szCs w:val="22"/>
          <w:lang w:val="el-GR"/>
        </w:rPr>
      </w:pPr>
    </w:p>
    <w:p w14:paraId="7C3880CF" w14:textId="77777777" w:rsidR="00171824" w:rsidRDefault="006D258C">
      <w:pPr>
        <w:pStyle w:val="BodyText"/>
        <w:widowControl/>
        <w:kinsoku w:val="0"/>
        <w:overflowPunct w:val="0"/>
        <w:ind w:left="0"/>
        <w:rPr>
          <w:lang w:val="el-GR"/>
        </w:rPr>
      </w:pPr>
      <w:r>
        <w:rPr>
          <w:lang w:val="el-GR"/>
        </w:rPr>
        <w:t>Δε θα πρέπει να λαμβάνετε AMGEVITA με φάρμακα τα οποία περιέχουν τις δραστικές ουσίες anakinra ή abatacept εξαιτίας υψηλού κινδύνου εκδήλωσης σοβαρής λοίμωξης. Εάν έχετε ερωτήσεις, παρακαλείσθε να απευθυνθείτε στον γιατρό σας.</w:t>
      </w:r>
    </w:p>
    <w:p w14:paraId="1EB282C8" w14:textId="77777777" w:rsidR="00171824" w:rsidRDefault="00171824">
      <w:pPr>
        <w:widowControl/>
        <w:kinsoku w:val="0"/>
        <w:overflowPunct w:val="0"/>
        <w:rPr>
          <w:sz w:val="22"/>
          <w:szCs w:val="22"/>
          <w:lang w:val="el-GR"/>
        </w:rPr>
      </w:pPr>
    </w:p>
    <w:p w14:paraId="414FF69E" w14:textId="77777777" w:rsidR="00171824" w:rsidRDefault="006D258C">
      <w:pPr>
        <w:pStyle w:val="Heading1"/>
        <w:widowControl/>
        <w:kinsoku w:val="0"/>
        <w:overflowPunct w:val="0"/>
        <w:ind w:left="0"/>
        <w:rPr>
          <w:b w:val="0"/>
          <w:bCs w:val="0"/>
          <w:lang w:val="el-GR"/>
        </w:rPr>
      </w:pPr>
      <w:r>
        <w:rPr>
          <w:lang w:val="el-GR"/>
        </w:rPr>
        <w:t>Κύηση και θηλασμός</w:t>
      </w:r>
    </w:p>
    <w:p w14:paraId="33B4DB93" w14:textId="77777777" w:rsidR="00171824" w:rsidRDefault="00171824">
      <w:pPr>
        <w:widowControl/>
        <w:kinsoku w:val="0"/>
        <w:overflowPunct w:val="0"/>
        <w:rPr>
          <w:sz w:val="22"/>
          <w:szCs w:val="22"/>
          <w:lang w:val="el-GR"/>
        </w:rPr>
      </w:pPr>
    </w:p>
    <w:p w14:paraId="3C585784"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 xml:space="preserve">Θα πρέπει να εξετάζετε την χρήση κατάλληλης αντισύλληψης για την πρόληψη της εγκυμοσύνης και να συνεχίσετε την χρήση της για τουλάχιστον 5 μήνες μετά την τελευταία θεραπεία με AMGEVITA. </w:t>
      </w:r>
    </w:p>
    <w:p w14:paraId="242236E0"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Εάν είστε έγκυος, νομίζετε ότι μπορεί να είστε έγκυος ή σχεδιάζετε να αποκτήσετε παιδί, ζητήστε τη συμβουλή του γιατρού σας προτού χρησιμοποιήσετε αυτό το φάρμακο.</w:t>
      </w:r>
    </w:p>
    <w:p w14:paraId="4F9FF3A2" w14:textId="77777777" w:rsidR="00171824" w:rsidRDefault="006D258C">
      <w:pPr>
        <w:widowControl/>
        <w:numPr>
          <w:ilvl w:val="0"/>
          <w:numId w:val="25"/>
        </w:numPr>
        <w:autoSpaceDE/>
        <w:autoSpaceDN/>
        <w:adjustRightInd/>
        <w:ind w:left="567" w:hanging="567"/>
        <w:rPr>
          <w:sz w:val="22"/>
          <w:szCs w:val="22"/>
          <w:lang w:val="el-GR"/>
        </w:rPr>
      </w:pPr>
      <w:r>
        <w:rPr>
          <w:sz w:val="22"/>
          <w:szCs w:val="22"/>
          <w:lang w:val="el-GR"/>
        </w:rPr>
        <w:t>Το AMGEVITA πρέπει να χρησιμοποιείται κατά την διάρκεια της εγκυμοσύνης μόνο εφόσον χρειάζεται.</w:t>
      </w:r>
    </w:p>
    <w:p w14:paraId="465279E6" w14:textId="77777777" w:rsidR="00171824" w:rsidRDefault="006D258C">
      <w:pPr>
        <w:keepNext/>
        <w:keepLines/>
        <w:numPr>
          <w:ilvl w:val="0"/>
          <w:numId w:val="25"/>
        </w:numPr>
        <w:autoSpaceDE/>
        <w:autoSpaceDN/>
        <w:adjustRightInd/>
        <w:ind w:left="567" w:right="-2" w:hanging="567"/>
        <w:rPr>
          <w:sz w:val="22"/>
          <w:szCs w:val="22"/>
          <w:lang w:val="el-GR"/>
        </w:rPr>
      </w:pPr>
      <w:r>
        <w:rPr>
          <w:sz w:val="22"/>
          <w:szCs w:val="22"/>
          <w:lang w:val="el-GR"/>
        </w:rPr>
        <w:t>Σύμφωνα με μια μελέτη για την εγκυμοσύνη, δεν υπήρχε μεγαλύτερος κίνδυνος για συγγενείς δυσπλασίες όταν η μητέρα είχε λάβει AMGEVITA κατά την εγκυμοσύνη σε σύγκριση με τις μητέρες που έπασχαν από την ίδια νόσο και οι οποίες δεν έλαβαν AMGEVITA.</w:t>
      </w:r>
    </w:p>
    <w:p w14:paraId="651B438B"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Το AMGEVITA μπορεί να χρησιμοποιηθεί κατά την διάρκεια του θηλασμού.</w:t>
      </w:r>
    </w:p>
    <w:p w14:paraId="61FB2747"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 xml:space="preserve">Εάν λαμβάνετε AMGEVITA κατά την εγκυμοσύνη σας, το μωρό σας μπορεί να διατρέχει μεγαλύτερο κίνδυνο εμφάνισης λοίμωξης. </w:t>
      </w:r>
    </w:p>
    <w:p w14:paraId="7B1EAB53" w14:textId="77777777" w:rsidR="00171824" w:rsidRDefault="006D258C">
      <w:pPr>
        <w:numPr>
          <w:ilvl w:val="0"/>
          <w:numId w:val="25"/>
        </w:numPr>
        <w:autoSpaceDE/>
        <w:autoSpaceDN/>
        <w:adjustRightInd/>
        <w:ind w:left="567" w:right="-2" w:hanging="567"/>
        <w:rPr>
          <w:sz w:val="22"/>
          <w:szCs w:val="22"/>
          <w:lang w:val="el-GR"/>
        </w:rPr>
      </w:pPr>
      <w:r>
        <w:rPr>
          <w:sz w:val="22"/>
          <w:szCs w:val="22"/>
          <w:lang w:val="el-GR"/>
        </w:rPr>
        <w:t>Είναι σημαντικό να ενημερώσετε τους γιατρούς του μωρού σας και άλλους επαγγελματίες υγείας σχετικά με τη χρήση AMGEVITA κατά τη διάρκεια της εγκυμοσύνης σας, πριν το μωρό σας λάβει κάποιο εμβόλιο. Για περισσότερες πληροφορίες σχετικά με τον εμβολιασμό βλέπε παράγραφο «Προειδοποιήσεις και προφυλάξεις».</w:t>
      </w:r>
    </w:p>
    <w:p w14:paraId="629F9BDE" w14:textId="77777777" w:rsidR="00171824" w:rsidRDefault="00171824">
      <w:pPr>
        <w:widowControl/>
        <w:kinsoku w:val="0"/>
        <w:overflowPunct w:val="0"/>
        <w:rPr>
          <w:sz w:val="22"/>
          <w:szCs w:val="22"/>
          <w:lang w:val="el-GR"/>
        </w:rPr>
      </w:pPr>
    </w:p>
    <w:p w14:paraId="202B7249" w14:textId="77777777" w:rsidR="00171824" w:rsidRDefault="006D258C">
      <w:pPr>
        <w:pStyle w:val="Heading1"/>
        <w:keepNext/>
        <w:widowControl/>
        <w:kinsoku w:val="0"/>
        <w:overflowPunct w:val="0"/>
        <w:ind w:left="0"/>
        <w:rPr>
          <w:b w:val="0"/>
          <w:bCs w:val="0"/>
          <w:lang w:val="el-GR"/>
        </w:rPr>
      </w:pPr>
      <w:r>
        <w:rPr>
          <w:lang w:val="el-GR"/>
        </w:rPr>
        <w:t>Οδήγηση και χειρισμός μηχανημάτων</w:t>
      </w:r>
    </w:p>
    <w:p w14:paraId="3DCC1DCE" w14:textId="77777777" w:rsidR="00171824" w:rsidRDefault="00171824">
      <w:pPr>
        <w:keepNext/>
        <w:widowControl/>
        <w:kinsoku w:val="0"/>
        <w:overflowPunct w:val="0"/>
        <w:rPr>
          <w:sz w:val="22"/>
          <w:szCs w:val="22"/>
          <w:lang w:val="el-GR"/>
        </w:rPr>
      </w:pPr>
    </w:p>
    <w:p w14:paraId="5AA04605" w14:textId="77777777" w:rsidR="00171824" w:rsidRDefault="006D258C">
      <w:pPr>
        <w:pStyle w:val="BodyText"/>
        <w:widowControl/>
        <w:kinsoku w:val="0"/>
        <w:overflowPunct w:val="0"/>
        <w:ind w:left="0"/>
        <w:rPr>
          <w:lang w:val="el-GR"/>
        </w:rPr>
      </w:pPr>
      <w:r>
        <w:rPr>
          <w:lang w:val="el-GR"/>
        </w:rPr>
        <w:t>Το AMGEVITA μπορεί να έχει μικρή επίδραση στην ικανότητά σας για οδήγηση, ποδηλασία ή χειρισμού μηχανημάτων. Αίσθηση στροβιλισμού του δωματίου (ίλιγγος) και διαταραχές της όρασης μπορεί να προκύψουν μετά τη λήψη του AMGEVITA.</w:t>
      </w:r>
    </w:p>
    <w:p w14:paraId="51AB1405" w14:textId="77777777" w:rsidR="00171824" w:rsidRDefault="00171824">
      <w:pPr>
        <w:pStyle w:val="BodyText"/>
        <w:widowControl/>
        <w:kinsoku w:val="0"/>
        <w:overflowPunct w:val="0"/>
        <w:ind w:left="0"/>
        <w:rPr>
          <w:lang w:val="el-GR"/>
        </w:rPr>
      </w:pPr>
    </w:p>
    <w:p w14:paraId="2B2BD45E" w14:textId="77777777" w:rsidR="00171824" w:rsidRDefault="006D258C">
      <w:pPr>
        <w:keepNext/>
        <w:keepLines/>
        <w:widowControl/>
        <w:numPr>
          <w:ilvl w:val="12"/>
          <w:numId w:val="0"/>
        </w:numPr>
        <w:outlineLvl w:val="0"/>
        <w:rPr>
          <w:b/>
          <w:sz w:val="22"/>
          <w:szCs w:val="22"/>
          <w:lang w:val="el-GR"/>
        </w:rPr>
      </w:pPr>
      <w:r>
        <w:rPr>
          <w:b/>
          <w:sz w:val="22"/>
          <w:szCs w:val="22"/>
          <w:lang w:val="el-GR"/>
        </w:rPr>
        <w:t>Το AMGEVITA περιέχει νάτριο</w:t>
      </w:r>
    </w:p>
    <w:p w14:paraId="4B7ED7BD" w14:textId="77777777" w:rsidR="00171824" w:rsidRDefault="00171824">
      <w:pPr>
        <w:keepNext/>
        <w:keepLines/>
        <w:widowControl/>
        <w:numPr>
          <w:ilvl w:val="12"/>
          <w:numId w:val="0"/>
        </w:numPr>
        <w:rPr>
          <w:sz w:val="22"/>
          <w:szCs w:val="22"/>
          <w:lang w:val="el-GR"/>
        </w:rPr>
      </w:pPr>
    </w:p>
    <w:p w14:paraId="5C275356" w14:textId="77777777" w:rsidR="00171824" w:rsidRDefault="006D258C">
      <w:pPr>
        <w:widowControl/>
        <w:numPr>
          <w:ilvl w:val="12"/>
          <w:numId w:val="0"/>
        </w:numPr>
        <w:rPr>
          <w:sz w:val="22"/>
          <w:szCs w:val="22"/>
          <w:lang w:val="el-GR"/>
        </w:rPr>
      </w:pPr>
      <w:r>
        <w:rPr>
          <w:sz w:val="22"/>
          <w:szCs w:val="22"/>
          <w:lang w:val="el-GR"/>
        </w:rPr>
        <w:t>Αυτό το φάρμακο περιέχει λιγότερο από 1 mmol νατρίου (23 mg) ανά δόση των 0,8 ml, είναι αυτό που ονομάζουμε «ελεύθερο νατρίου».</w:t>
      </w:r>
    </w:p>
    <w:p w14:paraId="6BB4F6BC" w14:textId="77777777" w:rsidR="00171824" w:rsidRDefault="00171824">
      <w:pPr>
        <w:pStyle w:val="BodyText"/>
        <w:widowControl/>
        <w:kinsoku w:val="0"/>
        <w:overflowPunct w:val="0"/>
        <w:ind w:left="0"/>
        <w:rPr>
          <w:lang w:val="el-GR"/>
        </w:rPr>
      </w:pPr>
    </w:p>
    <w:p w14:paraId="186A8B1A" w14:textId="77777777" w:rsidR="00171824" w:rsidRDefault="00171824">
      <w:pPr>
        <w:pStyle w:val="BodyText"/>
        <w:widowControl/>
        <w:kinsoku w:val="0"/>
        <w:overflowPunct w:val="0"/>
        <w:ind w:left="0"/>
        <w:rPr>
          <w:lang w:val="el-GR"/>
        </w:rPr>
      </w:pPr>
    </w:p>
    <w:p w14:paraId="4A672136" w14:textId="77777777" w:rsidR="00171824" w:rsidRDefault="006D258C">
      <w:pPr>
        <w:pStyle w:val="Heading1"/>
        <w:keepNext/>
        <w:widowControl/>
        <w:numPr>
          <w:ilvl w:val="0"/>
          <w:numId w:val="34"/>
        </w:numPr>
        <w:tabs>
          <w:tab w:val="left" w:pos="567"/>
        </w:tabs>
        <w:kinsoku w:val="0"/>
        <w:overflowPunct w:val="0"/>
        <w:ind w:left="567"/>
        <w:rPr>
          <w:b w:val="0"/>
          <w:bCs w:val="0"/>
          <w:lang w:val="el-GR"/>
        </w:rPr>
      </w:pPr>
      <w:r>
        <w:rPr>
          <w:lang w:val="el-GR"/>
        </w:rPr>
        <w:t xml:space="preserve">Πώς να χρησιμοποιήσετε το AMGEVITA </w:t>
      </w:r>
    </w:p>
    <w:p w14:paraId="7171FA5E" w14:textId="77777777" w:rsidR="00171824" w:rsidRDefault="00171824">
      <w:pPr>
        <w:widowControl/>
        <w:kinsoku w:val="0"/>
        <w:overflowPunct w:val="0"/>
        <w:rPr>
          <w:sz w:val="22"/>
          <w:szCs w:val="22"/>
          <w:lang w:val="el-GR"/>
        </w:rPr>
      </w:pPr>
    </w:p>
    <w:p w14:paraId="3C9EDB9D" w14:textId="77777777" w:rsidR="00171824" w:rsidRDefault="006D258C">
      <w:pPr>
        <w:pStyle w:val="BodyText"/>
        <w:widowControl/>
        <w:kinsoku w:val="0"/>
        <w:overflowPunct w:val="0"/>
        <w:ind w:left="0"/>
        <w:rPr>
          <w:lang w:val="el-GR"/>
        </w:rPr>
      </w:pPr>
      <w:r>
        <w:rPr>
          <w:lang w:val="el-GR"/>
        </w:rPr>
        <w:t>Πάντοτε να χρησιμοποιείτε το φάρμακο αυτό αυστηρά σύμφωνα με τις οδηγίες του γιατρού ή του φαρμακοποιού σας. Εάν έχετε αμφιβολίες, ρωτήστε τον γιατρό ή τον φαρμακοποιό σας.</w:t>
      </w:r>
      <w:r>
        <w:rPr>
          <w:rFonts w:ascii="Arial" w:hAnsi="Arial" w:cs="Arial"/>
          <w:color w:val="222222"/>
          <w:lang w:val="el-GR"/>
        </w:rPr>
        <w:t xml:space="preserve"> </w:t>
      </w:r>
    </w:p>
    <w:p w14:paraId="355BEC6E" w14:textId="77777777" w:rsidR="00171824" w:rsidRDefault="00171824">
      <w:pPr>
        <w:widowControl/>
        <w:kinsoku w:val="0"/>
        <w:overflowPunct w:val="0"/>
        <w:rPr>
          <w:sz w:val="22"/>
          <w:szCs w:val="22"/>
          <w:lang w:val="el-GR"/>
        </w:rPr>
      </w:pPr>
    </w:p>
    <w:p w14:paraId="2289FBFF" w14:textId="77777777" w:rsidR="00171824" w:rsidRDefault="006D258C">
      <w:pPr>
        <w:pStyle w:val="BodyText"/>
        <w:widowControl/>
        <w:kinsoku w:val="0"/>
        <w:overflowPunct w:val="0"/>
        <w:ind w:left="0"/>
        <w:rPr>
          <w:lang w:val="el-GR"/>
        </w:rPr>
      </w:pPr>
      <w:r>
        <w:rPr>
          <w:u w:val="single"/>
          <w:lang w:val="el-GR"/>
        </w:rPr>
        <w:t>Ενήλικες με ρευματοειδή αρθρίτιδα, ψωριασική αρθρίτιδα, αγκυλοποιητική σπονδυλίτιδα ή αξονική</w:t>
      </w:r>
      <w:r>
        <w:rPr>
          <w:lang w:val="el-GR"/>
        </w:rPr>
        <w:t xml:space="preserve"> </w:t>
      </w:r>
      <w:r>
        <w:rPr>
          <w:u w:val="single"/>
          <w:lang w:val="el-GR"/>
        </w:rPr>
        <w:t>σπονδυλαρθρίτιδα χωρίς ακτινολογικά ευρήματα αγκυλοποιητικής σπονδυλίτιδας</w:t>
      </w:r>
    </w:p>
    <w:p w14:paraId="22953CC8" w14:textId="77777777" w:rsidR="00171824" w:rsidRDefault="00171824">
      <w:pPr>
        <w:widowControl/>
        <w:kinsoku w:val="0"/>
        <w:overflowPunct w:val="0"/>
        <w:rPr>
          <w:sz w:val="22"/>
          <w:szCs w:val="22"/>
          <w:lang w:val="el-GR"/>
        </w:rPr>
      </w:pPr>
    </w:p>
    <w:p w14:paraId="524981A6" w14:textId="77777777" w:rsidR="00171824" w:rsidRDefault="006D258C">
      <w:pPr>
        <w:pStyle w:val="BodyText"/>
        <w:widowControl/>
        <w:kinsoku w:val="0"/>
        <w:overflowPunct w:val="0"/>
        <w:ind w:left="0"/>
        <w:rPr>
          <w:lang w:val="el-GR"/>
        </w:rPr>
      </w:pPr>
      <w:r>
        <w:rPr>
          <w:lang w:val="el-GR"/>
        </w:rPr>
        <w:t>Το AMGEVITA ενίεται κάτω από το δέρμα (υποδόρια χρήση). Η συνηθισμένη δοσολογία για ενήλικες με ρευματοειδή αρθρίτιδα, αγκυλοποιητική σπονδυλίτιδα, αξονική σπονδυλαρθρίτιδα χωρίς ακτινολογικά ευρήματα αγκυλοποιητικής σπονδυλίτιδας και για ασθενείς με ψωριασική αρθρίτιδα είναι 40 mg ανά δεύτερη εβδομάδα ως εφάπαξ δόση.</w:t>
      </w:r>
    </w:p>
    <w:p w14:paraId="68FF9199" w14:textId="77777777" w:rsidR="00171824" w:rsidRDefault="00171824">
      <w:pPr>
        <w:widowControl/>
        <w:kinsoku w:val="0"/>
        <w:overflowPunct w:val="0"/>
        <w:rPr>
          <w:sz w:val="22"/>
          <w:szCs w:val="22"/>
          <w:lang w:val="el-GR"/>
        </w:rPr>
      </w:pPr>
    </w:p>
    <w:p w14:paraId="2F8181AF" w14:textId="77777777" w:rsidR="00171824" w:rsidRDefault="006D258C">
      <w:pPr>
        <w:pStyle w:val="BodyText"/>
        <w:widowControl/>
        <w:kinsoku w:val="0"/>
        <w:overflowPunct w:val="0"/>
        <w:ind w:left="0"/>
        <w:jc w:val="both"/>
        <w:rPr>
          <w:lang w:val="el-GR"/>
        </w:rPr>
      </w:pPr>
      <w:r>
        <w:rPr>
          <w:lang w:val="el-GR"/>
        </w:rPr>
        <w:t>Στη ρευματοειδή αρθρίτιδα η χορήγηση της μεθοτρεξάτης συνεχίζεται όσο χορηγείται το AMGEVITA. Eάν ο γιατρός σας καθορίσει ότι η χορήγηση της μεθοτρεξάτης είναι ακατάλληλη, τότε το AMGEVITA μπορεί να χορηγηθεί μόνο του.</w:t>
      </w:r>
    </w:p>
    <w:p w14:paraId="1658EE05" w14:textId="77777777" w:rsidR="00171824" w:rsidRDefault="00171824">
      <w:pPr>
        <w:widowControl/>
        <w:kinsoku w:val="0"/>
        <w:overflowPunct w:val="0"/>
        <w:rPr>
          <w:sz w:val="22"/>
          <w:szCs w:val="22"/>
          <w:lang w:val="el-GR"/>
        </w:rPr>
      </w:pPr>
    </w:p>
    <w:p w14:paraId="6CAFE851" w14:textId="77777777" w:rsidR="00171824" w:rsidRDefault="006D258C">
      <w:pPr>
        <w:pStyle w:val="BodyText"/>
        <w:widowControl/>
        <w:kinsoku w:val="0"/>
        <w:overflowPunct w:val="0"/>
        <w:ind w:left="0"/>
        <w:rPr>
          <w:lang w:val="el-GR"/>
        </w:rPr>
      </w:pPr>
      <w:r>
        <w:rPr>
          <w:lang w:val="el-GR"/>
        </w:rPr>
        <w:t>Εάν πάσχετε από ρευματοειδή αρθρίτιδα και δε λαμβάνετε μεθοτρεξάτη μαζί με το AMGEVITA, o γιατρός σας μπορεί να αποφασίσει να σας χορηγήσει 40 mg κάθε εβδομάδα ή 80 mg κάθε δεύτερη εβδομάδα.</w:t>
      </w:r>
    </w:p>
    <w:p w14:paraId="3370559A" w14:textId="77777777" w:rsidR="00171824" w:rsidRDefault="00171824">
      <w:pPr>
        <w:widowControl/>
        <w:kinsoku w:val="0"/>
        <w:overflowPunct w:val="0"/>
        <w:rPr>
          <w:sz w:val="22"/>
          <w:szCs w:val="22"/>
          <w:lang w:val="el-GR"/>
        </w:rPr>
      </w:pPr>
    </w:p>
    <w:p w14:paraId="7790B741" w14:textId="77777777" w:rsidR="00171824" w:rsidRDefault="006D258C">
      <w:pPr>
        <w:pStyle w:val="BodyText"/>
        <w:widowControl/>
        <w:kinsoku w:val="0"/>
        <w:overflowPunct w:val="0"/>
        <w:ind w:left="0"/>
        <w:rPr>
          <w:u w:val="single"/>
          <w:lang w:val="el-GR"/>
        </w:rPr>
      </w:pPr>
      <w:r>
        <w:rPr>
          <w:u w:val="single"/>
          <w:lang w:val="el-GR"/>
        </w:rPr>
        <w:t>Παιδιά, έφηβοι και ενήλικες με πολυαρθρική νεανική ιδιοπαθή αρθρίτιδα</w:t>
      </w:r>
    </w:p>
    <w:p w14:paraId="05D32F4E" w14:textId="77777777" w:rsidR="00171824" w:rsidRDefault="00171824">
      <w:pPr>
        <w:pStyle w:val="BodyText"/>
        <w:widowControl/>
        <w:kinsoku w:val="0"/>
        <w:overflowPunct w:val="0"/>
        <w:ind w:left="0"/>
        <w:rPr>
          <w:u w:val="single"/>
          <w:lang w:val="el-GR"/>
        </w:rPr>
      </w:pPr>
    </w:p>
    <w:p w14:paraId="11CA6C06" w14:textId="77777777" w:rsidR="00171824" w:rsidRDefault="006D258C">
      <w:pPr>
        <w:pStyle w:val="BodyText"/>
        <w:widowControl/>
        <w:kinsoku w:val="0"/>
        <w:overflowPunct w:val="0"/>
        <w:ind w:left="0"/>
        <w:rPr>
          <w:i/>
          <w:lang w:val="el-GR"/>
        </w:rPr>
      </w:pPr>
      <w:r>
        <w:rPr>
          <w:i/>
          <w:lang w:val="el-GR"/>
        </w:rPr>
        <w:t>Παιδιά και έφηβοι από την ηλικία των 2 ετών με βάρος 10 kg έως 30 kg</w:t>
      </w:r>
    </w:p>
    <w:p w14:paraId="1D9EEDDC" w14:textId="77777777" w:rsidR="00171824" w:rsidRDefault="00171824">
      <w:pPr>
        <w:widowControl/>
        <w:kinsoku w:val="0"/>
        <w:overflowPunct w:val="0"/>
        <w:rPr>
          <w:sz w:val="22"/>
          <w:szCs w:val="22"/>
          <w:lang w:val="el-GR"/>
        </w:rPr>
      </w:pPr>
    </w:p>
    <w:p w14:paraId="7517D5EE" w14:textId="77777777" w:rsidR="00171824" w:rsidRDefault="006D258C">
      <w:pPr>
        <w:pStyle w:val="BodyText"/>
        <w:widowControl/>
        <w:kinsoku w:val="0"/>
        <w:overflowPunct w:val="0"/>
        <w:ind w:left="0"/>
        <w:rPr>
          <w:lang w:val="el-GR"/>
        </w:rPr>
      </w:pPr>
      <w:r>
        <w:rPr>
          <w:lang w:val="el-GR"/>
        </w:rPr>
        <w:t>Η συνιστώμενη δόση του AMGEVITA είναι 20 mg κάθε δεύτερη εβδομάδα.</w:t>
      </w:r>
    </w:p>
    <w:p w14:paraId="2E76F077" w14:textId="77777777" w:rsidR="00171824" w:rsidRDefault="00171824">
      <w:pPr>
        <w:widowControl/>
        <w:kinsoku w:val="0"/>
        <w:overflowPunct w:val="0"/>
        <w:rPr>
          <w:sz w:val="22"/>
          <w:szCs w:val="22"/>
          <w:lang w:val="el-GR"/>
        </w:rPr>
      </w:pPr>
    </w:p>
    <w:p w14:paraId="23F3D961" w14:textId="77777777" w:rsidR="00171824" w:rsidRDefault="006D258C">
      <w:pPr>
        <w:pStyle w:val="BodyText"/>
        <w:widowControl/>
        <w:kinsoku w:val="0"/>
        <w:overflowPunct w:val="0"/>
        <w:ind w:left="0"/>
        <w:rPr>
          <w:i/>
          <w:lang w:val="el-GR"/>
        </w:rPr>
      </w:pPr>
      <w:r>
        <w:rPr>
          <w:i/>
          <w:lang w:val="el-GR"/>
        </w:rPr>
        <w:t xml:space="preserve">Παιδιά, έφηβοι και ενήλικες ηλικίας από 2 ετών που ζυγίζουν 30 kg ή άνω </w:t>
      </w:r>
    </w:p>
    <w:p w14:paraId="5CE7110A" w14:textId="77777777" w:rsidR="00171824" w:rsidRDefault="00171824">
      <w:pPr>
        <w:widowControl/>
        <w:kinsoku w:val="0"/>
        <w:overflowPunct w:val="0"/>
        <w:rPr>
          <w:sz w:val="22"/>
          <w:u w:val="single"/>
          <w:lang w:val="el-GR"/>
        </w:rPr>
      </w:pPr>
    </w:p>
    <w:p w14:paraId="27858C51" w14:textId="77777777" w:rsidR="00171824" w:rsidRDefault="006D258C">
      <w:pPr>
        <w:pStyle w:val="BodyText"/>
        <w:widowControl/>
        <w:kinsoku w:val="0"/>
        <w:overflowPunct w:val="0"/>
        <w:ind w:left="0"/>
        <w:rPr>
          <w:lang w:val="el-GR"/>
        </w:rPr>
      </w:pPr>
      <w:r>
        <w:rPr>
          <w:lang w:val="el-GR"/>
        </w:rPr>
        <w:t>Η συνιστώμενη δόση του AMGEVITA είναι 40 mg χορηγούμενο κάθε δύο εβδομάδες.</w:t>
      </w:r>
    </w:p>
    <w:p w14:paraId="4964D78B" w14:textId="77777777" w:rsidR="00171824" w:rsidRDefault="00171824">
      <w:pPr>
        <w:widowControl/>
        <w:kinsoku w:val="0"/>
        <w:overflowPunct w:val="0"/>
        <w:rPr>
          <w:sz w:val="22"/>
          <w:szCs w:val="22"/>
          <w:lang w:val="el-GR"/>
        </w:rPr>
      </w:pPr>
    </w:p>
    <w:p w14:paraId="3CADBA5A" w14:textId="77777777" w:rsidR="00171824" w:rsidRDefault="006D258C">
      <w:pPr>
        <w:pStyle w:val="BodyText"/>
        <w:keepNext/>
        <w:widowControl/>
        <w:kinsoku w:val="0"/>
        <w:overflowPunct w:val="0"/>
        <w:ind w:left="0"/>
        <w:rPr>
          <w:u w:val="single"/>
          <w:lang w:val="el-GR"/>
        </w:rPr>
      </w:pPr>
      <w:r>
        <w:rPr>
          <w:u w:val="single"/>
          <w:lang w:val="el-GR"/>
        </w:rPr>
        <w:t>Παιδιά, έφηβοι και ενήλικες με αρθρίτιδα σχετιζόμενη με ενθεσίτιδα</w:t>
      </w:r>
    </w:p>
    <w:p w14:paraId="6FD2D3C7" w14:textId="77777777" w:rsidR="00171824" w:rsidRDefault="00171824">
      <w:pPr>
        <w:pStyle w:val="BodyText"/>
        <w:keepNext/>
        <w:widowControl/>
        <w:kinsoku w:val="0"/>
        <w:overflowPunct w:val="0"/>
        <w:ind w:left="0"/>
        <w:rPr>
          <w:lang w:val="el-GR"/>
        </w:rPr>
      </w:pPr>
    </w:p>
    <w:p w14:paraId="06136545" w14:textId="77777777" w:rsidR="00171824" w:rsidRDefault="006D258C">
      <w:pPr>
        <w:pStyle w:val="BodyText"/>
        <w:keepNext/>
        <w:widowControl/>
        <w:kinsoku w:val="0"/>
        <w:overflowPunct w:val="0"/>
        <w:ind w:left="0"/>
        <w:rPr>
          <w:i/>
          <w:lang w:val="el-GR"/>
        </w:rPr>
      </w:pPr>
      <w:r>
        <w:rPr>
          <w:i/>
          <w:lang w:val="el-GR"/>
        </w:rPr>
        <w:t xml:space="preserve">Παιδιά, και έφηβοι ηλικίας από 6 ετών που ζυγίζουν 15 kg ή λιγότερο από 30 mg </w:t>
      </w:r>
    </w:p>
    <w:p w14:paraId="3120B1CD" w14:textId="77777777" w:rsidR="00171824" w:rsidRDefault="00171824">
      <w:pPr>
        <w:pStyle w:val="BodyText"/>
        <w:widowControl/>
        <w:kinsoku w:val="0"/>
        <w:overflowPunct w:val="0"/>
        <w:ind w:left="0"/>
        <w:rPr>
          <w:lang w:val="el-GR"/>
        </w:rPr>
      </w:pPr>
    </w:p>
    <w:p w14:paraId="4E51E5FB"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20 mg χορηγούμενο κάθε κάθε δεύτερη εβδομάδα.</w:t>
      </w:r>
    </w:p>
    <w:p w14:paraId="36F0A63A" w14:textId="77777777" w:rsidR="00171824" w:rsidRDefault="00171824">
      <w:pPr>
        <w:pStyle w:val="BodyText"/>
        <w:widowControl/>
        <w:kinsoku w:val="0"/>
        <w:overflowPunct w:val="0"/>
        <w:ind w:left="0"/>
        <w:rPr>
          <w:lang w:val="el-GR"/>
        </w:rPr>
      </w:pPr>
    </w:p>
    <w:p w14:paraId="4925C2F5" w14:textId="77777777" w:rsidR="00171824" w:rsidRDefault="006D258C">
      <w:pPr>
        <w:pStyle w:val="BodyText"/>
        <w:widowControl/>
        <w:kinsoku w:val="0"/>
        <w:overflowPunct w:val="0"/>
        <w:ind w:left="0"/>
        <w:rPr>
          <w:i/>
          <w:u w:val="single"/>
          <w:lang w:val="el-GR"/>
        </w:rPr>
      </w:pPr>
      <w:r>
        <w:rPr>
          <w:i/>
          <w:lang w:val="el-GR"/>
        </w:rPr>
        <w:t>Παιδιά, έφηβοι και ενήλικες από την ηλικία των 6 ετών με βάρος 30 kg ή περισσότερο</w:t>
      </w:r>
    </w:p>
    <w:p w14:paraId="48B4FA35" w14:textId="77777777" w:rsidR="00171824" w:rsidRDefault="00171824">
      <w:pPr>
        <w:widowControl/>
        <w:kinsoku w:val="0"/>
        <w:overflowPunct w:val="0"/>
        <w:rPr>
          <w:sz w:val="22"/>
          <w:szCs w:val="22"/>
          <w:u w:val="single"/>
          <w:lang w:val="el-GR"/>
        </w:rPr>
      </w:pPr>
    </w:p>
    <w:p w14:paraId="61EFAED9" w14:textId="77777777" w:rsidR="00171824" w:rsidRDefault="006D258C">
      <w:pPr>
        <w:pStyle w:val="BodyText"/>
        <w:widowControl/>
        <w:kinsoku w:val="0"/>
        <w:overflowPunct w:val="0"/>
        <w:ind w:left="0"/>
        <w:rPr>
          <w:lang w:val="el-GR"/>
        </w:rPr>
      </w:pPr>
      <w:r>
        <w:rPr>
          <w:lang w:val="el-GR"/>
        </w:rPr>
        <w:t>Η συνιστώμενη δόση του ΑΜGEVITAείναι 40 mg κάθε δεύτερη εβδομάδα.</w:t>
      </w:r>
    </w:p>
    <w:p w14:paraId="4313B4BE" w14:textId="77777777" w:rsidR="00171824" w:rsidRDefault="00171824">
      <w:pPr>
        <w:widowControl/>
        <w:kinsoku w:val="0"/>
        <w:overflowPunct w:val="0"/>
        <w:rPr>
          <w:sz w:val="22"/>
          <w:szCs w:val="22"/>
          <w:lang w:val="el-GR"/>
        </w:rPr>
      </w:pPr>
    </w:p>
    <w:p w14:paraId="6609A4CE" w14:textId="77777777" w:rsidR="00171824" w:rsidRDefault="006D258C">
      <w:pPr>
        <w:pStyle w:val="BodyText"/>
        <w:keepNext/>
        <w:widowControl/>
        <w:kinsoku w:val="0"/>
        <w:overflowPunct w:val="0"/>
        <w:ind w:left="0"/>
        <w:rPr>
          <w:lang w:val="el-GR"/>
        </w:rPr>
      </w:pPr>
      <w:r>
        <w:rPr>
          <w:u w:val="single"/>
          <w:lang w:val="el-GR"/>
        </w:rPr>
        <w:t>Ενήλικες με ψωρίαση κατά πλάκας</w:t>
      </w:r>
    </w:p>
    <w:p w14:paraId="1B044D21" w14:textId="77777777" w:rsidR="00171824" w:rsidRDefault="00171824">
      <w:pPr>
        <w:keepNext/>
        <w:widowControl/>
        <w:kinsoku w:val="0"/>
        <w:overflowPunct w:val="0"/>
        <w:rPr>
          <w:sz w:val="22"/>
          <w:szCs w:val="22"/>
          <w:lang w:val="el-GR"/>
        </w:rPr>
      </w:pPr>
    </w:p>
    <w:p w14:paraId="0F0F99BF" w14:textId="77777777" w:rsidR="00171824" w:rsidRDefault="006D258C">
      <w:pPr>
        <w:pStyle w:val="BodyText"/>
        <w:widowControl/>
        <w:kinsoku w:val="0"/>
        <w:overflowPunct w:val="0"/>
        <w:ind w:left="0"/>
        <w:rPr>
          <w:lang w:val="el-GR"/>
        </w:rPr>
      </w:pPr>
      <w:r>
        <w:rPr>
          <w:lang w:val="el-GR"/>
        </w:rPr>
        <w:t>Η συνήθης δόση για τους ενήλικες με ψωρίαση κατά πλάκας είναι αρχική δόση 80 mg, η οποία ακολουθείται από 40 mg χορηγούμενη κάθε δεύτερη εβδομάδα ξεκινώντας μια εβδομάδα μετά την αρχική δόση. Θα πρέπει να συνεχίσετε τις ενέσεις AMGEVITA για όσο χρόνο σας υποδείξει ο γιατρός σας. Ανάλογα με την ανταπόκρισή σας, ο γιατρός σας μπορεί να αυξήσει τη δόση σε 40 mg κάθε εβδομάδα ή 80 mg κάθε δεύτερη εβδομάδα.</w:t>
      </w:r>
    </w:p>
    <w:p w14:paraId="6489F50C" w14:textId="77777777" w:rsidR="00171824" w:rsidRDefault="00171824">
      <w:pPr>
        <w:widowControl/>
        <w:kinsoku w:val="0"/>
        <w:overflowPunct w:val="0"/>
        <w:rPr>
          <w:sz w:val="22"/>
          <w:szCs w:val="22"/>
          <w:lang w:val="el-GR"/>
        </w:rPr>
      </w:pPr>
    </w:p>
    <w:p w14:paraId="1B8AC433" w14:textId="77777777" w:rsidR="00171824" w:rsidRDefault="006D258C">
      <w:pPr>
        <w:pStyle w:val="BodyText"/>
        <w:keepNext/>
        <w:keepLines/>
        <w:widowControl/>
        <w:kinsoku w:val="0"/>
        <w:overflowPunct w:val="0"/>
        <w:ind w:left="0"/>
        <w:rPr>
          <w:u w:val="single"/>
          <w:lang w:val="el-GR"/>
        </w:rPr>
      </w:pPr>
      <w:r>
        <w:rPr>
          <w:u w:val="single"/>
          <w:lang w:val="el-GR"/>
        </w:rPr>
        <w:t>Παιδιά και έφηβοι με ψωρίαση κατά πλάκας</w:t>
      </w:r>
    </w:p>
    <w:p w14:paraId="35958F27" w14:textId="77777777" w:rsidR="00171824" w:rsidRDefault="00171824">
      <w:pPr>
        <w:pStyle w:val="BodyText"/>
        <w:keepNext/>
        <w:keepLines/>
        <w:widowControl/>
        <w:kinsoku w:val="0"/>
        <w:overflowPunct w:val="0"/>
        <w:ind w:left="0"/>
        <w:rPr>
          <w:u w:val="single"/>
          <w:lang w:val="el-GR"/>
        </w:rPr>
      </w:pPr>
    </w:p>
    <w:p w14:paraId="45A18E9A" w14:textId="77777777" w:rsidR="00171824" w:rsidRDefault="006D258C">
      <w:pPr>
        <w:pStyle w:val="BodyText"/>
        <w:widowControl/>
        <w:kinsoku w:val="0"/>
        <w:overflowPunct w:val="0"/>
        <w:ind w:left="0"/>
        <w:rPr>
          <w:i/>
          <w:lang w:val="el-GR"/>
        </w:rPr>
      </w:pPr>
      <w:r>
        <w:rPr>
          <w:i/>
          <w:lang w:val="el-GR"/>
        </w:rPr>
        <w:t>Παιδιά, και έφηβοι από την ηλικία των 4 έως 17 ετών με βάρος από 15 kg έως 30 kg</w:t>
      </w:r>
    </w:p>
    <w:p w14:paraId="61E89611" w14:textId="77777777" w:rsidR="00171824" w:rsidRDefault="00171824">
      <w:pPr>
        <w:widowControl/>
        <w:kinsoku w:val="0"/>
        <w:overflowPunct w:val="0"/>
        <w:rPr>
          <w:sz w:val="22"/>
          <w:szCs w:val="22"/>
          <w:lang w:val="el-GR"/>
        </w:rPr>
      </w:pPr>
    </w:p>
    <w:p w14:paraId="32D1E823" w14:textId="77777777" w:rsidR="00171824" w:rsidRDefault="006D258C">
      <w:pPr>
        <w:pStyle w:val="BodyText"/>
        <w:widowControl/>
        <w:kinsoku w:val="0"/>
        <w:overflowPunct w:val="0"/>
        <w:ind w:left="0"/>
        <w:rPr>
          <w:lang w:val="el-GR"/>
        </w:rPr>
      </w:pPr>
      <w:r>
        <w:rPr>
          <w:lang w:val="el-GR"/>
        </w:rPr>
        <w:t>Η συνιστώμενη δόση του AMGEVITA είναι η αρχική δόση των 20 mg, ακολουθούμενη από 20 mg μία εβδομάδα αργότερα. Συνεπώς, η συνήθης δόση είναι 40 mg κάθε δεύτερη</w:t>
      </w:r>
      <w:r>
        <w:rPr>
          <w:rFonts w:ascii="Arial" w:hAnsi="Arial" w:cs="Arial"/>
          <w:color w:val="222222"/>
          <w:lang w:val="el-GR"/>
        </w:rPr>
        <w:t xml:space="preserve"> </w:t>
      </w:r>
      <w:r>
        <w:rPr>
          <w:lang w:val="el-GR"/>
        </w:rPr>
        <w:t>εβδομάδα.</w:t>
      </w:r>
    </w:p>
    <w:p w14:paraId="39C35803" w14:textId="77777777" w:rsidR="00171824" w:rsidRDefault="00171824">
      <w:pPr>
        <w:pStyle w:val="BodyText"/>
        <w:widowControl/>
        <w:kinsoku w:val="0"/>
        <w:overflowPunct w:val="0"/>
        <w:ind w:left="0"/>
        <w:rPr>
          <w:lang w:val="el-GR"/>
        </w:rPr>
      </w:pPr>
    </w:p>
    <w:p w14:paraId="16144801" w14:textId="77777777" w:rsidR="00171824" w:rsidRDefault="006D258C">
      <w:pPr>
        <w:keepNext/>
        <w:keepLines/>
        <w:widowControl/>
        <w:kinsoku w:val="0"/>
        <w:overflowPunct w:val="0"/>
        <w:rPr>
          <w:i/>
          <w:sz w:val="22"/>
          <w:szCs w:val="22"/>
          <w:lang w:val="el-GR"/>
        </w:rPr>
      </w:pPr>
      <w:r>
        <w:rPr>
          <w:i/>
          <w:sz w:val="22"/>
          <w:szCs w:val="22"/>
          <w:lang w:val="el-GR"/>
        </w:rPr>
        <w:t>Παιδιά και έφηβοι από την ηλικία των 4 έως 17 ετών με βάρος 30 kg ή περισσότερο</w:t>
      </w:r>
    </w:p>
    <w:p w14:paraId="231B0AD5" w14:textId="77777777" w:rsidR="00171824" w:rsidRDefault="00171824">
      <w:pPr>
        <w:widowControl/>
        <w:kinsoku w:val="0"/>
        <w:overflowPunct w:val="0"/>
        <w:rPr>
          <w:sz w:val="22"/>
          <w:szCs w:val="22"/>
          <w:lang w:val="el-GR"/>
        </w:rPr>
      </w:pPr>
    </w:p>
    <w:p w14:paraId="5F7B5742"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η αρχική δόση των 40 mg, ακολουθούμενη από 40mg μία εβδομάδα αργότερα. Συνεπώς, η συνήθης δόση είναι 40 mg κάθε δεύτερη</w:t>
      </w:r>
      <w:r>
        <w:rPr>
          <w:rFonts w:ascii="Arial" w:hAnsi="Arial" w:cs="Arial"/>
          <w:color w:val="222222"/>
          <w:sz w:val="22"/>
          <w:szCs w:val="22"/>
          <w:lang w:val="el-GR"/>
        </w:rPr>
        <w:t xml:space="preserve"> </w:t>
      </w:r>
      <w:r>
        <w:rPr>
          <w:sz w:val="22"/>
          <w:szCs w:val="22"/>
          <w:lang w:val="el-GR"/>
        </w:rPr>
        <w:t>εβδομάδα.</w:t>
      </w:r>
    </w:p>
    <w:p w14:paraId="19CF5C91" w14:textId="77777777" w:rsidR="00171824" w:rsidRDefault="00171824">
      <w:pPr>
        <w:pStyle w:val="BodyText"/>
        <w:widowControl/>
        <w:kinsoku w:val="0"/>
        <w:overflowPunct w:val="0"/>
        <w:ind w:left="0"/>
        <w:rPr>
          <w:lang w:val="el-GR"/>
        </w:rPr>
      </w:pPr>
    </w:p>
    <w:p w14:paraId="431ED522" w14:textId="77777777" w:rsidR="00171824" w:rsidRDefault="006D258C">
      <w:pPr>
        <w:pStyle w:val="BodyText"/>
        <w:keepNext/>
        <w:widowControl/>
        <w:kinsoku w:val="0"/>
        <w:overflowPunct w:val="0"/>
        <w:ind w:left="0"/>
        <w:rPr>
          <w:lang w:val="el-GR"/>
        </w:rPr>
      </w:pPr>
      <w:r>
        <w:rPr>
          <w:u w:val="single"/>
          <w:lang w:val="el-GR"/>
        </w:rPr>
        <w:t>Ενήλικες με διαπυητική ιδρωταδενίτιδα</w:t>
      </w:r>
    </w:p>
    <w:p w14:paraId="10E34482" w14:textId="77777777" w:rsidR="00171824" w:rsidRDefault="00171824">
      <w:pPr>
        <w:keepNext/>
        <w:widowControl/>
        <w:kinsoku w:val="0"/>
        <w:overflowPunct w:val="0"/>
        <w:rPr>
          <w:sz w:val="22"/>
          <w:szCs w:val="22"/>
          <w:lang w:val="el-GR"/>
        </w:rPr>
      </w:pPr>
    </w:p>
    <w:p w14:paraId="79C7E9D1" w14:textId="77777777" w:rsidR="00171824" w:rsidRDefault="006D258C">
      <w:pPr>
        <w:pStyle w:val="BodyText"/>
        <w:widowControl/>
        <w:kinsoku w:val="0"/>
        <w:overflowPunct w:val="0"/>
        <w:ind w:left="0"/>
        <w:rPr>
          <w:lang w:val="el-GR"/>
        </w:rPr>
      </w:pPr>
      <w:r>
        <w:rPr>
          <w:lang w:val="el-GR"/>
        </w:rPr>
        <w:t>Το σύνηθες δοσολογικό σχήμα για τη διαπυητική ιδρωταδενίτιδα είναι μια αρχική δόση 160 mg (δηλ δύο ενέσεις 80 mg σε μία ημέρα ή μία ένεση 80 mg ημερησίως για δύο συνεχόμενες ημέρες), ακολουθούμενη από μία δόση 80 mg δύο εβδομάδες αργότερα. Μετά από δύο επιπλέον εβδομάδες, συνεχίστε με μια δόση 40 mg κάθε εβδομάδα ή 80 mg κάθε δεύτερη εβδομάδα όπως σας έχει συνταγογραφήσει ο γιατρός σας. Συνιστάται η καθημερινή χρήση αντισηπτικού σαπουνιού στις προσβεβλημένες περιοχές.</w:t>
      </w:r>
    </w:p>
    <w:p w14:paraId="0561F8C8" w14:textId="77777777" w:rsidR="00171824" w:rsidRDefault="00171824">
      <w:pPr>
        <w:widowControl/>
        <w:kinsoku w:val="0"/>
        <w:overflowPunct w:val="0"/>
        <w:rPr>
          <w:sz w:val="22"/>
          <w:szCs w:val="22"/>
          <w:lang w:val="el-GR"/>
        </w:rPr>
      </w:pPr>
    </w:p>
    <w:p w14:paraId="1A91BBE4" w14:textId="77777777" w:rsidR="00171824" w:rsidRDefault="006D258C">
      <w:pPr>
        <w:rPr>
          <w:sz w:val="22"/>
          <w:szCs w:val="22"/>
          <w:u w:val="single"/>
          <w:lang w:val="el-GR"/>
        </w:rPr>
      </w:pPr>
      <w:r>
        <w:rPr>
          <w:sz w:val="22"/>
          <w:szCs w:val="22"/>
          <w:u w:val="single"/>
          <w:lang w:val="el-GR"/>
        </w:rPr>
        <w:t>Έφηβοι με διαπυητική ιδρωταδενίτιδα από 12 έως 17 ετών βάρους 30 kg και άνω</w:t>
      </w:r>
    </w:p>
    <w:p w14:paraId="63E1EC3F" w14:textId="77777777" w:rsidR="00171824" w:rsidRDefault="00171824">
      <w:pPr>
        <w:rPr>
          <w:sz w:val="22"/>
          <w:szCs w:val="22"/>
          <w:lang w:val="el-GR"/>
        </w:rPr>
      </w:pPr>
    </w:p>
    <w:p w14:paraId="6D312598" w14:textId="77777777" w:rsidR="00171824" w:rsidRDefault="006D258C">
      <w:pPr>
        <w:rPr>
          <w:sz w:val="22"/>
          <w:szCs w:val="22"/>
          <w:lang w:val="el-GR"/>
        </w:rPr>
      </w:pPr>
      <w:r>
        <w:rPr>
          <w:sz w:val="22"/>
          <w:szCs w:val="22"/>
          <w:lang w:val="el-GR"/>
        </w:rPr>
        <w:t>Η συνιστώμενη δόση του AMGEVITA είναι μία αρχική δόση 80 mg , ακολουθούμενη από 40 mg κάθε δεύτερη εβδομάδα, ξεκινώντας μια εβδομάδα αργότερα. Εάν έχετε ανεπαρκή ανταπόκριση στο AMGEVITA 40 mg κάθε δεύτερη εβδομάδα, ο γιατρός σας μπορεί να αυξήσει τη δόση σας σε 40 mg κάθε εβδομάδα ή 80 mg κάθε δεύτερη εβδομάδα.</w:t>
      </w:r>
    </w:p>
    <w:p w14:paraId="117C29F7" w14:textId="77777777" w:rsidR="00171824" w:rsidRDefault="00171824">
      <w:pPr>
        <w:rPr>
          <w:sz w:val="22"/>
          <w:szCs w:val="22"/>
          <w:lang w:val="el-GR"/>
        </w:rPr>
      </w:pPr>
    </w:p>
    <w:p w14:paraId="63629204" w14:textId="77777777" w:rsidR="00171824" w:rsidRDefault="006D258C">
      <w:pPr>
        <w:rPr>
          <w:sz w:val="22"/>
          <w:szCs w:val="22"/>
          <w:lang w:val="el-GR"/>
        </w:rPr>
      </w:pPr>
      <w:r>
        <w:rPr>
          <w:sz w:val="22"/>
          <w:szCs w:val="22"/>
          <w:lang w:val="el-GR"/>
        </w:rPr>
        <w:t>Συνιστάται η καθημερινή χρήση αντισηπτικού σαπουνιού στις προσβεβλημένες περιοχές.</w:t>
      </w:r>
    </w:p>
    <w:p w14:paraId="57888083" w14:textId="77777777" w:rsidR="00171824" w:rsidRDefault="00171824">
      <w:pPr>
        <w:widowControl/>
        <w:kinsoku w:val="0"/>
        <w:overflowPunct w:val="0"/>
        <w:rPr>
          <w:sz w:val="22"/>
          <w:szCs w:val="22"/>
          <w:lang w:val="el-GR"/>
        </w:rPr>
      </w:pPr>
    </w:p>
    <w:p w14:paraId="2AB7125C" w14:textId="77777777" w:rsidR="00171824" w:rsidRDefault="006D258C">
      <w:pPr>
        <w:pStyle w:val="BodyText"/>
        <w:widowControl/>
        <w:kinsoku w:val="0"/>
        <w:overflowPunct w:val="0"/>
        <w:ind w:left="0"/>
        <w:rPr>
          <w:lang w:val="el-GR"/>
        </w:rPr>
      </w:pPr>
      <w:r>
        <w:rPr>
          <w:u w:val="single"/>
          <w:lang w:val="el-GR"/>
        </w:rPr>
        <w:t>Ενήλικες με νόσο του Crohn</w:t>
      </w:r>
    </w:p>
    <w:p w14:paraId="4C48150F" w14:textId="77777777" w:rsidR="00171824" w:rsidRDefault="00171824">
      <w:pPr>
        <w:widowControl/>
        <w:kinsoku w:val="0"/>
        <w:overflowPunct w:val="0"/>
        <w:rPr>
          <w:sz w:val="22"/>
          <w:szCs w:val="22"/>
          <w:lang w:val="el-GR"/>
        </w:rPr>
      </w:pPr>
    </w:p>
    <w:p w14:paraId="045CBECA" w14:textId="77777777" w:rsidR="00171824" w:rsidRDefault="006D258C">
      <w:pPr>
        <w:pStyle w:val="BodyText"/>
        <w:widowControl/>
        <w:kinsoku w:val="0"/>
        <w:overflowPunct w:val="0"/>
        <w:ind w:left="0"/>
        <w:rPr>
          <w:lang w:val="el-GR"/>
        </w:rPr>
      </w:pPr>
      <w:r>
        <w:rPr>
          <w:lang w:val="el-GR"/>
        </w:rPr>
        <w:t>Το σύνηθες δοσολογικό σχήμα για τη νόσο του Crohn είναι 80 mg αρχικά ακολουθούμενο από 40 mg κάθε δεύτερη εβδομάδα, δύο εβδομάδες αργότερα. Εάν απαιτείται πιο γρήγορη ανταπόκριση στη θεραπεία, ο γιατρός σας μπορεί να σας συνταγογραφήσει μία αρχική δόση των 160 mg (η δόση μπορεί να χορηγηθεί ως δύο ενέσεις 80 mg σε μία ημέρα ή μία ένεση 80 mg ημερησίως για δύο συνεχόμενες ημέρες), ακολουθούμενη από 80 mg δύο εβδομάδες αργότερα, και ακολούθως 40 mg κάθε δεύτερη εβδομάδα. Ανάλογα με την ανταπόκρισή σας στη θεραπεία, ο γιατρός σας είναι πιθανό να αυξήσει τη δόση σε 40 mg κάθε εβδομάδα ή 80 mg κάθε δεύτερη εβδομάδα.</w:t>
      </w:r>
    </w:p>
    <w:p w14:paraId="750FF2CB" w14:textId="77777777" w:rsidR="00171824" w:rsidRDefault="00171824">
      <w:pPr>
        <w:widowControl/>
        <w:kinsoku w:val="0"/>
        <w:overflowPunct w:val="0"/>
        <w:rPr>
          <w:sz w:val="22"/>
          <w:szCs w:val="22"/>
          <w:lang w:val="el-GR"/>
        </w:rPr>
      </w:pPr>
    </w:p>
    <w:p w14:paraId="7FE24469" w14:textId="77777777" w:rsidR="00171824" w:rsidRDefault="006D258C">
      <w:pPr>
        <w:pStyle w:val="BodyText"/>
        <w:keepNext/>
        <w:widowControl/>
        <w:kinsoku w:val="0"/>
        <w:overflowPunct w:val="0"/>
        <w:ind w:left="0"/>
        <w:rPr>
          <w:lang w:val="el-GR"/>
        </w:rPr>
      </w:pPr>
      <w:r>
        <w:rPr>
          <w:u w:val="single"/>
          <w:lang w:val="el-GR"/>
        </w:rPr>
        <w:t>Παιδιά και έφηβοι με νόσο του Crohn</w:t>
      </w:r>
    </w:p>
    <w:p w14:paraId="26677B4A" w14:textId="77777777" w:rsidR="00171824" w:rsidRDefault="00171824">
      <w:pPr>
        <w:keepNext/>
        <w:widowControl/>
        <w:kinsoku w:val="0"/>
        <w:overflowPunct w:val="0"/>
        <w:rPr>
          <w:sz w:val="22"/>
          <w:szCs w:val="22"/>
          <w:lang w:val="el-GR"/>
        </w:rPr>
      </w:pPr>
    </w:p>
    <w:p w14:paraId="6AF18532" w14:textId="77777777" w:rsidR="00171824" w:rsidRDefault="006D258C">
      <w:pPr>
        <w:pStyle w:val="BodyText"/>
        <w:keepNext/>
        <w:widowControl/>
        <w:kinsoku w:val="0"/>
        <w:overflowPunct w:val="0"/>
        <w:ind w:left="0"/>
        <w:rPr>
          <w:i/>
          <w:lang w:val="el-GR"/>
        </w:rPr>
      </w:pPr>
      <w:r>
        <w:rPr>
          <w:i/>
          <w:lang w:val="el-GR"/>
        </w:rPr>
        <w:t>Παιδιά και έφηβοι από την ηλικία των 6 έως 17 ετών με βάρος λιγότερο από 40 kg:</w:t>
      </w:r>
    </w:p>
    <w:p w14:paraId="4E8FBBA9" w14:textId="77777777" w:rsidR="00171824" w:rsidRDefault="00171824">
      <w:pPr>
        <w:keepNext/>
        <w:widowControl/>
        <w:kinsoku w:val="0"/>
        <w:overflowPunct w:val="0"/>
        <w:rPr>
          <w:sz w:val="22"/>
          <w:szCs w:val="22"/>
          <w:lang w:val="el-GR"/>
        </w:rPr>
      </w:pPr>
    </w:p>
    <w:p w14:paraId="7B1F1CD4" w14:textId="77777777" w:rsidR="00171824" w:rsidRDefault="006D258C">
      <w:pPr>
        <w:pStyle w:val="BodyText"/>
        <w:keepNext/>
        <w:widowControl/>
        <w:kinsoku w:val="0"/>
        <w:overflowPunct w:val="0"/>
        <w:ind w:left="0"/>
        <w:rPr>
          <w:lang w:val="el-GR"/>
        </w:rPr>
      </w:pPr>
      <w:r>
        <w:rPr>
          <w:lang w:val="el-GR"/>
        </w:rPr>
        <w:t>Το συνιστώμενο δοσολογικό σχήμα είναι αρχικά 40 mg, ακολουθούμενο από 20 mg δύο εβδομάδες αργότερα. Εάν απαιτείται πιο γρήγορη ανταπόκριση, ο γιατρός του παιδιού σας μπορεί να συνταγογραφήσει μία αρχική δόση των 80 mg, ακολουθούμενη από 40 mg δύο εβδομάδες αργότερα.</w:t>
      </w:r>
    </w:p>
    <w:p w14:paraId="73A1FA6E" w14:textId="77777777" w:rsidR="00171824" w:rsidRDefault="00171824">
      <w:pPr>
        <w:widowControl/>
        <w:kinsoku w:val="0"/>
        <w:overflowPunct w:val="0"/>
        <w:rPr>
          <w:sz w:val="22"/>
          <w:szCs w:val="22"/>
          <w:lang w:val="el-GR"/>
        </w:rPr>
      </w:pPr>
    </w:p>
    <w:p w14:paraId="28115343" w14:textId="77777777" w:rsidR="00171824" w:rsidRDefault="006D258C">
      <w:pPr>
        <w:pStyle w:val="BodyText"/>
        <w:widowControl/>
        <w:kinsoku w:val="0"/>
        <w:overflowPunct w:val="0"/>
        <w:ind w:left="0"/>
        <w:jc w:val="both"/>
        <w:rPr>
          <w:lang w:val="el-GR"/>
        </w:rPr>
      </w:pPr>
      <w:r>
        <w:rPr>
          <w:lang w:val="el-GR"/>
        </w:rPr>
        <w:t>Κατόπιν, η συνήθης δόση είναι 20 mg κάθε δεύτερη εβδομάδα. Ανάλογα με την ανταπόκριση του παιδιού σας, ο γιατρός του παιδιού σας μπορεί να αυξήσει τη συχνότητα της δόσης σε 20 mg κάθε εβδομάδα.</w:t>
      </w:r>
    </w:p>
    <w:p w14:paraId="3BB3EA36" w14:textId="77777777" w:rsidR="00171824" w:rsidRDefault="00171824">
      <w:pPr>
        <w:widowControl/>
        <w:kinsoku w:val="0"/>
        <w:overflowPunct w:val="0"/>
        <w:rPr>
          <w:sz w:val="22"/>
          <w:szCs w:val="22"/>
          <w:lang w:val="el-GR"/>
        </w:rPr>
      </w:pPr>
    </w:p>
    <w:p w14:paraId="002CEE4A" w14:textId="77777777" w:rsidR="00171824" w:rsidRDefault="006D258C">
      <w:pPr>
        <w:pStyle w:val="BodyText"/>
        <w:keepNext/>
        <w:keepLines/>
        <w:widowControl/>
        <w:kinsoku w:val="0"/>
        <w:overflowPunct w:val="0"/>
        <w:ind w:left="0"/>
        <w:rPr>
          <w:i/>
          <w:lang w:val="el-GR"/>
        </w:rPr>
      </w:pPr>
      <w:r>
        <w:rPr>
          <w:i/>
          <w:lang w:val="el-GR"/>
        </w:rPr>
        <w:t>Παιδιά και έφηβοι ηλικίας από 6 έως 17 ετών με βάρος 40 kg ή περισσότερο</w:t>
      </w:r>
    </w:p>
    <w:p w14:paraId="56BE4A19" w14:textId="77777777" w:rsidR="00171824" w:rsidRDefault="00171824">
      <w:pPr>
        <w:keepNext/>
        <w:keepLines/>
        <w:widowControl/>
        <w:kinsoku w:val="0"/>
        <w:overflowPunct w:val="0"/>
        <w:rPr>
          <w:sz w:val="22"/>
          <w:szCs w:val="22"/>
          <w:lang w:val="el-GR"/>
        </w:rPr>
      </w:pPr>
    </w:p>
    <w:p w14:paraId="5D2D8A48" w14:textId="77777777" w:rsidR="00171824" w:rsidRDefault="006D258C">
      <w:pPr>
        <w:pStyle w:val="BodyText"/>
        <w:widowControl/>
        <w:kinsoku w:val="0"/>
        <w:overflowPunct w:val="0"/>
        <w:ind w:left="0"/>
        <w:rPr>
          <w:lang w:val="el-GR"/>
        </w:rPr>
      </w:pPr>
      <w:r>
        <w:rPr>
          <w:lang w:val="el-GR"/>
        </w:rPr>
        <w:t>Το συνιστώμενο δοσολογικό σχήμα είναι αρχικά 80 mg ακολουθούμενο από 40 mg δύο εβδομάδες αργότερα. Εάν απαιτείται πιο γρήγορη ανταπόκριση, ο γιατρός του παιδιού σας μπορεί να συνταγογραφήσει μία αρχική δόση των 160 mg (ως δύο ενέσεις 80 mg σε μία μέρα ή ως μία ένεση 80 mg την ημέρα για δύο συνεχείς ημέρες), ακολουθούμενη από 80 mg δύο εβδομάδες αργότερα.</w:t>
      </w:r>
    </w:p>
    <w:p w14:paraId="371ED548" w14:textId="77777777" w:rsidR="00171824" w:rsidRDefault="00171824">
      <w:pPr>
        <w:widowControl/>
        <w:kinsoku w:val="0"/>
        <w:overflowPunct w:val="0"/>
        <w:rPr>
          <w:sz w:val="22"/>
          <w:szCs w:val="22"/>
          <w:lang w:val="el-GR"/>
        </w:rPr>
      </w:pPr>
    </w:p>
    <w:p w14:paraId="34E8FEED" w14:textId="77777777" w:rsidR="00171824" w:rsidRDefault="006D258C">
      <w:pPr>
        <w:pStyle w:val="BodyText"/>
        <w:widowControl/>
        <w:kinsoku w:val="0"/>
        <w:overflowPunct w:val="0"/>
        <w:ind w:left="0"/>
        <w:jc w:val="both"/>
        <w:rPr>
          <w:lang w:val="el-GR"/>
        </w:rPr>
      </w:pPr>
      <w:r>
        <w:rPr>
          <w:lang w:val="el-GR"/>
        </w:rPr>
        <w:t>Κατόπιν, η συνήθης δόση είναι 40 mg κάθε δεύτερη εβδομάδα. Ανάλογα με την ανταπόκριση του παιδιού σας, ο γιατρός του παιδιού σας μπορεί να αυξήσει τη δόση σε 40 mg κάθε εβδομάδα ή 80 mg κάθε δεύτερη εβδομάδα.</w:t>
      </w:r>
    </w:p>
    <w:p w14:paraId="6988A6C8" w14:textId="77777777" w:rsidR="00171824" w:rsidRDefault="00171824">
      <w:pPr>
        <w:widowControl/>
        <w:kinsoku w:val="0"/>
        <w:overflowPunct w:val="0"/>
        <w:rPr>
          <w:sz w:val="22"/>
          <w:szCs w:val="22"/>
          <w:lang w:val="el-GR"/>
        </w:rPr>
      </w:pPr>
    </w:p>
    <w:p w14:paraId="3A733AF2" w14:textId="77777777" w:rsidR="00171824" w:rsidRDefault="006D258C">
      <w:pPr>
        <w:pStyle w:val="BodyText"/>
        <w:keepNext/>
        <w:widowControl/>
        <w:kinsoku w:val="0"/>
        <w:overflowPunct w:val="0"/>
        <w:ind w:left="0"/>
        <w:rPr>
          <w:lang w:val="el-GR"/>
        </w:rPr>
      </w:pPr>
      <w:r>
        <w:rPr>
          <w:u w:val="single"/>
          <w:lang w:val="el-GR"/>
        </w:rPr>
        <w:lastRenderedPageBreak/>
        <w:t>Ενήλικες με ελκώδη κολίτιδα</w:t>
      </w:r>
    </w:p>
    <w:p w14:paraId="71A92C27" w14:textId="77777777" w:rsidR="00171824" w:rsidRDefault="00171824">
      <w:pPr>
        <w:keepNext/>
        <w:widowControl/>
        <w:kinsoku w:val="0"/>
        <w:overflowPunct w:val="0"/>
        <w:rPr>
          <w:sz w:val="22"/>
          <w:szCs w:val="22"/>
          <w:lang w:val="el-GR"/>
        </w:rPr>
      </w:pPr>
    </w:p>
    <w:p w14:paraId="020FD6FF" w14:textId="77777777" w:rsidR="00171824" w:rsidRDefault="006D258C">
      <w:pPr>
        <w:pStyle w:val="BodyText"/>
        <w:widowControl/>
        <w:kinsoku w:val="0"/>
        <w:overflowPunct w:val="0"/>
        <w:ind w:left="0"/>
        <w:rPr>
          <w:lang w:val="el-GR"/>
        </w:rPr>
      </w:pPr>
      <w:r>
        <w:rPr>
          <w:lang w:val="el-GR"/>
        </w:rPr>
        <w:t>Η συνήθης δόση AMGEVITA για ενήλικες με ελκώδη κολίτιδα είναι 160 mg αρχικά (ως δύο ενέσεις 80 mg σε μία μέρα ή ως μία ένεση 80 mg ημερησίως για δύο συνεχόμενες ημέρες) ακολουθούμενη από 80 mg δύο εβδομάδες αργότερα και στη συνέχεια 40 mg κάθε δεύτερη εβδομάδα. Ανάλογα με την ανταπόκρισή σας, ο γιατρός σας μπορεί να αυξήσει τη δόση σε 40 mg κάθε εβδομάδα ή 80 mg κάθε δεύτερη εβδομάδα.</w:t>
      </w:r>
    </w:p>
    <w:p w14:paraId="34B7ADCF" w14:textId="77777777" w:rsidR="00171824" w:rsidRDefault="00171824">
      <w:pPr>
        <w:widowControl/>
        <w:kinsoku w:val="0"/>
        <w:overflowPunct w:val="0"/>
        <w:rPr>
          <w:sz w:val="22"/>
          <w:szCs w:val="22"/>
          <w:lang w:val="el-GR"/>
        </w:rPr>
      </w:pPr>
    </w:p>
    <w:p w14:paraId="0593A862" w14:textId="77777777" w:rsidR="00171824" w:rsidRDefault="006D258C">
      <w:pPr>
        <w:widowControl/>
        <w:rPr>
          <w:color w:val="000000"/>
          <w:sz w:val="22"/>
          <w:szCs w:val="22"/>
          <w:u w:val="single"/>
          <w:lang w:val="el-GR" w:eastAsia="ja-JP"/>
        </w:rPr>
      </w:pPr>
      <w:r>
        <w:rPr>
          <w:color w:val="000000"/>
          <w:sz w:val="22"/>
          <w:szCs w:val="22"/>
          <w:u w:val="single"/>
          <w:lang w:val="el-GR" w:eastAsia="ja-JP"/>
        </w:rPr>
        <w:t>Παιδιά και έφηβοι με ελκώδη κολίτιδα</w:t>
      </w:r>
    </w:p>
    <w:p w14:paraId="0CAF7B57" w14:textId="77777777" w:rsidR="00171824" w:rsidRDefault="006D258C">
      <w:pPr>
        <w:widowControl/>
        <w:rPr>
          <w:color w:val="000000"/>
          <w:sz w:val="22"/>
          <w:szCs w:val="22"/>
          <w:lang w:val="el-GR" w:eastAsia="ja-JP"/>
        </w:rPr>
      </w:pPr>
      <w:r>
        <w:rPr>
          <w:color w:val="000000"/>
          <w:sz w:val="22"/>
          <w:szCs w:val="22"/>
          <w:lang w:val="el-GR" w:eastAsia="ja-JP"/>
        </w:rPr>
        <w:t xml:space="preserve"> </w:t>
      </w:r>
    </w:p>
    <w:p w14:paraId="431B73E0" w14:textId="77777777" w:rsidR="00171824" w:rsidRDefault="006D258C">
      <w:pPr>
        <w:widowControl/>
        <w:rPr>
          <w:color w:val="000000"/>
          <w:sz w:val="22"/>
          <w:szCs w:val="22"/>
          <w:lang w:val="el-GR" w:eastAsia="ja-JP"/>
        </w:rPr>
      </w:pPr>
      <w:r>
        <w:rPr>
          <w:i/>
          <w:iCs/>
          <w:color w:val="000000"/>
          <w:sz w:val="22"/>
          <w:szCs w:val="22"/>
          <w:lang w:val="el-GR" w:eastAsia="ja-JP"/>
        </w:rPr>
        <w:t xml:space="preserve">Παιδιά και έφηβοι από την ηλικία των 6 ετών με βάρος λιγότερο από 40 kg </w:t>
      </w:r>
    </w:p>
    <w:p w14:paraId="0F3925DB" w14:textId="77777777" w:rsidR="00171824" w:rsidRDefault="00171824">
      <w:pPr>
        <w:widowControl/>
        <w:rPr>
          <w:color w:val="000000"/>
          <w:sz w:val="22"/>
          <w:szCs w:val="22"/>
          <w:lang w:val="el-GR" w:eastAsia="ja-JP"/>
        </w:rPr>
      </w:pPr>
    </w:p>
    <w:p w14:paraId="1E6DEEFE"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80 mg αρχικά, ακολουθούμενη από 40 mg (ως μία ένεση των 40 mg) δύο εβδομάδες μετά. Στη συνέχεια, η συνήθης δόση είναι 40 mg κάθε δεύτερη εβδομάδα. </w:t>
      </w:r>
    </w:p>
    <w:p w14:paraId="7A765518" w14:textId="77777777" w:rsidR="00171824" w:rsidRDefault="00171824">
      <w:pPr>
        <w:widowControl/>
        <w:rPr>
          <w:color w:val="000000"/>
          <w:sz w:val="22"/>
          <w:szCs w:val="22"/>
          <w:lang w:val="el-GR" w:eastAsia="ja-JP"/>
        </w:rPr>
      </w:pPr>
    </w:p>
    <w:p w14:paraId="28AB7D38" w14:textId="77777777" w:rsidR="00171824" w:rsidRDefault="006D258C">
      <w:pPr>
        <w:widowControl/>
        <w:rPr>
          <w:color w:val="000000"/>
          <w:sz w:val="22"/>
          <w:szCs w:val="22"/>
          <w:lang w:val="el-GR" w:eastAsia="ja-JP"/>
        </w:rPr>
      </w:pPr>
      <w:r>
        <w:rPr>
          <w:color w:val="000000"/>
          <w:sz w:val="22"/>
          <w:szCs w:val="22"/>
          <w:lang w:val="el-GR" w:eastAsia="ja-JP"/>
        </w:rPr>
        <w:t xml:space="preserve">Οι ασθενείς που γίνονται 18 ετών ενώ λαμβάνουν 40 mg κάθε δεύτερη εβδομάδα θα πρέπει να συνεχίζουν τη συνιστώμενη δόση τους. </w:t>
      </w:r>
    </w:p>
    <w:p w14:paraId="55EF9ECA" w14:textId="77777777" w:rsidR="00171824" w:rsidRDefault="00171824">
      <w:pPr>
        <w:widowControl/>
        <w:rPr>
          <w:i/>
          <w:iCs/>
          <w:color w:val="000000"/>
          <w:sz w:val="22"/>
          <w:szCs w:val="22"/>
          <w:lang w:val="el-GR" w:eastAsia="ja-JP"/>
        </w:rPr>
      </w:pPr>
    </w:p>
    <w:p w14:paraId="64AB963B" w14:textId="77777777" w:rsidR="00171824" w:rsidRDefault="006D258C">
      <w:pPr>
        <w:widowControl/>
        <w:rPr>
          <w:color w:val="000000"/>
          <w:sz w:val="22"/>
          <w:szCs w:val="22"/>
          <w:lang w:val="el-GR" w:eastAsia="ja-JP"/>
        </w:rPr>
      </w:pPr>
      <w:r>
        <w:rPr>
          <w:i/>
          <w:iCs/>
          <w:color w:val="000000"/>
          <w:sz w:val="22"/>
          <w:szCs w:val="22"/>
          <w:lang w:val="el-GR" w:eastAsia="ja-JP"/>
        </w:rPr>
        <w:t>Παιδιά και έφηβοι από την ηλικία των 6 ετών με βάρος 40</w:t>
      </w:r>
      <w:r>
        <w:rPr>
          <w:color w:val="000000"/>
          <w:sz w:val="22"/>
          <w:szCs w:val="22"/>
          <w:lang w:val="el-GR" w:eastAsia="ja-JP"/>
        </w:rPr>
        <w:t> </w:t>
      </w:r>
      <w:r>
        <w:rPr>
          <w:i/>
          <w:iCs/>
          <w:color w:val="000000"/>
          <w:sz w:val="22"/>
          <w:szCs w:val="22"/>
          <w:lang w:val="el-GR" w:eastAsia="ja-JP"/>
        </w:rPr>
        <w:t xml:space="preserve">kg ή περισσότερο </w:t>
      </w:r>
    </w:p>
    <w:p w14:paraId="25AF3006" w14:textId="77777777" w:rsidR="00171824" w:rsidRDefault="00171824">
      <w:pPr>
        <w:widowControl/>
        <w:rPr>
          <w:color w:val="000000"/>
          <w:sz w:val="22"/>
          <w:szCs w:val="22"/>
          <w:lang w:val="el-GR" w:eastAsia="ja-JP"/>
        </w:rPr>
      </w:pPr>
    </w:p>
    <w:p w14:paraId="4CD220CF"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160 mg (ως δύο ενέσεις των 80 mg σε μία ημέρα ή μία ένεση των 80 mg ανά ημέρα για δύο διαδοχικές ημέρες) αρχικά, ακολουθούμενη από 80 mg, δύο εβδομάδες μετά. Στη συνέχεια, η συνήθης δόση είναι 80 mg κάθε δεύτερη εβδομάδα. </w:t>
      </w:r>
    </w:p>
    <w:p w14:paraId="34417BBE" w14:textId="77777777" w:rsidR="00171824" w:rsidRDefault="00171824">
      <w:pPr>
        <w:widowControl/>
        <w:kinsoku w:val="0"/>
        <w:overflowPunct w:val="0"/>
        <w:rPr>
          <w:color w:val="000000"/>
          <w:sz w:val="22"/>
          <w:szCs w:val="22"/>
          <w:lang w:val="el-GR" w:eastAsia="ja-JP"/>
        </w:rPr>
      </w:pPr>
    </w:p>
    <w:p w14:paraId="4F34F9FF" w14:textId="77777777" w:rsidR="00171824" w:rsidRDefault="006D258C">
      <w:pPr>
        <w:widowControl/>
        <w:kinsoku w:val="0"/>
        <w:overflowPunct w:val="0"/>
        <w:rPr>
          <w:color w:val="000000"/>
          <w:sz w:val="22"/>
          <w:szCs w:val="22"/>
          <w:lang w:val="el-GR" w:eastAsia="ja-JP"/>
        </w:rPr>
      </w:pPr>
      <w:r>
        <w:rPr>
          <w:color w:val="000000"/>
          <w:sz w:val="22"/>
          <w:szCs w:val="22"/>
          <w:lang w:val="el-GR" w:eastAsia="ja-JP"/>
        </w:rPr>
        <w:t>Οι ασθενείς που γίνονται 18 ετών ενώ λαμβάνουν 80 mg κάθε δεύτερη εβδομάδα θα πρέπει να συνεχίζουν τη συνιστώμενη δόση τους.</w:t>
      </w:r>
    </w:p>
    <w:p w14:paraId="3E677A89" w14:textId="77777777" w:rsidR="00171824" w:rsidRDefault="00171824">
      <w:pPr>
        <w:pStyle w:val="BodyText"/>
        <w:widowControl/>
        <w:kinsoku w:val="0"/>
        <w:overflowPunct w:val="0"/>
        <w:ind w:left="0"/>
        <w:rPr>
          <w:u w:val="single"/>
          <w:lang w:val="el-GR"/>
        </w:rPr>
      </w:pPr>
    </w:p>
    <w:p w14:paraId="22D4BDE0" w14:textId="77777777" w:rsidR="00171824" w:rsidRDefault="006D258C">
      <w:pPr>
        <w:pStyle w:val="BodyText"/>
        <w:widowControl/>
        <w:kinsoku w:val="0"/>
        <w:overflowPunct w:val="0"/>
        <w:ind w:left="0"/>
        <w:rPr>
          <w:lang w:val="el-GR"/>
        </w:rPr>
      </w:pPr>
      <w:r>
        <w:rPr>
          <w:u w:val="single"/>
          <w:lang w:val="el-GR"/>
        </w:rPr>
        <w:t>Ενήλικες με μη-λοιμώδη ραγοειδίτιδα</w:t>
      </w:r>
    </w:p>
    <w:p w14:paraId="568507A0" w14:textId="77777777" w:rsidR="00171824" w:rsidRDefault="00171824">
      <w:pPr>
        <w:widowControl/>
        <w:kinsoku w:val="0"/>
        <w:overflowPunct w:val="0"/>
        <w:rPr>
          <w:sz w:val="22"/>
          <w:szCs w:val="22"/>
          <w:lang w:val="el-GR"/>
        </w:rPr>
      </w:pPr>
    </w:p>
    <w:p w14:paraId="48826961" w14:textId="77777777" w:rsidR="00171824" w:rsidRDefault="006D258C">
      <w:pPr>
        <w:pStyle w:val="BodyText"/>
        <w:widowControl/>
        <w:kinsoku w:val="0"/>
        <w:overflowPunct w:val="0"/>
        <w:ind w:left="0"/>
        <w:rPr>
          <w:lang w:val="el-GR"/>
        </w:rPr>
      </w:pPr>
      <w:r>
        <w:rPr>
          <w:lang w:val="el-GR"/>
        </w:rPr>
        <w:t>Η συνήθης δόση για ενήλικες με μη-λοιμώδη ραγοειδίτιδα είναι μία αρχική δόση 80 mg, ακολουθούμενη από 40 mg κάθε δεύτερη εβδομάδα, αρχίζοντας μία εβδομάδα μετά την αρχική δόση. Πρέπει να συνεχίσετε τις ενέσεις AMGEVITA για όσο διάστημα σας έχει υποδείξει ο γιατρός σας.</w:t>
      </w:r>
    </w:p>
    <w:p w14:paraId="4E11896D" w14:textId="77777777" w:rsidR="00171824" w:rsidRDefault="00171824">
      <w:pPr>
        <w:widowControl/>
        <w:kinsoku w:val="0"/>
        <w:overflowPunct w:val="0"/>
        <w:rPr>
          <w:sz w:val="22"/>
          <w:szCs w:val="22"/>
          <w:lang w:val="el-GR"/>
        </w:rPr>
      </w:pPr>
    </w:p>
    <w:p w14:paraId="11D1F69D" w14:textId="77777777" w:rsidR="00171824" w:rsidRDefault="006D258C">
      <w:pPr>
        <w:pStyle w:val="BodyText"/>
        <w:widowControl/>
        <w:kinsoku w:val="0"/>
        <w:overflowPunct w:val="0"/>
        <w:ind w:left="0"/>
        <w:rPr>
          <w:lang w:val="el-GR"/>
        </w:rPr>
      </w:pPr>
      <w:r>
        <w:rPr>
          <w:lang w:val="el-GR"/>
        </w:rPr>
        <w:t>Στη μη-λοιμώδη ραγοειδίτιδα, τα κορτικοστεροειδή ή άλλα φάρμακα που επηρεάζουν το ανοσοποιητικό σύστημα μπορεί να συνεχίζονται όταν λαμβάνετε AMGEVITA. Το AMGEVITA μπορεί επίσης να χορηγηθεί μόνο του.</w:t>
      </w:r>
    </w:p>
    <w:p w14:paraId="3EEE9A9C" w14:textId="77777777" w:rsidR="00171824" w:rsidRDefault="00171824">
      <w:pPr>
        <w:widowControl/>
        <w:kinsoku w:val="0"/>
        <w:overflowPunct w:val="0"/>
        <w:rPr>
          <w:sz w:val="22"/>
          <w:szCs w:val="22"/>
          <w:lang w:val="el-GR"/>
        </w:rPr>
      </w:pPr>
    </w:p>
    <w:p w14:paraId="62AE27A4" w14:textId="77777777" w:rsidR="00171824" w:rsidRDefault="006D258C">
      <w:pPr>
        <w:numPr>
          <w:ilvl w:val="12"/>
          <w:numId w:val="0"/>
        </w:numPr>
        <w:tabs>
          <w:tab w:val="left" w:pos="708"/>
        </w:tabs>
        <w:ind w:right="-2"/>
        <w:rPr>
          <w:sz w:val="22"/>
          <w:szCs w:val="22"/>
          <w:u w:val="single"/>
          <w:lang w:val="el-GR"/>
        </w:rPr>
      </w:pPr>
      <w:r>
        <w:rPr>
          <w:sz w:val="22"/>
          <w:szCs w:val="22"/>
          <w:u w:val="single"/>
          <w:lang w:val="el-GR"/>
        </w:rPr>
        <w:t>Παιδιά και έφηβοι με χρόνια μη-λοιμώδη ραγοειδίτιδα από την ηλικία των 2 ετών</w:t>
      </w:r>
    </w:p>
    <w:p w14:paraId="4E3397AB" w14:textId="77777777" w:rsidR="00171824" w:rsidRDefault="00171824">
      <w:pPr>
        <w:numPr>
          <w:ilvl w:val="12"/>
          <w:numId w:val="0"/>
        </w:numPr>
        <w:tabs>
          <w:tab w:val="left" w:pos="708"/>
        </w:tabs>
        <w:ind w:right="-2"/>
        <w:rPr>
          <w:sz w:val="22"/>
          <w:szCs w:val="22"/>
          <w:lang w:val="el-GR"/>
        </w:rPr>
      </w:pPr>
    </w:p>
    <w:p w14:paraId="2C4E53D6" w14:textId="77777777" w:rsidR="00171824" w:rsidRDefault="006D258C">
      <w:pPr>
        <w:numPr>
          <w:ilvl w:val="12"/>
          <w:numId w:val="0"/>
        </w:numPr>
        <w:tabs>
          <w:tab w:val="left" w:pos="708"/>
        </w:tabs>
        <w:ind w:right="-2"/>
        <w:rPr>
          <w:i/>
          <w:sz w:val="22"/>
          <w:szCs w:val="22"/>
          <w:lang w:val="el-GR"/>
        </w:rPr>
      </w:pPr>
      <w:r>
        <w:rPr>
          <w:i/>
          <w:sz w:val="22"/>
          <w:szCs w:val="22"/>
          <w:lang w:val="el-GR"/>
        </w:rPr>
        <w:t>Παιδιά και έφηβοι 2 ετών και άνω με βάρος λιγότερο από 30 kg:</w:t>
      </w:r>
    </w:p>
    <w:p w14:paraId="53F314FA" w14:textId="77777777" w:rsidR="00171824" w:rsidRDefault="00171824">
      <w:pPr>
        <w:numPr>
          <w:ilvl w:val="12"/>
          <w:numId w:val="0"/>
        </w:numPr>
        <w:tabs>
          <w:tab w:val="left" w:pos="708"/>
        </w:tabs>
        <w:ind w:right="-2"/>
        <w:rPr>
          <w:sz w:val="22"/>
          <w:szCs w:val="22"/>
          <w:lang w:val="el-GR"/>
        </w:rPr>
      </w:pPr>
    </w:p>
    <w:p w14:paraId="2F78ABAA"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20 mg κάθε δεύτερη βδομάδα με μεθοτρεξάτη.</w:t>
      </w:r>
    </w:p>
    <w:p w14:paraId="435E615D" w14:textId="77777777" w:rsidR="00171824" w:rsidRDefault="00171824">
      <w:pPr>
        <w:rPr>
          <w:sz w:val="22"/>
          <w:szCs w:val="22"/>
          <w:lang w:val="el-GR"/>
        </w:rPr>
      </w:pPr>
    </w:p>
    <w:p w14:paraId="16CA0700" w14:textId="77777777" w:rsidR="00171824" w:rsidRDefault="006D258C">
      <w:pPr>
        <w:rPr>
          <w:sz w:val="22"/>
          <w:szCs w:val="22"/>
          <w:lang w:val="el-GR"/>
        </w:rPr>
      </w:pPr>
      <w:r>
        <w:rPr>
          <w:sz w:val="22"/>
          <w:szCs w:val="22"/>
          <w:lang w:val="el-GR"/>
        </w:rPr>
        <w:t>Ο γιατρός του παιδιού σας μπορεί επίσης να συνταγογραφήσει μία αρχική δόση των 40 mg η οποία μπορεί να χορηγηθεί μία εβδομάδα πριν την έναρξη της συνήθους δόσης.</w:t>
      </w:r>
    </w:p>
    <w:p w14:paraId="5F7B5926" w14:textId="77777777" w:rsidR="00171824" w:rsidRDefault="00171824">
      <w:pPr>
        <w:rPr>
          <w:sz w:val="22"/>
          <w:szCs w:val="22"/>
          <w:lang w:val="el-GR"/>
        </w:rPr>
      </w:pPr>
    </w:p>
    <w:p w14:paraId="1A17F1F4" w14:textId="77777777" w:rsidR="00171824" w:rsidRDefault="006D258C">
      <w:pPr>
        <w:keepNext/>
        <w:widowControl/>
        <w:rPr>
          <w:i/>
          <w:sz w:val="22"/>
          <w:szCs w:val="22"/>
          <w:lang w:val="el-GR"/>
        </w:rPr>
      </w:pPr>
      <w:r>
        <w:rPr>
          <w:i/>
          <w:sz w:val="22"/>
          <w:szCs w:val="22"/>
          <w:lang w:val="el-GR"/>
        </w:rPr>
        <w:t>Παιδιά και έφηβοι 2 ετών και άνω με βάρος 30 kg ή περισσότερο:</w:t>
      </w:r>
    </w:p>
    <w:p w14:paraId="23A9EDBE" w14:textId="77777777" w:rsidR="00171824" w:rsidRDefault="00171824">
      <w:pPr>
        <w:keepNext/>
        <w:widowControl/>
        <w:rPr>
          <w:sz w:val="22"/>
          <w:szCs w:val="22"/>
          <w:lang w:val="el-GR"/>
        </w:rPr>
      </w:pPr>
    </w:p>
    <w:p w14:paraId="49124C2B"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40 mg κάθε δεύτερη βδομάδα με μεθοτρεξάτη.</w:t>
      </w:r>
    </w:p>
    <w:p w14:paraId="5E00E5A9" w14:textId="77777777" w:rsidR="00171824" w:rsidRDefault="00171824">
      <w:pPr>
        <w:rPr>
          <w:sz w:val="22"/>
          <w:szCs w:val="22"/>
          <w:lang w:val="el-GR"/>
        </w:rPr>
      </w:pPr>
    </w:p>
    <w:p w14:paraId="63776EA4" w14:textId="77777777" w:rsidR="00171824" w:rsidRDefault="006D258C">
      <w:pPr>
        <w:keepNext/>
        <w:keepLines/>
        <w:rPr>
          <w:sz w:val="22"/>
          <w:szCs w:val="22"/>
          <w:lang w:val="el-GR"/>
        </w:rPr>
      </w:pPr>
      <w:r>
        <w:rPr>
          <w:sz w:val="22"/>
          <w:szCs w:val="22"/>
          <w:lang w:val="el-GR"/>
        </w:rPr>
        <w:t>Ο γιατρός του παιδιού σας μπορεί επίσης να συνταγογραφήσει μία αρχική δόση των 80 mg η οποία μπορεί να χορηγηθεί μία εβδομάδα πριν την έναρξη της συνήθους δόσης.</w:t>
      </w:r>
    </w:p>
    <w:p w14:paraId="77DC7925" w14:textId="77777777" w:rsidR="00171824" w:rsidRDefault="00171824">
      <w:pPr>
        <w:widowControl/>
        <w:kinsoku w:val="0"/>
        <w:overflowPunct w:val="0"/>
        <w:rPr>
          <w:sz w:val="22"/>
          <w:szCs w:val="22"/>
          <w:lang w:val="el-GR"/>
        </w:rPr>
      </w:pPr>
    </w:p>
    <w:p w14:paraId="60206C09" w14:textId="77777777" w:rsidR="00171824" w:rsidRDefault="006D258C">
      <w:pPr>
        <w:pStyle w:val="Heading1"/>
        <w:widowControl/>
        <w:kinsoku w:val="0"/>
        <w:overflowPunct w:val="0"/>
        <w:ind w:left="0"/>
        <w:rPr>
          <w:b w:val="0"/>
          <w:bCs w:val="0"/>
          <w:lang w:val="el-GR"/>
        </w:rPr>
      </w:pPr>
      <w:r>
        <w:rPr>
          <w:lang w:val="el-GR"/>
        </w:rPr>
        <w:t>Τρόπος και οδός χορήγησης</w:t>
      </w:r>
    </w:p>
    <w:p w14:paraId="56DD8F2D" w14:textId="77777777" w:rsidR="00171824" w:rsidRDefault="00171824">
      <w:pPr>
        <w:widowControl/>
        <w:kinsoku w:val="0"/>
        <w:overflowPunct w:val="0"/>
        <w:rPr>
          <w:sz w:val="22"/>
          <w:szCs w:val="22"/>
          <w:lang w:val="el-GR"/>
        </w:rPr>
      </w:pPr>
    </w:p>
    <w:p w14:paraId="0CCA9F7F" w14:textId="77777777" w:rsidR="00171824" w:rsidRDefault="006D258C">
      <w:pPr>
        <w:pStyle w:val="BodyText"/>
        <w:widowControl/>
        <w:kinsoku w:val="0"/>
        <w:overflowPunct w:val="0"/>
        <w:ind w:left="0"/>
        <w:rPr>
          <w:lang w:val="el-GR"/>
        </w:rPr>
      </w:pPr>
      <w:r>
        <w:rPr>
          <w:lang w:val="el-GR"/>
        </w:rPr>
        <w:t>Το AMGEVITA χορηγείται με ένεση κάτω από το δέρμα (υποδόρια ένεση).</w:t>
      </w:r>
    </w:p>
    <w:p w14:paraId="54557F10" w14:textId="77777777" w:rsidR="00171824" w:rsidRDefault="00171824">
      <w:pPr>
        <w:widowControl/>
        <w:kinsoku w:val="0"/>
        <w:overflowPunct w:val="0"/>
        <w:rPr>
          <w:sz w:val="22"/>
          <w:szCs w:val="22"/>
          <w:lang w:val="el-GR"/>
        </w:rPr>
      </w:pPr>
    </w:p>
    <w:p w14:paraId="6EF85DEE" w14:textId="77777777" w:rsidR="00171824" w:rsidRDefault="006D258C">
      <w:pPr>
        <w:widowControl/>
        <w:kinsoku w:val="0"/>
        <w:overflowPunct w:val="0"/>
        <w:rPr>
          <w:sz w:val="22"/>
          <w:szCs w:val="22"/>
          <w:lang w:val="el-GR"/>
        </w:rPr>
      </w:pPr>
      <w:r>
        <w:rPr>
          <w:sz w:val="22"/>
          <w:szCs w:val="22"/>
          <w:lang w:val="el-GR"/>
        </w:rPr>
        <w:lastRenderedPageBreak/>
        <w:t xml:space="preserve">Λεπτομερείς οδηγίες σχετικά με τον τρόπο που πρέπει να κάνετε την ένεση του AMGEVITA παρέχονται στην παράγραφο «Οδηγίες χρήσης». </w:t>
      </w:r>
    </w:p>
    <w:p w14:paraId="49385A7D" w14:textId="77777777" w:rsidR="00171824" w:rsidRDefault="00171824">
      <w:pPr>
        <w:widowControl/>
        <w:kinsoku w:val="0"/>
        <w:overflowPunct w:val="0"/>
        <w:rPr>
          <w:sz w:val="22"/>
          <w:szCs w:val="22"/>
          <w:lang w:val="el-GR"/>
        </w:rPr>
      </w:pPr>
    </w:p>
    <w:p w14:paraId="11F43DF6" w14:textId="77777777" w:rsidR="00171824" w:rsidRDefault="006D258C">
      <w:pPr>
        <w:pStyle w:val="Heading1"/>
        <w:widowControl/>
        <w:kinsoku w:val="0"/>
        <w:overflowPunct w:val="0"/>
        <w:ind w:left="0"/>
        <w:rPr>
          <w:b w:val="0"/>
          <w:bCs w:val="0"/>
          <w:lang w:val="el-GR"/>
        </w:rPr>
      </w:pPr>
      <w:r>
        <w:rPr>
          <w:lang w:val="el-GR"/>
        </w:rPr>
        <w:t>Εάν χρησιμοποιήσετε μεγαλύτερη δόση AMGEVITA από την κανονική:</w:t>
      </w:r>
    </w:p>
    <w:p w14:paraId="61F9C3F5" w14:textId="77777777" w:rsidR="00171824" w:rsidRDefault="00171824">
      <w:pPr>
        <w:widowControl/>
        <w:kinsoku w:val="0"/>
        <w:overflowPunct w:val="0"/>
        <w:rPr>
          <w:sz w:val="22"/>
          <w:szCs w:val="22"/>
          <w:lang w:val="el-GR"/>
        </w:rPr>
      </w:pPr>
    </w:p>
    <w:p w14:paraId="45DF73AE" w14:textId="77777777" w:rsidR="00171824" w:rsidRDefault="006D258C">
      <w:pPr>
        <w:pStyle w:val="BodyText"/>
        <w:widowControl/>
        <w:kinsoku w:val="0"/>
        <w:overflowPunct w:val="0"/>
        <w:ind w:left="0"/>
        <w:rPr>
          <w:lang w:val="el-GR"/>
        </w:rPr>
      </w:pPr>
      <w:r>
        <w:rPr>
          <w:lang w:val="el-GR"/>
        </w:rPr>
        <w:t>Εάν κατά λάθος κάνετε την ένεση του AMGEVITA πιο συχνά από ό,τι σας είπε ο/η γιατρός ή ο φαρμακοποιός σας, καλέσετε τον γιατρό ή τον φαρμακοποιός σας και να του/της πείτε ότι πήρατε μεγαλύτερη δόση. Θα πρέπει να έχετε πάντοτε την εξωτερική συσκευασία αυτού του φαρμάκου μαζί σας, ακόμη και όταν είναι άδεια.</w:t>
      </w:r>
    </w:p>
    <w:p w14:paraId="2865C6B5" w14:textId="77777777" w:rsidR="00171824" w:rsidRDefault="00171824">
      <w:pPr>
        <w:widowControl/>
        <w:kinsoku w:val="0"/>
        <w:overflowPunct w:val="0"/>
        <w:rPr>
          <w:sz w:val="22"/>
          <w:szCs w:val="22"/>
          <w:lang w:val="el-GR"/>
        </w:rPr>
      </w:pPr>
    </w:p>
    <w:p w14:paraId="6384E831" w14:textId="77777777" w:rsidR="00171824" w:rsidRDefault="006D258C">
      <w:pPr>
        <w:pStyle w:val="Heading1"/>
        <w:widowControl/>
        <w:kinsoku w:val="0"/>
        <w:overflowPunct w:val="0"/>
        <w:ind w:left="0"/>
        <w:rPr>
          <w:b w:val="0"/>
          <w:bCs w:val="0"/>
          <w:lang w:val="el-GR"/>
        </w:rPr>
      </w:pPr>
      <w:r>
        <w:rPr>
          <w:lang w:val="el-GR"/>
        </w:rPr>
        <w:t>Εάν ξεχάσετε να χρησιμοποιήσετε το AMGEVITA:</w:t>
      </w:r>
    </w:p>
    <w:p w14:paraId="7CCC82DA" w14:textId="77777777" w:rsidR="00171824" w:rsidRDefault="00171824">
      <w:pPr>
        <w:widowControl/>
        <w:kinsoku w:val="0"/>
        <w:overflowPunct w:val="0"/>
        <w:rPr>
          <w:sz w:val="22"/>
          <w:szCs w:val="22"/>
          <w:lang w:val="el-GR"/>
        </w:rPr>
      </w:pPr>
    </w:p>
    <w:p w14:paraId="4CC4EA58" w14:textId="77777777" w:rsidR="00171824" w:rsidRDefault="006D258C">
      <w:pPr>
        <w:pStyle w:val="BodyText"/>
        <w:widowControl/>
        <w:kinsoku w:val="0"/>
        <w:overflowPunct w:val="0"/>
        <w:ind w:left="0"/>
        <w:rPr>
          <w:lang w:val="el-GR"/>
        </w:rPr>
      </w:pPr>
      <w:r>
        <w:rPr>
          <w:lang w:val="el-GR"/>
        </w:rPr>
        <w:t>Εάν ξεχάσετε να κάνετε την ένεση, θα πρέπει να κάνετε την επόμενη δόση της ένεσης του AMGEVITA αμέσως μόλις το θυμηθείτε. Κατόπιν θα συνεχίσετε την επόμενη δόση την ημέρα που είχε αρχικά προγραμματισθεί, εάν δεν είχατε ξεχάσει τη δόση.</w:t>
      </w:r>
    </w:p>
    <w:p w14:paraId="395F0344" w14:textId="77777777" w:rsidR="00171824" w:rsidRDefault="00171824">
      <w:pPr>
        <w:widowControl/>
        <w:kinsoku w:val="0"/>
        <w:overflowPunct w:val="0"/>
        <w:rPr>
          <w:sz w:val="22"/>
          <w:szCs w:val="22"/>
          <w:lang w:val="el-GR"/>
        </w:rPr>
      </w:pPr>
    </w:p>
    <w:p w14:paraId="0D0D249E" w14:textId="77777777" w:rsidR="00171824" w:rsidRDefault="006D258C">
      <w:pPr>
        <w:pStyle w:val="Heading1"/>
        <w:keepNext/>
        <w:widowControl/>
        <w:kinsoku w:val="0"/>
        <w:overflowPunct w:val="0"/>
        <w:ind w:left="0"/>
        <w:rPr>
          <w:b w:val="0"/>
          <w:bCs w:val="0"/>
          <w:lang w:val="el-GR"/>
        </w:rPr>
      </w:pPr>
      <w:r>
        <w:rPr>
          <w:lang w:val="el-GR"/>
        </w:rPr>
        <w:t>Εάν σταματήσετε να χρησιμοποιείτε το AMGEVITA:</w:t>
      </w:r>
    </w:p>
    <w:p w14:paraId="4C427DDD" w14:textId="77777777" w:rsidR="00171824" w:rsidRDefault="00171824">
      <w:pPr>
        <w:keepNext/>
        <w:widowControl/>
        <w:kinsoku w:val="0"/>
        <w:overflowPunct w:val="0"/>
        <w:rPr>
          <w:sz w:val="22"/>
          <w:szCs w:val="22"/>
          <w:lang w:val="el-GR"/>
        </w:rPr>
      </w:pPr>
    </w:p>
    <w:p w14:paraId="2DE37787" w14:textId="77777777" w:rsidR="00171824" w:rsidRDefault="006D258C">
      <w:pPr>
        <w:pStyle w:val="BodyText"/>
        <w:widowControl/>
        <w:kinsoku w:val="0"/>
        <w:overflowPunct w:val="0"/>
        <w:ind w:left="0"/>
        <w:rPr>
          <w:lang w:val="el-GR"/>
        </w:rPr>
      </w:pPr>
      <w:r>
        <w:rPr>
          <w:lang w:val="el-GR"/>
        </w:rPr>
        <w:t>Η απόφαση να σταματήσετε να χρησιμοποιείτε το AMGEVITA θα πρέπει να συζητηθεί με τον γιατρό σας. Τα συμπτώματά σας μπορεί να επανέλθουν μετά την διακοπή.</w:t>
      </w:r>
    </w:p>
    <w:p w14:paraId="0A6D53A2" w14:textId="77777777" w:rsidR="00171824" w:rsidRDefault="00171824">
      <w:pPr>
        <w:widowControl/>
        <w:kinsoku w:val="0"/>
        <w:overflowPunct w:val="0"/>
        <w:rPr>
          <w:sz w:val="22"/>
          <w:szCs w:val="22"/>
          <w:lang w:val="el-GR"/>
        </w:rPr>
      </w:pPr>
    </w:p>
    <w:p w14:paraId="1F2E1C4F" w14:textId="77777777" w:rsidR="00171824" w:rsidRDefault="006D258C">
      <w:pPr>
        <w:pStyle w:val="BodyText"/>
        <w:widowControl/>
        <w:kinsoku w:val="0"/>
        <w:overflowPunct w:val="0"/>
        <w:ind w:left="0"/>
        <w:rPr>
          <w:lang w:val="el-GR"/>
        </w:rPr>
      </w:pPr>
      <w:r>
        <w:rPr>
          <w:lang w:val="el-GR"/>
        </w:rPr>
        <w:t>Εάν έχετε περισσότερες ερωτήσεις σχετικά με τη χρήση αυτού του φαρμάκου ρωτήστε τον γιατρό ή τον φαρμακοποιό σας.</w:t>
      </w:r>
    </w:p>
    <w:p w14:paraId="4700CDDA" w14:textId="77777777" w:rsidR="00171824" w:rsidRDefault="00171824">
      <w:pPr>
        <w:widowControl/>
        <w:kinsoku w:val="0"/>
        <w:overflowPunct w:val="0"/>
        <w:rPr>
          <w:sz w:val="22"/>
          <w:szCs w:val="22"/>
          <w:lang w:val="el-GR"/>
        </w:rPr>
      </w:pPr>
    </w:p>
    <w:p w14:paraId="04E60528" w14:textId="77777777" w:rsidR="00171824" w:rsidRDefault="00171824">
      <w:pPr>
        <w:widowControl/>
        <w:kinsoku w:val="0"/>
        <w:overflowPunct w:val="0"/>
        <w:rPr>
          <w:sz w:val="22"/>
          <w:szCs w:val="22"/>
          <w:lang w:val="el-GR"/>
        </w:rPr>
      </w:pPr>
    </w:p>
    <w:p w14:paraId="076084A9" w14:textId="77777777" w:rsidR="00171824" w:rsidRDefault="006D258C">
      <w:pPr>
        <w:pStyle w:val="Heading1"/>
        <w:widowControl/>
        <w:numPr>
          <w:ilvl w:val="0"/>
          <w:numId w:val="34"/>
        </w:numPr>
        <w:kinsoku w:val="0"/>
        <w:overflowPunct w:val="0"/>
        <w:ind w:left="567"/>
        <w:rPr>
          <w:b w:val="0"/>
          <w:bCs w:val="0"/>
          <w:lang w:val="el-GR"/>
        </w:rPr>
      </w:pPr>
      <w:r>
        <w:rPr>
          <w:lang w:val="el-GR"/>
        </w:rPr>
        <w:t>Πιθανές ανεπιθύμητες ενέργειες</w:t>
      </w:r>
    </w:p>
    <w:p w14:paraId="1CCDF28E" w14:textId="77777777" w:rsidR="00171824" w:rsidRDefault="00171824">
      <w:pPr>
        <w:widowControl/>
        <w:kinsoku w:val="0"/>
        <w:overflowPunct w:val="0"/>
        <w:rPr>
          <w:sz w:val="22"/>
          <w:szCs w:val="22"/>
          <w:lang w:val="el-GR"/>
        </w:rPr>
      </w:pPr>
    </w:p>
    <w:p w14:paraId="23DEFD0A" w14:textId="77777777" w:rsidR="00171824" w:rsidRDefault="006D258C">
      <w:pPr>
        <w:pStyle w:val="BodyText"/>
        <w:widowControl/>
        <w:kinsoku w:val="0"/>
        <w:overflowPunct w:val="0"/>
        <w:ind w:left="0"/>
        <w:rPr>
          <w:lang w:val="el-GR"/>
        </w:rPr>
      </w:pPr>
      <w:r>
        <w:rPr>
          <w:lang w:val="el-GR"/>
        </w:rPr>
        <w:t>Όπως όλα τα φάρμακα, έτσι και αυτό το φάρμακο μπορεί να προκαλέσει ανεπιθύμητες ενέργειες, αν και δεν παρουσιάζονται σε όλους τους ανθρώπους. Οι περισσότερες ανεπιθύμητες ενέργειες είναι ελαφρές έως μέτριες. Όμως κάποιες μπορεί να είναι σοβαρές και να απαιτούν θεραπεία. Ανεπιθύμητες ενέργειες μπορεί να εμφανιστούν το λιγότερο μέσα σε διάστημα 4 μηνών μετά την τελευταία ένεση AMGEVITA.</w:t>
      </w:r>
    </w:p>
    <w:p w14:paraId="3C9E3F1A" w14:textId="77777777" w:rsidR="00171824" w:rsidRDefault="00171824">
      <w:pPr>
        <w:widowControl/>
        <w:kinsoku w:val="0"/>
        <w:overflowPunct w:val="0"/>
        <w:rPr>
          <w:sz w:val="22"/>
          <w:szCs w:val="22"/>
          <w:lang w:val="el-GR"/>
        </w:rPr>
      </w:pPr>
    </w:p>
    <w:p w14:paraId="1DE79373" w14:textId="77777777" w:rsidR="00171824" w:rsidRDefault="006D258C">
      <w:pPr>
        <w:pStyle w:val="BodyText"/>
        <w:widowControl/>
        <w:kinsoku w:val="0"/>
        <w:overflowPunct w:val="0"/>
        <w:ind w:left="0"/>
        <w:rPr>
          <w:lang w:val="el-GR"/>
        </w:rPr>
      </w:pPr>
      <w:r>
        <w:rPr>
          <w:lang w:val="el-GR"/>
        </w:rPr>
        <w:t>Ενημερώστε αμέσως τον γιατρό σας εάν παρατηρήσετε κάποιο από τα ακόλουθα σημεία αλλεργικής αντίδρασης ή καρδιακής ανεπάρκειας:</w:t>
      </w:r>
    </w:p>
    <w:p w14:paraId="581075C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Σοβαρό εξάνθημα, κνίδωση ή άλλα σημεία αλλεργικής αντίδρασης,</w:t>
      </w:r>
    </w:p>
    <w:p w14:paraId="0A83F6D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Οίδημα προσώπου, χεριών και ποδιών,</w:t>
      </w:r>
    </w:p>
    <w:p w14:paraId="03A166E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Αναπνευστικό πρόβλημα, δυσκολία κατάποσης,</w:t>
      </w:r>
    </w:p>
    <w:p w14:paraId="61F4983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Δυσκολία αναπνοής κατά την προσπάθεια ή κατά την κατάκλιση ή οίδημα στα πόδια.</w:t>
      </w:r>
    </w:p>
    <w:p w14:paraId="7F810F1C" w14:textId="77777777" w:rsidR="00171824" w:rsidRDefault="00171824">
      <w:pPr>
        <w:widowControl/>
        <w:kinsoku w:val="0"/>
        <w:overflowPunct w:val="0"/>
        <w:rPr>
          <w:sz w:val="22"/>
          <w:szCs w:val="22"/>
          <w:lang w:val="el-GR"/>
        </w:rPr>
      </w:pPr>
    </w:p>
    <w:p w14:paraId="152D92CB" w14:textId="77777777" w:rsidR="00171824" w:rsidRDefault="006D258C">
      <w:pPr>
        <w:pStyle w:val="BodyText"/>
        <w:keepNext/>
        <w:keepLines/>
        <w:widowControl/>
        <w:kinsoku w:val="0"/>
        <w:overflowPunct w:val="0"/>
        <w:ind w:left="0"/>
        <w:rPr>
          <w:lang w:val="el-GR"/>
        </w:rPr>
      </w:pPr>
      <w:r>
        <w:rPr>
          <w:lang w:val="el-GR"/>
        </w:rPr>
        <w:t>Ενημερώστε αμέσως τον γιατρό σας εάν παρατηρήσετε κάποιο από τα ακόλουθα:</w:t>
      </w:r>
    </w:p>
    <w:p w14:paraId="106545B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Σημεία λοίμωξης, όπως πυρετός, αίσθημα ασθένειας, πληγές, οδοντικά προβλήματα, αίσθηση καύσου κατά την ούρηση,</w:t>
      </w:r>
    </w:p>
    <w:p w14:paraId="182F903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Αίσθημα αδυναμίας ή κόπωσης,</w:t>
      </w:r>
    </w:p>
    <w:p w14:paraId="73BD2E1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Βήχα,</w:t>
      </w:r>
    </w:p>
    <w:p w14:paraId="3B9D9EC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Κνησμό,</w:t>
      </w:r>
    </w:p>
    <w:p w14:paraId="28E0957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Μούδιασμα,</w:t>
      </w:r>
    </w:p>
    <w:p w14:paraId="4AD24B3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Διπλή όραση,</w:t>
      </w:r>
    </w:p>
    <w:p w14:paraId="009C998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Αδυναμία χεριών ή ποδιών,</w:t>
      </w:r>
    </w:p>
    <w:p w14:paraId="12B9D4D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Σημεία καρκίνου του δέρματος όπως τοπικό πρήξιμο, ή ανοιχτό έλκος το οποίο δε θεραπεύεται,</w:t>
      </w:r>
    </w:p>
    <w:p w14:paraId="7E27E47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Σημεία και συμπτώματα ύποπτα για αιματολογικές διαταραχές, όπως παρατεινόμενος πυρετός, μώλωπες, αιμορραγία, ωχρότητα.</w:t>
      </w:r>
    </w:p>
    <w:p w14:paraId="5B73DDAA" w14:textId="77777777" w:rsidR="00171824" w:rsidRDefault="00171824">
      <w:pPr>
        <w:widowControl/>
        <w:kinsoku w:val="0"/>
        <w:overflowPunct w:val="0"/>
        <w:rPr>
          <w:sz w:val="22"/>
          <w:szCs w:val="22"/>
          <w:lang w:val="el-GR"/>
        </w:rPr>
      </w:pPr>
    </w:p>
    <w:p w14:paraId="070BA8BD" w14:textId="77777777" w:rsidR="00171824" w:rsidRDefault="006D258C">
      <w:pPr>
        <w:pStyle w:val="BodyText"/>
        <w:widowControl/>
        <w:kinsoku w:val="0"/>
        <w:overflowPunct w:val="0"/>
        <w:ind w:left="0"/>
        <w:rPr>
          <w:lang w:val="el-GR"/>
        </w:rPr>
      </w:pPr>
      <w:r>
        <w:rPr>
          <w:lang w:val="el-GR"/>
        </w:rPr>
        <w:t>Τα παραπάνω συμπτώματα μπορεί να αποτελούν ένδειξη για τις ακόλουθες ανεπιθύμητες ενέργειες, οι οποίες έχουν παρατηρηθεί με το adalimumab.</w:t>
      </w:r>
    </w:p>
    <w:p w14:paraId="6555164D" w14:textId="77777777" w:rsidR="00171824" w:rsidRDefault="00171824">
      <w:pPr>
        <w:widowControl/>
        <w:kinsoku w:val="0"/>
        <w:overflowPunct w:val="0"/>
        <w:rPr>
          <w:sz w:val="22"/>
          <w:szCs w:val="22"/>
          <w:lang w:val="el-GR"/>
        </w:rPr>
      </w:pPr>
    </w:p>
    <w:p w14:paraId="0C45784B" w14:textId="77777777" w:rsidR="00171824" w:rsidRDefault="006D258C">
      <w:pPr>
        <w:pStyle w:val="BodyText"/>
        <w:widowControl/>
        <w:kinsoku w:val="0"/>
        <w:overflowPunct w:val="0"/>
        <w:ind w:left="0"/>
        <w:rPr>
          <w:lang w:val="el-GR"/>
        </w:rPr>
      </w:pPr>
      <w:r>
        <w:rPr>
          <w:lang w:val="el-GR"/>
        </w:rPr>
        <w:lastRenderedPageBreak/>
        <w:t xml:space="preserve">Πολύ συχνές </w:t>
      </w:r>
      <w:r>
        <w:rPr>
          <w:b/>
          <w:lang w:val="el-GR"/>
        </w:rPr>
        <w:t>(</w:t>
      </w:r>
      <w:r>
        <w:rPr>
          <w:lang w:val="el-GR"/>
        </w:rPr>
        <w:t>μπορεί να επηρεάσουν περισσότερους από 1 στους 10 ανθρώπους)</w:t>
      </w:r>
    </w:p>
    <w:p w14:paraId="6024936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αντιδράσεις της θέσης ένεσης (που συμπεριλαμβάνουν άλγος, οίδημα, ερυθρότητα ή κνησμό),</w:t>
      </w:r>
    </w:p>
    <w:p w14:paraId="7639006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αναπνευστικού συστήματος (συμπεριλαμβάνεται κρυολόγημα, καταρροή, ιγμορίτιδα, πνευμονία),</w:t>
      </w:r>
    </w:p>
    <w:p w14:paraId="03D0A17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πονοκέφαλος,</w:t>
      </w:r>
    </w:p>
    <w:p w14:paraId="75D03C3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πόνος στην κοιλιά,</w:t>
      </w:r>
    </w:p>
    <w:p w14:paraId="50A2AA8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ναυτία και έμετος,</w:t>
      </w:r>
    </w:p>
    <w:p w14:paraId="0B73C40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εξάνθημα,</w:t>
      </w:r>
    </w:p>
    <w:p w14:paraId="7334C82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μυοσκελετικός πόνος.</w:t>
      </w:r>
    </w:p>
    <w:p w14:paraId="4AEEE75E" w14:textId="77777777" w:rsidR="00171824" w:rsidRDefault="00171824">
      <w:pPr>
        <w:widowControl/>
        <w:kinsoku w:val="0"/>
        <w:overflowPunct w:val="0"/>
        <w:rPr>
          <w:sz w:val="22"/>
          <w:szCs w:val="22"/>
          <w:lang w:val="el-GR"/>
        </w:rPr>
      </w:pPr>
    </w:p>
    <w:p w14:paraId="4A2ED657" w14:textId="77777777" w:rsidR="00171824" w:rsidRDefault="006D258C">
      <w:pPr>
        <w:pStyle w:val="BodyText"/>
        <w:widowControl/>
        <w:kinsoku w:val="0"/>
        <w:overflowPunct w:val="0"/>
        <w:ind w:left="0"/>
        <w:rPr>
          <w:lang w:val="el-GR"/>
        </w:rPr>
      </w:pPr>
      <w:r>
        <w:rPr>
          <w:lang w:val="el-GR"/>
        </w:rPr>
        <w:t>Συχνές</w:t>
      </w:r>
      <w:r>
        <w:rPr>
          <w:b/>
          <w:lang w:val="el-GR"/>
        </w:rPr>
        <w:t xml:space="preserve"> </w:t>
      </w:r>
      <w:r>
        <w:rPr>
          <w:lang w:val="el-GR"/>
        </w:rPr>
        <w:t>(μπορεί να επηρεάσουν έως 1 στους 10 ανθρώπους)</w:t>
      </w:r>
    </w:p>
    <w:p w14:paraId="01E1B59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σοβαρές λοιμώξεις (συμπεριλαμβάνεται σηψαιμία και γρίπη),</w:t>
      </w:r>
    </w:p>
    <w:p w14:paraId="4B00A14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εντερικές λοιμώξεις (συμπεριλαμβάνεται γαστρεντερίτιδα),</w:t>
      </w:r>
    </w:p>
    <w:p w14:paraId="7238BDF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του δέρματος (συμπεριλαμβάνεται κυτταρίτιδα και έρπης),</w:t>
      </w:r>
    </w:p>
    <w:p w14:paraId="05DCD06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του αυτιού,</w:t>
      </w:r>
    </w:p>
    <w:p w14:paraId="0332C15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στοματικές λοιμώξεις (συμπεριλαμβάνονται λοιμώξεις των δοντιών και πόνοι από κρυολόγημα),</w:t>
      </w:r>
    </w:p>
    <w:p w14:paraId="4D2F6DC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του αναπαραγωγικού συστήματος,</w:t>
      </w:r>
    </w:p>
    <w:p w14:paraId="2F94842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του ουροποιητικού συστήματος,</w:t>
      </w:r>
    </w:p>
    <w:p w14:paraId="6F9FAB5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μυκητιασικές λοιμώξεις,</w:t>
      </w:r>
    </w:p>
    <w:p w14:paraId="5B7DA94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λοιμώξεις των αρθρώσεων,</w:t>
      </w:r>
    </w:p>
    <w:p w14:paraId="7ED5213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καλοήθεις όγκοι,</w:t>
      </w:r>
    </w:p>
    <w:p w14:paraId="51688CA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καρκίνος δέρματος,</w:t>
      </w:r>
    </w:p>
    <w:p w14:paraId="32E7DF5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αλλεργικές αντιδράσεις (συμπεριλαμβάνεται εποχική αλλεργία),</w:t>
      </w:r>
    </w:p>
    <w:p w14:paraId="046F16A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αφυδάτωση,</w:t>
      </w:r>
    </w:p>
    <w:p w14:paraId="34C57BB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αλλαγές της διάθεσης (συμπεριλαμβάνεται κατάθλιψη),</w:t>
      </w:r>
    </w:p>
    <w:p w14:paraId="1727A39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άγχος,</w:t>
      </w:r>
    </w:p>
    <w:p w14:paraId="66BB098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δυσκολίες στον ύπνο,</w:t>
      </w:r>
    </w:p>
    <w:p w14:paraId="306A6D8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διαταραχές της αίσθησης όπως μυρμήγκιασμα, αίσθημα τσιμπήματος ή μούδιασμα,</w:t>
      </w:r>
    </w:p>
    <w:p w14:paraId="7DF948F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ημικρανία,</w:t>
      </w:r>
    </w:p>
    <w:p w14:paraId="5F71BD1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συμπίεση νευρικής ρίζας (συμπεριλαμβάνεται πόνος χαμηλά στη μέση και πόνος στο πόδι),</w:t>
      </w:r>
    </w:p>
    <w:p w14:paraId="296F26F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διαταραχές όρασης,</w:t>
      </w:r>
    </w:p>
    <w:p w14:paraId="2837B4B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οφθαλμική φλεγμονή,</w:t>
      </w:r>
    </w:p>
    <w:p w14:paraId="7C1DA80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φλεγμονή των βλεφάρων και πρήξιμο του ματιού,</w:t>
      </w:r>
    </w:p>
    <w:p w14:paraId="18C3E79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ίλιγγος (αίσθηση ζάλης ή στροβιλισμού του δωματίου),</w:t>
      </w:r>
    </w:p>
    <w:p w14:paraId="2E97630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αίσθημα γρήγορου καρδιακού παλμού,</w:t>
      </w:r>
    </w:p>
    <w:p w14:paraId="00BF6DC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υψηλή αρτηριακή πίεση,</w:t>
      </w:r>
    </w:p>
    <w:p w14:paraId="4AE2F11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κοκκίνισμα,</w:t>
      </w:r>
    </w:p>
    <w:p w14:paraId="7F46CC2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αιμάτωμα,</w:t>
      </w:r>
    </w:p>
    <w:p w14:paraId="5A11E0B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βήχας,</w:t>
      </w:r>
    </w:p>
    <w:p w14:paraId="7AE66DF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άσθμα,</w:t>
      </w:r>
    </w:p>
    <w:p w14:paraId="7515CAB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κόψιμο της αναπνοής (δύσπνοια),</w:t>
      </w:r>
    </w:p>
    <w:p w14:paraId="600E9FA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γαστρεντερική αιμορραγία,</w:t>
      </w:r>
    </w:p>
    <w:p w14:paraId="2C0EB28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δυσπεψία (δυσπεψία, φούσκωμα, καούρα),</w:t>
      </w:r>
    </w:p>
    <w:p w14:paraId="4AE423C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παλινδρόμηση,</w:t>
      </w:r>
    </w:p>
    <w:p w14:paraId="2D3EA79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σύνδρομο ξηρότητας (συμπεριλαμβάνονται ξηρότητα στα μάτια και ξηροστομία),</w:t>
      </w:r>
    </w:p>
    <w:p w14:paraId="57AF710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κνησμός,</w:t>
      </w:r>
    </w:p>
    <w:p w14:paraId="0090872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εξάνθημα με φαγούρα,</w:t>
      </w:r>
    </w:p>
    <w:p w14:paraId="439D493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μώλωπες,</w:t>
      </w:r>
    </w:p>
    <w:p w14:paraId="040FAF3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φλεγμονή του δέρματος (όπως έκζεμα),</w:t>
      </w:r>
    </w:p>
    <w:p w14:paraId="68C167D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σπάσιμο των νυχιών του χεριού και του ποδιού,</w:t>
      </w:r>
    </w:p>
    <w:p w14:paraId="5EB93F9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αυξημένη εφίδρωση,</w:t>
      </w:r>
    </w:p>
    <w:p w14:paraId="03C8EB8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απώλεια τριχών (αλωπεκία),</w:t>
      </w:r>
    </w:p>
    <w:p w14:paraId="4DFF8C6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πρόσφατη έναρξη ή επιδείνωση των συμπτωμάτων ψωρίασης,</w:t>
      </w:r>
    </w:p>
    <w:p w14:paraId="5FBB264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lastRenderedPageBreak/>
        <w:t>μυϊκοί σπασμοί,</w:t>
      </w:r>
    </w:p>
    <w:p w14:paraId="29B7AB1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αιματουρία,</w:t>
      </w:r>
    </w:p>
    <w:p w14:paraId="062A4CA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προβλήματα στους νεφρούς,</w:t>
      </w:r>
    </w:p>
    <w:p w14:paraId="1FCC1D6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πόνος στο στήθος,</w:t>
      </w:r>
    </w:p>
    <w:p w14:paraId="748FE33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οίδημα,</w:t>
      </w:r>
    </w:p>
    <w:p w14:paraId="4F0D5C3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πυρετός,</w:t>
      </w:r>
    </w:p>
    <w:p w14:paraId="4E96DD7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μείωση των αιμοπεταλίων του αίματος που αυξάνει τον κίνδυνο αιμορραγίας ή εμφάνισης μωλώπων,</w:t>
      </w:r>
    </w:p>
    <w:p w14:paraId="0CBB801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δυσχερής επούλωση.</w:t>
      </w:r>
    </w:p>
    <w:p w14:paraId="102CD17D" w14:textId="77777777" w:rsidR="00171824" w:rsidRDefault="00171824">
      <w:pPr>
        <w:widowControl/>
        <w:kinsoku w:val="0"/>
        <w:overflowPunct w:val="0"/>
        <w:rPr>
          <w:sz w:val="22"/>
          <w:szCs w:val="22"/>
          <w:lang w:val="el-GR"/>
        </w:rPr>
      </w:pPr>
    </w:p>
    <w:p w14:paraId="226D5C90" w14:textId="77777777" w:rsidR="00171824" w:rsidRDefault="006D258C">
      <w:pPr>
        <w:pStyle w:val="BodyText"/>
        <w:widowControl/>
        <w:kinsoku w:val="0"/>
        <w:overflowPunct w:val="0"/>
        <w:ind w:left="0"/>
        <w:rPr>
          <w:lang w:val="el-GR"/>
        </w:rPr>
      </w:pPr>
      <w:r>
        <w:rPr>
          <w:lang w:val="el-GR"/>
        </w:rPr>
        <w:t xml:space="preserve">Όχι συχνές </w:t>
      </w:r>
      <w:r>
        <w:rPr>
          <w:b/>
          <w:lang w:val="el-GR"/>
        </w:rPr>
        <w:t>(</w:t>
      </w:r>
      <w:r>
        <w:rPr>
          <w:lang w:val="el-GR"/>
        </w:rPr>
        <w:t>μπορεί να επηρεάσουν έως 1 στους 100 ανθρώπους)</w:t>
      </w:r>
    </w:p>
    <w:p w14:paraId="5884C3F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ευκαιριακές λοιμώξεις (που συμπεριλαμβάνουν φυματίωση και άλλες λοιμώξεις που προκύπτουν όταν μειώνεται η αντίσταση στη νόσο),</w:t>
      </w:r>
    </w:p>
    <w:p w14:paraId="785F021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νευρολογικές λοιμώξεις (συμπεριλαμβάνεται ιογενής μηνιγγίτιδα),</w:t>
      </w:r>
    </w:p>
    <w:p w14:paraId="6FE130D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οφθαλμικές λοιμώξεις,</w:t>
      </w:r>
    </w:p>
    <w:p w14:paraId="2D1C3A6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βακτηριακές λοιμώξεις,</w:t>
      </w:r>
    </w:p>
    <w:p w14:paraId="2EF9F44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εκκολπωματίτιδα (φλεγμονή και λοίμωξη του παχέος εντέρου),</w:t>
      </w:r>
    </w:p>
    <w:p w14:paraId="461C7C9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καρκίνος, συμπεριλαμβανομένου του καρκίνου που επηρεάζει το λεμφικό σύστημα (λέμφωμα) και του μελανώματος (καρκίνος του δέρματος),</w:t>
      </w:r>
    </w:p>
    <w:p w14:paraId="4DE3926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διαταραχές του ανοσοποιητικού συστήματος που μπορεί να επηρεάσουν τους πνεύμονες, το δέρμα και τους λεμφαδένες (παρουσιάζονται συνηθέστερα ως σαρκοείδωση),</w:t>
      </w:r>
    </w:p>
    <w:p w14:paraId="2E7551F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αγγειίτιδα (φλεγμονή αιμοφόρων αγγείων),</w:t>
      </w:r>
    </w:p>
    <w:p w14:paraId="65D5451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τρόμος,</w:t>
      </w:r>
    </w:p>
    <w:p w14:paraId="41C7980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νευροπάθεια,</w:t>
      </w:r>
    </w:p>
    <w:p w14:paraId="21214D1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εγκεφαλικό επεισόδιο,</w:t>
      </w:r>
    </w:p>
    <w:p w14:paraId="15975CC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απώλεια ακοής, βουητό,</w:t>
      </w:r>
    </w:p>
    <w:p w14:paraId="6ACFD81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αίσθημα ανώμαλου καρδιακού ρυθμού όπως παράλειψη καρδιακών παλμών,</w:t>
      </w:r>
    </w:p>
    <w:p w14:paraId="42A216B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καρδιολογικά προβλήματα που μπορεί να προκαλέσουν κόψιμο της αναπνοής (δύσπνοια) ή πρήξιμο των αστραγάλων,</w:t>
      </w:r>
    </w:p>
    <w:p w14:paraId="5F4D557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καρδιακή προσβολή,</w:t>
      </w:r>
    </w:p>
    <w:p w14:paraId="34D3EBC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ένα σάκο στο τοίχωμα μιας μεγάλης αρτηρίας (ανεύρυσμα), φλεγμονή και θρόμβωση μίας φλέβας, απόφραξη ενός αιμοφόρου αγγείου,</w:t>
      </w:r>
    </w:p>
    <w:p w14:paraId="41080FD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πνευμονικές νόσοι που προκαλούν κόψιμο της αναπνοής (δύσπνοια) (συμπεριλαμβάνεται φλεγμονή),</w:t>
      </w:r>
    </w:p>
    <w:p w14:paraId="6D53DAC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πνευμονική εμβολή (απόφραξη μίας αρτηρίας των πνευμόνων),</w:t>
      </w:r>
    </w:p>
    <w:p w14:paraId="44FD0F4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υπεζωκοτική συλλογή (μη φυσιολογική συλλογή υγρού στη περιοχή των πλευρών),</w:t>
      </w:r>
    </w:p>
    <w:p w14:paraId="3B403B43"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φλεγμονή του παγκρέατος που προκαλεί σοβαρό πόνο στην κοιλιά και την πλάτη,</w:t>
      </w:r>
    </w:p>
    <w:p w14:paraId="2A2E47B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δυσκολία στην κατάποση,</w:t>
      </w:r>
    </w:p>
    <w:p w14:paraId="4C82112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οίδημα προσώπου,</w:t>
      </w:r>
    </w:p>
    <w:p w14:paraId="34D988B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φλεγμονή της χοληδόχου κύστης, πέτρες στη χολή,</w:t>
      </w:r>
    </w:p>
    <w:p w14:paraId="185EDC7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λιπώδες ήπαρ,</w:t>
      </w:r>
    </w:p>
    <w:p w14:paraId="0A3D01C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νυκτερινοί ιδρώτες,</w:t>
      </w:r>
    </w:p>
    <w:p w14:paraId="617AC1E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ουλή,</w:t>
      </w:r>
    </w:p>
    <w:p w14:paraId="3D6DB01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ανώμαλη μυϊκή κατάπτωση,</w:t>
      </w:r>
    </w:p>
    <w:p w14:paraId="3409D8F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συστηματικός ερυθηματώδης λύκος (συμπεριλαμβάνονται φλεγμονές του δέρματος, της καρδιάς, του πνεύμονα, των αρθρώσεων και άλλων οργανικών συστημάτων),</w:t>
      </w:r>
    </w:p>
    <w:p w14:paraId="78D48D4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διαταραχές του ύπνου,</w:t>
      </w:r>
    </w:p>
    <w:p w14:paraId="0D3D0D6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ανικανότητα,</w:t>
      </w:r>
    </w:p>
    <w:p w14:paraId="7A37E0D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φλεγμονές.</w:t>
      </w:r>
    </w:p>
    <w:p w14:paraId="4CB96954" w14:textId="77777777" w:rsidR="00171824" w:rsidRDefault="00171824">
      <w:pPr>
        <w:widowControl/>
        <w:kinsoku w:val="0"/>
        <w:overflowPunct w:val="0"/>
        <w:rPr>
          <w:sz w:val="22"/>
          <w:szCs w:val="22"/>
          <w:lang w:val="el-GR"/>
        </w:rPr>
      </w:pPr>
    </w:p>
    <w:p w14:paraId="000A9176" w14:textId="77777777" w:rsidR="00171824" w:rsidRDefault="006D258C">
      <w:pPr>
        <w:pStyle w:val="BodyText"/>
        <w:keepNext/>
        <w:widowControl/>
        <w:kinsoku w:val="0"/>
        <w:overflowPunct w:val="0"/>
        <w:ind w:left="0"/>
        <w:rPr>
          <w:lang w:val="el-GR"/>
        </w:rPr>
      </w:pPr>
      <w:r>
        <w:rPr>
          <w:lang w:val="el-GR"/>
        </w:rPr>
        <w:t xml:space="preserve">Σπάνιες </w:t>
      </w:r>
      <w:r>
        <w:rPr>
          <w:b/>
          <w:lang w:val="el-GR"/>
        </w:rPr>
        <w:t>(</w:t>
      </w:r>
      <w:r>
        <w:rPr>
          <w:lang w:val="el-GR"/>
        </w:rPr>
        <w:t>μπορεί να επηρεάσουν έως 1 στους 1 000 ανθρώπους)</w:t>
      </w:r>
    </w:p>
    <w:p w14:paraId="307B1C7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λευχαιμία (καρκίνος που επηρεάζει το αίμα και το μυελό των οστών),</w:t>
      </w:r>
    </w:p>
    <w:p w14:paraId="7DFF7E02"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σοβαρή αλλεργική αντίδραση με καταπληξία,</w:t>
      </w:r>
    </w:p>
    <w:p w14:paraId="4D92017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σκλήρυνση κατά πλάκας,</w:t>
      </w:r>
    </w:p>
    <w:p w14:paraId="754F446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lastRenderedPageBreak/>
        <w:t>νευρολογικές διαταραχές (όπως φλεγμονή του οφθαλμικού νεύρου και σύνδρομο Guillain</w:t>
      </w:r>
      <w:r>
        <w:rPr>
          <w:lang w:val="el-GR"/>
        </w:rPr>
        <w:noBreakHyphen/>
        <w:t>Barré που μπορεί να προκαλέσει μυϊκή αδυναμία, παθολογική αίσθηση (αισθητικότητα)), μυρμηκίαση στους βραχίονες και στο άνω μέρος του σώματος,</w:t>
      </w:r>
    </w:p>
    <w:p w14:paraId="7D007EF4"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καρδιακή ανακοπή,</w:t>
      </w:r>
    </w:p>
    <w:p w14:paraId="17135EF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πνευμονική ίνωση (ουλές στον πνεύμονα),</w:t>
      </w:r>
    </w:p>
    <w:p w14:paraId="5D2DE03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διάτρηση του εντέρου (τρύπα στο τοίχωμα του εντέρου),</w:t>
      </w:r>
    </w:p>
    <w:p w14:paraId="4400C08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ηπατίτιδα (φλεγμονή του ήπατος),</w:t>
      </w:r>
    </w:p>
    <w:p w14:paraId="6BE6ED9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επανενεργοποίηση της ηπατίτιδας B,</w:t>
      </w:r>
    </w:p>
    <w:p w14:paraId="1536491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αυτοάνοση ηπατίτιδα (φλεγμονή του ήπατος που προκαλείται από το ανοσοποιητικό σας σύστημα),</w:t>
      </w:r>
    </w:p>
    <w:p w14:paraId="5E9F0C3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δερματική αγγειίτιδα (φλεγμονή των αιμοφόρων αγγείων του δέρματος),</w:t>
      </w:r>
    </w:p>
    <w:p w14:paraId="16A556EE"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σύνδρομο Stevens-Johnson (αντίδραση απειλητική για τη ζωή με γριποειδή συμπτώματα και φυσαλιδώδες εξάνθημα),</w:t>
      </w:r>
    </w:p>
    <w:p w14:paraId="6004A8F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οίδημα προσώπου που συνοδεύεται από αλλεργικές αντιδράσεις,</w:t>
      </w:r>
    </w:p>
    <w:p w14:paraId="2DD3415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πολύμορφο ερύθημα (φλεγμονώδες εξάνθημα δέρματος),</w:t>
      </w:r>
    </w:p>
    <w:p w14:paraId="1C7F254A"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σύνδρομο προσομοιάζον με λύκο,</w:t>
      </w:r>
    </w:p>
    <w:p w14:paraId="54C64A9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αγγειοοίδημα (τοπικό πρήξιμο δέρματος),</w:t>
      </w:r>
    </w:p>
    <w:p w14:paraId="56278FD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 xml:space="preserve">λειχηνοειδής αντίδραση δέρματος </w:t>
      </w:r>
      <w:r>
        <w:rPr>
          <w:szCs w:val="24"/>
          <w:lang w:val="el-GR"/>
        </w:rPr>
        <w:t>(κνησμώδες ερυθρό-μωβ εξάνθημα στο δέρμα)</w:t>
      </w:r>
      <w:r>
        <w:rPr>
          <w:lang w:val="el-GR"/>
        </w:rPr>
        <w:t>.</w:t>
      </w:r>
    </w:p>
    <w:p w14:paraId="46C60BEA" w14:textId="77777777" w:rsidR="00171824" w:rsidRDefault="00171824">
      <w:pPr>
        <w:widowControl/>
        <w:kinsoku w:val="0"/>
        <w:overflowPunct w:val="0"/>
        <w:rPr>
          <w:sz w:val="22"/>
          <w:szCs w:val="22"/>
          <w:lang w:val="el-GR"/>
        </w:rPr>
      </w:pPr>
    </w:p>
    <w:p w14:paraId="36C3DD8F" w14:textId="77777777" w:rsidR="00171824" w:rsidRDefault="006D258C">
      <w:pPr>
        <w:pStyle w:val="BodyText"/>
        <w:keepNext/>
        <w:widowControl/>
        <w:kinsoku w:val="0"/>
        <w:overflowPunct w:val="0"/>
        <w:ind w:left="0"/>
        <w:rPr>
          <w:lang w:val="el-GR"/>
        </w:rPr>
      </w:pPr>
      <w:r>
        <w:rPr>
          <w:lang w:val="el-GR"/>
        </w:rPr>
        <w:t>Mη γνωστές (η συχνότητα δεν μπορεί να εκτιμηθεί με βάση τα διαθέσιμα δεδομένα)</w:t>
      </w:r>
    </w:p>
    <w:p w14:paraId="131790B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ηπατοσπληνικό λέμφωμα εκ Τ-κυττάρων (ένα σπάνιο είδος καρκίνου του αίματος που συχνά είναι θανατηφόρο),</w:t>
      </w:r>
    </w:p>
    <w:p w14:paraId="0A178730"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καρκίνωμα εκ κυττάρων Merkel (τύπος καρκίνου του δέρματος),</w:t>
      </w:r>
    </w:p>
    <w:p w14:paraId="43A9F396" w14:textId="77777777" w:rsidR="00171824" w:rsidRDefault="006D258C">
      <w:pPr>
        <w:pStyle w:val="BodyText"/>
        <w:widowControl/>
        <w:numPr>
          <w:ilvl w:val="0"/>
          <w:numId w:val="26"/>
        </w:numPr>
        <w:tabs>
          <w:tab w:val="left" w:pos="567"/>
        </w:tabs>
        <w:kinsoku w:val="0"/>
        <w:overflowPunct w:val="0"/>
        <w:ind w:left="567" w:hanging="567"/>
        <w:rPr>
          <w:color w:val="000000"/>
          <w:lang w:val="el-GR" w:eastAsia="ja-JP"/>
        </w:rPr>
      </w:pPr>
      <w:r>
        <w:rPr>
          <w:lang w:val="el-GR"/>
        </w:rPr>
        <w:t>Σάρκωμα</w:t>
      </w:r>
      <w:r>
        <w:rPr>
          <w:color w:val="000000"/>
          <w:lang w:val="el-GR" w:eastAsia="ja-JP"/>
        </w:rPr>
        <w:t xml:space="preserve"> Kaposi, μια σπάνια μορφή καρκίνου που σχετίζεται με λοίμωξη από τον ιό του ανθρώπινου έρπητα τύπου 8. Το σάρκωμα Kaposi εμφανίζεται συχνότερα με τη μορφή πορφυρών βλαβών του δέρματος,</w:t>
      </w:r>
    </w:p>
    <w:p w14:paraId="69F28F57"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ηπατική ανεπάρκεια,</w:t>
      </w:r>
    </w:p>
    <w:p w14:paraId="1971F23F"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επιδείνωση μίας κατάστασης η οποία ονομάζεται δερματομυοσίτιδα (εμφανίζεται ως δερματικό εξάνθημα συνοδευόμενο από μυϊκή αδυναμία),</w:t>
      </w:r>
    </w:p>
    <w:p w14:paraId="4367151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αύξηση βάρους (για τους περισσότερους ασθενείς, η αύξηση βάρους ήταν μικρή).</w:t>
      </w:r>
    </w:p>
    <w:p w14:paraId="64A18BD1" w14:textId="77777777" w:rsidR="00171824" w:rsidRDefault="00171824">
      <w:pPr>
        <w:widowControl/>
        <w:kinsoku w:val="0"/>
        <w:overflowPunct w:val="0"/>
        <w:rPr>
          <w:sz w:val="22"/>
          <w:szCs w:val="22"/>
          <w:lang w:val="el-GR"/>
        </w:rPr>
      </w:pPr>
    </w:p>
    <w:p w14:paraId="247DB70E" w14:textId="77777777" w:rsidR="00171824" w:rsidRDefault="006D258C">
      <w:pPr>
        <w:pStyle w:val="BodyText"/>
        <w:widowControl/>
        <w:kinsoku w:val="0"/>
        <w:overflowPunct w:val="0"/>
        <w:ind w:left="0"/>
        <w:rPr>
          <w:lang w:val="el-GR"/>
        </w:rPr>
      </w:pPr>
      <w:r>
        <w:rPr>
          <w:lang w:val="el-GR"/>
        </w:rPr>
        <w:t>Κάποιες ανεπιθύμητες ενέργειες που παρουσιάστηκαν με το adalimumab μπορεί να μην έχουν συμπτώματα και μπορεί να ανακαλυφθούν μόνο με εξετάσεις αίματος. Αυτές συμπεριλαμβάνουν:</w:t>
      </w:r>
    </w:p>
    <w:p w14:paraId="05E45DAB" w14:textId="77777777" w:rsidR="00171824" w:rsidRDefault="00171824">
      <w:pPr>
        <w:widowControl/>
        <w:kinsoku w:val="0"/>
        <w:overflowPunct w:val="0"/>
        <w:rPr>
          <w:sz w:val="22"/>
          <w:szCs w:val="22"/>
          <w:lang w:val="el-GR"/>
        </w:rPr>
      </w:pPr>
    </w:p>
    <w:p w14:paraId="24EA2AD6" w14:textId="77777777" w:rsidR="00171824" w:rsidRDefault="006D258C">
      <w:pPr>
        <w:pStyle w:val="BodyText"/>
        <w:keepNext/>
        <w:widowControl/>
        <w:kinsoku w:val="0"/>
        <w:overflowPunct w:val="0"/>
        <w:ind w:left="0"/>
        <w:rPr>
          <w:lang w:val="el-GR"/>
        </w:rPr>
      </w:pPr>
      <w:r>
        <w:rPr>
          <w:lang w:val="el-GR"/>
        </w:rPr>
        <w:t>Πολύ συχνές (μπορεί να επηρεάσουν περισσότερους από 1 στους 10 ανθρώπους)</w:t>
      </w:r>
    </w:p>
    <w:p w14:paraId="467A12AF" w14:textId="77777777" w:rsidR="00171824" w:rsidRDefault="006D258C">
      <w:pPr>
        <w:pStyle w:val="BodyText"/>
        <w:keepNext/>
        <w:widowControl/>
        <w:numPr>
          <w:ilvl w:val="0"/>
          <w:numId w:val="26"/>
        </w:numPr>
        <w:tabs>
          <w:tab w:val="left" w:pos="567"/>
        </w:tabs>
        <w:kinsoku w:val="0"/>
        <w:overflowPunct w:val="0"/>
        <w:ind w:left="567" w:hanging="567"/>
        <w:rPr>
          <w:lang w:val="el-GR"/>
        </w:rPr>
      </w:pPr>
      <w:r>
        <w:rPr>
          <w:lang w:val="el-GR"/>
        </w:rPr>
        <w:t>χαμηλές τιμές των λευκοκυττάρων,</w:t>
      </w:r>
    </w:p>
    <w:p w14:paraId="542B8D3A" w14:textId="77777777" w:rsidR="00171824" w:rsidRDefault="006D258C">
      <w:pPr>
        <w:pStyle w:val="BodyText"/>
        <w:keepNext/>
        <w:widowControl/>
        <w:numPr>
          <w:ilvl w:val="0"/>
          <w:numId w:val="26"/>
        </w:numPr>
        <w:tabs>
          <w:tab w:val="left" w:pos="567"/>
        </w:tabs>
        <w:kinsoku w:val="0"/>
        <w:overflowPunct w:val="0"/>
        <w:ind w:left="567" w:hanging="567"/>
        <w:rPr>
          <w:lang w:val="el-GR"/>
        </w:rPr>
      </w:pPr>
      <w:r>
        <w:rPr>
          <w:lang w:val="el-GR"/>
        </w:rPr>
        <w:t>χαμηλές τιμές των ερυθροκυττάρων,</w:t>
      </w:r>
    </w:p>
    <w:p w14:paraId="25D5D91E" w14:textId="77777777" w:rsidR="00171824" w:rsidRDefault="006D258C">
      <w:pPr>
        <w:pStyle w:val="BodyText"/>
        <w:keepNext/>
        <w:widowControl/>
        <w:numPr>
          <w:ilvl w:val="0"/>
          <w:numId w:val="26"/>
        </w:numPr>
        <w:tabs>
          <w:tab w:val="left" w:pos="567"/>
        </w:tabs>
        <w:kinsoku w:val="0"/>
        <w:overflowPunct w:val="0"/>
        <w:ind w:left="567" w:hanging="567"/>
        <w:rPr>
          <w:lang w:val="el-GR"/>
        </w:rPr>
      </w:pPr>
      <w:r>
        <w:rPr>
          <w:lang w:val="el-GR"/>
        </w:rPr>
        <w:t>αυξημένα λιπίδια αίματος,</w:t>
      </w:r>
    </w:p>
    <w:p w14:paraId="17F70EB8"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αυξημένα ηπατικά ένζυμα.</w:t>
      </w:r>
    </w:p>
    <w:p w14:paraId="7BFC72DF" w14:textId="77777777" w:rsidR="00171824" w:rsidRDefault="00171824">
      <w:pPr>
        <w:widowControl/>
        <w:kinsoku w:val="0"/>
        <w:overflowPunct w:val="0"/>
        <w:rPr>
          <w:sz w:val="22"/>
          <w:szCs w:val="22"/>
          <w:lang w:val="el-GR"/>
        </w:rPr>
      </w:pPr>
    </w:p>
    <w:p w14:paraId="1ECFC089" w14:textId="77777777" w:rsidR="00171824" w:rsidRDefault="006D258C">
      <w:pPr>
        <w:pStyle w:val="BodyText"/>
        <w:widowControl/>
        <w:kinsoku w:val="0"/>
        <w:overflowPunct w:val="0"/>
        <w:ind w:left="0"/>
        <w:rPr>
          <w:lang w:val="el-GR"/>
        </w:rPr>
      </w:pPr>
      <w:r>
        <w:rPr>
          <w:lang w:val="el-GR"/>
        </w:rPr>
        <w:t>Συχνές (μπορεί να επηρεάσουν έως 1 στους 10 ανθρώπους)</w:t>
      </w:r>
    </w:p>
    <w:p w14:paraId="231A146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υψηλές τιμές των λευκοκυττάρων,</w:t>
      </w:r>
    </w:p>
    <w:p w14:paraId="3A8E461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χαμηλές τιμές των αιμοπεταλίων του αίματος</w:t>
      </w:r>
    </w:p>
    <w:p w14:paraId="7F244F99"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αυξημένο ουρικό οξύ αίματος,</w:t>
      </w:r>
    </w:p>
    <w:p w14:paraId="2F0E9FF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μη φυσιολογικές τιμές νατρίου του αίματος,</w:t>
      </w:r>
    </w:p>
    <w:p w14:paraId="5F1B721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χαμηλές τιμές ασβεστίου αίματος,</w:t>
      </w:r>
    </w:p>
    <w:p w14:paraId="3AF5A2E5"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χαμηλές τιμές φωσφόρου του αίματος,</w:t>
      </w:r>
    </w:p>
    <w:p w14:paraId="7C76F54B"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υψηλό σάκχαρο αίματος,</w:t>
      </w:r>
    </w:p>
    <w:p w14:paraId="7AAD30B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υψηλές τιμές αίματος της γαλακτικής αφυδρογονάσης,</w:t>
      </w:r>
    </w:p>
    <w:p w14:paraId="61338B1D"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παρουσία αυτοαντισωμάτων στο αίμα,</w:t>
      </w:r>
    </w:p>
    <w:p w14:paraId="116CCA41"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χαμηλό κάλιο αίματος.</w:t>
      </w:r>
    </w:p>
    <w:p w14:paraId="1597D69D" w14:textId="77777777" w:rsidR="00171824" w:rsidRDefault="00171824">
      <w:pPr>
        <w:widowControl/>
        <w:kinsoku w:val="0"/>
        <w:overflowPunct w:val="0"/>
        <w:rPr>
          <w:sz w:val="22"/>
          <w:szCs w:val="22"/>
          <w:lang w:val="el-GR"/>
        </w:rPr>
      </w:pPr>
    </w:p>
    <w:p w14:paraId="7D1104F2" w14:textId="77777777" w:rsidR="00171824" w:rsidRDefault="006D258C">
      <w:pPr>
        <w:pStyle w:val="BodyText"/>
        <w:widowControl/>
        <w:suppressAutoHyphens/>
        <w:kinsoku w:val="0"/>
        <w:overflowPunct w:val="0"/>
        <w:ind w:left="0"/>
        <w:rPr>
          <w:lang w:val="el-GR"/>
        </w:rPr>
      </w:pPr>
      <w:r>
        <w:rPr>
          <w:lang w:val="el-GR"/>
        </w:rPr>
        <w:t xml:space="preserve">Όχι συχνές </w:t>
      </w:r>
      <w:r>
        <w:rPr>
          <w:b/>
          <w:lang w:val="el-GR"/>
        </w:rPr>
        <w:t>(</w:t>
      </w:r>
      <w:r>
        <w:rPr>
          <w:lang w:val="el-GR"/>
        </w:rPr>
        <w:t xml:space="preserve">μπορεί να επηρεάσουν έως 1 στους 100 ανθρώπους) </w:t>
      </w:r>
    </w:p>
    <w:p w14:paraId="10F7B5CC"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υψηλή μέτρηση χολερυθρίνης (ηπατικές δοκιμασίες αίματος).</w:t>
      </w:r>
    </w:p>
    <w:p w14:paraId="0A060C95" w14:textId="77777777" w:rsidR="00171824" w:rsidRDefault="00171824">
      <w:pPr>
        <w:pStyle w:val="BodyText"/>
        <w:keepNext/>
        <w:widowControl/>
        <w:tabs>
          <w:tab w:val="left" w:pos="567"/>
        </w:tabs>
        <w:kinsoku w:val="0"/>
        <w:overflowPunct w:val="0"/>
        <w:ind w:left="0"/>
        <w:rPr>
          <w:lang w:val="el-GR"/>
        </w:rPr>
      </w:pPr>
    </w:p>
    <w:p w14:paraId="251D6FD2" w14:textId="77777777" w:rsidR="00171824" w:rsidRDefault="006D258C">
      <w:pPr>
        <w:pStyle w:val="BodyText"/>
        <w:widowControl/>
        <w:kinsoku w:val="0"/>
        <w:overflowPunct w:val="0"/>
        <w:ind w:left="0"/>
        <w:rPr>
          <w:lang w:val="el-GR"/>
        </w:rPr>
      </w:pPr>
      <w:r>
        <w:rPr>
          <w:lang w:val="el-GR"/>
        </w:rPr>
        <w:t>Σπάνιες (μπορεί να επηρεάσουν έως 1 στους 1 000 ανθρώπους)</w:t>
      </w:r>
    </w:p>
    <w:p w14:paraId="75578DE6" w14:textId="77777777" w:rsidR="00171824" w:rsidRDefault="006D258C">
      <w:pPr>
        <w:pStyle w:val="BodyText"/>
        <w:widowControl/>
        <w:numPr>
          <w:ilvl w:val="0"/>
          <w:numId w:val="26"/>
        </w:numPr>
        <w:tabs>
          <w:tab w:val="left" w:pos="567"/>
        </w:tabs>
        <w:kinsoku w:val="0"/>
        <w:overflowPunct w:val="0"/>
        <w:ind w:left="567" w:hanging="567"/>
        <w:rPr>
          <w:lang w:val="el-GR"/>
        </w:rPr>
      </w:pPr>
      <w:r>
        <w:rPr>
          <w:lang w:val="el-GR"/>
        </w:rPr>
        <w:t>χαμηλές τιμές των λευκοκυττάρων, των ερυθροκυττάρων και των αιμοπεταλίων του αίματος.</w:t>
      </w:r>
    </w:p>
    <w:p w14:paraId="3AEB9CC0" w14:textId="77777777" w:rsidR="00171824" w:rsidRDefault="00171824">
      <w:pPr>
        <w:pStyle w:val="BodyText"/>
        <w:widowControl/>
        <w:tabs>
          <w:tab w:val="left" w:pos="567"/>
        </w:tabs>
        <w:kinsoku w:val="0"/>
        <w:overflowPunct w:val="0"/>
        <w:ind w:left="0"/>
        <w:rPr>
          <w:lang w:val="el-GR"/>
        </w:rPr>
      </w:pPr>
    </w:p>
    <w:p w14:paraId="7BE956AD" w14:textId="77777777" w:rsidR="00171824" w:rsidRDefault="006D258C">
      <w:pPr>
        <w:pStyle w:val="BodyText"/>
        <w:keepNext/>
        <w:widowControl/>
        <w:tabs>
          <w:tab w:val="left" w:pos="567"/>
        </w:tabs>
        <w:kinsoku w:val="0"/>
        <w:overflowPunct w:val="0"/>
        <w:ind w:left="0"/>
        <w:rPr>
          <w:b/>
          <w:lang w:val="el-GR"/>
        </w:rPr>
      </w:pPr>
      <w:r>
        <w:rPr>
          <w:b/>
          <w:lang w:val="el-GR"/>
        </w:rPr>
        <w:t>Αναφορά ανεπιθύμητων ενεργειών</w:t>
      </w:r>
    </w:p>
    <w:p w14:paraId="41AF1E63" w14:textId="77777777" w:rsidR="00171824" w:rsidRDefault="00171824">
      <w:pPr>
        <w:pStyle w:val="BodyText"/>
        <w:keepNext/>
        <w:widowControl/>
        <w:tabs>
          <w:tab w:val="left" w:pos="567"/>
        </w:tabs>
        <w:kinsoku w:val="0"/>
        <w:overflowPunct w:val="0"/>
        <w:ind w:left="0"/>
        <w:rPr>
          <w:lang w:val="el-GR"/>
        </w:rPr>
      </w:pPr>
    </w:p>
    <w:p w14:paraId="762D9966" w14:textId="77777777" w:rsidR="00171824" w:rsidRDefault="006D258C">
      <w:pPr>
        <w:pStyle w:val="BodyText"/>
        <w:widowControl/>
        <w:ind w:left="0"/>
        <w:rPr>
          <w:lang w:val="el-GR"/>
        </w:rPr>
      </w:pPr>
      <w:r>
        <w:rPr>
          <w:lang w:val="el-GR"/>
        </w:rPr>
        <w:t xml:space="preserve">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Μπορείτε επίσης να αναφέρετε ανεπιθύμητες ενέργειες απευθείας, μέσω </w:t>
      </w:r>
      <w:r>
        <w:rPr>
          <w:highlight w:val="lightGray"/>
          <w:lang w:val="el-GR"/>
        </w:rPr>
        <w:t xml:space="preserve">του εθνικού συστήματος αναφοράς που αναγράφεται στο </w:t>
      </w:r>
      <w:hyperlink r:id="rId56" w:history="1">
        <w:r>
          <w:rPr>
            <w:rStyle w:val="Hyperlink"/>
            <w:color w:val="0000FF"/>
            <w:highlight w:val="lightGray"/>
            <w:lang w:val="el-GR"/>
          </w:rPr>
          <w:t>Παράρτημα V</w:t>
        </w:r>
      </w:hyperlink>
      <w:r>
        <w:rPr>
          <w:lang w:val="el-GR"/>
        </w:rPr>
        <w:t>. Μέσω της αναφοράς ανεπιθύμητων ενεργειών, μπορείτε να βοηθήσετε στη συλλογή περισσότερων πληροφοριών σχετικά με την ασφάλεια του παρόντος φαρμάκου.</w:t>
      </w:r>
    </w:p>
    <w:p w14:paraId="4E62CB4D" w14:textId="77777777" w:rsidR="00171824" w:rsidRDefault="00171824">
      <w:pPr>
        <w:pStyle w:val="BodyText"/>
        <w:widowControl/>
        <w:ind w:left="0"/>
        <w:rPr>
          <w:lang w:val="el-GR"/>
        </w:rPr>
      </w:pPr>
    </w:p>
    <w:p w14:paraId="3F1E1C85" w14:textId="77777777" w:rsidR="00171824" w:rsidRDefault="00171824">
      <w:pPr>
        <w:pStyle w:val="BodyText"/>
        <w:widowControl/>
        <w:ind w:left="0"/>
        <w:rPr>
          <w:lang w:val="el-GR"/>
        </w:rPr>
      </w:pPr>
    </w:p>
    <w:p w14:paraId="0138E21A" w14:textId="77777777" w:rsidR="00171824" w:rsidRDefault="006D258C">
      <w:pPr>
        <w:pStyle w:val="Heading1"/>
        <w:widowControl/>
        <w:numPr>
          <w:ilvl w:val="0"/>
          <w:numId w:val="34"/>
        </w:numPr>
        <w:tabs>
          <w:tab w:val="left" w:pos="567"/>
        </w:tabs>
        <w:kinsoku w:val="0"/>
        <w:overflowPunct w:val="0"/>
        <w:ind w:left="567"/>
        <w:rPr>
          <w:b w:val="0"/>
          <w:bCs w:val="0"/>
          <w:lang w:val="el-GR"/>
        </w:rPr>
      </w:pPr>
      <w:r>
        <w:rPr>
          <w:lang w:val="el-GR"/>
        </w:rPr>
        <w:t xml:space="preserve">Πώς να φυλάσσετε το AMGEVITA </w:t>
      </w:r>
    </w:p>
    <w:p w14:paraId="7E46B35E" w14:textId="77777777" w:rsidR="00171824" w:rsidRDefault="00171824">
      <w:pPr>
        <w:pStyle w:val="BodyText"/>
        <w:widowControl/>
        <w:kinsoku w:val="0"/>
        <w:overflowPunct w:val="0"/>
        <w:ind w:left="0"/>
        <w:rPr>
          <w:lang w:val="el-GR"/>
        </w:rPr>
      </w:pPr>
    </w:p>
    <w:p w14:paraId="795C18A1" w14:textId="77777777" w:rsidR="00171824" w:rsidRDefault="006D258C">
      <w:pPr>
        <w:pStyle w:val="BodyText"/>
        <w:widowControl/>
        <w:kinsoku w:val="0"/>
        <w:overflowPunct w:val="0"/>
        <w:ind w:left="0"/>
        <w:rPr>
          <w:lang w:val="el-GR"/>
        </w:rPr>
      </w:pPr>
      <w:r>
        <w:rPr>
          <w:lang w:val="el-GR"/>
        </w:rPr>
        <w:t>Το φάρμακο αυτό πρέπει να φυλάσσεται σε μέρη που δεν το βλέπουν και δεν το φθάνουν τα παιδιά.</w:t>
      </w:r>
    </w:p>
    <w:p w14:paraId="5D29CB0D" w14:textId="77777777" w:rsidR="00171824" w:rsidRDefault="00171824">
      <w:pPr>
        <w:pStyle w:val="BodyText"/>
        <w:widowControl/>
        <w:kinsoku w:val="0"/>
        <w:overflowPunct w:val="0"/>
        <w:ind w:left="0"/>
        <w:rPr>
          <w:lang w:val="el-GR"/>
        </w:rPr>
      </w:pPr>
    </w:p>
    <w:p w14:paraId="275FA796" w14:textId="77777777" w:rsidR="00171824" w:rsidRDefault="006D258C">
      <w:pPr>
        <w:pStyle w:val="BodyText"/>
        <w:widowControl/>
        <w:kinsoku w:val="0"/>
        <w:overflowPunct w:val="0"/>
        <w:ind w:left="0"/>
        <w:rPr>
          <w:lang w:val="el-GR"/>
        </w:rPr>
      </w:pPr>
      <w:r>
        <w:rPr>
          <w:lang w:val="el-GR"/>
        </w:rPr>
        <w:t>Να μη χρησιμοποιείτε αυτό το φάρμακο μετά την ημερομηνία λήξης που αναφέρεται στην επισήμανση/στην κυψέλη και στο κουτί μετά τη ΛΗΞΗ. H ημερομηνία λήξης είναι η τελευταία ημέρα του μήνα που αναφέρεται εκεί.</w:t>
      </w:r>
    </w:p>
    <w:p w14:paraId="1BACF49E" w14:textId="77777777" w:rsidR="00171824" w:rsidRDefault="00171824">
      <w:pPr>
        <w:widowControl/>
        <w:kinsoku w:val="0"/>
        <w:overflowPunct w:val="0"/>
        <w:rPr>
          <w:sz w:val="22"/>
          <w:szCs w:val="22"/>
          <w:lang w:val="el-GR"/>
        </w:rPr>
      </w:pPr>
    </w:p>
    <w:p w14:paraId="5531240B" w14:textId="77777777" w:rsidR="00171824" w:rsidRDefault="006D258C">
      <w:pPr>
        <w:pStyle w:val="BodyText"/>
        <w:widowControl/>
        <w:kinsoku w:val="0"/>
        <w:overflowPunct w:val="0"/>
        <w:ind w:left="0"/>
        <w:rPr>
          <w:lang w:val="el-GR"/>
        </w:rPr>
      </w:pPr>
      <w:r>
        <w:rPr>
          <w:lang w:val="el-GR"/>
        </w:rPr>
        <w:t>Φυλάσσετε σε ψυγείο (2°C – 8°C). Μην καταψύχετε.</w:t>
      </w:r>
    </w:p>
    <w:p w14:paraId="5940A13F" w14:textId="77777777" w:rsidR="00171824" w:rsidRDefault="00171824">
      <w:pPr>
        <w:widowControl/>
        <w:kinsoku w:val="0"/>
        <w:overflowPunct w:val="0"/>
        <w:rPr>
          <w:sz w:val="22"/>
          <w:szCs w:val="22"/>
          <w:lang w:val="el-GR"/>
        </w:rPr>
      </w:pPr>
    </w:p>
    <w:p w14:paraId="1F76D344" w14:textId="77777777" w:rsidR="00171824" w:rsidRDefault="006D258C">
      <w:pPr>
        <w:pStyle w:val="BodyText"/>
        <w:widowControl/>
        <w:kinsoku w:val="0"/>
        <w:overflowPunct w:val="0"/>
        <w:ind w:left="0"/>
        <w:rPr>
          <w:lang w:val="el-GR"/>
        </w:rPr>
      </w:pPr>
      <w:r>
        <w:rPr>
          <w:lang w:val="el-GR"/>
        </w:rPr>
        <w:t>Φυλάσσετε το φάρμακο στο εξωτερικό κουτί για να προστατεύεται από το φως.</w:t>
      </w:r>
    </w:p>
    <w:p w14:paraId="2C93A854" w14:textId="77777777" w:rsidR="00171824" w:rsidRDefault="00171824">
      <w:pPr>
        <w:pStyle w:val="BodyText"/>
        <w:widowControl/>
        <w:kinsoku w:val="0"/>
        <w:overflowPunct w:val="0"/>
        <w:ind w:left="0"/>
        <w:rPr>
          <w:lang w:val="el-GR"/>
        </w:rPr>
      </w:pPr>
    </w:p>
    <w:p w14:paraId="37AD6313" w14:textId="77777777" w:rsidR="00171824" w:rsidRDefault="006D258C">
      <w:pPr>
        <w:pStyle w:val="BodyText"/>
        <w:widowControl/>
        <w:kinsoku w:val="0"/>
        <w:overflowPunct w:val="0"/>
        <w:ind w:left="0"/>
        <w:rPr>
          <w:lang w:val="el-GR"/>
        </w:rPr>
      </w:pPr>
      <w:r>
        <w:rPr>
          <w:lang w:val="el-GR"/>
        </w:rPr>
        <w:t>Κάθε προγεμισμένη σύριγγα AMGEVITA μπορεί να φυλάσσεται σε θερμοκρασίες μέχρι 25°C κατά μέγιστο για χρονικό διάστημα έως και 14 ημέρες. Η προγεμισμένη σύριγγα θα πρέπει να είναι προστατευμένη από το φως και να απορριφθεί εάν δεν</w:t>
      </w:r>
      <w:r>
        <w:rPr>
          <w:b/>
          <w:bCs/>
          <w:lang w:val="el-GR"/>
        </w:rPr>
        <w:t xml:space="preserve"> </w:t>
      </w:r>
      <w:r>
        <w:rPr>
          <w:bCs/>
          <w:lang w:val="el-GR"/>
        </w:rPr>
        <w:t>χρησιμοποιηθεί εντός της περιόδου 14 ημερών</w:t>
      </w:r>
      <w:r>
        <w:rPr>
          <w:lang w:val="el-GR"/>
        </w:rPr>
        <w:t>.</w:t>
      </w:r>
    </w:p>
    <w:p w14:paraId="11BEB176" w14:textId="77777777" w:rsidR="00171824" w:rsidRDefault="00171824">
      <w:pPr>
        <w:widowControl/>
        <w:kinsoku w:val="0"/>
        <w:overflowPunct w:val="0"/>
        <w:rPr>
          <w:sz w:val="22"/>
          <w:szCs w:val="22"/>
          <w:lang w:val="el-GR"/>
        </w:rPr>
      </w:pPr>
    </w:p>
    <w:p w14:paraId="5BAAC260" w14:textId="77777777" w:rsidR="00171824" w:rsidRDefault="006D258C">
      <w:pPr>
        <w:pStyle w:val="BodyText"/>
        <w:widowControl/>
        <w:kinsoku w:val="0"/>
        <w:overflowPunct w:val="0"/>
        <w:ind w:left="0"/>
        <w:rPr>
          <w:lang w:val="el-GR"/>
        </w:rPr>
      </w:pPr>
      <w:r>
        <w:rPr>
          <w:lang w:val="el-GR"/>
        </w:rPr>
        <w:t>Μην πετάτε φάρμακα στο νερό της αποχέτευσης ή στα οικιακά απορρίμματα. Ρωτήστε τον φαρμακοποιό σας για το πώς να πετάξετε τα φάρμακα που δεν χρησιμοποιείτε πια. Αυτά τα μέτρα θα βοηθήσουν στην προστασία του περιβάλλοντος.</w:t>
      </w:r>
    </w:p>
    <w:p w14:paraId="40EFB3CB" w14:textId="77777777" w:rsidR="00171824" w:rsidRDefault="00171824">
      <w:pPr>
        <w:pStyle w:val="BodyText"/>
        <w:widowControl/>
        <w:kinsoku w:val="0"/>
        <w:overflowPunct w:val="0"/>
        <w:ind w:left="0"/>
        <w:rPr>
          <w:lang w:val="el-GR"/>
        </w:rPr>
      </w:pPr>
    </w:p>
    <w:p w14:paraId="46D14132" w14:textId="77777777" w:rsidR="00171824" w:rsidRDefault="00171824">
      <w:pPr>
        <w:pStyle w:val="BodyText"/>
        <w:widowControl/>
        <w:kinsoku w:val="0"/>
        <w:overflowPunct w:val="0"/>
        <w:ind w:left="0"/>
        <w:rPr>
          <w:lang w:val="el-GR"/>
        </w:rPr>
      </w:pPr>
    </w:p>
    <w:p w14:paraId="64BEFBD2" w14:textId="77777777" w:rsidR="00171824" w:rsidRDefault="006D258C">
      <w:pPr>
        <w:pStyle w:val="Heading1"/>
        <w:keepNext/>
        <w:widowControl/>
        <w:numPr>
          <w:ilvl w:val="0"/>
          <w:numId w:val="34"/>
        </w:numPr>
        <w:tabs>
          <w:tab w:val="left" w:pos="567"/>
        </w:tabs>
        <w:kinsoku w:val="0"/>
        <w:overflowPunct w:val="0"/>
        <w:ind w:left="567"/>
        <w:rPr>
          <w:b w:val="0"/>
          <w:bCs w:val="0"/>
          <w:lang w:val="el-GR"/>
        </w:rPr>
      </w:pPr>
      <w:r>
        <w:rPr>
          <w:lang w:val="el-GR"/>
        </w:rPr>
        <w:t>Περιεχόμενα της συσκευασίας και λοιπές πληροφορίες</w:t>
      </w:r>
    </w:p>
    <w:p w14:paraId="0DCF8D45" w14:textId="77777777" w:rsidR="00171824" w:rsidRDefault="00171824">
      <w:pPr>
        <w:pStyle w:val="Heading1"/>
        <w:keepNext/>
        <w:widowControl/>
        <w:tabs>
          <w:tab w:val="left" w:pos="567"/>
        </w:tabs>
        <w:kinsoku w:val="0"/>
        <w:overflowPunct w:val="0"/>
        <w:ind w:left="0"/>
        <w:rPr>
          <w:b w:val="0"/>
          <w:lang w:val="el-GR"/>
        </w:rPr>
      </w:pPr>
    </w:p>
    <w:p w14:paraId="6E6B4BB5" w14:textId="77777777" w:rsidR="00171824" w:rsidRDefault="006D258C">
      <w:pPr>
        <w:pStyle w:val="Heading1"/>
        <w:keepNext/>
        <w:widowControl/>
        <w:tabs>
          <w:tab w:val="left" w:pos="567"/>
        </w:tabs>
        <w:kinsoku w:val="0"/>
        <w:overflowPunct w:val="0"/>
        <w:ind w:left="0"/>
        <w:rPr>
          <w:lang w:val="el-GR"/>
        </w:rPr>
      </w:pPr>
      <w:r>
        <w:rPr>
          <w:lang w:val="el-GR"/>
        </w:rPr>
        <w:t xml:space="preserve">Tι περιέχει το AMGEVITA </w:t>
      </w:r>
    </w:p>
    <w:p w14:paraId="25444F13" w14:textId="77777777" w:rsidR="00171824" w:rsidRDefault="006D258C">
      <w:pPr>
        <w:pStyle w:val="BodyText"/>
        <w:keepNext/>
        <w:widowControl/>
        <w:numPr>
          <w:ilvl w:val="0"/>
          <w:numId w:val="27"/>
        </w:numPr>
        <w:kinsoku w:val="0"/>
        <w:overflowPunct w:val="0"/>
        <w:ind w:left="567" w:hanging="567"/>
        <w:rPr>
          <w:lang w:val="el-GR"/>
        </w:rPr>
      </w:pPr>
      <w:r>
        <w:rPr>
          <w:lang w:val="el-GR"/>
        </w:rPr>
        <w:t>H δραστική ουσία είναι adalimumab. Κάθε προγεμισμένη σύριγγα περιέχει 20 mg adalimumab σε 0,2 ml διαλύματος, 40 mg adalimumab σε 0,4 ml διαλύματος ή 80 mg adalimumab σε 0,8 ml διαλύματος.</w:t>
      </w:r>
    </w:p>
    <w:p w14:paraId="489A4A2B" w14:textId="77777777" w:rsidR="00171824" w:rsidRDefault="006D258C">
      <w:pPr>
        <w:pStyle w:val="BodyText"/>
        <w:widowControl/>
        <w:numPr>
          <w:ilvl w:val="0"/>
          <w:numId w:val="27"/>
        </w:numPr>
        <w:kinsoku w:val="0"/>
        <w:overflowPunct w:val="0"/>
        <w:ind w:left="567" w:hanging="567"/>
        <w:rPr>
          <w:lang w:val="el-GR"/>
        </w:rPr>
      </w:pPr>
      <w:r>
        <w:rPr>
          <w:lang w:val="el-GR"/>
        </w:rPr>
        <w:t>Τα άλλα συστατικά είναι L-γαλακτικό οξύ, σακχαρόζη, πολυσορβικό 80, υδροξείδιο του νατρίου και ενέσιμο ύδωρ.</w:t>
      </w:r>
    </w:p>
    <w:p w14:paraId="621C2B49" w14:textId="77777777" w:rsidR="00171824" w:rsidRDefault="00171824">
      <w:pPr>
        <w:widowControl/>
        <w:kinsoku w:val="0"/>
        <w:overflowPunct w:val="0"/>
        <w:rPr>
          <w:sz w:val="22"/>
          <w:szCs w:val="22"/>
          <w:lang w:val="el-GR"/>
        </w:rPr>
      </w:pPr>
    </w:p>
    <w:p w14:paraId="6DB57D49" w14:textId="77777777" w:rsidR="00171824" w:rsidRDefault="006D258C">
      <w:pPr>
        <w:pStyle w:val="Heading1"/>
        <w:widowControl/>
        <w:kinsoku w:val="0"/>
        <w:overflowPunct w:val="0"/>
        <w:ind w:left="0"/>
        <w:rPr>
          <w:b w:val="0"/>
          <w:bCs w:val="0"/>
          <w:lang w:val="el-GR"/>
        </w:rPr>
      </w:pPr>
      <w:r>
        <w:rPr>
          <w:lang w:val="el-GR"/>
        </w:rPr>
        <w:t>Εμφάνιση του AMGEVITA και περιεχόμενα της συσκευασίας</w:t>
      </w:r>
    </w:p>
    <w:p w14:paraId="66945DB1" w14:textId="77777777" w:rsidR="00171824" w:rsidRDefault="00171824">
      <w:pPr>
        <w:widowControl/>
        <w:kinsoku w:val="0"/>
        <w:overflowPunct w:val="0"/>
        <w:rPr>
          <w:sz w:val="22"/>
          <w:szCs w:val="22"/>
          <w:lang w:val="el-GR"/>
        </w:rPr>
      </w:pPr>
    </w:p>
    <w:p w14:paraId="64DB3906" w14:textId="77777777" w:rsidR="00171824" w:rsidRDefault="006D258C">
      <w:pPr>
        <w:pStyle w:val="BodyText"/>
        <w:widowControl/>
        <w:kinsoku w:val="0"/>
        <w:overflowPunct w:val="0"/>
        <w:ind w:left="0"/>
        <w:rPr>
          <w:lang w:val="el-GR"/>
        </w:rPr>
      </w:pPr>
      <w:r>
        <w:rPr>
          <w:lang w:val="el-GR"/>
        </w:rPr>
        <w:t>Το AMGEVITA είναι ένα διαυγές και άχρωμο έως ελαφρώς κίτρινοδιάλυμα.</w:t>
      </w:r>
    </w:p>
    <w:p w14:paraId="49278055" w14:textId="77777777" w:rsidR="00171824" w:rsidRDefault="00171824">
      <w:pPr>
        <w:pStyle w:val="BodyText"/>
        <w:widowControl/>
        <w:kinsoku w:val="0"/>
        <w:overflowPunct w:val="0"/>
        <w:ind w:left="0"/>
        <w:rPr>
          <w:lang w:val="el-GR"/>
        </w:rPr>
      </w:pPr>
    </w:p>
    <w:p w14:paraId="0B731EF7" w14:textId="77777777" w:rsidR="00171824" w:rsidRDefault="006D258C">
      <w:pPr>
        <w:pStyle w:val="BodyText"/>
        <w:widowControl/>
        <w:kinsoku w:val="0"/>
        <w:overflowPunct w:val="0"/>
        <w:ind w:left="0"/>
        <w:rPr>
          <w:lang w:val="el-GR"/>
        </w:rPr>
      </w:pPr>
      <w:r>
        <w:rPr>
          <w:lang w:val="el-GR"/>
        </w:rPr>
        <w:t>Κάθε συσκευασία περιέχει 1 προγεμισμένη σύριγγα 20 mg μίας χρήσης (με κίτρινη ράβδο εμβόλου).</w:t>
      </w:r>
    </w:p>
    <w:p w14:paraId="5A77944A" w14:textId="77777777" w:rsidR="00171824" w:rsidRDefault="006D258C">
      <w:pPr>
        <w:pStyle w:val="BodyText"/>
        <w:widowControl/>
        <w:kinsoku w:val="0"/>
        <w:overflowPunct w:val="0"/>
        <w:ind w:left="0"/>
        <w:rPr>
          <w:lang w:val="el-GR"/>
        </w:rPr>
      </w:pPr>
      <w:r>
        <w:rPr>
          <w:lang w:val="el-GR"/>
        </w:rPr>
        <w:t>Κάθε συσκευασία περιέχει 1, 2 ή 6 προγεμισμένες σύριγγες 40 mg μίας χρήσης (με μπλε ράβδο εμβόλου).</w:t>
      </w:r>
    </w:p>
    <w:p w14:paraId="3880BB51" w14:textId="77777777" w:rsidR="00171824" w:rsidRDefault="006D258C">
      <w:pPr>
        <w:numPr>
          <w:ilvl w:val="12"/>
          <w:numId w:val="0"/>
        </w:numPr>
        <w:rPr>
          <w:sz w:val="22"/>
          <w:szCs w:val="22"/>
          <w:lang w:val="el-GR"/>
        </w:rPr>
      </w:pPr>
      <w:r>
        <w:rPr>
          <w:sz w:val="22"/>
          <w:szCs w:val="22"/>
          <w:lang w:val="el-GR"/>
        </w:rPr>
        <w:t>Κάθε συσκευασία περιέχει 1, 2 ή 3 προγεμισμένες σύριγγες 80 mg μίας χρήσης (με πορτοκαλί ράβδο εμβόλου).</w:t>
      </w:r>
    </w:p>
    <w:p w14:paraId="3D9EE380" w14:textId="77777777" w:rsidR="00171824" w:rsidRDefault="00171824">
      <w:pPr>
        <w:widowControl/>
        <w:kinsoku w:val="0"/>
        <w:overflowPunct w:val="0"/>
        <w:rPr>
          <w:sz w:val="22"/>
          <w:szCs w:val="22"/>
          <w:lang w:val="el-GR"/>
        </w:rPr>
      </w:pPr>
    </w:p>
    <w:p w14:paraId="138A6D82" w14:textId="77777777" w:rsidR="00171824" w:rsidRDefault="006D258C">
      <w:pPr>
        <w:pStyle w:val="Heading1"/>
        <w:keepNext/>
        <w:keepLines/>
        <w:widowControl/>
        <w:kinsoku w:val="0"/>
        <w:overflowPunct w:val="0"/>
        <w:ind w:left="0"/>
        <w:rPr>
          <w:b w:val="0"/>
          <w:bCs w:val="0"/>
          <w:lang w:val="el-GR"/>
        </w:rPr>
      </w:pPr>
      <w:r>
        <w:rPr>
          <w:lang w:val="el-GR"/>
        </w:rPr>
        <w:lastRenderedPageBreak/>
        <w:t>Κάτοχος Άδειας Κυκλοφορίας και Παρασκευαστής</w:t>
      </w:r>
    </w:p>
    <w:p w14:paraId="4097DD0F" w14:textId="77777777" w:rsidR="00171824" w:rsidRDefault="006D258C">
      <w:pPr>
        <w:keepNext/>
        <w:keepLines/>
        <w:widowControl/>
        <w:tabs>
          <w:tab w:val="left" w:pos="567"/>
        </w:tabs>
        <w:autoSpaceDE/>
        <w:autoSpaceDN/>
        <w:adjustRightInd/>
        <w:rPr>
          <w:rFonts w:eastAsia="PMingLiU"/>
          <w:sz w:val="22"/>
          <w:szCs w:val="20"/>
          <w:lang w:val="el-GR"/>
        </w:rPr>
      </w:pPr>
      <w:r>
        <w:rPr>
          <w:rFonts w:eastAsia="PMingLiU"/>
          <w:sz w:val="22"/>
          <w:szCs w:val="20"/>
          <w:lang w:val="el-GR"/>
        </w:rPr>
        <w:t xml:space="preserve">Amgen Europe B.V. </w:t>
      </w:r>
      <w:r>
        <w:rPr>
          <w:rFonts w:eastAsia="PMingLiU"/>
          <w:sz w:val="22"/>
          <w:szCs w:val="20"/>
          <w:lang w:val="el-GR"/>
        </w:rPr>
        <w:br/>
        <w:t xml:space="preserve">Minervum 7061 </w:t>
      </w:r>
      <w:r>
        <w:rPr>
          <w:rFonts w:eastAsia="PMingLiU"/>
          <w:sz w:val="22"/>
          <w:szCs w:val="20"/>
          <w:lang w:val="el-GR"/>
        </w:rPr>
        <w:br/>
        <w:t xml:space="preserve">4817 ZK Breda </w:t>
      </w:r>
      <w:r>
        <w:rPr>
          <w:rFonts w:eastAsia="PMingLiU"/>
          <w:sz w:val="22"/>
          <w:szCs w:val="20"/>
          <w:lang w:val="el-GR"/>
        </w:rPr>
        <w:br/>
        <w:t>Ολλανδία</w:t>
      </w:r>
    </w:p>
    <w:p w14:paraId="1D085135" w14:textId="77777777" w:rsidR="00171824" w:rsidRDefault="00171824">
      <w:pPr>
        <w:keepNext/>
        <w:widowControl/>
        <w:kinsoku w:val="0"/>
        <w:overflowPunct w:val="0"/>
        <w:rPr>
          <w:sz w:val="22"/>
          <w:szCs w:val="22"/>
          <w:lang w:val="el-GR"/>
        </w:rPr>
      </w:pPr>
    </w:p>
    <w:p w14:paraId="6320200A" w14:textId="77777777" w:rsidR="00171824" w:rsidRDefault="006D258C">
      <w:pPr>
        <w:keepNext/>
        <w:keepLines/>
        <w:widowControl/>
        <w:tabs>
          <w:tab w:val="left" w:pos="567"/>
        </w:tabs>
        <w:autoSpaceDE/>
        <w:autoSpaceDN/>
        <w:adjustRightInd/>
        <w:rPr>
          <w:rFonts w:eastAsia="PMingLiU"/>
          <w:b/>
          <w:bCs/>
          <w:sz w:val="22"/>
          <w:szCs w:val="20"/>
          <w:highlight w:val="lightGray"/>
          <w:lang w:val="el-GR"/>
        </w:rPr>
      </w:pPr>
      <w:r>
        <w:rPr>
          <w:rFonts w:eastAsia="PMingLiU"/>
          <w:b/>
          <w:bCs/>
          <w:sz w:val="22"/>
          <w:szCs w:val="20"/>
          <w:highlight w:val="lightGray"/>
          <w:lang w:val="el-GR"/>
        </w:rPr>
        <w:t>Κάτοχος Άδειας Κυκλοφορίας</w:t>
      </w:r>
    </w:p>
    <w:p w14:paraId="627A0BE7" w14:textId="77777777" w:rsidR="00171824" w:rsidRDefault="006D258C">
      <w:pPr>
        <w:keepNext/>
        <w:keepLines/>
        <w:widowControl/>
        <w:tabs>
          <w:tab w:val="left" w:pos="567"/>
        </w:tabs>
        <w:autoSpaceDE/>
        <w:autoSpaceDN/>
        <w:adjustRightInd/>
        <w:rPr>
          <w:rFonts w:eastAsia="PMingLiU"/>
          <w:sz w:val="22"/>
          <w:szCs w:val="20"/>
          <w:highlight w:val="lightGray"/>
          <w:lang w:val="el-GR"/>
        </w:rPr>
      </w:pPr>
      <w:r w:rsidRPr="00422380">
        <w:rPr>
          <w:rFonts w:eastAsia="PMingLiU"/>
          <w:sz w:val="22"/>
          <w:szCs w:val="20"/>
          <w:highlight w:val="lightGray"/>
        </w:rPr>
        <w:t>Amgen</w:t>
      </w:r>
      <w:r>
        <w:rPr>
          <w:rFonts w:eastAsia="PMingLiU"/>
          <w:sz w:val="22"/>
          <w:szCs w:val="20"/>
          <w:highlight w:val="lightGray"/>
          <w:lang w:val="el-GR"/>
        </w:rPr>
        <w:t xml:space="preserve"> </w:t>
      </w:r>
      <w:r w:rsidRPr="00422380">
        <w:rPr>
          <w:rFonts w:eastAsia="PMingLiU"/>
          <w:sz w:val="22"/>
          <w:szCs w:val="20"/>
          <w:highlight w:val="lightGray"/>
        </w:rPr>
        <w:t>Europe</w:t>
      </w:r>
      <w:r>
        <w:rPr>
          <w:rFonts w:eastAsia="PMingLiU"/>
          <w:sz w:val="22"/>
          <w:szCs w:val="20"/>
          <w:highlight w:val="lightGray"/>
          <w:lang w:val="el-GR"/>
        </w:rPr>
        <w:t xml:space="preserve"> </w:t>
      </w:r>
      <w:r w:rsidRPr="00422380">
        <w:rPr>
          <w:rFonts w:eastAsia="PMingLiU"/>
          <w:sz w:val="22"/>
          <w:szCs w:val="20"/>
          <w:highlight w:val="lightGray"/>
        </w:rPr>
        <w:t>B</w:t>
      </w:r>
      <w:r>
        <w:rPr>
          <w:rFonts w:eastAsia="PMingLiU"/>
          <w:sz w:val="22"/>
          <w:szCs w:val="20"/>
          <w:highlight w:val="lightGray"/>
          <w:lang w:val="el-GR"/>
        </w:rPr>
        <w:t>.</w:t>
      </w:r>
      <w:r w:rsidRPr="00422380">
        <w:rPr>
          <w:rFonts w:eastAsia="PMingLiU"/>
          <w:sz w:val="22"/>
          <w:szCs w:val="20"/>
          <w:highlight w:val="lightGray"/>
        </w:rPr>
        <w:t>V</w:t>
      </w:r>
      <w:r>
        <w:rPr>
          <w:rFonts w:eastAsia="PMingLiU"/>
          <w:sz w:val="22"/>
          <w:szCs w:val="20"/>
          <w:highlight w:val="lightGray"/>
          <w:lang w:val="el-GR"/>
        </w:rPr>
        <w:t xml:space="preserve">. </w:t>
      </w:r>
      <w:r>
        <w:rPr>
          <w:rFonts w:eastAsia="PMingLiU"/>
          <w:sz w:val="22"/>
          <w:szCs w:val="20"/>
          <w:highlight w:val="lightGray"/>
          <w:lang w:val="el-GR"/>
        </w:rPr>
        <w:br/>
      </w:r>
      <w:r w:rsidRPr="00422380">
        <w:rPr>
          <w:rFonts w:eastAsia="PMingLiU"/>
          <w:sz w:val="22"/>
          <w:szCs w:val="20"/>
          <w:highlight w:val="lightGray"/>
        </w:rPr>
        <w:t>Minervum</w:t>
      </w:r>
      <w:r>
        <w:rPr>
          <w:rFonts w:eastAsia="PMingLiU"/>
          <w:sz w:val="22"/>
          <w:szCs w:val="20"/>
          <w:highlight w:val="lightGray"/>
          <w:lang w:val="el-GR"/>
        </w:rPr>
        <w:t xml:space="preserve"> 7061 </w:t>
      </w:r>
      <w:r>
        <w:rPr>
          <w:rFonts w:eastAsia="PMingLiU"/>
          <w:sz w:val="22"/>
          <w:szCs w:val="20"/>
          <w:highlight w:val="lightGray"/>
          <w:lang w:val="el-GR"/>
        </w:rPr>
        <w:br/>
        <w:t xml:space="preserve">4817 </w:t>
      </w:r>
      <w:r w:rsidRPr="00422380">
        <w:rPr>
          <w:rFonts w:eastAsia="PMingLiU"/>
          <w:sz w:val="22"/>
          <w:szCs w:val="20"/>
          <w:highlight w:val="lightGray"/>
        </w:rPr>
        <w:t>ZK</w:t>
      </w:r>
      <w:r>
        <w:rPr>
          <w:rFonts w:eastAsia="PMingLiU"/>
          <w:sz w:val="22"/>
          <w:szCs w:val="20"/>
          <w:highlight w:val="lightGray"/>
          <w:lang w:val="el-GR"/>
        </w:rPr>
        <w:t xml:space="preserve"> </w:t>
      </w:r>
      <w:r w:rsidRPr="00422380">
        <w:rPr>
          <w:rFonts w:eastAsia="PMingLiU"/>
          <w:sz w:val="22"/>
          <w:szCs w:val="20"/>
          <w:highlight w:val="lightGray"/>
        </w:rPr>
        <w:t>Breda</w:t>
      </w:r>
      <w:r>
        <w:rPr>
          <w:rFonts w:eastAsia="PMingLiU"/>
          <w:sz w:val="22"/>
          <w:szCs w:val="20"/>
          <w:highlight w:val="lightGray"/>
          <w:lang w:val="el-GR"/>
        </w:rPr>
        <w:t xml:space="preserve"> </w:t>
      </w:r>
      <w:r>
        <w:rPr>
          <w:rFonts w:eastAsia="PMingLiU"/>
          <w:sz w:val="22"/>
          <w:szCs w:val="20"/>
          <w:highlight w:val="lightGray"/>
          <w:lang w:val="el-GR"/>
        </w:rPr>
        <w:br/>
        <w:t>Ολλανδία</w:t>
      </w:r>
    </w:p>
    <w:p w14:paraId="7F2788D0" w14:textId="77777777" w:rsidR="00171824" w:rsidRDefault="00171824">
      <w:pPr>
        <w:widowControl/>
        <w:tabs>
          <w:tab w:val="left" w:pos="567"/>
        </w:tabs>
        <w:autoSpaceDE/>
        <w:autoSpaceDN/>
        <w:adjustRightInd/>
        <w:rPr>
          <w:rFonts w:eastAsia="PMingLiU"/>
          <w:sz w:val="22"/>
          <w:szCs w:val="20"/>
          <w:highlight w:val="lightGray"/>
          <w:lang w:val="el-GR"/>
        </w:rPr>
      </w:pPr>
    </w:p>
    <w:p w14:paraId="2AB882FC" w14:textId="77777777" w:rsidR="00171824" w:rsidRPr="00422380" w:rsidRDefault="006D258C">
      <w:pPr>
        <w:widowControl/>
        <w:tabs>
          <w:tab w:val="left" w:pos="567"/>
        </w:tabs>
        <w:autoSpaceDE/>
        <w:autoSpaceDN/>
        <w:adjustRightInd/>
        <w:rPr>
          <w:rFonts w:eastAsia="PMingLiU"/>
          <w:b/>
          <w:sz w:val="22"/>
          <w:szCs w:val="20"/>
          <w:highlight w:val="lightGray"/>
        </w:rPr>
      </w:pPr>
      <w:r>
        <w:rPr>
          <w:rFonts w:eastAsia="PMingLiU"/>
          <w:b/>
          <w:sz w:val="22"/>
          <w:szCs w:val="20"/>
          <w:highlight w:val="lightGray"/>
          <w:lang w:val="el-GR"/>
        </w:rPr>
        <w:t>Παρασκευαστής</w:t>
      </w:r>
    </w:p>
    <w:p w14:paraId="0385B4EC" w14:textId="77777777" w:rsidR="00171824" w:rsidRPr="00422380" w:rsidRDefault="006D258C">
      <w:pPr>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 xml:space="preserve">Amgen Technology Ireland UC </w:t>
      </w:r>
    </w:p>
    <w:p w14:paraId="3B7A7E21" w14:textId="77777777" w:rsidR="00171824" w:rsidRPr="00422380" w:rsidRDefault="006D258C">
      <w:pPr>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Pottery Road</w:t>
      </w:r>
    </w:p>
    <w:p w14:paraId="65457AE6" w14:textId="77777777" w:rsidR="00171824" w:rsidRPr="00422380" w:rsidRDefault="006D258C">
      <w:pPr>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Dun Laoghaire</w:t>
      </w:r>
    </w:p>
    <w:p w14:paraId="3588AB43" w14:textId="77777777" w:rsidR="00171824" w:rsidRPr="00422380" w:rsidRDefault="006D258C">
      <w:pPr>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Co Dublin</w:t>
      </w:r>
    </w:p>
    <w:p w14:paraId="571EFDC8" w14:textId="77777777" w:rsidR="00171824" w:rsidRPr="00422380" w:rsidRDefault="006D258C">
      <w:pPr>
        <w:widowControl/>
        <w:tabs>
          <w:tab w:val="left" w:pos="567"/>
        </w:tabs>
        <w:autoSpaceDE/>
        <w:autoSpaceDN/>
        <w:adjustRightInd/>
        <w:rPr>
          <w:rFonts w:eastAsia="PMingLiU"/>
          <w:sz w:val="22"/>
          <w:szCs w:val="20"/>
          <w:highlight w:val="lightGray"/>
        </w:rPr>
      </w:pPr>
      <w:r>
        <w:rPr>
          <w:rFonts w:eastAsia="PMingLiU"/>
          <w:sz w:val="22"/>
          <w:szCs w:val="20"/>
          <w:highlight w:val="lightGray"/>
          <w:lang w:val="el-GR"/>
        </w:rPr>
        <w:t>Ιρλανδία</w:t>
      </w:r>
    </w:p>
    <w:p w14:paraId="5AFAD6B1" w14:textId="77777777" w:rsidR="00171824" w:rsidRPr="00422380" w:rsidRDefault="00171824">
      <w:pPr>
        <w:widowControl/>
        <w:kinsoku w:val="0"/>
        <w:overflowPunct w:val="0"/>
        <w:rPr>
          <w:sz w:val="22"/>
          <w:szCs w:val="22"/>
        </w:rPr>
      </w:pPr>
    </w:p>
    <w:p w14:paraId="640B39DD" w14:textId="77777777" w:rsidR="00171824" w:rsidRPr="00422380" w:rsidRDefault="006D258C">
      <w:pPr>
        <w:widowControl/>
        <w:tabs>
          <w:tab w:val="left" w:pos="567"/>
        </w:tabs>
        <w:autoSpaceDE/>
        <w:autoSpaceDN/>
        <w:adjustRightInd/>
        <w:rPr>
          <w:rFonts w:eastAsia="PMingLiU"/>
          <w:b/>
          <w:sz w:val="22"/>
          <w:szCs w:val="20"/>
          <w:highlight w:val="lightGray"/>
        </w:rPr>
      </w:pPr>
      <w:r>
        <w:rPr>
          <w:rFonts w:eastAsia="PMingLiU"/>
          <w:b/>
          <w:sz w:val="22"/>
          <w:szCs w:val="20"/>
          <w:highlight w:val="lightGray"/>
          <w:lang w:val="el-GR"/>
        </w:rPr>
        <w:t>Παρασκευαστής</w:t>
      </w:r>
    </w:p>
    <w:p w14:paraId="1DB7ACE7" w14:textId="77777777" w:rsidR="00171824" w:rsidRDefault="006D258C">
      <w:pPr>
        <w:rPr>
          <w:sz w:val="22"/>
          <w:szCs w:val="22"/>
          <w:highlight w:val="lightGray"/>
          <w:lang w:val="el-GR" w:eastAsia="ja-JP"/>
        </w:rPr>
      </w:pPr>
      <w:r w:rsidRPr="00422380">
        <w:rPr>
          <w:sz w:val="22"/>
          <w:szCs w:val="22"/>
          <w:highlight w:val="lightGray"/>
          <w:lang w:eastAsia="ja-JP"/>
        </w:rPr>
        <w:t>Amgen</w:t>
      </w:r>
      <w:r>
        <w:rPr>
          <w:sz w:val="22"/>
          <w:szCs w:val="22"/>
          <w:highlight w:val="lightGray"/>
          <w:lang w:val="el-GR" w:eastAsia="ja-JP"/>
        </w:rPr>
        <w:t xml:space="preserve"> </w:t>
      </w:r>
      <w:r w:rsidRPr="00422380">
        <w:rPr>
          <w:sz w:val="22"/>
          <w:szCs w:val="22"/>
          <w:highlight w:val="lightGray"/>
          <w:lang w:eastAsia="ja-JP"/>
        </w:rPr>
        <w:t>NV</w:t>
      </w:r>
    </w:p>
    <w:p w14:paraId="2A70D6B0" w14:textId="77777777" w:rsidR="00171824" w:rsidRDefault="006D258C">
      <w:pPr>
        <w:rPr>
          <w:sz w:val="22"/>
          <w:szCs w:val="22"/>
          <w:highlight w:val="lightGray"/>
          <w:lang w:val="el-GR" w:eastAsia="ja-JP"/>
        </w:rPr>
      </w:pPr>
      <w:r>
        <w:rPr>
          <w:sz w:val="22"/>
          <w:szCs w:val="22"/>
          <w:highlight w:val="lightGray"/>
          <w:lang w:val="el-GR" w:eastAsia="ja-JP"/>
        </w:rPr>
        <w:t>Telecomlaan 5-7</w:t>
      </w:r>
    </w:p>
    <w:p w14:paraId="45E8DD54" w14:textId="77777777" w:rsidR="00171824" w:rsidRDefault="006D258C">
      <w:pPr>
        <w:rPr>
          <w:sz w:val="22"/>
          <w:szCs w:val="22"/>
          <w:highlight w:val="lightGray"/>
          <w:lang w:val="el-GR" w:eastAsia="ja-JP"/>
        </w:rPr>
      </w:pPr>
      <w:r>
        <w:rPr>
          <w:sz w:val="22"/>
          <w:szCs w:val="22"/>
          <w:highlight w:val="lightGray"/>
          <w:lang w:val="el-GR" w:eastAsia="ja-JP"/>
        </w:rPr>
        <w:t>1831 Diegem</w:t>
      </w:r>
    </w:p>
    <w:p w14:paraId="117FAC9F" w14:textId="77777777" w:rsidR="00171824" w:rsidRDefault="006D258C">
      <w:pPr>
        <w:widowControl/>
        <w:rPr>
          <w:sz w:val="22"/>
          <w:szCs w:val="22"/>
          <w:lang w:val="el-GR" w:eastAsia="ja-JP"/>
        </w:rPr>
      </w:pPr>
      <w:r>
        <w:rPr>
          <w:sz w:val="22"/>
          <w:szCs w:val="22"/>
          <w:highlight w:val="lightGray"/>
          <w:lang w:val="el-GR" w:eastAsia="ja-JP"/>
        </w:rPr>
        <w:t>Βέλγιο</w:t>
      </w:r>
    </w:p>
    <w:p w14:paraId="6A0DFFB7" w14:textId="77777777" w:rsidR="00171824" w:rsidRDefault="00171824">
      <w:pPr>
        <w:pStyle w:val="BodyText"/>
        <w:widowControl/>
        <w:kinsoku w:val="0"/>
        <w:overflowPunct w:val="0"/>
        <w:ind w:left="0"/>
        <w:rPr>
          <w:lang w:val="el-GR"/>
        </w:rPr>
      </w:pPr>
    </w:p>
    <w:p w14:paraId="3617F2E9" w14:textId="77777777" w:rsidR="00171824" w:rsidRDefault="006D258C">
      <w:pPr>
        <w:pStyle w:val="BodyText"/>
        <w:widowControl/>
        <w:kinsoku w:val="0"/>
        <w:overflowPunct w:val="0"/>
        <w:ind w:left="0"/>
        <w:rPr>
          <w:lang w:val="el-GR"/>
        </w:rPr>
      </w:pPr>
      <w:r>
        <w:rPr>
          <w:lang w:val="el-GR"/>
        </w:rPr>
        <w:t>Για οποιαδήποτε πληροφορία σχετικά με το παρόν φαρμακευτικό προϊόν, παρακαλείστε να απευθυνθείτε στον τοπικό αντιπρόσωπο του Κατόχου της Άδειας Κυκλοφορίας:</w:t>
      </w:r>
    </w:p>
    <w:p w14:paraId="4FCEAFE8" w14:textId="77777777" w:rsidR="00171824" w:rsidRDefault="00171824">
      <w:pPr>
        <w:pStyle w:val="BodyText"/>
        <w:widowControl/>
        <w:kinsoku w:val="0"/>
        <w:overflowPunct w:val="0"/>
        <w:ind w:left="0"/>
        <w:rPr>
          <w:lang w:val="el-GR"/>
        </w:rPr>
      </w:pPr>
    </w:p>
    <w:tbl>
      <w:tblPr>
        <w:tblW w:w="9356" w:type="dxa"/>
        <w:tblLook w:val="04A0" w:firstRow="1" w:lastRow="0" w:firstColumn="1" w:lastColumn="0" w:noHBand="0" w:noVBand="1"/>
      </w:tblPr>
      <w:tblGrid>
        <w:gridCol w:w="4677"/>
        <w:gridCol w:w="4679"/>
      </w:tblGrid>
      <w:tr w:rsidR="00171824" w14:paraId="7F4A341F" w14:textId="77777777">
        <w:trPr>
          <w:cantSplit/>
        </w:trPr>
        <w:tc>
          <w:tcPr>
            <w:tcW w:w="4677" w:type="dxa"/>
          </w:tcPr>
          <w:p w14:paraId="473F3A43"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b/>
                <w:sz w:val="22"/>
                <w:szCs w:val="22"/>
                <w:lang w:val="fr-FR"/>
              </w:rPr>
              <w:t>België/Belgique/Belgien</w:t>
            </w:r>
          </w:p>
          <w:p w14:paraId="5FAAF427"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s.a. Amgen n.v.</w:t>
            </w:r>
          </w:p>
          <w:p w14:paraId="3C6577E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Tél/Tel: +32 (0)2 7752711</w:t>
            </w:r>
          </w:p>
          <w:p w14:paraId="1BB4A1F2"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BB58505" w14:textId="77777777" w:rsidR="00171824" w:rsidRPr="00CB2FBB" w:rsidRDefault="006D258C">
            <w:pPr>
              <w:widowControl/>
              <w:tabs>
                <w:tab w:val="left" w:pos="567"/>
              </w:tabs>
              <w:autoSpaceDE/>
              <w:autoSpaceDN/>
              <w:adjustRightInd/>
              <w:rPr>
                <w:rFonts w:eastAsia="PMingLiU"/>
                <w:b/>
                <w:sz w:val="22"/>
                <w:szCs w:val="22"/>
                <w:lang w:val="el-GR"/>
              </w:rPr>
            </w:pPr>
            <w:r w:rsidRPr="00422380">
              <w:rPr>
                <w:rFonts w:eastAsia="PMingLiU"/>
                <w:b/>
                <w:sz w:val="22"/>
                <w:szCs w:val="22"/>
              </w:rPr>
              <w:t>Lietuva</w:t>
            </w:r>
          </w:p>
          <w:p w14:paraId="7DBD1549" w14:textId="77777777" w:rsidR="00171824" w:rsidRPr="00CB2FBB" w:rsidRDefault="006D258C">
            <w:pPr>
              <w:widowControl/>
              <w:tabs>
                <w:tab w:val="left" w:pos="567"/>
              </w:tabs>
              <w:autoSpaceDE/>
              <w:autoSpaceDN/>
              <w:adjustRightInd/>
              <w:rPr>
                <w:rFonts w:eastAsia="PMingLiU"/>
                <w:bCs/>
                <w:sz w:val="22"/>
                <w:szCs w:val="22"/>
                <w:lang w:val="el-GR"/>
              </w:rPr>
            </w:pPr>
            <w:r w:rsidRPr="00422380">
              <w:rPr>
                <w:rFonts w:eastAsia="PMingLiU"/>
                <w:sz w:val="22"/>
                <w:szCs w:val="22"/>
              </w:rPr>
              <w:t>Amgen</w:t>
            </w:r>
            <w:r w:rsidRPr="00CB2FBB">
              <w:rPr>
                <w:rFonts w:eastAsia="PMingLiU"/>
                <w:sz w:val="22"/>
                <w:szCs w:val="22"/>
                <w:lang w:val="el-GR"/>
              </w:rPr>
              <w:t xml:space="preserve"> </w:t>
            </w:r>
            <w:r w:rsidRPr="00422380">
              <w:rPr>
                <w:rFonts w:eastAsia="PMingLiU"/>
                <w:sz w:val="22"/>
                <w:szCs w:val="22"/>
              </w:rPr>
              <w:t>Switzerland</w:t>
            </w:r>
            <w:r w:rsidRPr="00CB2FBB">
              <w:rPr>
                <w:rFonts w:eastAsia="PMingLiU"/>
                <w:sz w:val="22"/>
                <w:szCs w:val="22"/>
                <w:lang w:val="el-GR"/>
              </w:rPr>
              <w:t xml:space="preserve"> </w:t>
            </w:r>
            <w:r w:rsidRPr="00422380">
              <w:rPr>
                <w:rFonts w:eastAsia="PMingLiU"/>
                <w:sz w:val="22"/>
                <w:szCs w:val="22"/>
              </w:rPr>
              <w:t>AG</w:t>
            </w:r>
            <w:r w:rsidRPr="00CB2FBB">
              <w:rPr>
                <w:rFonts w:eastAsia="PMingLiU"/>
                <w:sz w:val="22"/>
                <w:szCs w:val="22"/>
                <w:lang w:val="el-GR"/>
              </w:rPr>
              <w:t xml:space="preserve"> </w:t>
            </w:r>
            <w:r w:rsidRPr="00422380">
              <w:rPr>
                <w:rFonts w:eastAsia="PMingLiU"/>
                <w:sz w:val="22"/>
                <w:szCs w:val="22"/>
              </w:rPr>
              <w:t>Vilniaus</w:t>
            </w:r>
            <w:r w:rsidRPr="00CB2FBB">
              <w:rPr>
                <w:rFonts w:eastAsia="PMingLiU"/>
                <w:sz w:val="22"/>
                <w:szCs w:val="22"/>
                <w:lang w:val="el-GR"/>
              </w:rPr>
              <w:t xml:space="preserve"> </w:t>
            </w:r>
            <w:r w:rsidRPr="00422380">
              <w:rPr>
                <w:rFonts w:eastAsia="PMingLiU"/>
                <w:sz w:val="22"/>
                <w:szCs w:val="22"/>
              </w:rPr>
              <w:t>filialas</w:t>
            </w:r>
          </w:p>
          <w:p w14:paraId="59E6971E"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w:t>
            </w:r>
            <w:ins w:id="126" w:author="Author">
              <w:r>
                <w:rPr>
                  <w:rFonts w:eastAsia="PMingLiU"/>
                  <w:bCs/>
                  <w:sz w:val="22"/>
                  <w:szCs w:val="22"/>
                  <w:lang w:val="el-GR"/>
                </w:rPr>
                <w:t>.</w:t>
              </w:r>
            </w:ins>
            <w:del w:id="127" w:author="Author">
              <w:r>
                <w:rPr>
                  <w:rFonts w:eastAsia="PMingLiU"/>
                  <w:bCs/>
                  <w:sz w:val="22"/>
                  <w:szCs w:val="22"/>
                  <w:lang w:val="el-GR"/>
                </w:rPr>
                <w:delText>:</w:delText>
              </w:r>
            </w:del>
            <w:r>
              <w:rPr>
                <w:rFonts w:eastAsia="PMingLiU"/>
                <w:bCs/>
                <w:sz w:val="22"/>
                <w:szCs w:val="22"/>
                <w:lang w:val="el-GR"/>
              </w:rPr>
              <w:t xml:space="preserve"> +370 5 219 7474</w:t>
            </w:r>
          </w:p>
          <w:p w14:paraId="7E402EA4" w14:textId="77777777" w:rsidR="00171824" w:rsidRDefault="00171824">
            <w:pPr>
              <w:widowControl/>
              <w:tabs>
                <w:tab w:val="left" w:pos="567"/>
              </w:tabs>
              <w:autoSpaceDE/>
              <w:autoSpaceDN/>
              <w:adjustRightInd/>
              <w:rPr>
                <w:rFonts w:eastAsia="PMingLiU"/>
                <w:sz w:val="22"/>
                <w:szCs w:val="22"/>
                <w:lang w:val="el-GR"/>
              </w:rPr>
            </w:pPr>
          </w:p>
        </w:tc>
      </w:tr>
      <w:tr w:rsidR="00171824" w:rsidRPr="00AA11B3" w14:paraId="7C0169D7" w14:textId="77777777">
        <w:trPr>
          <w:cantSplit/>
        </w:trPr>
        <w:tc>
          <w:tcPr>
            <w:tcW w:w="4677" w:type="dxa"/>
          </w:tcPr>
          <w:p w14:paraId="5CBE94DA" w14:textId="77777777" w:rsidR="00171824" w:rsidRPr="00422380" w:rsidRDefault="006D258C">
            <w:pPr>
              <w:widowControl/>
              <w:tabs>
                <w:tab w:val="left" w:pos="567"/>
              </w:tabs>
              <w:rPr>
                <w:rFonts w:eastAsia="PMingLiU"/>
                <w:b/>
                <w:sz w:val="22"/>
                <w:szCs w:val="22"/>
                <w:lang w:val="ru-RU"/>
              </w:rPr>
            </w:pPr>
            <w:r>
              <w:rPr>
                <w:rFonts w:eastAsia="PMingLiU"/>
                <w:b/>
                <w:sz w:val="22"/>
                <w:szCs w:val="22"/>
                <w:lang w:val="ru-RU"/>
              </w:rPr>
              <w:t>България</w:t>
            </w:r>
          </w:p>
          <w:p w14:paraId="16615853" w14:textId="77777777" w:rsidR="00171824" w:rsidRPr="00422380" w:rsidRDefault="006D258C">
            <w:pPr>
              <w:widowControl/>
              <w:tabs>
                <w:tab w:val="left" w:pos="567"/>
              </w:tabs>
              <w:autoSpaceDE/>
              <w:autoSpaceDN/>
              <w:adjustRightInd/>
              <w:rPr>
                <w:rFonts w:eastAsia="PMingLiU"/>
                <w:sz w:val="22"/>
                <w:szCs w:val="22"/>
                <w:lang w:val="ru-RU"/>
              </w:rPr>
            </w:pPr>
            <w:r>
              <w:rPr>
                <w:rFonts w:eastAsia="Arial Unicode MS"/>
                <w:sz w:val="22"/>
                <w:szCs w:val="22"/>
                <w:lang w:val="ru-RU" w:eastAsia="en-GB"/>
              </w:rPr>
              <w:t>Амджен</w:t>
            </w:r>
            <w:r w:rsidRPr="00422380">
              <w:rPr>
                <w:rFonts w:eastAsia="Arial Unicode MS"/>
                <w:sz w:val="22"/>
                <w:szCs w:val="22"/>
                <w:lang w:val="ru-RU" w:eastAsia="en-GB"/>
              </w:rPr>
              <w:t xml:space="preserve"> </w:t>
            </w:r>
            <w:r>
              <w:rPr>
                <w:rFonts w:eastAsia="Arial Unicode MS"/>
                <w:sz w:val="22"/>
                <w:szCs w:val="22"/>
                <w:lang w:val="ru-RU" w:eastAsia="en-GB"/>
              </w:rPr>
              <w:t>България</w:t>
            </w:r>
            <w:r w:rsidRPr="00422380">
              <w:rPr>
                <w:rFonts w:eastAsia="PMingLiU"/>
                <w:sz w:val="22"/>
                <w:szCs w:val="22"/>
                <w:lang w:val="ru-RU"/>
              </w:rPr>
              <w:t xml:space="preserve"> </w:t>
            </w:r>
            <w:r>
              <w:rPr>
                <w:rFonts w:eastAsia="PMingLiU"/>
                <w:sz w:val="22"/>
                <w:szCs w:val="22"/>
                <w:lang w:val="ru-RU"/>
              </w:rPr>
              <w:t>ЕООД</w:t>
            </w:r>
          </w:p>
          <w:p w14:paraId="2F86158F" w14:textId="77777777" w:rsidR="00171824" w:rsidRPr="00422380" w:rsidRDefault="006D258C">
            <w:pPr>
              <w:widowControl/>
              <w:tabs>
                <w:tab w:val="left" w:pos="567"/>
              </w:tabs>
              <w:autoSpaceDE/>
              <w:autoSpaceDN/>
              <w:adjustRightInd/>
              <w:rPr>
                <w:rFonts w:eastAsia="Arial Unicode MS"/>
                <w:bCs/>
                <w:sz w:val="22"/>
                <w:szCs w:val="22"/>
                <w:lang w:val="ru-RU"/>
              </w:rPr>
            </w:pPr>
            <w:r>
              <w:rPr>
                <w:rFonts w:eastAsia="PMingLiU"/>
                <w:sz w:val="22"/>
                <w:szCs w:val="22"/>
                <w:lang w:val="ru-RU"/>
              </w:rPr>
              <w:t>Тел</w:t>
            </w:r>
            <w:r w:rsidRPr="00422380">
              <w:rPr>
                <w:rFonts w:eastAsia="Arial Unicode MS"/>
                <w:sz w:val="22"/>
                <w:szCs w:val="22"/>
                <w:lang w:val="ru-RU" w:eastAsia="en-GB"/>
              </w:rPr>
              <w:t>.: +</w:t>
            </w:r>
            <w:r w:rsidRPr="00422380">
              <w:rPr>
                <w:rFonts w:eastAsia="PMingLiU"/>
                <w:sz w:val="22"/>
                <w:szCs w:val="22"/>
                <w:lang w:val="ru-RU"/>
              </w:rPr>
              <w:t xml:space="preserve">359 </w:t>
            </w:r>
            <w:r w:rsidRPr="00422380">
              <w:rPr>
                <w:rFonts w:eastAsia="Arial Unicode MS"/>
                <w:bCs/>
                <w:sz w:val="22"/>
                <w:szCs w:val="22"/>
                <w:lang w:val="ru-RU"/>
              </w:rPr>
              <w:t>(0)</w:t>
            </w:r>
            <w:r w:rsidRPr="00422380">
              <w:rPr>
                <w:rFonts w:eastAsia="PMingLiU"/>
                <w:sz w:val="22"/>
                <w:szCs w:val="22"/>
                <w:lang w:val="ru-RU"/>
              </w:rPr>
              <w:t>2</w:t>
            </w:r>
            <w:r w:rsidRPr="00422380">
              <w:rPr>
                <w:rFonts w:eastAsia="Arial Unicode MS"/>
                <w:bCs/>
                <w:sz w:val="22"/>
                <w:szCs w:val="22"/>
              </w:rPr>
              <w:t> </w:t>
            </w:r>
            <w:r w:rsidRPr="00422380">
              <w:rPr>
                <w:rFonts w:eastAsia="Arial Unicode MS"/>
                <w:bCs/>
                <w:sz w:val="22"/>
                <w:szCs w:val="22"/>
                <w:lang w:val="ru-RU"/>
              </w:rPr>
              <w:t>424 7440</w:t>
            </w:r>
          </w:p>
          <w:p w14:paraId="45F5EBA3" w14:textId="77777777" w:rsidR="00171824" w:rsidRPr="00422380" w:rsidRDefault="00171824">
            <w:pPr>
              <w:widowControl/>
              <w:tabs>
                <w:tab w:val="left" w:pos="567"/>
              </w:tabs>
              <w:autoSpaceDE/>
              <w:autoSpaceDN/>
              <w:adjustRightInd/>
              <w:rPr>
                <w:rFonts w:eastAsia="PMingLiU"/>
                <w:sz w:val="22"/>
                <w:szCs w:val="22"/>
                <w:lang w:val="ru-RU"/>
              </w:rPr>
            </w:pPr>
          </w:p>
        </w:tc>
        <w:tc>
          <w:tcPr>
            <w:tcW w:w="4679" w:type="dxa"/>
          </w:tcPr>
          <w:p w14:paraId="065D9A25"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b/>
                <w:sz w:val="22"/>
                <w:szCs w:val="22"/>
                <w:lang w:val="de-DE"/>
              </w:rPr>
              <w:t>Luxembourg/Luxemburg</w:t>
            </w:r>
          </w:p>
          <w:p w14:paraId="4FEF2D52"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 xml:space="preserve">s.a. Amgen </w:t>
            </w:r>
          </w:p>
          <w:p w14:paraId="25AA7F41"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Belgique/Belgien</w:t>
            </w:r>
          </w:p>
          <w:p w14:paraId="18E099A3"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Tél/Tel: +32 (0)2 7752711</w:t>
            </w:r>
          </w:p>
          <w:p w14:paraId="7B72BE74" w14:textId="77777777" w:rsidR="00171824" w:rsidRPr="00422380" w:rsidRDefault="00171824">
            <w:pPr>
              <w:widowControl/>
              <w:tabs>
                <w:tab w:val="left" w:pos="567"/>
              </w:tabs>
              <w:autoSpaceDE/>
              <w:autoSpaceDN/>
              <w:adjustRightInd/>
              <w:rPr>
                <w:rFonts w:eastAsia="PMingLiU"/>
                <w:sz w:val="22"/>
                <w:szCs w:val="22"/>
                <w:lang w:val="fr-FR"/>
              </w:rPr>
            </w:pPr>
          </w:p>
        </w:tc>
      </w:tr>
      <w:tr w:rsidR="00171824" w14:paraId="27EF99B0" w14:textId="77777777">
        <w:trPr>
          <w:cantSplit/>
        </w:trPr>
        <w:tc>
          <w:tcPr>
            <w:tcW w:w="4677" w:type="dxa"/>
          </w:tcPr>
          <w:p w14:paraId="5D464721" w14:textId="77777777" w:rsidR="00171824" w:rsidRPr="00422380" w:rsidRDefault="006D258C">
            <w:pPr>
              <w:keepNext/>
              <w:widowControl/>
              <w:tabs>
                <w:tab w:val="left" w:pos="567"/>
              </w:tabs>
              <w:autoSpaceDE/>
              <w:autoSpaceDN/>
              <w:adjustRightInd/>
              <w:rPr>
                <w:rFonts w:eastAsia="PMingLiU"/>
                <w:b/>
                <w:sz w:val="22"/>
                <w:szCs w:val="22"/>
                <w:lang w:val="sv-SE"/>
              </w:rPr>
            </w:pPr>
            <w:r w:rsidRPr="00422380">
              <w:rPr>
                <w:rFonts w:eastAsia="PMingLiU"/>
                <w:b/>
                <w:sz w:val="22"/>
                <w:szCs w:val="22"/>
                <w:lang w:val="sv-SE"/>
              </w:rPr>
              <w:t>Česká republika</w:t>
            </w:r>
          </w:p>
          <w:p w14:paraId="6C2397B9" w14:textId="77777777" w:rsidR="00171824" w:rsidRPr="00422380" w:rsidRDefault="006D258C">
            <w:pPr>
              <w:keepNext/>
              <w:widowControl/>
              <w:tabs>
                <w:tab w:val="left" w:pos="567"/>
              </w:tabs>
              <w:autoSpaceDE/>
              <w:autoSpaceDN/>
              <w:adjustRightInd/>
              <w:rPr>
                <w:rFonts w:eastAsia="PMingLiU"/>
                <w:sz w:val="22"/>
                <w:szCs w:val="22"/>
                <w:lang w:val="sv-SE"/>
              </w:rPr>
            </w:pPr>
            <w:r w:rsidRPr="00422380">
              <w:rPr>
                <w:rFonts w:eastAsia="PMingLiU"/>
                <w:bCs/>
                <w:sz w:val="22"/>
                <w:szCs w:val="22"/>
                <w:lang w:val="sv-SE"/>
              </w:rPr>
              <w:t>Amgen</w:t>
            </w:r>
            <w:r w:rsidRPr="00422380">
              <w:rPr>
                <w:rFonts w:eastAsia="PMingLiU"/>
                <w:sz w:val="22"/>
                <w:szCs w:val="22"/>
                <w:lang w:val="sv-SE"/>
              </w:rPr>
              <w:t xml:space="preserve"> s.r.o.</w:t>
            </w:r>
          </w:p>
          <w:p w14:paraId="2C809323"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+420 </w:t>
            </w:r>
            <w:r>
              <w:rPr>
                <w:rFonts w:eastAsia="PMingLiU"/>
                <w:bCs/>
                <w:sz w:val="22"/>
                <w:szCs w:val="22"/>
                <w:lang w:val="el-GR"/>
              </w:rPr>
              <w:t>221 773 500</w:t>
            </w:r>
          </w:p>
          <w:p w14:paraId="5B99742A"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290A4FEB"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Magyarország</w:t>
            </w:r>
          </w:p>
          <w:p w14:paraId="0BA8A9FD" w14:textId="77777777" w:rsidR="00171824" w:rsidRDefault="006D258C">
            <w:pPr>
              <w:widowControl/>
              <w:tabs>
                <w:tab w:val="left" w:pos="567"/>
              </w:tabs>
              <w:autoSpaceDE/>
              <w:autoSpaceDN/>
              <w:adjustRightInd/>
              <w:rPr>
                <w:rFonts w:eastAsia="PMingLiU"/>
                <w:sz w:val="22"/>
                <w:szCs w:val="22"/>
                <w:lang w:val="el-GR"/>
              </w:rPr>
            </w:pPr>
            <w:r>
              <w:rPr>
                <w:rFonts w:eastAsia="PMingLiU"/>
                <w:bCs/>
                <w:sz w:val="22"/>
                <w:szCs w:val="22"/>
                <w:lang w:val="el-GR"/>
              </w:rPr>
              <w:t>Amgen</w:t>
            </w:r>
            <w:r>
              <w:rPr>
                <w:rFonts w:eastAsia="PMingLiU"/>
                <w:sz w:val="22"/>
                <w:szCs w:val="22"/>
                <w:lang w:val="el-GR"/>
              </w:rPr>
              <w:t xml:space="preserve"> Kft.</w:t>
            </w:r>
          </w:p>
          <w:p w14:paraId="608E0A8D"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Tel</w:t>
            </w:r>
            <w:r>
              <w:rPr>
                <w:rFonts w:eastAsia="PMingLiU"/>
                <w:bCs/>
                <w:sz w:val="22"/>
                <w:szCs w:val="22"/>
                <w:lang w:val="el-GR"/>
              </w:rPr>
              <w:t>.: +</w:t>
            </w:r>
            <w:r>
              <w:rPr>
                <w:rFonts w:eastAsia="PMingLiU"/>
                <w:sz w:val="22"/>
                <w:szCs w:val="22"/>
                <w:lang w:val="el-GR"/>
              </w:rPr>
              <w:t xml:space="preserve">36 1 </w:t>
            </w:r>
            <w:r>
              <w:rPr>
                <w:rFonts w:eastAsia="PMingLiU"/>
                <w:bCs/>
                <w:sz w:val="22"/>
                <w:szCs w:val="22"/>
                <w:lang w:val="el-GR"/>
              </w:rPr>
              <w:t>35 44 700</w:t>
            </w:r>
          </w:p>
          <w:p w14:paraId="4437B38A" w14:textId="77777777" w:rsidR="00171824" w:rsidRDefault="00171824">
            <w:pPr>
              <w:widowControl/>
              <w:tabs>
                <w:tab w:val="left" w:pos="567"/>
              </w:tabs>
              <w:autoSpaceDE/>
              <w:autoSpaceDN/>
              <w:adjustRightInd/>
              <w:rPr>
                <w:rFonts w:eastAsia="PMingLiU"/>
                <w:sz w:val="22"/>
                <w:szCs w:val="22"/>
                <w:lang w:val="el-GR"/>
              </w:rPr>
            </w:pPr>
          </w:p>
        </w:tc>
      </w:tr>
      <w:tr w:rsidR="00171824" w14:paraId="6B2201D7" w14:textId="77777777">
        <w:trPr>
          <w:cantSplit/>
        </w:trPr>
        <w:tc>
          <w:tcPr>
            <w:tcW w:w="4677" w:type="dxa"/>
          </w:tcPr>
          <w:p w14:paraId="2DE7C5A3"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Danmark</w:t>
            </w:r>
          </w:p>
          <w:p w14:paraId="2F95C9BE"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filial af Amgen AB, Sverige</w:t>
            </w:r>
          </w:p>
          <w:p w14:paraId="20695B7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w:t>
            </w:r>
            <w:ins w:id="128" w:author="Author">
              <w:r>
                <w:rPr>
                  <w:rFonts w:eastAsia="PMingLiU"/>
                  <w:sz w:val="22"/>
                  <w:szCs w:val="22"/>
                  <w:lang w:val="el-GR"/>
                </w:rPr>
                <w:t>.</w:t>
              </w:r>
            </w:ins>
            <w:r>
              <w:rPr>
                <w:rFonts w:eastAsia="PMingLiU"/>
                <w:sz w:val="22"/>
                <w:szCs w:val="22"/>
                <w:lang w:val="el-GR"/>
              </w:rPr>
              <w:t>: +45 39617500</w:t>
            </w:r>
          </w:p>
          <w:p w14:paraId="04E684C1"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1A7F8D26" w14:textId="77777777" w:rsidR="00171824" w:rsidRPr="00422380" w:rsidRDefault="006D258C">
            <w:pPr>
              <w:widowControl/>
              <w:tabs>
                <w:tab w:val="left" w:pos="567"/>
              </w:tabs>
              <w:autoSpaceDE/>
              <w:autoSpaceDN/>
              <w:adjustRightInd/>
              <w:rPr>
                <w:rFonts w:eastAsia="PMingLiU"/>
                <w:b/>
                <w:sz w:val="22"/>
                <w:szCs w:val="22"/>
                <w:lang w:val="it-IT"/>
              </w:rPr>
            </w:pPr>
            <w:r w:rsidRPr="00422380">
              <w:rPr>
                <w:rFonts w:eastAsia="PMingLiU"/>
                <w:b/>
                <w:sz w:val="22"/>
                <w:szCs w:val="22"/>
                <w:lang w:val="it-IT"/>
              </w:rPr>
              <w:t>Malta</w:t>
            </w:r>
          </w:p>
          <w:p w14:paraId="2A56A4A7" w14:textId="77777777" w:rsidR="00171824" w:rsidRPr="00422380" w:rsidRDefault="006D258C">
            <w:pPr>
              <w:widowControl/>
              <w:tabs>
                <w:tab w:val="left" w:pos="567"/>
              </w:tabs>
              <w:autoSpaceDE/>
              <w:autoSpaceDN/>
              <w:adjustRightInd/>
              <w:rPr>
                <w:rFonts w:eastAsia="PMingLiU"/>
                <w:bCs/>
                <w:sz w:val="22"/>
                <w:szCs w:val="22"/>
                <w:lang w:val="it-IT"/>
              </w:rPr>
            </w:pPr>
            <w:r w:rsidRPr="00422380">
              <w:rPr>
                <w:rFonts w:eastAsia="PMingLiU"/>
                <w:bCs/>
                <w:sz w:val="22"/>
                <w:szCs w:val="22"/>
                <w:lang w:val="it-IT"/>
              </w:rPr>
              <w:t>Amgen S.r.l.</w:t>
            </w:r>
          </w:p>
          <w:p w14:paraId="58F756D6"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Italy</w:t>
            </w:r>
          </w:p>
          <w:p w14:paraId="23CB241D"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 +39 02 6241121</w:t>
            </w:r>
          </w:p>
          <w:p w14:paraId="4335343E" w14:textId="77777777" w:rsidR="00171824" w:rsidRDefault="00171824">
            <w:pPr>
              <w:widowControl/>
              <w:tabs>
                <w:tab w:val="left" w:pos="567"/>
              </w:tabs>
              <w:autoSpaceDE/>
              <w:autoSpaceDN/>
              <w:adjustRightInd/>
              <w:rPr>
                <w:rFonts w:eastAsia="PMingLiU"/>
                <w:sz w:val="22"/>
                <w:szCs w:val="22"/>
                <w:lang w:val="el-GR"/>
              </w:rPr>
            </w:pPr>
          </w:p>
        </w:tc>
      </w:tr>
      <w:tr w:rsidR="00171824" w:rsidRPr="00A07F46" w14:paraId="24D59177" w14:textId="77777777">
        <w:trPr>
          <w:cantSplit/>
        </w:trPr>
        <w:tc>
          <w:tcPr>
            <w:tcW w:w="4677" w:type="dxa"/>
          </w:tcPr>
          <w:p w14:paraId="12AD94B6"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Deutschland</w:t>
            </w:r>
          </w:p>
          <w:p w14:paraId="282ECA7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GmbH</w:t>
            </w:r>
          </w:p>
          <w:p w14:paraId="261AABA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+49 89 1490960</w:t>
            </w:r>
          </w:p>
          <w:p w14:paraId="6837C669"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EC39272"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Nederland</w:t>
            </w:r>
          </w:p>
          <w:p w14:paraId="6FD5F342"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B.V.</w:t>
            </w:r>
          </w:p>
          <w:p w14:paraId="7DE20EA1"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sz w:val="22"/>
                <w:szCs w:val="22"/>
                <w:lang w:val="da-DK"/>
              </w:rPr>
              <w:t>Tel: +31 (0)76 5732500</w:t>
            </w:r>
          </w:p>
          <w:p w14:paraId="645826CE" w14:textId="77777777" w:rsidR="00171824" w:rsidRPr="00422380" w:rsidRDefault="00171824">
            <w:pPr>
              <w:widowControl/>
              <w:tabs>
                <w:tab w:val="left" w:pos="567"/>
              </w:tabs>
              <w:autoSpaceDE/>
              <w:autoSpaceDN/>
              <w:adjustRightInd/>
              <w:rPr>
                <w:rFonts w:eastAsia="PMingLiU"/>
                <w:sz w:val="22"/>
                <w:szCs w:val="22"/>
                <w:lang w:val="da-DK"/>
              </w:rPr>
            </w:pPr>
          </w:p>
        </w:tc>
      </w:tr>
      <w:tr w:rsidR="00171824" w14:paraId="5C703D7F" w14:textId="77777777">
        <w:trPr>
          <w:cantSplit/>
        </w:trPr>
        <w:tc>
          <w:tcPr>
            <w:tcW w:w="4677" w:type="dxa"/>
          </w:tcPr>
          <w:p w14:paraId="303A59E6" w14:textId="77777777" w:rsidR="00171824" w:rsidRPr="00422380" w:rsidRDefault="006D258C">
            <w:pPr>
              <w:widowControl/>
              <w:tabs>
                <w:tab w:val="left" w:pos="567"/>
              </w:tabs>
              <w:autoSpaceDE/>
              <w:autoSpaceDN/>
              <w:adjustRightInd/>
              <w:rPr>
                <w:rFonts w:eastAsia="PMingLiU"/>
                <w:b/>
                <w:sz w:val="22"/>
                <w:szCs w:val="22"/>
                <w:lang w:val="da-DK"/>
              </w:rPr>
            </w:pPr>
            <w:r w:rsidRPr="00422380">
              <w:rPr>
                <w:rFonts w:eastAsia="PMingLiU"/>
                <w:b/>
                <w:sz w:val="22"/>
                <w:szCs w:val="22"/>
                <w:lang w:val="da-DK"/>
              </w:rPr>
              <w:t>Eesti</w:t>
            </w:r>
          </w:p>
          <w:p w14:paraId="499793F6"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bCs/>
                <w:sz w:val="22"/>
                <w:szCs w:val="22"/>
                <w:lang w:val="da-DK"/>
              </w:rPr>
              <w:t xml:space="preserve">Amgen Switzerland AG </w:t>
            </w:r>
            <w:r w:rsidRPr="00422380">
              <w:rPr>
                <w:rFonts w:eastAsia="PMingLiU"/>
                <w:sz w:val="22"/>
                <w:szCs w:val="22"/>
                <w:lang w:val="da-DK"/>
              </w:rPr>
              <w:t>Vilniaus filialas</w:t>
            </w:r>
          </w:p>
          <w:p w14:paraId="5714222D"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+372 586 09553</w:t>
            </w:r>
          </w:p>
          <w:p w14:paraId="3A700212"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60C51B0"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Norge</w:t>
            </w:r>
          </w:p>
          <w:p w14:paraId="51A6D562"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AB</w:t>
            </w:r>
          </w:p>
          <w:p w14:paraId="0854E19A"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 +47 23308000</w:t>
            </w:r>
          </w:p>
          <w:p w14:paraId="3B5F91FC" w14:textId="77777777" w:rsidR="00171824" w:rsidRDefault="00171824">
            <w:pPr>
              <w:widowControl/>
              <w:tabs>
                <w:tab w:val="left" w:pos="567"/>
              </w:tabs>
              <w:autoSpaceDE/>
              <w:autoSpaceDN/>
              <w:adjustRightInd/>
              <w:rPr>
                <w:rFonts w:eastAsia="PMingLiU"/>
                <w:sz w:val="22"/>
                <w:szCs w:val="22"/>
                <w:lang w:val="el-GR"/>
              </w:rPr>
            </w:pPr>
          </w:p>
        </w:tc>
      </w:tr>
      <w:tr w:rsidR="00171824" w14:paraId="5B377722" w14:textId="77777777">
        <w:trPr>
          <w:cantSplit/>
        </w:trPr>
        <w:tc>
          <w:tcPr>
            <w:tcW w:w="4677" w:type="dxa"/>
          </w:tcPr>
          <w:p w14:paraId="58F41FE1"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lastRenderedPageBreak/>
              <w:t>Ελλάδα</w:t>
            </w:r>
          </w:p>
          <w:p w14:paraId="2877E66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Ελλάς Φαρμακευτικά Ε.Π.Ε. </w:t>
            </w:r>
          </w:p>
          <w:p w14:paraId="1ACF24A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Τηλ: +30 210 3447000</w:t>
            </w:r>
          </w:p>
          <w:p w14:paraId="17BE2B0F"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58692BF"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Österreich</w:t>
            </w:r>
          </w:p>
          <w:p w14:paraId="46B8A15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GmbH </w:t>
            </w:r>
          </w:p>
          <w:p w14:paraId="3412A5D4"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+43 (0)1 50 217</w:t>
            </w:r>
          </w:p>
          <w:p w14:paraId="4A708F54" w14:textId="77777777" w:rsidR="00171824" w:rsidRDefault="00171824">
            <w:pPr>
              <w:widowControl/>
              <w:tabs>
                <w:tab w:val="left" w:pos="567"/>
              </w:tabs>
              <w:autoSpaceDE/>
              <w:autoSpaceDN/>
              <w:adjustRightInd/>
              <w:rPr>
                <w:rFonts w:eastAsia="PMingLiU"/>
                <w:sz w:val="22"/>
                <w:szCs w:val="22"/>
                <w:lang w:val="el-GR"/>
              </w:rPr>
            </w:pPr>
          </w:p>
        </w:tc>
      </w:tr>
      <w:tr w:rsidR="00171824" w14:paraId="6C17980C" w14:textId="77777777">
        <w:trPr>
          <w:cantSplit/>
        </w:trPr>
        <w:tc>
          <w:tcPr>
            <w:tcW w:w="4677" w:type="dxa"/>
          </w:tcPr>
          <w:p w14:paraId="79E24996"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b/>
                <w:sz w:val="22"/>
                <w:szCs w:val="22"/>
                <w:lang w:val="es-ES"/>
              </w:rPr>
              <w:t>España</w:t>
            </w:r>
          </w:p>
          <w:p w14:paraId="792DF174"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Amgen S.A.</w:t>
            </w:r>
          </w:p>
          <w:p w14:paraId="7294F9FB"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 xml:space="preserve">Tel: +34 93 600 18 60 </w:t>
            </w:r>
          </w:p>
          <w:p w14:paraId="5847025A" w14:textId="77777777" w:rsidR="00171824" w:rsidRPr="00422380" w:rsidRDefault="00171824">
            <w:pPr>
              <w:keepNext/>
              <w:widowControl/>
              <w:tabs>
                <w:tab w:val="left" w:pos="567"/>
              </w:tabs>
              <w:autoSpaceDE/>
              <w:autoSpaceDN/>
              <w:adjustRightInd/>
              <w:rPr>
                <w:rFonts w:eastAsia="PMingLiU"/>
                <w:sz w:val="22"/>
                <w:szCs w:val="22"/>
                <w:lang w:val="es-ES"/>
              </w:rPr>
            </w:pPr>
          </w:p>
        </w:tc>
        <w:tc>
          <w:tcPr>
            <w:tcW w:w="4679" w:type="dxa"/>
          </w:tcPr>
          <w:p w14:paraId="37320D63" w14:textId="77777777" w:rsidR="00171824" w:rsidRPr="00422380" w:rsidRDefault="006D258C">
            <w:pPr>
              <w:keepNext/>
              <w:widowControl/>
              <w:tabs>
                <w:tab w:val="left" w:pos="567"/>
              </w:tabs>
              <w:autoSpaceDE/>
              <w:autoSpaceDN/>
              <w:adjustRightInd/>
              <w:rPr>
                <w:rFonts w:eastAsia="PMingLiU"/>
                <w:b/>
                <w:sz w:val="22"/>
                <w:szCs w:val="22"/>
                <w:lang w:val="pl-PL"/>
              </w:rPr>
            </w:pPr>
            <w:r w:rsidRPr="00422380">
              <w:rPr>
                <w:rFonts w:eastAsia="PMingLiU"/>
                <w:b/>
                <w:sz w:val="22"/>
                <w:szCs w:val="22"/>
                <w:lang w:val="pl-PL"/>
              </w:rPr>
              <w:t>Polska</w:t>
            </w:r>
          </w:p>
          <w:p w14:paraId="16386EE0" w14:textId="77777777" w:rsidR="00171824" w:rsidRPr="00422380" w:rsidRDefault="006D258C">
            <w:pPr>
              <w:keepNext/>
              <w:widowControl/>
              <w:tabs>
                <w:tab w:val="left" w:pos="567"/>
              </w:tabs>
              <w:autoSpaceDE/>
              <w:autoSpaceDN/>
              <w:adjustRightInd/>
              <w:rPr>
                <w:rFonts w:eastAsia="PMingLiU"/>
                <w:sz w:val="22"/>
                <w:szCs w:val="22"/>
                <w:lang w:val="pl-PL"/>
              </w:rPr>
            </w:pPr>
            <w:r w:rsidRPr="00422380">
              <w:rPr>
                <w:rFonts w:eastAsia="PMingLiU"/>
                <w:sz w:val="22"/>
                <w:szCs w:val="22"/>
                <w:lang w:val="pl-PL"/>
              </w:rPr>
              <w:t xml:space="preserve">Amgen </w:t>
            </w:r>
            <w:r w:rsidRPr="00422380">
              <w:rPr>
                <w:rFonts w:eastAsia="PMingLiU"/>
                <w:color w:val="000000"/>
                <w:sz w:val="22"/>
                <w:szCs w:val="22"/>
                <w:lang w:val="pl-PL" w:eastAsia="en-GB"/>
              </w:rPr>
              <w:t>Biotechnologia</w:t>
            </w:r>
            <w:r w:rsidRPr="00422380">
              <w:rPr>
                <w:rFonts w:eastAsia="PMingLiU"/>
                <w:sz w:val="22"/>
                <w:szCs w:val="22"/>
                <w:lang w:val="pl-PL"/>
              </w:rPr>
              <w:t xml:space="preserve"> Sp. z o.o.</w:t>
            </w:r>
          </w:p>
          <w:p w14:paraId="0E024E09"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+48 22 </w:t>
            </w:r>
            <w:r>
              <w:rPr>
                <w:rFonts w:eastAsia="PMingLiU"/>
                <w:bCs/>
                <w:sz w:val="22"/>
                <w:szCs w:val="22"/>
                <w:lang w:val="el-GR"/>
              </w:rPr>
              <w:t>581 3000</w:t>
            </w:r>
          </w:p>
          <w:p w14:paraId="09786DC3" w14:textId="77777777" w:rsidR="00171824" w:rsidRDefault="00171824">
            <w:pPr>
              <w:keepNext/>
              <w:widowControl/>
              <w:tabs>
                <w:tab w:val="left" w:pos="567"/>
              </w:tabs>
              <w:autoSpaceDE/>
              <w:autoSpaceDN/>
              <w:adjustRightInd/>
              <w:rPr>
                <w:rFonts w:eastAsia="PMingLiU"/>
                <w:sz w:val="22"/>
                <w:szCs w:val="22"/>
                <w:lang w:val="el-GR"/>
              </w:rPr>
            </w:pPr>
          </w:p>
        </w:tc>
      </w:tr>
      <w:tr w:rsidR="00171824" w14:paraId="31A33415" w14:textId="77777777">
        <w:trPr>
          <w:cantSplit/>
        </w:trPr>
        <w:tc>
          <w:tcPr>
            <w:tcW w:w="4677" w:type="dxa"/>
          </w:tcPr>
          <w:p w14:paraId="6030E5C4"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b/>
                <w:sz w:val="22"/>
                <w:szCs w:val="22"/>
                <w:lang w:val="fr-CA"/>
              </w:rPr>
              <w:t>France</w:t>
            </w:r>
          </w:p>
          <w:p w14:paraId="4EEB6F23"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sz w:val="22"/>
                <w:szCs w:val="22"/>
                <w:lang w:val="fr-CA"/>
              </w:rPr>
              <w:t>Amgen S.A.S.</w:t>
            </w:r>
          </w:p>
          <w:p w14:paraId="391370E0" w14:textId="77777777" w:rsidR="00171824" w:rsidRDefault="006D258C">
            <w:pPr>
              <w:widowControl/>
              <w:tabs>
                <w:tab w:val="left" w:pos="567"/>
              </w:tabs>
              <w:autoSpaceDE/>
              <w:autoSpaceDN/>
              <w:adjustRightInd/>
              <w:rPr>
                <w:rFonts w:eastAsia="MS Mincho"/>
                <w:sz w:val="22"/>
                <w:szCs w:val="22"/>
                <w:lang w:val="el-GR" w:eastAsia="en-IN"/>
              </w:rPr>
            </w:pPr>
            <w:r>
              <w:rPr>
                <w:rFonts w:eastAsia="PMingLiU"/>
                <w:sz w:val="22"/>
                <w:szCs w:val="22"/>
                <w:lang w:val="el-GR"/>
              </w:rPr>
              <w:t>Tél: +33 (0)9 69 363 363</w:t>
            </w:r>
          </w:p>
          <w:p w14:paraId="39DE0F14"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16F5339B"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b/>
                <w:sz w:val="22"/>
                <w:szCs w:val="22"/>
              </w:rPr>
              <w:t>Portugal</w:t>
            </w:r>
          </w:p>
          <w:p w14:paraId="57C983C5"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Biofarmacêutica, Lda.</w:t>
            </w:r>
          </w:p>
          <w:p w14:paraId="68D0FAD3"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Tel: +351 21 4220606</w:t>
            </w:r>
          </w:p>
          <w:p w14:paraId="34335DD3" w14:textId="77777777" w:rsidR="00171824" w:rsidRPr="00422380" w:rsidRDefault="00171824">
            <w:pPr>
              <w:widowControl/>
              <w:tabs>
                <w:tab w:val="left" w:pos="567"/>
              </w:tabs>
              <w:autoSpaceDE/>
              <w:autoSpaceDN/>
              <w:adjustRightInd/>
              <w:rPr>
                <w:rFonts w:eastAsia="PMingLiU"/>
                <w:sz w:val="22"/>
                <w:szCs w:val="22"/>
              </w:rPr>
            </w:pPr>
          </w:p>
        </w:tc>
      </w:tr>
      <w:tr w:rsidR="00171824" w:rsidRPr="00422380" w14:paraId="473E764E" w14:textId="77777777">
        <w:trPr>
          <w:cantSplit/>
        </w:trPr>
        <w:tc>
          <w:tcPr>
            <w:tcW w:w="4677" w:type="dxa"/>
          </w:tcPr>
          <w:p w14:paraId="5D11C798"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b/>
                <w:sz w:val="22"/>
                <w:szCs w:val="22"/>
                <w:lang w:val="sv-SE"/>
              </w:rPr>
              <w:t>Hrvatska</w:t>
            </w:r>
          </w:p>
          <w:p w14:paraId="0E22F461"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sz w:val="22"/>
                <w:szCs w:val="22"/>
                <w:lang w:val="sv-SE"/>
              </w:rPr>
              <w:t>Amgen d.o.o.</w:t>
            </w:r>
          </w:p>
          <w:p w14:paraId="6E05DEC3" w14:textId="77777777" w:rsidR="00171824" w:rsidRDefault="006D258C">
            <w:pPr>
              <w:keepNext/>
              <w:keepLines/>
              <w:widowControl/>
              <w:tabs>
                <w:tab w:val="left" w:pos="567"/>
              </w:tabs>
              <w:autoSpaceDE/>
              <w:autoSpaceDN/>
              <w:adjustRightInd/>
              <w:rPr>
                <w:rFonts w:eastAsia="MS Mincho"/>
                <w:sz w:val="22"/>
                <w:szCs w:val="22"/>
                <w:lang w:val="el-GR" w:eastAsia="en-IN"/>
              </w:rPr>
            </w:pPr>
            <w:r>
              <w:rPr>
                <w:rFonts w:eastAsia="PMingLiU"/>
                <w:sz w:val="22"/>
                <w:szCs w:val="22"/>
                <w:lang w:val="el-GR"/>
              </w:rPr>
              <w:t>Tel: +385 (0)1 562 57 20</w:t>
            </w:r>
          </w:p>
          <w:p w14:paraId="723FE183" w14:textId="77777777" w:rsidR="00171824" w:rsidRDefault="00171824">
            <w:pPr>
              <w:keepNext/>
              <w:keepLines/>
              <w:widowControl/>
              <w:tabs>
                <w:tab w:val="left" w:pos="567"/>
              </w:tabs>
              <w:autoSpaceDE/>
              <w:autoSpaceDN/>
              <w:adjustRightInd/>
              <w:rPr>
                <w:rFonts w:eastAsia="PMingLiU"/>
                <w:sz w:val="22"/>
                <w:szCs w:val="22"/>
                <w:lang w:val="el-GR"/>
              </w:rPr>
            </w:pPr>
          </w:p>
        </w:tc>
        <w:tc>
          <w:tcPr>
            <w:tcW w:w="4679" w:type="dxa"/>
          </w:tcPr>
          <w:p w14:paraId="17BB5667" w14:textId="77777777" w:rsidR="00171824" w:rsidRPr="00422380" w:rsidRDefault="006D258C">
            <w:pPr>
              <w:keepNext/>
              <w:keepLines/>
              <w:widowControl/>
              <w:tabs>
                <w:tab w:val="left" w:pos="567"/>
              </w:tabs>
              <w:suppressAutoHyphens/>
              <w:autoSpaceDE/>
              <w:autoSpaceDN/>
              <w:adjustRightInd/>
              <w:rPr>
                <w:rFonts w:eastAsia="PMingLiU"/>
                <w:b/>
                <w:sz w:val="22"/>
                <w:szCs w:val="22"/>
                <w:lang w:val="it-IT"/>
              </w:rPr>
            </w:pPr>
            <w:r w:rsidRPr="00422380">
              <w:rPr>
                <w:rFonts w:eastAsia="PMingLiU"/>
                <w:b/>
                <w:sz w:val="22"/>
                <w:szCs w:val="22"/>
                <w:lang w:val="it-IT"/>
              </w:rPr>
              <w:t>România</w:t>
            </w:r>
          </w:p>
          <w:p w14:paraId="08EE71FB" w14:textId="77777777" w:rsidR="00171824" w:rsidRPr="00422380" w:rsidRDefault="006D258C">
            <w:pPr>
              <w:keepNext/>
              <w:keepLines/>
              <w:widowControl/>
              <w:tabs>
                <w:tab w:val="left" w:pos="567"/>
              </w:tabs>
              <w:autoSpaceDE/>
              <w:autoSpaceDN/>
              <w:adjustRightInd/>
              <w:rPr>
                <w:rFonts w:eastAsia="PMingLiU"/>
                <w:color w:val="000000"/>
                <w:sz w:val="22"/>
                <w:szCs w:val="22"/>
                <w:lang w:val="it-IT"/>
              </w:rPr>
            </w:pPr>
            <w:r w:rsidRPr="00422380">
              <w:rPr>
                <w:rFonts w:eastAsia="PMingLiU"/>
                <w:color w:val="000000"/>
                <w:sz w:val="22"/>
                <w:szCs w:val="22"/>
                <w:lang w:val="it-IT"/>
              </w:rPr>
              <w:t>Amgen România SRL</w:t>
            </w:r>
          </w:p>
          <w:p w14:paraId="3E976561" w14:textId="77777777" w:rsidR="00171824" w:rsidRPr="00422380" w:rsidRDefault="006D258C">
            <w:pPr>
              <w:keepNext/>
              <w:keepLines/>
              <w:widowControl/>
              <w:tabs>
                <w:tab w:val="left" w:pos="567"/>
              </w:tabs>
              <w:autoSpaceDE/>
              <w:autoSpaceDN/>
              <w:adjustRightInd/>
              <w:rPr>
                <w:rFonts w:eastAsia="PMingLiU"/>
                <w:sz w:val="22"/>
                <w:szCs w:val="22"/>
                <w:lang w:val="it-IT"/>
              </w:rPr>
            </w:pPr>
            <w:r w:rsidRPr="00422380">
              <w:rPr>
                <w:rFonts w:eastAsia="PMingLiU"/>
                <w:sz w:val="22"/>
                <w:szCs w:val="22"/>
                <w:lang w:val="it-IT"/>
              </w:rPr>
              <w:t>Tel: +4021 527 3000</w:t>
            </w:r>
          </w:p>
          <w:p w14:paraId="511900BF" w14:textId="77777777" w:rsidR="00171824" w:rsidRPr="00422380" w:rsidRDefault="00171824">
            <w:pPr>
              <w:keepNext/>
              <w:keepLines/>
              <w:widowControl/>
              <w:tabs>
                <w:tab w:val="left" w:pos="567"/>
              </w:tabs>
              <w:autoSpaceDE/>
              <w:autoSpaceDN/>
              <w:adjustRightInd/>
              <w:rPr>
                <w:rFonts w:eastAsia="PMingLiU"/>
                <w:sz w:val="22"/>
                <w:szCs w:val="22"/>
                <w:lang w:val="it-IT"/>
              </w:rPr>
            </w:pPr>
          </w:p>
        </w:tc>
      </w:tr>
      <w:tr w:rsidR="00171824" w14:paraId="241BCF75" w14:textId="77777777">
        <w:trPr>
          <w:cantSplit/>
        </w:trPr>
        <w:tc>
          <w:tcPr>
            <w:tcW w:w="4677" w:type="dxa"/>
          </w:tcPr>
          <w:p w14:paraId="424D5CC9"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Ireland</w:t>
            </w:r>
          </w:p>
          <w:p w14:paraId="2CED6BAE" w14:textId="77777777" w:rsidR="00171824" w:rsidRPr="00422380" w:rsidRDefault="006D258C">
            <w:pPr>
              <w:widowControl/>
              <w:tabs>
                <w:tab w:val="left" w:pos="567"/>
              </w:tabs>
              <w:autoSpaceDE/>
              <w:autoSpaceDN/>
              <w:adjustRightInd/>
              <w:rPr>
                <w:rFonts w:eastAsia="PMingLiU"/>
                <w:sz w:val="22"/>
                <w:szCs w:val="22"/>
              </w:rPr>
            </w:pPr>
            <w:r w:rsidRPr="00422380">
              <w:rPr>
                <w:rFonts w:eastAsia="Arial Unicode MS"/>
                <w:bCs/>
                <w:sz w:val="22"/>
                <w:szCs w:val="22"/>
              </w:rPr>
              <w:t>Amgen Ireland</w:t>
            </w:r>
            <w:r w:rsidRPr="00422380">
              <w:rPr>
                <w:rFonts w:eastAsia="PMingLiU"/>
                <w:sz w:val="22"/>
                <w:szCs w:val="22"/>
              </w:rPr>
              <w:t xml:space="preserve"> Limited</w:t>
            </w:r>
          </w:p>
          <w:p w14:paraId="2B48B1D4" w14:textId="77777777" w:rsidR="00171824" w:rsidRPr="00422380" w:rsidRDefault="006D258C">
            <w:pPr>
              <w:widowControl/>
              <w:tabs>
                <w:tab w:val="left" w:pos="567"/>
              </w:tabs>
              <w:autoSpaceDE/>
              <w:autoSpaceDN/>
              <w:adjustRightInd/>
              <w:rPr>
                <w:rFonts w:eastAsia="Arial Unicode MS"/>
                <w:bCs/>
                <w:sz w:val="22"/>
                <w:szCs w:val="22"/>
              </w:rPr>
            </w:pPr>
            <w:r w:rsidRPr="00422380">
              <w:rPr>
                <w:rFonts w:eastAsia="PMingLiU"/>
                <w:sz w:val="22"/>
                <w:szCs w:val="22"/>
              </w:rPr>
              <w:t>Tel: +</w:t>
            </w:r>
            <w:r w:rsidRPr="00422380">
              <w:rPr>
                <w:rFonts w:eastAsia="Arial Unicode MS"/>
                <w:bCs/>
                <w:sz w:val="22"/>
                <w:szCs w:val="22"/>
              </w:rPr>
              <w:t>353 1 8527400</w:t>
            </w:r>
          </w:p>
          <w:p w14:paraId="1EDACDA9"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4B109659" w14:textId="77777777" w:rsidR="00171824" w:rsidRPr="00422380" w:rsidRDefault="006D258C">
            <w:pPr>
              <w:widowControl/>
              <w:tabs>
                <w:tab w:val="left" w:pos="567"/>
              </w:tabs>
              <w:autoSpaceDE/>
              <w:autoSpaceDN/>
              <w:adjustRightInd/>
              <w:rPr>
                <w:rFonts w:eastAsia="PMingLiU"/>
                <w:b/>
                <w:sz w:val="22"/>
                <w:szCs w:val="22"/>
                <w:lang w:val="it-IT"/>
              </w:rPr>
            </w:pPr>
            <w:r w:rsidRPr="00422380">
              <w:rPr>
                <w:rFonts w:eastAsia="PMingLiU"/>
                <w:b/>
                <w:sz w:val="22"/>
                <w:szCs w:val="22"/>
                <w:lang w:val="it-IT"/>
              </w:rPr>
              <w:t>Slovenija</w:t>
            </w:r>
          </w:p>
          <w:p w14:paraId="5664B8E2" w14:textId="77777777" w:rsidR="00171824" w:rsidRPr="00422380" w:rsidRDefault="006D258C">
            <w:pPr>
              <w:widowControl/>
              <w:tabs>
                <w:tab w:val="left" w:pos="567"/>
              </w:tabs>
              <w:autoSpaceDE/>
              <w:autoSpaceDN/>
              <w:adjustRightInd/>
              <w:rPr>
                <w:rFonts w:eastAsia="PMingLiU"/>
                <w:sz w:val="22"/>
                <w:szCs w:val="22"/>
                <w:lang w:val="it-IT"/>
              </w:rPr>
            </w:pPr>
            <w:r w:rsidRPr="00422380">
              <w:rPr>
                <w:rFonts w:eastAsia="PMingLiU"/>
                <w:sz w:val="22"/>
                <w:szCs w:val="22"/>
                <w:lang w:val="it-IT"/>
              </w:rPr>
              <w:t>AMGEN zdravila d.o.o.</w:t>
            </w:r>
          </w:p>
          <w:p w14:paraId="7115AD29" w14:textId="77777777" w:rsidR="00171824" w:rsidRDefault="006D258C">
            <w:pPr>
              <w:widowControl/>
              <w:tabs>
                <w:tab w:val="left" w:pos="567"/>
              </w:tabs>
              <w:autoSpaceDE/>
              <w:autoSpaceDN/>
              <w:adjustRightInd/>
              <w:rPr>
                <w:rFonts w:eastAsia="PMingLiU"/>
                <w:bCs/>
                <w:sz w:val="22"/>
                <w:szCs w:val="22"/>
              </w:rPr>
            </w:pPr>
            <w:r>
              <w:rPr>
                <w:rFonts w:eastAsia="PMingLiU"/>
                <w:sz w:val="22"/>
                <w:szCs w:val="22"/>
              </w:rPr>
              <w:t>Tel: +386 (</w:t>
            </w:r>
            <w:r>
              <w:rPr>
                <w:rFonts w:eastAsia="PMingLiU"/>
                <w:bCs/>
                <w:sz w:val="22"/>
                <w:szCs w:val="22"/>
              </w:rPr>
              <w:t>0)</w:t>
            </w:r>
            <w:r>
              <w:rPr>
                <w:rFonts w:eastAsia="PMingLiU"/>
                <w:sz w:val="22"/>
                <w:szCs w:val="22"/>
              </w:rPr>
              <w:t>1</w:t>
            </w:r>
            <w:r>
              <w:rPr>
                <w:rFonts w:eastAsia="PMingLiU"/>
                <w:bCs/>
                <w:sz w:val="22"/>
                <w:szCs w:val="22"/>
              </w:rPr>
              <w:t xml:space="preserve"> 585 1767</w:t>
            </w:r>
          </w:p>
          <w:p w14:paraId="67A0EFC9" w14:textId="77777777" w:rsidR="00171824" w:rsidRDefault="00171824">
            <w:pPr>
              <w:widowControl/>
              <w:tabs>
                <w:tab w:val="left" w:pos="567"/>
              </w:tabs>
              <w:autoSpaceDE/>
              <w:autoSpaceDN/>
              <w:adjustRightInd/>
              <w:rPr>
                <w:rFonts w:eastAsia="PMingLiU"/>
                <w:sz w:val="22"/>
                <w:szCs w:val="22"/>
              </w:rPr>
            </w:pPr>
          </w:p>
        </w:tc>
      </w:tr>
      <w:tr w:rsidR="00171824" w14:paraId="2D65D5EB" w14:textId="77777777">
        <w:trPr>
          <w:cantSplit/>
        </w:trPr>
        <w:tc>
          <w:tcPr>
            <w:tcW w:w="4677" w:type="dxa"/>
          </w:tcPr>
          <w:p w14:paraId="59F28263"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Ísland</w:t>
            </w:r>
          </w:p>
          <w:p w14:paraId="4780E35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Vistor</w:t>
            </w:r>
            <w:del w:id="129" w:author="Author">
              <w:r>
                <w:rPr>
                  <w:rFonts w:eastAsia="PMingLiU"/>
                  <w:sz w:val="22"/>
                  <w:szCs w:val="22"/>
                  <w:lang w:val="el-GR"/>
                </w:rPr>
                <w:delText xml:space="preserve"> hf.</w:delText>
              </w:r>
            </w:del>
          </w:p>
          <w:p w14:paraId="369F20A1"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Sími: +354 535 7000</w:t>
            </w:r>
          </w:p>
          <w:p w14:paraId="11B3A306"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381CB30" w14:textId="77777777" w:rsidR="00171824" w:rsidRPr="00422380" w:rsidRDefault="006D258C">
            <w:pPr>
              <w:widowControl/>
              <w:tabs>
                <w:tab w:val="left" w:pos="567"/>
              </w:tabs>
              <w:autoSpaceDE/>
              <w:autoSpaceDN/>
              <w:adjustRightInd/>
              <w:rPr>
                <w:rFonts w:eastAsia="PMingLiU"/>
                <w:b/>
                <w:sz w:val="22"/>
                <w:szCs w:val="22"/>
                <w:lang w:val="sv-SE"/>
              </w:rPr>
            </w:pPr>
            <w:r w:rsidRPr="00422380">
              <w:rPr>
                <w:rFonts w:eastAsia="PMingLiU"/>
                <w:b/>
                <w:sz w:val="22"/>
                <w:szCs w:val="22"/>
                <w:lang w:val="sv-SE"/>
              </w:rPr>
              <w:t>Slovenská republika</w:t>
            </w:r>
          </w:p>
          <w:p w14:paraId="155CB826" w14:textId="77777777" w:rsidR="00171824" w:rsidRPr="00422380" w:rsidRDefault="006D258C">
            <w:pPr>
              <w:widowControl/>
              <w:tabs>
                <w:tab w:val="left" w:pos="567"/>
              </w:tabs>
              <w:autoSpaceDE/>
              <w:autoSpaceDN/>
              <w:adjustRightInd/>
              <w:rPr>
                <w:rFonts w:eastAsia="PMingLiU"/>
                <w:sz w:val="22"/>
                <w:szCs w:val="22"/>
                <w:lang w:val="sv-SE"/>
              </w:rPr>
            </w:pPr>
            <w:r w:rsidRPr="00422380">
              <w:rPr>
                <w:rFonts w:eastAsia="PMingLiU"/>
                <w:bCs/>
                <w:sz w:val="22"/>
                <w:szCs w:val="22"/>
                <w:lang w:val="sv-SE"/>
              </w:rPr>
              <w:t>Amgen Slovakia</w:t>
            </w:r>
            <w:r w:rsidRPr="00422380">
              <w:rPr>
                <w:rFonts w:eastAsia="PMingLiU"/>
                <w:sz w:val="22"/>
                <w:szCs w:val="22"/>
                <w:lang w:val="sv-SE"/>
              </w:rPr>
              <w:t xml:space="preserve"> s.r.o.</w:t>
            </w:r>
          </w:p>
          <w:p w14:paraId="211136C4"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 xml:space="preserve">Tel: </w:t>
            </w:r>
            <w:r>
              <w:rPr>
                <w:rFonts w:eastAsia="PMingLiU"/>
                <w:bCs/>
                <w:sz w:val="22"/>
                <w:szCs w:val="22"/>
                <w:lang w:val="el-GR"/>
              </w:rPr>
              <w:t>+421 2 321 114 49</w:t>
            </w:r>
          </w:p>
          <w:p w14:paraId="2C6EB015" w14:textId="77777777" w:rsidR="00171824" w:rsidRDefault="00171824">
            <w:pPr>
              <w:widowControl/>
              <w:tabs>
                <w:tab w:val="left" w:pos="567"/>
              </w:tabs>
              <w:autoSpaceDE/>
              <w:autoSpaceDN/>
              <w:adjustRightInd/>
              <w:rPr>
                <w:rFonts w:eastAsia="PMingLiU"/>
                <w:sz w:val="22"/>
                <w:szCs w:val="22"/>
                <w:lang w:val="el-GR"/>
              </w:rPr>
            </w:pPr>
          </w:p>
        </w:tc>
      </w:tr>
      <w:tr w:rsidR="00171824" w14:paraId="44B5D2E5" w14:textId="77777777">
        <w:trPr>
          <w:cantSplit/>
        </w:trPr>
        <w:tc>
          <w:tcPr>
            <w:tcW w:w="4677" w:type="dxa"/>
          </w:tcPr>
          <w:p w14:paraId="36CC6C5E"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b/>
                <w:sz w:val="22"/>
                <w:szCs w:val="22"/>
                <w:lang w:val="es-ES"/>
              </w:rPr>
              <w:t>Italia</w:t>
            </w:r>
          </w:p>
          <w:p w14:paraId="5B661D60"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sz w:val="22"/>
                <w:szCs w:val="22"/>
                <w:lang w:val="es-ES"/>
              </w:rPr>
              <w:t>Amgen S.r.l.</w:t>
            </w:r>
          </w:p>
          <w:p w14:paraId="7781D3C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+39 02 6241121</w:t>
            </w:r>
          </w:p>
          <w:p w14:paraId="4AA736D7"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0BEFA828" w14:textId="77777777" w:rsidR="00171824" w:rsidRPr="00CB2FBB" w:rsidRDefault="006D258C">
            <w:pPr>
              <w:widowControl/>
              <w:tabs>
                <w:tab w:val="left" w:pos="567"/>
              </w:tabs>
              <w:autoSpaceDE/>
              <w:autoSpaceDN/>
              <w:adjustRightInd/>
              <w:rPr>
                <w:rFonts w:eastAsia="PMingLiU"/>
                <w:sz w:val="22"/>
                <w:szCs w:val="22"/>
                <w:lang w:val="el-GR"/>
              </w:rPr>
            </w:pPr>
            <w:r w:rsidRPr="00422380">
              <w:rPr>
                <w:rFonts w:eastAsia="PMingLiU"/>
                <w:b/>
                <w:sz w:val="22"/>
                <w:szCs w:val="22"/>
                <w:lang w:val="it-IT"/>
              </w:rPr>
              <w:t>Suomi</w:t>
            </w:r>
            <w:r w:rsidRPr="00CB2FBB">
              <w:rPr>
                <w:rFonts w:eastAsia="PMingLiU"/>
                <w:b/>
                <w:sz w:val="22"/>
                <w:szCs w:val="22"/>
                <w:lang w:val="el-GR"/>
              </w:rPr>
              <w:t>/</w:t>
            </w:r>
            <w:r w:rsidRPr="00422380">
              <w:rPr>
                <w:rFonts w:eastAsia="PMingLiU"/>
                <w:b/>
                <w:sz w:val="22"/>
                <w:szCs w:val="22"/>
                <w:lang w:val="it-IT"/>
              </w:rPr>
              <w:t>Finland</w:t>
            </w:r>
          </w:p>
          <w:p w14:paraId="0412B60A" w14:textId="77777777" w:rsidR="00171824" w:rsidRPr="00CB2FBB" w:rsidRDefault="006D258C">
            <w:pPr>
              <w:pStyle w:val="lbltxt"/>
              <w:rPr>
                <w:szCs w:val="22"/>
                <w:lang w:val="el-GR"/>
              </w:rPr>
            </w:pPr>
            <w:r w:rsidRPr="00422380">
              <w:rPr>
                <w:szCs w:val="22"/>
                <w:lang w:val="it-IT"/>
              </w:rPr>
              <w:t>Amgen</w:t>
            </w:r>
            <w:r w:rsidRPr="00CB2FBB">
              <w:rPr>
                <w:szCs w:val="22"/>
                <w:lang w:val="el-GR"/>
              </w:rPr>
              <w:t xml:space="preserve"> </w:t>
            </w:r>
            <w:r w:rsidRPr="00422380">
              <w:rPr>
                <w:szCs w:val="22"/>
                <w:lang w:val="it-IT"/>
              </w:rPr>
              <w:t>AB</w:t>
            </w:r>
            <w:r w:rsidRPr="00CB2FBB">
              <w:rPr>
                <w:szCs w:val="22"/>
                <w:lang w:val="el-GR"/>
              </w:rPr>
              <w:t xml:space="preserve">, </w:t>
            </w:r>
            <w:r w:rsidRPr="00422380">
              <w:rPr>
                <w:szCs w:val="22"/>
                <w:lang w:val="it-IT"/>
              </w:rPr>
              <w:t>sivuliike</w:t>
            </w:r>
            <w:r w:rsidRPr="00CB2FBB">
              <w:rPr>
                <w:szCs w:val="22"/>
                <w:lang w:val="el-GR"/>
              </w:rPr>
              <w:t xml:space="preserve"> </w:t>
            </w:r>
            <w:r w:rsidRPr="00422380">
              <w:rPr>
                <w:szCs w:val="22"/>
                <w:lang w:val="it-IT"/>
              </w:rPr>
              <w:t>Suomessa</w:t>
            </w:r>
            <w:r w:rsidRPr="00CB2FBB">
              <w:rPr>
                <w:szCs w:val="22"/>
                <w:lang w:val="el-GR"/>
              </w:rPr>
              <w:t>/</w:t>
            </w:r>
            <w:r w:rsidRPr="00422380">
              <w:rPr>
                <w:szCs w:val="22"/>
                <w:lang w:val="it-IT"/>
              </w:rPr>
              <w:t>Amgen</w:t>
            </w:r>
            <w:r w:rsidRPr="00CB2FBB">
              <w:rPr>
                <w:szCs w:val="22"/>
                <w:lang w:val="el-GR"/>
              </w:rPr>
              <w:t xml:space="preserve"> </w:t>
            </w:r>
            <w:r w:rsidRPr="00422380">
              <w:rPr>
                <w:szCs w:val="22"/>
                <w:lang w:val="it-IT"/>
              </w:rPr>
              <w:t>AB</w:t>
            </w:r>
            <w:r w:rsidRPr="00CB2FBB">
              <w:rPr>
                <w:szCs w:val="22"/>
                <w:lang w:val="el-GR"/>
              </w:rPr>
              <w:t xml:space="preserve">, </w:t>
            </w:r>
            <w:r w:rsidRPr="00422380">
              <w:rPr>
                <w:szCs w:val="22"/>
                <w:lang w:val="it-IT"/>
              </w:rPr>
              <w:t>filial</w:t>
            </w:r>
            <w:r w:rsidRPr="00CB2FBB">
              <w:rPr>
                <w:szCs w:val="22"/>
                <w:lang w:val="el-GR"/>
              </w:rPr>
              <w:t xml:space="preserve"> </w:t>
            </w:r>
            <w:r w:rsidRPr="00422380">
              <w:rPr>
                <w:szCs w:val="22"/>
                <w:lang w:val="it-IT"/>
              </w:rPr>
              <w:t>i</w:t>
            </w:r>
            <w:r w:rsidRPr="00CB2FBB">
              <w:rPr>
                <w:szCs w:val="22"/>
                <w:lang w:val="el-GR"/>
              </w:rPr>
              <w:t xml:space="preserve"> </w:t>
            </w:r>
            <w:r w:rsidRPr="00422380">
              <w:rPr>
                <w:szCs w:val="22"/>
                <w:lang w:val="it-IT"/>
              </w:rPr>
              <w:t>Finland</w:t>
            </w:r>
          </w:p>
          <w:p w14:paraId="5CDE574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Puh/Tel: +358 (0)9 54900500</w:t>
            </w:r>
          </w:p>
          <w:p w14:paraId="58C6263D" w14:textId="77777777" w:rsidR="00171824" w:rsidRDefault="00171824">
            <w:pPr>
              <w:widowControl/>
              <w:tabs>
                <w:tab w:val="left" w:pos="567"/>
              </w:tabs>
              <w:autoSpaceDE/>
              <w:autoSpaceDN/>
              <w:adjustRightInd/>
              <w:rPr>
                <w:rFonts w:eastAsia="PMingLiU"/>
                <w:sz w:val="22"/>
                <w:szCs w:val="22"/>
                <w:lang w:val="el-GR"/>
              </w:rPr>
            </w:pPr>
          </w:p>
        </w:tc>
      </w:tr>
      <w:tr w:rsidR="00171824" w14:paraId="53006C6A" w14:textId="77777777">
        <w:trPr>
          <w:cantSplit/>
        </w:trPr>
        <w:tc>
          <w:tcPr>
            <w:tcW w:w="4677" w:type="dxa"/>
          </w:tcPr>
          <w:p w14:paraId="0E6861C7"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K</w:t>
            </w:r>
            <w:r>
              <w:rPr>
                <w:rFonts w:eastAsia="PMingLiU"/>
                <w:b/>
                <w:sz w:val="22"/>
                <w:szCs w:val="22"/>
                <w:lang w:val="el-GR"/>
              </w:rPr>
              <w:t>ύπρος</w:t>
            </w:r>
          </w:p>
          <w:p w14:paraId="557BC6D0"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C.A. Papaellinas Ltd</w:t>
            </w:r>
          </w:p>
          <w:p w14:paraId="08870A42" w14:textId="77777777" w:rsidR="00171824" w:rsidRPr="00422380" w:rsidRDefault="006D258C">
            <w:pPr>
              <w:widowControl/>
              <w:tabs>
                <w:tab w:val="left" w:pos="567"/>
              </w:tabs>
              <w:autoSpaceDE/>
              <w:autoSpaceDN/>
              <w:adjustRightInd/>
              <w:rPr>
                <w:rFonts w:eastAsia="PMingLiU"/>
                <w:sz w:val="22"/>
                <w:szCs w:val="22"/>
              </w:rPr>
            </w:pPr>
            <w:r>
              <w:rPr>
                <w:rFonts w:eastAsia="PMingLiU"/>
                <w:sz w:val="22"/>
                <w:szCs w:val="22"/>
                <w:lang w:val="el-GR"/>
              </w:rPr>
              <w:t>Τηλ</w:t>
            </w:r>
            <w:r w:rsidRPr="00422380">
              <w:rPr>
                <w:rFonts w:eastAsia="PMingLiU"/>
                <w:sz w:val="22"/>
                <w:szCs w:val="22"/>
              </w:rPr>
              <w:t>: +357 22741 741</w:t>
            </w:r>
          </w:p>
          <w:p w14:paraId="3FA140A5"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2839DC66"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Sverige</w:t>
            </w:r>
          </w:p>
          <w:p w14:paraId="4EC90274"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AB </w:t>
            </w:r>
          </w:p>
          <w:p w14:paraId="10700E5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+46 (0)8 6951100</w:t>
            </w:r>
          </w:p>
          <w:p w14:paraId="35E2A5D3" w14:textId="77777777" w:rsidR="00171824" w:rsidRDefault="00171824">
            <w:pPr>
              <w:widowControl/>
              <w:tabs>
                <w:tab w:val="left" w:pos="567"/>
              </w:tabs>
              <w:autoSpaceDE/>
              <w:autoSpaceDN/>
              <w:adjustRightInd/>
              <w:rPr>
                <w:rFonts w:eastAsia="PMingLiU"/>
                <w:sz w:val="22"/>
                <w:szCs w:val="22"/>
                <w:lang w:val="el-GR"/>
              </w:rPr>
            </w:pPr>
          </w:p>
        </w:tc>
      </w:tr>
      <w:tr w:rsidR="00171824" w14:paraId="1332FB94" w14:textId="77777777">
        <w:trPr>
          <w:cantSplit/>
        </w:trPr>
        <w:tc>
          <w:tcPr>
            <w:tcW w:w="4677" w:type="dxa"/>
          </w:tcPr>
          <w:p w14:paraId="524BF367"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Latvija</w:t>
            </w:r>
          </w:p>
          <w:p w14:paraId="46C5888A"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Switzerland AG Rīgas filiāle</w:t>
            </w:r>
          </w:p>
          <w:p w14:paraId="2313F2F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+371 257 25888</w:t>
            </w:r>
          </w:p>
          <w:p w14:paraId="4F5CEFF5"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B6E5801" w14:textId="77777777" w:rsidR="00171824" w:rsidRDefault="00171824">
            <w:pPr>
              <w:widowControl/>
              <w:tabs>
                <w:tab w:val="left" w:pos="567"/>
              </w:tabs>
              <w:autoSpaceDE/>
              <w:autoSpaceDN/>
              <w:adjustRightInd/>
              <w:rPr>
                <w:rFonts w:eastAsia="PMingLiU"/>
                <w:sz w:val="22"/>
                <w:szCs w:val="22"/>
                <w:lang w:val="el-GR"/>
              </w:rPr>
            </w:pPr>
          </w:p>
        </w:tc>
      </w:tr>
    </w:tbl>
    <w:p w14:paraId="25EA0EBF" w14:textId="77777777" w:rsidR="00171824" w:rsidRDefault="00171824">
      <w:pPr>
        <w:widowControl/>
        <w:kinsoku w:val="0"/>
        <w:overflowPunct w:val="0"/>
        <w:rPr>
          <w:sz w:val="22"/>
          <w:szCs w:val="22"/>
          <w:lang w:val="el-GR"/>
        </w:rPr>
      </w:pPr>
    </w:p>
    <w:p w14:paraId="1F446EC9" w14:textId="77777777" w:rsidR="00171824" w:rsidRDefault="006D258C">
      <w:pPr>
        <w:pStyle w:val="Heading1"/>
        <w:widowControl/>
        <w:kinsoku w:val="0"/>
        <w:overflowPunct w:val="0"/>
        <w:ind w:left="0"/>
        <w:rPr>
          <w:b w:val="0"/>
          <w:bCs w:val="0"/>
          <w:lang w:val="el-GR"/>
        </w:rPr>
      </w:pPr>
      <w:r>
        <w:rPr>
          <w:lang w:val="el-GR"/>
        </w:rPr>
        <w:t>Το παρόν φύλλο οδηγιών χρήσης αναθεωρήθηκε για τελευταία φορά στις</w:t>
      </w:r>
    </w:p>
    <w:p w14:paraId="1F5ACDBE" w14:textId="77777777" w:rsidR="00171824" w:rsidRDefault="00171824">
      <w:pPr>
        <w:widowControl/>
        <w:kinsoku w:val="0"/>
        <w:overflowPunct w:val="0"/>
        <w:rPr>
          <w:sz w:val="22"/>
          <w:szCs w:val="22"/>
          <w:lang w:val="el-GR"/>
        </w:rPr>
      </w:pPr>
    </w:p>
    <w:p w14:paraId="7993B8C1" w14:textId="77777777" w:rsidR="00171824" w:rsidRDefault="006D258C">
      <w:pPr>
        <w:widowControl/>
        <w:numPr>
          <w:ilvl w:val="12"/>
          <w:numId w:val="0"/>
        </w:numPr>
        <w:ind w:right="-2"/>
        <w:rPr>
          <w:b/>
          <w:sz w:val="22"/>
          <w:lang w:val="el-GR"/>
        </w:rPr>
      </w:pPr>
      <w:r>
        <w:rPr>
          <w:b/>
          <w:sz w:val="22"/>
          <w:lang w:val="el-GR"/>
        </w:rPr>
        <w:t>Άλλες πηγές πληροφοριών</w:t>
      </w:r>
    </w:p>
    <w:p w14:paraId="3323AFF0" w14:textId="77777777" w:rsidR="00171824" w:rsidRDefault="00171824">
      <w:pPr>
        <w:widowControl/>
        <w:kinsoku w:val="0"/>
        <w:overflowPunct w:val="0"/>
        <w:rPr>
          <w:sz w:val="22"/>
          <w:szCs w:val="22"/>
          <w:lang w:val="el-GR"/>
        </w:rPr>
      </w:pPr>
    </w:p>
    <w:p w14:paraId="7B214C59" w14:textId="77777777" w:rsidR="00171824" w:rsidRDefault="006D258C">
      <w:pPr>
        <w:pStyle w:val="BodyText"/>
        <w:widowControl/>
        <w:kinsoku w:val="0"/>
        <w:overflowPunct w:val="0"/>
        <w:ind w:left="0"/>
        <w:rPr>
          <w:lang w:val="el-GR"/>
        </w:rPr>
      </w:pPr>
      <w:r>
        <w:rPr>
          <w:lang w:val="el-GR"/>
        </w:rPr>
        <w:t xml:space="preserve">Λεπτομερείς πληροφορίες για το φάρμακο αυτό είναι διαθέσιμες στο δικτυακό τόπο του Ευρωπαϊκού Οργανισμού Φαρμάκων: </w:t>
      </w:r>
      <w:hyperlink r:id="rId57" w:history="1">
        <w:r>
          <w:rPr>
            <w:rStyle w:val="Hyperlink"/>
            <w:color w:val="0000FF"/>
            <w:lang w:val="el-GR"/>
          </w:rPr>
          <w:t>http://www.ema.europa.eu</w:t>
        </w:r>
      </w:hyperlink>
      <w:r>
        <w:rPr>
          <w:lang w:val="el-GR"/>
        </w:rPr>
        <w:t>.</w:t>
      </w:r>
    </w:p>
    <w:p w14:paraId="477ADB15" w14:textId="77777777" w:rsidR="00171824" w:rsidRDefault="006D258C">
      <w:pPr>
        <w:pStyle w:val="BodyText"/>
        <w:widowControl/>
        <w:kinsoku w:val="0"/>
        <w:overflowPunct w:val="0"/>
        <w:ind w:left="0"/>
        <w:rPr>
          <w:lang w:val="el-GR"/>
        </w:rPr>
      </w:pPr>
      <w:r>
        <w:rPr>
          <w:lang w:val="el-GR"/>
        </w:rPr>
        <w:br w:type="page"/>
      </w:r>
    </w:p>
    <w:tbl>
      <w:tblPr>
        <w:tblpPr w:leftFromText="141" w:rightFromText="141" w:vertAnchor="text" w:tblpX="108" w:tblpY="1"/>
        <w:tblOverlap w:val="never"/>
        <w:tblW w:w="48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9"/>
        <w:gridCol w:w="2559"/>
        <w:gridCol w:w="2986"/>
      </w:tblGrid>
      <w:tr w:rsidR="00171824" w14:paraId="07916768"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4F338C12" w14:textId="77777777" w:rsidR="00171824" w:rsidRDefault="006D258C">
            <w:pPr>
              <w:keepNext/>
              <w:keepLines/>
              <w:jc w:val="center"/>
              <w:rPr>
                <w:b/>
                <w:bCs/>
                <w:sz w:val="22"/>
                <w:szCs w:val="22"/>
                <w:lang w:val="el-GR"/>
              </w:rPr>
            </w:pPr>
            <w:r>
              <w:rPr>
                <w:b/>
                <w:sz w:val="22"/>
                <w:szCs w:val="22"/>
                <w:lang w:val="el-GR"/>
              </w:rPr>
              <w:lastRenderedPageBreak/>
              <w:t>ΟΔΗΓΙΕΣ ΧΡΗΣΗΣ</w:t>
            </w:r>
          </w:p>
        </w:tc>
      </w:tr>
      <w:tr w:rsidR="00171824" w14:paraId="4CDABD74" w14:textId="77777777">
        <w:trPr>
          <w:cantSplit/>
          <w:trHeight w:val="57"/>
        </w:trPr>
        <w:tc>
          <w:tcPr>
            <w:tcW w:w="5000" w:type="pct"/>
            <w:gridSpan w:val="3"/>
            <w:tcBorders>
              <w:top w:val="single" w:sz="4" w:space="0" w:color="auto"/>
              <w:left w:val="nil"/>
              <w:bottom w:val="single" w:sz="4" w:space="0" w:color="auto"/>
              <w:right w:val="nil"/>
            </w:tcBorders>
          </w:tcPr>
          <w:p w14:paraId="7038C497" w14:textId="77777777" w:rsidR="00171824" w:rsidRDefault="00171824">
            <w:pPr>
              <w:keepNext/>
              <w:keepLines/>
              <w:jc w:val="center"/>
              <w:rPr>
                <w:bCs/>
                <w:sz w:val="22"/>
                <w:szCs w:val="22"/>
                <w:lang w:val="el-GR"/>
              </w:rPr>
            </w:pPr>
          </w:p>
        </w:tc>
      </w:tr>
      <w:tr w:rsidR="00171824" w:rsidRPr="00A07F46" w14:paraId="4D7E9D18"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7EA2FADB" w14:textId="77777777" w:rsidR="00171824" w:rsidRDefault="006D258C">
            <w:pPr>
              <w:keepNext/>
              <w:keepLines/>
              <w:rPr>
                <w:sz w:val="22"/>
                <w:szCs w:val="22"/>
                <w:lang w:val="el-GR"/>
              </w:rPr>
            </w:pPr>
            <w:r>
              <w:rPr>
                <w:sz w:val="22"/>
                <w:szCs w:val="22"/>
                <w:lang w:val="el-GR"/>
              </w:rPr>
              <w:t>Εξοικειωθείτε με την προγεμισμένη σας σύριγγα</w:t>
            </w:r>
          </w:p>
        </w:tc>
      </w:tr>
      <w:tr w:rsidR="00171824" w14:paraId="777D6B39" w14:textId="77777777">
        <w:trPr>
          <w:cantSplit/>
          <w:trHeight w:val="57"/>
        </w:trPr>
        <w:tc>
          <w:tcPr>
            <w:tcW w:w="1865" w:type="pct"/>
            <w:tcBorders>
              <w:top w:val="single" w:sz="4" w:space="0" w:color="auto"/>
              <w:left w:val="single" w:sz="4" w:space="0" w:color="auto"/>
              <w:bottom w:val="single" w:sz="4" w:space="0" w:color="auto"/>
              <w:right w:val="nil"/>
            </w:tcBorders>
          </w:tcPr>
          <w:tbl>
            <w:tblPr>
              <w:tblW w:w="1781" w:type="dxa"/>
              <w:tblInd w:w="1296" w:type="dxa"/>
              <w:tblCellMar>
                <w:left w:w="0" w:type="dxa"/>
                <w:right w:w="113" w:type="dxa"/>
              </w:tblCellMar>
              <w:tblLook w:val="04A0" w:firstRow="1" w:lastRow="0" w:firstColumn="1" w:lastColumn="0" w:noHBand="0" w:noVBand="1"/>
            </w:tblPr>
            <w:tblGrid>
              <w:gridCol w:w="1781"/>
            </w:tblGrid>
            <w:tr w:rsidR="00171824" w:rsidRPr="00A07F46" w14:paraId="54320773" w14:textId="77777777">
              <w:trPr>
                <w:trHeight w:val="124"/>
              </w:trPr>
              <w:tc>
                <w:tcPr>
                  <w:tcW w:w="1781" w:type="dxa"/>
                </w:tcPr>
                <w:p w14:paraId="0D5D6D2D" w14:textId="77777777" w:rsidR="00171824" w:rsidRDefault="00171824">
                  <w:pPr>
                    <w:framePr w:hSpace="141" w:wrap="around" w:vAnchor="text" w:hAnchor="text" w:x="108" w:y="1"/>
                    <w:suppressOverlap/>
                    <w:jc w:val="center"/>
                    <w:rPr>
                      <w:sz w:val="22"/>
                      <w:szCs w:val="22"/>
                      <w:lang w:val="el-GR"/>
                    </w:rPr>
                  </w:pPr>
                </w:p>
              </w:tc>
            </w:tr>
            <w:tr w:rsidR="00171824" w:rsidRPr="00A07F46" w14:paraId="33293677" w14:textId="77777777">
              <w:trPr>
                <w:trHeight w:val="990"/>
              </w:trPr>
              <w:tc>
                <w:tcPr>
                  <w:tcW w:w="1781" w:type="dxa"/>
                </w:tcPr>
                <w:p w14:paraId="1E54B825" w14:textId="77777777" w:rsidR="00171824" w:rsidRDefault="00171824">
                  <w:pPr>
                    <w:framePr w:hSpace="141" w:wrap="around" w:vAnchor="text" w:hAnchor="text" w:x="108" w:y="1"/>
                    <w:suppressOverlap/>
                    <w:jc w:val="right"/>
                    <w:rPr>
                      <w:sz w:val="22"/>
                      <w:szCs w:val="22"/>
                      <w:lang w:val="el-GR"/>
                    </w:rPr>
                  </w:pPr>
                </w:p>
              </w:tc>
            </w:tr>
            <w:tr w:rsidR="00171824" w14:paraId="61242E5A" w14:textId="77777777">
              <w:trPr>
                <w:trHeight w:val="852"/>
              </w:trPr>
              <w:tc>
                <w:tcPr>
                  <w:tcW w:w="1781" w:type="dxa"/>
                </w:tcPr>
                <w:p w14:paraId="4F1B3099" w14:textId="77777777" w:rsidR="00171824" w:rsidRDefault="006D258C">
                  <w:pPr>
                    <w:framePr w:hSpace="141" w:wrap="around" w:vAnchor="text" w:hAnchor="text" w:x="108" w:y="1"/>
                    <w:suppressOverlap/>
                    <w:jc w:val="right"/>
                    <w:rPr>
                      <w:sz w:val="22"/>
                      <w:szCs w:val="22"/>
                      <w:lang w:val="el-GR"/>
                    </w:rPr>
                  </w:pPr>
                  <w:r>
                    <w:rPr>
                      <w:sz w:val="22"/>
                      <w:szCs w:val="22"/>
                      <w:lang w:val="el-GR"/>
                    </w:rPr>
                    <w:t>Ράβδος εμβόλου</w:t>
                  </w:r>
                </w:p>
              </w:tc>
            </w:tr>
            <w:tr w:rsidR="00171824" w14:paraId="2E7ABFE7" w14:textId="77777777">
              <w:trPr>
                <w:trHeight w:val="594"/>
              </w:trPr>
              <w:tc>
                <w:tcPr>
                  <w:tcW w:w="1781" w:type="dxa"/>
                </w:tcPr>
                <w:p w14:paraId="44132B8E" w14:textId="77777777" w:rsidR="00171824" w:rsidRDefault="006D258C">
                  <w:pPr>
                    <w:framePr w:hSpace="141" w:wrap="around" w:vAnchor="text" w:hAnchor="text" w:x="108" w:y="1"/>
                    <w:suppressOverlap/>
                    <w:jc w:val="right"/>
                    <w:rPr>
                      <w:sz w:val="22"/>
                      <w:szCs w:val="22"/>
                      <w:lang w:val="el-GR"/>
                    </w:rPr>
                  </w:pPr>
                  <w:r>
                    <w:rPr>
                      <w:sz w:val="22"/>
                      <w:szCs w:val="22"/>
                      <w:lang w:val="el-GR"/>
                    </w:rPr>
                    <w:t>Ημερομηνία λήξης</w:t>
                  </w:r>
                </w:p>
              </w:tc>
            </w:tr>
            <w:tr w:rsidR="00171824" w14:paraId="43A8F44F" w14:textId="77777777">
              <w:trPr>
                <w:trHeight w:val="972"/>
              </w:trPr>
              <w:tc>
                <w:tcPr>
                  <w:tcW w:w="1781" w:type="dxa"/>
                </w:tcPr>
                <w:p w14:paraId="3620C82D" w14:textId="77777777" w:rsidR="00171824" w:rsidRDefault="006D258C">
                  <w:pPr>
                    <w:framePr w:hSpace="141" w:wrap="around" w:vAnchor="text" w:hAnchor="text" w:x="108" w:y="1"/>
                    <w:suppressOverlap/>
                    <w:jc w:val="right"/>
                    <w:rPr>
                      <w:sz w:val="22"/>
                      <w:szCs w:val="22"/>
                      <w:lang w:val="el-GR"/>
                    </w:rPr>
                  </w:pPr>
                  <w:r>
                    <w:rPr>
                      <w:sz w:val="22"/>
                      <w:szCs w:val="22"/>
                      <w:lang w:val="el-GR"/>
                    </w:rPr>
                    <w:t>Κύλινδρος</w:t>
                  </w:r>
                </w:p>
                <w:p w14:paraId="22AC3639" w14:textId="77777777" w:rsidR="00171824" w:rsidRDefault="006D258C">
                  <w:pPr>
                    <w:framePr w:hSpace="141" w:wrap="around" w:vAnchor="text" w:hAnchor="text" w:x="108" w:y="1"/>
                    <w:suppressOverlap/>
                    <w:jc w:val="right"/>
                    <w:rPr>
                      <w:sz w:val="22"/>
                      <w:szCs w:val="22"/>
                      <w:lang w:val="el-GR"/>
                    </w:rPr>
                  </w:pPr>
                  <w:r>
                    <w:rPr>
                      <w:sz w:val="22"/>
                      <w:szCs w:val="22"/>
                      <w:lang w:val="el-GR"/>
                    </w:rPr>
                    <w:t>Σύριγγας</w:t>
                  </w:r>
                </w:p>
              </w:tc>
            </w:tr>
            <w:tr w:rsidR="00171824" w:rsidRPr="00A07F46" w14:paraId="693821CF" w14:textId="77777777">
              <w:trPr>
                <w:trHeight w:val="1128"/>
              </w:trPr>
              <w:tc>
                <w:tcPr>
                  <w:tcW w:w="1781" w:type="dxa"/>
                </w:tcPr>
                <w:p w14:paraId="43B15F1A" w14:textId="77777777" w:rsidR="00171824" w:rsidRDefault="006D258C">
                  <w:pPr>
                    <w:framePr w:hSpace="141" w:wrap="around" w:vAnchor="text" w:hAnchor="text" w:x="108" w:y="1"/>
                    <w:suppressOverlap/>
                    <w:jc w:val="right"/>
                    <w:rPr>
                      <w:sz w:val="22"/>
                      <w:szCs w:val="22"/>
                      <w:lang w:val="el-GR"/>
                    </w:rPr>
                  </w:pPr>
                  <w:r>
                    <w:rPr>
                      <w:sz w:val="22"/>
                      <w:szCs w:val="22"/>
                      <w:lang w:val="el-GR"/>
                    </w:rPr>
                    <w:t>Κάλυμμα βελόνας</w:t>
                  </w:r>
                </w:p>
                <w:p w14:paraId="069A5193" w14:textId="77777777" w:rsidR="00171824" w:rsidRDefault="006D258C">
                  <w:pPr>
                    <w:framePr w:hSpace="141" w:wrap="around" w:vAnchor="text" w:hAnchor="text" w:x="108" w:y="1"/>
                    <w:suppressOverlap/>
                    <w:jc w:val="right"/>
                    <w:rPr>
                      <w:sz w:val="22"/>
                      <w:szCs w:val="22"/>
                      <w:lang w:val="el-GR"/>
                    </w:rPr>
                  </w:pPr>
                  <w:r>
                    <w:rPr>
                      <w:sz w:val="22"/>
                      <w:szCs w:val="22"/>
                      <w:lang w:val="el-GR"/>
                    </w:rPr>
                    <w:t>(η βελόνα είναι στο εσωτερικό)</w:t>
                  </w:r>
                </w:p>
              </w:tc>
            </w:tr>
          </w:tbl>
          <w:p w14:paraId="2975DEE3" w14:textId="77777777" w:rsidR="00171824" w:rsidRDefault="00171824">
            <w:pPr>
              <w:keepNext/>
              <w:jc w:val="right"/>
              <w:rPr>
                <w:sz w:val="22"/>
                <w:szCs w:val="22"/>
                <w:lang w:val="el-GR"/>
              </w:rPr>
            </w:pPr>
          </w:p>
        </w:tc>
        <w:tc>
          <w:tcPr>
            <w:tcW w:w="1447" w:type="pct"/>
            <w:tcBorders>
              <w:top w:val="nil"/>
              <w:left w:val="nil"/>
              <w:bottom w:val="single" w:sz="4" w:space="0" w:color="auto"/>
              <w:right w:val="nil"/>
            </w:tcBorders>
            <w:vAlign w:val="center"/>
          </w:tcPr>
          <w:p w14:paraId="29F47864" w14:textId="4BB0C6D2" w:rsidR="00171824" w:rsidRDefault="009039B7">
            <w:pPr>
              <w:jc w:val="center"/>
              <w:rPr>
                <w:sz w:val="22"/>
                <w:szCs w:val="22"/>
                <w:lang w:val="el-GR"/>
              </w:rPr>
            </w:pPr>
            <w:r>
              <w:rPr>
                <w:noProof/>
                <w:sz w:val="22"/>
                <w:szCs w:val="22"/>
                <w:lang w:val="el-GR"/>
              </w:rPr>
              <w:drawing>
                <wp:inline distT="0" distB="0" distL="0" distR="0" wp14:anchorId="6945D460" wp14:editId="0F9469F0">
                  <wp:extent cx="914400" cy="2468880"/>
                  <wp:effectExtent l="0" t="0" r="0" b="0"/>
                  <wp:docPr id="4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14400" cy="2468880"/>
                          </a:xfrm>
                          <a:prstGeom prst="rect">
                            <a:avLst/>
                          </a:prstGeom>
                          <a:noFill/>
                          <a:ln>
                            <a:noFill/>
                          </a:ln>
                        </pic:spPr>
                      </pic:pic>
                    </a:graphicData>
                  </a:graphic>
                </wp:inline>
              </w:drawing>
            </w:r>
          </w:p>
        </w:tc>
        <w:tc>
          <w:tcPr>
            <w:tcW w:w="1687" w:type="pct"/>
            <w:tcBorders>
              <w:top w:val="single" w:sz="4" w:space="0" w:color="auto"/>
              <w:left w:val="nil"/>
              <w:bottom w:val="single" w:sz="4" w:space="0" w:color="auto"/>
              <w:right w:val="single" w:sz="4" w:space="0" w:color="auto"/>
            </w:tcBorders>
          </w:tcPr>
          <w:tbl>
            <w:tblPr>
              <w:tblW w:w="1856" w:type="dxa"/>
              <w:tblCellMar>
                <w:left w:w="113" w:type="dxa"/>
                <w:right w:w="0" w:type="dxa"/>
              </w:tblCellMar>
              <w:tblLook w:val="04A0" w:firstRow="1" w:lastRow="0" w:firstColumn="1" w:lastColumn="0" w:noHBand="0" w:noVBand="1"/>
            </w:tblPr>
            <w:tblGrid>
              <w:gridCol w:w="1856"/>
            </w:tblGrid>
            <w:tr w:rsidR="00171824" w14:paraId="0AF43F81" w14:textId="77777777">
              <w:trPr>
                <w:trHeight w:val="461"/>
              </w:trPr>
              <w:tc>
                <w:tcPr>
                  <w:tcW w:w="1856" w:type="dxa"/>
                </w:tcPr>
                <w:p w14:paraId="22BB6A93" w14:textId="77777777" w:rsidR="00171824" w:rsidRDefault="00171824">
                  <w:pPr>
                    <w:framePr w:hSpace="141" w:wrap="around" w:vAnchor="text" w:hAnchor="text" w:x="108" w:y="1"/>
                    <w:suppressOverlap/>
                    <w:rPr>
                      <w:sz w:val="22"/>
                      <w:szCs w:val="22"/>
                      <w:lang w:val="el-GR"/>
                    </w:rPr>
                  </w:pPr>
                </w:p>
              </w:tc>
            </w:tr>
            <w:tr w:rsidR="00171824" w14:paraId="2509F0B6" w14:textId="77777777">
              <w:trPr>
                <w:trHeight w:val="1010"/>
              </w:trPr>
              <w:tc>
                <w:tcPr>
                  <w:tcW w:w="1856" w:type="dxa"/>
                </w:tcPr>
                <w:p w14:paraId="5734F0E2" w14:textId="77777777" w:rsidR="00171824" w:rsidRDefault="00171824">
                  <w:pPr>
                    <w:framePr w:hSpace="141" w:wrap="around" w:vAnchor="text" w:hAnchor="text" w:x="108" w:y="1"/>
                    <w:suppressOverlap/>
                    <w:rPr>
                      <w:sz w:val="22"/>
                      <w:szCs w:val="22"/>
                      <w:lang w:val="el-GR"/>
                    </w:rPr>
                  </w:pPr>
                </w:p>
              </w:tc>
            </w:tr>
            <w:tr w:rsidR="00171824" w14:paraId="62D5FB4D" w14:textId="77777777">
              <w:trPr>
                <w:trHeight w:val="725"/>
              </w:trPr>
              <w:tc>
                <w:tcPr>
                  <w:tcW w:w="1856" w:type="dxa"/>
                </w:tcPr>
                <w:p w14:paraId="09642B18" w14:textId="77777777" w:rsidR="00171824" w:rsidRDefault="006D258C">
                  <w:pPr>
                    <w:framePr w:hSpace="141" w:wrap="around" w:vAnchor="text" w:hAnchor="text" w:x="108" w:y="1"/>
                    <w:suppressOverlap/>
                    <w:rPr>
                      <w:sz w:val="22"/>
                      <w:szCs w:val="22"/>
                      <w:lang w:val="el-GR"/>
                    </w:rPr>
                  </w:pPr>
                  <w:r>
                    <w:rPr>
                      <w:sz w:val="22"/>
                      <w:szCs w:val="22"/>
                      <w:lang w:val="el-GR"/>
                    </w:rPr>
                    <w:t>Λαβή δακτύλων</w:t>
                  </w:r>
                </w:p>
              </w:tc>
            </w:tr>
            <w:tr w:rsidR="00171824" w:rsidRPr="00A07F46" w14:paraId="6FDF0F9F" w14:textId="77777777">
              <w:trPr>
                <w:trHeight w:val="989"/>
              </w:trPr>
              <w:tc>
                <w:tcPr>
                  <w:tcW w:w="1856" w:type="dxa"/>
                </w:tcPr>
                <w:p w14:paraId="4616B308" w14:textId="77777777" w:rsidR="00171824" w:rsidRDefault="006D258C">
                  <w:pPr>
                    <w:framePr w:hSpace="141" w:wrap="around" w:vAnchor="text" w:hAnchor="text" w:x="108" w:y="1"/>
                    <w:suppressOverlap/>
                    <w:rPr>
                      <w:sz w:val="22"/>
                      <w:szCs w:val="22"/>
                      <w:lang w:val="el-GR"/>
                    </w:rPr>
                  </w:pPr>
                  <w:r>
                    <w:rPr>
                      <w:sz w:val="22"/>
                      <w:szCs w:val="22"/>
                      <w:lang w:val="el-GR"/>
                    </w:rPr>
                    <w:t>Έμβολο (η θέση μπορεί να διαφέρει)</w:t>
                  </w:r>
                </w:p>
              </w:tc>
            </w:tr>
            <w:tr w:rsidR="00171824" w14:paraId="22EF50EE" w14:textId="77777777">
              <w:trPr>
                <w:trHeight w:val="856"/>
              </w:trPr>
              <w:tc>
                <w:tcPr>
                  <w:tcW w:w="1856" w:type="dxa"/>
                </w:tcPr>
                <w:p w14:paraId="5B673F2C" w14:textId="77777777" w:rsidR="00171824" w:rsidRDefault="006D258C">
                  <w:pPr>
                    <w:framePr w:hSpace="141" w:wrap="around" w:vAnchor="text" w:hAnchor="text" w:x="108" w:y="1"/>
                    <w:suppressOverlap/>
                    <w:rPr>
                      <w:sz w:val="22"/>
                      <w:szCs w:val="22"/>
                      <w:lang w:val="el-GR"/>
                    </w:rPr>
                  </w:pPr>
                  <w:r>
                    <w:rPr>
                      <w:sz w:val="22"/>
                      <w:szCs w:val="22"/>
                      <w:lang w:val="el-GR"/>
                    </w:rPr>
                    <w:t>Φάρμακο</w:t>
                  </w:r>
                </w:p>
              </w:tc>
            </w:tr>
          </w:tbl>
          <w:p w14:paraId="52007B0C" w14:textId="77777777" w:rsidR="00171824" w:rsidRDefault="00171824">
            <w:pPr>
              <w:rPr>
                <w:sz w:val="22"/>
                <w:szCs w:val="22"/>
                <w:lang w:val="el-GR"/>
              </w:rPr>
            </w:pPr>
          </w:p>
        </w:tc>
      </w:tr>
    </w:tbl>
    <w:p w14:paraId="2187712E" w14:textId="77777777" w:rsidR="00171824" w:rsidRDefault="00171824">
      <w:pPr>
        <w:pStyle w:val="BodyText"/>
        <w:pageBreakBefore/>
        <w:widowControl/>
        <w:kinsoku w:val="0"/>
        <w:overflowPunct w:val="0"/>
        <w:ind w:left="0"/>
        <w:rPr>
          <w:lang w:val="el-GR"/>
        </w:rPr>
      </w:pPr>
    </w:p>
    <w:tbl>
      <w:tblPr>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0"/>
        <w:gridCol w:w="8436"/>
        <w:gridCol w:w="5"/>
      </w:tblGrid>
      <w:tr w:rsidR="00171824" w:rsidRPr="00422380" w14:paraId="3F85B8D2" w14:textId="77777777" w:rsidTr="00422380">
        <w:trPr>
          <w:cantSplit/>
          <w:trHeight w:val="57"/>
        </w:trPr>
        <w:tc>
          <w:tcPr>
            <w:tcW w:w="313"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640DB4C5" w14:textId="77777777" w:rsidR="00171824" w:rsidRDefault="006D258C">
            <w:pPr>
              <w:ind w:left="567" w:hanging="567"/>
              <w:rPr>
                <w:b/>
                <w:bCs/>
                <w:sz w:val="22"/>
                <w:szCs w:val="22"/>
                <w:lang w:val="el-GR"/>
              </w:rPr>
            </w:pPr>
            <w:r>
              <w:rPr>
                <w:b/>
                <w:sz w:val="22"/>
                <w:szCs w:val="22"/>
                <w:lang w:val="el-GR"/>
              </w:rPr>
              <w:t>1</w:t>
            </w:r>
          </w:p>
        </w:tc>
        <w:tc>
          <w:tcPr>
            <w:tcW w:w="4687" w:type="pct"/>
            <w:gridSpan w:val="2"/>
            <w:tcBorders>
              <w:top w:val="single" w:sz="4" w:space="0" w:color="auto"/>
              <w:left w:val="single" w:sz="4" w:space="0" w:color="auto"/>
              <w:bottom w:val="single" w:sz="4" w:space="0" w:color="auto"/>
              <w:right w:val="single" w:sz="4" w:space="0" w:color="auto"/>
            </w:tcBorders>
          </w:tcPr>
          <w:p w14:paraId="7CDCD935" w14:textId="77777777" w:rsidR="00171824" w:rsidRDefault="006D258C">
            <w:pPr>
              <w:rPr>
                <w:b/>
                <w:bCs/>
                <w:sz w:val="22"/>
                <w:szCs w:val="22"/>
                <w:lang w:val="el-GR"/>
              </w:rPr>
            </w:pPr>
            <w:r>
              <w:rPr>
                <w:b/>
                <w:sz w:val="22"/>
                <w:szCs w:val="22"/>
                <w:lang w:val="el-GR"/>
              </w:rPr>
              <w:t>Σημαντικές πληροφορίες που πρέπει να γνωρίζετε προτού κάνετε την ένεση AMGEVITA</w:t>
            </w:r>
          </w:p>
        </w:tc>
      </w:tr>
      <w:tr w:rsidR="00171824" w14:paraId="3582017D" w14:textId="77777777">
        <w:trPr>
          <w:cantSplit/>
          <w:trHeight w:val="57"/>
        </w:trPr>
        <w:tc>
          <w:tcPr>
            <w:tcW w:w="5000" w:type="pct"/>
            <w:gridSpan w:val="3"/>
            <w:tcBorders>
              <w:top w:val="single" w:sz="4" w:space="0" w:color="auto"/>
              <w:left w:val="single" w:sz="4" w:space="0" w:color="auto"/>
              <w:bottom w:val="nil"/>
              <w:right w:val="single" w:sz="4" w:space="0" w:color="auto"/>
            </w:tcBorders>
            <w:tcMar>
              <w:top w:w="57" w:type="dxa"/>
              <w:left w:w="57" w:type="dxa"/>
              <w:bottom w:w="57" w:type="dxa"/>
              <w:right w:w="57" w:type="dxa"/>
            </w:tcMar>
          </w:tcPr>
          <w:p w14:paraId="08101FCB" w14:textId="77777777" w:rsidR="00171824" w:rsidRDefault="006D258C">
            <w:pPr>
              <w:ind w:left="567" w:hanging="567"/>
              <w:rPr>
                <w:b/>
                <w:bCs/>
                <w:sz w:val="22"/>
                <w:szCs w:val="22"/>
                <w:lang w:val="el-GR"/>
              </w:rPr>
            </w:pPr>
            <w:r>
              <w:rPr>
                <w:b/>
                <w:sz w:val="22"/>
                <w:szCs w:val="22"/>
                <w:lang w:val="el-GR"/>
              </w:rPr>
              <w:t>Δοσολογία:</w:t>
            </w:r>
          </w:p>
          <w:p w14:paraId="6DA05781" w14:textId="77777777" w:rsidR="00171824" w:rsidRDefault="006D258C">
            <w:pPr>
              <w:pStyle w:val="ListParagraph"/>
              <w:widowControl/>
              <w:numPr>
                <w:ilvl w:val="0"/>
                <w:numId w:val="35"/>
              </w:numPr>
              <w:suppressAutoHyphens/>
              <w:ind w:left="567" w:hanging="567"/>
              <w:contextualSpacing/>
              <w:textAlignment w:val="center"/>
              <w:rPr>
                <w:color w:val="000000"/>
                <w:sz w:val="22"/>
                <w:szCs w:val="22"/>
                <w:lang w:val="el-GR"/>
              </w:rPr>
            </w:pPr>
            <w:r>
              <w:rPr>
                <w:color w:val="000000"/>
                <w:sz w:val="22"/>
                <w:szCs w:val="22"/>
                <w:lang w:val="el-GR"/>
              </w:rPr>
              <w:t xml:space="preserve">Το AMGEVITA διατίθεται σε τρεις διαφορετικές δόσεις: 20 mg/0,2 ml, 40 mg/0,4 ml, 80 mg/0,8 ml. Ελέγξτε τη συνταγή σας για να βεβαιωθείτε ότι έχετε τη σωστή δόση. </w:t>
            </w:r>
          </w:p>
          <w:p w14:paraId="3B49E8E0" w14:textId="77777777" w:rsidR="00171824" w:rsidRDefault="006D258C">
            <w:pPr>
              <w:pStyle w:val="ListParagraph"/>
              <w:widowControl/>
              <w:numPr>
                <w:ilvl w:val="0"/>
                <w:numId w:val="35"/>
              </w:numPr>
              <w:suppressAutoHyphens/>
              <w:ind w:left="567" w:hanging="567"/>
              <w:contextualSpacing/>
              <w:textAlignment w:val="center"/>
              <w:rPr>
                <w:sz w:val="22"/>
                <w:szCs w:val="22"/>
                <w:lang w:val="el-GR"/>
              </w:rPr>
            </w:pPr>
            <w:r>
              <w:rPr>
                <w:color w:val="000000"/>
                <w:sz w:val="22"/>
                <w:szCs w:val="22"/>
                <w:lang w:val="el-GR"/>
              </w:rPr>
              <w:t xml:space="preserve">Το χρώμα και η εμφάνιση της προγεμισμένης σύριγγας θα είναι διαφορετικά για κάθε δόση. </w:t>
            </w:r>
            <w:r>
              <w:rPr>
                <w:sz w:val="22"/>
                <w:szCs w:val="22"/>
                <w:lang w:val="el-GR"/>
              </w:rPr>
              <w:t>Η ποσότητα φαρμάκου στην προγεμισμένη σύριγγα θα είναι επίσης διαφορετική για κάθε δόση.</w:t>
            </w:r>
          </w:p>
          <w:p w14:paraId="1D779A57" w14:textId="77777777" w:rsidR="00171824" w:rsidRDefault="006D258C">
            <w:pPr>
              <w:pStyle w:val="ListParagraph"/>
              <w:widowControl/>
              <w:numPr>
                <w:ilvl w:val="0"/>
                <w:numId w:val="35"/>
              </w:numPr>
              <w:suppressAutoHyphens/>
              <w:ind w:left="567" w:hanging="567"/>
              <w:contextualSpacing/>
              <w:textAlignment w:val="center"/>
              <w:rPr>
                <w:sz w:val="22"/>
                <w:szCs w:val="22"/>
                <w:lang w:val="el-GR"/>
              </w:rPr>
            </w:pPr>
            <w:r>
              <w:rPr>
                <w:sz w:val="22"/>
                <w:szCs w:val="22"/>
                <w:lang w:val="el-GR"/>
              </w:rPr>
              <w:t xml:space="preserve">Για παράδειγμα, είναι φυσιολογικό η δόση των 20 mg/0,2 ml να έχει μικρή ποσότητα φαρμάκου και η δόση των 80 mg/0,8 ml να έχει μεγάλη ποσότητα φαρμάκου. Δείτε στις παρακάτω εικόνες πώς φαίνεται η δόση σας στην προγεμισμένη σύριγγα. </w:t>
            </w:r>
          </w:p>
          <w:p w14:paraId="1068C197" w14:textId="77777777" w:rsidR="00171824" w:rsidRDefault="00171824">
            <w:pPr>
              <w:rPr>
                <w:b/>
                <w:bCs/>
                <w:sz w:val="22"/>
                <w:szCs w:val="22"/>
                <w:lang w:val="el-GR"/>
              </w:rPr>
            </w:pPr>
          </w:p>
          <w:p w14:paraId="1DD78A5C" w14:textId="0739219D" w:rsidR="00171824" w:rsidRDefault="009039B7">
            <w:pPr>
              <w:rPr>
                <w:b/>
                <w:bCs/>
                <w:sz w:val="22"/>
                <w:szCs w:val="22"/>
                <w:lang w:val="el-GR"/>
              </w:rPr>
            </w:pPr>
            <w:del w:id="130" w:author="Author">
              <w:r>
                <w:rPr>
                  <w:b/>
                  <w:noProof/>
                  <w:sz w:val="22"/>
                  <w:szCs w:val="22"/>
                  <w:lang w:val="el-GR" w:eastAsia="zh-CN"/>
                </w:rPr>
                <w:drawing>
                  <wp:inline distT="0" distB="0" distL="0" distR="0" wp14:anchorId="7E8CC72A" wp14:editId="051B6688">
                    <wp:extent cx="1097280" cy="2468880"/>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97280" cy="2468880"/>
                            </a:xfrm>
                            <a:prstGeom prst="rect">
                              <a:avLst/>
                            </a:prstGeom>
                            <a:noFill/>
                            <a:ln>
                              <a:noFill/>
                            </a:ln>
                          </pic:spPr>
                        </pic:pic>
                      </a:graphicData>
                    </a:graphic>
                  </wp:inline>
                </w:drawing>
              </w:r>
            </w:del>
            <w:r w:rsidR="006D258C">
              <w:rPr>
                <w:b/>
                <w:sz w:val="22"/>
                <w:szCs w:val="22"/>
                <w:lang w:val="el-GR"/>
              </w:rPr>
              <w:t xml:space="preserve">          </w:t>
            </w:r>
            <w:del w:id="131" w:author="Author">
              <w:r>
                <w:rPr>
                  <w:noProof/>
                  <w:sz w:val="22"/>
                  <w:szCs w:val="22"/>
                  <w:lang w:val="el-GR" w:eastAsia="zh-CN"/>
                </w:rPr>
                <w:drawing>
                  <wp:inline distT="0" distB="0" distL="0" distR="0" wp14:anchorId="2B444984" wp14:editId="13D61F2D">
                    <wp:extent cx="1011555" cy="2468880"/>
                    <wp:effectExtent l="0" t="0" r="0" b="0"/>
                    <wp:docPr id="4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1555" cy="2468880"/>
                            </a:xfrm>
                            <a:prstGeom prst="rect">
                              <a:avLst/>
                            </a:prstGeom>
                            <a:noFill/>
                            <a:ln>
                              <a:noFill/>
                            </a:ln>
                          </pic:spPr>
                        </pic:pic>
                      </a:graphicData>
                    </a:graphic>
                  </wp:inline>
                </w:drawing>
              </w:r>
            </w:del>
            <w:r w:rsidR="006D258C">
              <w:rPr>
                <w:b/>
                <w:sz w:val="22"/>
                <w:szCs w:val="22"/>
                <w:lang w:val="el-GR"/>
              </w:rPr>
              <w:t xml:space="preserve">             </w:t>
            </w:r>
            <w:del w:id="132" w:author="Author">
              <w:r w:rsidR="006D258C">
                <w:rPr>
                  <w:b/>
                  <w:sz w:val="22"/>
                  <w:szCs w:val="22"/>
                  <w:lang w:val="el-GR"/>
                </w:rPr>
                <w:delText xml:space="preserve"> </w:delText>
              </w:r>
              <w:r>
                <w:rPr>
                  <w:noProof/>
                  <w:sz w:val="22"/>
                  <w:szCs w:val="22"/>
                  <w:lang w:val="el-GR" w:eastAsia="zh-CN"/>
                </w:rPr>
                <w:drawing>
                  <wp:inline distT="0" distB="0" distL="0" distR="0" wp14:anchorId="37240E76" wp14:editId="7BAF116C">
                    <wp:extent cx="914400" cy="2468880"/>
                    <wp:effectExtent l="0" t="0" r="0" b="0"/>
                    <wp:docPr id="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4400" cy="2468880"/>
                            </a:xfrm>
                            <a:prstGeom prst="rect">
                              <a:avLst/>
                            </a:prstGeom>
                            <a:noFill/>
                            <a:ln>
                              <a:noFill/>
                            </a:ln>
                          </pic:spPr>
                        </pic:pic>
                      </a:graphicData>
                    </a:graphic>
                  </wp:inline>
                </w:drawing>
              </w:r>
            </w:del>
            <w:r w:rsidR="006D258C">
              <w:rPr>
                <w:b/>
                <w:sz w:val="22"/>
                <w:szCs w:val="22"/>
                <w:lang w:val="el-GR"/>
              </w:rPr>
              <w:t xml:space="preserve">           </w:t>
            </w:r>
          </w:p>
          <w:p w14:paraId="70E3B05A" w14:textId="2D7A25A8" w:rsidR="00171824" w:rsidRDefault="009039B7">
            <w:pPr>
              <w:rPr>
                <w:b/>
                <w:bCs/>
                <w:sz w:val="22"/>
                <w:szCs w:val="22"/>
                <w:lang w:val="el-GR"/>
              </w:rPr>
            </w:pPr>
            <w:ins w:id="133" w:author="Author">
              <w:r>
                <w:rPr>
                  <w:b/>
                  <w:noProof/>
                  <w:lang w:val="el-GR"/>
                </w:rPr>
                <w:drawing>
                  <wp:inline distT="0" distB="0" distL="0" distR="0" wp14:anchorId="6EF3A030" wp14:editId="66E655E5">
                    <wp:extent cx="5212080" cy="2468880"/>
                    <wp:effectExtent l="0" t="0" r="0" b="0"/>
                    <wp:docPr id="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12080" cy="2468880"/>
                            </a:xfrm>
                            <a:prstGeom prst="rect">
                              <a:avLst/>
                            </a:prstGeom>
                            <a:noFill/>
                            <a:ln>
                              <a:noFill/>
                            </a:ln>
                          </pic:spPr>
                        </pic:pic>
                      </a:graphicData>
                    </a:graphic>
                  </wp:inline>
                </w:drawing>
              </w:r>
            </w:ins>
          </w:p>
          <w:p w14:paraId="69F17117" w14:textId="77777777" w:rsidR="00171824" w:rsidRPr="00422380" w:rsidRDefault="006D258C">
            <w:pPr>
              <w:rPr>
                <w:b/>
                <w:bCs/>
                <w:sz w:val="22"/>
                <w:szCs w:val="22"/>
              </w:rPr>
            </w:pPr>
            <w:r w:rsidRPr="00422380">
              <w:rPr>
                <w:b/>
                <w:sz w:val="22"/>
                <w:szCs w:val="22"/>
              </w:rPr>
              <w:t xml:space="preserve">     20 mg/0,2 ml            </w:t>
            </w:r>
            <w:ins w:id="134" w:author="Author">
              <w:r w:rsidRPr="00422380">
                <w:rPr>
                  <w:b/>
                  <w:sz w:val="22"/>
                  <w:szCs w:val="22"/>
                </w:rPr>
                <w:t xml:space="preserve">                    </w:t>
              </w:r>
            </w:ins>
            <w:r w:rsidRPr="00422380">
              <w:rPr>
                <w:b/>
                <w:sz w:val="22"/>
                <w:szCs w:val="22"/>
              </w:rPr>
              <w:t xml:space="preserve">    40 mg/0,4 ml                 </w:t>
            </w:r>
            <w:ins w:id="135" w:author="Author">
              <w:r w:rsidRPr="00422380">
                <w:rPr>
                  <w:b/>
                  <w:sz w:val="22"/>
                  <w:szCs w:val="22"/>
                </w:rPr>
                <w:t xml:space="preserve">                  </w:t>
              </w:r>
            </w:ins>
            <w:r w:rsidRPr="00422380">
              <w:rPr>
                <w:b/>
                <w:sz w:val="22"/>
                <w:szCs w:val="22"/>
              </w:rPr>
              <w:t xml:space="preserve">   80 mg/0,8 ml</w:t>
            </w:r>
          </w:p>
          <w:p w14:paraId="6E8C7E0F" w14:textId="77777777" w:rsidR="00171824" w:rsidRPr="00422380" w:rsidRDefault="00171824">
            <w:pPr>
              <w:rPr>
                <w:del w:id="136" w:author="Author"/>
                <w:b/>
                <w:bCs/>
                <w:sz w:val="22"/>
                <w:szCs w:val="22"/>
              </w:rPr>
            </w:pPr>
          </w:p>
          <w:p w14:paraId="1ECCE536" w14:textId="77777777" w:rsidR="00171824" w:rsidRPr="00422380" w:rsidRDefault="006D258C">
            <w:pPr>
              <w:keepNext/>
              <w:keepLines/>
              <w:rPr>
                <w:b/>
                <w:bCs/>
                <w:sz w:val="22"/>
                <w:szCs w:val="22"/>
              </w:rPr>
            </w:pPr>
            <w:del w:id="137" w:author="Author">
              <w:r>
                <w:rPr>
                  <w:b/>
                  <w:sz w:val="22"/>
                  <w:szCs w:val="22"/>
                  <w:lang w:val="el-GR"/>
                </w:rPr>
                <w:delText>Πώς</w:delText>
              </w:r>
              <w:r w:rsidRPr="00422380">
                <w:rPr>
                  <w:b/>
                  <w:sz w:val="22"/>
                  <w:szCs w:val="22"/>
                </w:rPr>
                <w:delText xml:space="preserve"> </w:delText>
              </w:r>
              <w:r>
                <w:rPr>
                  <w:b/>
                  <w:sz w:val="22"/>
                  <w:szCs w:val="22"/>
                  <w:lang w:val="el-GR"/>
                </w:rPr>
                <w:delText>να</w:delText>
              </w:r>
              <w:r w:rsidRPr="00422380">
                <w:rPr>
                  <w:b/>
                  <w:sz w:val="22"/>
                  <w:szCs w:val="22"/>
                </w:rPr>
                <w:delText xml:space="preserve"> </w:delText>
              </w:r>
              <w:r>
                <w:rPr>
                  <w:b/>
                  <w:sz w:val="22"/>
                  <w:szCs w:val="22"/>
                  <w:lang w:val="el-GR"/>
                </w:rPr>
                <w:delText>χρησιμοποιείτε</w:delText>
              </w:r>
              <w:r w:rsidRPr="00422380">
                <w:rPr>
                  <w:b/>
                  <w:sz w:val="22"/>
                  <w:szCs w:val="22"/>
                </w:rPr>
                <w:delText xml:space="preserve"> </w:delText>
              </w:r>
              <w:r>
                <w:rPr>
                  <w:b/>
                  <w:sz w:val="22"/>
                  <w:szCs w:val="22"/>
                  <w:lang w:val="el-GR"/>
                </w:rPr>
                <w:delText>την</w:delText>
              </w:r>
              <w:r w:rsidRPr="00422380">
                <w:rPr>
                  <w:b/>
                  <w:sz w:val="22"/>
                  <w:szCs w:val="22"/>
                </w:rPr>
                <w:delText xml:space="preserve"> </w:delText>
              </w:r>
              <w:r>
                <w:rPr>
                  <w:b/>
                  <w:sz w:val="22"/>
                  <w:szCs w:val="22"/>
                  <w:lang w:val="el-GR"/>
                </w:rPr>
                <w:delText>προγεμισμένη</w:delText>
              </w:r>
              <w:r w:rsidRPr="00422380">
                <w:rPr>
                  <w:b/>
                  <w:sz w:val="22"/>
                  <w:szCs w:val="22"/>
                </w:rPr>
                <w:delText xml:space="preserve"> </w:delText>
              </w:r>
              <w:r>
                <w:rPr>
                  <w:b/>
                  <w:sz w:val="22"/>
                  <w:szCs w:val="22"/>
                  <w:lang w:val="el-GR"/>
                </w:rPr>
                <w:delText>σας</w:delText>
              </w:r>
              <w:r w:rsidRPr="00422380">
                <w:rPr>
                  <w:b/>
                  <w:sz w:val="22"/>
                  <w:szCs w:val="22"/>
                </w:rPr>
                <w:delText xml:space="preserve"> </w:delText>
              </w:r>
              <w:r>
                <w:rPr>
                  <w:b/>
                  <w:sz w:val="22"/>
                  <w:szCs w:val="22"/>
                  <w:lang w:val="el-GR"/>
                </w:rPr>
                <w:delText>σύριγγα</w:delText>
              </w:r>
              <w:r w:rsidRPr="00422380">
                <w:rPr>
                  <w:b/>
                  <w:sz w:val="22"/>
                  <w:szCs w:val="22"/>
                </w:rPr>
                <w:delText xml:space="preserve"> AMGEVITA:</w:delText>
              </w:r>
            </w:del>
          </w:p>
        </w:tc>
      </w:tr>
      <w:tr w:rsidR="00171824" w:rsidRPr="00A07F46" w14:paraId="43E876AB" w14:textId="77777777" w:rsidTr="00422380">
        <w:trPr>
          <w:cantSplit/>
          <w:trHeight w:val="57"/>
        </w:trPr>
        <w:tc>
          <w:tcPr>
            <w:tcW w:w="313" w:type="pct"/>
            <w:tcBorders>
              <w:top w:val="nil"/>
              <w:left w:val="single" w:sz="4" w:space="0" w:color="auto"/>
              <w:bottom w:val="nil"/>
              <w:right w:val="nil"/>
            </w:tcBorders>
          </w:tcPr>
          <w:p w14:paraId="577FED14" w14:textId="77777777" w:rsidR="00171824" w:rsidRPr="00422380" w:rsidRDefault="00171824">
            <w:pPr>
              <w:keepNext/>
              <w:widowControl/>
              <w:numPr>
                <w:ilvl w:val="0"/>
                <w:numId w:val="36"/>
              </w:numPr>
              <w:tabs>
                <w:tab w:val="left" w:pos="708"/>
              </w:tabs>
              <w:autoSpaceDE/>
              <w:autoSpaceDN/>
              <w:adjustRightInd/>
              <w:ind w:left="567" w:hanging="567"/>
              <w:rPr>
                <w:sz w:val="22"/>
                <w:szCs w:val="22"/>
              </w:rPr>
            </w:pPr>
          </w:p>
        </w:tc>
        <w:tc>
          <w:tcPr>
            <w:tcW w:w="4687" w:type="pct"/>
            <w:gridSpan w:val="2"/>
            <w:tcBorders>
              <w:top w:val="nil"/>
              <w:left w:val="nil"/>
              <w:bottom w:val="nil"/>
              <w:right w:val="single" w:sz="4" w:space="0" w:color="auto"/>
            </w:tcBorders>
            <w:tcMar>
              <w:top w:w="57" w:type="dxa"/>
              <w:left w:w="0" w:type="dxa"/>
              <w:bottom w:w="57" w:type="dxa"/>
              <w:right w:w="57" w:type="dxa"/>
            </w:tcMar>
          </w:tcPr>
          <w:p w14:paraId="61B6FBD8" w14:textId="77777777" w:rsidR="00171824" w:rsidRDefault="006D258C">
            <w:pPr>
              <w:rPr>
                <w:b/>
                <w:bCs/>
                <w:sz w:val="22"/>
                <w:szCs w:val="22"/>
                <w:lang w:val="el-GR"/>
              </w:rPr>
            </w:pPr>
            <w:r>
              <w:rPr>
                <w:sz w:val="22"/>
                <w:szCs w:val="22"/>
                <w:lang w:val="el-GR"/>
              </w:rPr>
              <w:t>Είναι σημαντικό να μην επιχειρήσετε να κάνετε μόνοι σας την ένεση προτού διαβάσετε και κατανοήσετε πλήρως αυτές τις οδηγίες χρήσης και παρά μόνο εάν έχετε λάβει εκπαίδευση από τον γιατρό ή τον πάροχο υγειονομικής περίθαλψης.</w:t>
            </w:r>
          </w:p>
        </w:tc>
      </w:tr>
      <w:tr w:rsidR="00171824" w:rsidRPr="00422380" w14:paraId="38A631B6" w14:textId="77777777" w:rsidTr="00422380">
        <w:trPr>
          <w:cantSplit/>
          <w:trHeight w:val="57"/>
        </w:trPr>
        <w:tc>
          <w:tcPr>
            <w:tcW w:w="313" w:type="pct"/>
            <w:tcBorders>
              <w:top w:val="nil"/>
              <w:left w:val="single" w:sz="4" w:space="0" w:color="auto"/>
              <w:bottom w:val="nil"/>
              <w:right w:val="nil"/>
            </w:tcBorders>
          </w:tcPr>
          <w:p w14:paraId="481D58DC" w14:textId="77777777" w:rsidR="00171824" w:rsidRDefault="00171824">
            <w:pPr>
              <w:keepNext/>
              <w:widowControl/>
              <w:numPr>
                <w:ilvl w:val="0"/>
                <w:numId w:val="36"/>
              </w:numPr>
              <w:tabs>
                <w:tab w:val="left" w:pos="708"/>
              </w:tabs>
              <w:autoSpaceDE/>
              <w:autoSpaceDN/>
              <w:adjustRightInd/>
              <w:ind w:left="567" w:hanging="567"/>
              <w:rPr>
                <w:sz w:val="22"/>
                <w:szCs w:val="22"/>
                <w:lang w:val="el-GR"/>
              </w:rPr>
            </w:pPr>
          </w:p>
        </w:tc>
        <w:tc>
          <w:tcPr>
            <w:tcW w:w="4687" w:type="pct"/>
            <w:gridSpan w:val="2"/>
            <w:tcBorders>
              <w:top w:val="nil"/>
              <w:left w:val="nil"/>
              <w:bottom w:val="nil"/>
              <w:right w:val="single" w:sz="4" w:space="0" w:color="auto"/>
            </w:tcBorders>
            <w:tcMar>
              <w:top w:w="57" w:type="dxa"/>
              <w:left w:w="0" w:type="dxa"/>
              <w:bottom w:w="57" w:type="dxa"/>
              <w:right w:w="57" w:type="dxa"/>
            </w:tcMar>
          </w:tcPr>
          <w:p w14:paraId="28E6C87D"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χρησιμοποιείτε την προγεμισμένη σύριγγα εάν το κουτί είναι κατεστραμμένο ή έχει παραβιαστεί η σφράγιση.</w:t>
            </w:r>
          </w:p>
        </w:tc>
      </w:tr>
      <w:tr w:rsidR="00171824" w:rsidRPr="00422380" w14:paraId="511E2EA0" w14:textId="77777777" w:rsidTr="00422380">
        <w:trPr>
          <w:cantSplit/>
          <w:trHeight w:val="57"/>
        </w:trPr>
        <w:tc>
          <w:tcPr>
            <w:tcW w:w="313" w:type="pct"/>
            <w:tcBorders>
              <w:top w:val="nil"/>
              <w:left w:val="single" w:sz="4" w:space="0" w:color="auto"/>
              <w:bottom w:val="nil"/>
              <w:right w:val="nil"/>
            </w:tcBorders>
          </w:tcPr>
          <w:p w14:paraId="5ACDE5D6" w14:textId="77777777" w:rsidR="00171824" w:rsidRDefault="00171824">
            <w:pPr>
              <w:pStyle w:val="ListParagraph"/>
              <w:keepNext/>
              <w:widowControl/>
              <w:numPr>
                <w:ilvl w:val="0"/>
                <w:numId w:val="37"/>
              </w:numPr>
              <w:tabs>
                <w:tab w:val="left" w:pos="474"/>
                <w:tab w:val="left" w:pos="529"/>
              </w:tabs>
              <w:autoSpaceDE/>
              <w:autoSpaceDN/>
              <w:adjustRightInd/>
              <w:ind w:left="567" w:hanging="567"/>
              <w:contextualSpacing/>
              <w:rPr>
                <w:sz w:val="22"/>
                <w:szCs w:val="22"/>
                <w:lang w:val="el-GR"/>
              </w:rPr>
            </w:pPr>
          </w:p>
        </w:tc>
        <w:tc>
          <w:tcPr>
            <w:tcW w:w="4687" w:type="pct"/>
            <w:gridSpan w:val="2"/>
            <w:tcBorders>
              <w:top w:val="nil"/>
              <w:left w:val="nil"/>
              <w:bottom w:val="nil"/>
              <w:right w:val="single" w:sz="4" w:space="0" w:color="auto"/>
            </w:tcBorders>
            <w:tcMar>
              <w:top w:w="57" w:type="dxa"/>
              <w:left w:w="0" w:type="dxa"/>
              <w:bottom w:w="57" w:type="dxa"/>
              <w:right w:w="57" w:type="dxa"/>
            </w:tcMar>
          </w:tcPr>
          <w:p w14:paraId="27F730F7"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χρησιμοποιείτε την προγεμισμένη σύριγγα μετά την ημερομηνία λήξης που αναγράφεται στην ετικέτα.</w:t>
            </w:r>
          </w:p>
        </w:tc>
      </w:tr>
      <w:tr w:rsidR="00171824" w:rsidRPr="00422380" w14:paraId="0D976BB6" w14:textId="77777777" w:rsidTr="00422380">
        <w:trPr>
          <w:cantSplit/>
          <w:trHeight w:val="57"/>
        </w:trPr>
        <w:tc>
          <w:tcPr>
            <w:tcW w:w="313" w:type="pct"/>
            <w:tcBorders>
              <w:top w:val="nil"/>
              <w:left w:val="single" w:sz="4" w:space="0" w:color="auto"/>
              <w:bottom w:val="nil"/>
              <w:right w:val="nil"/>
            </w:tcBorders>
          </w:tcPr>
          <w:p w14:paraId="0DEF8120" w14:textId="77777777" w:rsidR="00171824" w:rsidRDefault="00171824">
            <w:pPr>
              <w:pStyle w:val="ListParagraph"/>
              <w:keepNext/>
              <w:widowControl/>
              <w:numPr>
                <w:ilvl w:val="0"/>
                <w:numId w:val="37"/>
              </w:numPr>
              <w:tabs>
                <w:tab w:val="left" w:pos="567"/>
              </w:tabs>
              <w:autoSpaceDE/>
              <w:autoSpaceDN/>
              <w:adjustRightInd/>
              <w:ind w:left="567" w:hanging="567"/>
              <w:contextualSpacing/>
              <w:rPr>
                <w:sz w:val="22"/>
                <w:szCs w:val="22"/>
                <w:lang w:val="el-GR"/>
              </w:rPr>
            </w:pPr>
          </w:p>
        </w:tc>
        <w:tc>
          <w:tcPr>
            <w:tcW w:w="4687" w:type="pct"/>
            <w:gridSpan w:val="2"/>
            <w:tcBorders>
              <w:top w:val="nil"/>
              <w:left w:val="nil"/>
              <w:bottom w:val="nil"/>
              <w:right w:val="single" w:sz="4" w:space="0" w:color="auto"/>
            </w:tcBorders>
            <w:tcMar>
              <w:top w:w="57" w:type="dxa"/>
              <w:left w:w="0" w:type="dxa"/>
              <w:bottom w:w="57" w:type="dxa"/>
              <w:right w:w="57" w:type="dxa"/>
            </w:tcMar>
          </w:tcPr>
          <w:p w14:paraId="383969AA" w14:textId="77777777" w:rsidR="00171824" w:rsidRDefault="006D258C">
            <w:pPr>
              <w:rPr>
                <w:b/>
                <w:bCs/>
                <w:sz w:val="22"/>
                <w:szCs w:val="22"/>
                <w:lang w:val="el-GR"/>
              </w:rPr>
            </w:pPr>
            <w:r>
              <w:rPr>
                <w:b/>
                <w:bCs/>
                <w:sz w:val="22"/>
                <w:szCs w:val="22"/>
                <w:lang w:val="el-GR"/>
              </w:rPr>
              <w:t>Μην</w:t>
            </w:r>
            <w:r>
              <w:rPr>
                <w:sz w:val="22"/>
                <w:szCs w:val="22"/>
                <w:lang w:val="el-GR"/>
              </w:rPr>
              <w:t xml:space="preserve"> ανακινείτε την προγεμισμένη σύριγγα.</w:t>
            </w:r>
          </w:p>
        </w:tc>
      </w:tr>
      <w:tr w:rsidR="00171824" w:rsidRPr="00422380" w14:paraId="4B2F3BB6" w14:textId="77777777" w:rsidTr="00422380">
        <w:trPr>
          <w:cantSplit/>
          <w:trHeight w:val="57"/>
        </w:trPr>
        <w:tc>
          <w:tcPr>
            <w:tcW w:w="313" w:type="pct"/>
            <w:tcBorders>
              <w:top w:val="nil"/>
              <w:left w:val="single" w:sz="4" w:space="0" w:color="auto"/>
              <w:bottom w:val="nil"/>
              <w:right w:val="nil"/>
            </w:tcBorders>
          </w:tcPr>
          <w:p w14:paraId="050BED80" w14:textId="77777777" w:rsidR="00171824" w:rsidRDefault="00171824">
            <w:pPr>
              <w:pStyle w:val="ListParagraph"/>
              <w:keepNext/>
              <w:widowControl/>
              <w:numPr>
                <w:ilvl w:val="0"/>
                <w:numId w:val="38"/>
              </w:numPr>
              <w:tabs>
                <w:tab w:val="left" w:pos="567"/>
              </w:tabs>
              <w:autoSpaceDE/>
              <w:autoSpaceDN/>
              <w:adjustRightInd/>
              <w:ind w:left="567" w:hanging="567"/>
              <w:contextualSpacing/>
              <w:rPr>
                <w:sz w:val="22"/>
                <w:szCs w:val="22"/>
                <w:lang w:val="el-GR"/>
              </w:rPr>
            </w:pPr>
          </w:p>
        </w:tc>
        <w:tc>
          <w:tcPr>
            <w:tcW w:w="4687" w:type="pct"/>
            <w:gridSpan w:val="2"/>
            <w:tcBorders>
              <w:top w:val="nil"/>
              <w:left w:val="nil"/>
              <w:bottom w:val="nil"/>
              <w:right w:val="single" w:sz="4" w:space="0" w:color="auto"/>
            </w:tcBorders>
            <w:tcMar>
              <w:top w:w="57" w:type="dxa"/>
              <w:left w:w="0" w:type="dxa"/>
              <w:bottom w:w="57" w:type="dxa"/>
              <w:right w:w="57" w:type="dxa"/>
            </w:tcMar>
          </w:tcPr>
          <w:p w14:paraId="35A30CCF" w14:textId="77777777" w:rsidR="00171824" w:rsidRDefault="006D258C">
            <w:pPr>
              <w:rPr>
                <w:sz w:val="22"/>
                <w:szCs w:val="22"/>
                <w:lang w:val="el-GR"/>
              </w:rPr>
            </w:pPr>
            <w:r>
              <w:rPr>
                <w:b/>
                <w:bCs/>
                <w:sz w:val="22"/>
                <w:szCs w:val="22"/>
                <w:lang w:val="el-GR"/>
              </w:rPr>
              <w:t>Μην</w:t>
            </w:r>
            <w:r>
              <w:rPr>
                <w:sz w:val="22"/>
                <w:szCs w:val="22"/>
                <w:lang w:val="el-GR"/>
              </w:rPr>
              <w:t xml:space="preserve"> αφαιρείτε το κάλυμμα της βελόνας παρά μόνο όταν θα είστε έτοιμοι για την ένεση.</w:t>
            </w:r>
          </w:p>
        </w:tc>
      </w:tr>
      <w:tr w:rsidR="00171824" w:rsidRPr="00422380" w14:paraId="732604C4" w14:textId="77777777" w:rsidTr="00422380">
        <w:trPr>
          <w:cantSplit/>
          <w:trHeight w:val="57"/>
        </w:trPr>
        <w:tc>
          <w:tcPr>
            <w:tcW w:w="313" w:type="pct"/>
            <w:tcBorders>
              <w:top w:val="nil"/>
              <w:left w:val="single" w:sz="4" w:space="0" w:color="auto"/>
              <w:bottom w:val="nil"/>
              <w:right w:val="nil"/>
            </w:tcBorders>
          </w:tcPr>
          <w:p w14:paraId="6E129F23" w14:textId="77777777" w:rsidR="00171824" w:rsidRDefault="00171824">
            <w:pPr>
              <w:pStyle w:val="ListParagraph"/>
              <w:keepNext/>
              <w:widowControl/>
              <w:numPr>
                <w:ilvl w:val="0"/>
                <w:numId w:val="38"/>
              </w:numPr>
              <w:tabs>
                <w:tab w:val="left" w:pos="567"/>
              </w:tabs>
              <w:autoSpaceDE/>
              <w:autoSpaceDN/>
              <w:adjustRightInd/>
              <w:ind w:left="567" w:hanging="567"/>
              <w:contextualSpacing/>
              <w:rPr>
                <w:sz w:val="22"/>
                <w:szCs w:val="22"/>
                <w:lang w:val="el-GR"/>
              </w:rPr>
            </w:pPr>
          </w:p>
        </w:tc>
        <w:tc>
          <w:tcPr>
            <w:tcW w:w="4687" w:type="pct"/>
            <w:gridSpan w:val="2"/>
            <w:tcBorders>
              <w:top w:val="nil"/>
              <w:left w:val="nil"/>
              <w:bottom w:val="nil"/>
              <w:right w:val="single" w:sz="4" w:space="0" w:color="auto"/>
            </w:tcBorders>
            <w:tcMar>
              <w:top w:w="57" w:type="dxa"/>
              <w:left w:w="0" w:type="dxa"/>
              <w:bottom w:w="57" w:type="dxa"/>
              <w:right w:w="57" w:type="dxa"/>
            </w:tcMar>
          </w:tcPr>
          <w:p w14:paraId="5B7002BD" w14:textId="77777777" w:rsidR="00171824" w:rsidRDefault="006D258C">
            <w:pPr>
              <w:rPr>
                <w:sz w:val="22"/>
                <w:szCs w:val="22"/>
                <w:lang w:val="el-GR"/>
              </w:rPr>
            </w:pPr>
            <w:r>
              <w:rPr>
                <w:b/>
                <w:bCs/>
                <w:sz w:val="22"/>
                <w:szCs w:val="22"/>
                <w:lang w:val="el-GR"/>
              </w:rPr>
              <w:t>Μη</w:t>
            </w:r>
            <w:r>
              <w:rPr>
                <w:sz w:val="22"/>
                <w:szCs w:val="22"/>
                <w:lang w:val="el-GR"/>
              </w:rPr>
              <w:t xml:space="preserve"> χρησιμοποιείτε την προγεμισμένη σύριγγα εάν έχει καταψυχθεί.</w:t>
            </w:r>
          </w:p>
        </w:tc>
      </w:tr>
      <w:tr w:rsidR="00171824" w:rsidRPr="00422380" w14:paraId="61F30DC2" w14:textId="77777777" w:rsidTr="00422380">
        <w:trPr>
          <w:cantSplit/>
          <w:trHeight w:val="57"/>
        </w:trPr>
        <w:tc>
          <w:tcPr>
            <w:tcW w:w="313" w:type="pct"/>
            <w:tcBorders>
              <w:top w:val="nil"/>
              <w:left w:val="single" w:sz="4" w:space="0" w:color="auto"/>
              <w:bottom w:val="nil"/>
              <w:right w:val="nil"/>
            </w:tcBorders>
          </w:tcPr>
          <w:p w14:paraId="1491D9ED" w14:textId="77777777" w:rsidR="00171824" w:rsidRDefault="00171824">
            <w:pPr>
              <w:pStyle w:val="ListParagraph"/>
              <w:keepNext/>
              <w:widowControl/>
              <w:numPr>
                <w:ilvl w:val="0"/>
                <w:numId w:val="38"/>
              </w:numPr>
              <w:tabs>
                <w:tab w:val="left" w:pos="567"/>
              </w:tabs>
              <w:autoSpaceDE/>
              <w:autoSpaceDN/>
              <w:adjustRightInd/>
              <w:ind w:left="567" w:hanging="567"/>
              <w:contextualSpacing/>
              <w:rPr>
                <w:sz w:val="22"/>
                <w:szCs w:val="22"/>
                <w:lang w:val="el-GR"/>
              </w:rPr>
            </w:pPr>
          </w:p>
        </w:tc>
        <w:tc>
          <w:tcPr>
            <w:tcW w:w="4687" w:type="pct"/>
            <w:gridSpan w:val="2"/>
            <w:tcBorders>
              <w:top w:val="nil"/>
              <w:left w:val="nil"/>
              <w:bottom w:val="nil"/>
              <w:right w:val="single" w:sz="4" w:space="0" w:color="auto"/>
            </w:tcBorders>
            <w:tcMar>
              <w:top w:w="57" w:type="dxa"/>
              <w:left w:w="0" w:type="dxa"/>
              <w:bottom w:w="57" w:type="dxa"/>
              <w:right w:w="57" w:type="dxa"/>
            </w:tcMar>
          </w:tcPr>
          <w:p w14:paraId="3A62235A" w14:textId="77777777" w:rsidR="00171824" w:rsidRDefault="006D258C">
            <w:pPr>
              <w:rPr>
                <w:sz w:val="22"/>
                <w:szCs w:val="22"/>
                <w:lang w:val="el-GR"/>
              </w:rPr>
            </w:pPr>
            <w:r>
              <w:rPr>
                <w:b/>
                <w:color w:val="000000"/>
                <w:sz w:val="22"/>
                <w:szCs w:val="22"/>
                <w:lang w:val="el-GR"/>
              </w:rPr>
              <w:t xml:space="preserve">Μη </w:t>
            </w:r>
            <w:r>
              <w:rPr>
                <w:color w:val="000000"/>
                <w:sz w:val="22"/>
                <w:szCs w:val="22"/>
                <w:lang w:val="el-GR"/>
              </w:rPr>
              <w:t>χρησιμοποιείτε την προγεμισμένη σύριγγα εάν έχει πέσει επάνω σε μια σκληρή επιφάνεια. Κάποιο μέρος της προγεμισμένης σύριγγας μπορεί να έχει σπάσει, ακόμη και εάν το σπάσιμο δεν είναι ορατό. Χρησιμοποιήστε μια νέα προγεμισμένη σύριγγα και καλέστε τον γιατρό σας ή τον πάροχο υγειονομικής περίθαλψης.</w:t>
            </w:r>
          </w:p>
        </w:tc>
      </w:tr>
      <w:tr w:rsidR="00171824" w:rsidRPr="00422380" w14:paraId="404F77E2" w14:textId="77777777" w:rsidTr="00422380">
        <w:trPr>
          <w:gridAfter w:val="1"/>
          <w:wAfter w:w="45" w:type="dxa"/>
          <w:cantSplit/>
          <w:trHeight w:val="57"/>
          <w:del w:id="138" w:author="Author"/>
        </w:trPr>
        <w:tc>
          <w:tcPr>
            <w:tcW w:w="313" w:type="pct"/>
            <w:tcBorders>
              <w:top w:val="nil"/>
              <w:left w:val="single" w:sz="4" w:space="0" w:color="auto"/>
              <w:bottom w:val="nil"/>
              <w:right w:val="nil"/>
            </w:tcBorders>
          </w:tcPr>
          <w:p w14:paraId="4463B20E" w14:textId="77777777" w:rsidR="00171824" w:rsidRDefault="00171824">
            <w:pPr>
              <w:pStyle w:val="ListParagraph"/>
              <w:keepNext/>
              <w:widowControl/>
              <w:numPr>
                <w:ilvl w:val="0"/>
                <w:numId w:val="38"/>
              </w:numPr>
              <w:tabs>
                <w:tab w:val="left" w:pos="567"/>
              </w:tabs>
              <w:autoSpaceDE/>
              <w:autoSpaceDN/>
              <w:adjustRightInd/>
              <w:ind w:left="567" w:hanging="567"/>
              <w:contextualSpacing/>
              <w:rPr>
                <w:del w:id="139" w:author="Author"/>
                <w:sz w:val="22"/>
                <w:szCs w:val="22"/>
                <w:lang w:val="el-GR"/>
              </w:rPr>
            </w:pPr>
          </w:p>
        </w:tc>
        <w:tc>
          <w:tcPr>
            <w:tcW w:w="4687" w:type="pct"/>
            <w:tcBorders>
              <w:top w:val="nil"/>
              <w:left w:val="nil"/>
              <w:bottom w:val="nil"/>
              <w:right w:val="single" w:sz="4" w:space="0" w:color="auto"/>
            </w:tcBorders>
            <w:tcMar>
              <w:top w:w="57" w:type="dxa"/>
              <w:left w:w="0" w:type="dxa"/>
              <w:bottom w:w="57" w:type="dxa"/>
              <w:right w:w="57" w:type="dxa"/>
            </w:tcMar>
          </w:tcPr>
          <w:p w14:paraId="3FB2901D" w14:textId="77777777" w:rsidR="00171824" w:rsidRDefault="006D258C">
            <w:pPr>
              <w:pStyle w:val="ListParagraph"/>
              <w:suppressAutoHyphens/>
              <w:kinsoku w:val="0"/>
              <w:overflowPunct w:val="0"/>
              <w:jc w:val="both"/>
              <w:textAlignment w:val="center"/>
              <w:rPr>
                <w:del w:id="140" w:author="Author"/>
                <w:b/>
                <w:color w:val="000000"/>
                <w:sz w:val="22"/>
                <w:szCs w:val="22"/>
                <w:lang w:val="el-GR"/>
              </w:rPr>
            </w:pPr>
            <w:del w:id="141" w:author="Author">
              <w:r>
                <w:rPr>
                  <w:color w:val="000000"/>
                  <w:sz w:val="22"/>
                  <w:szCs w:val="22"/>
                  <w:lang w:val="el-GR"/>
                </w:rPr>
                <w:delText>Η προγεμισμένη σύριγγα δεν είναι κατασκευασμένη από φυσικό ελαστικό λάτεξ.</w:delText>
              </w:r>
            </w:del>
          </w:p>
        </w:tc>
      </w:tr>
      <w:tr w:rsidR="00171824" w:rsidRPr="00422380" w14:paraId="5EA0E18E" w14:textId="77777777">
        <w:trPr>
          <w:cantSplit/>
          <w:trHeight w:val="917"/>
        </w:trPr>
        <w:tc>
          <w:tcPr>
            <w:tcW w:w="5000" w:type="pct"/>
            <w:gridSpan w:val="3"/>
            <w:tcBorders>
              <w:top w:val="nil"/>
              <w:left w:val="single" w:sz="4" w:space="0" w:color="auto"/>
              <w:bottom w:val="single" w:sz="4" w:space="0" w:color="auto"/>
              <w:right w:val="single" w:sz="4" w:space="0" w:color="auto"/>
            </w:tcBorders>
          </w:tcPr>
          <w:p w14:paraId="43B700A7" w14:textId="27B7C508" w:rsidR="00171824" w:rsidRDefault="009039B7">
            <w:pPr>
              <w:rPr>
                <w:b/>
                <w:bCs/>
                <w:sz w:val="22"/>
                <w:szCs w:val="22"/>
                <w:lang w:val="el-GR"/>
              </w:rPr>
            </w:pPr>
            <w:r>
              <w:rPr>
                <w:noProof/>
              </w:rPr>
              <mc:AlternateContent>
                <mc:Choice Requires="wps">
                  <w:drawing>
                    <wp:anchor distT="45720" distB="45720" distL="114300" distR="114300" simplePos="0" relativeHeight="251648000" behindDoc="0" locked="0" layoutInCell="1" allowOverlap="1" wp14:anchorId="0749B9E0" wp14:editId="1FB617B2">
                      <wp:simplePos x="0" y="0"/>
                      <wp:positionH relativeFrom="margin">
                        <wp:posOffset>53340</wp:posOffset>
                      </wp:positionH>
                      <wp:positionV relativeFrom="paragraph">
                        <wp:posOffset>35560</wp:posOffset>
                      </wp:positionV>
                      <wp:extent cx="5576570" cy="431800"/>
                      <wp:effectExtent l="0" t="0" r="5080" b="6350"/>
                      <wp:wrapSquare wrapText="bothSides"/>
                      <wp:docPr id="128962166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31812A24" w14:textId="77777777" w:rsidR="00171824" w:rsidRDefault="006D258C">
                                  <w:pPr>
                                    <w:rPr>
                                      <w:sz w:val="22"/>
                                      <w:szCs w:val="22"/>
                                      <w:lang w:val="el-GR"/>
                                    </w:rPr>
                                  </w:pPr>
                                  <w:r>
                                    <w:rPr>
                                      <w:b/>
                                      <w:sz w:val="22"/>
                                      <w:szCs w:val="22"/>
                                      <w:lang w:val="el-GR"/>
                                    </w:rPr>
                                    <w:t>Σημαντικό:</w:t>
                                  </w:r>
                                  <w:r>
                                    <w:rPr>
                                      <w:sz w:val="22"/>
                                      <w:szCs w:val="22"/>
                                      <w:lang w:val="el-GR"/>
                                    </w:rPr>
                                    <w:t xml:space="preserve"> Φυλάσσετε την προγεμισμένη σύριγγα και το δοχείο απόρριψης αιχμηρών αντικειμένων σε μέρη που δεν βλέπουν και δεν προσεγγίζουν τα παιδιά.</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749B9E0" id="Text Box 47" o:spid="_x0000_s1028" type="#_x0000_t202" style="position:absolute;margin-left:4.2pt;margin-top:2.8pt;width:439.1pt;height:34pt;z-index:251648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EkTCAIAAA8EAAAOAAAAZHJzL2Uyb0RvYy54bWysU9tu2zAMfR+wfxD0vtjJkqY14hRdigwD&#10;ugvQ9QNkWY6FyaJGKbGzrx+lpEnQFXsYpgdBFKkjnkNycTt0hu0Ueg225ONRzpmyEmptNyV/+r5+&#10;d82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" strokecolor="red" strokeweight="1.5pt">
                      <v:textbox style="mso-fit-shape-to-text:t">
                        <w:txbxContent>
                          <w:p w14:paraId="31812A24" w14:textId="77777777" w:rsidR="00171824" w:rsidRDefault="006D258C">
                            <w:pPr>
                              <w:rPr>
                                <w:sz w:val="22"/>
                                <w:szCs w:val="22"/>
                                <w:lang w:val="el-GR"/>
                              </w:rPr>
                            </w:pPr>
                            <w:r>
                              <w:rPr>
                                <w:b/>
                                <w:sz w:val="22"/>
                                <w:szCs w:val="22"/>
                                <w:lang w:val="el-GR"/>
                              </w:rPr>
                              <w:t>Σημαντικό:</w:t>
                            </w:r>
                            <w:r>
                              <w:rPr>
                                <w:sz w:val="22"/>
                                <w:szCs w:val="22"/>
                                <w:lang w:val="el-GR"/>
                              </w:rPr>
                              <w:t xml:space="preserve"> Φυλάσσετε την προγεμισμένη σύριγγα και το δοχείο απόρριψης αιχμηρών αντικειμένων σε μέρη που δεν βλέπουν και δεν προσεγγίζουν τα παιδιά.</w:t>
                            </w:r>
                          </w:p>
                        </w:txbxContent>
                      </v:textbox>
                      <w10:wrap type="square" anchorx="margin"/>
                    </v:shape>
                  </w:pict>
                </mc:Fallback>
              </mc:AlternateContent>
            </w:r>
          </w:p>
        </w:tc>
      </w:tr>
    </w:tbl>
    <w:p w14:paraId="5CF9EB16" w14:textId="77777777" w:rsidR="00171824" w:rsidRDefault="00171824">
      <w:pPr>
        <w:pStyle w:val="BodyText"/>
        <w:widowControl/>
        <w:kinsoku w:val="0"/>
        <w:overflowPunct w:val="0"/>
        <w:ind w:left="0"/>
        <w:rPr>
          <w:lang w:val="el-GR"/>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206"/>
      </w:tblGrid>
      <w:tr w:rsidR="00171824" w:rsidRPr="00422380" w14:paraId="7A0BAE25"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BC9769" w14:textId="77777777" w:rsidR="00171824" w:rsidRDefault="006D258C">
            <w:pPr>
              <w:keepNext/>
              <w:ind w:left="567" w:hanging="567"/>
              <w:rPr>
                <w:sz w:val="22"/>
                <w:szCs w:val="22"/>
                <w:lang w:val="el-GR"/>
              </w:rPr>
            </w:pPr>
            <w:r>
              <w:rPr>
                <w:b/>
                <w:sz w:val="22"/>
                <w:szCs w:val="22"/>
                <w:lang w:val="el-GR"/>
              </w:rPr>
              <w:t>2</w:t>
            </w:r>
          </w:p>
        </w:tc>
        <w:tc>
          <w:tcPr>
            <w:tcW w:w="4646" w:type="pct"/>
            <w:tcBorders>
              <w:top w:val="single" w:sz="4" w:space="0" w:color="auto"/>
              <w:left w:val="single" w:sz="4" w:space="0" w:color="auto"/>
              <w:bottom w:val="single" w:sz="4" w:space="0" w:color="auto"/>
              <w:right w:val="single" w:sz="4" w:space="0" w:color="auto"/>
            </w:tcBorders>
          </w:tcPr>
          <w:p w14:paraId="300990FB" w14:textId="77777777" w:rsidR="00171824" w:rsidRDefault="006D258C">
            <w:pPr>
              <w:keepNext/>
              <w:rPr>
                <w:sz w:val="22"/>
                <w:szCs w:val="22"/>
                <w:lang w:val="el-GR"/>
              </w:rPr>
            </w:pPr>
            <w:r>
              <w:rPr>
                <w:b/>
                <w:sz w:val="22"/>
                <w:szCs w:val="22"/>
                <w:lang w:val="el-GR"/>
              </w:rPr>
              <w:t>Πώς να προετοιμαστείτε για να κάνετε την ένεση AMGEVITA</w:t>
            </w:r>
          </w:p>
        </w:tc>
      </w:tr>
      <w:tr w:rsidR="00171824" w:rsidRPr="00422380" w14:paraId="76E48B23"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D24ADCA" w14:textId="77777777" w:rsidR="00171824" w:rsidRDefault="006D258C">
            <w:pPr>
              <w:keepNext/>
              <w:rPr>
                <w:b/>
                <w:bCs/>
                <w:sz w:val="22"/>
                <w:szCs w:val="22"/>
                <w:lang w:val="el-GR"/>
              </w:rPr>
            </w:pPr>
            <w:r>
              <w:rPr>
                <w:b/>
                <w:sz w:val="22"/>
                <w:szCs w:val="22"/>
                <w:lang w:val="el-GR"/>
              </w:rPr>
              <w:t>2α</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2BEB08" w14:textId="77777777" w:rsidR="00171824" w:rsidRDefault="006D258C">
            <w:pPr>
              <w:pStyle w:val="ListParagraph"/>
              <w:keepNext/>
              <w:ind w:left="567" w:hanging="567"/>
              <w:rPr>
                <w:sz w:val="22"/>
                <w:szCs w:val="22"/>
                <w:lang w:val="el-GR"/>
              </w:rPr>
            </w:pPr>
            <w:del w:id="142" w:author="Author">
              <w:r>
                <w:rPr>
                  <w:b/>
                  <w:sz w:val="22"/>
                  <w:szCs w:val="22"/>
                  <w:lang w:val="el-GR"/>
                </w:rPr>
                <w:delText xml:space="preserve">Πιάστε </w:delText>
              </w:r>
            </w:del>
            <w:ins w:id="143" w:author="Author">
              <w:r>
                <w:rPr>
                  <w:b/>
                  <w:sz w:val="22"/>
                  <w:szCs w:val="22"/>
                  <w:lang w:val="el-GR"/>
                </w:rPr>
                <w:t xml:space="preserve">Κρατήστε </w:t>
              </w:r>
            </w:ins>
            <w:r>
              <w:rPr>
                <w:b/>
                <w:sz w:val="22"/>
                <w:szCs w:val="22"/>
                <w:lang w:val="el-GR"/>
              </w:rPr>
              <w:t>την προγεμισμένη σύριγγα από τον κύλινδρο και βγάλτε την από το κουτί.</w:t>
            </w:r>
          </w:p>
        </w:tc>
      </w:tr>
      <w:tr w:rsidR="00171824" w14:paraId="6E7F38D7"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8BABA06" w14:textId="5A5B1CA3" w:rsidR="00171824" w:rsidRDefault="009039B7">
            <w:pPr>
              <w:pStyle w:val="ListParagraph"/>
              <w:keepNext/>
              <w:ind w:left="567" w:hanging="567"/>
              <w:jc w:val="center"/>
              <w:rPr>
                <w:b/>
                <w:bCs/>
                <w:sz w:val="22"/>
                <w:szCs w:val="22"/>
                <w:lang w:val="el-GR"/>
              </w:rPr>
            </w:pPr>
            <w:r>
              <w:rPr>
                <w:noProof/>
                <w:sz w:val="22"/>
                <w:szCs w:val="22"/>
                <w:lang w:val="el-GR" w:eastAsia="zh-CN"/>
              </w:rPr>
              <w:drawing>
                <wp:inline distT="0" distB="0" distL="0" distR="0" wp14:anchorId="50A15959" wp14:editId="4A55D863">
                  <wp:extent cx="3200400" cy="1645920"/>
                  <wp:effectExtent l="0" t="0" r="0" b="0"/>
                  <wp:docPr id="4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0400" cy="1645920"/>
                          </a:xfrm>
                          <a:prstGeom prst="rect">
                            <a:avLst/>
                          </a:prstGeom>
                          <a:noFill/>
                          <a:ln>
                            <a:noFill/>
                          </a:ln>
                        </pic:spPr>
                      </pic:pic>
                    </a:graphicData>
                  </a:graphic>
                </wp:inline>
              </w:drawing>
            </w:r>
          </w:p>
        </w:tc>
      </w:tr>
      <w:tr w:rsidR="00171824" w:rsidRPr="00422380" w14:paraId="78B9394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1B486F2"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25A9A8B0" w14:textId="77777777" w:rsidR="00171824" w:rsidRDefault="006D258C">
            <w:pPr>
              <w:rPr>
                <w:b/>
                <w:bCs/>
                <w:sz w:val="22"/>
                <w:szCs w:val="22"/>
                <w:lang w:val="el-GR"/>
              </w:rPr>
            </w:pPr>
            <w:r>
              <w:rPr>
                <w:b/>
                <w:bCs/>
                <w:sz w:val="22"/>
                <w:szCs w:val="22"/>
                <w:lang w:val="el-GR"/>
              </w:rPr>
              <w:t>Μην</w:t>
            </w:r>
            <w:r>
              <w:rPr>
                <w:sz w:val="22"/>
                <w:szCs w:val="22"/>
                <w:lang w:val="el-GR"/>
              </w:rPr>
              <w:t xml:space="preserve"> πιάνετε την λαβή δακτύλων, τη ράβδο εμβόλου ή το κάλυμμα της βελόνας.</w:t>
            </w:r>
          </w:p>
        </w:tc>
      </w:tr>
      <w:tr w:rsidR="00171824" w:rsidRPr="00422380" w14:paraId="0387758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4D86F93"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2E3D5F8D" w14:textId="77777777" w:rsidR="00171824" w:rsidRDefault="006D258C">
            <w:pPr>
              <w:rPr>
                <w:b/>
                <w:bCs/>
                <w:sz w:val="22"/>
                <w:szCs w:val="22"/>
                <w:lang w:val="el-GR"/>
              </w:rPr>
            </w:pPr>
            <w:r>
              <w:rPr>
                <w:sz w:val="22"/>
                <w:szCs w:val="22"/>
                <w:lang w:val="el-GR"/>
              </w:rPr>
              <w:t>Αφαιρέστε τον αριθμό των προγεμισμένων συριγγών που χρειάζεστε για την ένεσή σας.</w:t>
            </w:r>
          </w:p>
        </w:tc>
      </w:tr>
      <w:tr w:rsidR="00171824" w:rsidRPr="00422380" w14:paraId="71837ADF"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EB44C39"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5DD2FE6" w14:textId="77777777" w:rsidR="00171824" w:rsidRDefault="006D258C">
            <w:pPr>
              <w:rPr>
                <w:sz w:val="22"/>
                <w:szCs w:val="22"/>
                <w:lang w:val="el-GR"/>
              </w:rPr>
            </w:pPr>
            <w:r>
              <w:rPr>
                <w:sz w:val="22"/>
                <w:szCs w:val="22"/>
                <w:lang w:val="el-GR"/>
              </w:rPr>
              <w:t>Τοποθετήστε τις αχρησιμοποίητες προγεμισμένες σύριγγες και πάλι στο ψυγείο.</w:t>
            </w:r>
          </w:p>
        </w:tc>
      </w:tr>
    </w:tbl>
    <w:p w14:paraId="5C0DA190" w14:textId="77777777" w:rsidR="00171824" w:rsidRDefault="00171824">
      <w:pPr>
        <w:rPr>
          <w:sz w:val="22"/>
          <w:szCs w:val="22"/>
          <w:lang w:val="el-GR"/>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171824" w:rsidRPr="00422380" w14:paraId="02271EA4"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1FC0887" w14:textId="77777777" w:rsidR="00171824" w:rsidRDefault="006D258C">
            <w:pPr>
              <w:keepNext/>
              <w:rPr>
                <w:b/>
                <w:bCs/>
                <w:sz w:val="22"/>
                <w:szCs w:val="22"/>
                <w:lang w:val="el-GR"/>
              </w:rPr>
            </w:pPr>
            <w:r>
              <w:rPr>
                <w:b/>
                <w:sz w:val="22"/>
                <w:szCs w:val="22"/>
                <w:lang w:val="el-GR"/>
              </w:rPr>
              <w:t>2β</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CDFD626" w14:textId="77777777" w:rsidR="00171824" w:rsidRDefault="006D258C">
            <w:pPr>
              <w:pStyle w:val="ListParagraph"/>
              <w:ind w:left="567" w:hanging="567"/>
              <w:rPr>
                <w:sz w:val="22"/>
                <w:szCs w:val="22"/>
                <w:lang w:val="el-GR"/>
              </w:rPr>
            </w:pPr>
            <w:r>
              <w:rPr>
                <w:b/>
                <w:sz w:val="22"/>
                <w:szCs w:val="22"/>
                <w:lang w:val="el-GR"/>
              </w:rPr>
              <w:t xml:space="preserve">Περιμένετε </w:t>
            </w:r>
            <w:ins w:id="144" w:author="Author">
              <w:r>
                <w:rPr>
                  <w:b/>
                  <w:sz w:val="22"/>
                  <w:szCs w:val="22"/>
                  <w:lang w:val="el-GR"/>
                </w:rPr>
                <w:t xml:space="preserve">15 με </w:t>
              </w:r>
            </w:ins>
            <w:r>
              <w:rPr>
                <w:b/>
                <w:sz w:val="22"/>
                <w:szCs w:val="22"/>
                <w:lang w:val="el-GR"/>
              </w:rPr>
              <w:t>30 λεπτά για να φτάσει η προγεμισμένη σύριγγα σε θερμοκρασία δωματίου.</w:t>
            </w:r>
          </w:p>
        </w:tc>
      </w:tr>
      <w:tr w:rsidR="00171824" w14:paraId="767C08D6"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CF1AD9" w14:textId="77777777" w:rsidR="00171824" w:rsidRDefault="00171824">
            <w:pPr>
              <w:jc w:val="center"/>
              <w:rPr>
                <w:b/>
                <w:bCs/>
                <w:sz w:val="36"/>
                <w:szCs w:val="36"/>
                <w:lang w:val="el-GR"/>
              </w:rPr>
            </w:pPr>
          </w:p>
          <w:p w14:paraId="7145C32F" w14:textId="77777777" w:rsidR="00171824" w:rsidRDefault="006D258C">
            <w:pPr>
              <w:jc w:val="center"/>
              <w:rPr>
                <w:b/>
                <w:bCs/>
                <w:sz w:val="36"/>
                <w:szCs w:val="36"/>
                <w:lang w:val="el-GR"/>
              </w:rPr>
            </w:pPr>
            <w:r>
              <w:rPr>
                <w:b/>
                <w:sz w:val="36"/>
                <w:szCs w:val="36"/>
                <w:lang w:val="el-GR"/>
              </w:rPr>
              <w:t>ΠΕΡΙΜΕΝΕΤΕ</w:t>
            </w:r>
          </w:p>
          <w:p w14:paraId="1C5DD671" w14:textId="77777777" w:rsidR="00171824" w:rsidRDefault="006D258C">
            <w:pPr>
              <w:jc w:val="center"/>
              <w:rPr>
                <w:b/>
                <w:bCs/>
                <w:sz w:val="36"/>
                <w:szCs w:val="36"/>
                <w:lang w:val="el-GR"/>
              </w:rPr>
            </w:pPr>
            <w:ins w:id="145" w:author="Author">
              <w:r>
                <w:rPr>
                  <w:b/>
                  <w:sz w:val="36"/>
                  <w:szCs w:val="36"/>
                  <w:lang w:val="el-GR"/>
                </w:rPr>
                <w:t xml:space="preserve">15 με </w:t>
              </w:r>
            </w:ins>
            <w:r>
              <w:rPr>
                <w:b/>
                <w:sz w:val="36"/>
                <w:szCs w:val="36"/>
                <w:lang w:val="el-GR"/>
              </w:rPr>
              <w:t>30</w:t>
            </w:r>
          </w:p>
          <w:p w14:paraId="56F863F9" w14:textId="77777777" w:rsidR="00171824" w:rsidRDefault="006D258C">
            <w:pPr>
              <w:jc w:val="center"/>
              <w:rPr>
                <w:b/>
                <w:bCs/>
                <w:sz w:val="22"/>
                <w:szCs w:val="22"/>
                <w:lang w:val="el-GR"/>
              </w:rPr>
            </w:pPr>
            <w:r>
              <w:rPr>
                <w:b/>
                <w:sz w:val="36"/>
                <w:szCs w:val="36"/>
                <w:lang w:val="el-GR"/>
              </w:rPr>
              <w:t>λεπτά</w:t>
            </w:r>
          </w:p>
          <w:p w14:paraId="122026C5" w14:textId="77777777" w:rsidR="00171824" w:rsidRDefault="00171824">
            <w:pPr>
              <w:pStyle w:val="ListParagraph"/>
              <w:ind w:left="567" w:hanging="567"/>
              <w:rPr>
                <w:b/>
                <w:bCs/>
                <w:sz w:val="22"/>
                <w:szCs w:val="22"/>
                <w:lang w:val="el-GR"/>
              </w:rPr>
            </w:pPr>
          </w:p>
        </w:tc>
      </w:tr>
      <w:tr w:rsidR="00171824" w:rsidRPr="00422380" w14:paraId="2D583B6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F6BFF91"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3D382109" w14:textId="77777777" w:rsidR="00171824" w:rsidRDefault="006D258C">
            <w:pPr>
              <w:rPr>
                <w:b/>
                <w:bCs/>
                <w:sz w:val="22"/>
                <w:szCs w:val="22"/>
                <w:lang w:val="el-GR"/>
              </w:rPr>
            </w:pPr>
            <w:r>
              <w:rPr>
                <w:sz w:val="22"/>
                <w:szCs w:val="22"/>
                <w:lang w:val="el-GR"/>
              </w:rPr>
              <w:t>Αφήστε την προγεμισμένη σύριγγα να ζεσταθεί φυσικά.</w:t>
            </w:r>
          </w:p>
        </w:tc>
      </w:tr>
      <w:tr w:rsidR="00171824" w:rsidRPr="00422380" w14:paraId="07935AC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CEC8051"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0803745A" w14:textId="77777777" w:rsidR="00171824" w:rsidRDefault="006D258C">
            <w:pPr>
              <w:rPr>
                <w:sz w:val="22"/>
                <w:szCs w:val="22"/>
                <w:lang w:val="el-GR"/>
              </w:rPr>
            </w:pPr>
            <w:r>
              <w:rPr>
                <w:b/>
                <w:bCs/>
                <w:sz w:val="22"/>
                <w:szCs w:val="22"/>
                <w:lang w:val="el-GR"/>
              </w:rPr>
              <w:t>Μην</w:t>
            </w:r>
            <w:r>
              <w:rPr>
                <w:sz w:val="22"/>
                <w:szCs w:val="22"/>
                <w:lang w:val="el-GR"/>
              </w:rPr>
              <w:t xml:space="preserve"> θερμαίνετε </w:t>
            </w:r>
            <w:ins w:id="146" w:author="Author">
              <w:r>
                <w:rPr>
                  <w:sz w:val="22"/>
                  <w:szCs w:val="22"/>
                  <w:lang w:val="el-GR"/>
                </w:rPr>
                <w:t xml:space="preserve">την προγεμισμένη σύριγγα </w:t>
              </w:r>
            </w:ins>
            <w:r>
              <w:rPr>
                <w:sz w:val="22"/>
                <w:szCs w:val="22"/>
                <w:lang w:val="el-GR"/>
              </w:rPr>
              <w:t>με ζεστό νερό, φούρνο μικροκυμάτων ή άμεσο ηλιακό φως.</w:t>
            </w:r>
          </w:p>
        </w:tc>
      </w:tr>
      <w:tr w:rsidR="00171824" w:rsidRPr="00422380" w14:paraId="284FD24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B0DE247"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1EAE85CD" w14:textId="77777777" w:rsidR="00171824" w:rsidRDefault="006D258C">
            <w:pPr>
              <w:rPr>
                <w:sz w:val="22"/>
                <w:szCs w:val="22"/>
                <w:lang w:val="el-GR"/>
              </w:rPr>
            </w:pPr>
            <w:r>
              <w:rPr>
                <w:b/>
                <w:bCs/>
                <w:sz w:val="22"/>
                <w:szCs w:val="22"/>
                <w:lang w:val="el-GR"/>
              </w:rPr>
              <w:t>Μην</w:t>
            </w:r>
            <w:r>
              <w:rPr>
                <w:sz w:val="22"/>
                <w:szCs w:val="22"/>
                <w:lang w:val="el-GR"/>
              </w:rPr>
              <w:t xml:space="preserve"> ανακινείτε την προγεμισμένη σύριγγα σε καμία στιγμή.</w:t>
            </w:r>
          </w:p>
        </w:tc>
      </w:tr>
      <w:tr w:rsidR="00171824" w:rsidRPr="00422380" w14:paraId="37980E2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943C318"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57A03181" w14:textId="77777777" w:rsidR="00171824" w:rsidRDefault="006D258C">
            <w:pPr>
              <w:rPr>
                <w:b/>
                <w:bCs/>
                <w:sz w:val="22"/>
                <w:szCs w:val="22"/>
                <w:lang w:val="el-GR"/>
              </w:rPr>
            </w:pPr>
            <w:r>
              <w:rPr>
                <w:b/>
                <w:bCs/>
                <w:sz w:val="22"/>
                <w:szCs w:val="22"/>
                <w:lang w:val="el-GR"/>
              </w:rPr>
              <w:t>Μην</w:t>
            </w:r>
            <w:r>
              <w:rPr>
                <w:sz w:val="22"/>
                <w:szCs w:val="22"/>
                <w:lang w:val="el-GR"/>
              </w:rPr>
              <w:t xml:space="preserve"> τοποθετήσετε την προγεμισμένη σύριγγα και πάλι στο ψυγείο αφού φτάσει σε θερμοκρασία δωματίου.</w:t>
            </w:r>
          </w:p>
        </w:tc>
      </w:tr>
      <w:tr w:rsidR="00171824" w:rsidRPr="00422380" w14:paraId="38BD2D93"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5F631A3F"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77F2D24D" w14:textId="77777777" w:rsidR="00171824" w:rsidRDefault="006D258C">
            <w:pPr>
              <w:pStyle w:val="ListParagraph"/>
              <w:rPr>
                <w:b/>
                <w:bCs/>
                <w:sz w:val="22"/>
                <w:szCs w:val="22"/>
                <w:lang w:val="el-GR"/>
              </w:rPr>
            </w:pPr>
            <w:r>
              <w:rPr>
                <w:sz w:val="22"/>
                <w:szCs w:val="22"/>
                <w:lang w:val="el-GR"/>
              </w:rPr>
              <w:t>Χρησιμοποιώντας την προγεμισμένη σύριγγα σε θερμοκρασία δωματίου, η ένεση είναι πιο άνετη</w:t>
            </w:r>
            <w:r>
              <w:rPr>
                <w:b/>
                <w:sz w:val="22"/>
                <w:szCs w:val="22"/>
                <w:lang w:val="el-GR"/>
              </w:rPr>
              <w:t xml:space="preserve">. </w:t>
            </w:r>
          </w:p>
          <w:p w14:paraId="397AD7FF" w14:textId="77777777" w:rsidR="00171824" w:rsidRDefault="00171824">
            <w:pPr>
              <w:rPr>
                <w:sz w:val="22"/>
                <w:szCs w:val="22"/>
                <w:lang w:val="el-GR"/>
              </w:rPr>
            </w:pPr>
          </w:p>
        </w:tc>
      </w:tr>
    </w:tbl>
    <w:p w14:paraId="4C8A355F" w14:textId="77777777" w:rsidR="00171824" w:rsidRDefault="00171824">
      <w:pPr>
        <w:rPr>
          <w:b/>
          <w:bCs/>
          <w:sz w:val="22"/>
          <w:szCs w:val="22"/>
          <w:lang w:val="el-GR"/>
        </w:rPr>
      </w:pPr>
    </w:p>
    <w:tbl>
      <w:tblPr>
        <w:tblW w:w="4886"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97"/>
        <w:gridCol w:w="1169"/>
        <w:gridCol w:w="3169"/>
        <w:gridCol w:w="3919"/>
      </w:tblGrid>
      <w:tr w:rsidR="00171824" w:rsidRPr="00422380" w14:paraId="651A71A1" w14:textId="77777777" w:rsidTr="0029090B">
        <w:trPr>
          <w:cantSplit/>
          <w:trHeight w:val="535"/>
        </w:trPr>
        <w:tc>
          <w:tcPr>
            <w:tcW w:w="348" w:type="pct"/>
            <w:tcBorders>
              <w:top w:val="single" w:sz="4" w:space="0" w:color="auto"/>
              <w:left w:val="single" w:sz="4" w:space="0" w:color="auto"/>
              <w:right w:val="single" w:sz="4" w:space="0" w:color="auto"/>
            </w:tcBorders>
            <w:tcMar>
              <w:top w:w="28" w:type="dxa"/>
              <w:left w:w="57" w:type="dxa"/>
              <w:bottom w:w="28" w:type="dxa"/>
              <w:right w:w="57" w:type="dxa"/>
            </w:tcMar>
          </w:tcPr>
          <w:p w14:paraId="6D2E5699" w14:textId="77777777" w:rsidR="00171824" w:rsidRDefault="006D258C">
            <w:pPr>
              <w:keepNext/>
              <w:rPr>
                <w:b/>
                <w:bCs/>
                <w:sz w:val="22"/>
                <w:szCs w:val="22"/>
                <w:lang w:val="el-GR"/>
              </w:rPr>
            </w:pPr>
            <w:r>
              <w:rPr>
                <w:b/>
                <w:sz w:val="22"/>
                <w:szCs w:val="22"/>
                <w:lang w:val="el-GR"/>
              </w:rPr>
              <w:t>2γ</w:t>
            </w:r>
          </w:p>
        </w:tc>
        <w:tc>
          <w:tcPr>
            <w:tcW w:w="4652"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5BD2AAA" w14:textId="77777777" w:rsidR="00171824" w:rsidRDefault="006D258C">
            <w:pPr>
              <w:pStyle w:val="ListParagraph"/>
              <w:rPr>
                <w:sz w:val="22"/>
                <w:szCs w:val="22"/>
                <w:lang w:val="el-GR"/>
              </w:rPr>
            </w:pPr>
            <w:r>
              <w:rPr>
                <w:b/>
                <w:sz w:val="22"/>
                <w:szCs w:val="22"/>
                <w:lang w:val="el-GR"/>
              </w:rPr>
              <w:t xml:space="preserve">Συγκεντρώστε και τοποθετήστε τα </w:t>
            </w:r>
            <w:ins w:id="147" w:author="Author">
              <w:r>
                <w:rPr>
                  <w:b/>
                  <w:sz w:val="22"/>
                  <w:szCs w:val="22"/>
                  <w:lang w:val="el-GR"/>
                </w:rPr>
                <w:t xml:space="preserve">παρακάτω </w:t>
              </w:r>
            </w:ins>
            <w:r>
              <w:rPr>
                <w:b/>
                <w:sz w:val="22"/>
                <w:szCs w:val="22"/>
                <w:lang w:val="el-GR"/>
              </w:rPr>
              <w:t xml:space="preserve">υλικά για την ένεσή σας σε μια καθαρή, </w:t>
            </w:r>
            <w:ins w:id="148" w:author="Author">
              <w:r>
                <w:rPr>
                  <w:b/>
                  <w:sz w:val="22"/>
                  <w:szCs w:val="22"/>
                  <w:lang w:val="el-GR"/>
                </w:rPr>
                <w:t xml:space="preserve">επίπεδη και </w:t>
              </w:r>
            </w:ins>
            <w:r>
              <w:rPr>
                <w:b/>
                <w:sz w:val="22"/>
                <w:szCs w:val="22"/>
                <w:lang w:val="el-GR"/>
              </w:rPr>
              <w:t>καλά φωτισμένη επιφάνεια.</w:t>
            </w:r>
          </w:p>
        </w:tc>
      </w:tr>
      <w:tr w:rsidR="0029090B" w:rsidRPr="00422380" w14:paraId="0C5644CF" w14:textId="77777777" w:rsidTr="0029090B">
        <w:trPr>
          <w:cantSplit/>
          <w:trHeight w:val="2769"/>
        </w:trPr>
        <w:tc>
          <w:tcPr>
            <w:tcW w:w="1019" w:type="pct"/>
            <w:gridSpan w:val="2"/>
            <w:tcBorders>
              <w:left w:val="single" w:sz="4" w:space="0" w:color="auto"/>
              <w:bottom w:val="single" w:sz="4" w:space="0" w:color="auto"/>
              <w:right w:val="single" w:sz="4" w:space="0" w:color="auto"/>
            </w:tcBorders>
            <w:tcMar>
              <w:top w:w="28" w:type="dxa"/>
              <w:left w:w="57" w:type="dxa"/>
              <w:bottom w:w="28" w:type="dxa"/>
              <w:right w:w="57" w:type="dxa"/>
            </w:tcMar>
          </w:tcPr>
          <w:p w14:paraId="2E466B7C" w14:textId="77777777" w:rsidR="0029090B" w:rsidRDefault="0029090B">
            <w:pPr>
              <w:pStyle w:val="ListParagraph"/>
              <w:rPr>
                <w:sz w:val="20"/>
                <w:szCs w:val="20"/>
                <w:lang w:val="el-GR"/>
              </w:rPr>
            </w:pPr>
          </w:p>
          <w:p w14:paraId="5E964E42" w14:textId="77777777" w:rsidR="0029090B" w:rsidRDefault="0029090B">
            <w:pPr>
              <w:pStyle w:val="ListParagraph"/>
              <w:rPr>
                <w:sz w:val="20"/>
                <w:szCs w:val="20"/>
                <w:lang w:val="el-GR"/>
              </w:rPr>
            </w:pPr>
          </w:p>
          <w:p w14:paraId="47452E7D" w14:textId="77777777" w:rsidR="0029090B" w:rsidRDefault="0029090B">
            <w:pPr>
              <w:pStyle w:val="ListParagraph"/>
              <w:rPr>
                <w:sz w:val="20"/>
                <w:szCs w:val="20"/>
                <w:lang w:val="el-GR"/>
              </w:rPr>
            </w:pPr>
          </w:p>
          <w:p w14:paraId="44155C8F" w14:textId="77777777" w:rsidR="0029090B" w:rsidRDefault="0029090B">
            <w:pPr>
              <w:pStyle w:val="ListParagraph"/>
              <w:rPr>
                <w:sz w:val="20"/>
                <w:szCs w:val="20"/>
                <w:lang w:val="el-GR"/>
              </w:rPr>
            </w:pPr>
          </w:p>
          <w:p w14:paraId="028CAA0D" w14:textId="77777777" w:rsidR="0029090B" w:rsidRDefault="0029090B">
            <w:pPr>
              <w:pStyle w:val="ListParagraph"/>
              <w:rPr>
                <w:sz w:val="20"/>
                <w:szCs w:val="20"/>
                <w:lang w:val="el-GR"/>
              </w:rPr>
            </w:pPr>
          </w:p>
          <w:p w14:paraId="69646EDD" w14:textId="77777777" w:rsidR="0029090B" w:rsidRDefault="0029090B">
            <w:pPr>
              <w:pStyle w:val="ListParagraph"/>
              <w:rPr>
                <w:sz w:val="20"/>
                <w:szCs w:val="20"/>
                <w:lang w:val="el-GR"/>
              </w:rPr>
            </w:pPr>
          </w:p>
          <w:p w14:paraId="4CFE12B1" w14:textId="77777777" w:rsidR="0029090B" w:rsidRDefault="0029090B">
            <w:pPr>
              <w:pStyle w:val="ListParagraph"/>
              <w:rPr>
                <w:sz w:val="20"/>
                <w:szCs w:val="20"/>
                <w:lang w:val="el-GR"/>
              </w:rPr>
            </w:pPr>
          </w:p>
          <w:p w14:paraId="4A1FEB30" w14:textId="77777777" w:rsidR="0029090B" w:rsidRDefault="0029090B">
            <w:pPr>
              <w:pStyle w:val="ListParagraph"/>
              <w:ind w:right="113"/>
              <w:jc w:val="right"/>
              <w:rPr>
                <w:sz w:val="20"/>
                <w:szCs w:val="20"/>
                <w:lang w:val="el-GR"/>
              </w:rPr>
            </w:pPr>
            <w:r>
              <w:rPr>
                <w:sz w:val="20"/>
                <w:szCs w:val="20"/>
                <w:lang w:val="el-GR"/>
              </w:rPr>
              <w:t>Δοχείο απόρριψης</w:t>
            </w:r>
          </w:p>
          <w:p w14:paraId="458E76F0" w14:textId="77777777" w:rsidR="0029090B" w:rsidRDefault="0029090B">
            <w:pPr>
              <w:pStyle w:val="ListParagraph"/>
              <w:ind w:right="113"/>
              <w:jc w:val="right"/>
              <w:rPr>
                <w:sz w:val="20"/>
                <w:szCs w:val="20"/>
                <w:lang w:val="el-GR"/>
              </w:rPr>
            </w:pPr>
            <w:r>
              <w:rPr>
                <w:sz w:val="20"/>
                <w:szCs w:val="20"/>
                <w:lang w:val="el-GR"/>
              </w:rPr>
              <w:t>αιχμηρών</w:t>
            </w:r>
          </w:p>
          <w:p w14:paraId="0575C19D" w14:textId="77777777" w:rsidR="0029090B" w:rsidRDefault="0029090B">
            <w:pPr>
              <w:pStyle w:val="ListParagraph"/>
              <w:ind w:right="113"/>
              <w:jc w:val="right"/>
              <w:rPr>
                <w:b/>
                <w:sz w:val="22"/>
                <w:szCs w:val="22"/>
                <w:lang w:val="el-GR"/>
              </w:rPr>
            </w:pPr>
            <w:r>
              <w:rPr>
                <w:sz w:val="20"/>
                <w:szCs w:val="20"/>
                <w:lang w:val="el-GR"/>
              </w:rPr>
              <w:t>αντικειμένων</w:t>
            </w:r>
          </w:p>
        </w:tc>
        <w:tc>
          <w:tcPr>
            <w:tcW w:w="1757" w:type="pct"/>
            <w:tcBorders>
              <w:top w:val="nil"/>
              <w:left w:val="nil"/>
              <w:bottom w:val="single" w:sz="4" w:space="0" w:color="auto"/>
              <w:right w:val="nil"/>
            </w:tcBorders>
          </w:tcPr>
          <w:p w14:paraId="11915125" w14:textId="0EB2E571" w:rsidR="0029090B" w:rsidRDefault="009039B7">
            <w:pPr>
              <w:pStyle w:val="ListParagraph"/>
              <w:rPr>
                <w:b/>
                <w:sz w:val="22"/>
                <w:szCs w:val="22"/>
                <w:lang w:val="el-GR"/>
              </w:rPr>
            </w:pPr>
            <w:r>
              <w:rPr>
                <w:b/>
                <w:noProof/>
                <w:sz w:val="22"/>
                <w:szCs w:val="22"/>
                <w:lang w:val="el-GR"/>
              </w:rPr>
              <w:drawing>
                <wp:inline distT="0" distB="0" distL="0" distR="0" wp14:anchorId="6257CC45" wp14:editId="348FE0E1">
                  <wp:extent cx="1925955" cy="1731645"/>
                  <wp:effectExtent l="0" t="0" r="0" b="0"/>
                  <wp:docPr id="5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25955" cy="1731645"/>
                          </a:xfrm>
                          <a:prstGeom prst="rect">
                            <a:avLst/>
                          </a:prstGeom>
                          <a:noFill/>
                          <a:ln>
                            <a:noFill/>
                          </a:ln>
                        </pic:spPr>
                      </pic:pic>
                    </a:graphicData>
                  </a:graphic>
                </wp:inline>
              </w:drawing>
            </w:r>
          </w:p>
        </w:tc>
        <w:tc>
          <w:tcPr>
            <w:tcW w:w="2224" w:type="pct"/>
            <w:tcBorders>
              <w:top w:val="nil"/>
              <w:left w:val="nil"/>
              <w:bottom w:val="single" w:sz="4" w:space="0" w:color="auto"/>
              <w:right w:val="single" w:sz="4" w:space="0" w:color="auto"/>
            </w:tcBorders>
          </w:tcPr>
          <w:p w14:paraId="0EE2B942" w14:textId="77777777" w:rsidR="0029090B" w:rsidRDefault="0029090B">
            <w:pPr>
              <w:pStyle w:val="ListParagraph"/>
              <w:rPr>
                <w:bCs/>
                <w:sz w:val="18"/>
                <w:szCs w:val="18"/>
                <w:lang w:val="el-GR"/>
              </w:rPr>
            </w:pPr>
          </w:p>
          <w:p w14:paraId="2AE9D106" w14:textId="77777777" w:rsidR="0029090B" w:rsidRDefault="0029090B">
            <w:pPr>
              <w:pStyle w:val="ListParagraph"/>
              <w:rPr>
                <w:bCs/>
                <w:sz w:val="18"/>
                <w:szCs w:val="18"/>
                <w:lang w:val="el-GR"/>
              </w:rPr>
            </w:pPr>
          </w:p>
          <w:p w14:paraId="6704A7EC" w14:textId="77777777" w:rsidR="0029090B" w:rsidRDefault="0029090B">
            <w:pPr>
              <w:pStyle w:val="ListParagraph"/>
              <w:rPr>
                <w:sz w:val="20"/>
                <w:szCs w:val="20"/>
                <w:lang w:val="el-GR"/>
              </w:rPr>
            </w:pPr>
            <w:r>
              <w:rPr>
                <w:sz w:val="20"/>
                <w:szCs w:val="20"/>
                <w:lang w:val="el-GR"/>
              </w:rPr>
              <w:t>Μαντηλάκια οινοπνεύματος</w:t>
            </w:r>
          </w:p>
          <w:p w14:paraId="38AAF348" w14:textId="77777777" w:rsidR="0029090B" w:rsidRDefault="0029090B">
            <w:pPr>
              <w:pStyle w:val="ListParagraph"/>
              <w:rPr>
                <w:b/>
                <w:sz w:val="22"/>
                <w:szCs w:val="22"/>
                <w:lang w:val="el-GR"/>
              </w:rPr>
            </w:pPr>
          </w:p>
          <w:p w14:paraId="1143F63D" w14:textId="77777777" w:rsidR="0029090B" w:rsidRDefault="0029090B">
            <w:pPr>
              <w:pStyle w:val="ListParagraph"/>
              <w:rPr>
                <w:b/>
                <w:sz w:val="22"/>
                <w:szCs w:val="22"/>
                <w:lang w:val="el-GR"/>
              </w:rPr>
            </w:pPr>
          </w:p>
          <w:p w14:paraId="774A36E8" w14:textId="77777777" w:rsidR="0029090B" w:rsidRDefault="0029090B">
            <w:pPr>
              <w:pStyle w:val="ListParagraph"/>
              <w:ind w:left="567" w:hanging="567"/>
              <w:rPr>
                <w:sz w:val="20"/>
                <w:szCs w:val="20"/>
                <w:lang w:val="el-GR"/>
              </w:rPr>
            </w:pPr>
            <w:r>
              <w:rPr>
                <w:sz w:val="20"/>
                <w:szCs w:val="20"/>
                <w:lang w:val="el-GR"/>
              </w:rPr>
              <w:t>Αυτοκόλλητος επίδεσμος</w:t>
            </w:r>
          </w:p>
          <w:p w14:paraId="75295DAF" w14:textId="77777777" w:rsidR="0029090B" w:rsidRDefault="0029090B">
            <w:pPr>
              <w:pStyle w:val="ListParagraph"/>
              <w:rPr>
                <w:b/>
                <w:sz w:val="22"/>
                <w:szCs w:val="22"/>
                <w:lang w:val="el-GR"/>
              </w:rPr>
            </w:pPr>
          </w:p>
          <w:p w14:paraId="4EFC0912" w14:textId="77777777" w:rsidR="0029090B" w:rsidRDefault="0029090B">
            <w:pPr>
              <w:pStyle w:val="ListParagraph"/>
              <w:rPr>
                <w:b/>
                <w:sz w:val="22"/>
                <w:szCs w:val="22"/>
                <w:lang w:val="el-GR"/>
              </w:rPr>
            </w:pPr>
          </w:p>
          <w:p w14:paraId="35F4D32D" w14:textId="77777777" w:rsidR="0029090B" w:rsidRDefault="0029090B">
            <w:pPr>
              <w:pStyle w:val="ListParagraph"/>
              <w:rPr>
                <w:b/>
                <w:sz w:val="22"/>
                <w:szCs w:val="22"/>
                <w:lang w:val="el-GR"/>
              </w:rPr>
            </w:pPr>
            <w:r>
              <w:rPr>
                <w:sz w:val="20"/>
                <w:szCs w:val="20"/>
                <w:lang w:val="el-GR"/>
              </w:rPr>
              <w:t>Κομμάτι βαμβάκι ή γάζα</w:t>
            </w:r>
          </w:p>
        </w:tc>
      </w:tr>
      <w:tr w:rsidR="00171824" w:rsidRPr="00422380" w14:paraId="412576BF"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649A7C68"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52" w:type="pct"/>
            <w:gridSpan w:val="3"/>
            <w:tcBorders>
              <w:top w:val="nil"/>
              <w:left w:val="nil"/>
              <w:bottom w:val="nil"/>
              <w:right w:val="single" w:sz="4" w:space="0" w:color="auto"/>
            </w:tcBorders>
            <w:tcMar>
              <w:top w:w="0" w:type="dxa"/>
              <w:left w:w="0" w:type="dxa"/>
              <w:bottom w:w="0" w:type="dxa"/>
              <w:right w:w="108" w:type="dxa"/>
            </w:tcMar>
          </w:tcPr>
          <w:p w14:paraId="15A39F5D" w14:textId="77777777" w:rsidR="00171824" w:rsidRDefault="006D258C">
            <w:pPr>
              <w:rPr>
                <w:b/>
                <w:bCs/>
                <w:sz w:val="22"/>
                <w:szCs w:val="22"/>
                <w:lang w:val="el-GR"/>
              </w:rPr>
            </w:pPr>
            <w:r>
              <w:rPr>
                <w:sz w:val="22"/>
                <w:szCs w:val="22"/>
                <w:lang w:val="el-GR"/>
              </w:rPr>
              <w:t>Προγεμισμένη σύριγγα AMGEVITA (σε θερμοκρασία δωματίου)</w:t>
            </w:r>
          </w:p>
        </w:tc>
      </w:tr>
      <w:tr w:rsidR="00171824" w14:paraId="169A7F85"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55494D8F"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52" w:type="pct"/>
            <w:gridSpan w:val="3"/>
            <w:tcBorders>
              <w:top w:val="nil"/>
              <w:left w:val="nil"/>
              <w:bottom w:val="nil"/>
              <w:right w:val="single" w:sz="4" w:space="0" w:color="auto"/>
            </w:tcBorders>
            <w:tcMar>
              <w:top w:w="0" w:type="dxa"/>
              <w:left w:w="0" w:type="dxa"/>
              <w:bottom w:w="0" w:type="dxa"/>
              <w:right w:w="108" w:type="dxa"/>
            </w:tcMar>
          </w:tcPr>
          <w:p w14:paraId="78314E6C" w14:textId="77777777" w:rsidR="00171824" w:rsidRDefault="006D258C">
            <w:pPr>
              <w:rPr>
                <w:sz w:val="22"/>
                <w:szCs w:val="22"/>
                <w:lang w:val="el-GR"/>
              </w:rPr>
            </w:pPr>
            <w:r>
              <w:rPr>
                <w:sz w:val="22"/>
                <w:szCs w:val="22"/>
                <w:lang w:val="el-GR"/>
              </w:rPr>
              <w:t xml:space="preserve">Δοχείο απόρριψης αιχμηρών αντικειμένων </w:t>
            </w:r>
          </w:p>
        </w:tc>
      </w:tr>
      <w:tr w:rsidR="00171824" w14:paraId="363496C5"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401AD594"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52" w:type="pct"/>
            <w:gridSpan w:val="3"/>
            <w:tcBorders>
              <w:top w:val="nil"/>
              <w:left w:val="nil"/>
              <w:bottom w:val="nil"/>
              <w:right w:val="single" w:sz="4" w:space="0" w:color="auto"/>
            </w:tcBorders>
            <w:tcMar>
              <w:top w:w="0" w:type="dxa"/>
              <w:left w:w="0" w:type="dxa"/>
              <w:bottom w:w="0" w:type="dxa"/>
              <w:right w:w="108" w:type="dxa"/>
            </w:tcMar>
          </w:tcPr>
          <w:p w14:paraId="60805473" w14:textId="77777777" w:rsidR="00171824" w:rsidRDefault="006D258C">
            <w:pPr>
              <w:rPr>
                <w:sz w:val="22"/>
                <w:szCs w:val="22"/>
                <w:lang w:val="el-GR"/>
              </w:rPr>
            </w:pPr>
            <w:r>
              <w:rPr>
                <w:sz w:val="22"/>
                <w:szCs w:val="22"/>
                <w:lang w:val="el-GR"/>
              </w:rPr>
              <w:t>Μαντηλάκια οινοπνεύματος</w:t>
            </w:r>
          </w:p>
        </w:tc>
      </w:tr>
      <w:tr w:rsidR="00171824" w14:paraId="051DC3FC" w14:textId="77777777">
        <w:trPr>
          <w:cantSplit/>
          <w:trHeight w:val="57"/>
        </w:trPr>
        <w:tc>
          <w:tcPr>
            <w:tcW w:w="348" w:type="pct"/>
            <w:tcBorders>
              <w:top w:val="nil"/>
              <w:left w:val="single" w:sz="4" w:space="0" w:color="auto"/>
              <w:bottom w:val="nil"/>
              <w:right w:val="nil"/>
            </w:tcBorders>
            <w:tcMar>
              <w:top w:w="28" w:type="dxa"/>
              <w:left w:w="57" w:type="dxa"/>
              <w:bottom w:w="28" w:type="dxa"/>
              <w:right w:w="57" w:type="dxa"/>
            </w:tcMar>
          </w:tcPr>
          <w:p w14:paraId="1A88D8FD"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52" w:type="pct"/>
            <w:gridSpan w:val="3"/>
            <w:tcBorders>
              <w:top w:val="nil"/>
              <w:left w:val="nil"/>
              <w:bottom w:val="nil"/>
              <w:right w:val="single" w:sz="4" w:space="0" w:color="auto"/>
            </w:tcBorders>
            <w:tcMar>
              <w:top w:w="0" w:type="dxa"/>
              <w:left w:w="0" w:type="dxa"/>
              <w:bottom w:w="0" w:type="dxa"/>
              <w:right w:w="108" w:type="dxa"/>
            </w:tcMar>
          </w:tcPr>
          <w:p w14:paraId="0EF91816" w14:textId="77777777" w:rsidR="00171824" w:rsidRDefault="006D258C">
            <w:pPr>
              <w:rPr>
                <w:sz w:val="22"/>
                <w:szCs w:val="22"/>
                <w:lang w:val="el-GR"/>
              </w:rPr>
            </w:pPr>
            <w:r>
              <w:rPr>
                <w:sz w:val="22"/>
                <w:szCs w:val="22"/>
                <w:lang w:val="el-GR"/>
              </w:rPr>
              <w:t>Αυτοκόλλητος επίδεσμος</w:t>
            </w:r>
          </w:p>
        </w:tc>
      </w:tr>
      <w:tr w:rsidR="00171824" w14:paraId="25C7E2CF" w14:textId="77777777">
        <w:trPr>
          <w:cantSplit/>
          <w:trHeight w:val="57"/>
        </w:trPr>
        <w:tc>
          <w:tcPr>
            <w:tcW w:w="348" w:type="pct"/>
            <w:tcBorders>
              <w:top w:val="nil"/>
              <w:left w:val="single" w:sz="4" w:space="0" w:color="auto"/>
              <w:bottom w:val="single" w:sz="4" w:space="0" w:color="auto"/>
              <w:right w:val="nil"/>
            </w:tcBorders>
            <w:tcMar>
              <w:top w:w="28" w:type="dxa"/>
              <w:left w:w="57" w:type="dxa"/>
              <w:bottom w:w="28" w:type="dxa"/>
              <w:right w:w="57" w:type="dxa"/>
            </w:tcMar>
          </w:tcPr>
          <w:p w14:paraId="61F452AB"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52" w:type="pct"/>
            <w:gridSpan w:val="3"/>
            <w:tcBorders>
              <w:top w:val="nil"/>
              <w:left w:val="nil"/>
              <w:bottom w:val="single" w:sz="4" w:space="0" w:color="auto"/>
              <w:right w:val="single" w:sz="4" w:space="0" w:color="auto"/>
            </w:tcBorders>
            <w:tcMar>
              <w:top w:w="0" w:type="dxa"/>
              <w:left w:w="0" w:type="dxa"/>
              <w:bottom w:w="0" w:type="dxa"/>
              <w:right w:w="108" w:type="dxa"/>
            </w:tcMar>
          </w:tcPr>
          <w:p w14:paraId="751445D5" w14:textId="77777777" w:rsidR="00171824" w:rsidRDefault="006D258C">
            <w:pPr>
              <w:rPr>
                <w:sz w:val="22"/>
                <w:szCs w:val="22"/>
                <w:lang w:val="el-GR"/>
              </w:rPr>
            </w:pPr>
            <w:r>
              <w:rPr>
                <w:sz w:val="22"/>
                <w:szCs w:val="22"/>
                <w:lang w:val="el-GR"/>
              </w:rPr>
              <w:t>Κομμάτι βαμβάκι ή γάζα</w:t>
            </w:r>
          </w:p>
        </w:tc>
      </w:tr>
    </w:tbl>
    <w:p w14:paraId="0054DE5E" w14:textId="77777777" w:rsidR="00171824" w:rsidRDefault="00171824">
      <w:pPr>
        <w:rPr>
          <w:b/>
          <w:bCs/>
          <w:sz w:val="22"/>
          <w:szCs w:val="22"/>
          <w:lang w:val="el-GR"/>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09"/>
        <w:gridCol w:w="1126"/>
        <w:gridCol w:w="4562"/>
        <w:gridCol w:w="2693"/>
      </w:tblGrid>
      <w:tr w:rsidR="00171824" w:rsidRPr="00422380" w14:paraId="5F846EFF"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2E37458" w14:textId="77777777" w:rsidR="00171824" w:rsidRDefault="006D258C">
            <w:pPr>
              <w:keepNext/>
              <w:rPr>
                <w:b/>
                <w:bCs/>
                <w:sz w:val="22"/>
                <w:szCs w:val="22"/>
                <w:lang w:val="el-GR"/>
              </w:rPr>
            </w:pPr>
            <w:r>
              <w:rPr>
                <w:b/>
                <w:sz w:val="22"/>
                <w:szCs w:val="22"/>
                <w:lang w:val="el-GR"/>
              </w:rPr>
              <w:t>3</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AF336A6" w14:textId="77777777" w:rsidR="00171824" w:rsidRDefault="006D258C">
            <w:pPr>
              <w:pStyle w:val="ListParagraph"/>
              <w:ind w:left="567" w:hanging="567"/>
              <w:rPr>
                <w:b/>
                <w:bCs/>
                <w:sz w:val="22"/>
                <w:szCs w:val="22"/>
                <w:lang w:val="el-GR"/>
              </w:rPr>
            </w:pPr>
            <w:r>
              <w:rPr>
                <w:b/>
                <w:sz w:val="22"/>
                <w:szCs w:val="22"/>
                <w:lang w:val="el-GR"/>
              </w:rPr>
              <w:t>Ετοιμαστείτε για την ένεσή σας</w:t>
            </w:r>
          </w:p>
        </w:tc>
      </w:tr>
      <w:tr w:rsidR="00171824" w14:paraId="690A6A50"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A30DAA" w14:textId="77777777" w:rsidR="00171824" w:rsidRDefault="006D258C">
            <w:pPr>
              <w:keepNext/>
              <w:rPr>
                <w:b/>
                <w:bCs/>
                <w:sz w:val="22"/>
                <w:szCs w:val="22"/>
                <w:lang w:val="el-GR"/>
              </w:rPr>
            </w:pPr>
            <w:r>
              <w:rPr>
                <w:b/>
                <w:sz w:val="22"/>
                <w:szCs w:val="22"/>
                <w:lang w:val="el-GR"/>
              </w:rPr>
              <w:t>3α</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8503B93" w14:textId="77777777" w:rsidR="00171824" w:rsidRDefault="006D258C">
            <w:pPr>
              <w:pStyle w:val="ListParagraph"/>
              <w:ind w:left="567" w:hanging="567"/>
              <w:rPr>
                <w:sz w:val="22"/>
                <w:szCs w:val="22"/>
                <w:lang w:val="el-GR"/>
              </w:rPr>
            </w:pPr>
            <w:r>
              <w:rPr>
                <w:b/>
                <w:sz w:val="22"/>
                <w:szCs w:val="22"/>
                <w:lang w:val="el-GR"/>
              </w:rPr>
              <w:t>Επιθεωρήστε οπτικά το φάρμακο.</w:t>
            </w:r>
          </w:p>
        </w:tc>
      </w:tr>
      <w:tr w:rsidR="00171824" w14:paraId="7A6C2854" w14:textId="77777777">
        <w:trPr>
          <w:cantSplit/>
          <w:trHeight w:val="2070"/>
        </w:trPr>
        <w:tc>
          <w:tcPr>
            <w:tcW w:w="100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4F9D7F30" w14:textId="77777777" w:rsidR="00171824" w:rsidRDefault="00171824">
            <w:pPr>
              <w:pStyle w:val="ListParagraph"/>
              <w:keepNext/>
              <w:ind w:left="567" w:hanging="567"/>
              <w:rPr>
                <w:sz w:val="22"/>
                <w:szCs w:val="22"/>
                <w:lang w:val="el-GR"/>
              </w:rPr>
            </w:pPr>
          </w:p>
          <w:p w14:paraId="68254581" w14:textId="77777777" w:rsidR="00171824" w:rsidRDefault="00171824">
            <w:pPr>
              <w:pStyle w:val="ListParagraph"/>
              <w:keepNext/>
              <w:ind w:left="567" w:hanging="567"/>
              <w:rPr>
                <w:sz w:val="22"/>
                <w:szCs w:val="22"/>
                <w:lang w:val="el-GR"/>
              </w:rPr>
            </w:pPr>
          </w:p>
        </w:tc>
        <w:tc>
          <w:tcPr>
            <w:tcW w:w="2423" w:type="pct"/>
            <w:tcBorders>
              <w:top w:val="single" w:sz="4" w:space="0" w:color="auto"/>
              <w:left w:val="nil"/>
              <w:bottom w:val="single" w:sz="4" w:space="0" w:color="auto"/>
              <w:right w:val="nil"/>
            </w:tcBorders>
          </w:tcPr>
          <w:p w14:paraId="78E8435F" w14:textId="5CBD2EF3" w:rsidR="00171824" w:rsidRDefault="009039B7">
            <w:pPr>
              <w:pStyle w:val="ListParagraph"/>
              <w:keepNext/>
              <w:ind w:left="567" w:hanging="567"/>
              <w:rPr>
                <w:sz w:val="22"/>
                <w:szCs w:val="22"/>
                <w:lang w:val="el-GR"/>
              </w:rPr>
            </w:pPr>
            <w:r>
              <w:rPr>
                <w:noProof/>
                <w:sz w:val="22"/>
                <w:szCs w:val="22"/>
                <w:lang w:val="el-GR" w:eastAsia="zh-CN"/>
              </w:rPr>
              <w:drawing>
                <wp:inline distT="0" distB="0" distL="0" distR="0" wp14:anchorId="413DA0AA" wp14:editId="48A77EED">
                  <wp:extent cx="2920365" cy="1731645"/>
                  <wp:effectExtent l="0" t="0" r="0" b="0"/>
                  <wp:docPr id="5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0365" cy="1731645"/>
                          </a:xfrm>
                          <a:prstGeom prst="rect">
                            <a:avLst/>
                          </a:prstGeom>
                          <a:noFill/>
                          <a:ln>
                            <a:noFill/>
                          </a:ln>
                        </pic:spPr>
                      </pic:pic>
                    </a:graphicData>
                  </a:graphic>
                </wp:inline>
              </w:drawing>
            </w:r>
          </w:p>
          <w:p w14:paraId="016D87BB" w14:textId="77777777" w:rsidR="00171824" w:rsidRDefault="00171824">
            <w:pPr>
              <w:pStyle w:val="ListParagraph"/>
              <w:keepNext/>
              <w:ind w:left="567" w:hanging="567"/>
              <w:rPr>
                <w:sz w:val="22"/>
                <w:szCs w:val="22"/>
                <w:lang w:val="el-GR"/>
              </w:rPr>
            </w:pPr>
          </w:p>
          <w:p w14:paraId="61FCB9EB" w14:textId="77777777" w:rsidR="00171824" w:rsidRDefault="00171824">
            <w:pPr>
              <w:pStyle w:val="ListParagraph"/>
              <w:keepNext/>
              <w:ind w:left="567" w:hanging="567"/>
              <w:rPr>
                <w:sz w:val="22"/>
                <w:szCs w:val="22"/>
                <w:lang w:val="el-GR"/>
              </w:rPr>
            </w:pPr>
          </w:p>
        </w:tc>
        <w:tc>
          <w:tcPr>
            <w:tcW w:w="1569" w:type="pct"/>
            <w:tcBorders>
              <w:top w:val="single" w:sz="4" w:space="0" w:color="auto"/>
              <w:left w:val="nil"/>
              <w:bottom w:val="single" w:sz="4" w:space="0" w:color="auto"/>
              <w:right w:val="single" w:sz="4" w:space="0" w:color="auto"/>
            </w:tcBorders>
          </w:tcPr>
          <w:p w14:paraId="377553ED" w14:textId="77777777" w:rsidR="00171824" w:rsidRDefault="00171824">
            <w:pPr>
              <w:pStyle w:val="ListParagraph"/>
              <w:ind w:left="567" w:hanging="567"/>
              <w:rPr>
                <w:b/>
                <w:bCs/>
                <w:sz w:val="22"/>
                <w:szCs w:val="22"/>
                <w:lang w:val="el-GR"/>
              </w:rPr>
            </w:pPr>
          </w:p>
          <w:p w14:paraId="2B216B17" w14:textId="77777777" w:rsidR="00171824" w:rsidRDefault="00171824">
            <w:pPr>
              <w:pStyle w:val="ListParagraph"/>
              <w:ind w:left="567" w:hanging="567"/>
              <w:rPr>
                <w:b/>
                <w:bCs/>
                <w:sz w:val="22"/>
                <w:szCs w:val="22"/>
                <w:lang w:val="el-GR"/>
              </w:rPr>
            </w:pPr>
          </w:p>
          <w:p w14:paraId="3C16097A" w14:textId="77777777" w:rsidR="00171824" w:rsidRDefault="00171824">
            <w:pPr>
              <w:pStyle w:val="ListParagraph"/>
              <w:ind w:left="567" w:hanging="567"/>
              <w:rPr>
                <w:b/>
                <w:bCs/>
                <w:sz w:val="22"/>
                <w:szCs w:val="22"/>
                <w:lang w:val="el-GR"/>
              </w:rPr>
            </w:pPr>
          </w:p>
          <w:p w14:paraId="34766909" w14:textId="77777777" w:rsidR="00171824" w:rsidRDefault="00171824">
            <w:pPr>
              <w:pStyle w:val="ListParagraph"/>
              <w:ind w:left="567" w:hanging="567"/>
              <w:rPr>
                <w:b/>
                <w:bCs/>
                <w:sz w:val="22"/>
                <w:szCs w:val="22"/>
                <w:lang w:val="el-GR"/>
              </w:rPr>
            </w:pPr>
          </w:p>
          <w:p w14:paraId="3DA83E55" w14:textId="77777777" w:rsidR="00171824" w:rsidRDefault="006D258C">
            <w:pPr>
              <w:pStyle w:val="ListParagraph"/>
              <w:ind w:left="567" w:hanging="567"/>
              <w:rPr>
                <w:sz w:val="22"/>
                <w:szCs w:val="22"/>
                <w:lang w:val="el-GR"/>
              </w:rPr>
            </w:pPr>
            <w:r>
              <w:rPr>
                <w:sz w:val="22"/>
                <w:szCs w:val="22"/>
                <w:lang w:val="el-GR"/>
              </w:rPr>
              <w:t>Φάρμακο</w:t>
            </w:r>
          </w:p>
        </w:tc>
      </w:tr>
      <w:tr w:rsidR="00171824" w:rsidRPr="00422380" w14:paraId="7B98FA7D" w14:textId="77777777">
        <w:trPr>
          <w:cantSplit/>
          <w:trHeight w:val="57"/>
        </w:trPr>
        <w:tc>
          <w:tcPr>
            <w:tcW w:w="353" w:type="pct"/>
            <w:tcBorders>
              <w:top w:val="single" w:sz="4" w:space="0" w:color="auto"/>
              <w:left w:val="single" w:sz="4" w:space="0" w:color="auto"/>
              <w:bottom w:val="nil"/>
              <w:right w:val="nil"/>
            </w:tcBorders>
            <w:tcMar>
              <w:top w:w="28" w:type="dxa"/>
              <w:left w:w="57" w:type="dxa"/>
              <w:bottom w:w="28" w:type="dxa"/>
              <w:right w:w="57" w:type="dxa"/>
            </w:tcMar>
          </w:tcPr>
          <w:p w14:paraId="22541C79"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7" w:type="pct"/>
            <w:gridSpan w:val="3"/>
            <w:tcBorders>
              <w:top w:val="single" w:sz="4" w:space="0" w:color="auto"/>
              <w:left w:val="nil"/>
              <w:bottom w:val="nil"/>
              <w:right w:val="single" w:sz="4" w:space="0" w:color="auto"/>
            </w:tcBorders>
            <w:tcMar>
              <w:top w:w="0" w:type="dxa"/>
              <w:left w:w="0" w:type="dxa"/>
              <w:bottom w:w="0" w:type="dxa"/>
              <w:right w:w="108" w:type="dxa"/>
            </w:tcMar>
          </w:tcPr>
          <w:p w14:paraId="0FD50E79" w14:textId="77777777" w:rsidR="00171824" w:rsidRDefault="006D258C">
            <w:pPr>
              <w:rPr>
                <w:bCs/>
                <w:sz w:val="22"/>
                <w:szCs w:val="22"/>
                <w:lang w:val="el-GR"/>
              </w:rPr>
            </w:pPr>
            <w:r>
              <w:rPr>
                <w:sz w:val="22"/>
                <w:szCs w:val="22"/>
                <w:lang w:val="el-GR"/>
              </w:rPr>
              <w:t>Θα πρέπει να είναι διαυγές και άχρωμο προς ελαφρώς κίτρινο.</w:t>
            </w:r>
          </w:p>
        </w:tc>
      </w:tr>
      <w:tr w:rsidR="00171824" w:rsidRPr="00422380" w14:paraId="0F836566"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36CE9901"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2ED07E20" w14:textId="77777777" w:rsidR="00171824" w:rsidRDefault="006D258C">
            <w:pPr>
              <w:rPr>
                <w:sz w:val="22"/>
                <w:szCs w:val="22"/>
                <w:lang w:val="el-GR"/>
              </w:rPr>
            </w:pPr>
            <w:r>
              <w:rPr>
                <w:sz w:val="22"/>
                <w:szCs w:val="22"/>
                <w:lang w:val="el-GR"/>
              </w:rPr>
              <w:t>Δεν πειράζει εάν δείτε φυσαλίδες αέρα στην προγεμισμένη σύριγγα.</w:t>
            </w:r>
          </w:p>
        </w:tc>
      </w:tr>
      <w:tr w:rsidR="00171824" w:rsidRPr="00422380" w14:paraId="6BA2EC7F"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3ED5B061"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26DC472A" w14:textId="77777777" w:rsidR="00171824" w:rsidRDefault="006D258C">
            <w:pPr>
              <w:rPr>
                <w:sz w:val="22"/>
                <w:szCs w:val="22"/>
                <w:lang w:val="el-GR"/>
              </w:rPr>
            </w:pPr>
            <w:r>
              <w:rPr>
                <w:b/>
                <w:bCs/>
                <w:sz w:val="22"/>
                <w:szCs w:val="22"/>
                <w:lang w:val="el-GR"/>
              </w:rPr>
              <w:t>Μη</w:t>
            </w:r>
            <w:r>
              <w:rPr>
                <w:sz w:val="22"/>
                <w:szCs w:val="22"/>
                <w:lang w:val="el-GR"/>
              </w:rPr>
              <w:t xml:space="preserve"> χρησιμοποιήσετε </w:t>
            </w:r>
            <w:ins w:id="149" w:author="Author">
              <w:r>
                <w:rPr>
                  <w:sz w:val="22"/>
                  <w:szCs w:val="22"/>
                  <w:lang w:val="el-GR"/>
                </w:rPr>
                <w:t xml:space="preserve">το AMGEVITA εάν </w:t>
              </w:r>
            </w:ins>
            <w:r>
              <w:rPr>
                <w:sz w:val="22"/>
                <w:szCs w:val="22"/>
                <w:lang w:val="el-GR"/>
              </w:rPr>
              <w:t xml:space="preserve">το φάρμακο </w:t>
            </w:r>
            <w:del w:id="150" w:author="Author">
              <w:r>
                <w:rPr>
                  <w:sz w:val="22"/>
                  <w:szCs w:val="22"/>
                  <w:lang w:val="el-GR"/>
                </w:rPr>
                <w:delText xml:space="preserve">εάν </w:delText>
              </w:r>
            </w:del>
            <w:r>
              <w:rPr>
                <w:sz w:val="22"/>
                <w:szCs w:val="22"/>
                <w:lang w:val="el-GR"/>
              </w:rPr>
              <w:t>είναι θολό, αποχρωματισμένο ή περιέχει νιφάδες ή σωματίδια.</w:t>
            </w:r>
          </w:p>
        </w:tc>
      </w:tr>
      <w:tr w:rsidR="00171824" w:rsidRPr="00422380" w14:paraId="1678AAE7"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6457C6F6" w14:textId="2D696112" w:rsidR="00171824" w:rsidRDefault="009039B7">
            <w:pPr>
              <w:rPr>
                <w:b/>
                <w:bCs/>
                <w:sz w:val="22"/>
                <w:szCs w:val="22"/>
                <w:lang w:val="el-GR"/>
              </w:rPr>
            </w:pPr>
            <w:r>
              <w:rPr>
                <w:noProof/>
              </w:rPr>
              <mc:AlternateContent>
                <mc:Choice Requires="wps">
                  <w:drawing>
                    <wp:anchor distT="45720" distB="45720" distL="114300" distR="114300" simplePos="0" relativeHeight="251652096" behindDoc="0" locked="0" layoutInCell="1" allowOverlap="1" wp14:anchorId="6E5B163C" wp14:editId="6F551090">
                      <wp:simplePos x="0" y="0"/>
                      <wp:positionH relativeFrom="margin">
                        <wp:posOffset>-2540</wp:posOffset>
                      </wp:positionH>
                      <wp:positionV relativeFrom="paragraph">
                        <wp:posOffset>65405</wp:posOffset>
                      </wp:positionV>
                      <wp:extent cx="5575935" cy="431800"/>
                      <wp:effectExtent l="0" t="0" r="5715" b="6350"/>
                      <wp:wrapSquare wrapText="bothSides"/>
                      <wp:docPr id="19288166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347F3F6B" w14:textId="77777777" w:rsidR="00171824" w:rsidRDefault="006D258C">
                                  <w:pPr>
                                    <w:rPr>
                                      <w:sz w:val="22"/>
                                      <w:szCs w:val="22"/>
                                      <w:lang w:val="el-GR"/>
                                    </w:rPr>
                                  </w:pPr>
                                  <w:r>
                                    <w:rPr>
                                      <w:b/>
                                      <w:sz w:val="22"/>
                                      <w:szCs w:val="22"/>
                                      <w:lang w:val="el-GR"/>
                                    </w:rPr>
                                    <w:t xml:space="preserve">Σημαντικό: </w:t>
                                  </w:r>
                                  <w:r>
                                    <w:rPr>
                                      <w:sz w:val="22"/>
                                      <w:szCs w:val="22"/>
                                      <w:lang w:val="el-GR"/>
                                    </w:rPr>
                                    <w:t>Εάν το φάρμακο είναι θολό, αποχρωματισμένο ή περιέχει νιφάδες ή σωματίδια, καλέστε τον γιατρό σας ή τον πάροχο υγειονομικής περίθαλψης.</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E5B163C" id="Text Box 46" o:spid="_x0000_s1029" type="#_x0000_t202" style="position:absolute;margin-left:-.2pt;margin-top:5.15pt;width:439.05pt;height:34pt;z-index:251652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" strokecolor="red" strokeweight="1.5pt">
                      <v:textbox style="mso-fit-shape-to-text:t">
                        <w:txbxContent>
                          <w:p w14:paraId="347F3F6B" w14:textId="77777777" w:rsidR="00171824" w:rsidRDefault="006D258C">
                            <w:pPr>
                              <w:rPr>
                                <w:sz w:val="22"/>
                                <w:szCs w:val="22"/>
                                <w:lang w:val="el-GR"/>
                              </w:rPr>
                            </w:pPr>
                            <w:r>
                              <w:rPr>
                                <w:b/>
                                <w:sz w:val="22"/>
                                <w:szCs w:val="22"/>
                                <w:lang w:val="el-GR"/>
                              </w:rPr>
                              <w:t xml:space="preserve">Σημαντικό: </w:t>
                            </w:r>
                            <w:r>
                              <w:rPr>
                                <w:sz w:val="22"/>
                                <w:szCs w:val="22"/>
                                <w:lang w:val="el-GR"/>
                              </w:rPr>
                              <w:t>Εάν το φάρμακο είναι θολό, αποχρωματισμένο ή περιέχει νιφάδες ή σωματίδια, καλέστε τον γιατρό σας ή τον πάροχο υγειονομικής περίθαλψης.</w:t>
                            </w:r>
                          </w:p>
                        </w:txbxContent>
                      </v:textbox>
                      <w10:wrap type="square" anchorx="margin"/>
                    </v:shape>
                  </w:pict>
                </mc:Fallback>
              </mc:AlternateContent>
            </w:r>
          </w:p>
        </w:tc>
      </w:tr>
    </w:tbl>
    <w:p w14:paraId="2E412A19" w14:textId="77777777" w:rsidR="00171824" w:rsidRDefault="00171824">
      <w:pPr>
        <w:rPr>
          <w:sz w:val="22"/>
          <w:szCs w:val="22"/>
          <w:lang w:val="el-GR"/>
        </w:rPr>
      </w:pPr>
    </w:p>
    <w:tbl>
      <w:tblPr>
        <w:tblW w:w="4976"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8"/>
        <w:gridCol w:w="8390"/>
      </w:tblGrid>
      <w:tr w:rsidR="00171824" w:rsidRPr="00422380" w14:paraId="342B7203" w14:textId="77777777">
        <w:trPr>
          <w:cantSplit/>
          <w:trHeight w:val="57"/>
        </w:trPr>
        <w:tc>
          <w:tcPr>
            <w:tcW w:w="3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4F8D42E" w14:textId="77777777" w:rsidR="00171824" w:rsidRDefault="006D258C">
            <w:pPr>
              <w:keepNext/>
              <w:rPr>
                <w:b/>
                <w:bCs/>
                <w:sz w:val="22"/>
                <w:szCs w:val="22"/>
                <w:lang w:val="el-GR"/>
              </w:rPr>
            </w:pPr>
            <w:r>
              <w:rPr>
                <w:b/>
                <w:sz w:val="22"/>
                <w:szCs w:val="22"/>
                <w:lang w:val="el-GR"/>
              </w:rPr>
              <w:lastRenderedPageBreak/>
              <w:t>3β</w:t>
            </w:r>
          </w:p>
        </w:tc>
        <w:tc>
          <w:tcPr>
            <w:tcW w:w="46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8F0AD0C" w14:textId="77777777" w:rsidR="00171824" w:rsidRDefault="006D258C">
            <w:pPr>
              <w:pStyle w:val="ListParagraph"/>
              <w:keepNext/>
              <w:rPr>
                <w:sz w:val="22"/>
                <w:szCs w:val="22"/>
                <w:lang w:val="el-GR"/>
              </w:rPr>
            </w:pPr>
            <w:r>
              <w:rPr>
                <w:b/>
                <w:sz w:val="22"/>
                <w:szCs w:val="22"/>
                <w:lang w:val="el-GR"/>
              </w:rPr>
              <w:t>Ελέγξτε την ημερομηνία λήξης (ΛΗΞΗ) και επιθεωρήστε οπτικά την προγεμισμένη σύριγγα για ζημιά.</w:t>
            </w:r>
          </w:p>
        </w:tc>
      </w:tr>
    </w:tbl>
    <w:p w14:paraId="01C1AFF7" w14:textId="77777777" w:rsidR="00171824" w:rsidRDefault="00171824">
      <w:pPr>
        <w:keepNext/>
        <w:rPr>
          <w:sz w:val="22"/>
          <w:szCs w:val="22"/>
          <w:lang w:val="el-GR"/>
        </w:rPr>
      </w:pPr>
    </w:p>
    <w:tbl>
      <w:tblPr>
        <w:tblW w:w="496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92"/>
        <w:gridCol w:w="1095"/>
        <w:gridCol w:w="4974"/>
        <w:gridCol w:w="2331"/>
      </w:tblGrid>
      <w:tr w:rsidR="00171824" w14:paraId="3CBAE127" w14:textId="77777777">
        <w:trPr>
          <w:cantSplit/>
          <w:trHeight w:val="57"/>
        </w:trPr>
        <w:tc>
          <w:tcPr>
            <w:tcW w:w="93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7E884628" w14:textId="77777777" w:rsidR="00171824" w:rsidRDefault="00171824">
            <w:pPr>
              <w:pStyle w:val="ListParagraph"/>
              <w:ind w:left="567" w:hanging="567"/>
              <w:rPr>
                <w:sz w:val="22"/>
                <w:szCs w:val="22"/>
                <w:lang w:val="el-GR"/>
              </w:rPr>
            </w:pPr>
          </w:p>
          <w:p w14:paraId="4CF86BE9" w14:textId="77777777" w:rsidR="00171824" w:rsidRDefault="00171824">
            <w:pPr>
              <w:pStyle w:val="ListParagraph"/>
              <w:ind w:left="567" w:hanging="567"/>
              <w:rPr>
                <w:sz w:val="22"/>
                <w:szCs w:val="22"/>
                <w:lang w:val="el-GR"/>
              </w:rPr>
            </w:pPr>
          </w:p>
        </w:tc>
        <w:tc>
          <w:tcPr>
            <w:tcW w:w="2766" w:type="pct"/>
            <w:tcBorders>
              <w:top w:val="single" w:sz="4" w:space="0" w:color="auto"/>
              <w:left w:val="nil"/>
              <w:bottom w:val="single" w:sz="4" w:space="0" w:color="auto"/>
              <w:right w:val="nil"/>
            </w:tcBorders>
          </w:tcPr>
          <w:p w14:paraId="7150B277" w14:textId="77777777" w:rsidR="00171824" w:rsidRDefault="00171824">
            <w:pPr>
              <w:pStyle w:val="ListParagraph"/>
              <w:ind w:left="567" w:hanging="567"/>
              <w:rPr>
                <w:sz w:val="22"/>
                <w:szCs w:val="22"/>
                <w:lang w:val="el-GR"/>
              </w:rPr>
            </w:pPr>
          </w:p>
          <w:p w14:paraId="3FDB83DB" w14:textId="6C7E890B" w:rsidR="00171824" w:rsidRDefault="009039B7">
            <w:pPr>
              <w:pStyle w:val="ListParagraph"/>
              <w:ind w:left="567" w:hanging="567"/>
              <w:rPr>
                <w:sz w:val="22"/>
                <w:szCs w:val="22"/>
                <w:lang w:val="el-GR"/>
              </w:rPr>
            </w:pPr>
            <w:r>
              <w:rPr>
                <w:noProof/>
                <w:sz w:val="22"/>
                <w:szCs w:val="22"/>
                <w:lang w:val="el-GR" w:eastAsia="zh-CN"/>
              </w:rPr>
              <w:drawing>
                <wp:inline distT="0" distB="0" distL="0" distR="0" wp14:anchorId="1F74C23F" wp14:editId="59249BEC">
                  <wp:extent cx="3200400" cy="1731645"/>
                  <wp:effectExtent l="0" t="0" r="0" b="0"/>
                  <wp:docPr id="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00400" cy="1731645"/>
                          </a:xfrm>
                          <a:prstGeom prst="rect">
                            <a:avLst/>
                          </a:prstGeom>
                          <a:noFill/>
                          <a:ln>
                            <a:noFill/>
                          </a:ln>
                        </pic:spPr>
                      </pic:pic>
                    </a:graphicData>
                  </a:graphic>
                </wp:inline>
              </w:drawing>
            </w:r>
          </w:p>
          <w:p w14:paraId="635E2F84" w14:textId="77777777" w:rsidR="00171824" w:rsidRDefault="00171824">
            <w:pPr>
              <w:pStyle w:val="ListParagraph"/>
              <w:ind w:left="567" w:hanging="567"/>
              <w:rPr>
                <w:sz w:val="22"/>
                <w:szCs w:val="22"/>
                <w:lang w:val="el-GR"/>
              </w:rPr>
            </w:pPr>
          </w:p>
        </w:tc>
        <w:tc>
          <w:tcPr>
            <w:tcW w:w="1296" w:type="pct"/>
            <w:tcBorders>
              <w:top w:val="single" w:sz="4" w:space="0" w:color="auto"/>
              <w:left w:val="nil"/>
              <w:bottom w:val="single" w:sz="4" w:space="0" w:color="auto"/>
              <w:right w:val="single" w:sz="4" w:space="0" w:color="auto"/>
            </w:tcBorders>
          </w:tcPr>
          <w:p w14:paraId="2F51B551" w14:textId="77777777" w:rsidR="00171824" w:rsidRDefault="006D258C">
            <w:pPr>
              <w:pStyle w:val="ListParagraph"/>
              <w:ind w:left="567" w:hanging="567"/>
              <w:rPr>
                <w:sz w:val="22"/>
                <w:szCs w:val="22"/>
                <w:lang w:val="el-GR"/>
              </w:rPr>
            </w:pPr>
            <w:r>
              <w:rPr>
                <w:sz w:val="22"/>
                <w:szCs w:val="22"/>
                <w:lang w:val="el-GR"/>
              </w:rPr>
              <w:t xml:space="preserve">              </w:t>
            </w:r>
          </w:p>
          <w:p w14:paraId="6CA5C083" w14:textId="77777777" w:rsidR="00171824" w:rsidRDefault="00171824">
            <w:pPr>
              <w:pStyle w:val="ListParagraph"/>
              <w:ind w:left="567" w:hanging="567"/>
              <w:rPr>
                <w:sz w:val="22"/>
                <w:szCs w:val="22"/>
                <w:lang w:val="el-GR"/>
              </w:rPr>
            </w:pPr>
          </w:p>
          <w:p w14:paraId="2DD7447F" w14:textId="77777777" w:rsidR="00171824" w:rsidRDefault="00171824">
            <w:pPr>
              <w:pStyle w:val="ListParagraph"/>
              <w:ind w:left="567" w:hanging="567"/>
              <w:rPr>
                <w:sz w:val="22"/>
                <w:szCs w:val="22"/>
                <w:lang w:val="el-GR"/>
              </w:rPr>
            </w:pPr>
          </w:p>
          <w:p w14:paraId="366B8CFC" w14:textId="77777777" w:rsidR="00171824" w:rsidRDefault="00171824">
            <w:pPr>
              <w:pStyle w:val="ListParagraph"/>
              <w:ind w:left="567" w:hanging="567"/>
              <w:rPr>
                <w:sz w:val="22"/>
                <w:szCs w:val="22"/>
                <w:lang w:val="el-GR"/>
              </w:rPr>
            </w:pPr>
          </w:p>
          <w:p w14:paraId="570C7903" w14:textId="77777777" w:rsidR="00171824" w:rsidRDefault="00171824">
            <w:pPr>
              <w:pStyle w:val="ListParagraph"/>
              <w:ind w:left="567" w:hanging="567"/>
              <w:rPr>
                <w:sz w:val="22"/>
                <w:szCs w:val="22"/>
                <w:lang w:val="el-GR"/>
              </w:rPr>
            </w:pPr>
          </w:p>
          <w:p w14:paraId="148B3D49" w14:textId="77777777" w:rsidR="00171824" w:rsidRDefault="006D258C">
            <w:pPr>
              <w:pStyle w:val="ListParagraph"/>
              <w:spacing w:before="120"/>
              <w:ind w:left="567" w:hanging="567"/>
              <w:rPr>
                <w:sz w:val="22"/>
                <w:szCs w:val="22"/>
                <w:lang w:val="el-GR"/>
              </w:rPr>
            </w:pPr>
            <w:r>
              <w:rPr>
                <w:sz w:val="22"/>
                <w:szCs w:val="22"/>
                <w:lang w:val="el-GR"/>
              </w:rPr>
              <w:t xml:space="preserve">Ημερομηνία λήξης            </w:t>
            </w:r>
          </w:p>
        </w:tc>
      </w:tr>
      <w:tr w:rsidR="00171824" w:rsidRPr="00422380" w14:paraId="5757BB20" w14:textId="77777777">
        <w:trPr>
          <w:cantSplit/>
          <w:trHeight w:val="57"/>
        </w:trPr>
        <w:tc>
          <w:tcPr>
            <w:tcW w:w="329" w:type="pct"/>
            <w:tcBorders>
              <w:top w:val="single" w:sz="4" w:space="0" w:color="auto"/>
              <w:left w:val="single" w:sz="4" w:space="0" w:color="auto"/>
              <w:bottom w:val="nil"/>
              <w:right w:val="nil"/>
            </w:tcBorders>
            <w:tcMar>
              <w:top w:w="28" w:type="dxa"/>
              <w:left w:w="57" w:type="dxa"/>
              <w:bottom w:w="28" w:type="dxa"/>
              <w:right w:w="57" w:type="dxa"/>
            </w:tcMar>
          </w:tcPr>
          <w:p w14:paraId="685C6185"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71" w:type="pct"/>
            <w:gridSpan w:val="3"/>
            <w:tcBorders>
              <w:top w:val="single" w:sz="4" w:space="0" w:color="auto"/>
              <w:left w:val="nil"/>
              <w:bottom w:val="nil"/>
              <w:right w:val="single" w:sz="4" w:space="0" w:color="auto"/>
            </w:tcBorders>
            <w:tcMar>
              <w:top w:w="0" w:type="dxa"/>
              <w:left w:w="0" w:type="dxa"/>
              <w:bottom w:w="0" w:type="dxa"/>
              <w:right w:w="108" w:type="dxa"/>
            </w:tcMar>
          </w:tcPr>
          <w:p w14:paraId="3B1608AD" w14:textId="77777777" w:rsidR="00171824" w:rsidRDefault="006D258C">
            <w:pPr>
              <w:rPr>
                <w:b/>
                <w:bCs/>
                <w:sz w:val="22"/>
                <w:szCs w:val="22"/>
                <w:lang w:val="el-GR"/>
              </w:rPr>
            </w:pPr>
            <w:r>
              <w:rPr>
                <w:b/>
                <w:bCs/>
                <w:sz w:val="22"/>
                <w:szCs w:val="22"/>
                <w:lang w:val="el-GR"/>
              </w:rPr>
              <w:t>Μη</w:t>
            </w:r>
            <w:del w:id="151" w:author="Author">
              <w:r>
                <w:rPr>
                  <w:b/>
                  <w:bCs/>
                  <w:sz w:val="22"/>
                  <w:szCs w:val="22"/>
                  <w:lang w:val="el-GR"/>
                </w:rPr>
                <w:delText>ν</w:delText>
              </w:r>
            </w:del>
            <w:r>
              <w:rPr>
                <w:sz w:val="22"/>
                <w:szCs w:val="22"/>
                <w:lang w:val="el-GR"/>
              </w:rPr>
              <w:t xml:space="preserve"> </w:t>
            </w:r>
            <w:del w:id="152" w:author="Author">
              <w:r>
                <w:rPr>
                  <w:sz w:val="22"/>
                  <w:szCs w:val="22"/>
                  <w:lang w:val="el-GR"/>
                </w:rPr>
                <w:delText xml:space="preserve">τη </w:delText>
              </w:r>
            </w:del>
            <w:r>
              <w:rPr>
                <w:sz w:val="22"/>
                <w:szCs w:val="22"/>
                <w:lang w:val="el-GR"/>
              </w:rPr>
              <w:t xml:space="preserve">χρησιμοποιήσετε </w:t>
            </w:r>
            <w:ins w:id="153" w:author="Author">
              <w:r>
                <w:rPr>
                  <w:sz w:val="22"/>
                  <w:szCs w:val="22"/>
                  <w:lang w:val="el-GR"/>
                </w:rPr>
                <w:t xml:space="preserve">την προγεμισμένη σύριγγα </w:t>
              </w:r>
            </w:ins>
            <w:r>
              <w:rPr>
                <w:sz w:val="22"/>
                <w:szCs w:val="22"/>
                <w:lang w:val="el-GR"/>
              </w:rPr>
              <w:t>εάν η ημερομηνία λήξης έχει παρέλθει.</w:t>
            </w:r>
          </w:p>
        </w:tc>
      </w:tr>
      <w:tr w:rsidR="00171824" w:rsidRPr="00422380" w14:paraId="69E926B2" w14:textId="77777777">
        <w:trPr>
          <w:cantSplit/>
          <w:trHeight w:val="57"/>
        </w:trPr>
        <w:tc>
          <w:tcPr>
            <w:tcW w:w="329" w:type="pct"/>
            <w:tcBorders>
              <w:top w:val="nil"/>
              <w:left w:val="single" w:sz="4" w:space="0" w:color="auto"/>
              <w:bottom w:val="nil"/>
              <w:right w:val="nil"/>
            </w:tcBorders>
            <w:tcMar>
              <w:top w:w="28" w:type="dxa"/>
              <w:left w:w="57" w:type="dxa"/>
              <w:bottom w:w="28" w:type="dxa"/>
              <w:right w:w="57" w:type="dxa"/>
            </w:tcMar>
          </w:tcPr>
          <w:p w14:paraId="5BB29224"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71" w:type="pct"/>
            <w:gridSpan w:val="3"/>
            <w:tcBorders>
              <w:top w:val="nil"/>
              <w:left w:val="nil"/>
              <w:bottom w:val="nil"/>
              <w:right w:val="single" w:sz="4" w:space="0" w:color="auto"/>
            </w:tcBorders>
            <w:tcMar>
              <w:top w:w="0" w:type="dxa"/>
              <w:left w:w="0" w:type="dxa"/>
              <w:bottom w:w="0" w:type="dxa"/>
              <w:right w:w="108" w:type="dxa"/>
            </w:tcMar>
          </w:tcPr>
          <w:p w14:paraId="6C9D4EE9" w14:textId="77777777" w:rsidR="00171824" w:rsidRDefault="006D258C">
            <w:pPr>
              <w:rPr>
                <w:sz w:val="22"/>
                <w:szCs w:val="22"/>
                <w:lang w:val="el-GR"/>
              </w:rPr>
            </w:pPr>
            <w:r>
              <w:rPr>
                <w:b/>
                <w:bCs/>
                <w:sz w:val="22"/>
                <w:szCs w:val="22"/>
                <w:lang w:val="el-GR"/>
              </w:rPr>
              <w:t>Μη</w:t>
            </w:r>
            <w:r>
              <w:rPr>
                <w:sz w:val="22"/>
                <w:szCs w:val="22"/>
                <w:lang w:val="el-GR"/>
              </w:rPr>
              <w:t xml:space="preserve"> χρησιμοποιήσετε την προγεμισμένη σύριγγα εάν: </w:t>
            </w:r>
          </w:p>
        </w:tc>
      </w:tr>
      <w:tr w:rsidR="00171824" w:rsidRPr="00422380" w14:paraId="7BC71026"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307E63CA" w14:textId="77777777" w:rsidR="00171824" w:rsidRDefault="006D258C">
            <w:pPr>
              <w:pStyle w:val="ListParagraph"/>
              <w:widowControl/>
              <w:numPr>
                <w:ilvl w:val="0"/>
                <w:numId w:val="39"/>
              </w:numPr>
              <w:tabs>
                <w:tab w:val="left" w:pos="567"/>
                <w:tab w:val="left" w:pos="1134"/>
              </w:tabs>
              <w:autoSpaceDE/>
              <w:autoSpaceDN/>
              <w:adjustRightInd/>
              <w:ind w:left="1150" w:hanging="567"/>
              <w:contextualSpacing/>
              <w:rPr>
                <w:sz w:val="22"/>
                <w:szCs w:val="22"/>
                <w:lang w:val="el-GR"/>
              </w:rPr>
            </w:pPr>
            <w:ins w:id="154" w:author="Author">
              <w:r>
                <w:rPr>
                  <w:sz w:val="22"/>
                  <w:szCs w:val="22"/>
                  <w:lang w:val="el-GR"/>
                </w:rPr>
                <w:t>τ</w:t>
              </w:r>
            </w:ins>
            <w:del w:id="155" w:author="Author">
              <w:r>
                <w:rPr>
                  <w:sz w:val="22"/>
                  <w:szCs w:val="22"/>
                  <w:lang w:val="el-GR"/>
                </w:rPr>
                <w:delText>Τ</w:delText>
              </w:r>
            </w:del>
            <w:r>
              <w:rPr>
                <w:sz w:val="22"/>
                <w:szCs w:val="22"/>
                <w:lang w:val="el-GR"/>
              </w:rPr>
              <w:t>ο κάλυμμα της βελόνας λείπει ή δεν είναι καλά τοποθετημένο.</w:t>
            </w:r>
          </w:p>
        </w:tc>
      </w:tr>
      <w:tr w:rsidR="00171824" w:rsidRPr="00422380" w14:paraId="4DCC938F"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1EC384DB" w14:textId="77777777" w:rsidR="00171824" w:rsidRDefault="006D258C">
            <w:pPr>
              <w:pStyle w:val="ListParagraph"/>
              <w:widowControl/>
              <w:numPr>
                <w:ilvl w:val="0"/>
                <w:numId w:val="39"/>
              </w:numPr>
              <w:tabs>
                <w:tab w:val="left" w:pos="567"/>
                <w:tab w:val="left" w:pos="1134"/>
              </w:tabs>
              <w:autoSpaceDE/>
              <w:autoSpaceDN/>
              <w:adjustRightInd/>
              <w:ind w:left="1150" w:hanging="567"/>
              <w:contextualSpacing/>
              <w:rPr>
                <w:sz w:val="22"/>
                <w:szCs w:val="22"/>
                <w:lang w:val="el-GR"/>
              </w:rPr>
            </w:pPr>
            <w:ins w:id="156" w:author="Author">
              <w:r>
                <w:rPr>
                  <w:sz w:val="22"/>
                  <w:szCs w:val="22"/>
                  <w:lang w:val="el-GR"/>
                </w:rPr>
                <w:t>κ</w:t>
              </w:r>
            </w:ins>
            <w:del w:id="157" w:author="Author">
              <w:r>
                <w:rPr>
                  <w:sz w:val="22"/>
                  <w:szCs w:val="22"/>
                  <w:lang w:val="el-GR"/>
                </w:rPr>
                <w:delText>Κ</w:delText>
              </w:r>
            </w:del>
            <w:r>
              <w:rPr>
                <w:sz w:val="22"/>
                <w:szCs w:val="22"/>
                <w:lang w:val="el-GR"/>
              </w:rPr>
              <w:t>άποιο μέρος της φαίνεται να είναι ραγισμένο ή σπασμένο.</w:t>
            </w:r>
          </w:p>
        </w:tc>
      </w:tr>
      <w:tr w:rsidR="00171824" w:rsidRPr="00422380" w14:paraId="58D0A73C"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3C45B229" w14:textId="77777777" w:rsidR="00171824" w:rsidRDefault="006D258C">
            <w:pPr>
              <w:pStyle w:val="ListParagraph"/>
              <w:widowControl/>
              <w:numPr>
                <w:ilvl w:val="0"/>
                <w:numId w:val="39"/>
              </w:numPr>
              <w:tabs>
                <w:tab w:val="left" w:pos="567"/>
                <w:tab w:val="left" w:pos="1134"/>
              </w:tabs>
              <w:autoSpaceDE/>
              <w:autoSpaceDN/>
              <w:adjustRightInd/>
              <w:ind w:left="1150" w:hanging="567"/>
              <w:contextualSpacing/>
              <w:rPr>
                <w:sz w:val="22"/>
                <w:szCs w:val="22"/>
                <w:lang w:val="el-GR"/>
              </w:rPr>
            </w:pPr>
            <w:ins w:id="158" w:author="Author">
              <w:r>
                <w:rPr>
                  <w:sz w:val="22"/>
                  <w:szCs w:val="22"/>
                  <w:lang w:val="el-GR"/>
                </w:rPr>
                <w:t>έ</w:t>
              </w:r>
            </w:ins>
            <w:del w:id="159" w:author="Author">
              <w:r>
                <w:rPr>
                  <w:sz w:val="22"/>
                  <w:szCs w:val="22"/>
                  <w:lang w:val="el-GR"/>
                </w:rPr>
                <w:delText>Έ</w:delText>
              </w:r>
            </w:del>
            <w:r>
              <w:rPr>
                <w:sz w:val="22"/>
                <w:szCs w:val="22"/>
                <w:lang w:val="el-GR"/>
              </w:rPr>
              <w:t>χει πέσει επάνω σε μια σκληρή επιφάνεια.</w:t>
            </w:r>
          </w:p>
        </w:tc>
      </w:tr>
      <w:tr w:rsidR="00171824" w:rsidRPr="00422380" w14:paraId="10FF8EAC"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57AC888E" w14:textId="69DCC008" w:rsidR="00171824" w:rsidRDefault="009039B7">
            <w:pPr>
              <w:pStyle w:val="ListParagraph"/>
              <w:tabs>
                <w:tab w:val="left" w:pos="567"/>
                <w:tab w:val="left" w:pos="1134"/>
              </w:tabs>
              <w:rPr>
                <w:sz w:val="22"/>
                <w:szCs w:val="22"/>
                <w:lang w:val="el-GR"/>
              </w:rPr>
            </w:pPr>
            <w:r>
              <w:rPr>
                <w:noProof/>
              </w:rPr>
              <mc:AlternateContent>
                <mc:Choice Requires="wps">
                  <w:drawing>
                    <wp:anchor distT="45720" distB="45720" distL="114300" distR="114300" simplePos="0" relativeHeight="251654144" behindDoc="0" locked="0" layoutInCell="1" allowOverlap="1" wp14:anchorId="67073705" wp14:editId="0F166992">
                      <wp:simplePos x="0" y="0"/>
                      <wp:positionH relativeFrom="margin">
                        <wp:posOffset>12065</wp:posOffset>
                      </wp:positionH>
                      <wp:positionV relativeFrom="paragraph">
                        <wp:posOffset>-12065</wp:posOffset>
                      </wp:positionV>
                      <wp:extent cx="5606415" cy="431800"/>
                      <wp:effectExtent l="0" t="0" r="0" b="6350"/>
                      <wp:wrapSquare wrapText="bothSides"/>
                      <wp:docPr id="151467450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6628251C"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Εάν η προγεμισμένη </w:t>
                                  </w:r>
                                  <w:ins w:id="160" w:author="Author">
                                    <w:r>
                                      <w:rPr>
                                        <w:sz w:val="22"/>
                                        <w:szCs w:val="22"/>
                                        <w:lang w:val="el-GR"/>
                                      </w:rPr>
                                      <w:t xml:space="preserve">σύριγγα </w:t>
                                    </w:r>
                                  </w:ins>
                                  <w:r>
                                    <w:rPr>
                                      <w:sz w:val="22"/>
                                      <w:szCs w:val="22"/>
                                      <w:lang w:val="el-GR"/>
                                    </w:rPr>
                                    <w:t xml:space="preserve">είναι κατεστραμμένη ή </w:t>
                                  </w:r>
                                  <w:del w:id="161" w:author="Author">
                                    <w:r>
                                      <w:rPr>
                                        <w:sz w:val="22"/>
                                        <w:szCs w:val="22"/>
                                        <w:lang w:val="el-GR"/>
                                      </w:rPr>
                                      <w:delText xml:space="preserve">το φάρμακο </w:delText>
                                    </w:r>
                                  </w:del>
                                  <w:r>
                                    <w:rPr>
                                      <w:sz w:val="22"/>
                                      <w:szCs w:val="22"/>
                                      <w:lang w:val="el-GR"/>
                                    </w:rPr>
                                    <w:t>έχει λήξει, καλέστε τον γιατρό σας ή τον πάροχο υγειονομικής περίθαλψης.</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7073705" id="Text Box 45" o:spid="_x0000_s1030" type="#_x0000_t202" style="position:absolute;margin-left:.95pt;margin-top:-.95pt;width:441.45pt;height:34pt;z-index:251654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N62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" strokecolor="red" strokeweight="1.5pt">
                      <v:textbox style="mso-fit-shape-to-text:t">
                        <w:txbxContent>
                          <w:p w14:paraId="6628251C"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Εάν η προγεμισμένη </w:t>
                            </w:r>
                            <w:ins w:id="1263" w:author="Author">
                              <w:r>
                                <w:rPr>
                                  <w:sz w:val="22"/>
                                  <w:szCs w:val="22"/>
                                  <w:lang w:val="el-GR"/>
                                </w:rPr>
                                <w:t xml:space="preserve">σύριγγα </w:t>
                              </w:r>
                            </w:ins>
                            <w:r>
                              <w:rPr>
                                <w:sz w:val="22"/>
                                <w:szCs w:val="22"/>
                                <w:lang w:val="el-GR"/>
                              </w:rPr>
                              <w:t xml:space="preserve">είναι κατεστραμμένη ή </w:t>
                            </w:r>
                            <w:del w:id="1264" w:author="Author">
                              <w:r>
                                <w:rPr>
                                  <w:sz w:val="22"/>
                                  <w:szCs w:val="22"/>
                                  <w:lang w:val="el-GR"/>
                                </w:rPr>
                                <w:delText xml:space="preserve">το φάρμακο </w:delText>
                              </w:r>
                            </w:del>
                            <w:r>
                              <w:rPr>
                                <w:sz w:val="22"/>
                                <w:szCs w:val="22"/>
                                <w:lang w:val="el-GR"/>
                              </w:rPr>
                              <w:t>έχει λήξει, καλέστε τον γιατρό σας ή τον πάροχο υγειονομικής περίθαλψης.</w:t>
                            </w:r>
                          </w:p>
                        </w:txbxContent>
                      </v:textbox>
                      <w10:wrap type="square" anchorx="margin"/>
                    </v:shape>
                  </w:pict>
                </mc:Fallback>
              </mc:AlternateContent>
            </w:r>
          </w:p>
        </w:tc>
      </w:tr>
    </w:tbl>
    <w:p w14:paraId="37112338" w14:textId="77777777" w:rsidR="00171824" w:rsidRDefault="00171824">
      <w:pPr>
        <w:rPr>
          <w:sz w:val="22"/>
          <w:szCs w:val="22"/>
          <w:lang w:val="el-GR"/>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09"/>
      </w:tblGrid>
      <w:tr w:rsidR="00171824" w:rsidRPr="00422380" w14:paraId="3D593F84"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80E0CE" w14:textId="77777777" w:rsidR="00171824" w:rsidRDefault="006D258C">
            <w:pPr>
              <w:keepNext/>
              <w:rPr>
                <w:b/>
                <w:bCs/>
                <w:sz w:val="22"/>
                <w:szCs w:val="22"/>
                <w:lang w:val="el-GR"/>
              </w:rPr>
            </w:pPr>
            <w:r>
              <w:rPr>
                <w:b/>
                <w:sz w:val="22"/>
                <w:szCs w:val="22"/>
                <w:lang w:val="el-GR"/>
              </w:rPr>
              <w:t>3γ</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63D00ED" w14:textId="77777777" w:rsidR="00171824" w:rsidRDefault="006D258C">
            <w:pPr>
              <w:pStyle w:val="ListParagraph"/>
              <w:keepNext/>
              <w:ind w:left="567" w:hanging="567"/>
              <w:rPr>
                <w:sz w:val="22"/>
                <w:szCs w:val="22"/>
                <w:lang w:val="el-GR"/>
              </w:rPr>
            </w:pPr>
            <w:r>
              <w:rPr>
                <w:b/>
                <w:sz w:val="22"/>
                <w:szCs w:val="22"/>
                <w:lang w:val="el-GR"/>
              </w:rPr>
              <w:t xml:space="preserve">Κάνετε την ένεση σε </w:t>
            </w:r>
            <w:del w:id="162" w:author="Author">
              <w:r>
                <w:rPr>
                  <w:b/>
                  <w:sz w:val="22"/>
                  <w:szCs w:val="22"/>
                  <w:lang w:val="el-GR"/>
                </w:rPr>
                <w:delText xml:space="preserve">μία </w:delText>
              </w:r>
            </w:del>
            <w:ins w:id="163" w:author="Author">
              <w:r>
                <w:rPr>
                  <w:b/>
                  <w:sz w:val="22"/>
                  <w:szCs w:val="22"/>
                  <w:lang w:val="el-GR"/>
                </w:rPr>
                <w:t xml:space="preserve">1 </w:t>
              </w:r>
            </w:ins>
            <w:r>
              <w:rPr>
                <w:b/>
                <w:sz w:val="22"/>
                <w:szCs w:val="22"/>
                <w:lang w:val="el-GR"/>
              </w:rPr>
              <w:t xml:space="preserve">από </w:t>
            </w:r>
            <w:del w:id="164" w:author="Author">
              <w:r>
                <w:rPr>
                  <w:b/>
                  <w:sz w:val="22"/>
                  <w:szCs w:val="22"/>
                  <w:lang w:val="el-GR"/>
                </w:rPr>
                <w:delText>αυτές τις θέσεις</w:delText>
              </w:r>
            </w:del>
            <w:ins w:id="165" w:author="Author">
              <w:r>
                <w:rPr>
                  <w:b/>
                  <w:sz w:val="22"/>
                  <w:szCs w:val="22"/>
                  <w:lang w:val="el-GR"/>
                </w:rPr>
                <w:t>αυτά τα σημεία</w:t>
              </w:r>
            </w:ins>
            <w:r>
              <w:rPr>
                <w:b/>
                <w:sz w:val="22"/>
                <w:szCs w:val="22"/>
                <w:lang w:val="el-GR"/>
              </w:rPr>
              <w:t>.</w:t>
            </w:r>
          </w:p>
        </w:tc>
      </w:tr>
      <w:tr w:rsidR="00171824" w14:paraId="5DBD8EB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3E6865E" w14:textId="4E673A7B" w:rsidR="00171824" w:rsidRDefault="009039B7">
            <w:pPr>
              <w:pStyle w:val="ListParagraph"/>
              <w:keepNext/>
              <w:ind w:left="567" w:hanging="567"/>
              <w:jc w:val="center"/>
              <w:rPr>
                <w:sz w:val="22"/>
                <w:szCs w:val="22"/>
                <w:lang w:val="el-GR"/>
              </w:rPr>
            </w:pPr>
            <w:ins w:id="166" w:author="Author">
              <w:r>
                <w:rPr>
                  <w:noProof/>
                  <w:lang w:val="el-GR"/>
                </w:rPr>
                <w:drawing>
                  <wp:inline distT="0" distB="0" distL="0" distR="0" wp14:anchorId="5A77028F" wp14:editId="29982F9C">
                    <wp:extent cx="1371600" cy="1828800"/>
                    <wp:effectExtent l="0" t="0" r="0" b="0"/>
                    <wp:docPr id="5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ins>
            <w:del w:id="167" w:author="Author">
              <w:r>
                <w:rPr>
                  <w:noProof/>
                  <w:sz w:val="22"/>
                  <w:szCs w:val="22"/>
                  <w:lang w:val="el-GR" w:eastAsia="zh-CN"/>
                </w:rPr>
                <w:drawing>
                  <wp:inline distT="0" distB="0" distL="0" distR="0" wp14:anchorId="05C2149F" wp14:editId="6785A60B">
                    <wp:extent cx="3200400" cy="1925955"/>
                    <wp:effectExtent l="0" t="0" r="0" b="0"/>
                    <wp:docPr id="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del>
          </w:p>
        </w:tc>
      </w:tr>
      <w:tr w:rsidR="00171824" w:rsidRPr="00422380" w14:paraId="4106102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C185EF7" w14:textId="77777777" w:rsidR="00171824" w:rsidRDefault="00171824">
            <w:pPr>
              <w:keepNext/>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5DFFFFD2" w14:textId="77777777" w:rsidR="00171824" w:rsidRDefault="006D258C">
            <w:pPr>
              <w:keepNext/>
              <w:tabs>
                <w:tab w:val="left" w:pos="1134"/>
              </w:tabs>
              <w:rPr>
                <w:b/>
                <w:bCs/>
                <w:sz w:val="22"/>
                <w:szCs w:val="22"/>
                <w:lang w:val="el-GR"/>
              </w:rPr>
            </w:pPr>
            <w:r>
              <w:rPr>
                <w:sz w:val="22"/>
                <w:szCs w:val="22"/>
                <w:lang w:val="el-GR"/>
              </w:rPr>
              <w:t xml:space="preserve">Κάνετε την ένεση </w:t>
            </w:r>
            <w:del w:id="168" w:author="Author">
              <w:r>
                <w:rPr>
                  <w:sz w:val="22"/>
                  <w:szCs w:val="22"/>
                  <w:lang w:val="el-GR"/>
                </w:rPr>
                <w:delText>στον μηρό</w:delText>
              </w:r>
            </w:del>
            <w:ins w:id="169" w:author="Author">
              <w:r>
                <w:rPr>
                  <w:sz w:val="22"/>
                  <w:szCs w:val="22"/>
                  <w:lang w:val="el-GR"/>
                </w:rPr>
                <w:t>στο μπροστινό μέρος του μηρού σας</w:t>
              </w:r>
            </w:ins>
            <w:r>
              <w:rPr>
                <w:sz w:val="22"/>
                <w:szCs w:val="22"/>
                <w:lang w:val="el-GR"/>
              </w:rPr>
              <w:t xml:space="preserve"> ή στην κοιλιά σας (εκτός από μία περιοχή διαμέτρου 5 εκατοστών γύρω από τον ομφαλό σας).</w:t>
            </w:r>
          </w:p>
        </w:tc>
      </w:tr>
      <w:tr w:rsidR="00171824" w:rsidRPr="00422380" w14:paraId="7F9CE67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0A775FA" w14:textId="77777777" w:rsidR="00171824" w:rsidRDefault="00171824">
            <w:pPr>
              <w:keepNext/>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5365B350" w14:textId="77777777" w:rsidR="00171824" w:rsidRDefault="006D258C">
            <w:pPr>
              <w:keepNext/>
              <w:tabs>
                <w:tab w:val="left" w:pos="1134"/>
              </w:tabs>
              <w:rPr>
                <w:sz w:val="22"/>
                <w:szCs w:val="22"/>
                <w:lang w:val="el-GR"/>
              </w:rPr>
            </w:pPr>
            <w:r>
              <w:rPr>
                <w:sz w:val="22"/>
                <w:szCs w:val="22"/>
                <w:lang w:val="el-GR"/>
              </w:rPr>
              <w:t>Επιλέγετε διαφορετικό σημείο για κάθε ένεση.</w:t>
            </w:r>
          </w:p>
        </w:tc>
      </w:tr>
      <w:tr w:rsidR="00171824" w:rsidRPr="00422380" w14:paraId="12FAC03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14169D9" w14:textId="77777777" w:rsidR="00171824" w:rsidRDefault="00171824">
            <w:pPr>
              <w:keepNext/>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058679C9" w14:textId="77777777" w:rsidR="00171824" w:rsidRDefault="006D258C">
            <w:pPr>
              <w:keepNext/>
              <w:tabs>
                <w:tab w:val="left" w:pos="1134"/>
              </w:tabs>
              <w:rPr>
                <w:sz w:val="22"/>
                <w:szCs w:val="22"/>
                <w:lang w:val="el-GR"/>
              </w:rPr>
            </w:pPr>
            <w:r>
              <w:rPr>
                <w:sz w:val="22"/>
                <w:szCs w:val="22"/>
                <w:lang w:val="el-GR"/>
              </w:rPr>
              <w:t>Πλύνετε σχολαστικά τα χέρια σας με σαπούνι και νερό.</w:t>
            </w:r>
          </w:p>
        </w:tc>
      </w:tr>
      <w:tr w:rsidR="00171824" w:rsidRPr="00422380" w14:paraId="42B0F56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8AD515B" w14:textId="77777777" w:rsidR="00171824" w:rsidRDefault="00171824">
            <w:pPr>
              <w:keepNext/>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6C16D331" w14:textId="77777777" w:rsidR="00171824" w:rsidRDefault="006D258C">
            <w:pPr>
              <w:keepNext/>
              <w:rPr>
                <w:sz w:val="22"/>
                <w:szCs w:val="22"/>
                <w:lang w:val="el-GR"/>
              </w:rPr>
            </w:pPr>
            <w:r>
              <w:rPr>
                <w:sz w:val="22"/>
                <w:szCs w:val="22"/>
                <w:lang w:val="el-GR"/>
              </w:rPr>
              <w:t>Καθαρίστε τη θέση της ένεσης με ένα μαντηλάκι οινοπνεύματος.</w:t>
            </w:r>
          </w:p>
        </w:tc>
      </w:tr>
      <w:tr w:rsidR="00171824" w:rsidRPr="00422380" w14:paraId="6CCC4E8E"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19C3ABAB"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029D6F87" w14:textId="77777777" w:rsidR="00171824" w:rsidRDefault="006D258C">
            <w:pPr>
              <w:tabs>
                <w:tab w:val="left" w:pos="1134"/>
              </w:tabs>
              <w:rPr>
                <w:sz w:val="22"/>
                <w:szCs w:val="22"/>
                <w:lang w:val="el-GR"/>
              </w:rPr>
            </w:pPr>
            <w:r>
              <w:rPr>
                <w:sz w:val="22"/>
                <w:szCs w:val="22"/>
                <w:lang w:val="el-GR"/>
              </w:rPr>
              <w:t xml:space="preserve">Αφήστε το δέρμα </w:t>
            </w:r>
            <w:del w:id="170" w:author="Author">
              <w:r>
                <w:rPr>
                  <w:sz w:val="22"/>
                  <w:szCs w:val="22"/>
                  <w:lang w:val="el-GR"/>
                </w:rPr>
                <w:delText xml:space="preserve">σας </w:delText>
              </w:r>
            </w:del>
            <w:r>
              <w:rPr>
                <w:sz w:val="22"/>
                <w:szCs w:val="22"/>
                <w:lang w:val="el-GR"/>
              </w:rPr>
              <w:t>να στεγνώσει.</w:t>
            </w:r>
          </w:p>
        </w:tc>
      </w:tr>
      <w:tr w:rsidR="00171824" w:rsidRPr="00422380" w14:paraId="074D46BA"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74EE867C"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7DAA3F59"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αγγίζετε αυτή την περιοχή ξανά πριν κάνετε την ένεση.</w:t>
            </w:r>
          </w:p>
        </w:tc>
      </w:tr>
      <w:tr w:rsidR="00171824" w:rsidRPr="00422380" w14:paraId="7F938B10"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3A9EF7C1" w14:textId="14CB25A1" w:rsidR="00171824" w:rsidRDefault="009039B7">
            <w:pPr>
              <w:tabs>
                <w:tab w:val="left" w:pos="1134"/>
              </w:tabs>
              <w:rPr>
                <w:b/>
                <w:bCs/>
                <w:sz w:val="22"/>
                <w:szCs w:val="22"/>
                <w:lang w:val="el-GR"/>
              </w:rPr>
            </w:pPr>
            <w:r>
              <w:rPr>
                <w:noProof/>
              </w:rPr>
              <mc:AlternateContent>
                <mc:Choice Requires="wps">
                  <w:drawing>
                    <wp:anchor distT="45720" distB="45720" distL="114300" distR="114300" simplePos="0" relativeHeight="251653120" behindDoc="0" locked="0" layoutInCell="1" allowOverlap="1" wp14:anchorId="2395F14F" wp14:editId="43D31B4D">
                      <wp:simplePos x="0" y="0"/>
                      <wp:positionH relativeFrom="margin">
                        <wp:posOffset>16510</wp:posOffset>
                      </wp:positionH>
                      <wp:positionV relativeFrom="paragraph">
                        <wp:posOffset>53975</wp:posOffset>
                      </wp:positionV>
                      <wp:extent cx="5605780" cy="431800"/>
                      <wp:effectExtent l="0" t="0" r="0" b="6350"/>
                      <wp:wrapSquare wrapText="bothSides"/>
                      <wp:docPr id="7320942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6ED0ABBF"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Αποφεύγετε να κάνετε ενέσεις σε περιοχές με ουλές, ραγάδες ή όπου το δέρμα είναι ευαίσθητο, έχει μώλωπες, είναι ερυθρό ή σκληρό.</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395F14F" id="Text Box 44" o:spid="_x0000_s1031" type="#_x0000_t202" style="position:absolute;margin-left:1.3pt;margin-top:4.25pt;width:441.4pt;height:34pt;z-index:251653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vMtBwIAAA8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" strokecolor="red" strokeweight="1.5pt">
                      <v:textbox style="mso-fit-shape-to-text:t">
                        <w:txbxContent>
                          <w:p w14:paraId="6ED0ABBF"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Αποφεύγετε να κάνετε ενέσεις σε περιοχές με ουλές, ραγάδες ή όπου το δέρμα είναι ευαίσθητο, έχει μώλωπες, είναι ερυθρό ή σκληρό.</w:t>
                            </w:r>
                          </w:p>
                        </w:txbxContent>
                      </v:textbox>
                      <w10:wrap type="square" anchorx="margin"/>
                    </v:shape>
                  </w:pict>
                </mc:Fallback>
              </mc:AlternateContent>
            </w:r>
          </w:p>
        </w:tc>
      </w:tr>
    </w:tbl>
    <w:p w14:paraId="5A4AF0DA" w14:textId="77777777" w:rsidR="00171824" w:rsidRDefault="00171824">
      <w:pPr>
        <w:tabs>
          <w:tab w:val="left" w:pos="1134"/>
        </w:tabs>
        <w:rPr>
          <w:sz w:val="22"/>
          <w:szCs w:val="22"/>
          <w:lang w:val="el-GR"/>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10"/>
      </w:tblGrid>
      <w:tr w:rsidR="00171824" w:rsidRPr="00422380" w14:paraId="063ABE9C"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806C7C5" w14:textId="77777777" w:rsidR="00171824" w:rsidRDefault="006D258C">
            <w:pPr>
              <w:keepNext/>
              <w:rPr>
                <w:b/>
                <w:bCs/>
                <w:sz w:val="22"/>
                <w:szCs w:val="22"/>
                <w:lang w:val="el-GR"/>
              </w:rPr>
            </w:pPr>
            <w:r>
              <w:rPr>
                <w:b/>
                <w:sz w:val="22"/>
                <w:szCs w:val="22"/>
                <w:lang w:val="el-GR"/>
              </w:rPr>
              <w:lastRenderedPageBreak/>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72A8B9D" w14:textId="77777777" w:rsidR="00171824" w:rsidRDefault="006D258C">
            <w:pPr>
              <w:pStyle w:val="ListParagraph"/>
              <w:ind w:left="567" w:hanging="567"/>
              <w:rPr>
                <w:sz w:val="22"/>
                <w:szCs w:val="22"/>
                <w:lang w:val="el-GR"/>
              </w:rPr>
            </w:pPr>
            <w:r>
              <w:rPr>
                <w:b/>
                <w:sz w:val="22"/>
                <w:szCs w:val="22"/>
                <w:lang w:val="el-GR"/>
              </w:rPr>
              <w:t>Πώς να κάνετε την ένεση AMGEVITA</w:t>
            </w:r>
          </w:p>
        </w:tc>
      </w:tr>
      <w:tr w:rsidR="00171824" w:rsidRPr="00422380" w14:paraId="57570C4B"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6AF1F78" w14:textId="61536F16" w:rsidR="00171824" w:rsidRDefault="009039B7">
            <w:pPr>
              <w:pStyle w:val="ListParagraph"/>
              <w:rPr>
                <w:sz w:val="22"/>
                <w:szCs w:val="22"/>
                <w:lang w:val="el-GR"/>
              </w:rPr>
            </w:pPr>
            <w:r>
              <w:rPr>
                <w:noProof/>
              </w:rPr>
              <mc:AlternateContent>
                <mc:Choice Requires="wps">
                  <w:drawing>
                    <wp:anchor distT="45720" distB="45720" distL="114300" distR="114300" simplePos="0" relativeHeight="251650048" behindDoc="0" locked="0" layoutInCell="1" allowOverlap="1" wp14:anchorId="74850A08" wp14:editId="3D041982">
                      <wp:simplePos x="0" y="0"/>
                      <wp:positionH relativeFrom="margin">
                        <wp:posOffset>-2540</wp:posOffset>
                      </wp:positionH>
                      <wp:positionV relativeFrom="paragraph">
                        <wp:posOffset>38735</wp:posOffset>
                      </wp:positionV>
                      <wp:extent cx="5606415" cy="592455"/>
                      <wp:effectExtent l="0" t="0" r="0" b="0"/>
                      <wp:wrapSquare wrapText="bothSides"/>
                      <wp:docPr id="60796456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592455"/>
                              </a:xfrm>
                              <a:prstGeom prst="rect">
                                <a:avLst/>
                              </a:prstGeom>
                              <a:solidFill>
                                <a:srgbClr val="FFFFFF"/>
                              </a:solidFill>
                              <a:ln w="19050">
                                <a:solidFill>
                                  <a:srgbClr val="FF0000"/>
                                </a:solidFill>
                                <a:miter lim="800000"/>
                              </a:ln>
                            </wps:spPr>
                            <wps:txbx>
                              <w:txbxContent>
                                <w:p w14:paraId="4A6D69FC"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Αφαιρέστε το κάλυμμα της βελόνας μόνο όταν μπορείτε να κάνετε την ένεση αμέσως (εντός 5</w:t>
                                  </w:r>
                                  <w:r>
                                    <w:rPr>
                                      <w:sz w:val="22"/>
                                      <w:szCs w:val="22"/>
                                    </w:rPr>
                                    <w:t> </w:t>
                                  </w:r>
                                  <w:r>
                                    <w:rPr>
                                      <w:sz w:val="22"/>
                                      <w:szCs w:val="22"/>
                                      <w:lang w:val="el-GR"/>
                                    </w:rPr>
                                    <w:t>λεπτών) επειδή το φάρμακο μπορεί να ξεραθεί.</w:t>
                                  </w:r>
                                  <w:ins w:id="171" w:author="Author">
                                    <w:r>
                                      <w:rPr>
                                        <w:sz w:val="22"/>
                                        <w:szCs w:val="22"/>
                                        <w:lang w:val="el-GR"/>
                                      </w:rPr>
                                      <w:t xml:space="preserve"> Μην τοποθετήσε</w:t>
                                    </w:r>
                                    <w:del w:id="172" w:author="Author">
                                      <w:r>
                                        <w:rPr>
                                          <w:sz w:val="22"/>
                                          <w:szCs w:val="22"/>
                                          <w:lang w:val="el-GR"/>
                                        </w:rPr>
                                        <w:delText>είτεί</w:delText>
                                      </w:r>
                                    </w:del>
                                    <w:r>
                                      <w:rPr>
                                        <w:sz w:val="22"/>
                                        <w:szCs w:val="22"/>
                                        <w:lang w:val="el-GR"/>
                                      </w:rPr>
                                      <w:t>τε ξανά το κάλυμμα.</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4850A08" id="Text Box 43" o:spid="_x0000_s1032" type="#_x0000_t202" style="position:absolute;margin-left:-.2pt;margin-top:3.05pt;width:441.45pt;height:46.65pt;z-index:251650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" strokecolor="red" strokeweight="1.5pt">
                      <v:textbox style="mso-fit-shape-to-text:t">
                        <w:txbxContent>
                          <w:p w14:paraId="4A6D69FC"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Αφαιρέστε το κάλυμμα της βελόνας μόνο όταν μπορείτε να κάνετε την ένεση αμέσως (εντός 5</w:t>
                            </w:r>
                            <w:r>
                              <w:rPr>
                                <w:sz w:val="22"/>
                                <w:szCs w:val="22"/>
                              </w:rPr>
                              <w:t> </w:t>
                            </w:r>
                            <w:r>
                              <w:rPr>
                                <w:sz w:val="22"/>
                                <w:szCs w:val="22"/>
                                <w:lang w:val="el-GR"/>
                              </w:rPr>
                              <w:t>λεπτών) επειδή το φάρμακο μπορεί να ξεραθεί.</w:t>
                            </w:r>
                            <w:ins w:id="1276" w:author="Author">
                              <w:r>
                                <w:rPr>
                                  <w:sz w:val="22"/>
                                  <w:szCs w:val="22"/>
                                  <w:lang w:val="el-GR"/>
                                </w:rPr>
                                <w:t xml:space="preserve"> Μην τοποθετήσε</w:t>
                              </w:r>
                              <w:del w:id="1277" w:author="Author">
                                <w:r>
                                  <w:rPr>
                                    <w:sz w:val="22"/>
                                    <w:szCs w:val="22"/>
                                    <w:lang w:val="el-GR"/>
                                  </w:rPr>
                                  <w:delText>είτεί</w:delText>
                                </w:r>
                              </w:del>
                              <w:r>
                                <w:rPr>
                                  <w:sz w:val="22"/>
                                  <w:szCs w:val="22"/>
                                  <w:lang w:val="el-GR"/>
                                </w:rPr>
                                <w:t>τε ξανά το κάλυμμα.</w:t>
                              </w:r>
                            </w:ins>
                          </w:p>
                        </w:txbxContent>
                      </v:textbox>
                      <w10:wrap type="square" anchorx="margin"/>
                    </v:shape>
                  </w:pict>
                </mc:Fallback>
              </mc:AlternateContent>
            </w:r>
          </w:p>
        </w:tc>
      </w:tr>
      <w:tr w:rsidR="00171824" w:rsidRPr="00422380" w14:paraId="5729ACEB"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7F80F2" w14:textId="77777777" w:rsidR="00171824" w:rsidRDefault="006D258C">
            <w:pPr>
              <w:keepNext/>
              <w:rPr>
                <w:b/>
                <w:bCs/>
                <w:sz w:val="22"/>
                <w:szCs w:val="22"/>
                <w:lang w:val="el-GR"/>
              </w:rPr>
            </w:pPr>
            <w:r>
              <w:rPr>
                <w:b/>
                <w:sz w:val="22"/>
                <w:szCs w:val="22"/>
                <w:lang w:val="el-GR"/>
              </w:rPr>
              <w:t>4α</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82ACBD" w14:textId="77777777" w:rsidR="00171824" w:rsidRDefault="006D258C">
            <w:pPr>
              <w:pStyle w:val="ListParagraph"/>
              <w:rPr>
                <w:sz w:val="22"/>
                <w:szCs w:val="22"/>
                <w:lang w:val="el-GR"/>
              </w:rPr>
            </w:pPr>
            <w:r>
              <w:rPr>
                <w:b/>
                <w:sz w:val="22"/>
                <w:szCs w:val="22"/>
                <w:lang w:val="el-GR"/>
              </w:rPr>
              <w:t>Τραβήξτε ευθεία προς τα έξω το κάλυμμα της βελόνας κρατώντας τον κύλινδρο της προγεμισμένης σύριγγας.</w:t>
            </w:r>
          </w:p>
        </w:tc>
      </w:tr>
      <w:tr w:rsidR="00171824" w14:paraId="28AAC0ED"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4DBA08A" w14:textId="78744781" w:rsidR="00171824" w:rsidRDefault="009039B7">
            <w:pPr>
              <w:pStyle w:val="ListParagraph"/>
              <w:ind w:left="567" w:hanging="567"/>
              <w:jc w:val="center"/>
              <w:rPr>
                <w:b/>
                <w:bCs/>
                <w:sz w:val="22"/>
                <w:szCs w:val="22"/>
                <w:lang w:val="el-GR"/>
              </w:rPr>
            </w:pPr>
            <w:r>
              <w:rPr>
                <w:noProof/>
                <w:sz w:val="22"/>
                <w:szCs w:val="22"/>
                <w:lang w:val="el-GR" w:eastAsia="zh-CN"/>
              </w:rPr>
              <w:drawing>
                <wp:inline distT="0" distB="0" distL="0" distR="0" wp14:anchorId="4A509151" wp14:editId="5ACFFEF1">
                  <wp:extent cx="3200400" cy="1468755"/>
                  <wp:effectExtent l="0" t="0" r="0" b="0"/>
                  <wp:docPr id="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00400" cy="1468755"/>
                          </a:xfrm>
                          <a:prstGeom prst="rect">
                            <a:avLst/>
                          </a:prstGeom>
                          <a:noFill/>
                          <a:ln>
                            <a:noFill/>
                          </a:ln>
                        </pic:spPr>
                      </pic:pic>
                    </a:graphicData>
                  </a:graphic>
                </wp:inline>
              </w:drawing>
            </w:r>
          </w:p>
        </w:tc>
      </w:tr>
      <w:tr w:rsidR="00171824" w:rsidRPr="00422380" w14:paraId="5D3C5EF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9B80210"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633401F7" w14:textId="77777777" w:rsidR="00171824" w:rsidRDefault="006D258C">
            <w:pPr>
              <w:tabs>
                <w:tab w:val="left" w:pos="1134"/>
              </w:tabs>
              <w:rPr>
                <w:b/>
                <w:bCs/>
                <w:sz w:val="22"/>
                <w:szCs w:val="22"/>
                <w:lang w:val="el-GR"/>
              </w:rPr>
            </w:pPr>
            <w:r>
              <w:rPr>
                <w:b/>
                <w:bCs/>
                <w:sz w:val="22"/>
                <w:szCs w:val="22"/>
                <w:lang w:val="el-GR"/>
              </w:rPr>
              <w:t>Μην</w:t>
            </w:r>
            <w:r>
              <w:rPr>
                <w:sz w:val="22"/>
                <w:szCs w:val="22"/>
                <w:lang w:val="el-GR"/>
              </w:rPr>
              <w:t xml:space="preserve"> περιστρέφετε ή λυγίζετε το κάλυμμα της βελόνας.</w:t>
            </w:r>
          </w:p>
        </w:tc>
      </w:tr>
      <w:tr w:rsidR="00171824" w14:paraId="1752B31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014C5DB"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67F75A5E"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τοποθετείτε </w:t>
            </w:r>
            <w:r>
              <w:rPr>
                <w:b/>
                <w:bCs/>
                <w:sz w:val="22"/>
                <w:szCs w:val="22"/>
                <w:lang w:val="el-GR"/>
              </w:rPr>
              <w:t>ποτέ</w:t>
            </w:r>
            <w:r>
              <w:rPr>
                <w:sz w:val="22"/>
                <w:szCs w:val="22"/>
                <w:lang w:val="el-GR"/>
              </w:rPr>
              <w:t xml:space="preserve"> το κάλυμμα της βελόνας και πάλι στη σύριγγα. Αυτό μπορεί να καταστρέψει τη βελόνα.</w:t>
            </w:r>
          </w:p>
        </w:tc>
      </w:tr>
      <w:tr w:rsidR="00171824" w:rsidRPr="00422380" w14:paraId="28D67BC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AAC9B18"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2AC6D497"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αφήνετε τη βελόνα να έρθει σε επαφή με τίποτα </w:t>
            </w:r>
            <w:del w:id="173" w:author="Author">
              <w:r>
                <w:rPr>
                  <w:sz w:val="22"/>
                  <w:szCs w:val="22"/>
                  <w:lang w:val="el-GR"/>
                </w:rPr>
                <w:delText>μόλις αφαιρεθεί</w:delText>
              </w:r>
            </w:del>
            <w:ins w:id="174" w:author="Author">
              <w:r>
                <w:rPr>
                  <w:sz w:val="22"/>
                  <w:szCs w:val="22"/>
                  <w:lang w:val="el-GR"/>
                </w:rPr>
                <w:t>αφού αφαιρέσετε</w:t>
              </w:r>
            </w:ins>
            <w:r>
              <w:rPr>
                <w:sz w:val="22"/>
                <w:szCs w:val="22"/>
                <w:lang w:val="el-GR"/>
              </w:rPr>
              <w:t xml:space="preserve"> το κάλυμμα της βελόνας.</w:t>
            </w:r>
          </w:p>
        </w:tc>
      </w:tr>
      <w:tr w:rsidR="00171824" w:rsidRPr="00422380" w14:paraId="796E8D2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7572961"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75DB4EE5"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τοποθετείτε την προγεμισμένη σύριγγα χωρίς κάλυμμα σε καμία επιφάνεια αφού </w:t>
            </w:r>
            <w:del w:id="175" w:author="Author">
              <w:r>
                <w:rPr>
                  <w:sz w:val="22"/>
                  <w:szCs w:val="22"/>
                  <w:lang w:val="el-GR"/>
                </w:rPr>
                <w:delText xml:space="preserve">αφαιρεθεί </w:delText>
              </w:r>
            </w:del>
            <w:ins w:id="176" w:author="Author">
              <w:r>
                <w:rPr>
                  <w:sz w:val="22"/>
                  <w:szCs w:val="22"/>
                  <w:lang w:val="el-GR"/>
                </w:rPr>
                <w:t xml:space="preserve">αφαιρέσετε </w:t>
              </w:r>
            </w:ins>
            <w:r>
              <w:rPr>
                <w:sz w:val="22"/>
                <w:szCs w:val="22"/>
                <w:lang w:val="el-GR"/>
              </w:rPr>
              <w:t>το κάλυμμα της βελόνας.</w:t>
            </w:r>
          </w:p>
        </w:tc>
      </w:tr>
      <w:tr w:rsidR="00171824" w14:paraId="48500B5E"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212A8CB4"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7864A663"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επιχειρήσετε να απομακρύνετε φυσαλίδες αέρα από την προγεμισμένη σύριγγα. Δεν πειράζει αν δείτε φυσαλίδες αέρα.</w:t>
            </w:r>
          </w:p>
        </w:tc>
      </w:tr>
      <w:tr w:rsidR="00171824" w:rsidRPr="00422380" w14:paraId="6BC4D552" w14:textId="77777777">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41D0E21A"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057EC7D4" w14:textId="77777777" w:rsidR="00171824" w:rsidRDefault="006D258C">
            <w:pPr>
              <w:tabs>
                <w:tab w:val="left" w:pos="1134"/>
              </w:tabs>
              <w:rPr>
                <w:sz w:val="22"/>
                <w:szCs w:val="22"/>
                <w:lang w:val="el-GR"/>
              </w:rPr>
            </w:pPr>
            <w:r>
              <w:rPr>
                <w:sz w:val="22"/>
                <w:szCs w:val="22"/>
                <w:lang w:val="el-GR"/>
              </w:rPr>
              <w:t>Είναι φυσιολογικό να δείτε μία σταγόνα φαρμάκου</w:t>
            </w:r>
            <w:ins w:id="177" w:author="Author">
              <w:r>
                <w:rPr>
                  <w:sz w:val="22"/>
                  <w:szCs w:val="22"/>
                  <w:lang w:val="el-GR"/>
                </w:rPr>
                <w:t xml:space="preserve"> να βγαίνει από τη βελόνα</w:t>
              </w:r>
            </w:ins>
            <w:r>
              <w:rPr>
                <w:sz w:val="22"/>
                <w:szCs w:val="22"/>
                <w:lang w:val="el-GR"/>
              </w:rPr>
              <w:t>.</w:t>
            </w:r>
          </w:p>
        </w:tc>
      </w:tr>
    </w:tbl>
    <w:p w14:paraId="7938ABAA" w14:textId="77777777" w:rsidR="00171824" w:rsidRDefault="00171824">
      <w:pPr>
        <w:tabs>
          <w:tab w:val="left" w:pos="1134"/>
        </w:tabs>
        <w:rPr>
          <w:sz w:val="22"/>
          <w:szCs w:val="22"/>
          <w:lang w:val="el-GR"/>
        </w:rPr>
      </w:pPr>
    </w:p>
    <w:tbl>
      <w:tblPr>
        <w:tblW w:w="496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80"/>
        <w:gridCol w:w="8305"/>
        <w:gridCol w:w="5"/>
      </w:tblGrid>
      <w:tr w:rsidR="00171824" w:rsidRPr="00422380" w14:paraId="6EEAB441" w14:textId="77777777" w:rsidTr="00422380">
        <w:trPr>
          <w:cantSplit/>
          <w:trHeight w:val="57"/>
        </w:trPr>
        <w:tc>
          <w:tcPr>
            <w:tcW w:w="380" w:type="pct"/>
            <w:tcBorders>
              <w:top w:val="single" w:sz="4" w:space="0" w:color="auto"/>
              <w:left w:val="single" w:sz="4" w:space="0" w:color="auto"/>
              <w:bottom w:val="nil"/>
              <w:right w:val="single" w:sz="4" w:space="0" w:color="auto"/>
            </w:tcBorders>
            <w:tcMar>
              <w:top w:w="28" w:type="dxa"/>
              <w:left w:w="57" w:type="dxa"/>
              <w:bottom w:w="28" w:type="dxa"/>
              <w:right w:w="57" w:type="dxa"/>
            </w:tcMar>
          </w:tcPr>
          <w:p w14:paraId="0E1E82C9" w14:textId="77777777" w:rsidR="00171824" w:rsidRDefault="006D258C">
            <w:pPr>
              <w:keepNext/>
              <w:rPr>
                <w:b/>
                <w:bCs/>
                <w:sz w:val="22"/>
                <w:szCs w:val="22"/>
                <w:lang w:val="el-GR"/>
              </w:rPr>
            </w:pPr>
            <w:r>
              <w:rPr>
                <w:b/>
                <w:sz w:val="22"/>
                <w:szCs w:val="22"/>
                <w:lang w:val="el-GR"/>
              </w:rPr>
              <w:lastRenderedPageBreak/>
              <w:t>4β</w:t>
            </w:r>
          </w:p>
        </w:tc>
        <w:tc>
          <w:tcPr>
            <w:tcW w:w="462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8C0D65" w14:textId="77777777" w:rsidR="00171824" w:rsidRDefault="006D258C">
            <w:pPr>
              <w:pStyle w:val="ListParagraph"/>
              <w:keepNext/>
              <w:ind w:left="567" w:hanging="567"/>
              <w:rPr>
                <w:sz w:val="22"/>
                <w:szCs w:val="22"/>
                <w:lang w:val="el-GR"/>
              </w:rPr>
            </w:pPr>
            <w:r>
              <w:rPr>
                <w:b/>
                <w:sz w:val="22"/>
                <w:szCs w:val="22"/>
                <w:lang w:val="el-GR"/>
              </w:rPr>
              <w:t>«Τσιμπήστε» το δέρμα γύρω από το σημείο της ένεσης πριν από την ένεση.</w:t>
            </w:r>
          </w:p>
        </w:tc>
      </w:tr>
      <w:tr w:rsidR="00422380" w:rsidRPr="00422380" w14:paraId="79ED7496" w14:textId="77777777" w:rsidTr="00422380">
        <w:trPr>
          <w:gridAfter w:val="1"/>
          <w:wAfter w:w="44" w:type="dxa"/>
          <w:cantSplit/>
          <w:trHeight w:val="57"/>
          <w:del w:id="178" w:author="Author"/>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3D121647" w14:textId="77777777" w:rsidR="00171824" w:rsidRDefault="006D258C">
            <w:pPr>
              <w:keepNext/>
              <w:tabs>
                <w:tab w:val="left" w:pos="1134"/>
              </w:tabs>
              <w:jc w:val="center"/>
              <w:rPr>
                <w:del w:id="179" w:author="Author"/>
                <w:sz w:val="22"/>
                <w:szCs w:val="22"/>
                <w:lang w:val="el-GR"/>
              </w:rPr>
            </w:pPr>
            <w:del w:id="180" w:author="Author">
              <w:r>
                <w:rPr>
                  <w:b/>
                  <w:sz w:val="22"/>
                  <w:szCs w:val="22"/>
                  <w:lang w:val="el-GR"/>
                </w:rPr>
                <w:delText>ΤΣΙΜΠΗΣΤΕ</w:delText>
              </w:r>
            </w:del>
          </w:p>
        </w:tc>
      </w:tr>
      <w:tr w:rsidR="00171824" w14:paraId="23EBD450" w14:textId="77777777" w:rsidTr="00422380">
        <w:trPr>
          <w:cantSplit/>
          <w:trHeight w:val="57"/>
        </w:trPr>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tbl>
            <w:tblPr>
              <w:tblW w:w="4814"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4452"/>
              <w:gridCol w:w="4094"/>
            </w:tblGrid>
            <w:tr w:rsidR="00422380" w14:paraId="2A032C8C" w14:textId="77777777" w:rsidTr="00422380">
              <w:trPr>
                <w:cantSplit/>
                <w:trHeight w:val="57"/>
                <w:ins w:id="181" w:author="Author"/>
              </w:trPr>
              <w:tc>
                <w:tcPr>
                  <w:tcW w:w="2605" w:type="pct"/>
                  <w:tcBorders>
                    <w:top w:val="single" w:sz="4" w:space="0" w:color="auto"/>
                    <w:left w:val="nil"/>
                    <w:bottom w:val="nil"/>
                    <w:right w:val="nil"/>
                  </w:tcBorders>
                  <w:tcMar>
                    <w:top w:w="28" w:type="dxa"/>
                    <w:left w:w="57" w:type="dxa"/>
                    <w:bottom w:w="28" w:type="dxa"/>
                    <w:right w:w="57" w:type="dxa"/>
                  </w:tcMar>
                </w:tcPr>
                <w:p w14:paraId="259E93AF" w14:textId="77777777" w:rsidR="00171824" w:rsidRDefault="00171824">
                  <w:pPr>
                    <w:keepNext/>
                    <w:tabs>
                      <w:tab w:val="left" w:pos="514"/>
                      <w:tab w:val="left" w:pos="1134"/>
                      <w:tab w:val="center" w:pos="4507"/>
                    </w:tabs>
                    <w:rPr>
                      <w:ins w:id="182" w:author="Author"/>
                      <w:szCs w:val="22"/>
                      <w:lang w:val="el-GR" w:eastAsia="en-GB"/>
                    </w:rPr>
                  </w:pPr>
                </w:p>
                <w:p w14:paraId="4F945759" w14:textId="77777777" w:rsidR="00171824" w:rsidRPr="00422380" w:rsidRDefault="006D258C">
                  <w:pPr>
                    <w:keepNext/>
                    <w:tabs>
                      <w:tab w:val="left" w:pos="1134"/>
                    </w:tabs>
                    <w:jc w:val="right"/>
                    <w:rPr>
                      <w:ins w:id="183" w:author="Author"/>
                      <w:sz w:val="22"/>
                      <w:szCs w:val="22"/>
                      <w:lang w:val="el-GR"/>
                    </w:rPr>
                  </w:pPr>
                  <w:ins w:id="184" w:author="Author">
                    <w:r w:rsidRPr="00422380">
                      <w:rPr>
                        <w:sz w:val="22"/>
                        <w:szCs w:val="22"/>
                        <w:lang w:val="el-GR"/>
                      </w:rPr>
                      <w:t xml:space="preserve">ΤΣΙΜΠΗΣΤΕ το δέρμα </w:t>
                    </w:r>
                  </w:ins>
                </w:p>
                <w:p w14:paraId="08E7C2B5" w14:textId="77777777" w:rsidR="00171824" w:rsidRDefault="006D258C">
                  <w:pPr>
                    <w:keepNext/>
                    <w:tabs>
                      <w:tab w:val="left" w:pos="1134"/>
                    </w:tabs>
                    <w:jc w:val="right"/>
                    <w:rPr>
                      <w:ins w:id="185" w:author="Author"/>
                      <w:szCs w:val="22"/>
                      <w:lang w:val="el-GR" w:eastAsia="en-GB"/>
                    </w:rPr>
                  </w:pPr>
                  <w:ins w:id="186" w:author="Author">
                    <w:r w:rsidRPr="00422380">
                      <w:rPr>
                        <w:sz w:val="22"/>
                        <w:szCs w:val="22"/>
                        <w:lang w:val="el-GR"/>
                      </w:rPr>
                      <w:t>στο σημείο της ένεση</w:t>
                    </w:r>
                    <w:r>
                      <w:rPr>
                        <w:lang w:val="el-GR"/>
                      </w:rPr>
                      <w:t>ς</w:t>
                    </w:r>
                  </w:ins>
                </w:p>
              </w:tc>
              <w:tc>
                <w:tcPr>
                  <w:tcW w:w="2395" w:type="pct"/>
                  <w:tcBorders>
                    <w:top w:val="single" w:sz="4" w:space="0" w:color="auto"/>
                    <w:left w:val="nil"/>
                    <w:bottom w:val="nil"/>
                    <w:right w:val="nil"/>
                  </w:tcBorders>
                </w:tcPr>
                <w:p w14:paraId="3E255745" w14:textId="77777777" w:rsidR="00171824" w:rsidRDefault="00171824">
                  <w:pPr>
                    <w:keepNext/>
                    <w:tabs>
                      <w:tab w:val="left" w:pos="514"/>
                      <w:tab w:val="left" w:pos="1134"/>
                      <w:tab w:val="center" w:pos="4507"/>
                    </w:tabs>
                    <w:spacing w:after="100" w:afterAutospacing="1"/>
                    <w:rPr>
                      <w:ins w:id="187" w:author="Author"/>
                      <w:lang w:val="el-GR"/>
                    </w:rPr>
                  </w:pPr>
                </w:p>
                <w:p w14:paraId="3991D0C7" w14:textId="43CC6C9C" w:rsidR="00171824" w:rsidRDefault="009039B7">
                  <w:pPr>
                    <w:keepNext/>
                    <w:tabs>
                      <w:tab w:val="left" w:pos="514"/>
                      <w:tab w:val="left" w:pos="1134"/>
                      <w:tab w:val="center" w:pos="4507"/>
                    </w:tabs>
                    <w:spacing w:after="100" w:afterAutospacing="1"/>
                    <w:rPr>
                      <w:ins w:id="188" w:author="Author"/>
                      <w:b/>
                      <w:bCs/>
                    </w:rPr>
                  </w:pPr>
                  <w:ins w:id="189" w:author="Author">
                    <w:r>
                      <w:rPr>
                        <w:noProof/>
                      </w:rPr>
                      <w:drawing>
                        <wp:inline distT="0" distB="0" distL="0" distR="0" wp14:anchorId="3D0F05D3" wp14:editId="339DB242">
                          <wp:extent cx="2188845" cy="914400"/>
                          <wp:effectExtent l="0" t="0" r="0" b="0"/>
                          <wp:docPr id="5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8845" cy="914400"/>
                                  </a:xfrm>
                                  <a:prstGeom prst="rect">
                                    <a:avLst/>
                                  </a:prstGeom>
                                  <a:noFill/>
                                  <a:ln>
                                    <a:noFill/>
                                  </a:ln>
                                </pic:spPr>
                              </pic:pic>
                            </a:graphicData>
                          </a:graphic>
                        </wp:inline>
                      </w:drawing>
                    </w:r>
                  </w:ins>
                </w:p>
              </w:tc>
            </w:tr>
          </w:tbl>
          <w:p w14:paraId="56D0D0EC" w14:textId="2C376A5C" w:rsidR="00171824" w:rsidRDefault="006D258C" w:rsidP="00422380">
            <w:pPr>
              <w:keepNext/>
              <w:tabs>
                <w:tab w:val="left" w:pos="1134"/>
              </w:tabs>
              <w:jc w:val="right"/>
              <w:rPr>
                <w:b/>
                <w:bCs/>
                <w:sz w:val="22"/>
                <w:szCs w:val="22"/>
                <w:lang w:val="el-GR"/>
              </w:rPr>
            </w:pPr>
            <w:ins w:id="190" w:author="Author">
              <w:del w:id="191" w:author="Author">
                <w:r>
                  <w:rPr>
                    <w:b/>
                    <w:sz w:val="22"/>
                    <w:szCs w:val="22"/>
                    <w:lang w:val="el-GR"/>
                  </w:rPr>
                  <w:delText>ΤΣΙΜΠΗΣΤΕ</w:delText>
                </w:r>
                <w:r>
                  <w:rPr>
                    <w:sz w:val="22"/>
                    <w:szCs w:val="22"/>
                    <w:lang w:val="el-GR" w:eastAsia="zh-CN"/>
                  </w:rPr>
                  <w:delText xml:space="preserve"> </w:delText>
                </w:r>
                <w:r>
                  <w:rPr>
                    <w:sz w:val="22"/>
                    <w:szCs w:val="22"/>
                    <w:lang w:val="el-GR" w:eastAsia="zh-CN"/>
                  </w:rPr>
                  <w:br/>
                  <w:delText xml:space="preserve">το δέρμα στο σημείο της ένεσης </w:delText>
                </w:r>
              </w:del>
            </w:ins>
            <w:del w:id="192" w:author="Author">
              <w:r w:rsidR="009039B7">
                <w:rPr>
                  <w:noProof/>
                  <w:sz w:val="22"/>
                  <w:szCs w:val="22"/>
                  <w:lang w:val="el-GR" w:eastAsia="zh-CN"/>
                </w:rPr>
                <w:drawing>
                  <wp:inline distT="0" distB="0" distL="0" distR="0" wp14:anchorId="31CA479C" wp14:editId="6CDE6E39">
                    <wp:extent cx="1925955" cy="1188720"/>
                    <wp:effectExtent l="0" t="0" r="0" b="0"/>
                    <wp:docPr id="5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25955" cy="1188720"/>
                            </a:xfrm>
                            <a:prstGeom prst="rect">
                              <a:avLst/>
                            </a:prstGeom>
                            <a:noFill/>
                            <a:ln>
                              <a:noFill/>
                            </a:ln>
                          </pic:spPr>
                        </pic:pic>
                      </a:graphicData>
                    </a:graphic>
                  </wp:inline>
                </w:drawing>
              </w:r>
            </w:del>
            <w:ins w:id="193" w:author="Author">
              <w:del w:id="194" w:author="Author">
                <w:r w:rsidR="009039B7">
                  <w:rPr>
                    <w:noProof/>
                  </w:rPr>
                  <w:drawing>
                    <wp:inline distT="0" distB="0" distL="0" distR="0" wp14:anchorId="61D4794C" wp14:editId="1E104E56">
                      <wp:extent cx="2188845" cy="914400"/>
                      <wp:effectExtent l="0" t="0" r="0" b="0"/>
                      <wp:docPr id="5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88845" cy="914400"/>
                              </a:xfrm>
                              <a:prstGeom prst="rect">
                                <a:avLst/>
                              </a:prstGeom>
                              <a:noFill/>
                              <a:ln>
                                <a:noFill/>
                              </a:ln>
                            </pic:spPr>
                          </pic:pic>
                        </a:graphicData>
                      </a:graphic>
                    </wp:inline>
                  </w:drawing>
                </w:r>
                <w:r w:rsidR="009039B7">
                  <w:rPr>
                    <w:noProof/>
                  </w:rPr>
                  <w:drawing>
                    <wp:inline distT="0" distB="0" distL="0" distR="0" wp14:anchorId="77F5195A" wp14:editId="6664AB9A">
                      <wp:extent cx="1925955" cy="640080"/>
                      <wp:effectExtent l="0" t="0" r="0" b="0"/>
                      <wp:docPr id="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25955" cy="640080"/>
                              </a:xfrm>
                              <a:prstGeom prst="rect">
                                <a:avLst/>
                              </a:prstGeom>
                              <a:noFill/>
                              <a:ln>
                                <a:noFill/>
                              </a:ln>
                            </pic:spPr>
                          </pic:pic>
                        </a:graphicData>
                      </a:graphic>
                    </wp:inline>
                  </w:drawing>
                </w:r>
              </w:del>
            </w:ins>
          </w:p>
        </w:tc>
      </w:tr>
      <w:tr w:rsidR="00171824" w:rsidRPr="00422380" w14:paraId="50893BF1" w14:textId="77777777" w:rsidTr="00422380">
        <w:trPr>
          <w:cantSplit/>
          <w:trHeight w:val="57"/>
        </w:trPr>
        <w:tc>
          <w:tcPr>
            <w:tcW w:w="380" w:type="pct"/>
            <w:tcBorders>
              <w:top w:val="single" w:sz="4" w:space="0" w:color="auto"/>
              <w:left w:val="single" w:sz="4" w:space="0" w:color="auto"/>
              <w:bottom w:val="nil"/>
              <w:right w:val="nil"/>
            </w:tcBorders>
            <w:tcMar>
              <w:top w:w="28" w:type="dxa"/>
              <w:left w:w="57" w:type="dxa"/>
              <w:bottom w:w="28" w:type="dxa"/>
              <w:right w:w="57" w:type="dxa"/>
            </w:tcMar>
          </w:tcPr>
          <w:p w14:paraId="293CCE17"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20" w:type="pct"/>
            <w:gridSpan w:val="2"/>
            <w:tcBorders>
              <w:top w:val="single" w:sz="4" w:space="0" w:color="auto"/>
              <w:left w:val="nil"/>
              <w:bottom w:val="nil"/>
              <w:right w:val="single" w:sz="4" w:space="0" w:color="auto"/>
            </w:tcBorders>
            <w:tcMar>
              <w:top w:w="0" w:type="dxa"/>
              <w:left w:w="0" w:type="dxa"/>
              <w:bottom w:w="0" w:type="dxa"/>
              <w:right w:w="108" w:type="dxa"/>
            </w:tcMar>
          </w:tcPr>
          <w:p w14:paraId="1CBB17B5" w14:textId="77777777" w:rsidR="00171824" w:rsidRDefault="006D258C">
            <w:pPr>
              <w:tabs>
                <w:tab w:val="left" w:pos="1134"/>
              </w:tabs>
              <w:rPr>
                <w:b/>
                <w:bCs/>
                <w:sz w:val="22"/>
                <w:szCs w:val="22"/>
                <w:lang w:val="el-GR"/>
              </w:rPr>
            </w:pPr>
            <w:r>
              <w:rPr>
                <w:sz w:val="22"/>
                <w:szCs w:val="22"/>
                <w:lang w:val="el-GR"/>
              </w:rPr>
              <w:t>«Τσιμπήστε» το δέρμα μεταξύ του αντίχειρα και του δείκτη σας, για να δημιουργήσετε ένα εξόγκωμα για την ένεση.</w:t>
            </w:r>
          </w:p>
        </w:tc>
      </w:tr>
      <w:tr w:rsidR="00171824" w:rsidRPr="00422380" w14:paraId="3BC6BE64" w14:textId="77777777" w:rsidTr="00422380">
        <w:trPr>
          <w:cantSplit/>
          <w:trHeight w:val="307"/>
        </w:trPr>
        <w:tc>
          <w:tcPr>
            <w:tcW w:w="380" w:type="pct"/>
            <w:tcBorders>
              <w:top w:val="nil"/>
              <w:left w:val="single" w:sz="4" w:space="0" w:color="auto"/>
              <w:bottom w:val="nil"/>
              <w:right w:val="nil"/>
            </w:tcBorders>
            <w:tcMar>
              <w:top w:w="28" w:type="dxa"/>
              <w:left w:w="57" w:type="dxa"/>
              <w:bottom w:w="28" w:type="dxa"/>
              <w:right w:w="57" w:type="dxa"/>
            </w:tcMar>
          </w:tcPr>
          <w:p w14:paraId="3BCD6770"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20" w:type="pct"/>
            <w:gridSpan w:val="2"/>
            <w:tcBorders>
              <w:top w:val="nil"/>
              <w:left w:val="nil"/>
              <w:bottom w:val="nil"/>
              <w:right w:val="single" w:sz="4" w:space="0" w:color="auto"/>
            </w:tcBorders>
            <w:tcMar>
              <w:top w:w="0" w:type="dxa"/>
              <w:left w:w="0" w:type="dxa"/>
              <w:bottom w:w="0" w:type="dxa"/>
              <w:right w:w="108" w:type="dxa"/>
            </w:tcMar>
          </w:tcPr>
          <w:p w14:paraId="52061A30" w14:textId="77777777" w:rsidR="00171824" w:rsidDel="000B145D" w:rsidRDefault="006D258C">
            <w:pPr>
              <w:tabs>
                <w:tab w:val="left" w:pos="1134"/>
              </w:tabs>
              <w:rPr>
                <w:ins w:id="195" w:author="Author"/>
                <w:del w:id="196" w:author="Author"/>
                <w:sz w:val="22"/>
                <w:szCs w:val="22"/>
                <w:lang w:val="el-GR"/>
              </w:rPr>
            </w:pPr>
            <w:r>
              <w:rPr>
                <w:sz w:val="22"/>
                <w:szCs w:val="22"/>
                <w:lang w:val="el-GR"/>
              </w:rPr>
              <w:t>Εάν είναι εφικτό, το εξόγκωμα πρέπει να είναι πλάτους περίπου 5 εκατοστών.</w:t>
            </w:r>
          </w:p>
          <w:p w14:paraId="4F278FDC" w14:textId="241D6A1A" w:rsidR="00171824" w:rsidRPr="00A07F46" w:rsidRDefault="00171824">
            <w:pPr>
              <w:tabs>
                <w:tab w:val="left" w:pos="1134"/>
              </w:tabs>
              <w:rPr>
                <w:sz w:val="22"/>
                <w:szCs w:val="22"/>
                <w:lang w:val="el-GR"/>
              </w:rPr>
            </w:pPr>
          </w:p>
        </w:tc>
      </w:tr>
      <w:tr w:rsidR="000B145D" w:rsidRPr="00422380" w14:paraId="64A3BDFD" w14:textId="77777777" w:rsidTr="00422380">
        <w:trPr>
          <w:cantSplit/>
          <w:trHeight w:val="511"/>
          <w:ins w:id="197" w:author="Author"/>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048104D9" w14:textId="779401A5" w:rsidR="000B145D" w:rsidRPr="00A07F46" w:rsidRDefault="009039B7">
            <w:pPr>
              <w:tabs>
                <w:tab w:val="left" w:pos="1134"/>
              </w:tabs>
              <w:rPr>
                <w:ins w:id="198" w:author="Author"/>
                <w:sz w:val="22"/>
                <w:szCs w:val="22"/>
                <w:lang w:val="el-GR"/>
              </w:rPr>
            </w:pPr>
            <w:r>
              <w:rPr>
                <w:noProof/>
              </w:rPr>
              <mc:AlternateContent>
                <mc:Choice Requires="wps">
                  <w:drawing>
                    <wp:anchor distT="45720" distB="45720" distL="114300" distR="114300" simplePos="0" relativeHeight="251655168" behindDoc="0" locked="0" layoutInCell="1" allowOverlap="1" wp14:anchorId="0672411C" wp14:editId="15479E63">
                      <wp:simplePos x="0" y="0"/>
                      <wp:positionH relativeFrom="margin">
                        <wp:posOffset>16510</wp:posOffset>
                      </wp:positionH>
                      <wp:positionV relativeFrom="paragraph">
                        <wp:posOffset>10160</wp:posOffset>
                      </wp:positionV>
                      <wp:extent cx="5582285" cy="271145"/>
                      <wp:effectExtent l="0" t="0" r="0" b="0"/>
                      <wp:wrapSquare wrapText="bothSides"/>
                      <wp:docPr id="56828398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5" cy="271145"/>
                              </a:xfrm>
                              <a:prstGeom prst="rect">
                                <a:avLst/>
                              </a:prstGeom>
                              <a:solidFill>
                                <a:srgbClr val="FFFFFF"/>
                              </a:solidFill>
                              <a:ln w="19050">
                                <a:solidFill>
                                  <a:srgbClr val="FF0000"/>
                                </a:solidFill>
                                <a:miter lim="800000"/>
                              </a:ln>
                            </wps:spPr>
                            <wps:txbx>
                              <w:txbxContent>
                                <w:p w14:paraId="100AA12E"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Συνεχίστε να «τσιμπάτε» το δέρμα μέχρι να ολοκληρωθεί η ένεση.</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672411C" id="Text Box 42" o:spid="_x0000_s1033" type="#_x0000_t202" style="position:absolute;margin-left:1.3pt;margin-top:.8pt;width:439.55pt;height:21.35pt;z-index:251655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" strokecolor="red" strokeweight="1.5pt">
                      <v:textbox style="mso-fit-shape-to-text:t">
                        <w:txbxContent>
                          <w:p w14:paraId="100AA12E"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Συνεχίστε να «τσιμπάτε» το δέρμα μέχρι να ολοκληρωθεί η ένεση.</w:t>
                            </w:r>
                          </w:p>
                        </w:txbxContent>
                      </v:textbox>
                      <w10:wrap type="square" anchorx="margin"/>
                    </v:shape>
                  </w:pict>
                </mc:Fallback>
              </mc:AlternateContent>
            </w:r>
          </w:p>
        </w:tc>
      </w:tr>
    </w:tbl>
    <w:p w14:paraId="5282E981" w14:textId="77777777" w:rsidR="00171824" w:rsidRDefault="00171824">
      <w:pPr>
        <w:tabs>
          <w:tab w:val="left" w:pos="1134"/>
        </w:tabs>
        <w:rPr>
          <w:sz w:val="22"/>
          <w:szCs w:val="22"/>
          <w:lang w:val="el-GR"/>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7"/>
        <w:gridCol w:w="8434"/>
      </w:tblGrid>
      <w:tr w:rsidR="00171824" w:rsidRPr="00422380" w14:paraId="753DE488" w14:textId="77777777" w:rsidTr="00422380">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344D847" w14:textId="77777777" w:rsidR="00171824" w:rsidRDefault="006D258C">
            <w:pPr>
              <w:keepNext/>
              <w:rPr>
                <w:b/>
                <w:bCs/>
                <w:sz w:val="22"/>
                <w:szCs w:val="22"/>
                <w:lang w:val="el-GR"/>
              </w:rPr>
            </w:pPr>
            <w:r>
              <w:rPr>
                <w:b/>
                <w:sz w:val="22"/>
                <w:szCs w:val="22"/>
                <w:lang w:val="el-GR"/>
              </w:rPr>
              <w:t>4γ</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329CA2D" w14:textId="77777777" w:rsidR="00171824" w:rsidRDefault="006D258C">
            <w:pPr>
              <w:pStyle w:val="ListParagraph"/>
              <w:ind w:left="567" w:hanging="567"/>
              <w:rPr>
                <w:sz w:val="22"/>
                <w:szCs w:val="22"/>
                <w:lang w:val="el-GR"/>
              </w:rPr>
            </w:pPr>
            <w:r>
              <w:rPr>
                <w:b/>
                <w:sz w:val="22"/>
                <w:szCs w:val="22"/>
                <w:lang w:val="el-GR"/>
              </w:rPr>
              <w:t>Εισάγετε τη βελόνα στο τσιμπημένο δέρμα σας</w:t>
            </w:r>
            <w:ins w:id="199" w:author="Author">
              <w:r>
                <w:rPr>
                  <w:b/>
                  <w:sz w:val="22"/>
                  <w:szCs w:val="22"/>
                  <w:lang w:val="el-GR"/>
                </w:rPr>
                <w:t xml:space="preserve"> υπό γωνία 45 μοιρών</w:t>
              </w:r>
            </w:ins>
            <w:r>
              <w:rPr>
                <w:b/>
                <w:sz w:val="22"/>
                <w:szCs w:val="22"/>
                <w:lang w:val="el-GR"/>
              </w:rPr>
              <w:t>.</w:t>
            </w:r>
          </w:p>
        </w:tc>
      </w:tr>
      <w:tr w:rsidR="00171824" w14:paraId="44F82C9A" w14:textId="77777777" w:rsidTr="00422380">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275317B" w14:textId="77777777" w:rsidR="00171824" w:rsidRDefault="006D258C">
            <w:pPr>
              <w:keepNext/>
              <w:tabs>
                <w:tab w:val="left" w:pos="1134"/>
              </w:tabs>
              <w:jc w:val="center"/>
              <w:rPr>
                <w:sz w:val="22"/>
                <w:szCs w:val="22"/>
                <w:lang w:val="el-GR"/>
              </w:rPr>
            </w:pPr>
            <w:r>
              <w:rPr>
                <w:b/>
                <w:sz w:val="22"/>
                <w:szCs w:val="22"/>
                <w:lang w:val="el-GR"/>
              </w:rPr>
              <w:t>ΕΙΣΑΓΕΤΕ</w:t>
            </w:r>
          </w:p>
        </w:tc>
      </w:tr>
      <w:tr w:rsidR="00171824" w14:paraId="7E32C768" w14:textId="77777777" w:rsidTr="00422380">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FD3DF84" w14:textId="3F79F0CD" w:rsidR="00171824" w:rsidRDefault="009039B7">
            <w:pPr>
              <w:keepNext/>
              <w:tabs>
                <w:tab w:val="left" w:pos="1134"/>
              </w:tabs>
              <w:jc w:val="center"/>
              <w:rPr>
                <w:b/>
                <w:bCs/>
                <w:sz w:val="22"/>
                <w:szCs w:val="22"/>
                <w:lang w:val="el-GR"/>
              </w:rPr>
            </w:pPr>
            <w:del w:id="200" w:author="Author">
              <w:r>
                <w:rPr>
                  <w:noProof/>
                  <w:sz w:val="22"/>
                  <w:szCs w:val="22"/>
                  <w:lang w:val="el-GR" w:eastAsia="zh-CN"/>
                </w:rPr>
                <w:drawing>
                  <wp:inline distT="0" distB="0" distL="0" distR="0" wp14:anchorId="591103F7" wp14:editId="1DF447FA">
                    <wp:extent cx="2646045" cy="1554480"/>
                    <wp:effectExtent l="0" t="0" r="0" b="0"/>
                    <wp:docPr id="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46045" cy="1554480"/>
                            </a:xfrm>
                            <a:prstGeom prst="rect">
                              <a:avLst/>
                            </a:prstGeom>
                            <a:noFill/>
                            <a:ln>
                              <a:noFill/>
                            </a:ln>
                          </pic:spPr>
                        </pic:pic>
                      </a:graphicData>
                    </a:graphic>
                  </wp:inline>
                </w:drawing>
              </w:r>
            </w:del>
            <w:ins w:id="201" w:author="Author">
              <w:r>
                <w:rPr>
                  <w:noProof/>
                </w:rPr>
                <w:drawing>
                  <wp:inline distT="0" distB="0" distL="0" distR="0" wp14:anchorId="293829B4" wp14:editId="717CA692">
                    <wp:extent cx="1925955" cy="1188720"/>
                    <wp:effectExtent l="0" t="0" r="0" b="0"/>
                    <wp:docPr id="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25955" cy="1188720"/>
                            </a:xfrm>
                            <a:prstGeom prst="rect">
                              <a:avLst/>
                            </a:prstGeom>
                            <a:noFill/>
                            <a:ln>
                              <a:noFill/>
                            </a:ln>
                          </pic:spPr>
                        </pic:pic>
                      </a:graphicData>
                    </a:graphic>
                  </wp:inline>
                </w:drawing>
              </w:r>
            </w:ins>
          </w:p>
        </w:tc>
      </w:tr>
      <w:tr w:rsidR="00171824" w14:paraId="173C1315" w14:textId="77777777" w:rsidTr="00422380">
        <w:trPr>
          <w:cantSplit/>
          <w:trHeight w:val="57"/>
          <w:del w:id="202" w:author="Author"/>
        </w:trPr>
        <w:tc>
          <w:tcPr>
            <w:tcW w:w="346" w:type="pct"/>
            <w:tcBorders>
              <w:top w:val="nil"/>
              <w:left w:val="single" w:sz="4" w:space="0" w:color="auto"/>
              <w:bottom w:val="nil"/>
              <w:right w:val="nil"/>
            </w:tcBorders>
            <w:tcMar>
              <w:top w:w="28" w:type="dxa"/>
              <w:left w:w="57" w:type="dxa"/>
              <w:bottom w:w="28" w:type="dxa"/>
              <w:right w:w="57" w:type="dxa"/>
            </w:tcMar>
          </w:tcPr>
          <w:p w14:paraId="7D18D5BE" w14:textId="77777777" w:rsidR="00171824" w:rsidRDefault="00171824">
            <w:pPr>
              <w:widowControl/>
              <w:numPr>
                <w:ilvl w:val="0"/>
                <w:numId w:val="36"/>
              </w:numPr>
              <w:tabs>
                <w:tab w:val="left" w:pos="708"/>
              </w:tabs>
              <w:autoSpaceDE/>
              <w:autoSpaceDN/>
              <w:adjustRightInd/>
              <w:ind w:left="567" w:hanging="567"/>
              <w:rPr>
                <w:del w:id="203" w:author="Author"/>
                <w:sz w:val="22"/>
                <w:szCs w:val="22"/>
                <w:lang w:val="el-GR"/>
              </w:rPr>
            </w:pPr>
          </w:p>
        </w:tc>
        <w:tc>
          <w:tcPr>
            <w:tcW w:w="4654" w:type="pct"/>
            <w:tcBorders>
              <w:top w:val="nil"/>
              <w:left w:val="nil"/>
              <w:bottom w:val="nil"/>
              <w:right w:val="single" w:sz="4" w:space="0" w:color="auto"/>
            </w:tcBorders>
            <w:tcMar>
              <w:top w:w="0" w:type="dxa"/>
              <w:left w:w="0" w:type="dxa"/>
              <w:bottom w:w="0" w:type="dxa"/>
              <w:right w:w="108" w:type="dxa"/>
            </w:tcMar>
          </w:tcPr>
          <w:p w14:paraId="3CCCC8B1" w14:textId="77777777" w:rsidR="00171824" w:rsidRDefault="006D258C">
            <w:pPr>
              <w:tabs>
                <w:tab w:val="left" w:pos="1134"/>
              </w:tabs>
              <w:rPr>
                <w:del w:id="204" w:author="Author"/>
                <w:b/>
                <w:bCs/>
                <w:sz w:val="22"/>
                <w:szCs w:val="22"/>
                <w:lang w:val="el-GR"/>
              </w:rPr>
            </w:pPr>
            <w:del w:id="205" w:author="Author">
              <w:r>
                <w:rPr>
                  <w:sz w:val="22"/>
                  <w:szCs w:val="22"/>
                  <w:lang w:val="el-GR"/>
                </w:rPr>
                <w:delText>Εισάγετε τη βελόνα στο τσιμπημένο δέρμα σας κατακόρυφα ή σε γωνία 45 μοιρών.</w:delText>
              </w:r>
            </w:del>
          </w:p>
        </w:tc>
      </w:tr>
      <w:tr w:rsidR="00171824" w:rsidRPr="00422380" w14:paraId="77E741FB" w14:textId="77777777" w:rsidTr="00422380">
        <w:trPr>
          <w:cantSplit/>
          <w:trHeight w:val="57"/>
        </w:trPr>
        <w:tc>
          <w:tcPr>
            <w:tcW w:w="346" w:type="pct"/>
            <w:tcBorders>
              <w:top w:val="nil"/>
              <w:left w:val="single" w:sz="4" w:space="0" w:color="auto"/>
              <w:bottom w:val="single" w:sz="4" w:space="0" w:color="auto"/>
              <w:right w:val="nil"/>
            </w:tcBorders>
            <w:tcMar>
              <w:top w:w="28" w:type="dxa"/>
              <w:left w:w="57" w:type="dxa"/>
              <w:bottom w:w="28" w:type="dxa"/>
              <w:right w:w="57" w:type="dxa"/>
            </w:tcMar>
          </w:tcPr>
          <w:p w14:paraId="76B4CBDE"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54" w:type="pct"/>
            <w:tcBorders>
              <w:top w:val="nil"/>
              <w:left w:val="nil"/>
              <w:bottom w:val="single" w:sz="4" w:space="0" w:color="auto"/>
              <w:right w:val="single" w:sz="4" w:space="0" w:color="auto"/>
            </w:tcBorders>
            <w:tcMar>
              <w:top w:w="0" w:type="dxa"/>
              <w:left w:w="0" w:type="dxa"/>
              <w:bottom w:w="0" w:type="dxa"/>
              <w:right w:w="108" w:type="dxa"/>
            </w:tcMar>
          </w:tcPr>
          <w:p w14:paraId="10FDE92E" w14:textId="77777777" w:rsidR="00171824" w:rsidRDefault="006D258C">
            <w:pPr>
              <w:tabs>
                <w:tab w:val="left" w:pos="1134"/>
              </w:tabs>
              <w:rPr>
                <w:sz w:val="22"/>
                <w:szCs w:val="22"/>
                <w:lang w:val="el-GR"/>
              </w:rPr>
            </w:pPr>
            <w:r>
              <w:rPr>
                <w:b/>
                <w:bCs/>
                <w:sz w:val="22"/>
                <w:szCs w:val="22"/>
                <w:lang w:val="el-GR"/>
              </w:rPr>
              <w:t>Μη</w:t>
            </w:r>
            <w:r>
              <w:rPr>
                <w:sz w:val="22"/>
                <w:szCs w:val="22"/>
                <w:lang w:val="el-GR"/>
              </w:rPr>
              <w:t xml:space="preserve"> βάζετε το δάκτυλό σας στη ράβδο του εμβόλου ενώ εισάγετε τη βελόνα, καθώς αυτό μπορεί να οδηγήσει σε απώλεια φαρμάκου.</w:t>
            </w:r>
          </w:p>
        </w:tc>
      </w:tr>
    </w:tbl>
    <w:p w14:paraId="7DDB23D4" w14:textId="77777777" w:rsidR="00171824" w:rsidRDefault="00171824">
      <w:pPr>
        <w:tabs>
          <w:tab w:val="left" w:pos="1134"/>
        </w:tabs>
        <w:rPr>
          <w:sz w:val="22"/>
          <w:szCs w:val="22"/>
          <w:lang w:val="el-GR"/>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7"/>
        <w:gridCol w:w="8434"/>
      </w:tblGrid>
      <w:tr w:rsidR="00171824" w:rsidRPr="00422380" w14:paraId="50811E27" w14:textId="77777777" w:rsidTr="00422380">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AFA80B6" w14:textId="77777777" w:rsidR="00171824" w:rsidRDefault="006D258C">
            <w:pPr>
              <w:keepNext/>
              <w:rPr>
                <w:b/>
                <w:bCs/>
                <w:sz w:val="22"/>
                <w:szCs w:val="22"/>
                <w:lang w:val="el-GR"/>
              </w:rPr>
            </w:pPr>
            <w:r>
              <w:rPr>
                <w:b/>
                <w:sz w:val="22"/>
                <w:szCs w:val="22"/>
                <w:lang w:val="el-GR"/>
              </w:rPr>
              <w:t>4δ</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728BA54" w14:textId="77777777" w:rsidR="00171824" w:rsidRDefault="006D258C">
            <w:pPr>
              <w:pStyle w:val="ListParagraph"/>
              <w:tabs>
                <w:tab w:val="left" w:pos="0"/>
              </w:tabs>
              <w:rPr>
                <w:sz w:val="22"/>
                <w:szCs w:val="22"/>
                <w:lang w:val="el-GR"/>
              </w:rPr>
            </w:pPr>
            <w:r>
              <w:rPr>
                <w:b/>
                <w:sz w:val="22"/>
                <w:szCs w:val="22"/>
                <w:lang w:val="el-GR"/>
              </w:rPr>
              <w:t xml:space="preserve">Πιέστε αργά τη ράβδο του εμβόλου έως το </w:t>
            </w:r>
            <w:ins w:id="206" w:author="Author">
              <w:r>
                <w:rPr>
                  <w:b/>
                  <w:sz w:val="22"/>
                  <w:szCs w:val="22"/>
                  <w:lang w:val="el-GR"/>
                </w:rPr>
                <w:t xml:space="preserve">τέρμα, μέχρι να φτάσει στον πυθμένα της προγεμισμένης σύριγγας </w:t>
              </w:r>
            </w:ins>
            <w:del w:id="207" w:author="Author">
              <w:r>
                <w:rPr>
                  <w:b/>
                  <w:sz w:val="22"/>
                  <w:szCs w:val="22"/>
                  <w:lang w:val="el-GR"/>
                </w:rPr>
                <w:delText xml:space="preserve">τέλος της διαδρομής της </w:delText>
              </w:r>
            </w:del>
            <w:r>
              <w:rPr>
                <w:b/>
                <w:sz w:val="22"/>
                <w:szCs w:val="22"/>
                <w:lang w:val="el-GR"/>
              </w:rPr>
              <w:t>για να γίνει η ένεση του φαρμάκου.</w:t>
            </w:r>
          </w:p>
        </w:tc>
      </w:tr>
      <w:tr w:rsidR="00171824" w14:paraId="22CD0AC3" w14:textId="77777777" w:rsidTr="00422380">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6E9EC1" w14:textId="77777777" w:rsidR="00171824" w:rsidRDefault="006D258C">
            <w:pPr>
              <w:tabs>
                <w:tab w:val="left" w:pos="1134"/>
              </w:tabs>
              <w:jc w:val="center"/>
              <w:rPr>
                <w:sz w:val="22"/>
                <w:szCs w:val="22"/>
                <w:lang w:val="el-GR"/>
              </w:rPr>
            </w:pPr>
            <w:r>
              <w:rPr>
                <w:b/>
                <w:sz w:val="22"/>
                <w:szCs w:val="22"/>
                <w:lang w:val="el-GR"/>
              </w:rPr>
              <w:t>ΚΑΝΤΕ ΤΗΝ ΕΝΕΣΗ</w:t>
            </w:r>
          </w:p>
        </w:tc>
      </w:tr>
      <w:tr w:rsidR="00171824" w14:paraId="5D91F5E3" w14:textId="77777777" w:rsidTr="00422380">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229A9B" w14:textId="6B18B4E3" w:rsidR="00171824" w:rsidRDefault="009039B7">
            <w:pPr>
              <w:tabs>
                <w:tab w:val="left" w:pos="1134"/>
              </w:tabs>
              <w:jc w:val="center"/>
              <w:rPr>
                <w:b/>
                <w:bCs/>
                <w:sz w:val="22"/>
                <w:szCs w:val="22"/>
                <w:lang w:val="el-GR"/>
              </w:rPr>
            </w:pPr>
            <w:r>
              <w:rPr>
                <w:b/>
                <w:noProof/>
                <w:sz w:val="22"/>
                <w:szCs w:val="22"/>
                <w:lang w:val="el-GR" w:eastAsia="zh-CN"/>
              </w:rPr>
              <w:lastRenderedPageBreak/>
              <w:drawing>
                <wp:inline distT="0" distB="0" distL="0" distR="0" wp14:anchorId="438BC44D" wp14:editId="29D853EF">
                  <wp:extent cx="2468880" cy="1554480"/>
                  <wp:effectExtent l="0" t="0" r="0" b="0"/>
                  <wp:docPr id="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68880" cy="1554480"/>
                          </a:xfrm>
                          <a:prstGeom prst="rect">
                            <a:avLst/>
                          </a:prstGeom>
                          <a:noFill/>
                          <a:ln>
                            <a:noFill/>
                          </a:ln>
                        </pic:spPr>
                      </pic:pic>
                    </a:graphicData>
                  </a:graphic>
                </wp:inline>
              </w:drawing>
            </w:r>
          </w:p>
        </w:tc>
      </w:tr>
      <w:tr w:rsidR="00171824" w:rsidRPr="00422380" w14:paraId="4C770E57" w14:textId="77777777" w:rsidTr="00422380">
        <w:trPr>
          <w:cantSplit/>
          <w:trHeight w:val="57"/>
        </w:trPr>
        <w:tc>
          <w:tcPr>
            <w:tcW w:w="346" w:type="pct"/>
            <w:tcBorders>
              <w:top w:val="nil"/>
              <w:left w:val="single" w:sz="4" w:space="0" w:color="auto"/>
              <w:bottom w:val="nil"/>
              <w:right w:val="nil"/>
            </w:tcBorders>
            <w:tcMar>
              <w:top w:w="28" w:type="dxa"/>
              <w:left w:w="57" w:type="dxa"/>
              <w:bottom w:w="28" w:type="dxa"/>
              <w:right w:w="57" w:type="dxa"/>
            </w:tcMar>
          </w:tcPr>
          <w:p w14:paraId="4392ED8A"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54" w:type="pct"/>
            <w:tcBorders>
              <w:top w:val="nil"/>
              <w:left w:val="nil"/>
              <w:bottom w:val="nil"/>
              <w:right w:val="single" w:sz="4" w:space="0" w:color="auto"/>
            </w:tcBorders>
            <w:tcMar>
              <w:top w:w="0" w:type="dxa"/>
              <w:left w:w="0" w:type="dxa"/>
              <w:bottom w:w="0" w:type="dxa"/>
              <w:right w:w="108" w:type="dxa"/>
            </w:tcMar>
          </w:tcPr>
          <w:p w14:paraId="76AFAC6F" w14:textId="77777777" w:rsidR="00171824" w:rsidRDefault="006D258C">
            <w:pPr>
              <w:rPr>
                <w:sz w:val="22"/>
                <w:szCs w:val="22"/>
                <w:lang w:val="el-GR"/>
              </w:rPr>
            </w:pPr>
            <w:r>
              <w:rPr>
                <w:b/>
                <w:bCs/>
                <w:sz w:val="22"/>
                <w:szCs w:val="22"/>
                <w:lang w:val="el-GR"/>
              </w:rPr>
              <w:t>Μην</w:t>
            </w:r>
            <w:r>
              <w:rPr>
                <w:sz w:val="22"/>
                <w:szCs w:val="22"/>
                <w:lang w:val="el-GR"/>
              </w:rPr>
              <w:t xml:space="preserve"> τραβάτε πίσω </w:t>
            </w:r>
            <w:del w:id="208" w:author="Author">
              <w:r>
                <w:rPr>
                  <w:sz w:val="22"/>
                  <w:szCs w:val="22"/>
                  <w:lang w:val="el-GR"/>
                </w:rPr>
                <w:delText>το έμβολο</w:delText>
              </w:r>
            </w:del>
            <w:ins w:id="209" w:author="Author">
              <w:r>
                <w:rPr>
                  <w:sz w:val="22"/>
                  <w:szCs w:val="22"/>
                  <w:lang w:val="el-GR"/>
                </w:rPr>
                <w:t>τη ράβδο του εμβόλου</w:t>
              </w:r>
            </w:ins>
            <w:r>
              <w:rPr>
                <w:sz w:val="22"/>
                <w:szCs w:val="22"/>
                <w:lang w:val="el-GR"/>
              </w:rPr>
              <w:t xml:space="preserve"> σε καμία στιγμή.</w:t>
            </w:r>
          </w:p>
        </w:tc>
      </w:tr>
      <w:tr w:rsidR="00171824" w:rsidRPr="00422380" w14:paraId="07820A55" w14:textId="77777777" w:rsidTr="00422380">
        <w:trPr>
          <w:cantSplit/>
          <w:trHeight w:val="57"/>
        </w:trPr>
        <w:tc>
          <w:tcPr>
            <w:tcW w:w="346" w:type="pct"/>
            <w:tcBorders>
              <w:top w:val="nil"/>
              <w:left w:val="single" w:sz="4" w:space="0" w:color="auto"/>
              <w:bottom w:val="single" w:sz="4" w:space="0" w:color="auto"/>
              <w:right w:val="nil"/>
            </w:tcBorders>
            <w:tcMar>
              <w:top w:w="28" w:type="dxa"/>
              <w:left w:w="57" w:type="dxa"/>
              <w:bottom w:w="28" w:type="dxa"/>
              <w:right w:w="57" w:type="dxa"/>
            </w:tcMar>
          </w:tcPr>
          <w:p w14:paraId="0E6E0EBA"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54" w:type="pct"/>
            <w:tcBorders>
              <w:top w:val="nil"/>
              <w:left w:val="nil"/>
              <w:bottom w:val="single" w:sz="4" w:space="0" w:color="auto"/>
              <w:right w:val="single" w:sz="4" w:space="0" w:color="auto"/>
            </w:tcBorders>
            <w:tcMar>
              <w:top w:w="0" w:type="dxa"/>
              <w:left w:w="0" w:type="dxa"/>
              <w:bottom w:w="0" w:type="dxa"/>
              <w:right w:w="108" w:type="dxa"/>
            </w:tcMar>
          </w:tcPr>
          <w:p w14:paraId="2F37B75C"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αφαιρείτε τη βελόνα μέχρι να </w:t>
            </w:r>
            <w:del w:id="210" w:author="Author">
              <w:r>
                <w:rPr>
                  <w:sz w:val="22"/>
                  <w:szCs w:val="22"/>
                  <w:lang w:val="el-GR"/>
                </w:rPr>
                <w:delText xml:space="preserve">χορηγηθεί </w:delText>
              </w:r>
            </w:del>
            <w:ins w:id="211" w:author="Author">
              <w:r>
                <w:rPr>
                  <w:sz w:val="22"/>
                  <w:szCs w:val="22"/>
                  <w:lang w:val="el-GR"/>
                </w:rPr>
                <w:t xml:space="preserve">χορηγηθεί με την ένεση </w:t>
              </w:r>
            </w:ins>
            <w:r>
              <w:rPr>
                <w:sz w:val="22"/>
                <w:szCs w:val="22"/>
                <w:lang w:val="el-GR"/>
              </w:rPr>
              <w:t>όλο το φάρμακο.</w:t>
            </w:r>
          </w:p>
        </w:tc>
      </w:tr>
      <w:tr w:rsidR="00171824" w:rsidRPr="00422380" w:rsidDel="000B145D" w14:paraId="1928BF91" w14:textId="0D9BE77E" w:rsidTr="00422380">
        <w:trPr>
          <w:cantSplit/>
          <w:trHeight w:val="501"/>
          <w:del w:id="212" w:author="Author"/>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2D3246A" w14:textId="0E55D368" w:rsidR="00171824" w:rsidDel="000B145D" w:rsidRDefault="00171824">
            <w:pPr>
              <w:tabs>
                <w:tab w:val="left" w:pos="1134"/>
              </w:tabs>
              <w:rPr>
                <w:del w:id="213" w:author="Author"/>
                <w:b/>
                <w:bCs/>
                <w:sz w:val="22"/>
                <w:szCs w:val="22"/>
                <w:lang w:val="el-GR"/>
              </w:rPr>
            </w:pPr>
          </w:p>
        </w:tc>
      </w:tr>
    </w:tbl>
    <w:p w14:paraId="4B49D4F9" w14:textId="77777777" w:rsidR="00171824" w:rsidRDefault="00171824">
      <w:pPr>
        <w:pageBreakBefore/>
        <w:tabs>
          <w:tab w:val="left" w:pos="1134"/>
        </w:tabs>
        <w:rPr>
          <w:sz w:val="22"/>
          <w:szCs w:val="22"/>
          <w:lang w:val="el-GR"/>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
      <w:tr w:rsidR="00171824" w:rsidRPr="00422380" w14:paraId="595DC3B4"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7C303E" w14:textId="77777777" w:rsidR="00171824" w:rsidRDefault="006D258C">
            <w:pPr>
              <w:tabs>
                <w:tab w:val="left" w:pos="1134"/>
              </w:tabs>
              <w:ind w:left="567" w:hanging="567"/>
              <w:rPr>
                <w:sz w:val="22"/>
                <w:szCs w:val="22"/>
                <w:lang w:val="el-GR"/>
              </w:rPr>
            </w:pPr>
            <w:r>
              <w:rPr>
                <w:b/>
                <w:sz w:val="22"/>
                <w:szCs w:val="22"/>
                <w:lang w:val="el-GR"/>
              </w:rPr>
              <w:t>5</w:t>
            </w:r>
          </w:p>
        </w:tc>
        <w:tc>
          <w:tcPr>
            <w:tcW w:w="4646" w:type="pct"/>
            <w:tcBorders>
              <w:top w:val="single" w:sz="4" w:space="0" w:color="auto"/>
              <w:left w:val="single" w:sz="4" w:space="0" w:color="auto"/>
              <w:bottom w:val="single" w:sz="4" w:space="0" w:color="auto"/>
              <w:right w:val="single" w:sz="4" w:space="0" w:color="auto"/>
            </w:tcBorders>
          </w:tcPr>
          <w:p w14:paraId="3953A7EB" w14:textId="77777777" w:rsidR="00171824" w:rsidRDefault="006D258C">
            <w:pPr>
              <w:tabs>
                <w:tab w:val="left" w:pos="1134"/>
              </w:tabs>
              <w:rPr>
                <w:sz w:val="22"/>
                <w:szCs w:val="22"/>
                <w:lang w:val="el-GR"/>
              </w:rPr>
            </w:pPr>
            <w:r>
              <w:rPr>
                <w:b/>
                <w:sz w:val="22"/>
                <w:szCs w:val="22"/>
                <w:lang w:val="el-GR"/>
              </w:rPr>
              <w:t xml:space="preserve">Πώς να </w:t>
            </w:r>
            <w:del w:id="214" w:author="Author">
              <w:r>
                <w:rPr>
                  <w:b/>
                  <w:sz w:val="22"/>
                  <w:szCs w:val="22"/>
                  <w:lang w:val="el-GR"/>
                </w:rPr>
                <w:delText xml:space="preserve">ολοκληρώσετε τη διαδικασία και να </w:delText>
              </w:r>
            </w:del>
            <w:r>
              <w:rPr>
                <w:b/>
                <w:sz w:val="22"/>
                <w:szCs w:val="22"/>
                <w:lang w:val="el-GR"/>
              </w:rPr>
              <w:t>απορρίψετε το AMGEVITA</w:t>
            </w:r>
            <w:ins w:id="215" w:author="Author">
              <w:r>
                <w:rPr>
                  <w:b/>
                  <w:sz w:val="22"/>
                  <w:szCs w:val="22"/>
                  <w:lang w:val="el-GR"/>
                </w:rPr>
                <w:t xml:space="preserve"> και να ελέγξετε τη θέση της ένεσης</w:t>
              </w:r>
            </w:ins>
          </w:p>
        </w:tc>
      </w:tr>
      <w:tr w:rsidR="00171824" w:rsidRPr="00422380" w14:paraId="422C8E57"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D29A85A" w14:textId="63AE655D" w:rsidR="00171824" w:rsidRDefault="009039B7">
            <w:pPr>
              <w:tabs>
                <w:tab w:val="left" w:pos="1134"/>
              </w:tabs>
              <w:rPr>
                <w:b/>
                <w:bCs/>
                <w:sz w:val="22"/>
                <w:szCs w:val="22"/>
                <w:lang w:val="el-GR"/>
              </w:rPr>
            </w:pPr>
            <w:r>
              <w:rPr>
                <w:noProof/>
              </w:rPr>
              <mc:AlternateContent>
                <mc:Choice Requires="wps">
                  <w:drawing>
                    <wp:anchor distT="45720" distB="45720" distL="114300" distR="114300" simplePos="0" relativeHeight="251649024" behindDoc="0" locked="0" layoutInCell="1" allowOverlap="1" wp14:anchorId="1D3E9FB9" wp14:editId="1F6E4088">
                      <wp:simplePos x="0" y="0"/>
                      <wp:positionH relativeFrom="margin">
                        <wp:posOffset>-2540</wp:posOffset>
                      </wp:positionH>
                      <wp:positionV relativeFrom="paragraph">
                        <wp:posOffset>19685</wp:posOffset>
                      </wp:positionV>
                      <wp:extent cx="5575935" cy="271145"/>
                      <wp:effectExtent l="0" t="0" r="5715" b="0"/>
                      <wp:wrapSquare wrapText="bothSides"/>
                      <wp:docPr id="27522607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6A1D026D"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Μην τοποθετείτε ποτέ το κάλυμμα της βελόνας και πάλι στη σύριγγα.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D3E9FB9" id="Text Box 41" o:spid="_x0000_s1034" type="#_x0000_t202" style="position:absolute;margin-left:-.2pt;margin-top:1.55pt;width:439.05pt;height:21.35pt;z-index:251649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sCA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" strokecolor="red" strokeweight="1.5pt">
                      <v:textbox style="mso-fit-shape-to-text:t">
                        <w:txbxContent>
                          <w:p w14:paraId="6A1D026D"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Μην τοποθετείτε ποτέ το κάλυμμα της βελόνας και πάλι στη σύριγγα.</w:t>
                            </w:r>
                          </w:p>
                        </w:txbxContent>
                      </v:textbox>
                      <w10:wrap type="square" anchorx="margin"/>
                    </v:shape>
                  </w:pict>
                </mc:Fallback>
              </mc:AlternateContent>
            </w:r>
          </w:p>
        </w:tc>
      </w:tr>
      <w:tr w:rsidR="00171824" w:rsidRPr="00422380" w14:paraId="48476788"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25D6D02" w14:textId="77777777" w:rsidR="00171824" w:rsidRDefault="006D258C">
            <w:pPr>
              <w:keepNext/>
              <w:rPr>
                <w:b/>
                <w:bCs/>
                <w:sz w:val="22"/>
                <w:szCs w:val="22"/>
                <w:lang w:val="el-GR"/>
              </w:rPr>
            </w:pPr>
            <w:r>
              <w:rPr>
                <w:b/>
                <w:sz w:val="22"/>
                <w:szCs w:val="22"/>
                <w:lang w:val="el-GR"/>
              </w:rPr>
              <w:t>5α</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52BB18F" w14:textId="77777777" w:rsidR="00171824" w:rsidRDefault="006D258C">
            <w:pPr>
              <w:pStyle w:val="ListParagraph"/>
              <w:tabs>
                <w:tab w:val="left" w:pos="0"/>
              </w:tabs>
              <w:rPr>
                <w:sz w:val="22"/>
                <w:szCs w:val="22"/>
                <w:lang w:val="el-GR"/>
              </w:rPr>
            </w:pPr>
            <w:del w:id="216" w:author="Author">
              <w:r>
                <w:rPr>
                  <w:b/>
                  <w:sz w:val="22"/>
                  <w:szCs w:val="22"/>
                  <w:lang w:val="el-GR"/>
                </w:rPr>
                <w:delText xml:space="preserve">Απορρίψτε </w:delText>
              </w:r>
            </w:del>
            <w:ins w:id="217" w:author="Author">
              <w:r>
                <w:rPr>
                  <w:b/>
                  <w:sz w:val="22"/>
                  <w:szCs w:val="22"/>
                  <w:lang w:val="el-GR"/>
                </w:rPr>
                <w:t xml:space="preserve">Τοποθετήστε </w:t>
              </w:r>
            </w:ins>
            <w:r>
              <w:rPr>
                <w:b/>
                <w:sz w:val="22"/>
                <w:szCs w:val="22"/>
                <w:lang w:val="el-GR"/>
              </w:rPr>
              <w:t xml:space="preserve">τη χρησιμοποιημένη προγεμισμένη σύριγγα και το κάλυμμα της βελόνας </w:t>
            </w:r>
            <w:del w:id="218" w:author="Author">
              <w:r>
                <w:rPr>
                  <w:b/>
                  <w:sz w:val="22"/>
                  <w:szCs w:val="22"/>
                  <w:lang w:val="el-GR"/>
                </w:rPr>
                <w:delText xml:space="preserve">στο </w:delText>
              </w:r>
            </w:del>
            <w:ins w:id="219" w:author="Author">
              <w:r>
                <w:rPr>
                  <w:b/>
                  <w:sz w:val="22"/>
                  <w:szCs w:val="22"/>
                  <w:lang w:val="el-GR"/>
                </w:rPr>
                <w:t xml:space="preserve">σε ένα </w:t>
              </w:r>
            </w:ins>
            <w:r>
              <w:rPr>
                <w:b/>
                <w:sz w:val="22"/>
                <w:szCs w:val="22"/>
                <w:lang w:val="el-GR"/>
              </w:rPr>
              <w:t>δοχείο απόρριψης αιχμηρών αντικειμένων</w:t>
            </w:r>
            <w:ins w:id="220" w:author="Author">
              <w:r>
                <w:rPr>
                  <w:b/>
                  <w:sz w:val="22"/>
                  <w:szCs w:val="22"/>
                  <w:lang w:val="el-GR"/>
                </w:rPr>
                <w:t xml:space="preserve"> αμέσως μετά τη χρήση</w:t>
              </w:r>
            </w:ins>
            <w:r>
              <w:rPr>
                <w:b/>
                <w:sz w:val="22"/>
                <w:szCs w:val="22"/>
                <w:lang w:val="el-GR"/>
              </w:rPr>
              <w:t>.</w:t>
            </w:r>
          </w:p>
        </w:tc>
      </w:tr>
      <w:tr w:rsidR="00171824" w14:paraId="3575AB84"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5BA92A" w14:textId="0BBC326E" w:rsidR="00171824" w:rsidRDefault="009039B7">
            <w:pPr>
              <w:pStyle w:val="ListParagraph"/>
              <w:tabs>
                <w:tab w:val="left" w:pos="0"/>
              </w:tabs>
              <w:jc w:val="center"/>
              <w:rPr>
                <w:b/>
                <w:bCs/>
                <w:sz w:val="22"/>
                <w:szCs w:val="22"/>
                <w:lang w:val="el-GR"/>
              </w:rPr>
            </w:pPr>
            <w:r>
              <w:rPr>
                <w:noProof/>
                <w:sz w:val="22"/>
                <w:szCs w:val="22"/>
                <w:lang w:val="el-GR" w:eastAsia="zh-CN"/>
              </w:rPr>
              <w:drawing>
                <wp:inline distT="0" distB="0" distL="0" distR="0" wp14:anchorId="368225EF" wp14:editId="364B8F10">
                  <wp:extent cx="2188845" cy="1274445"/>
                  <wp:effectExtent l="0" t="0" r="0" b="0"/>
                  <wp:docPr id="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88845" cy="1274445"/>
                          </a:xfrm>
                          <a:prstGeom prst="rect">
                            <a:avLst/>
                          </a:prstGeom>
                          <a:noFill/>
                          <a:ln>
                            <a:noFill/>
                          </a:ln>
                        </pic:spPr>
                      </pic:pic>
                    </a:graphicData>
                  </a:graphic>
                </wp:inline>
              </w:drawing>
            </w:r>
          </w:p>
        </w:tc>
      </w:tr>
      <w:tr w:rsidR="00171824" w14:paraId="3A68CA9C" w14:textId="77777777">
        <w:trPr>
          <w:cantSplit/>
          <w:trHeight w:val="904"/>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E41B925" w14:textId="2875FC39" w:rsidR="00171824" w:rsidRDefault="009039B7">
            <w:pPr>
              <w:rPr>
                <w:sz w:val="22"/>
                <w:szCs w:val="22"/>
                <w:lang w:val="el-GR"/>
              </w:rPr>
            </w:pPr>
            <w:r>
              <w:rPr>
                <w:noProof/>
              </w:rPr>
              <mc:AlternateContent>
                <mc:Choice Requires="wps">
                  <w:drawing>
                    <wp:anchor distT="45720" distB="45720" distL="114300" distR="114300" simplePos="0" relativeHeight="251651072" behindDoc="0" locked="0" layoutInCell="1" allowOverlap="1" wp14:anchorId="33F9AB87" wp14:editId="5E34BE50">
                      <wp:simplePos x="0" y="0"/>
                      <wp:positionH relativeFrom="margin">
                        <wp:posOffset>-2540</wp:posOffset>
                      </wp:positionH>
                      <wp:positionV relativeFrom="paragraph">
                        <wp:posOffset>18415</wp:posOffset>
                      </wp:positionV>
                      <wp:extent cx="5566410" cy="271145"/>
                      <wp:effectExtent l="0" t="0" r="0" b="0"/>
                      <wp:wrapSquare wrapText="bothSides"/>
                      <wp:docPr id="184613298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06594F2E" w14:textId="77777777" w:rsidR="00171824" w:rsidRDefault="006D258C">
                                  <w:pPr>
                                    <w:rPr>
                                      <w:sz w:val="22"/>
                                      <w:szCs w:val="22"/>
                                      <w:lang w:val="el-GR"/>
                                    </w:rPr>
                                  </w:pPr>
                                  <w:r>
                                    <w:rPr>
                                      <w:b/>
                                      <w:bCs/>
                                      <w:sz w:val="22"/>
                                      <w:szCs w:val="22"/>
                                      <w:lang w:val="el-GR"/>
                                    </w:rPr>
                                    <w:t>Μην</w:t>
                                  </w:r>
                                  <w:r>
                                    <w:rPr>
                                      <w:sz w:val="22"/>
                                      <w:szCs w:val="22"/>
                                      <w:lang w:val="el-GR"/>
                                    </w:rPr>
                                    <w:t xml:space="preserve"> ανακυκλώνετε την προγεμισμένη σύριγγα και μην την πετάτε στα οικιακά απορρίμματα.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3F9AB87" id="Text Box 40" o:spid="_x0000_s1035" type="#_x0000_t202" style="position:absolute;margin-left:-.2pt;margin-top:1.45pt;width:438.3pt;height:21.35pt;z-index:251651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KzpAZwgCAAAPBAAADgAA&#10;AAAAAAAAAAAAAAAuAgAAZHJzL2Uyb0RvYy54bWxQSwECLQAUAAYACAAAACEAYnhH1tsAAAAGAQAA&#10;DwAAAAAAAAAAAAAAAABiBAAAZHJzL2Rvd25yZXYueG1sUEsFBgAAAAAEAAQA8wAAAGoFAAAAAA==&#10;" strokecolor="red" strokeweight="1.5pt">
                      <v:textbox style="mso-fit-shape-to-text:t">
                        <w:txbxContent>
                          <w:p w14:paraId="06594F2E" w14:textId="77777777" w:rsidR="00171824" w:rsidRDefault="006D258C">
                            <w:pPr>
                              <w:rPr>
                                <w:sz w:val="22"/>
                                <w:szCs w:val="22"/>
                                <w:lang w:val="el-GR"/>
                              </w:rPr>
                            </w:pPr>
                            <w:r>
                              <w:rPr>
                                <w:b/>
                                <w:bCs/>
                                <w:sz w:val="22"/>
                                <w:szCs w:val="22"/>
                                <w:lang w:val="el-GR"/>
                              </w:rPr>
                              <w:t>Μην</w:t>
                            </w:r>
                            <w:r>
                              <w:rPr>
                                <w:sz w:val="22"/>
                                <w:szCs w:val="22"/>
                                <w:lang w:val="el-GR"/>
                              </w:rPr>
                              <w:t xml:space="preserve"> ανακυκλώνετε την προγεμισμένη σύριγγα και μην την πετάτε στα οικιακά απορρίμματα.</w:t>
                            </w:r>
                          </w:p>
                        </w:txbxContent>
                      </v:textbox>
                      <w10:wrap type="square" anchorx="margin"/>
                    </v:shape>
                  </w:pict>
                </mc:Fallback>
              </mc:AlternateContent>
            </w:r>
          </w:p>
        </w:tc>
      </w:tr>
      <w:tr w:rsidR="00171824" w:rsidRPr="00422380" w14:paraId="0B5E91C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1319A69"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46FDA2E2"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χρησιμοποιήσετε ξανά την προγεμισμένη σύριγγα.</w:t>
            </w:r>
          </w:p>
        </w:tc>
      </w:tr>
      <w:tr w:rsidR="00171824" w:rsidRPr="00422380" w14:paraId="0014BCE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60BDC7B"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50163C51"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χρησιμοποιήσετε οποιαδήποτε ποσότητα φαρμάκου έχει ενδεχομένως παραμείνει στη χρησιμοποιημένη σύριγγα.</w:t>
            </w:r>
          </w:p>
        </w:tc>
      </w:tr>
      <w:tr w:rsidR="00171824" w:rsidRPr="00422380" w14:paraId="752753C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69FBCB7"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2917874F" w14:textId="77777777" w:rsidR="00171824" w:rsidRDefault="006D258C">
            <w:pPr>
              <w:rPr>
                <w:rFonts w:eastAsia="Calibri"/>
                <w:sz w:val="22"/>
                <w:szCs w:val="22"/>
                <w:lang w:val="el-GR"/>
              </w:rPr>
            </w:pPr>
            <w:r>
              <w:rPr>
                <w:sz w:val="22"/>
                <w:szCs w:val="22"/>
                <w:lang w:val="el-GR"/>
              </w:rPr>
              <w:t xml:space="preserve">Τοποθετήστε τη χρησιμοποιημένη σύριγγα του AMGEVITA σε ένα δοχείο απόρριψης αιχμηρών αντικειμένων αμέσως μετά τη χρήση. </w:t>
            </w:r>
          </w:p>
          <w:p w14:paraId="06AEA61D" w14:textId="77777777" w:rsidR="00171824" w:rsidRDefault="006D258C">
            <w:pPr>
              <w:rPr>
                <w:b/>
                <w:bCs/>
                <w:sz w:val="22"/>
                <w:szCs w:val="22"/>
                <w:lang w:val="el-GR"/>
              </w:rPr>
            </w:pPr>
            <w:r>
              <w:rPr>
                <w:b/>
                <w:bCs/>
                <w:sz w:val="22"/>
                <w:szCs w:val="22"/>
                <w:lang w:val="el-GR"/>
              </w:rPr>
              <w:t>Μην</w:t>
            </w:r>
            <w:r>
              <w:rPr>
                <w:sz w:val="22"/>
                <w:szCs w:val="22"/>
                <w:lang w:val="el-GR"/>
              </w:rPr>
              <w:t xml:space="preserve"> απορρίπτετε (πετάτε) τη σύριγγα στα οικιακά απορρίμματα.</w:t>
            </w:r>
          </w:p>
        </w:tc>
      </w:tr>
      <w:tr w:rsidR="00171824" w14:paraId="210234B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0C66180"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55971B61" w14:textId="77777777" w:rsidR="00171824" w:rsidRDefault="006D258C">
            <w:pPr>
              <w:rPr>
                <w:b/>
                <w:bCs/>
                <w:sz w:val="22"/>
                <w:szCs w:val="22"/>
                <w:lang w:val="el-GR"/>
              </w:rPr>
            </w:pPr>
            <w:r>
              <w:rPr>
                <w:sz w:val="22"/>
                <w:szCs w:val="22"/>
                <w:lang w:val="el-GR"/>
              </w:rPr>
              <w:t>Συζητήστε με τον γιατρό ή τον φαρμακοποιό σας σχετικά με τον σωστό τρόπο απόρριψης. Μπορεί να υπάρχουν τοπικές κατευθυντήριες οδηγίες απόρριψης.</w:t>
            </w:r>
          </w:p>
        </w:tc>
      </w:tr>
      <w:tr w:rsidR="00171824" w:rsidRPr="00422380" w14:paraId="4458166F"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CACA1DF" w14:textId="77777777" w:rsidR="00171824" w:rsidRDefault="00171824">
            <w:pPr>
              <w:widowControl/>
              <w:numPr>
                <w:ilvl w:val="0"/>
                <w:numId w:val="36"/>
              </w:numPr>
              <w:tabs>
                <w:tab w:val="left" w:pos="708"/>
              </w:tabs>
              <w:autoSpaceDE/>
              <w:autoSpaceDN/>
              <w:adjustRightInd/>
              <w:ind w:left="567" w:hanging="567"/>
              <w:rPr>
                <w:sz w:val="22"/>
                <w:szCs w:val="22"/>
                <w:lang w:val="el-GR"/>
              </w:rPr>
            </w:pPr>
          </w:p>
        </w:tc>
        <w:tc>
          <w:tcPr>
            <w:tcW w:w="4646" w:type="pct"/>
            <w:tcBorders>
              <w:top w:val="nil"/>
              <w:left w:val="nil"/>
              <w:bottom w:val="nil"/>
              <w:right w:val="single" w:sz="4" w:space="0" w:color="auto"/>
            </w:tcBorders>
            <w:tcMar>
              <w:top w:w="0" w:type="dxa"/>
              <w:left w:w="0" w:type="dxa"/>
              <w:bottom w:w="0" w:type="dxa"/>
              <w:right w:w="108" w:type="dxa"/>
            </w:tcMar>
          </w:tcPr>
          <w:p w14:paraId="35CAE8F7" w14:textId="77777777" w:rsidR="00171824" w:rsidRDefault="006D258C">
            <w:pPr>
              <w:rPr>
                <w:b/>
                <w:bCs/>
                <w:sz w:val="22"/>
                <w:szCs w:val="22"/>
                <w:lang w:val="el-GR"/>
              </w:rPr>
            </w:pPr>
            <w:r>
              <w:rPr>
                <w:b/>
                <w:bCs/>
                <w:sz w:val="22"/>
                <w:szCs w:val="22"/>
                <w:lang w:val="el-GR"/>
              </w:rPr>
              <w:t>Μην</w:t>
            </w:r>
            <w:r>
              <w:rPr>
                <w:sz w:val="22"/>
                <w:szCs w:val="22"/>
                <w:lang w:val="el-GR"/>
              </w:rPr>
              <w:t xml:space="preserve"> ανακυκλώνετε τη σύριγγα ή το δοχείο απόρριψης αιχμηρών αντικειμένων και μην τα πετάτε στα οικιακά απορρίμματα.</w:t>
            </w:r>
          </w:p>
        </w:tc>
      </w:tr>
      <w:tr w:rsidR="00171824" w:rsidRPr="00422380" w14:paraId="71254897" w14:textId="77777777">
        <w:trPr>
          <w:cantSplit/>
          <w:trHeight w:val="5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02617DD7" w14:textId="59CE722C" w:rsidR="00171824" w:rsidRPr="00A07F46" w:rsidRDefault="009039B7">
            <w:pPr>
              <w:rPr>
                <w:b/>
                <w:bCs/>
                <w:sz w:val="22"/>
                <w:szCs w:val="22"/>
                <w:lang w:val="el-GR"/>
              </w:rPr>
            </w:pPr>
            <w:ins w:id="221" w:author="Author">
              <w:r>
                <w:rPr>
                  <w:noProof/>
                </w:rPr>
                <mc:AlternateContent>
                  <mc:Choice Requires="wps">
                    <w:drawing>
                      <wp:anchor distT="45720" distB="45720" distL="114300" distR="114300" simplePos="0" relativeHeight="251668480" behindDoc="0" locked="0" layoutInCell="1" allowOverlap="1" wp14:anchorId="61587FF4" wp14:editId="5404DE3B">
                        <wp:simplePos x="0" y="0"/>
                        <wp:positionH relativeFrom="margin">
                          <wp:posOffset>6985</wp:posOffset>
                        </wp:positionH>
                        <wp:positionV relativeFrom="paragraph">
                          <wp:posOffset>-4250690</wp:posOffset>
                        </wp:positionV>
                        <wp:extent cx="5566410" cy="446405"/>
                        <wp:effectExtent l="0" t="0" r="0" b="0"/>
                        <wp:wrapSquare wrapText="bothSides"/>
                        <wp:docPr id="198968264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446405"/>
                                </a:xfrm>
                                <a:prstGeom prst="rect">
                                  <a:avLst/>
                                </a:prstGeom>
                                <a:solidFill>
                                  <a:srgbClr val="FFFFFF"/>
                                </a:solidFill>
                                <a:ln w="19050">
                                  <a:solidFill>
                                    <a:srgbClr val="FF0000"/>
                                  </a:solidFill>
                                  <a:miter lim="800000"/>
                                </a:ln>
                              </wps:spPr>
                              <wps:txbx>
                                <w:txbxContent>
                                  <w:p w14:paraId="375F34A9" w14:textId="77777777" w:rsidR="00171824" w:rsidRPr="00422380" w:rsidRDefault="006D258C">
                                    <w:pPr>
                                      <w:rPr>
                                        <w:lang w:val="el-GR"/>
                                      </w:rPr>
                                    </w:pPr>
                                    <w:ins w:id="222" w:author="Author">
                                      <w:r>
                                        <w:rPr>
                                          <w:b/>
                                          <w:sz w:val="22"/>
                                          <w:szCs w:val="22"/>
                                          <w:lang w:val="el-GR"/>
                                        </w:rPr>
                                        <w:t>Σημαντικό</w:t>
                                      </w:r>
                                      <w:r>
                                        <w:rPr>
                                          <w:sz w:val="22"/>
                                          <w:szCs w:val="22"/>
                                          <w:lang w:val="el-GR"/>
                                        </w:rPr>
                                        <w:t>: Φυλάσσετε πάντοτε το δοχείο απόρριψης αιχμηρών αντικειμένων σε μέρος που δεν βλέπουν και δεν προσεγγίζουν τα παιδιά</w:t>
                                      </w:r>
                                      <w:r>
                                        <w:rPr>
                                          <w:szCs w:val="22"/>
                                          <w:lang w:val="el-GR"/>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61587FF4" id="_x0000_t202" coordsize="21600,21600" o:spt="202" path="m,l,21600r21600,l21600,xe">
                        <v:stroke joinstyle="miter"/>
                        <v:path gradientshapeok="t" o:connecttype="rect"/>
                      </v:shapetype>
                      <v:shape id="Text Box 39" o:spid="_x0000_s1036" type="#_x0000_t202" style="position:absolute;margin-left:.55pt;margin-top:-334.7pt;width:438.3pt;height:35.15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" strokecolor="red" strokeweight="1.5pt">
                        <v:textbox style="mso-fit-shape-to-text:t">
                          <w:txbxContent>
                            <w:p w14:paraId="375F34A9" w14:textId="77777777" w:rsidR="00171824" w:rsidRPr="00422380" w:rsidRDefault="006D258C">
                              <w:pPr>
                                <w:rPr>
                                  <w:lang w:val="el-GR"/>
                                </w:rPr>
                              </w:pPr>
                              <w:ins w:id="223" w:author="Author">
                                <w:r>
                                  <w:rPr>
                                    <w:b/>
                                    <w:sz w:val="22"/>
                                    <w:szCs w:val="22"/>
                                    <w:lang w:val="el-GR"/>
                                  </w:rPr>
                                  <w:t>Σημαντικό</w:t>
                                </w:r>
                                <w:r>
                                  <w:rPr>
                                    <w:sz w:val="22"/>
                                    <w:szCs w:val="22"/>
                                    <w:lang w:val="el-GR"/>
                                  </w:rPr>
                                  <w:t>: Φυλάσσετε πάντοτε το δοχείο απόρριψης αιχμηρών αντικειμένων σε μέρος που δεν βλέπουν και δεν προσεγγίζουν τα παιδιά</w:t>
                                </w:r>
                                <w:r>
                                  <w:rPr>
                                    <w:szCs w:val="22"/>
                                    <w:lang w:val="el-GR"/>
                                  </w:rPr>
                                  <w:t>.</w:t>
                                </w:r>
                              </w:ins>
                            </w:p>
                          </w:txbxContent>
                        </v:textbox>
                        <w10:wrap type="square" anchorx="margin"/>
                      </v:shape>
                    </w:pict>
                  </mc:Fallback>
                </mc:AlternateContent>
              </w:r>
            </w:ins>
            <w:del w:id="224" w:author="Author">
              <w:r w:rsidR="006D258C">
                <w:rPr>
                  <w:b/>
                  <w:sz w:val="22"/>
                  <w:szCs w:val="22"/>
                  <w:lang w:val="el-GR"/>
                </w:rPr>
                <w:delText>Σημαντικό</w:delText>
              </w:r>
              <w:r w:rsidR="006D258C">
                <w:rPr>
                  <w:sz w:val="22"/>
                  <w:szCs w:val="22"/>
                  <w:lang w:val="el-GR"/>
                </w:rPr>
                <w:delText>: Φυλάσσετε πάντοτε το δοχείο απόρριψης αιχμηρών αντικειμένων σε μέρος που δεν βλέπουν και δεν προσεγγίζουν τα παιδιά</w:delText>
              </w:r>
              <w:r w:rsidR="006D258C" w:rsidDel="00C261AD">
                <w:rPr>
                  <w:sz w:val="22"/>
                  <w:szCs w:val="22"/>
                  <w:lang w:val="el-GR"/>
                </w:rPr>
                <w:delText>.</w:delText>
              </w:r>
            </w:del>
          </w:p>
        </w:tc>
      </w:tr>
    </w:tbl>
    <w:p w14:paraId="3E5EBE7F" w14:textId="77777777" w:rsidR="00171824" w:rsidRDefault="00171824">
      <w:pPr>
        <w:tabs>
          <w:tab w:val="left" w:pos="1134"/>
        </w:tabs>
        <w:rPr>
          <w:sz w:val="22"/>
          <w:szCs w:val="22"/>
          <w:lang w:val="el-GR"/>
        </w:rPr>
      </w:pPr>
    </w:p>
    <w:tbl>
      <w:tblPr>
        <w:tblW w:w="90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8391"/>
      </w:tblGrid>
      <w:tr w:rsidR="00171824" w:rsidRPr="00422380" w14:paraId="62271AA0" w14:textId="77777777">
        <w:trPr>
          <w:trHeight w:val="345"/>
        </w:trPr>
        <w:tc>
          <w:tcPr>
            <w:tcW w:w="624" w:type="dxa"/>
          </w:tcPr>
          <w:p w14:paraId="53BEDF6F" w14:textId="77777777" w:rsidR="00171824" w:rsidRDefault="006D258C">
            <w:pPr>
              <w:pStyle w:val="ListParagraph"/>
              <w:keepNext/>
              <w:keepLines/>
              <w:textAlignment w:val="center"/>
              <w:rPr>
                <w:sz w:val="22"/>
                <w:szCs w:val="22"/>
                <w:lang w:val="el-GR"/>
              </w:rPr>
            </w:pPr>
            <w:r>
              <w:rPr>
                <w:b/>
                <w:sz w:val="22"/>
                <w:szCs w:val="22"/>
                <w:lang w:val="el-GR"/>
              </w:rPr>
              <w:t>5β</w:t>
            </w:r>
          </w:p>
        </w:tc>
        <w:tc>
          <w:tcPr>
            <w:tcW w:w="8391" w:type="dxa"/>
          </w:tcPr>
          <w:p w14:paraId="5C8E823C" w14:textId="77777777" w:rsidR="00171824" w:rsidRDefault="006D258C">
            <w:pPr>
              <w:pStyle w:val="ListParagraph"/>
              <w:keepNext/>
              <w:keepLines/>
              <w:textAlignment w:val="center"/>
              <w:rPr>
                <w:sz w:val="22"/>
                <w:szCs w:val="22"/>
                <w:lang w:val="el-GR"/>
              </w:rPr>
            </w:pPr>
            <w:r>
              <w:rPr>
                <w:b/>
                <w:sz w:val="22"/>
                <w:szCs w:val="22"/>
                <w:lang w:val="el-GR"/>
              </w:rPr>
              <w:t>Ελέγξτε τη θέση της ένεσης.</w:t>
            </w:r>
          </w:p>
        </w:tc>
      </w:tr>
      <w:tr w:rsidR="00171824" w:rsidRPr="00422380" w14:paraId="7FD6841D" w14:textId="77777777">
        <w:trPr>
          <w:trHeight w:val="325"/>
        </w:trPr>
        <w:tc>
          <w:tcPr>
            <w:tcW w:w="624" w:type="dxa"/>
            <w:tcBorders>
              <w:bottom w:val="nil"/>
              <w:right w:val="nil"/>
            </w:tcBorders>
          </w:tcPr>
          <w:p w14:paraId="11355C5F" w14:textId="77777777" w:rsidR="00171824" w:rsidRDefault="00171824">
            <w:pPr>
              <w:pStyle w:val="ListParagraph"/>
              <w:keepNext/>
              <w:keepLines/>
              <w:widowControl/>
              <w:numPr>
                <w:ilvl w:val="0"/>
                <w:numId w:val="40"/>
              </w:numPr>
              <w:ind w:left="0" w:firstLine="0"/>
              <w:contextualSpacing/>
              <w:textAlignment w:val="center"/>
              <w:rPr>
                <w:sz w:val="22"/>
                <w:szCs w:val="22"/>
                <w:lang w:val="el-GR"/>
              </w:rPr>
            </w:pPr>
          </w:p>
        </w:tc>
        <w:tc>
          <w:tcPr>
            <w:tcW w:w="8391" w:type="dxa"/>
            <w:tcBorders>
              <w:left w:val="nil"/>
              <w:bottom w:val="nil"/>
            </w:tcBorders>
          </w:tcPr>
          <w:p w14:paraId="47255FBC" w14:textId="77777777" w:rsidR="00171824" w:rsidRDefault="006D258C">
            <w:pPr>
              <w:pStyle w:val="ListParagraph"/>
              <w:keepNext/>
              <w:keepLines/>
              <w:ind w:right="1414"/>
              <w:textAlignment w:val="center"/>
              <w:rPr>
                <w:sz w:val="22"/>
                <w:szCs w:val="22"/>
                <w:lang w:val="el-GR"/>
              </w:rPr>
            </w:pPr>
            <w:r>
              <w:rPr>
                <w:b/>
                <w:bCs/>
                <w:color w:val="000000"/>
                <w:sz w:val="22"/>
                <w:szCs w:val="22"/>
                <w:lang w:val="el-GR"/>
              </w:rPr>
              <w:t>Μην</w:t>
            </w:r>
            <w:r>
              <w:rPr>
                <w:color w:val="000000"/>
                <w:sz w:val="22"/>
                <w:szCs w:val="22"/>
                <w:lang w:val="el-GR"/>
              </w:rPr>
              <w:t xml:space="preserve"> τρίβετε τη θέση της ένεσης.</w:t>
            </w:r>
          </w:p>
        </w:tc>
      </w:tr>
      <w:tr w:rsidR="00171824" w14:paraId="3F642392" w14:textId="77777777">
        <w:trPr>
          <w:trHeight w:val="366"/>
        </w:trPr>
        <w:tc>
          <w:tcPr>
            <w:tcW w:w="624" w:type="dxa"/>
            <w:tcBorders>
              <w:top w:val="nil"/>
              <w:right w:val="nil"/>
            </w:tcBorders>
          </w:tcPr>
          <w:p w14:paraId="63973E0D" w14:textId="77777777" w:rsidR="00171824" w:rsidRDefault="00171824">
            <w:pPr>
              <w:pStyle w:val="ARROWBULLETED"/>
              <w:keepNext/>
              <w:keepLines/>
              <w:widowControl/>
              <w:numPr>
                <w:ilvl w:val="0"/>
                <w:numId w:val="41"/>
              </w:numPr>
              <w:tabs>
                <w:tab w:val="clear" w:pos="828"/>
              </w:tabs>
              <w:suppressAutoHyphens w:val="0"/>
              <w:spacing w:before="0" w:line="240" w:lineRule="auto"/>
              <w:ind w:left="0" w:firstLine="0"/>
              <w:rPr>
                <w:sz w:val="22"/>
                <w:szCs w:val="22"/>
              </w:rPr>
            </w:pPr>
          </w:p>
        </w:tc>
        <w:tc>
          <w:tcPr>
            <w:tcW w:w="8391" w:type="dxa"/>
            <w:tcBorders>
              <w:top w:val="nil"/>
              <w:left w:val="nil"/>
            </w:tcBorders>
          </w:tcPr>
          <w:p w14:paraId="3C3459C1" w14:textId="77777777" w:rsidR="00171824" w:rsidRDefault="006D258C">
            <w:pPr>
              <w:pStyle w:val="ARROWBULLETED"/>
              <w:keepNext/>
              <w:keepLines/>
              <w:widowControl/>
              <w:numPr>
                <w:ilvl w:val="0"/>
                <w:numId w:val="0"/>
              </w:numPr>
              <w:tabs>
                <w:tab w:val="left" w:pos="708"/>
              </w:tabs>
              <w:suppressAutoHyphens w:val="0"/>
              <w:spacing w:before="0" w:line="240" w:lineRule="auto"/>
              <w:rPr>
                <w:sz w:val="22"/>
                <w:szCs w:val="22"/>
              </w:rPr>
            </w:pPr>
            <w:r>
              <w:rPr>
                <w:sz w:val="22"/>
                <w:szCs w:val="22"/>
              </w:rPr>
              <w:t xml:space="preserve">Εάν υπάρχει αίμα, πιέστε ένα κομμάτι βαμβακιού ή γάζας επάνω στη θέση της ένεσης. Εάν χρειαστεί, τοποθετήστε έναν αυτοκόλλητο επίδεσμο. </w:t>
            </w:r>
          </w:p>
        </w:tc>
      </w:tr>
    </w:tbl>
    <w:p w14:paraId="7FB56570" w14:textId="77777777" w:rsidR="00171824" w:rsidRDefault="00171824">
      <w:pPr>
        <w:pStyle w:val="BodyText"/>
        <w:widowControl/>
        <w:kinsoku w:val="0"/>
        <w:overflowPunct w:val="0"/>
        <w:ind w:left="0"/>
        <w:rPr>
          <w:lang w:val="el-GR"/>
        </w:rPr>
      </w:pPr>
    </w:p>
    <w:p w14:paraId="6D016BE0" w14:textId="77777777" w:rsidR="00171824" w:rsidRDefault="006D258C">
      <w:pPr>
        <w:widowControl/>
        <w:rPr>
          <w:sz w:val="22"/>
          <w:szCs w:val="22"/>
          <w:lang w:val="el-GR"/>
        </w:rPr>
      </w:pPr>
      <w:r>
        <w:rPr>
          <w:sz w:val="22"/>
          <w:szCs w:val="22"/>
          <w:lang w:val="el-GR"/>
        </w:rPr>
        <w:br w:type="page"/>
      </w:r>
    </w:p>
    <w:p w14:paraId="6A9469AE" w14:textId="77777777" w:rsidR="00171824" w:rsidRDefault="006D258C">
      <w:pPr>
        <w:widowControl/>
        <w:jc w:val="center"/>
        <w:rPr>
          <w:b/>
          <w:bCs/>
          <w:sz w:val="22"/>
          <w:szCs w:val="22"/>
          <w:lang w:val="el-GR"/>
        </w:rPr>
      </w:pPr>
      <w:r>
        <w:rPr>
          <w:b/>
          <w:bCs/>
          <w:sz w:val="22"/>
          <w:szCs w:val="22"/>
          <w:lang w:val="el-GR"/>
        </w:rPr>
        <w:lastRenderedPageBreak/>
        <w:t>Φύλλο οδηγιών χρήσης: Πληροφορίες για τον ασθενή</w:t>
      </w:r>
    </w:p>
    <w:p w14:paraId="5AA73B69" w14:textId="77777777" w:rsidR="00171824" w:rsidRDefault="00171824">
      <w:pPr>
        <w:widowControl/>
        <w:kinsoku w:val="0"/>
        <w:overflowPunct w:val="0"/>
        <w:jc w:val="center"/>
        <w:rPr>
          <w:sz w:val="22"/>
          <w:szCs w:val="22"/>
          <w:lang w:val="el-GR"/>
        </w:rPr>
      </w:pPr>
    </w:p>
    <w:p w14:paraId="5C9F0701" w14:textId="77777777" w:rsidR="00171824" w:rsidRDefault="006D258C">
      <w:pPr>
        <w:widowControl/>
        <w:kinsoku w:val="0"/>
        <w:overflowPunct w:val="0"/>
        <w:jc w:val="center"/>
        <w:rPr>
          <w:sz w:val="22"/>
          <w:szCs w:val="22"/>
          <w:lang w:val="el-GR"/>
        </w:rPr>
      </w:pPr>
      <w:r>
        <w:rPr>
          <w:b/>
          <w:bCs/>
          <w:sz w:val="22"/>
          <w:szCs w:val="22"/>
          <w:lang w:val="el-GR"/>
        </w:rPr>
        <w:t>AMGEVITA 40 mg ενέσιμο διάλυμα σε προγεμισμένη συσκευή τύπου πένας</w:t>
      </w:r>
    </w:p>
    <w:p w14:paraId="5BDCA5BA" w14:textId="77777777" w:rsidR="00171824" w:rsidRDefault="006D258C">
      <w:pPr>
        <w:widowControl/>
        <w:kinsoku w:val="0"/>
        <w:overflowPunct w:val="0"/>
        <w:jc w:val="center"/>
        <w:rPr>
          <w:sz w:val="22"/>
          <w:szCs w:val="22"/>
          <w:lang w:val="el-GR"/>
        </w:rPr>
      </w:pPr>
      <w:r>
        <w:rPr>
          <w:sz w:val="22"/>
          <w:szCs w:val="22"/>
          <w:lang w:val="el-GR"/>
        </w:rPr>
        <w:t>adalimumab</w:t>
      </w:r>
    </w:p>
    <w:p w14:paraId="3ACEADC8" w14:textId="77777777" w:rsidR="00171824" w:rsidRDefault="00171824">
      <w:pPr>
        <w:widowControl/>
        <w:kinsoku w:val="0"/>
        <w:overflowPunct w:val="0"/>
        <w:rPr>
          <w:sz w:val="22"/>
          <w:szCs w:val="22"/>
          <w:lang w:val="el-GR"/>
        </w:rPr>
      </w:pPr>
    </w:p>
    <w:p w14:paraId="25EDAA00" w14:textId="77777777" w:rsidR="00171824" w:rsidRDefault="00171824">
      <w:pPr>
        <w:widowControl/>
        <w:kinsoku w:val="0"/>
        <w:overflowPunct w:val="0"/>
        <w:rPr>
          <w:sz w:val="22"/>
          <w:szCs w:val="22"/>
          <w:lang w:val="el-GR"/>
        </w:rPr>
      </w:pPr>
    </w:p>
    <w:p w14:paraId="299F7B66" w14:textId="77777777" w:rsidR="00171824" w:rsidRDefault="006D258C">
      <w:pPr>
        <w:widowControl/>
        <w:kinsoku w:val="0"/>
        <w:overflowPunct w:val="0"/>
        <w:outlineLvl w:val="0"/>
        <w:rPr>
          <w:sz w:val="22"/>
          <w:szCs w:val="22"/>
          <w:lang w:val="el-GR"/>
        </w:rPr>
      </w:pPr>
      <w:r>
        <w:rPr>
          <w:b/>
          <w:bCs/>
          <w:sz w:val="22"/>
          <w:szCs w:val="22"/>
          <w:lang w:val="el-GR"/>
        </w:rPr>
        <w:t>Διαβάστε προσεκτικά ολόκληρο το φύλλο οδηγιών χρήσης πριν αρχίσετε να χρησιμοποιείτε αυτό το φάρμακο, διότι περιλαμβάνει σημαντικές πληροφορίες για σας.</w:t>
      </w:r>
    </w:p>
    <w:p w14:paraId="664DB0C6"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Φυλάξτε αυτό το φύλλο οδηγιών χρήσης. Ίσως χρειαστεί να το διαβάσετε ξανά.</w:t>
      </w:r>
    </w:p>
    <w:p w14:paraId="4D838906"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 xml:space="preserve">Ο γιατρός σας θα σας δώσει μια </w:t>
      </w:r>
      <w:r>
        <w:rPr>
          <w:b/>
          <w:sz w:val="22"/>
          <w:szCs w:val="22"/>
          <w:lang w:val="el-GR"/>
        </w:rPr>
        <w:t>Κάρτα Υπενθύμισης του Ασθενούς</w:t>
      </w:r>
      <w:r>
        <w:rPr>
          <w:sz w:val="22"/>
          <w:szCs w:val="22"/>
          <w:lang w:val="el-GR"/>
        </w:rPr>
        <w:t xml:space="preserve">, η οποία περιέχει σημαντικές πληροφορίες για την ασφάλεια του φαρμάκου τις οποίες θα πρέπει να γνωρίζετε πριν λάβετε AMGEVITA καθώς και κατά τη διάρκεια της θεραπείας με AMGEVITA. Φυλάξτε την </w:t>
      </w:r>
      <w:r>
        <w:rPr>
          <w:b/>
          <w:sz w:val="22"/>
          <w:szCs w:val="22"/>
          <w:lang w:val="el-GR"/>
        </w:rPr>
        <w:t>Κάρτα Υπενθύμισης του Ασθενούς</w:t>
      </w:r>
      <w:r>
        <w:rPr>
          <w:sz w:val="22"/>
          <w:szCs w:val="22"/>
          <w:lang w:val="el-GR"/>
        </w:rPr>
        <w:t xml:space="preserve"> μαζί με το φύλλο οδηγιών χρήσης.</w:t>
      </w:r>
    </w:p>
    <w:p w14:paraId="4A2C9700"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Εάν έχετε περαιτέρω απορίες, ρωτήστε τον γιατρό ή τον φαρμακοποιό σας.</w:t>
      </w:r>
    </w:p>
    <w:p w14:paraId="2BA9C374"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Η συνταγή για αυτό το φάρμακο χορηγήθηκε αποκλειστικά για σας. Δεν πρέπει να δώσετε το φάρμακο σε άλλους. Μπορεί να τους προκαλέσει βλάβη, ακόμα και όταν τα συμπτώματα της ασθένειάς τους είναι ίδια με τα δικά σας.</w:t>
      </w:r>
    </w:p>
    <w:p w14:paraId="2ABBF48F"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(βλέπε παράγραφο 4).</w:t>
      </w:r>
    </w:p>
    <w:p w14:paraId="07A1ED5E" w14:textId="77777777" w:rsidR="00171824" w:rsidRDefault="00171824">
      <w:pPr>
        <w:widowControl/>
        <w:kinsoku w:val="0"/>
        <w:overflowPunct w:val="0"/>
        <w:rPr>
          <w:sz w:val="22"/>
          <w:szCs w:val="22"/>
          <w:lang w:val="el-GR"/>
        </w:rPr>
      </w:pPr>
    </w:p>
    <w:p w14:paraId="6A1BD356" w14:textId="77777777" w:rsidR="00171824" w:rsidRDefault="006D258C">
      <w:pPr>
        <w:widowControl/>
        <w:kinsoku w:val="0"/>
        <w:overflowPunct w:val="0"/>
        <w:outlineLvl w:val="0"/>
        <w:rPr>
          <w:sz w:val="22"/>
          <w:szCs w:val="22"/>
          <w:lang w:val="el-GR"/>
        </w:rPr>
      </w:pPr>
      <w:r>
        <w:rPr>
          <w:b/>
          <w:bCs/>
          <w:sz w:val="22"/>
          <w:szCs w:val="22"/>
          <w:lang w:val="el-GR"/>
        </w:rPr>
        <w:t>Τι περιέχει το παρόν φύλλο οδηγιών:</w:t>
      </w:r>
    </w:p>
    <w:p w14:paraId="4887802E"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1.</w:t>
      </w:r>
      <w:r>
        <w:rPr>
          <w:sz w:val="22"/>
          <w:szCs w:val="22"/>
          <w:lang w:val="el-GR"/>
        </w:rPr>
        <w:tab/>
        <w:t>Τι είναι το AMGEVITA και ποια είναι η χρήση του</w:t>
      </w:r>
    </w:p>
    <w:p w14:paraId="114D3ACF"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2.</w:t>
      </w:r>
      <w:r>
        <w:rPr>
          <w:sz w:val="22"/>
          <w:szCs w:val="22"/>
          <w:lang w:val="el-GR"/>
        </w:rPr>
        <w:tab/>
        <w:t xml:space="preserve">Τι πρέπει να γνωρίζετε πριν χρησιμοποιήσετε το AMGEVITA </w:t>
      </w:r>
    </w:p>
    <w:p w14:paraId="5AD5BF5C"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3.</w:t>
      </w:r>
      <w:r>
        <w:rPr>
          <w:sz w:val="22"/>
          <w:szCs w:val="22"/>
          <w:lang w:val="el-GR"/>
        </w:rPr>
        <w:tab/>
        <w:t xml:space="preserve">Πώς να χρησιμοποιήσετε το AMGEVITA </w:t>
      </w:r>
    </w:p>
    <w:p w14:paraId="551B140C"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4.</w:t>
      </w:r>
      <w:r>
        <w:rPr>
          <w:sz w:val="22"/>
          <w:szCs w:val="22"/>
          <w:lang w:val="el-GR"/>
        </w:rPr>
        <w:tab/>
        <w:t>Πιθανές ανεπιθύμητες ενέργειες</w:t>
      </w:r>
    </w:p>
    <w:p w14:paraId="0ADCF238"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5.</w:t>
      </w:r>
      <w:r>
        <w:rPr>
          <w:sz w:val="22"/>
          <w:szCs w:val="22"/>
          <w:lang w:val="el-GR"/>
        </w:rPr>
        <w:tab/>
        <w:t xml:space="preserve">Πώς να φυλάσσετε το AMGEVITA </w:t>
      </w:r>
    </w:p>
    <w:p w14:paraId="59450A5C"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6.</w:t>
      </w:r>
      <w:r>
        <w:rPr>
          <w:sz w:val="22"/>
          <w:szCs w:val="22"/>
          <w:lang w:val="el-GR"/>
        </w:rPr>
        <w:tab/>
        <w:t>Περιεχόμενο της συσκευασίας και λοιπές πληροφορίες</w:t>
      </w:r>
    </w:p>
    <w:p w14:paraId="48AB5838" w14:textId="77777777" w:rsidR="00171824" w:rsidRDefault="00171824">
      <w:pPr>
        <w:widowControl/>
        <w:kinsoku w:val="0"/>
        <w:overflowPunct w:val="0"/>
        <w:rPr>
          <w:sz w:val="22"/>
          <w:szCs w:val="22"/>
          <w:lang w:val="el-GR"/>
        </w:rPr>
      </w:pPr>
    </w:p>
    <w:p w14:paraId="70642C4A" w14:textId="77777777" w:rsidR="00171824" w:rsidRDefault="00171824">
      <w:pPr>
        <w:widowControl/>
        <w:kinsoku w:val="0"/>
        <w:overflowPunct w:val="0"/>
        <w:rPr>
          <w:sz w:val="22"/>
          <w:szCs w:val="22"/>
          <w:lang w:val="el-GR"/>
        </w:rPr>
      </w:pPr>
    </w:p>
    <w:p w14:paraId="4E040BD1" w14:textId="77777777" w:rsidR="00171824" w:rsidRDefault="006D258C">
      <w:pPr>
        <w:widowControl/>
        <w:numPr>
          <w:ilvl w:val="0"/>
          <w:numId w:val="42"/>
        </w:numPr>
        <w:tabs>
          <w:tab w:val="left" w:pos="567"/>
        </w:tabs>
        <w:kinsoku w:val="0"/>
        <w:overflowPunct w:val="0"/>
        <w:autoSpaceDE/>
        <w:autoSpaceDN/>
        <w:adjustRightInd/>
        <w:ind w:left="567"/>
        <w:outlineLvl w:val="0"/>
        <w:rPr>
          <w:sz w:val="22"/>
          <w:szCs w:val="22"/>
          <w:lang w:val="el-GR"/>
        </w:rPr>
      </w:pPr>
      <w:r>
        <w:rPr>
          <w:b/>
          <w:bCs/>
          <w:sz w:val="22"/>
          <w:szCs w:val="22"/>
          <w:lang w:val="el-GR"/>
        </w:rPr>
        <w:t>Τι είναι το AMGEVITA και ποια είναι η χρήση του</w:t>
      </w:r>
    </w:p>
    <w:p w14:paraId="0C46315D" w14:textId="77777777" w:rsidR="00171824" w:rsidRDefault="00171824">
      <w:pPr>
        <w:widowControl/>
        <w:kinsoku w:val="0"/>
        <w:overflowPunct w:val="0"/>
        <w:rPr>
          <w:sz w:val="22"/>
          <w:szCs w:val="22"/>
          <w:lang w:val="el-GR"/>
        </w:rPr>
      </w:pPr>
    </w:p>
    <w:p w14:paraId="7BE0677E" w14:textId="77777777" w:rsidR="00171824" w:rsidRDefault="006D258C">
      <w:pPr>
        <w:widowControl/>
        <w:kinsoku w:val="0"/>
        <w:overflowPunct w:val="0"/>
        <w:rPr>
          <w:sz w:val="22"/>
          <w:szCs w:val="22"/>
          <w:lang w:val="el-GR"/>
        </w:rPr>
      </w:pPr>
      <w:r>
        <w:rPr>
          <w:sz w:val="22"/>
          <w:lang w:val="el-GR"/>
        </w:rPr>
        <w:t xml:space="preserve">Το AMGEVITA περιέχει τη δραστική ουσία adalimumab, ένα φάρμακο που δρα στο ανοσοποιητικό (αμυντικό) σύστημα του οργανισμού σας. </w:t>
      </w:r>
    </w:p>
    <w:p w14:paraId="6AEF3B24" w14:textId="77777777" w:rsidR="00171824" w:rsidRDefault="00171824">
      <w:pPr>
        <w:widowControl/>
        <w:kinsoku w:val="0"/>
        <w:overflowPunct w:val="0"/>
        <w:rPr>
          <w:sz w:val="22"/>
          <w:szCs w:val="22"/>
          <w:lang w:val="el-GR"/>
        </w:rPr>
      </w:pPr>
    </w:p>
    <w:p w14:paraId="76BCC358" w14:textId="77777777" w:rsidR="00171824" w:rsidRDefault="006D258C">
      <w:pPr>
        <w:pStyle w:val="BodyText"/>
        <w:widowControl/>
        <w:kinsoku w:val="0"/>
        <w:overflowPunct w:val="0"/>
        <w:ind w:left="0"/>
        <w:rPr>
          <w:lang w:val="el-GR"/>
        </w:rPr>
      </w:pPr>
      <w:r>
        <w:rPr>
          <w:lang w:val="el-GR"/>
        </w:rPr>
        <w:t xml:space="preserve">Το AMGEVITA προορίζεται για τη θεραπεία των φλεγμονώδων νοσημάτων που περιγράφονται παρακάτω: </w:t>
      </w:r>
    </w:p>
    <w:p w14:paraId="429EFD21" w14:textId="77777777" w:rsidR="00171824" w:rsidRDefault="006D258C">
      <w:pPr>
        <w:pStyle w:val="BodyText"/>
        <w:widowControl/>
        <w:numPr>
          <w:ilvl w:val="0"/>
          <w:numId w:val="23"/>
        </w:numPr>
        <w:kinsoku w:val="0"/>
        <w:overflowPunct w:val="0"/>
        <w:ind w:left="567" w:hanging="567"/>
        <w:rPr>
          <w:lang w:val="el-GR"/>
        </w:rPr>
      </w:pPr>
      <w:r>
        <w:rPr>
          <w:lang w:val="el-GR"/>
        </w:rPr>
        <w:t>Ρευματοειδής αρθρίτιδα</w:t>
      </w:r>
    </w:p>
    <w:p w14:paraId="6861C60F" w14:textId="77777777" w:rsidR="00171824" w:rsidRDefault="006D258C">
      <w:pPr>
        <w:pStyle w:val="BodyText"/>
        <w:widowControl/>
        <w:numPr>
          <w:ilvl w:val="0"/>
          <w:numId w:val="23"/>
        </w:numPr>
        <w:kinsoku w:val="0"/>
        <w:overflowPunct w:val="0"/>
        <w:ind w:left="567" w:hanging="567"/>
        <w:rPr>
          <w:lang w:val="el-GR"/>
        </w:rPr>
      </w:pPr>
      <w:r>
        <w:rPr>
          <w:lang w:val="el-GR"/>
        </w:rPr>
        <w:t>Πολυαρθρική νεανική ιδιοπαθής αρθρίτιδα</w:t>
      </w:r>
    </w:p>
    <w:p w14:paraId="09F81CF2" w14:textId="77777777" w:rsidR="00171824" w:rsidRDefault="006D258C">
      <w:pPr>
        <w:pStyle w:val="BodyText"/>
        <w:widowControl/>
        <w:numPr>
          <w:ilvl w:val="0"/>
          <w:numId w:val="23"/>
        </w:numPr>
        <w:kinsoku w:val="0"/>
        <w:overflowPunct w:val="0"/>
        <w:ind w:left="567" w:hanging="567"/>
        <w:rPr>
          <w:lang w:val="el-GR"/>
        </w:rPr>
      </w:pPr>
      <w:r>
        <w:rPr>
          <w:lang w:val="el-GR"/>
        </w:rPr>
        <w:t>Αρθρίτιδα σχετιζόμενη με ενθεσίτιδα</w:t>
      </w:r>
    </w:p>
    <w:p w14:paraId="0E7B2E2F" w14:textId="77777777" w:rsidR="00171824" w:rsidRDefault="006D258C">
      <w:pPr>
        <w:pStyle w:val="BodyText"/>
        <w:widowControl/>
        <w:numPr>
          <w:ilvl w:val="0"/>
          <w:numId w:val="23"/>
        </w:numPr>
        <w:kinsoku w:val="0"/>
        <w:overflowPunct w:val="0"/>
        <w:ind w:left="567" w:hanging="567"/>
        <w:rPr>
          <w:lang w:val="el-GR"/>
        </w:rPr>
      </w:pPr>
      <w:r>
        <w:rPr>
          <w:lang w:val="el-GR"/>
        </w:rPr>
        <w:t>Αγκυλοποιητική σπονδυλίτιδα</w:t>
      </w:r>
    </w:p>
    <w:p w14:paraId="26A77261" w14:textId="77777777" w:rsidR="00171824" w:rsidRDefault="006D258C">
      <w:pPr>
        <w:pStyle w:val="BodyText"/>
        <w:widowControl/>
        <w:numPr>
          <w:ilvl w:val="0"/>
          <w:numId w:val="23"/>
        </w:numPr>
        <w:kinsoku w:val="0"/>
        <w:overflowPunct w:val="0"/>
        <w:ind w:left="567" w:hanging="567"/>
        <w:rPr>
          <w:lang w:val="el-GR"/>
        </w:rPr>
      </w:pPr>
      <w:r>
        <w:rPr>
          <w:lang w:val="el-GR"/>
        </w:rPr>
        <w:t>Αξονική σπονδυλαρθρίτιδα χωρίς ακτινολογικά ευρήματα αγκυλοποιητικής σπονδυλίτιδας</w:t>
      </w:r>
    </w:p>
    <w:p w14:paraId="00DBBAA6" w14:textId="77777777" w:rsidR="00171824" w:rsidRDefault="006D258C">
      <w:pPr>
        <w:pStyle w:val="BodyText"/>
        <w:widowControl/>
        <w:numPr>
          <w:ilvl w:val="0"/>
          <w:numId w:val="23"/>
        </w:numPr>
        <w:kinsoku w:val="0"/>
        <w:overflowPunct w:val="0"/>
        <w:ind w:left="567" w:hanging="567"/>
        <w:rPr>
          <w:lang w:val="el-GR"/>
        </w:rPr>
      </w:pPr>
      <w:r>
        <w:rPr>
          <w:lang w:val="el-GR"/>
        </w:rPr>
        <w:t>Ψωριασική αρθρίτιδα</w:t>
      </w:r>
    </w:p>
    <w:p w14:paraId="089429C1" w14:textId="77777777" w:rsidR="00171824" w:rsidRDefault="006D258C">
      <w:pPr>
        <w:pStyle w:val="BodyText"/>
        <w:widowControl/>
        <w:numPr>
          <w:ilvl w:val="0"/>
          <w:numId w:val="23"/>
        </w:numPr>
        <w:kinsoku w:val="0"/>
        <w:overflowPunct w:val="0"/>
        <w:ind w:left="567" w:hanging="567"/>
        <w:rPr>
          <w:lang w:val="el-GR"/>
        </w:rPr>
      </w:pPr>
      <w:r>
        <w:rPr>
          <w:lang w:val="el-GR"/>
        </w:rPr>
        <w:t xml:space="preserve">Ψωρίαση κατά πλάκας </w:t>
      </w:r>
    </w:p>
    <w:p w14:paraId="3712947A" w14:textId="77777777" w:rsidR="00171824" w:rsidRDefault="006D258C">
      <w:pPr>
        <w:pStyle w:val="BodyText"/>
        <w:widowControl/>
        <w:numPr>
          <w:ilvl w:val="0"/>
          <w:numId w:val="23"/>
        </w:numPr>
        <w:kinsoku w:val="0"/>
        <w:overflowPunct w:val="0"/>
        <w:ind w:left="567" w:hanging="567"/>
        <w:rPr>
          <w:lang w:val="el-GR"/>
        </w:rPr>
      </w:pPr>
      <w:r>
        <w:rPr>
          <w:lang w:val="el-GR"/>
        </w:rPr>
        <w:t>Διαπυητική ιδρωταδενίτιδα</w:t>
      </w:r>
    </w:p>
    <w:p w14:paraId="5ED6D69C" w14:textId="77777777" w:rsidR="00171824" w:rsidRDefault="006D258C">
      <w:pPr>
        <w:pStyle w:val="BodyText"/>
        <w:widowControl/>
        <w:numPr>
          <w:ilvl w:val="0"/>
          <w:numId w:val="23"/>
        </w:numPr>
        <w:kinsoku w:val="0"/>
        <w:overflowPunct w:val="0"/>
        <w:ind w:left="567" w:hanging="567"/>
        <w:rPr>
          <w:lang w:val="el-GR"/>
        </w:rPr>
      </w:pPr>
      <w:r>
        <w:rPr>
          <w:lang w:val="el-GR"/>
        </w:rPr>
        <w:t xml:space="preserve">Νόσος του Crohn </w:t>
      </w:r>
    </w:p>
    <w:p w14:paraId="72F40F5C" w14:textId="77777777" w:rsidR="00171824" w:rsidRDefault="006D258C">
      <w:pPr>
        <w:pStyle w:val="BodyText"/>
        <w:widowControl/>
        <w:numPr>
          <w:ilvl w:val="0"/>
          <w:numId w:val="23"/>
        </w:numPr>
        <w:kinsoku w:val="0"/>
        <w:overflowPunct w:val="0"/>
        <w:ind w:left="567" w:hanging="567"/>
        <w:rPr>
          <w:lang w:val="el-GR"/>
        </w:rPr>
      </w:pPr>
      <w:r>
        <w:rPr>
          <w:lang w:val="el-GR"/>
        </w:rPr>
        <w:t>Ελκώδης κολίτιδα</w:t>
      </w:r>
    </w:p>
    <w:p w14:paraId="17FE43D2" w14:textId="77777777" w:rsidR="00171824" w:rsidRDefault="006D258C">
      <w:pPr>
        <w:pStyle w:val="BodyText"/>
        <w:widowControl/>
        <w:numPr>
          <w:ilvl w:val="0"/>
          <w:numId w:val="23"/>
        </w:numPr>
        <w:kinsoku w:val="0"/>
        <w:overflowPunct w:val="0"/>
        <w:ind w:left="567" w:hanging="567"/>
        <w:rPr>
          <w:lang w:val="el-GR"/>
        </w:rPr>
      </w:pPr>
      <w:r>
        <w:rPr>
          <w:lang w:val="el-GR"/>
        </w:rPr>
        <w:t>Μη λοιμώδης ραγοειδίτιδα</w:t>
      </w:r>
    </w:p>
    <w:p w14:paraId="107C8B76" w14:textId="77777777" w:rsidR="00171824" w:rsidRDefault="00171824">
      <w:pPr>
        <w:widowControl/>
        <w:kinsoku w:val="0"/>
        <w:overflowPunct w:val="0"/>
        <w:rPr>
          <w:sz w:val="22"/>
          <w:szCs w:val="22"/>
          <w:lang w:val="el-GR"/>
        </w:rPr>
      </w:pPr>
    </w:p>
    <w:p w14:paraId="14FEDBE0" w14:textId="77777777" w:rsidR="00171824" w:rsidRDefault="006D258C">
      <w:pPr>
        <w:widowControl/>
        <w:kinsoku w:val="0"/>
        <w:overflowPunct w:val="0"/>
        <w:rPr>
          <w:sz w:val="22"/>
          <w:szCs w:val="22"/>
          <w:lang w:val="el-GR"/>
        </w:rPr>
      </w:pPr>
      <w:r>
        <w:rPr>
          <w:sz w:val="22"/>
          <w:szCs w:val="22"/>
          <w:lang w:val="el-GR"/>
        </w:rPr>
        <w:t xml:space="preserve">Η δραστική ουσία, στο AMGEVITA, το adalimumab, είναι ένα ανθρώπινο μονοκλωνικό αντίσωμα. Τα μονοκλωνικά αντισώματα είναι πρωτεΐνες που συνδέονται με ένα συγκεκριμένο στόχο. </w:t>
      </w:r>
    </w:p>
    <w:p w14:paraId="1045E816" w14:textId="77777777" w:rsidR="00171824" w:rsidRDefault="00171824">
      <w:pPr>
        <w:widowControl/>
        <w:kinsoku w:val="0"/>
        <w:overflowPunct w:val="0"/>
        <w:rPr>
          <w:sz w:val="22"/>
          <w:szCs w:val="22"/>
          <w:lang w:val="el-GR"/>
        </w:rPr>
      </w:pPr>
    </w:p>
    <w:p w14:paraId="64E540F2" w14:textId="77777777" w:rsidR="00171824" w:rsidRDefault="006D258C">
      <w:pPr>
        <w:widowControl/>
        <w:kinsoku w:val="0"/>
        <w:overflowPunct w:val="0"/>
        <w:rPr>
          <w:sz w:val="22"/>
          <w:szCs w:val="22"/>
          <w:lang w:val="el-GR"/>
        </w:rPr>
      </w:pPr>
      <w:r>
        <w:rPr>
          <w:sz w:val="22"/>
          <w:szCs w:val="22"/>
          <w:lang w:val="el-GR"/>
        </w:rPr>
        <w:t>Ο στόχος του adalimumab είναι μια πρωτεΐνη (που ονομάζεται παράγοντας νέκρωσης των όγκων (TNFα), η οποία εμπλέκεται στο ανοσολογικό (αμυντικό) σύστημα</w:t>
      </w:r>
      <w:r>
        <w:rPr>
          <w:rFonts w:ascii="Arial" w:hAnsi="Arial" w:cs="Arial"/>
          <w:color w:val="222222"/>
          <w:sz w:val="22"/>
          <w:lang w:val="el-GR"/>
        </w:rPr>
        <w:t xml:space="preserve"> </w:t>
      </w:r>
      <w:r>
        <w:rPr>
          <w:sz w:val="22"/>
          <w:szCs w:val="22"/>
          <w:lang w:val="el-GR"/>
        </w:rPr>
        <w:t>και παρουσιάζεται σε αυξημένα επίπεδα σε φλεγμονώδεις νόσους, που αναφέρονται ανωτέρω.</w:t>
      </w:r>
    </w:p>
    <w:p w14:paraId="49F98384" w14:textId="77777777" w:rsidR="00171824" w:rsidRDefault="00171824">
      <w:pPr>
        <w:widowControl/>
        <w:kinsoku w:val="0"/>
        <w:overflowPunct w:val="0"/>
        <w:rPr>
          <w:sz w:val="22"/>
          <w:szCs w:val="22"/>
          <w:lang w:val="el-GR"/>
        </w:rPr>
      </w:pPr>
    </w:p>
    <w:p w14:paraId="0437459C" w14:textId="77777777" w:rsidR="00171824" w:rsidRDefault="006D258C">
      <w:pPr>
        <w:widowControl/>
        <w:kinsoku w:val="0"/>
        <w:overflowPunct w:val="0"/>
        <w:rPr>
          <w:sz w:val="22"/>
          <w:szCs w:val="22"/>
          <w:lang w:val="el-GR"/>
        </w:rPr>
      </w:pPr>
      <w:r>
        <w:rPr>
          <w:sz w:val="22"/>
          <w:szCs w:val="22"/>
          <w:u w:val="single"/>
          <w:lang w:val="el-GR"/>
        </w:rPr>
        <w:lastRenderedPageBreak/>
        <w:t>Ρευματοειδής αρθρίτιδα</w:t>
      </w:r>
    </w:p>
    <w:p w14:paraId="57761F4D" w14:textId="77777777" w:rsidR="00171824" w:rsidRDefault="00171824">
      <w:pPr>
        <w:widowControl/>
        <w:kinsoku w:val="0"/>
        <w:overflowPunct w:val="0"/>
        <w:rPr>
          <w:sz w:val="22"/>
          <w:szCs w:val="22"/>
          <w:lang w:val="el-GR"/>
        </w:rPr>
      </w:pPr>
    </w:p>
    <w:p w14:paraId="699BBE90" w14:textId="77777777" w:rsidR="00171824" w:rsidRDefault="006D258C">
      <w:pPr>
        <w:widowControl/>
        <w:kinsoku w:val="0"/>
        <w:overflowPunct w:val="0"/>
        <w:rPr>
          <w:sz w:val="22"/>
          <w:szCs w:val="22"/>
          <w:lang w:val="el-GR"/>
        </w:rPr>
      </w:pPr>
      <w:r>
        <w:rPr>
          <w:sz w:val="22"/>
          <w:szCs w:val="22"/>
          <w:lang w:val="el-GR"/>
        </w:rPr>
        <w:t>Η ρευματοειδής αρθρίτιδα είναι μια φλεγμονώδης νόσος των αρθρώσεων.</w:t>
      </w:r>
    </w:p>
    <w:p w14:paraId="16EA823E" w14:textId="77777777" w:rsidR="00171824" w:rsidRDefault="00171824">
      <w:pPr>
        <w:widowControl/>
        <w:kinsoku w:val="0"/>
        <w:overflowPunct w:val="0"/>
        <w:rPr>
          <w:sz w:val="22"/>
          <w:szCs w:val="22"/>
          <w:lang w:val="el-GR"/>
        </w:rPr>
      </w:pPr>
    </w:p>
    <w:p w14:paraId="3D933587"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ρευματοειδούς αρθρίτιδας στους ενήλικες. Εάν υποφέρετε από μετρίως έως σοβαρή ενεργό ρευματοειδή αρθρίτιδα, μπορεί αρχικά να σας χορηγηθούν άλλα τροποποιητικά της νόσου φάρμακα, όπως η μεθοτρεξάτη. Εάν δεν ανταποκριθείτε ικανοποιητικά σε αυτά τα φάρμακα, θα σας χορηγηθεί το AMGEVITA για τη θεραπεία της ρευματοειδούς αρθρίτιδας.</w:t>
      </w:r>
    </w:p>
    <w:p w14:paraId="53794DF0" w14:textId="77777777" w:rsidR="00171824" w:rsidRDefault="00171824">
      <w:pPr>
        <w:widowControl/>
        <w:kinsoku w:val="0"/>
        <w:overflowPunct w:val="0"/>
        <w:rPr>
          <w:sz w:val="22"/>
          <w:szCs w:val="22"/>
          <w:lang w:val="el-GR"/>
        </w:rPr>
      </w:pPr>
    </w:p>
    <w:p w14:paraId="6FAFDE7B" w14:textId="77777777" w:rsidR="00171824" w:rsidRDefault="006D258C">
      <w:pPr>
        <w:widowControl/>
        <w:kinsoku w:val="0"/>
        <w:overflowPunct w:val="0"/>
        <w:rPr>
          <w:sz w:val="22"/>
          <w:szCs w:val="22"/>
          <w:lang w:val="el-GR"/>
        </w:rPr>
      </w:pPr>
      <w:r>
        <w:rPr>
          <w:sz w:val="22"/>
          <w:szCs w:val="22"/>
          <w:lang w:val="el-GR"/>
        </w:rPr>
        <w:t>Το AMGEVITA μπορεί επίσης να χορηγηθεί για τη θεραπεία της σοβαρής, ενεργού και εξελισσόμενης ρευματοειδούς αρθρίτιδας χωρίς να έχει προηγηθεί θεραπεία με μεθοτρεξάτη.</w:t>
      </w:r>
    </w:p>
    <w:p w14:paraId="48F6FCE9" w14:textId="77777777" w:rsidR="00171824" w:rsidRDefault="00171824">
      <w:pPr>
        <w:widowControl/>
        <w:kinsoku w:val="0"/>
        <w:overflowPunct w:val="0"/>
        <w:rPr>
          <w:sz w:val="22"/>
          <w:szCs w:val="22"/>
          <w:lang w:val="el-GR"/>
        </w:rPr>
      </w:pPr>
    </w:p>
    <w:p w14:paraId="46514399" w14:textId="77777777" w:rsidR="00171824" w:rsidRDefault="006D258C">
      <w:pPr>
        <w:widowControl/>
        <w:kinsoku w:val="0"/>
        <w:overflowPunct w:val="0"/>
        <w:rPr>
          <w:sz w:val="22"/>
          <w:szCs w:val="22"/>
          <w:lang w:val="el-GR"/>
        </w:rPr>
      </w:pPr>
      <w:r>
        <w:rPr>
          <w:sz w:val="22"/>
          <w:szCs w:val="22"/>
          <w:lang w:val="el-GR"/>
        </w:rPr>
        <w:t>Το AMGEVITA επιβραδύνει τις βλάβες στο χόνδρο και στα οστά των αρθρώσεών σας που προκαλούνται από τη νόσο και βελτιώνει τη λειτουργικότητα.</w:t>
      </w:r>
    </w:p>
    <w:p w14:paraId="369B0CF7" w14:textId="77777777" w:rsidR="00171824" w:rsidRDefault="00171824">
      <w:pPr>
        <w:widowControl/>
        <w:kinsoku w:val="0"/>
        <w:overflowPunct w:val="0"/>
        <w:rPr>
          <w:sz w:val="22"/>
          <w:szCs w:val="22"/>
          <w:lang w:val="el-GR"/>
        </w:rPr>
      </w:pPr>
    </w:p>
    <w:p w14:paraId="754D2509" w14:textId="77777777" w:rsidR="00171824" w:rsidRDefault="006D258C">
      <w:pPr>
        <w:widowControl/>
        <w:kinsoku w:val="0"/>
        <w:overflowPunct w:val="0"/>
        <w:rPr>
          <w:sz w:val="22"/>
          <w:szCs w:val="22"/>
          <w:lang w:val="el-GR"/>
        </w:rPr>
      </w:pPr>
      <w:r>
        <w:rPr>
          <w:sz w:val="22"/>
          <w:szCs w:val="22"/>
          <w:lang w:val="el-GR"/>
        </w:rPr>
        <w:t>Συνήθως το AMGEVITA χορηγείται με μεθοτρεξάτη. Εάν ο γιατρός σας καθορίσει ότι η χορήγηση της μεθοτρεξάτης είναι ακατάλληλη, τότε το AMGEVITA μπορεί να χορηγηθεί μόνο του.</w:t>
      </w:r>
    </w:p>
    <w:p w14:paraId="2B92CB26" w14:textId="77777777" w:rsidR="00171824" w:rsidRDefault="00171824">
      <w:pPr>
        <w:widowControl/>
        <w:kinsoku w:val="0"/>
        <w:overflowPunct w:val="0"/>
        <w:rPr>
          <w:sz w:val="22"/>
          <w:szCs w:val="22"/>
          <w:lang w:val="el-GR"/>
        </w:rPr>
      </w:pPr>
    </w:p>
    <w:p w14:paraId="39883477" w14:textId="77777777" w:rsidR="00171824" w:rsidRDefault="006D258C">
      <w:pPr>
        <w:widowControl/>
        <w:kinsoku w:val="0"/>
        <w:overflowPunct w:val="0"/>
        <w:rPr>
          <w:sz w:val="22"/>
          <w:szCs w:val="22"/>
          <w:lang w:val="el-GR"/>
        </w:rPr>
      </w:pPr>
      <w:r>
        <w:rPr>
          <w:sz w:val="22"/>
          <w:szCs w:val="22"/>
          <w:u w:val="single"/>
          <w:lang w:val="el-GR"/>
        </w:rPr>
        <w:t>Πολυαρθρική νεανική ιδιοπαθής αρθρίτιδα και της αρθρίτιδας σχετιζόμενης με ενθεσίτιδα</w:t>
      </w:r>
    </w:p>
    <w:p w14:paraId="395193E5" w14:textId="77777777" w:rsidR="00171824" w:rsidRDefault="00171824">
      <w:pPr>
        <w:widowControl/>
        <w:kinsoku w:val="0"/>
        <w:overflowPunct w:val="0"/>
        <w:rPr>
          <w:sz w:val="22"/>
          <w:szCs w:val="22"/>
          <w:lang w:val="el-GR"/>
        </w:rPr>
      </w:pPr>
    </w:p>
    <w:p w14:paraId="09A389CB" w14:textId="77777777" w:rsidR="00171824" w:rsidRDefault="006D258C">
      <w:pPr>
        <w:widowControl/>
        <w:kinsoku w:val="0"/>
        <w:overflowPunct w:val="0"/>
        <w:rPr>
          <w:sz w:val="22"/>
          <w:szCs w:val="22"/>
          <w:lang w:val="el-GR"/>
        </w:rPr>
      </w:pPr>
      <w:r>
        <w:rPr>
          <w:sz w:val="22"/>
          <w:szCs w:val="22"/>
          <w:lang w:val="el-GR"/>
        </w:rPr>
        <w:t>Η πολυαρθρική νεανική ιδιοπαθής αρθρίτιδα και της αρθρίτιδας σχετιζόμενης με ενθεσίτιδα είναι φλεγμονώδεις νόσοι των αρθρώσεων που συνήθως εμφανίζονται για πρώτη φορά στην παιδική ηλικία.</w:t>
      </w:r>
    </w:p>
    <w:p w14:paraId="61E9DCCD" w14:textId="77777777" w:rsidR="00171824" w:rsidRDefault="00171824">
      <w:pPr>
        <w:widowControl/>
        <w:kinsoku w:val="0"/>
        <w:overflowPunct w:val="0"/>
        <w:rPr>
          <w:sz w:val="22"/>
          <w:szCs w:val="22"/>
          <w:lang w:val="el-GR"/>
        </w:rPr>
      </w:pPr>
    </w:p>
    <w:p w14:paraId="63C89D2E"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πολυαρθρικής νεανικής ιδιοπαθούς αρθρίτιδας σε ασθενείς από την ηλικία των 2 ετών και της αρθρίτιδας σχετιζόμενης με ενθεσίτιδα σε ασθενείς από την ηλικία των 6 ετών. Μπορεί να λάβετε πρώτα άλλα τροποποιητικά της νόσου φάρμακα όπως μεθοτρεξάτη. Εάν δεν ανταποκριθείτε αρκετά καλά στα φάρμακα αυτά, θα σας χορηγηθεί το AMGEVITA για τη θεραπεία της πολυαρθρικής νεανικής ιδιοπαθούς αρθρίτιδάς σας και της αρθρίτιδας σχετιζόμενης με ενθεσίτιδα.</w:t>
      </w:r>
    </w:p>
    <w:p w14:paraId="2242DF74" w14:textId="77777777" w:rsidR="00171824" w:rsidRDefault="00171824">
      <w:pPr>
        <w:widowControl/>
        <w:kinsoku w:val="0"/>
        <w:overflowPunct w:val="0"/>
        <w:rPr>
          <w:sz w:val="22"/>
          <w:szCs w:val="22"/>
          <w:lang w:val="el-GR"/>
        </w:rPr>
      </w:pPr>
    </w:p>
    <w:p w14:paraId="7A8334A3" w14:textId="77777777" w:rsidR="00171824" w:rsidRDefault="006D258C">
      <w:pPr>
        <w:widowControl/>
        <w:kinsoku w:val="0"/>
        <w:overflowPunct w:val="0"/>
        <w:rPr>
          <w:sz w:val="22"/>
          <w:szCs w:val="22"/>
          <w:lang w:val="el-GR"/>
        </w:rPr>
      </w:pPr>
      <w:r>
        <w:rPr>
          <w:sz w:val="22"/>
          <w:szCs w:val="22"/>
          <w:u w:val="single"/>
          <w:lang w:val="el-GR"/>
        </w:rPr>
        <w:t>Αγκυλοποιητική σπονδυλίτιδα και αξονική σπονδυλαρθρίτιδα χωρίς ακτινολογικά ευρήματα</w:t>
      </w:r>
      <w:r>
        <w:rPr>
          <w:sz w:val="22"/>
          <w:szCs w:val="22"/>
          <w:lang w:val="el-GR"/>
        </w:rPr>
        <w:t xml:space="preserve"> </w:t>
      </w:r>
      <w:r>
        <w:rPr>
          <w:sz w:val="22"/>
          <w:szCs w:val="22"/>
          <w:u w:val="single"/>
          <w:lang w:val="el-GR"/>
        </w:rPr>
        <w:t>αγκυλοποιητικής σπονδυλίτιδας</w:t>
      </w:r>
    </w:p>
    <w:p w14:paraId="168746B5" w14:textId="77777777" w:rsidR="00171824" w:rsidRDefault="00171824">
      <w:pPr>
        <w:widowControl/>
        <w:kinsoku w:val="0"/>
        <w:overflowPunct w:val="0"/>
        <w:rPr>
          <w:sz w:val="22"/>
          <w:szCs w:val="22"/>
          <w:lang w:val="el-GR"/>
        </w:rPr>
      </w:pPr>
    </w:p>
    <w:p w14:paraId="5EB03A09" w14:textId="77777777" w:rsidR="00171824" w:rsidRDefault="006D258C">
      <w:pPr>
        <w:widowControl/>
        <w:kinsoku w:val="0"/>
        <w:overflowPunct w:val="0"/>
        <w:rPr>
          <w:sz w:val="22"/>
          <w:szCs w:val="22"/>
          <w:lang w:val="el-GR"/>
        </w:rPr>
      </w:pPr>
      <w:r>
        <w:rPr>
          <w:sz w:val="22"/>
          <w:szCs w:val="22"/>
          <w:lang w:val="el-GR"/>
        </w:rPr>
        <w:t>Η αγκυλοποιητική σπονδυλίτιδα και η αξονική σπονδυλαρθρίτιδα χωρίς ακτινολογικά ευρήματα αγκυλοποιητικής σπονδυλίτιδας είναι φλεγμονώδεις νόσοι της σπονδυλικής στήλης.</w:t>
      </w:r>
    </w:p>
    <w:p w14:paraId="29AF5286" w14:textId="77777777" w:rsidR="00171824" w:rsidRDefault="00171824">
      <w:pPr>
        <w:widowControl/>
        <w:kinsoku w:val="0"/>
        <w:overflowPunct w:val="0"/>
        <w:rPr>
          <w:sz w:val="22"/>
          <w:szCs w:val="22"/>
          <w:lang w:val="el-GR"/>
        </w:rPr>
      </w:pPr>
    </w:p>
    <w:p w14:paraId="45FD9DB2"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αγκυλοποιητικής σπονδυλίτιδας και της αξονικής σπονδυλαρθρίτιδας χωρίς ακτινολογικά ευρήματα αγκυλοποιητικής σπονδυλίτιδας στους ενήλικες. Εάν πάσχετε από αγκυλοποιητική σπονδυλίτιδα ή αξονική σπονδυλαρθρίτιδα χωρίς ακτινολογικά ευρήματα αγκυλοποιητικής σπονδυλίτιδας, θα σας χορηγηθούν αρχικά άλλα φάρμακα. Εάν δεν ανταποκριθείτε αρκετά καλά σε αυτά, θα σας χορηγηθεί AMGEVITA ώστε να μειωθούν τα σημεία και τα συμπτώματα της νόσου σας.</w:t>
      </w:r>
    </w:p>
    <w:p w14:paraId="2D97864A" w14:textId="77777777" w:rsidR="00171824" w:rsidRDefault="00171824">
      <w:pPr>
        <w:widowControl/>
        <w:kinsoku w:val="0"/>
        <w:overflowPunct w:val="0"/>
        <w:rPr>
          <w:sz w:val="22"/>
          <w:szCs w:val="22"/>
          <w:lang w:val="el-GR"/>
        </w:rPr>
      </w:pPr>
    </w:p>
    <w:p w14:paraId="29078972" w14:textId="77777777" w:rsidR="00171824" w:rsidRDefault="006D258C">
      <w:pPr>
        <w:widowControl/>
        <w:kinsoku w:val="0"/>
        <w:overflowPunct w:val="0"/>
        <w:rPr>
          <w:sz w:val="22"/>
          <w:szCs w:val="22"/>
          <w:lang w:val="el-GR"/>
        </w:rPr>
      </w:pPr>
      <w:r>
        <w:rPr>
          <w:sz w:val="22"/>
          <w:szCs w:val="22"/>
          <w:u w:val="single"/>
          <w:lang w:val="el-GR"/>
        </w:rPr>
        <w:t>Ψωριασική αρθρίτιδα</w:t>
      </w:r>
    </w:p>
    <w:p w14:paraId="2130959C" w14:textId="77777777" w:rsidR="00171824" w:rsidRDefault="00171824">
      <w:pPr>
        <w:widowControl/>
        <w:kinsoku w:val="0"/>
        <w:overflowPunct w:val="0"/>
        <w:rPr>
          <w:sz w:val="22"/>
          <w:szCs w:val="22"/>
          <w:lang w:val="el-GR"/>
        </w:rPr>
      </w:pPr>
    </w:p>
    <w:p w14:paraId="5FE8482E" w14:textId="77777777" w:rsidR="00171824" w:rsidRDefault="006D258C">
      <w:pPr>
        <w:widowControl/>
        <w:kinsoku w:val="0"/>
        <w:overflowPunct w:val="0"/>
        <w:rPr>
          <w:sz w:val="22"/>
          <w:szCs w:val="22"/>
          <w:lang w:val="el-GR"/>
        </w:rPr>
      </w:pPr>
      <w:r>
        <w:rPr>
          <w:sz w:val="22"/>
          <w:szCs w:val="22"/>
          <w:lang w:val="el-GR"/>
        </w:rPr>
        <w:t>Η ψωριασική αρθρίτιδα είναι μια φλεγμονή των αρθρώσεων που συνδέεται με ψωρίαση.</w:t>
      </w:r>
    </w:p>
    <w:p w14:paraId="6D25E3A0" w14:textId="77777777" w:rsidR="00171824" w:rsidRDefault="00171824">
      <w:pPr>
        <w:widowControl/>
        <w:kinsoku w:val="0"/>
        <w:overflowPunct w:val="0"/>
        <w:rPr>
          <w:sz w:val="22"/>
          <w:szCs w:val="22"/>
          <w:lang w:val="el-GR"/>
        </w:rPr>
      </w:pPr>
    </w:p>
    <w:p w14:paraId="619A65F0"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ψωριασικής αρθρίτιδας στους ενήλικες. Το AMGEVITA επιβραδύνει τις βλάβες στο χόνδρο και στα οστά των αρθρώσεών σας που προκαλούνται από τη νόσο και βελτιώνει τη λειτουργικότητα.</w:t>
      </w:r>
    </w:p>
    <w:p w14:paraId="7B4588EB" w14:textId="77777777" w:rsidR="00171824" w:rsidRDefault="00171824">
      <w:pPr>
        <w:widowControl/>
        <w:kinsoku w:val="0"/>
        <w:overflowPunct w:val="0"/>
        <w:rPr>
          <w:sz w:val="22"/>
          <w:szCs w:val="22"/>
          <w:lang w:val="el-GR"/>
        </w:rPr>
      </w:pPr>
    </w:p>
    <w:p w14:paraId="35A28C51" w14:textId="77777777" w:rsidR="00171824" w:rsidRDefault="006D258C">
      <w:pPr>
        <w:keepNext/>
        <w:widowControl/>
        <w:kinsoku w:val="0"/>
        <w:overflowPunct w:val="0"/>
        <w:rPr>
          <w:sz w:val="22"/>
          <w:szCs w:val="22"/>
          <w:lang w:val="el-GR"/>
        </w:rPr>
      </w:pPr>
      <w:r>
        <w:rPr>
          <w:sz w:val="22"/>
          <w:szCs w:val="22"/>
          <w:u w:val="single"/>
          <w:lang w:val="el-GR"/>
        </w:rPr>
        <w:t>Ψωρίαση κατά πλάκας σε ενήλικες και παιδιά</w:t>
      </w:r>
    </w:p>
    <w:p w14:paraId="37EDDD76" w14:textId="77777777" w:rsidR="00171824" w:rsidRDefault="00171824">
      <w:pPr>
        <w:keepNext/>
        <w:widowControl/>
        <w:kinsoku w:val="0"/>
        <w:overflowPunct w:val="0"/>
        <w:rPr>
          <w:sz w:val="22"/>
          <w:szCs w:val="22"/>
          <w:lang w:val="el-GR"/>
        </w:rPr>
      </w:pPr>
    </w:p>
    <w:p w14:paraId="3B55D022" w14:textId="77777777" w:rsidR="00171824" w:rsidRDefault="006D258C">
      <w:pPr>
        <w:widowControl/>
        <w:kinsoku w:val="0"/>
        <w:overflowPunct w:val="0"/>
        <w:rPr>
          <w:sz w:val="22"/>
          <w:szCs w:val="22"/>
          <w:lang w:val="el-GR"/>
        </w:rPr>
      </w:pPr>
      <w:r>
        <w:rPr>
          <w:sz w:val="22"/>
          <w:szCs w:val="22"/>
          <w:lang w:val="el-GR"/>
        </w:rPr>
        <w:t xml:space="preserve">Η ψωρίαση κατά πλάκας είναι μια δερματοπάθεια που προκαλεί ερυθρές, φολιδωτές, λεπιδώδεις πλάκες δέρματος που καλύπτονται από αργυρόχροα λέπια. Η ψωρίαση κατά πλάκας μπορεί επίσης να </w:t>
      </w:r>
      <w:r>
        <w:rPr>
          <w:sz w:val="22"/>
          <w:szCs w:val="22"/>
          <w:lang w:val="el-GR"/>
        </w:rPr>
        <w:lastRenderedPageBreak/>
        <w:t>προσβάλει τα νύχια, προκαλώντας απώλεια του νυχιού, πάχυνση και αποκόλληση από την κοίτη του νυχιού, το οποίο μπορεί να είναι επώδυνο.</w:t>
      </w:r>
      <w:r>
        <w:rPr>
          <w:sz w:val="22"/>
          <w:lang w:val="el-GR"/>
        </w:rPr>
        <w:t xml:space="preserve"> </w:t>
      </w:r>
      <w:r>
        <w:rPr>
          <w:sz w:val="22"/>
          <w:szCs w:val="22"/>
          <w:lang w:val="el-GR"/>
        </w:rPr>
        <w:t>Η ψωρίαση πιστεύεται ότι προκαλείται από ένα πρόβλημα στο ανοσοποιητικό σύστημα του οργανισμού, που οδηγεί σε αυξημένη παραγωγή επιδερμιδικών κυττάρων.</w:t>
      </w:r>
    </w:p>
    <w:p w14:paraId="661E8124" w14:textId="77777777" w:rsidR="00171824" w:rsidRDefault="00171824">
      <w:pPr>
        <w:widowControl/>
        <w:kinsoku w:val="0"/>
        <w:overflowPunct w:val="0"/>
        <w:rPr>
          <w:sz w:val="22"/>
          <w:szCs w:val="22"/>
          <w:lang w:val="el-GR"/>
        </w:rPr>
      </w:pPr>
    </w:p>
    <w:p w14:paraId="3B4D2549"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μέτριας έως σοβαρής ψωρίασης κατά πλάκας στους ενήλικες. Το AMGEVITA χρησιμοποιείται επίσης για τη θεραπεία της σοβαρής ψωρίασης κατά πλάκας σε παιδιά και εφήβους ηλικίας 4 έως 17 ετών για τους οποίους η τοπική θεραπεία και οι φωτοθεραπείες είτε δεν λειτούργησαν πολύ καλά ή δεν ήταν κατάλληλες.</w:t>
      </w:r>
    </w:p>
    <w:p w14:paraId="199C27E1" w14:textId="77777777" w:rsidR="00171824" w:rsidRDefault="00171824">
      <w:pPr>
        <w:widowControl/>
        <w:kinsoku w:val="0"/>
        <w:overflowPunct w:val="0"/>
        <w:rPr>
          <w:sz w:val="22"/>
          <w:szCs w:val="22"/>
          <w:lang w:val="el-GR"/>
        </w:rPr>
      </w:pPr>
    </w:p>
    <w:p w14:paraId="16B2ABB9" w14:textId="77777777" w:rsidR="00171824" w:rsidRDefault="006D258C">
      <w:pPr>
        <w:widowControl/>
        <w:kinsoku w:val="0"/>
        <w:overflowPunct w:val="0"/>
        <w:rPr>
          <w:sz w:val="22"/>
          <w:szCs w:val="22"/>
          <w:lang w:val="el-GR"/>
        </w:rPr>
      </w:pPr>
      <w:r>
        <w:rPr>
          <w:sz w:val="22"/>
          <w:szCs w:val="22"/>
          <w:u w:val="single"/>
          <w:lang w:val="el-GR"/>
        </w:rPr>
        <w:t>Διαπυητική ιδρωταδενίτιδα σε ενήλικες και παιδιά</w:t>
      </w:r>
    </w:p>
    <w:p w14:paraId="5F728889" w14:textId="77777777" w:rsidR="00171824" w:rsidRDefault="00171824">
      <w:pPr>
        <w:widowControl/>
        <w:kinsoku w:val="0"/>
        <w:overflowPunct w:val="0"/>
        <w:rPr>
          <w:sz w:val="22"/>
          <w:szCs w:val="22"/>
          <w:lang w:val="el-GR"/>
        </w:rPr>
      </w:pPr>
    </w:p>
    <w:p w14:paraId="47ECCFAD" w14:textId="77777777" w:rsidR="00171824" w:rsidRDefault="006D258C">
      <w:pPr>
        <w:widowControl/>
        <w:kinsoku w:val="0"/>
        <w:overflowPunct w:val="0"/>
        <w:rPr>
          <w:sz w:val="22"/>
          <w:szCs w:val="22"/>
          <w:lang w:val="el-GR"/>
        </w:rPr>
      </w:pPr>
      <w:r>
        <w:rPr>
          <w:sz w:val="22"/>
          <w:szCs w:val="22"/>
          <w:lang w:val="el-GR"/>
        </w:rPr>
        <w:t>Η διαπυητική ιδρωταδενίτιδα (ονομάζεται και ανάστροφη ακµή) είναι μία χρόνια και συχνά επώδυνη φλεγμονώδης νόσος του δέρματος. Τα συμπτώματα μπορεί να περιλαμβάνουν ευαίσθητα οζίδια (εξογκώματα) και αποστήματα (δοθιήνες) που μπορεί να εκκρίνουν πύον. Εμφανίζεται συχνότερα σε συγκεκριμένες περιοχές του δέρματος, όπως κάτω από το στήθος, στις μασχάλες, στο εσωτερικό των μηρών, στη βουβωνική χώρα και τους γλουτούς. Στις προσβεβλημένες περιοχές μπορεί επίσης να εμφανιστούν ουλές.</w:t>
      </w:r>
    </w:p>
    <w:p w14:paraId="62E80CDE" w14:textId="77777777" w:rsidR="00171824" w:rsidRDefault="00171824">
      <w:pPr>
        <w:widowControl/>
        <w:kinsoku w:val="0"/>
        <w:overflowPunct w:val="0"/>
        <w:rPr>
          <w:sz w:val="22"/>
          <w:szCs w:val="22"/>
          <w:lang w:val="el-GR"/>
        </w:rPr>
      </w:pPr>
    </w:p>
    <w:p w14:paraId="7B428580"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διαπυητικής ιδρωταδενίτιδας σε ενήλικες και παιδιά από 12 ετών. Το AMGEVITA μπορεί να μειώσει τον αριθμό των οζιδίων και των αποστημάτων, καθώς και τον πόνο που συνδέεται συχνά με τη νόσο.</w:t>
      </w:r>
      <w:r>
        <w:rPr>
          <w:rFonts w:ascii="Arial" w:hAnsi="Arial" w:cs="Arial"/>
          <w:color w:val="222222"/>
          <w:sz w:val="22"/>
          <w:lang w:val="el-GR"/>
        </w:rPr>
        <w:t xml:space="preserve"> </w:t>
      </w:r>
      <w:r>
        <w:rPr>
          <w:sz w:val="22"/>
          <w:szCs w:val="22"/>
          <w:lang w:val="el-GR"/>
        </w:rPr>
        <w:t>Μπορεί πρώτα να σας χορηγηθούν άλλα φάρμακα. Αν δεν ανταποκριθείτε καλά σε αυτά τα φάρμακα, θα σας δοθεί το AMGEVITA.</w:t>
      </w:r>
    </w:p>
    <w:p w14:paraId="42086C12" w14:textId="77777777" w:rsidR="00171824" w:rsidRDefault="00171824">
      <w:pPr>
        <w:widowControl/>
        <w:kinsoku w:val="0"/>
        <w:overflowPunct w:val="0"/>
        <w:rPr>
          <w:sz w:val="22"/>
          <w:szCs w:val="22"/>
          <w:lang w:val="el-GR"/>
        </w:rPr>
      </w:pPr>
    </w:p>
    <w:p w14:paraId="5826D005" w14:textId="77777777" w:rsidR="00171824" w:rsidRDefault="006D258C">
      <w:pPr>
        <w:widowControl/>
        <w:kinsoku w:val="0"/>
        <w:overflowPunct w:val="0"/>
        <w:rPr>
          <w:sz w:val="22"/>
          <w:szCs w:val="22"/>
          <w:lang w:val="el-GR"/>
        </w:rPr>
      </w:pPr>
      <w:r>
        <w:rPr>
          <w:sz w:val="22"/>
          <w:szCs w:val="22"/>
          <w:u w:val="single"/>
          <w:lang w:val="el-GR"/>
        </w:rPr>
        <w:t>Nόσος του Crohn σε ενήλικες και παιδιά</w:t>
      </w:r>
    </w:p>
    <w:p w14:paraId="640735B8" w14:textId="77777777" w:rsidR="00171824" w:rsidRDefault="00171824">
      <w:pPr>
        <w:widowControl/>
        <w:kinsoku w:val="0"/>
        <w:overflowPunct w:val="0"/>
        <w:rPr>
          <w:sz w:val="22"/>
          <w:szCs w:val="22"/>
          <w:lang w:val="el-GR"/>
        </w:rPr>
      </w:pPr>
    </w:p>
    <w:p w14:paraId="03A4AEE3" w14:textId="77777777" w:rsidR="00171824" w:rsidRDefault="006D258C">
      <w:pPr>
        <w:widowControl/>
        <w:kinsoku w:val="0"/>
        <w:overflowPunct w:val="0"/>
        <w:rPr>
          <w:sz w:val="22"/>
          <w:szCs w:val="22"/>
          <w:lang w:val="el-GR"/>
        </w:rPr>
      </w:pPr>
      <w:r>
        <w:rPr>
          <w:sz w:val="22"/>
          <w:szCs w:val="22"/>
          <w:lang w:val="el-GR"/>
        </w:rPr>
        <w:t>H νόσος του Crohn είναι μια φλεγμονώδης νόσος του πεπτικού συστήματος.</w:t>
      </w:r>
    </w:p>
    <w:p w14:paraId="5FD5E22D" w14:textId="77777777" w:rsidR="00171824" w:rsidRDefault="00171824">
      <w:pPr>
        <w:widowControl/>
        <w:kinsoku w:val="0"/>
        <w:overflowPunct w:val="0"/>
        <w:rPr>
          <w:sz w:val="22"/>
          <w:szCs w:val="22"/>
          <w:lang w:val="el-GR"/>
        </w:rPr>
      </w:pPr>
    </w:p>
    <w:p w14:paraId="2B52BC87"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νόσου του Crohn σε ενήλικες και παιδιά ηλικίας 6 έως 17 ετών. Εάν πάσχετε από νόσο του Crohn θα πρέπει να σας δοθεί αρχικά άλλη φαρμακευτική αγωγή. Εάν δεν ανταποκριθείτε αρκετά καλά σε αυτή τη φαρμακευτική αγωγή, θα σας δοθεί AMGEVITA ώστε να μειωθούν τα σημεία και τα συμπτώματα της νόσου του Crohn.</w:t>
      </w:r>
    </w:p>
    <w:p w14:paraId="20175B44" w14:textId="77777777" w:rsidR="00171824" w:rsidRDefault="00171824">
      <w:pPr>
        <w:widowControl/>
        <w:kinsoku w:val="0"/>
        <w:overflowPunct w:val="0"/>
        <w:rPr>
          <w:sz w:val="22"/>
          <w:szCs w:val="22"/>
          <w:lang w:val="el-GR"/>
        </w:rPr>
      </w:pPr>
    </w:p>
    <w:p w14:paraId="3B14F979" w14:textId="77777777" w:rsidR="00171824" w:rsidRDefault="006D258C">
      <w:pPr>
        <w:widowControl/>
        <w:kinsoku w:val="0"/>
        <w:overflowPunct w:val="0"/>
        <w:rPr>
          <w:sz w:val="22"/>
          <w:szCs w:val="22"/>
          <w:lang w:val="el-GR"/>
        </w:rPr>
      </w:pPr>
      <w:r>
        <w:rPr>
          <w:sz w:val="22"/>
          <w:szCs w:val="22"/>
          <w:u w:val="single"/>
          <w:lang w:val="el-GR"/>
        </w:rPr>
        <w:t>Ελκώδης κολίτιδα σε ενήλικες και παιδιά</w:t>
      </w:r>
    </w:p>
    <w:p w14:paraId="2EB37285" w14:textId="77777777" w:rsidR="00171824" w:rsidRDefault="00171824">
      <w:pPr>
        <w:widowControl/>
        <w:kinsoku w:val="0"/>
        <w:overflowPunct w:val="0"/>
        <w:rPr>
          <w:sz w:val="22"/>
          <w:szCs w:val="22"/>
          <w:lang w:val="el-GR"/>
        </w:rPr>
      </w:pPr>
    </w:p>
    <w:p w14:paraId="353D30CF" w14:textId="77777777" w:rsidR="00171824" w:rsidRDefault="006D258C">
      <w:pPr>
        <w:widowControl/>
        <w:kinsoku w:val="0"/>
        <w:overflowPunct w:val="0"/>
        <w:rPr>
          <w:sz w:val="22"/>
          <w:szCs w:val="22"/>
          <w:lang w:val="el-GR"/>
        </w:rPr>
      </w:pPr>
      <w:r>
        <w:rPr>
          <w:sz w:val="22"/>
          <w:szCs w:val="22"/>
          <w:lang w:val="el-GR"/>
        </w:rPr>
        <w:t>Η ελκώδης κολίτιδα είναι μία φλεγμονώδης νόσος του παχέος εντέρου.</w:t>
      </w:r>
    </w:p>
    <w:p w14:paraId="07863C89" w14:textId="77777777" w:rsidR="00171824" w:rsidRDefault="00171824">
      <w:pPr>
        <w:widowControl/>
        <w:kinsoku w:val="0"/>
        <w:overflowPunct w:val="0"/>
        <w:rPr>
          <w:sz w:val="22"/>
          <w:szCs w:val="22"/>
          <w:lang w:val="el-GR"/>
        </w:rPr>
      </w:pPr>
    </w:p>
    <w:p w14:paraId="43CD0440"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μέτριας έως σοβαρής ελκώδους κολίτιδας σε ενήλικες και παιδιά ηλικίας 6 έως 17 ετών. Αν έχετε ελκώδη κολίτιδα, μπορεί πρώτα να σας χορηγηθούν άλλα φάρμακα. Αν δεν ανταποκριθείτε αρκετά καλά σε αυτά τα φάρμακα, θα σας δοθεί AMGEVITA για να μειωθούν τα σημεία και τα συμπτώματα της νόσου σας.</w:t>
      </w:r>
    </w:p>
    <w:p w14:paraId="2B28D2BC" w14:textId="77777777" w:rsidR="00171824" w:rsidRDefault="00171824">
      <w:pPr>
        <w:widowControl/>
        <w:kinsoku w:val="0"/>
        <w:overflowPunct w:val="0"/>
        <w:rPr>
          <w:sz w:val="22"/>
          <w:szCs w:val="22"/>
          <w:lang w:val="el-GR"/>
        </w:rPr>
      </w:pPr>
    </w:p>
    <w:p w14:paraId="582934B6" w14:textId="77777777" w:rsidR="00171824" w:rsidRDefault="006D258C">
      <w:pPr>
        <w:pStyle w:val="BodyText"/>
        <w:widowControl/>
        <w:kinsoku w:val="0"/>
        <w:overflowPunct w:val="0"/>
        <w:ind w:left="0"/>
        <w:rPr>
          <w:lang w:val="el-GR"/>
        </w:rPr>
      </w:pPr>
      <w:r>
        <w:rPr>
          <w:u w:val="single"/>
          <w:lang w:val="el-GR"/>
        </w:rPr>
        <w:t>Μη-λοιμώδης ραγοειδίτιδα σε ενήλικες και παιδιά</w:t>
      </w:r>
    </w:p>
    <w:p w14:paraId="3FD80FB8" w14:textId="77777777" w:rsidR="00171824" w:rsidRDefault="00171824">
      <w:pPr>
        <w:widowControl/>
        <w:kinsoku w:val="0"/>
        <w:overflowPunct w:val="0"/>
        <w:rPr>
          <w:sz w:val="22"/>
          <w:szCs w:val="22"/>
          <w:lang w:val="el-GR"/>
        </w:rPr>
      </w:pPr>
    </w:p>
    <w:p w14:paraId="5EDFEB5F" w14:textId="77777777" w:rsidR="00171824" w:rsidRDefault="006D258C">
      <w:pPr>
        <w:pStyle w:val="BodyText"/>
        <w:widowControl/>
        <w:kinsoku w:val="0"/>
        <w:overflowPunct w:val="0"/>
        <w:ind w:left="0"/>
        <w:rPr>
          <w:lang w:val="el-GR"/>
        </w:rPr>
      </w:pPr>
      <w:r>
        <w:rPr>
          <w:lang w:val="el-GR"/>
        </w:rPr>
        <w:t xml:space="preserve">Η μη-λοιμώδης ραγοειδίτιδα είναι μία φλεγμονώδης ασθένεια που επηρεάζει ορισμένα τμήματα του οφθαλμού. </w:t>
      </w:r>
    </w:p>
    <w:p w14:paraId="4F557A12" w14:textId="77777777" w:rsidR="00171824" w:rsidRDefault="00171824">
      <w:pPr>
        <w:pStyle w:val="BodyText"/>
        <w:widowControl/>
        <w:kinsoku w:val="0"/>
        <w:overflowPunct w:val="0"/>
        <w:ind w:left="0"/>
        <w:rPr>
          <w:lang w:val="el-GR"/>
        </w:rPr>
      </w:pPr>
    </w:p>
    <w:p w14:paraId="1D38E739" w14:textId="77777777" w:rsidR="00171824" w:rsidRDefault="006D258C">
      <w:pPr>
        <w:pStyle w:val="BodyText"/>
        <w:widowControl/>
        <w:kinsoku w:val="0"/>
        <w:overflowPunct w:val="0"/>
        <w:ind w:left="0"/>
        <w:rPr>
          <w:lang w:val="el-GR"/>
        </w:rPr>
      </w:pPr>
      <w:r>
        <w:rPr>
          <w:lang w:val="el-GR"/>
        </w:rPr>
        <w:t xml:space="preserve">Το AMGEVITA χρησιμοποιείται για τη θεραπεία </w:t>
      </w:r>
    </w:p>
    <w:p w14:paraId="2B0B31A7" w14:textId="77777777" w:rsidR="00171824" w:rsidRDefault="006D258C">
      <w:pPr>
        <w:pStyle w:val="BodyText"/>
        <w:widowControl/>
        <w:numPr>
          <w:ilvl w:val="0"/>
          <w:numId w:val="26"/>
        </w:numPr>
        <w:kinsoku w:val="0"/>
        <w:overflowPunct w:val="0"/>
        <w:ind w:left="567" w:hanging="567"/>
        <w:rPr>
          <w:lang w:val="el-GR"/>
        </w:rPr>
      </w:pPr>
      <w:r>
        <w:rPr>
          <w:lang w:val="el-GR"/>
        </w:rPr>
        <w:t xml:space="preserve">Ενηλίκων με μη-λοιμώδη ραγοειδίτιδα με φλεγμονή που επηρεάζει το οπίσθιο μέρος του οφθαλμού. </w:t>
      </w:r>
    </w:p>
    <w:p w14:paraId="677C9321" w14:textId="77777777" w:rsidR="00171824" w:rsidRDefault="006D258C">
      <w:pPr>
        <w:pStyle w:val="BodyText"/>
        <w:widowControl/>
        <w:numPr>
          <w:ilvl w:val="0"/>
          <w:numId w:val="26"/>
        </w:numPr>
        <w:kinsoku w:val="0"/>
        <w:overflowPunct w:val="0"/>
        <w:ind w:left="567" w:hanging="567"/>
        <w:rPr>
          <w:lang w:val="el-GR"/>
        </w:rPr>
      </w:pPr>
      <w:r>
        <w:rPr>
          <w:lang w:val="el-GR"/>
        </w:rPr>
        <w:t xml:space="preserve">Παιδιά από την ηλικία των 2 ετών με χρόνια μη-λοιμώδη ραγοειδίτιδα με φλεγμονή που επηρεάζει το μπροστινό μέρος του οφθαλμού. </w:t>
      </w:r>
    </w:p>
    <w:p w14:paraId="3125536C" w14:textId="77777777" w:rsidR="00171824" w:rsidRDefault="00171824">
      <w:pPr>
        <w:pStyle w:val="BodyText"/>
        <w:widowControl/>
        <w:kinsoku w:val="0"/>
        <w:overflowPunct w:val="0"/>
        <w:rPr>
          <w:lang w:val="el-GR"/>
        </w:rPr>
      </w:pPr>
    </w:p>
    <w:p w14:paraId="7FFE286D" w14:textId="77777777" w:rsidR="00171824" w:rsidRDefault="006D258C">
      <w:pPr>
        <w:pStyle w:val="BodyText"/>
        <w:widowControl/>
        <w:kinsoku w:val="0"/>
        <w:overflowPunct w:val="0"/>
        <w:ind w:left="0"/>
        <w:rPr>
          <w:lang w:val="el-GR"/>
        </w:rPr>
      </w:pPr>
      <w:r>
        <w:rPr>
          <w:lang w:val="el-GR"/>
        </w:rPr>
        <w:t>Η φλεγμονή αυτή μπορεί να οδηγήσει σε μείωση της όρασης και/ή στην παρουσία εξιδρωμάτων στον οφθαλμό (μαύρες κουκίδες ή ψιλές γραμμές που κινούνται σε όλο το πεδίο της όρασης). Το AMGEVITA δρα μειώνοντας αυτήν τη φλεγμονή.</w:t>
      </w:r>
    </w:p>
    <w:p w14:paraId="5461E7C4" w14:textId="77777777" w:rsidR="00171824" w:rsidRDefault="00171824">
      <w:pPr>
        <w:widowControl/>
        <w:kinsoku w:val="0"/>
        <w:overflowPunct w:val="0"/>
        <w:rPr>
          <w:sz w:val="22"/>
          <w:szCs w:val="22"/>
          <w:lang w:val="el-GR"/>
        </w:rPr>
      </w:pPr>
    </w:p>
    <w:p w14:paraId="4B0521F2" w14:textId="77777777" w:rsidR="00171824" w:rsidRDefault="00171824">
      <w:pPr>
        <w:widowControl/>
        <w:kinsoku w:val="0"/>
        <w:overflowPunct w:val="0"/>
        <w:rPr>
          <w:sz w:val="22"/>
          <w:szCs w:val="22"/>
          <w:lang w:val="el-GR"/>
        </w:rPr>
      </w:pPr>
    </w:p>
    <w:p w14:paraId="1EF40F4B" w14:textId="77777777" w:rsidR="00171824" w:rsidRDefault="006D258C">
      <w:pPr>
        <w:keepNext/>
        <w:widowControl/>
        <w:numPr>
          <w:ilvl w:val="0"/>
          <w:numId w:val="42"/>
        </w:numPr>
        <w:tabs>
          <w:tab w:val="left" w:pos="567"/>
        </w:tabs>
        <w:kinsoku w:val="0"/>
        <w:overflowPunct w:val="0"/>
        <w:autoSpaceDE/>
        <w:autoSpaceDN/>
        <w:adjustRightInd/>
        <w:ind w:left="567"/>
        <w:outlineLvl w:val="0"/>
        <w:rPr>
          <w:sz w:val="22"/>
          <w:szCs w:val="22"/>
          <w:lang w:val="el-GR"/>
        </w:rPr>
      </w:pPr>
      <w:r>
        <w:rPr>
          <w:b/>
          <w:bCs/>
          <w:sz w:val="22"/>
          <w:szCs w:val="22"/>
          <w:lang w:val="el-GR"/>
        </w:rPr>
        <w:t xml:space="preserve">Τι πρέπει να γνωρίζετε πριν χρησιμοποιήσετε το AMGEVITA </w:t>
      </w:r>
    </w:p>
    <w:p w14:paraId="13FB6393" w14:textId="77777777" w:rsidR="00171824" w:rsidRDefault="00171824">
      <w:pPr>
        <w:keepNext/>
        <w:widowControl/>
        <w:tabs>
          <w:tab w:val="left" w:pos="684"/>
        </w:tabs>
        <w:kinsoku w:val="0"/>
        <w:overflowPunct w:val="0"/>
        <w:outlineLvl w:val="0"/>
        <w:rPr>
          <w:sz w:val="22"/>
          <w:szCs w:val="22"/>
          <w:lang w:val="el-GR"/>
        </w:rPr>
      </w:pPr>
    </w:p>
    <w:p w14:paraId="2E27C224" w14:textId="77777777" w:rsidR="00171824" w:rsidRDefault="006D258C">
      <w:pPr>
        <w:keepNext/>
        <w:widowControl/>
        <w:tabs>
          <w:tab w:val="left" w:pos="684"/>
        </w:tabs>
        <w:kinsoku w:val="0"/>
        <w:overflowPunct w:val="0"/>
        <w:outlineLvl w:val="0"/>
        <w:rPr>
          <w:b/>
          <w:bCs/>
          <w:sz w:val="22"/>
          <w:szCs w:val="22"/>
          <w:lang w:val="el-GR"/>
        </w:rPr>
      </w:pPr>
      <w:r>
        <w:rPr>
          <w:b/>
          <w:bCs/>
          <w:sz w:val="22"/>
          <w:szCs w:val="22"/>
          <w:lang w:val="el-GR"/>
        </w:rPr>
        <w:t>Μην χρησιμοποιήσετε το AMGEVITA:</w:t>
      </w:r>
    </w:p>
    <w:p w14:paraId="464F9A59" w14:textId="77777777" w:rsidR="00171824" w:rsidRDefault="00171824">
      <w:pPr>
        <w:keepNext/>
        <w:widowControl/>
        <w:rPr>
          <w:sz w:val="22"/>
          <w:szCs w:val="22"/>
          <w:lang w:val="el-GR"/>
        </w:rPr>
      </w:pPr>
    </w:p>
    <w:p w14:paraId="76E115CE"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περίπτωση αλλεργίας στο adalimumab ή σε οποιοδήποτε άλλο από τα συστατικά αυτού του φαρμάκου (αναφέρονται στην παράγραφο 6).</w:t>
      </w:r>
    </w:p>
    <w:p w14:paraId="340E78FF" w14:textId="77777777" w:rsidR="00171824" w:rsidRDefault="006D258C">
      <w:pPr>
        <w:keepNext/>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περίπτωση σοβαρής λοίμωξης, συμπεριλαμβανομένης και της ενεργού φυματίωσης,</w:t>
      </w:r>
      <w:r>
        <w:rPr>
          <w:lang w:val="el-GR"/>
        </w:rPr>
        <w:t xml:space="preserve"> </w:t>
      </w:r>
      <w:r>
        <w:rPr>
          <w:sz w:val="22"/>
          <w:szCs w:val="22"/>
          <w:lang w:val="el-GR"/>
        </w:rPr>
        <w:t>σηψαιμίας (λοίμωξης του αίματος) ή άλλων ευκαιριακών λοιμώξεων (ασυνήθιστων λοιμώξεων που συσχετίζονται με εξασθενημένο ανοσοποιητικό σύστημα) (βλέπε «Προειδοποιήσεις και Προφυλάξεις»). Είναι σημαντικό να ενημερώσετε τον γιατρό σας εάν έχετε συμπτώματα λοίμωξης, όπως π.χ. πυρετό, πληγές, αίσθημα κόπωσης ή οδοντικά προβλήματα.</w:t>
      </w:r>
    </w:p>
    <w:p w14:paraId="2A449D8A"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περίπτωση μέτριας ή σοβαρής καρδιακής ανεπάρκειας. Είναι σημαντικό να ενημερώσετε τον γιατρό σας εάν είχατε ή έχετε σοβαρή καρδιακή νόσο (βλέπε «Προειδοποιήσεις και Προφυλάξεις»).</w:t>
      </w:r>
    </w:p>
    <w:p w14:paraId="255C74E0" w14:textId="77777777" w:rsidR="00171824" w:rsidRDefault="00171824">
      <w:pPr>
        <w:widowControl/>
        <w:kinsoku w:val="0"/>
        <w:overflowPunct w:val="0"/>
        <w:rPr>
          <w:sz w:val="22"/>
          <w:szCs w:val="22"/>
          <w:lang w:val="el-GR"/>
        </w:rPr>
      </w:pPr>
    </w:p>
    <w:p w14:paraId="66FC82A0" w14:textId="77777777" w:rsidR="00171824" w:rsidRDefault="006D258C">
      <w:pPr>
        <w:widowControl/>
        <w:kinsoku w:val="0"/>
        <w:overflowPunct w:val="0"/>
        <w:outlineLvl w:val="0"/>
        <w:rPr>
          <w:sz w:val="22"/>
          <w:szCs w:val="22"/>
          <w:lang w:val="el-GR"/>
        </w:rPr>
      </w:pPr>
      <w:r>
        <w:rPr>
          <w:b/>
          <w:bCs/>
          <w:sz w:val="22"/>
          <w:szCs w:val="22"/>
          <w:lang w:val="el-GR"/>
        </w:rPr>
        <w:t>Προειδοποιήσεις και προφυλάξεις</w:t>
      </w:r>
    </w:p>
    <w:p w14:paraId="002C1862" w14:textId="77777777" w:rsidR="00171824" w:rsidRDefault="00171824">
      <w:pPr>
        <w:widowControl/>
        <w:kinsoku w:val="0"/>
        <w:overflowPunct w:val="0"/>
        <w:rPr>
          <w:sz w:val="22"/>
          <w:szCs w:val="22"/>
          <w:lang w:val="el-GR"/>
        </w:rPr>
      </w:pPr>
    </w:p>
    <w:p w14:paraId="36B01C6D" w14:textId="77777777" w:rsidR="00171824" w:rsidRDefault="006D258C">
      <w:pPr>
        <w:widowControl/>
        <w:kinsoku w:val="0"/>
        <w:overflowPunct w:val="0"/>
        <w:rPr>
          <w:sz w:val="22"/>
          <w:szCs w:val="22"/>
          <w:lang w:val="el-GR"/>
        </w:rPr>
      </w:pPr>
      <w:r>
        <w:rPr>
          <w:sz w:val="22"/>
          <w:szCs w:val="22"/>
          <w:lang w:val="el-GR"/>
        </w:rPr>
        <w:t xml:space="preserve">Απευθυνθείτε στον γιατρό ή τον φαρμακοποιό σας πριν χρησιμοποιήσετε το AMGEVITA: </w:t>
      </w:r>
    </w:p>
    <w:p w14:paraId="1D3F5D9D" w14:textId="77777777" w:rsidR="00171824" w:rsidRDefault="00171824">
      <w:pPr>
        <w:widowControl/>
        <w:kinsoku w:val="0"/>
        <w:overflowPunct w:val="0"/>
        <w:rPr>
          <w:sz w:val="22"/>
          <w:szCs w:val="22"/>
          <w:lang w:val="el-GR"/>
        </w:rPr>
      </w:pPr>
    </w:p>
    <w:p w14:paraId="22F713FF" w14:textId="77777777" w:rsidR="00171824" w:rsidRDefault="006D258C">
      <w:pPr>
        <w:widowControl/>
        <w:kinsoku w:val="0"/>
        <w:overflowPunct w:val="0"/>
        <w:rPr>
          <w:sz w:val="22"/>
          <w:szCs w:val="22"/>
          <w:lang w:val="el-GR"/>
        </w:rPr>
      </w:pPr>
      <w:r>
        <w:rPr>
          <w:sz w:val="22"/>
          <w:szCs w:val="22"/>
          <w:lang w:val="el-GR"/>
        </w:rPr>
        <w:t xml:space="preserve">Αλλεργικές αντιδράσεις </w:t>
      </w:r>
    </w:p>
    <w:p w14:paraId="7BC6EDCF" w14:textId="77777777" w:rsidR="00171824" w:rsidRDefault="00171824">
      <w:pPr>
        <w:widowControl/>
        <w:kinsoku w:val="0"/>
        <w:overflowPunct w:val="0"/>
        <w:rPr>
          <w:sz w:val="22"/>
          <w:szCs w:val="22"/>
          <w:lang w:val="el-GR"/>
        </w:rPr>
      </w:pPr>
    </w:p>
    <w:p w14:paraId="199E05AE"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εμφανίσετε αλλεργικές αντιδράσεις με συμπτώματα όπως αίσθημα σφιξίματος στο θώρακα, δύσπνοια, ζάλη, οίδημα ή εξάνθημα διακόψτε τις ενέσεις AMGEVITA και επικοινωνήστε αμέσως με τον γιατρό σας δεδομένου ότι, σε σπάνιες περιπτώσεις, αυτές οι αντιδράσεις μπορεί να είναι απειλητικές για τη ζωή.</w:t>
      </w:r>
    </w:p>
    <w:p w14:paraId="5E4C91D7" w14:textId="77777777" w:rsidR="00171824" w:rsidRDefault="00171824">
      <w:pPr>
        <w:widowControl/>
        <w:kinsoku w:val="0"/>
        <w:overflowPunct w:val="0"/>
        <w:rPr>
          <w:sz w:val="22"/>
          <w:szCs w:val="22"/>
          <w:lang w:val="el-GR"/>
        </w:rPr>
      </w:pPr>
    </w:p>
    <w:p w14:paraId="3A83D6B3" w14:textId="77777777" w:rsidR="00171824" w:rsidRDefault="006D258C">
      <w:pPr>
        <w:widowControl/>
        <w:kinsoku w:val="0"/>
        <w:overflowPunct w:val="0"/>
        <w:rPr>
          <w:sz w:val="22"/>
          <w:szCs w:val="22"/>
          <w:lang w:val="el-GR"/>
        </w:rPr>
      </w:pPr>
      <w:r>
        <w:rPr>
          <w:sz w:val="22"/>
          <w:szCs w:val="22"/>
          <w:lang w:val="el-GR"/>
        </w:rPr>
        <w:t>Λοιμώξεις</w:t>
      </w:r>
    </w:p>
    <w:p w14:paraId="6ED05296" w14:textId="77777777" w:rsidR="00171824" w:rsidRDefault="00171824">
      <w:pPr>
        <w:widowControl/>
        <w:kinsoku w:val="0"/>
        <w:overflowPunct w:val="0"/>
        <w:rPr>
          <w:sz w:val="22"/>
          <w:szCs w:val="22"/>
          <w:lang w:val="el-GR"/>
        </w:rPr>
      </w:pPr>
    </w:p>
    <w:p w14:paraId="48FD4239"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έχετε μια λοίμωξη, συμπεριλαμβανομένων των μακροχρόνιων ή των τοπικών λοιμώξεων (για παράδειγμα, έλκος κνήμης) συμβουλευθείτε τον γιατρό σας πριν αρχίσετε την αγωγή με το AMGEVITA. Εάν δεν είστε βέβαιος, παρακαλείσθε να επικοινωνήσετε με τον γιατρό σας.</w:t>
      </w:r>
    </w:p>
    <w:p w14:paraId="36E256C1"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Μπορεί να εμφανίσετε λοιμώξεις ευκολότερα ενώ λαμβάνετε τη θεραπεία AMGEVITA. Ο κίνδυνος ενδέχεται να αυξηθεί εάν η πνευμονική λειτουργία σας είναι επηρεασμένη. Οι λοιμώξεις αυτές μπορεί να είναι επικίνδυνες και συμπεριλαμβάνουν φυματίωση, λοιμώξεις που προκαλούνται από ιούς, μύκητες ή βακτήρια ή άλλες ευκαιριακές λοιμώξεις και σηψαιμία, η οποία σε σπάνιες περιπτώσεις είναι πιθανό να είναι απειλητική για τη ζωή. Είναι σημαντικό να ενημερώσετε τον γιατρό σας εάν παρουσιάσετε συμπτώματα όπως πυρετό, πληγές, αίσθημα κόπωσης ή οδοντικά προβλήματα. Ο γιατρός σας είναι πιθανό να συστήσει προσωρινή διακοπή της θεραπείας με AMGEVITA.</w:t>
      </w:r>
    </w:p>
    <w:p w14:paraId="2426FFFC" w14:textId="77777777" w:rsidR="00171824" w:rsidRDefault="00171824">
      <w:pPr>
        <w:widowControl/>
        <w:kinsoku w:val="0"/>
        <w:overflowPunct w:val="0"/>
        <w:rPr>
          <w:sz w:val="22"/>
          <w:szCs w:val="22"/>
          <w:lang w:val="el-GR"/>
        </w:rPr>
      </w:pPr>
    </w:p>
    <w:p w14:paraId="0737202C" w14:textId="77777777" w:rsidR="00171824" w:rsidRDefault="006D258C">
      <w:pPr>
        <w:widowControl/>
        <w:kinsoku w:val="0"/>
        <w:overflowPunct w:val="0"/>
        <w:rPr>
          <w:sz w:val="22"/>
          <w:szCs w:val="22"/>
          <w:lang w:val="el-GR"/>
        </w:rPr>
      </w:pPr>
      <w:r>
        <w:rPr>
          <w:sz w:val="22"/>
          <w:szCs w:val="22"/>
          <w:lang w:val="el-GR"/>
        </w:rPr>
        <w:t>Φυματίωση</w:t>
      </w:r>
    </w:p>
    <w:p w14:paraId="68D9DF3F" w14:textId="77777777" w:rsidR="00171824" w:rsidRDefault="00171824">
      <w:pPr>
        <w:widowControl/>
        <w:kinsoku w:val="0"/>
        <w:overflowPunct w:val="0"/>
        <w:rPr>
          <w:sz w:val="22"/>
          <w:szCs w:val="22"/>
          <w:lang w:val="el-GR"/>
        </w:rPr>
      </w:pPr>
    </w:p>
    <w:p w14:paraId="0956549F"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Επειδή έχουν αναφερθεί περιπτώσεις φυματίωσης σε ασθενείς που έλαβαν το adalimumab, ο γιατρός σας θα σας εξετάσει για σημεία και συμπτώματα φυματίωσης πριν αρχίσετε να λαμβάνετε το AMGEVITA. Η εξέταση αυτή θα περιλαμβάνει πλήρη ιατρική εκτίμηση συμπεριλαμβανομένου του ιατρικού ιστορικού σας και κατάλληλο έλεγχο (για παράδειγμα, ακτινογραφία θώρακος και δοκιμασία φυματίνης). Τα αποτελέσματα αυτών των δοκιμασιών θα πρέπει να καταγράφονται στην </w:t>
      </w:r>
      <w:r>
        <w:rPr>
          <w:b/>
          <w:sz w:val="22"/>
          <w:szCs w:val="22"/>
          <w:lang w:val="el-GR"/>
        </w:rPr>
        <w:t>Κάρτα Υπενθύμισης του Ασθενούς</w:t>
      </w:r>
      <w:r>
        <w:rPr>
          <w:sz w:val="22"/>
          <w:szCs w:val="22"/>
          <w:lang w:val="el-GR"/>
        </w:rPr>
        <w:t xml:space="preserve"> . Είναι πολύ σημαντικό να ενημερώσετε τον γιατρό σας εάν είχατε ποτέ φυματίωση ή εάν ήλθατε σε στενή επαφή με κάποιον που είχε φυματίωση. </w:t>
      </w:r>
    </w:p>
    <w:p w14:paraId="4FF91E58"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Φυματίωση μπορεί να αναπτυχθεί κατά τη διάρκεια της θεραπείας ακόμη και εάν έχετε λάβει προληπτική θεραπεία για φυματίωση. </w:t>
      </w:r>
    </w:p>
    <w:p w14:paraId="230DF3DB"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συμπτώματα φυματίωσης (επίμονος βήχας, απώλεια βάρους, αφηρημάδα, ήπιος πυρετός) ή οποιαδήποτε άλλη λοίμωξη εμφανισθεί κατά τη διάρκεια της θεραπείας ή μετά από αυτή θα πρέπει να ενημερώσετε αμέσως τον γιατρό σας.</w:t>
      </w:r>
    </w:p>
    <w:p w14:paraId="6950E2E3" w14:textId="77777777" w:rsidR="00171824" w:rsidRDefault="00171824">
      <w:pPr>
        <w:widowControl/>
        <w:kinsoku w:val="0"/>
        <w:overflowPunct w:val="0"/>
        <w:rPr>
          <w:sz w:val="22"/>
          <w:szCs w:val="22"/>
          <w:lang w:val="el-GR"/>
        </w:rPr>
      </w:pPr>
    </w:p>
    <w:p w14:paraId="5F1CFF7F" w14:textId="77777777" w:rsidR="00171824" w:rsidRDefault="006D258C">
      <w:pPr>
        <w:keepNext/>
        <w:keepLines/>
        <w:widowControl/>
        <w:kinsoku w:val="0"/>
        <w:overflowPunct w:val="0"/>
        <w:rPr>
          <w:sz w:val="22"/>
          <w:szCs w:val="22"/>
          <w:lang w:val="el-GR"/>
        </w:rPr>
      </w:pPr>
      <w:r>
        <w:rPr>
          <w:sz w:val="22"/>
          <w:szCs w:val="22"/>
          <w:lang w:val="el-GR"/>
        </w:rPr>
        <w:t>Ταξιδιωτικές / υποτροπιάζουσες λοιμώξεις</w:t>
      </w:r>
    </w:p>
    <w:p w14:paraId="76828D97" w14:textId="77777777" w:rsidR="00171824" w:rsidRDefault="00171824">
      <w:pPr>
        <w:keepNext/>
        <w:keepLines/>
        <w:widowControl/>
        <w:kinsoku w:val="0"/>
        <w:overflowPunct w:val="0"/>
        <w:rPr>
          <w:sz w:val="22"/>
          <w:szCs w:val="22"/>
          <w:lang w:val="el-GR"/>
        </w:rPr>
      </w:pPr>
    </w:p>
    <w:p w14:paraId="097ECDA0"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Συμβουλευτείτε τον γιατρό σας εάν κατοικείτε ή ταξιδεύετε σε περιοχές όπου μυκητιασικές λοιμώξεις, όπως ιστοπλάσμωση, κοκκιδιοειδομυκητίαση ή βλαστομυκητίαση είναι ενδημικές.</w:t>
      </w:r>
    </w:p>
    <w:p w14:paraId="60A318AA"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Ενημερώστε τον γιατρό σας εάν έχετε ιστορικό υποτροπιαζουσών λοιμώξεων ή άλλες καταστάσεις που μπορεί να αυξήσουν τον κίνδυνο για λοιμώξεις.</w:t>
      </w:r>
    </w:p>
    <w:p w14:paraId="6BF60BAB" w14:textId="77777777" w:rsidR="00171824" w:rsidRDefault="00171824">
      <w:pPr>
        <w:widowControl/>
        <w:kinsoku w:val="0"/>
        <w:overflowPunct w:val="0"/>
        <w:rPr>
          <w:sz w:val="22"/>
          <w:szCs w:val="22"/>
          <w:lang w:val="el-GR"/>
        </w:rPr>
      </w:pPr>
    </w:p>
    <w:p w14:paraId="592A9E20" w14:textId="77777777" w:rsidR="00171824" w:rsidRDefault="006D258C">
      <w:pPr>
        <w:widowControl/>
        <w:kinsoku w:val="0"/>
        <w:overflowPunct w:val="0"/>
        <w:rPr>
          <w:sz w:val="22"/>
          <w:szCs w:val="22"/>
          <w:lang w:val="el-GR"/>
        </w:rPr>
      </w:pPr>
      <w:r>
        <w:rPr>
          <w:sz w:val="22"/>
          <w:szCs w:val="22"/>
          <w:lang w:val="el-GR"/>
        </w:rPr>
        <w:t>Ιός της ηπατίτιδας Β</w:t>
      </w:r>
    </w:p>
    <w:p w14:paraId="530106F8" w14:textId="77777777" w:rsidR="00171824" w:rsidRDefault="00171824">
      <w:pPr>
        <w:widowControl/>
        <w:kinsoku w:val="0"/>
        <w:overflowPunct w:val="0"/>
        <w:rPr>
          <w:sz w:val="22"/>
          <w:szCs w:val="22"/>
          <w:lang w:val="el-GR"/>
        </w:rPr>
      </w:pPr>
    </w:p>
    <w:p w14:paraId="69752DA9"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Ενημερώστε τον γιατρό σας εάν είστε φορέας του ιού της ηπατίτιδας Β, εάν έχετε ενεργό ηπατίτιδα Β, ή υποψιάζεστε ότι βρίσκεστε σε κίνδυνο να μολυνθείτε με τον ιό της ηπατίτιδας. Ο γιατρός σας θα πρέπει να σας εξετάσει για ιό της ηπατίτιδας Β. Το AMGEVITA είναι πιθανό να προκαλέσει επανενεργοποίηση της ηπατίτιδας Β σε ασθενείς οι οποίοι μεταφέρουν τον ιό. Σε κάποιες σπάνιες περιπτώσεις, ειδικά εάν λαμβάνετε και άλλα φάρμακα τα οποία καταστέλλουν το ανοσολογικό σύστημα, η επανενεργοποίηση του ιού της ηπατίτιδας Β, είναι πιθανό να αποδειχθεί απειλητική για τη ζωή.</w:t>
      </w:r>
    </w:p>
    <w:p w14:paraId="4F6596DE" w14:textId="77777777" w:rsidR="00171824" w:rsidRDefault="00171824">
      <w:pPr>
        <w:pStyle w:val="ListParagraph"/>
        <w:widowControl/>
        <w:kinsoku w:val="0"/>
        <w:overflowPunct w:val="0"/>
        <w:rPr>
          <w:sz w:val="22"/>
          <w:szCs w:val="22"/>
          <w:lang w:val="el-GR"/>
        </w:rPr>
      </w:pPr>
    </w:p>
    <w:p w14:paraId="0759A0C3" w14:textId="77777777" w:rsidR="00171824" w:rsidRDefault="006D258C">
      <w:pPr>
        <w:pStyle w:val="ListParagraph"/>
        <w:widowControl/>
        <w:kinsoku w:val="0"/>
        <w:overflowPunct w:val="0"/>
        <w:rPr>
          <w:sz w:val="22"/>
          <w:szCs w:val="22"/>
          <w:lang w:val="el-GR"/>
        </w:rPr>
      </w:pPr>
      <w:r>
        <w:rPr>
          <w:sz w:val="22"/>
          <w:szCs w:val="22"/>
          <w:lang w:val="el-GR"/>
        </w:rPr>
        <w:t>Ηλικία άνω των 65 ετών</w:t>
      </w:r>
    </w:p>
    <w:p w14:paraId="147911B7" w14:textId="77777777" w:rsidR="00171824" w:rsidRDefault="00171824">
      <w:pPr>
        <w:widowControl/>
        <w:kinsoku w:val="0"/>
        <w:overflowPunct w:val="0"/>
        <w:rPr>
          <w:sz w:val="22"/>
          <w:szCs w:val="22"/>
          <w:lang w:val="el-GR"/>
        </w:rPr>
      </w:pPr>
    </w:p>
    <w:p w14:paraId="03A947CA"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είστε άνω των 65 ετών μπορεί να είστε πιο ευάλωτοι σε λοιμώξεις ενώ λαμβάνετε AMGEVITA. Εσείς και ο γιατρός σας πρέπει να δείξετε ιδιαίτερη προσοχή σε σημεία λοίμωξης ενώ λαμβάνετε θεραπεία με AMGEVITA. Είναι σημαντικό να πείτε στον γιατρό σας εάν έχετε συμπτώματα λοίμωξης, όπως είναι ο πυρετός, τραύματα, αίσθημα κόπωσης ή προβλήματα στα δόντια.</w:t>
      </w:r>
    </w:p>
    <w:p w14:paraId="1033CD9A" w14:textId="77777777" w:rsidR="00171824" w:rsidRDefault="00171824">
      <w:pPr>
        <w:widowControl/>
        <w:kinsoku w:val="0"/>
        <w:overflowPunct w:val="0"/>
        <w:rPr>
          <w:sz w:val="22"/>
          <w:szCs w:val="22"/>
          <w:lang w:val="el-GR"/>
        </w:rPr>
      </w:pPr>
    </w:p>
    <w:p w14:paraId="2E634FC8" w14:textId="77777777" w:rsidR="00171824" w:rsidRDefault="006D258C">
      <w:pPr>
        <w:widowControl/>
        <w:kinsoku w:val="0"/>
        <w:overflowPunct w:val="0"/>
        <w:rPr>
          <w:sz w:val="22"/>
          <w:szCs w:val="22"/>
          <w:lang w:val="el-GR"/>
        </w:rPr>
      </w:pPr>
      <w:r>
        <w:rPr>
          <w:sz w:val="22"/>
          <w:szCs w:val="22"/>
          <w:lang w:val="el-GR"/>
        </w:rPr>
        <w:t>Χειρουργικές ή οδοντιατρικές επεμβάσεις</w:t>
      </w:r>
    </w:p>
    <w:p w14:paraId="32F88665" w14:textId="77777777" w:rsidR="00171824" w:rsidRDefault="00171824">
      <w:pPr>
        <w:widowControl/>
        <w:kinsoku w:val="0"/>
        <w:overflowPunct w:val="0"/>
        <w:rPr>
          <w:sz w:val="22"/>
          <w:szCs w:val="22"/>
          <w:lang w:val="el-GR"/>
        </w:rPr>
      </w:pPr>
    </w:p>
    <w:p w14:paraId="0348A943"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πρόκειται να υποβληθείτε σε εγχείρηση ή σε επέμβαση στα δόντια ενημερώστε τον γιατρό σας ότι λαμβάνετε AMGEVITA. Ο γιατρός σας είναι πιθανό να συστήσει προσωρινή διακοπή της θεραπείας με AMGEVITA.</w:t>
      </w:r>
    </w:p>
    <w:p w14:paraId="15921748" w14:textId="77777777" w:rsidR="00171824" w:rsidRDefault="00171824">
      <w:pPr>
        <w:pStyle w:val="ListParagraph"/>
        <w:widowControl/>
        <w:kinsoku w:val="0"/>
        <w:overflowPunct w:val="0"/>
        <w:rPr>
          <w:sz w:val="22"/>
          <w:szCs w:val="22"/>
          <w:lang w:val="el-GR"/>
        </w:rPr>
      </w:pPr>
    </w:p>
    <w:p w14:paraId="2093D185" w14:textId="77777777" w:rsidR="00171824" w:rsidRDefault="006D258C">
      <w:pPr>
        <w:pStyle w:val="ListParagraph"/>
        <w:widowControl/>
        <w:kinsoku w:val="0"/>
        <w:overflowPunct w:val="0"/>
        <w:rPr>
          <w:sz w:val="22"/>
          <w:szCs w:val="22"/>
          <w:lang w:val="el-GR"/>
        </w:rPr>
      </w:pPr>
      <w:r>
        <w:rPr>
          <w:sz w:val="22"/>
          <w:szCs w:val="22"/>
          <w:lang w:val="el-GR"/>
        </w:rPr>
        <w:t>Απομυελινωτική νόσος</w:t>
      </w:r>
    </w:p>
    <w:p w14:paraId="61D993D0" w14:textId="77777777" w:rsidR="00171824" w:rsidRDefault="00171824">
      <w:pPr>
        <w:pStyle w:val="ListParagraph"/>
        <w:widowControl/>
        <w:kinsoku w:val="0"/>
        <w:overflowPunct w:val="0"/>
        <w:rPr>
          <w:sz w:val="22"/>
          <w:szCs w:val="22"/>
          <w:lang w:val="el-GR"/>
        </w:rPr>
      </w:pPr>
    </w:p>
    <w:p w14:paraId="73086AC0"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υποφέρετε ή εμφανίσετε μια απομυελινωτική νόσο, όπως η σκλήρυνση κατά πλάκας, ο γιατρός σας θα αποφασίσει εάν πρέπει να λάβετε ή να συνεχίσετε να λαμβάνετε το AMGEVITA. Ενημερώστε αμέσως τον γιατρό σας εάν βιώσετε συμπτώματα, όπως αλλαγές στην όραση, αδυναμία στα χέρια ή τα πόδια, ή μούδιασμα ή μυρμήγκιασμα σε οποιοδήποτε μέρος του σώματός σας.</w:t>
      </w:r>
    </w:p>
    <w:p w14:paraId="24F43FF0" w14:textId="77777777" w:rsidR="00171824" w:rsidRDefault="00171824">
      <w:pPr>
        <w:widowControl/>
        <w:kinsoku w:val="0"/>
        <w:overflowPunct w:val="0"/>
        <w:rPr>
          <w:sz w:val="22"/>
          <w:szCs w:val="22"/>
          <w:lang w:val="el-GR"/>
        </w:rPr>
      </w:pPr>
    </w:p>
    <w:p w14:paraId="49459B26" w14:textId="77777777" w:rsidR="00171824" w:rsidRDefault="006D258C">
      <w:pPr>
        <w:pStyle w:val="ListParagraph"/>
        <w:widowControl/>
        <w:kinsoku w:val="0"/>
        <w:overflowPunct w:val="0"/>
        <w:rPr>
          <w:sz w:val="22"/>
          <w:szCs w:val="22"/>
          <w:lang w:val="el-GR"/>
        </w:rPr>
      </w:pPr>
      <w:r>
        <w:rPr>
          <w:sz w:val="22"/>
          <w:szCs w:val="22"/>
          <w:lang w:val="el-GR"/>
        </w:rPr>
        <w:t>Εμβολιασμοί</w:t>
      </w:r>
    </w:p>
    <w:p w14:paraId="0E5DED28" w14:textId="77777777" w:rsidR="00171824" w:rsidRDefault="00171824">
      <w:pPr>
        <w:widowControl/>
        <w:kinsoku w:val="0"/>
        <w:overflowPunct w:val="0"/>
        <w:rPr>
          <w:sz w:val="22"/>
          <w:szCs w:val="22"/>
          <w:lang w:val="el-GR"/>
        </w:rPr>
      </w:pPr>
    </w:p>
    <w:p w14:paraId="445FBDAB"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Ορισμένα εμβόλια περιέχουν ζωντανές αλλά εξασθενημένες μορφές παθογόνων βακτηρίων ή ιών που ενδέχεται να προκαλέσουν λοιμώξεις και δε θα πρέπει να γίνονται ενώ λαμβάνετε το AMGEVITA. Ρωτήστε τον γιατρό σας πριν λάβετε οποιοδήποτε εμβόλιο. Συνιστάται, εφ’ όσον είναι εφικτό, τα παιδιά να έχουν πραγματοποιήσει τους απαραίτητους εμβολιασμούς σύμφωνα με τις ισχύουσες κατευθυντήριες οδηγίες για την ανοσοποίηση πριν από την έναρξη της θεραπείας με AMGEVITA. </w:t>
      </w:r>
    </w:p>
    <w:p w14:paraId="27FC346C"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λάβατε AMGEVITA ενώ ήσασταν έγκυος, το μωρό σας μπορεί να διατρέχει μεγαλύτερο κίνδυνο εμφάνισης τέτοιας λοίμωξης για διάστημα έως πέντε περίπου μήνες μετά την τελευταία δόση που λάβατε κατά τη διάρκεια της εγκυμοσύνης. Είναι σημαντικό να ενημερώσετε τους γιατρούς του μωρού σας και άλλους επαγγελματίες υγείας σχετικά με τη χρήση AMGEVITA κατά τη διάρκεια της εγκυμοσύνης σας, ώστε να μπορούν να αποφασίζουν πότε το μωρό σας θα πρέπει να λάβει κάποιο εμβόλιο.</w:t>
      </w:r>
    </w:p>
    <w:p w14:paraId="1173CAE9" w14:textId="77777777" w:rsidR="00171824" w:rsidRDefault="00171824">
      <w:pPr>
        <w:pStyle w:val="ListParagraph"/>
        <w:widowControl/>
        <w:kinsoku w:val="0"/>
        <w:overflowPunct w:val="0"/>
        <w:rPr>
          <w:sz w:val="22"/>
          <w:szCs w:val="22"/>
          <w:lang w:val="el-GR"/>
        </w:rPr>
      </w:pPr>
    </w:p>
    <w:p w14:paraId="223BFE8D" w14:textId="77777777" w:rsidR="00171824" w:rsidRDefault="006D258C">
      <w:pPr>
        <w:pStyle w:val="ListParagraph"/>
        <w:keepNext/>
        <w:keepLines/>
        <w:widowControl/>
        <w:kinsoku w:val="0"/>
        <w:overflowPunct w:val="0"/>
        <w:rPr>
          <w:sz w:val="22"/>
          <w:szCs w:val="22"/>
          <w:lang w:val="el-GR"/>
        </w:rPr>
      </w:pPr>
      <w:r>
        <w:rPr>
          <w:sz w:val="22"/>
          <w:szCs w:val="22"/>
          <w:lang w:val="el-GR"/>
        </w:rPr>
        <w:lastRenderedPageBreak/>
        <w:t>Καρδιακή ανεπάρκεια</w:t>
      </w:r>
    </w:p>
    <w:p w14:paraId="72A119A6" w14:textId="77777777" w:rsidR="00171824" w:rsidRDefault="00171824">
      <w:pPr>
        <w:keepNext/>
        <w:keepLines/>
        <w:widowControl/>
        <w:kinsoku w:val="0"/>
        <w:overflowPunct w:val="0"/>
        <w:rPr>
          <w:sz w:val="22"/>
          <w:szCs w:val="22"/>
          <w:lang w:val="el-GR"/>
        </w:rPr>
      </w:pPr>
    </w:p>
    <w:p w14:paraId="2961D883"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υποφέρετε από ήπια καρδιακή ανεπάρκεια και λαμβάνετε θεραπεία με AMGEVITA, η καρδιακή ανεπάρκεια θα πρέπει να παρακολουθείται στενά από τον γιατρό σας. Είναι σημαντικό να πείτε στον γιατρό σας εάν είχατε στο παρελθόν ή υποφέρετε από σοβαρό καρδιακό πρόβλημα. Εάν παρουσιάσετε νέα συμπτώματα ή επιδείνωση των συμπτωμάτων της καρδιακής ανεπάρκειας (π.χ. δύσπνοια ή πρήξιμο ποδιών) θα πρέπει να επικοινωνήσετε αμέσως με τον γιατρό σας. Ο γιατρός σας θα αποφασίσει εάν πρέπει να λάβετε AMGEVITA.</w:t>
      </w:r>
    </w:p>
    <w:p w14:paraId="29BBDFF3" w14:textId="77777777" w:rsidR="00171824" w:rsidRDefault="00171824">
      <w:pPr>
        <w:pStyle w:val="ListParagraph"/>
        <w:tabs>
          <w:tab w:val="left" w:pos="567"/>
        </w:tabs>
        <w:rPr>
          <w:sz w:val="22"/>
          <w:szCs w:val="22"/>
          <w:lang w:val="el-GR" w:eastAsia="en-GB"/>
        </w:rPr>
      </w:pPr>
    </w:p>
    <w:p w14:paraId="278B3642" w14:textId="77777777" w:rsidR="00171824" w:rsidRDefault="006D258C">
      <w:pPr>
        <w:pStyle w:val="ListParagraph"/>
        <w:tabs>
          <w:tab w:val="left" w:pos="0"/>
        </w:tabs>
        <w:rPr>
          <w:sz w:val="22"/>
          <w:szCs w:val="22"/>
          <w:lang w:val="el-GR" w:eastAsia="en-GB"/>
        </w:rPr>
      </w:pPr>
      <w:r>
        <w:rPr>
          <w:sz w:val="22"/>
          <w:szCs w:val="22"/>
          <w:lang w:val="el-GR" w:eastAsia="en-GB"/>
        </w:rPr>
        <w:t>Πυρετός, μώλωπες, αιμορραγία ή ωχρότητα</w:t>
      </w:r>
    </w:p>
    <w:p w14:paraId="22AD58AC" w14:textId="77777777" w:rsidR="00171824" w:rsidRDefault="00171824">
      <w:pPr>
        <w:widowControl/>
        <w:kinsoku w:val="0"/>
        <w:overflowPunct w:val="0"/>
        <w:rPr>
          <w:sz w:val="22"/>
          <w:szCs w:val="22"/>
          <w:lang w:val="el-GR"/>
        </w:rPr>
      </w:pPr>
    </w:p>
    <w:p w14:paraId="6F2F7807"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μερικούς ασθενείς ο οργανισμός είναι πιθανό να αποτύχει να παραγάγει αρκετή ποσότητα κυττάρων του αίματος τα οποία βοηθούν τον οργανισμό σας να αντιμετωπίσει τις λοιμώξεις ή σας βοηθά στη διακοπή της αιμορραγίας. Εάν εμφανίσετε πυρετό ο οποίος δεν υποχωρεί, ή μώλωπα ή αιμορραγείτε πολύ εύκολα ή φαίνεστε πολύ χλωμοί, επικοινωνήστε με τον γιατρό σας αμέσως. Ο γιατρός σας είναι πιθανό να αποφασίσει να διακόψει τη θεραπεία.</w:t>
      </w:r>
    </w:p>
    <w:p w14:paraId="0B1C9191" w14:textId="77777777" w:rsidR="00171824" w:rsidRDefault="00171824">
      <w:pPr>
        <w:pStyle w:val="ListParagraph"/>
        <w:widowControl/>
        <w:kinsoku w:val="0"/>
        <w:overflowPunct w:val="0"/>
        <w:rPr>
          <w:sz w:val="22"/>
          <w:szCs w:val="22"/>
          <w:lang w:val="el-GR"/>
        </w:rPr>
      </w:pPr>
    </w:p>
    <w:p w14:paraId="6209263D" w14:textId="77777777" w:rsidR="00171824" w:rsidRDefault="006D258C">
      <w:pPr>
        <w:pStyle w:val="ListParagraph"/>
        <w:widowControl/>
        <w:kinsoku w:val="0"/>
        <w:overflowPunct w:val="0"/>
        <w:rPr>
          <w:sz w:val="22"/>
          <w:szCs w:val="22"/>
          <w:lang w:val="el-GR"/>
        </w:rPr>
      </w:pPr>
      <w:r>
        <w:rPr>
          <w:sz w:val="22"/>
          <w:szCs w:val="22"/>
          <w:lang w:val="el-GR"/>
        </w:rPr>
        <w:t>Καρκίνος</w:t>
      </w:r>
    </w:p>
    <w:p w14:paraId="140CE5B4" w14:textId="77777777" w:rsidR="00171824" w:rsidRDefault="00171824">
      <w:pPr>
        <w:widowControl/>
        <w:kinsoku w:val="0"/>
        <w:overflowPunct w:val="0"/>
        <w:rPr>
          <w:sz w:val="22"/>
          <w:szCs w:val="22"/>
          <w:lang w:val="el-GR"/>
        </w:rPr>
      </w:pPr>
    </w:p>
    <w:p w14:paraId="4DD4E150"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Υπάρχουν πολύ σπάνιες περιπτώσεις εμφάνισης συγκεκριμένων ειδών καρκίνου σε παιδιά και ενήλικες ασθενείς που λαμβάνουν adalimumab ή άλλο TNF-ανταγωνιστή. Ασθενείς με πιο σοβαρή ρευματοειδή αρθρίτιδα οι οποίοι πάσχουν από μακροχρόνια νόσο είναι πιθανό να έχουν μεγαλύτερο του μέσου όρου κίνδυνο εμφάνισης λεμφώματος (ένας καρκίνος που επηρεάζει το λεμφικό σύστημα), και λευχαιμία (ένας καρκίνος που επηρεάζει το αίμα και το μυελό των οστών). </w:t>
      </w:r>
    </w:p>
    <w:p w14:paraId="7AD4995E"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Αν πάρετε το AMGEVITA, μπορεί να αυξηθεί ο κίνδυνος εμφάνισης λεμφώματος, λευχαιμίας ή άλλων μορφών καρκίνου. Σε σπάνιες περιπτώσεις, ένας ειδικός και σοβαρός τύπος λεμφώματος έχει παρατηρηθεί σε ασθενείς που λαμβάνουν adalimumab. Σε κάποιους από αυτούς τους ασθενείς χορηγήθηκε επίσης azathiοprine ή 6-mercaptopurine. Ενημερώστε τον γιατρό σας εάν λαμβάνετε azathiοprine ή 6-mercaptopurine με AMGEVITA. </w:t>
      </w:r>
    </w:p>
    <w:p w14:paraId="490CAD26"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Επιπλέον, περιπτώσεις μη μελανωματικού καρκίνου του δέρματος έχουν παρατηρηθεί σε ασθενείς οι οποίοι λαμβάνουν adalimumab. Εάν νέες δερματικές βλάβες εμφανιστούν κατά τη διάρκεια ή μετά τη θεραπεία ή εάν υπάρχουσες δερματικές βλάβες αλλάξουν μορφή, ενημερώστε τον γιατρό σας.</w:t>
      </w:r>
    </w:p>
    <w:p w14:paraId="065B6A58"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Υπήρξαν περιπτώσεις καρκίνων, εκτός του λεμφώματος, σε ασθενείς με συγκεκριμένου τύπου πνευμονοπάθεια η οποία καλείται Χρόνια Αποφρακτική Πνευμονοπάθεια (ΧΑΠ) στους οποίους έχει χορηγηθεί άλλος ΤΝF-ανταγωνιστής. Εάν πάσχετε από ΧΑΠ ή καπνίζετε πολύ, θα πρέπει να συζητήσετε με τον γιατρό σας εάν η θεραπεία με έναν TNF-ανταγωνιστή είναι κατάλληλη για εσάς.</w:t>
      </w:r>
    </w:p>
    <w:p w14:paraId="7C0B55C8" w14:textId="77777777" w:rsidR="00171824" w:rsidRDefault="00171824">
      <w:pPr>
        <w:pStyle w:val="ListParagraph"/>
        <w:rPr>
          <w:sz w:val="22"/>
          <w:szCs w:val="22"/>
          <w:lang w:val="el-GR"/>
        </w:rPr>
      </w:pPr>
    </w:p>
    <w:p w14:paraId="59E6D31D" w14:textId="77777777" w:rsidR="00171824" w:rsidRDefault="006D258C">
      <w:pPr>
        <w:pStyle w:val="ListParagraph"/>
        <w:rPr>
          <w:sz w:val="22"/>
          <w:szCs w:val="22"/>
          <w:lang w:val="el-GR"/>
        </w:rPr>
      </w:pPr>
      <w:r>
        <w:rPr>
          <w:sz w:val="22"/>
          <w:szCs w:val="22"/>
          <w:lang w:val="el-GR"/>
        </w:rPr>
        <w:t>Αυτοάνοσ</w:t>
      </w:r>
      <w:ins w:id="225" w:author="Author">
        <w:r>
          <w:rPr>
            <w:sz w:val="22"/>
            <w:szCs w:val="22"/>
            <w:lang w:val="el-GR"/>
          </w:rPr>
          <w:t>ο</w:t>
        </w:r>
      </w:ins>
      <w:del w:id="226" w:author="Author">
        <w:r>
          <w:rPr>
            <w:sz w:val="22"/>
            <w:szCs w:val="22"/>
            <w:lang w:val="el-GR"/>
          </w:rPr>
          <w:delText>α</w:delText>
        </w:r>
      </w:del>
      <w:r>
        <w:rPr>
          <w:sz w:val="22"/>
          <w:szCs w:val="22"/>
          <w:lang w:val="el-GR"/>
        </w:rPr>
        <w:t xml:space="preserve"> </w:t>
      </w:r>
      <w:ins w:id="227" w:author="Author">
        <w:r>
          <w:rPr>
            <w:sz w:val="22"/>
            <w:szCs w:val="22"/>
            <w:lang w:val="el-GR"/>
          </w:rPr>
          <w:t>νόσημα</w:t>
        </w:r>
      </w:ins>
      <w:del w:id="228" w:author="Author">
        <w:r>
          <w:rPr>
            <w:sz w:val="22"/>
            <w:szCs w:val="22"/>
            <w:lang w:val="el-GR"/>
          </w:rPr>
          <w:delText>νοσήματα</w:delText>
        </w:r>
      </w:del>
    </w:p>
    <w:p w14:paraId="073DEA50" w14:textId="77777777" w:rsidR="00171824" w:rsidRDefault="00171824">
      <w:pPr>
        <w:pStyle w:val="ListParagraph"/>
        <w:rPr>
          <w:sz w:val="22"/>
          <w:szCs w:val="22"/>
          <w:lang w:val="el-GR"/>
        </w:rPr>
      </w:pPr>
    </w:p>
    <w:p w14:paraId="6D52AC51"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σπάνιες περιπτώσεις, η θεραπεία με το AMGEVITA μπορεί να οδηγήσει σε σύνδρομο προσομοιάζον με λύκο. Ενημερώστε τον γιατρό σας εάν παρατηρηθούν συμπτώματα όπως επίμονο ανεξήγητο εξάνθημα, πυρετός, πόνος στις αρθρώσεις ή κόπωση.</w:t>
      </w:r>
    </w:p>
    <w:p w14:paraId="17A9948B" w14:textId="77777777" w:rsidR="00171824" w:rsidRDefault="00171824">
      <w:pPr>
        <w:widowControl/>
        <w:kinsoku w:val="0"/>
        <w:overflowPunct w:val="0"/>
        <w:rPr>
          <w:sz w:val="22"/>
          <w:szCs w:val="22"/>
          <w:lang w:val="el-GR"/>
        </w:rPr>
      </w:pPr>
    </w:p>
    <w:p w14:paraId="5FB44860" w14:textId="77777777" w:rsidR="00171824" w:rsidRDefault="006D258C">
      <w:pPr>
        <w:widowControl/>
        <w:rPr>
          <w:b/>
          <w:sz w:val="22"/>
          <w:szCs w:val="22"/>
          <w:lang w:val="el-GR"/>
        </w:rPr>
      </w:pPr>
      <w:r>
        <w:rPr>
          <w:sz w:val="22"/>
          <w:szCs w:val="22"/>
          <w:lang w:val="el-GR"/>
        </w:rPr>
        <w:t>Προκειμένου να βελτιωθεί η ιχνηλασιμότητα αυτού του φαρμάκου, ο γιατρός ή ο φαρμακοποιός σας θα πρέπει να καταγράφει την ονομασία και τον αριθμό παρτίδας του προϊόντος που σας έχει δοθεί στον φάκελο ασθενούς. Θα ήταν ίσως καλό να σημειώσετε κάπου αυτά τα στοιχεία, σε περίπτωση κατά την οποία σας ζητηθούν οι συγκεκριμένες πληροφορίες στο μέλλον.</w:t>
      </w:r>
    </w:p>
    <w:p w14:paraId="22496757" w14:textId="77777777" w:rsidR="00171824" w:rsidRDefault="00171824">
      <w:pPr>
        <w:widowControl/>
        <w:kinsoku w:val="0"/>
        <w:overflowPunct w:val="0"/>
        <w:rPr>
          <w:sz w:val="22"/>
          <w:szCs w:val="22"/>
          <w:lang w:val="el-GR"/>
        </w:rPr>
      </w:pPr>
    </w:p>
    <w:p w14:paraId="750E2D9F" w14:textId="77777777" w:rsidR="00171824" w:rsidRDefault="006D258C">
      <w:pPr>
        <w:keepNext/>
        <w:keepLines/>
        <w:widowControl/>
        <w:kinsoku w:val="0"/>
        <w:overflowPunct w:val="0"/>
        <w:outlineLvl w:val="0"/>
        <w:rPr>
          <w:sz w:val="22"/>
          <w:szCs w:val="22"/>
          <w:lang w:val="el-GR"/>
        </w:rPr>
      </w:pPr>
      <w:r>
        <w:rPr>
          <w:b/>
          <w:bCs/>
          <w:sz w:val="22"/>
          <w:szCs w:val="22"/>
          <w:lang w:val="el-GR"/>
        </w:rPr>
        <w:t>Παιδιά και έφηβοι</w:t>
      </w:r>
    </w:p>
    <w:p w14:paraId="3BF935BB" w14:textId="77777777" w:rsidR="00171824" w:rsidRDefault="00171824">
      <w:pPr>
        <w:keepNext/>
        <w:keepLines/>
        <w:widowControl/>
        <w:kinsoku w:val="0"/>
        <w:overflowPunct w:val="0"/>
        <w:rPr>
          <w:sz w:val="22"/>
          <w:szCs w:val="22"/>
          <w:lang w:val="el-GR"/>
        </w:rPr>
      </w:pPr>
    </w:p>
    <w:p w14:paraId="628F2245"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Εμβολιασμοί: εάν είναι δυνατόν το παιδί σας θα πρέπει να έχει πραγματοποιήσει τους απαραίτητους εμβολιασμούς πριν χρησιμοποιήσει το AMGEVITA.</w:t>
      </w:r>
    </w:p>
    <w:p w14:paraId="28229B04" w14:textId="77777777" w:rsidR="00171824" w:rsidRDefault="00171824">
      <w:pPr>
        <w:widowControl/>
        <w:kinsoku w:val="0"/>
        <w:overflowPunct w:val="0"/>
        <w:rPr>
          <w:sz w:val="22"/>
          <w:szCs w:val="22"/>
          <w:lang w:val="el-GR"/>
        </w:rPr>
      </w:pPr>
    </w:p>
    <w:p w14:paraId="52A1BC26"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lastRenderedPageBreak/>
        <w:t>-</w:t>
      </w:r>
      <w:r>
        <w:rPr>
          <w:sz w:val="22"/>
          <w:szCs w:val="22"/>
          <w:lang w:val="el-GR"/>
        </w:rPr>
        <w:tab/>
        <w:t>Μην χορηγείτε AMGEVITA σε παιδιά με πολυαρθρική νεανική αρθρίτιδα ηλικίας κάτω των 2 ετών.</w:t>
      </w:r>
    </w:p>
    <w:p w14:paraId="21BBD386" w14:textId="77777777" w:rsidR="00171824" w:rsidRDefault="00171824">
      <w:pPr>
        <w:widowControl/>
        <w:kinsoku w:val="0"/>
        <w:overflowPunct w:val="0"/>
        <w:rPr>
          <w:sz w:val="22"/>
          <w:szCs w:val="22"/>
          <w:lang w:val="el-GR"/>
        </w:rPr>
      </w:pPr>
    </w:p>
    <w:p w14:paraId="3DAE8DBA"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Μην χορηγείτε AMGEVITA σε παιδιά με ψωρίαση κατά πλάκας ηλικίας κάτω των 4 ετών.</w:t>
      </w:r>
    </w:p>
    <w:p w14:paraId="6C7FEE70" w14:textId="77777777" w:rsidR="00171824" w:rsidRDefault="00171824">
      <w:pPr>
        <w:widowControl/>
        <w:kinsoku w:val="0"/>
        <w:overflowPunct w:val="0"/>
        <w:rPr>
          <w:sz w:val="22"/>
          <w:szCs w:val="22"/>
          <w:lang w:val="el-GR"/>
        </w:rPr>
      </w:pPr>
    </w:p>
    <w:p w14:paraId="02EB1EAD"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Μην χορηγείτε AMGEVITA σε παιδιά με νόσο του Crohn ή ελκώδη κολίτιδα ηλικίας κάτω των 6 ετών. </w:t>
      </w:r>
    </w:p>
    <w:p w14:paraId="11047A30" w14:textId="77777777" w:rsidR="00171824" w:rsidRDefault="00171824">
      <w:pPr>
        <w:widowControl/>
        <w:kinsoku w:val="0"/>
        <w:overflowPunct w:val="0"/>
        <w:rPr>
          <w:sz w:val="22"/>
          <w:szCs w:val="22"/>
          <w:lang w:val="el-GR"/>
        </w:rPr>
      </w:pPr>
    </w:p>
    <w:p w14:paraId="73D044C6" w14:textId="77777777" w:rsidR="00171824" w:rsidRDefault="006D258C">
      <w:pPr>
        <w:keepNext/>
        <w:widowControl/>
        <w:kinsoku w:val="0"/>
        <w:overflowPunct w:val="0"/>
        <w:outlineLvl w:val="0"/>
        <w:rPr>
          <w:sz w:val="22"/>
          <w:szCs w:val="22"/>
          <w:lang w:val="el-GR"/>
        </w:rPr>
      </w:pPr>
      <w:r>
        <w:rPr>
          <w:b/>
          <w:bCs/>
          <w:sz w:val="22"/>
          <w:szCs w:val="22"/>
          <w:lang w:val="el-GR"/>
        </w:rPr>
        <w:t>Άλλα φάρμακα και AMGEVITA</w:t>
      </w:r>
    </w:p>
    <w:p w14:paraId="17EB5FC3" w14:textId="77777777" w:rsidR="00171824" w:rsidRDefault="00171824">
      <w:pPr>
        <w:keepNext/>
        <w:widowControl/>
        <w:kinsoku w:val="0"/>
        <w:overflowPunct w:val="0"/>
        <w:rPr>
          <w:sz w:val="22"/>
          <w:szCs w:val="22"/>
          <w:lang w:val="el-GR"/>
        </w:rPr>
      </w:pPr>
    </w:p>
    <w:p w14:paraId="3BC56AD2" w14:textId="77777777" w:rsidR="00171824" w:rsidRDefault="006D258C">
      <w:pPr>
        <w:widowControl/>
        <w:kinsoku w:val="0"/>
        <w:overflowPunct w:val="0"/>
        <w:rPr>
          <w:sz w:val="22"/>
          <w:szCs w:val="22"/>
          <w:lang w:val="el-GR"/>
        </w:rPr>
      </w:pPr>
      <w:r>
        <w:rPr>
          <w:sz w:val="22"/>
          <w:szCs w:val="22"/>
          <w:lang w:val="el-GR"/>
        </w:rPr>
        <w:t>Ενημερώστε τον γιατρό ή τον φαρμακοποιό σας εάν παίρνετε, έχετε πρόσφατα πάρει ή μπορεί να πάρετε άλλα φάρμακα.</w:t>
      </w:r>
    </w:p>
    <w:p w14:paraId="1F9FCFDC" w14:textId="77777777" w:rsidR="00171824" w:rsidRDefault="00171824">
      <w:pPr>
        <w:widowControl/>
        <w:kinsoku w:val="0"/>
        <w:overflowPunct w:val="0"/>
        <w:rPr>
          <w:sz w:val="22"/>
          <w:szCs w:val="22"/>
          <w:lang w:val="el-GR"/>
        </w:rPr>
      </w:pPr>
    </w:p>
    <w:p w14:paraId="50F5EF08" w14:textId="77777777" w:rsidR="00171824" w:rsidRDefault="006D258C">
      <w:pPr>
        <w:widowControl/>
        <w:kinsoku w:val="0"/>
        <w:overflowPunct w:val="0"/>
        <w:rPr>
          <w:sz w:val="22"/>
          <w:szCs w:val="22"/>
          <w:lang w:val="el-GR"/>
        </w:rPr>
      </w:pPr>
      <w:r>
        <w:rPr>
          <w:sz w:val="22"/>
          <w:szCs w:val="22"/>
          <w:lang w:val="el-GR"/>
        </w:rPr>
        <w:t>Μπορείτε να λαμβάνετε το AMGEVITA μαζί με μεθοτρεξάτη ή με συγκεκριμένα τροποποιητικά της νόσου αντιρευματικά φάρμακα (σουλφασαλαζίνη, υδροξυχλωροκίνη, λεφλουνομίδη και ενέσιμα σκευάσματα χρυσού), στεροειδή ή αναλγητικά φάρμακα συμπεριλαμβανομένων των μη στεροειδών αντιφλεγμονωδών φαρμάκων (ΜΣΑΦ).</w:t>
      </w:r>
    </w:p>
    <w:p w14:paraId="05DFE405" w14:textId="77777777" w:rsidR="00171824" w:rsidRDefault="00171824">
      <w:pPr>
        <w:widowControl/>
        <w:kinsoku w:val="0"/>
        <w:overflowPunct w:val="0"/>
        <w:rPr>
          <w:sz w:val="22"/>
          <w:szCs w:val="22"/>
          <w:lang w:val="el-GR"/>
        </w:rPr>
      </w:pPr>
    </w:p>
    <w:p w14:paraId="793B4CAF" w14:textId="77777777" w:rsidR="00171824" w:rsidRDefault="006D258C">
      <w:pPr>
        <w:widowControl/>
        <w:kinsoku w:val="0"/>
        <w:overflowPunct w:val="0"/>
        <w:rPr>
          <w:sz w:val="22"/>
          <w:szCs w:val="22"/>
          <w:lang w:val="el-GR"/>
        </w:rPr>
      </w:pPr>
      <w:r>
        <w:rPr>
          <w:sz w:val="22"/>
          <w:szCs w:val="22"/>
          <w:lang w:val="el-GR"/>
        </w:rPr>
        <w:t>Δε θα πρέπει να λαμβάνετε AMGEVITA με φάρμακα τα οποία περιέχουν τις δραστικές ουσίες anakinra ή abatacept</w:t>
      </w:r>
      <w:r>
        <w:rPr>
          <w:rStyle w:val="shorttext"/>
          <w:rFonts w:ascii="Arial" w:hAnsi="Arial" w:cs="Arial"/>
          <w:color w:val="222222"/>
          <w:sz w:val="22"/>
          <w:lang w:val="el-GR"/>
        </w:rPr>
        <w:t xml:space="preserve"> </w:t>
      </w:r>
      <w:r>
        <w:rPr>
          <w:sz w:val="22"/>
          <w:szCs w:val="22"/>
          <w:lang w:val="el-GR"/>
        </w:rPr>
        <w:t>εξαιτίας υψηλού κινδύνου εκδήλωσης σοβαρής λοίμωξης. Εάν έχετε ερωτήσεις, παρακαλείσθε να απευθυνθείτε στον γιατρό σας.</w:t>
      </w:r>
    </w:p>
    <w:p w14:paraId="72F9D09B" w14:textId="77777777" w:rsidR="00171824" w:rsidRDefault="00171824">
      <w:pPr>
        <w:widowControl/>
        <w:kinsoku w:val="0"/>
        <w:overflowPunct w:val="0"/>
        <w:rPr>
          <w:sz w:val="22"/>
          <w:szCs w:val="22"/>
          <w:lang w:val="el-GR"/>
        </w:rPr>
      </w:pPr>
    </w:p>
    <w:p w14:paraId="74C4AE09" w14:textId="77777777" w:rsidR="00171824" w:rsidRDefault="006D258C">
      <w:pPr>
        <w:widowControl/>
        <w:kinsoku w:val="0"/>
        <w:overflowPunct w:val="0"/>
        <w:outlineLvl w:val="0"/>
        <w:rPr>
          <w:sz w:val="22"/>
          <w:szCs w:val="22"/>
          <w:lang w:val="el-GR"/>
        </w:rPr>
      </w:pPr>
      <w:r>
        <w:rPr>
          <w:b/>
          <w:bCs/>
          <w:sz w:val="22"/>
          <w:szCs w:val="22"/>
          <w:lang w:val="el-GR"/>
        </w:rPr>
        <w:t>Κύηση και θηλασμός</w:t>
      </w:r>
    </w:p>
    <w:p w14:paraId="3855867B" w14:textId="77777777" w:rsidR="00171824" w:rsidRDefault="00171824">
      <w:pPr>
        <w:numPr>
          <w:ilvl w:val="12"/>
          <w:numId w:val="0"/>
        </w:numPr>
        <w:tabs>
          <w:tab w:val="left" w:pos="567"/>
        </w:tabs>
        <w:ind w:right="-2"/>
        <w:rPr>
          <w:sz w:val="22"/>
          <w:lang w:val="el-GR"/>
        </w:rPr>
      </w:pPr>
    </w:p>
    <w:p w14:paraId="4414F639"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 xml:space="preserve">Θα πρέπει να εξετάζετε την χρήση κατάλληλης αντισύλληψης για την πρόληψη της εγκυμοσύνης και να συνεχίσετε την χρήση της για τουλάχιστον 5 μήνες μετά την τελευταία θεραπεία με AMGEVITA. </w:t>
      </w:r>
    </w:p>
    <w:p w14:paraId="7336C4DE"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Εάν είστε έγκυος, νομίζετε ότι μπορεί να είστε έγκυος ή σχεδιάζετε να αποκτήσετε παιδί, ζητήστε τη συμβουλή του γιατρού σας προτού χρησιμοποιήσετε αυτό το φάρμακο.</w:t>
      </w:r>
    </w:p>
    <w:p w14:paraId="172B6286" w14:textId="77777777" w:rsidR="00171824" w:rsidRDefault="006D258C">
      <w:pPr>
        <w:keepNext/>
        <w:widowControl/>
        <w:numPr>
          <w:ilvl w:val="0"/>
          <w:numId w:val="32"/>
        </w:numPr>
        <w:autoSpaceDE/>
        <w:autoSpaceDN/>
        <w:adjustRightInd/>
        <w:ind w:left="567" w:hanging="567"/>
        <w:rPr>
          <w:sz w:val="22"/>
          <w:szCs w:val="22"/>
          <w:lang w:val="el-GR"/>
        </w:rPr>
      </w:pPr>
      <w:r>
        <w:rPr>
          <w:sz w:val="22"/>
          <w:szCs w:val="22"/>
          <w:lang w:val="el-GR"/>
        </w:rPr>
        <w:t>Το AMGEVITA πρέπει να χρησιμοποιείται κατά την διάρκεια της εγκυμοσύνης μόνο εφόσον χρειάζεται.</w:t>
      </w:r>
    </w:p>
    <w:p w14:paraId="766F7B7A"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Σύμφωνα με μια μελέτη για την εγκυμοσύνη, δεν υπήρχε μεγαλύτερος κίνδυνος για συγγενείς δυσπλασίες όταν η μητέρα είχε λάβει AMGEVITA κατά την εγκυμοσύνη σε σύγκριση με τις μητέρες που έπασχαν από την ίδια νόσο και οι οποίες δεν έλαβαν AMGEVITA.</w:t>
      </w:r>
    </w:p>
    <w:p w14:paraId="2DE0FE7E"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Το AMGEVITA μπορεί να χρησιμοποιηθεί κατά την διάρκεια του θηλασμού.</w:t>
      </w:r>
    </w:p>
    <w:p w14:paraId="2B8FF553"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 xml:space="preserve">Εάν λαμβάνετε AMGEVITA κατά την εγκυμοσύνη σας, το μωρό σας μπορεί να διατρέχει μεγαλύτερο κίνδυνο εμφάνισης λοίμωξης. </w:t>
      </w:r>
    </w:p>
    <w:p w14:paraId="4CC34AEA"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Είναι σημαντικό να ενημερώσετε τους γιατρούς του μωρού σας και άλλους επαγγελματίες υγείας σχετικά με τη χρήση AMGEVITA κατά τη διάρκεια της εγκυμοσύνης σας, πριν το μωρό σας λάβει κάποιο εμβόλιο. Για περισσότερες πληροφορίες σχετικά με τον εμβολιασμό βλέπε παράγραφο «Προειδοποιήσεις και προφυλάξεις».</w:t>
      </w:r>
    </w:p>
    <w:p w14:paraId="7B1DE412" w14:textId="77777777" w:rsidR="00171824" w:rsidRDefault="00171824">
      <w:pPr>
        <w:widowControl/>
        <w:kinsoku w:val="0"/>
        <w:overflowPunct w:val="0"/>
        <w:rPr>
          <w:sz w:val="22"/>
          <w:szCs w:val="22"/>
          <w:lang w:val="el-GR"/>
        </w:rPr>
      </w:pPr>
    </w:p>
    <w:p w14:paraId="44C38A6A" w14:textId="77777777" w:rsidR="00171824" w:rsidRDefault="006D258C">
      <w:pPr>
        <w:widowControl/>
        <w:kinsoku w:val="0"/>
        <w:overflowPunct w:val="0"/>
        <w:outlineLvl w:val="0"/>
        <w:rPr>
          <w:sz w:val="22"/>
          <w:szCs w:val="22"/>
          <w:lang w:val="el-GR"/>
        </w:rPr>
      </w:pPr>
      <w:r>
        <w:rPr>
          <w:b/>
          <w:bCs/>
          <w:sz w:val="22"/>
          <w:szCs w:val="22"/>
          <w:lang w:val="el-GR"/>
        </w:rPr>
        <w:t>Οδήγηση και χειρισμός μηχανημάτων</w:t>
      </w:r>
    </w:p>
    <w:p w14:paraId="1CA1D25C" w14:textId="77777777" w:rsidR="00171824" w:rsidRDefault="00171824">
      <w:pPr>
        <w:widowControl/>
        <w:kinsoku w:val="0"/>
        <w:overflowPunct w:val="0"/>
        <w:rPr>
          <w:sz w:val="22"/>
          <w:szCs w:val="22"/>
          <w:lang w:val="el-GR"/>
        </w:rPr>
      </w:pPr>
    </w:p>
    <w:p w14:paraId="070FE2B3" w14:textId="77777777" w:rsidR="00171824" w:rsidRDefault="006D258C">
      <w:pPr>
        <w:widowControl/>
        <w:kinsoku w:val="0"/>
        <w:overflowPunct w:val="0"/>
        <w:rPr>
          <w:sz w:val="22"/>
          <w:szCs w:val="22"/>
          <w:lang w:val="el-GR"/>
        </w:rPr>
      </w:pPr>
      <w:r>
        <w:rPr>
          <w:sz w:val="22"/>
          <w:szCs w:val="22"/>
          <w:lang w:val="el-GR"/>
        </w:rPr>
        <w:t>Το AMGEVITA μπορεί να έχει μικρή επίδραση στην ικανότητά σας για οδήγηση, ποδηλασία ή χειρισμού μηχανημάτων. Αίσθηση στροβιλισμού του δωματίου (ίλιγγος) και διαταραχές της όρασης μπορεί να προκύψουν μετά τη λήψη του AMGEVITA.</w:t>
      </w:r>
    </w:p>
    <w:p w14:paraId="0778A740" w14:textId="77777777" w:rsidR="00171824" w:rsidRDefault="00171824">
      <w:pPr>
        <w:widowControl/>
        <w:kinsoku w:val="0"/>
        <w:overflowPunct w:val="0"/>
        <w:rPr>
          <w:sz w:val="22"/>
          <w:szCs w:val="22"/>
          <w:lang w:val="el-GR"/>
        </w:rPr>
      </w:pPr>
    </w:p>
    <w:p w14:paraId="3AB4FAE5" w14:textId="77777777" w:rsidR="00171824" w:rsidRDefault="006D258C">
      <w:pPr>
        <w:keepNext/>
        <w:keepLines/>
        <w:widowControl/>
        <w:numPr>
          <w:ilvl w:val="12"/>
          <w:numId w:val="0"/>
        </w:numPr>
        <w:ind w:right="-2"/>
        <w:outlineLvl w:val="0"/>
        <w:rPr>
          <w:b/>
          <w:sz w:val="22"/>
          <w:szCs w:val="22"/>
          <w:lang w:val="el-GR"/>
        </w:rPr>
      </w:pPr>
      <w:r>
        <w:rPr>
          <w:b/>
          <w:sz w:val="22"/>
          <w:szCs w:val="22"/>
          <w:lang w:val="el-GR"/>
        </w:rPr>
        <w:t>Το AMGEVITA περιέχει νάτριο</w:t>
      </w:r>
    </w:p>
    <w:p w14:paraId="4C0A0951" w14:textId="77777777" w:rsidR="00171824" w:rsidRDefault="00171824">
      <w:pPr>
        <w:keepNext/>
        <w:keepLines/>
        <w:widowControl/>
        <w:numPr>
          <w:ilvl w:val="12"/>
          <w:numId w:val="0"/>
        </w:numPr>
        <w:rPr>
          <w:sz w:val="22"/>
          <w:szCs w:val="22"/>
          <w:lang w:val="el-GR"/>
        </w:rPr>
      </w:pPr>
    </w:p>
    <w:p w14:paraId="3814585F" w14:textId="77777777" w:rsidR="00171824" w:rsidRDefault="006D258C">
      <w:pPr>
        <w:widowControl/>
        <w:numPr>
          <w:ilvl w:val="12"/>
          <w:numId w:val="0"/>
        </w:numPr>
        <w:rPr>
          <w:sz w:val="22"/>
          <w:szCs w:val="22"/>
          <w:lang w:val="el-GR"/>
        </w:rPr>
      </w:pPr>
      <w:r>
        <w:rPr>
          <w:sz w:val="22"/>
          <w:szCs w:val="22"/>
          <w:lang w:val="el-GR"/>
        </w:rPr>
        <w:t>Αυτό το φάρμακο περιέχει λιγότερο από 1 mmol νατρίου (23 mg) ανά δόση των 0,8 ml, είναι αυτό που ονομάζουμε «ελεύθερο νατρίου».</w:t>
      </w:r>
    </w:p>
    <w:p w14:paraId="7F8EF638" w14:textId="77777777" w:rsidR="00171824" w:rsidRDefault="00171824">
      <w:pPr>
        <w:widowControl/>
        <w:kinsoku w:val="0"/>
        <w:overflowPunct w:val="0"/>
        <w:rPr>
          <w:sz w:val="22"/>
          <w:szCs w:val="22"/>
          <w:lang w:val="el-GR"/>
        </w:rPr>
      </w:pPr>
    </w:p>
    <w:p w14:paraId="2A88CE03" w14:textId="77777777" w:rsidR="00171824" w:rsidRDefault="00171824">
      <w:pPr>
        <w:widowControl/>
        <w:kinsoku w:val="0"/>
        <w:overflowPunct w:val="0"/>
        <w:rPr>
          <w:sz w:val="22"/>
          <w:szCs w:val="22"/>
          <w:lang w:val="el-GR"/>
        </w:rPr>
      </w:pPr>
    </w:p>
    <w:p w14:paraId="5D5412BE" w14:textId="77777777" w:rsidR="00171824" w:rsidRDefault="006D258C">
      <w:pPr>
        <w:keepNext/>
        <w:widowControl/>
        <w:numPr>
          <w:ilvl w:val="0"/>
          <w:numId w:val="42"/>
        </w:numPr>
        <w:tabs>
          <w:tab w:val="left" w:pos="567"/>
        </w:tabs>
        <w:kinsoku w:val="0"/>
        <w:overflowPunct w:val="0"/>
        <w:autoSpaceDE/>
        <w:autoSpaceDN/>
        <w:adjustRightInd/>
        <w:ind w:left="567"/>
        <w:outlineLvl w:val="0"/>
        <w:rPr>
          <w:sz w:val="22"/>
          <w:szCs w:val="22"/>
          <w:lang w:val="el-GR"/>
        </w:rPr>
      </w:pPr>
      <w:r>
        <w:rPr>
          <w:b/>
          <w:bCs/>
          <w:sz w:val="22"/>
          <w:szCs w:val="22"/>
          <w:lang w:val="el-GR"/>
        </w:rPr>
        <w:lastRenderedPageBreak/>
        <w:t>Πώς να χρησιμοποιήσετε το AMGEVITA</w:t>
      </w:r>
    </w:p>
    <w:p w14:paraId="7D5FF210" w14:textId="77777777" w:rsidR="00171824" w:rsidRDefault="00171824">
      <w:pPr>
        <w:keepNext/>
        <w:widowControl/>
        <w:kinsoku w:val="0"/>
        <w:overflowPunct w:val="0"/>
        <w:rPr>
          <w:sz w:val="22"/>
          <w:szCs w:val="22"/>
          <w:lang w:val="el-GR"/>
        </w:rPr>
      </w:pPr>
    </w:p>
    <w:p w14:paraId="64D6575B" w14:textId="77777777" w:rsidR="00171824" w:rsidRDefault="006D258C">
      <w:pPr>
        <w:keepNext/>
        <w:widowControl/>
        <w:kinsoku w:val="0"/>
        <w:overflowPunct w:val="0"/>
        <w:rPr>
          <w:sz w:val="22"/>
          <w:szCs w:val="22"/>
          <w:lang w:val="el-GR"/>
        </w:rPr>
      </w:pPr>
      <w:r>
        <w:rPr>
          <w:sz w:val="22"/>
          <w:szCs w:val="22"/>
          <w:lang w:val="el-GR"/>
        </w:rPr>
        <w:t xml:space="preserve">Πάντοτε να χρησιμοποιείτε το φάρμακο αυτό αυστηρά σύμφωνα με τις οδηγίες του γιατρού ή του φαρμακοποιού σας. Εάν έχετε αμφιβολίες, ρωτήστε τον γιατρό ή τον φαρμακοποιό σας. </w:t>
      </w:r>
    </w:p>
    <w:p w14:paraId="0DE22E88" w14:textId="77777777" w:rsidR="00171824" w:rsidRDefault="00171824">
      <w:pPr>
        <w:widowControl/>
        <w:kinsoku w:val="0"/>
        <w:overflowPunct w:val="0"/>
        <w:rPr>
          <w:sz w:val="22"/>
          <w:szCs w:val="22"/>
          <w:lang w:val="el-GR"/>
        </w:rPr>
      </w:pPr>
    </w:p>
    <w:p w14:paraId="391FBD2C" w14:textId="77777777" w:rsidR="00171824" w:rsidRDefault="006D258C">
      <w:pPr>
        <w:widowControl/>
        <w:kinsoku w:val="0"/>
        <w:overflowPunct w:val="0"/>
        <w:rPr>
          <w:sz w:val="22"/>
          <w:szCs w:val="22"/>
          <w:lang w:val="el-GR"/>
        </w:rPr>
      </w:pPr>
      <w:r>
        <w:rPr>
          <w:sz w:val="22"/>
          <w:szCs w:val="22"/>
          <w:u w:val="single"/>
          <w:lang w:val="el-GR"/>
        </w:rPr>
        <w:t>Ενήλικες με ρευματοειδή αρθρίτιδα, ψωριασική αρθρίτιδα, αγκυλοποιητική σπονδυλίτιδα ή αξονική</w:t>
      </w:r>
      <w:r>
        <w:rPr>
          <w:sz w:val="22"/>
          <w:szCs w:val="22"/>
          <w:lang w:val="el-GR"/>
        </w:rPr>
        <w:t xml:space="preserve"> </w:t>
      </w:r>
      <w:r>
        <w:rPr>
          <w:sz w:val="22"/>
          <w:szCs w:val="22"/>
          <w:u w:val="single"/>
          <w:lang w:val="el-GR"/>
        </w:rPr>
        <w:t>σπονδυλαρθρίτιδα χωρίς ακτινολογικά ευρήματα αγκυλοποιητικής σπονδυλίτιδας</w:t>
      </w:r>
    </w:p>
    <w:p w14:paraId="11A90971" w14:textId="77777777" w:rsidR="00171824" w:rsidRDefault="00171824">
      <w:pPr>
        <w:widowControl/>
        <w:kinsoku w:val="0"/>
        <w:overflowPunct w:val="0"/>
        <w:rPr>
          <w:sz w:val="22"/>
          <w:szCs w:val="22"/>
          <w:lang w:val="el-GR"/>
        </w:rPr>
      </w:pPr>
    </w:p>
    <w:p w14:paraId="1CDC0055" w14:textId="77777777" w:rsidR="00171824" w:rsidRDefault="006D258C">
      <w:pPr>
        <w:widowControl/>
        <w:kinsoku w:val="0"/>
        <w:overflowPunct w:val="0"/>
        <w:rPr>
          <w:sz w:val="22"/>
          <w:szCs w:val="22"/>
          <w:lang w:val="el-GR"/>
        </w:rPr>
      </w:pPr>
      <w:r>
        <w:rPr>
          <w:sz w:val="22"/>
          <w:szCs w:val="22"/>
          <w:lang w:val="el-GR"/>
        </w:rPr>
        <w:t>Το AMGEVITA ενίεται κάτω από το δέρμα (υποδόρια χρήση). Η συνηθισμένη δοσολογία για ενήλικες με ρευματοειδή αρθρίτιδα, αγκυλοποιητική σπονδυλίτιδα, αξονική σπονδυλαρθρίτιδα χωρίς ακτινολογικά ευρήματα αγκυλοποιητικής σπονδυλίτιδας και για ασθενείς με ψωριασική αρθρίτιδα είναι 40 mg ανά δεύτερη εβδομάδα ως εφάπαξ δόση.</w:t>
      </w:r>
    </w:p>
    <w:p w14:paraId="3F056CE9" w14:textId="77777777" w:rsidR="00171824" w:rsidRDefault="00171824">
      <w:pPr>
        <w:widowControl/>
        <w:kinsoku w:val="0"/>
        <w:overflowPunct w:val="0"/>
        <w:rPr>
          <w:sz w:val="22"/>
          <w:szCs w:val="22"/>
          <w:lang w:val="el-GR"/>
        </w:rPr>
      </w:pPr>
    </w:p>
    <w:p w14:paraId="4E2FEAAE" w14:textId="77777777" w:rsidR="00171824" w:rsidRDefault="006D258C">
      <w:pPr>
        <w:widowControl/>
        <w:kinsoku w:val="0"/>
        <w:overflowPunct w:val="0"/>
        <w:jc w:val="both"/>
        <w:rPr>
          <w:sz w:val="22"/>
          <w:szCs w:val="22"/>
          <w:lang w:val="el-GR"/>
        </w:rPr>
      </w:pPr>
      <w:r>
        <w:rPr>
          <w:sz w:val="22"/>
          <w:szCs w:val="22"/>
          <w:lang w:val="el-GR"/>
        </w:rPr>
        <w:t>Στη ρευματοειδή αρθρίτιδα η χορήγηση της μεθοτρεξάτης συνεχίζεται όσο χορηγείται το AMGEVITA. Eάν ο γιατρός σας καθορίσει ότι η χορήγηση της μεθοτρεξάτης είναι ακατάλληλη, τότε το AMGEVITA μπορεί να χορηγηθεί μόνο του.</w:t>
      </w:r>
    </w:p>
    <w:p w14:paraId="1F4AEC5B" w14:textId="77777777" w:rsidR="00171824" w:rsidRDefault="00171824">
      <w:pPr>
        <w:widowControl/>
        <w:kinsoku w:val="0"/>
        <w:overflowPunct w:val="0"/>
        <w:rPr>
          <w:sz w:val="22"/>
          <w:szCs w:val="22"/>
          <w:lang w:val="el-GR"/>
        </w:rPr>
      </w:pPr>
    </w:p>
    <w:p w14:paraId="185A1C0E" w14:textId="77777777" w:rsidR="00171824" w:rsidRDefault="006D258C">
      <w:pPr>
        <w:widowControl/>
        <w:kinsoku w:val="0"/>
        <w:overflowPunct w:val="0"/>
        <w:rPr>
          <w:sz w:val="22"/>
          <w:szCs w:val="22"/>
          <w:lang w:val="el-GR"/>
        </w:rPr>
      </w:pPr>
      <w:r>
        <w:rPr>
          <w:sz w:val="22"/>
          <w:szCs w:val="22"/>
          <w:lang w:val="el-GR"/>
        </w:rPr>
        <w:t>Εάν πάσχετε από ρευματοειδή αρθρίτιδα και δε λαμβάνετε μεθοτρεξάτη μαζί με το AMGEVITA, o γιατρός σας μπορεί να αποφασίσει να σας χορηγήσει 40 mg κάθε εβδομάδα ή 80 mg κάθε δεύτερη εβδομάδα.</w:t>
      </w:r>
    </w:p>
    <w:p w14:paraId="53F2F304" w14:textId="77777777" w:rsidR="00171824" w:rsidRDefault="00171824">
      <w:pPr>
        <w:widowControl/>
        <w:kinsoku w:val="0"/>
        <w:overflowPunct w:val="0"/>
        <w:rPr>
          <w:sz w:val="22"/>
          <w:szCs w:val="22"/>
          <w:lang w:val="el-GR"/>
        </w:rPr>
      </w:pPr>
    </w:p>
    <w:p w14:paraId="2A61C78E" w14:textId="77777777" w:rsidR="00171824" w:rsidRDefault="006D258C">
      <w:pPr>
        <w:keepNext/>
        <w:widowControl/>
        <w:kinsoku w:val="0"/>
        <w:overflowPunct w:val="0"/>
        <w:rPr>
          <w:sz w:val="22"/>
          <w:szCs w:val="22"/>
          <w:lang w:val="el-GR"/>
        </w:rPr>
      </w:pPr>
      <w:r>
        <w:rPr>
          <w:sz w:val="22"/>
          <w:szCs w:val="22"/>
          <w:u w:val="single"/>
          <w:lang w:val="el-GR"/>
        </w:rPr>
        <w:t>Παιδιά, έφηβοι και ενήλικες με πολυαρθρική νεανική ιδιοπαθή αρθρίτιδα</w:t>
      </w:r>
    </w:p>
    <w:p w14:paraId="04316A08" w14:textId="77777777" w:rsidR="00171824" w:rsidRDefault="00171824">
      <w:pPr>
        <w:widowControl/>
        <w:kinsoku w:val="0"/>
        <w:overflowPunct w:val="0"/>
        <w:rPr>
          <w:sz w:val="22"/>
          <w:szCs w:val="22"/>
          <w:lang w:val="el-GR"/>
        </w:rPr>
      </w:pPr>
    </w:p>
    <w:p w14:paraId="76BD6768" w14:textId="77777777" w:rsidR="00171824" w:rsidRDefault="006D258C">
      <w:pPr>
        <w:widowControl/>
        <w:kinsoku w:val="0"/>
        <w:overflowPunct w:val="0"/>
        <w:rPr>
          <w:sz w:val="22"/>
          <w:szCs w:val="22"/>
          <w:lang w:val="el-GR"/>
        </w:rPr>
      </w:pPr>
      <w:r>
        <w:rPr>
          <w:i/>
          <w:sz w:val="22"/>
          <w:szCs w:val="22"/>
          <w:lang w:val="el-GR"/>
        </w:rPr>
        <w:t xml:space="preserve">Παιδιά, έφηβοι και ενήλικες από την ηλικία των 2 ετών με βάρος 30 kg ή περισσότερο </w:t>
      </w:r>
    </w:p>
    <w:p w14:paraId="5B34EAF4" w14:textId="77777777" w:rsidR="00171824" w:rsidRDefault="00171824">
      <w:pPr>
        <w:widowControl/>
        <w:kinsoku w:val="0"/>
        <w:overflowPunct w:val="0"/>
        <w:rPr>
          <w:sz w:val="22"/>
          <w:szCs w:val="22"/>
          <w:lang w:val="el-GR"/>
        </w:rPr>
      </w:pPr>
    </w:p>
    <w:p w14:paraId="18267B51"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40 mg χορηγούμενο κάθε δεύτερη εβδομάδα.</w:t>
      </w:r>
    </w:p>
    <w:p w14:paraId="1755A2C0" w14:textId="77777777" w:rsidR="00171824" w:rsidRDefault="00171824">
      <w:pPr>
        <w:widowControl/>
        <w:kinsoku w:val="0"/>
        <w:overflowPunct w:val="0"/>
        <w:rPr>
          <w:sz w:val="22"/>
          <w:szCs w:val="22"/>
          <w:lang w:val="el-GR"/>
        </w:rPr>
      </w:pPr>
    </w:p>
    <w:p w14:paraId="4B516ECD" w14:textId="77777777" w:rsidR="00171824" w:rsidRDefault="006D258C">
      <w:pPr>
        <w:pStyle w:val="BodyText"/>
        <w:widowControl/>
        <w:kinsoku w:val="0"/>
        <w:overflowPunct w:val="0"/>
        <w:ind w:left="0"/>
        <w:rPr>
          <w:u w:val="single"/>
          <w:lang w:val="el-GR"/>
        </w:rPr>
      </w:pPr>
      <w:r>
        <w:rPr>
          <w:u w:val="single"/>
          <w:lang w:val="el-GR"/>
        </w:rPr>
        <w:t>Παιδιά, έφηβοι και ενήλικες με αρθρίτιδα σχετιζόμενη με ενθεσίτιδα</w:t>
      </w:r>
    </w:p>
    <w:p w14:paraId="0E147A27" w14:textId="77777777" w:rsidR="00171824" w:rsidRDefault="00171824">
      <w:pPr>
        <w:pStyle w:val="BodyText"/>
        <w:widowControl/>
        <w:kinsoku w:val="0"/>
        <w:overflowPunct w:val="0"/>
        <w:ind w:left="0"/>
        <w:rPr>
          <w:u w:val="single"/>
          <w:lang w:val="el-GR"/>
        </w:rPr>
      </w:pPr>
    </w:p>
    <w:p w14:paraId="429EEF2D" w14:textId="77777777" w:rsidR="00171824" w:rsidRDefault="006D258C">
      <w:pPr>
        <w:widowControl/>
        <w:kinsoku w:val="0"/>
        <w:overflowPunct w:val="0"/>
        <w:rPr>
          <w:i/>
          <w:sz w:val="22"/>
          <w:szCs w:val="22"/>
          <w:lang w:val="el-GR"/>
        </w:rPr>
      </w:pPr>
      <w:r>
        <w:rPr>
          <w:i/>
          <w:sz w:val="22"/>
          <w:szCs w:val="22"/>
          <w:lang w:val="el-GR"/>
        </w:rPr>
        <w:t xml:space="preserve">Παιδιά, έφηβοι και ενήλικες από την ηλικία των 6 ετών με βάρος 30 kg ή περισσότερο </w:t>
      </w:r>
    </w:p>
    <w:p w14:paraId="664A7659" w14:textId="77777777" w:rsidR="00171824" w:rsidRDefault="00171824">
      <w:pPr>
        <w:widowControl/>
        <w:kinsoku w:val="0"/>
        <w:overflowPunct w:val="0"/>
        <w:rPr>
          <w:sz w:val="22"/>
          <w:szCs w:val="22"/>
          <w:u w:val="single"/>
          <w:lang w:val="el-GR"/>
        </w:rPr>
      </w:pPr>
    </w:p>
    <w:p w14:paraId="51AB2ED7"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40 mg κάθε δεύτερη εβδομάδα.</w:t>
      </w:r>
    </w:p>
    <w:p w14:paraId="2F30C746" w14:textId="77777777" w:rsidR="00171824" w:rsidRDefault="00171824">
      <w:pPr>
        <w:widowControl/>
        <w:kinsoku w:val="0"/>
        <w:overflowPunct w:val="0"/>
        <w:rPr>
          <w:sz w:val="22"/>
          <w:szCs w:val="22"/>
          <w:u w:val="single"/>
          <w:lang w:val="el-GR"/>
        </w:rPr>
      </w:pPr>
    </w:p>
    <w:p w14:paraId="7D5981BF" w14:textId="77777777" w:rsidR="00171824" w:rsidRDefault="006D258C">
      <w:pPr>
        <w:keepNext/>
        <w:widowControl/>
        <w:kinsoku w:val="0"/>
        <w:overflowPunct w:val="0"/>
        <w:rPr>
          <w:sz w:val="22"/>
          <w:szCs w:val="22"/>
          <w:lang w:val="el-GR"/>
        </w:rPr>
      </w:pPr>
      <w:r>
        <w:rPr>
          <w:sz w:val="22"/>
          <w:szCs w:val="22"/>
          <w:u w:val="single"/>
          <w:lang w:val="el-GR"/>
        </w:rPr>
        <w:t>Ενήλικες με ψωρίαση κατά πλάκας</w:t>
      </w:r>
    </w:p>
    <w:p w14:paraId="6DD37ADD" w14:textId="77777777" w:rsidR="00171824" w:rsidRDefault="00171824">
      <w:pPr>
        <w:keepNext/>
        <w:widowControl/>
        <w:kinsoku w:val="0"/>
        <w:overflowPunct w:val="0"/>
        <w:rPr>
          <w:sz w:val="22"/>
          <w:szCs w:val="22"/>
          <w:lang w:val="el-GR"/>
        </w:rPr>
      </w:pPr>
    </w:p>
    <w:p w14:paraId="651D6180" w14:textId="77777777" w:rsidR="00171824" w:rsidRDefault="006D258C">
      <w:pPr>
        <w:widowControl/>
        <w:kinsoku w:val="0"/>
        <w:overflowPunct w:val="0"/>
        <w:rPr>
          <w:sz w:val="22"/>
          <w:szCs w:val="22"/>
          <w:lang w:val="el-GR"/>
        </w:rPr>
      </w:pPr>
      <w:r>
        <w:rPr>
          <w:sz w:val="22"/>
          <w:szCs w:val="22"/>
          <w:lang w:val="el-GR"/>
        </w:rPr>
        <w:t>Η συνήθης δόση για τους ενήλικες με ψωρίαση κατά πλάκας είναι αρχική δόση 80 mg, (ως δύο ενέσεις των 40 mg σε μία ημέρα) η οποία ακολουθείται από 40 mg χορηγούμενη κάθε δεύτερη εβδομάδα ξεκινώντας μια εβδομάδα μετά την αρχική δόση. Θα πρέπει να συνεχίσετε τις ενέσεις AMGEVITA για όσο χρόνο σας υποδείξει ο γιατρός σας. Ανάλογα με την ανταπόκρισή σας, ο γιατρός σας μπορεί να αυξήσει τη δόση σε 40 mg κάθε εβδομάδα ή 80 mg κάθε δεύτερη εβδομάδα.</w:t>
      </w:r>
    </w:p>
    <w:p w14:paraId="33325706" w14:textId="77777777" w:rsidR="00171824" w:rsidRDefault="00171824">
      <w:pPr>
        <w:widowControl/>
        <w:kinsoku w:val="0"/>
        <w:overflowPunct w:val="0"/>
        <w:rPr>
          <w:sz w:val="22"/>
          <w:szCs w:val="22"/>
          <w:lang w:val="el-GR"/>
        </w:rPr>
      </w:pPr>
    </w:p>
    <w:p w14:paraId="2D414DC2" w14:textId="77777777" w:rsidR="00171824" w:rsidRDefault="006D258C">
      <w:pPr>
        <w:keepNext/>
        <w:widowControl/>
        <w:kinsoku w:val="0"/>
        <w:overflowPunct w:val="0"/>
        <w:rPr>
          <w:sz w:val="22"/>
          <w:szCs w:val="22"/>
          <w:u w:val="single"/>
          <w:lang w:val="el-GR"/>
        </w:rPr>
      </w:pPr>
      <w:r>
        <w:rPr>
          <w:sz w:val="22"/>
          <w:szCs w:val="22"/>
          <w:u w:val="single"/>
          <w:lang w:val="el-GR"/>
        </w:rPr>
        <w:t>Παιδιά και έφηβοι με ψωρίαση κατά πλάκας</w:t>
      </w:r>
    </w:p>
    <w:p w14:paraId="3D50D761" w14:textId="77777777" w:rsidR="00171824" w:rsidRDefault="00171824">
      <w:pPr>
        <w:keepNext/>
        <w:widowControl/>
        <w:kinsoku w:val="0"/>
        <w:overflowPunct w:val="0"/>
        <w:rPr>
          <w:sz w:val="22"/>
          <w:szCs w:val="22"/>
          <w:u w:val="single"/>
          <w:lang w:val="el-GR"/>
        </w:rPr>
      </w:pPr>
    </w:p>
    <w:p w14:paraId="61637E27" w14:textId="77777777" w:rsidR="00171824" w:rsidRDefault="006D258C">
      <w:pPr>
        <w:widowControl/>
        <w:kinsoku w:val="0"/>
        <w:overflowPunct w:val="0"/>
        <w:rPr>
          <w:sz w:val="22"/>
          <w:szCs w:val="22"/>
          <w:lang w:val="el-GR"/>
        </w:rPr>
      </w:pPr>
      <w:r>
        <w:rPr>
          <w:i/>
          <w:sz w:val="22"/>
          <w:szCs w:val="22"/>
          <w:lang w:val="el-GR"/>
        </w:rPr>
        <w:t xml:space="preserve">Παιδιά και έφηβοι από την ηλικία των 4 έως 17 ετών με βάρος 30 kg ή περισσότερο </w:t>
      </w:r>
    </w:p>
    <w:p w14:paraId="40EB76CF" w14:textId="77777777" w:rsidR="00171824" w:rsidRDefault="00171824">
      <w:pPr>
        <w:widowControl/>
        <w:kinsoku w:val="0"/>
        <w:overflowPunct w:val="0"/>
        <w:rPr>
          <w:sz w:val="22"/>
          <w:szCs w:val="22"/>
          <w:lang w:val="el-GR"/>
        </w:rPr>
      </w:pPr>
    </w:p>
    <w:p w14:paraId="2439B878" w14:textId="77777777" w:rsidR="00171824" w:rsidRDefault="006D258C">
      <w:pPr>
        <w:widowControl/>
        <w:kinsoku w:val="0"/>
        <w:overflowPunct w:val="0"/>
        <w:rPr>
          <w:sz w:val="22"/>
          <w:szCs w:val="22"/>
          <w:lang w:val="el-GR"/>
        </w:rPr>
      </w:pPr>
      <w:r>
        <w:rPr>
          <w:sz w:val="22"/>
          <w:szCs w:val="22"/>
          <w:lang w:val="el-GR"/>
        </w:rPr>
        <w:t>Η συνιστώμενη δόση του AMGEVITA είναι αρχική δόση 40 mg, ακολουθούμενη από 40 mg μια εβδομάδα μετά. Κατόπιν, η συνήθης δόση είναι 40 mg κάθε δεύτερη εβδομάδα.</w:t>
      </w:r>
    </w:p>
    <w:p w14:paraId="5566A231" w14:textId="77777777" w:rsidR="00171824" w:rsidRDefault="00171824">
      <w:pPr>
        <w:widowControl/>
        <w:kinsoku w:val="0"/>
        <w:overflowPunct w:val="0"/>
        <w:rPr>
          <w:sz w:val="22"/>
          <w:szCs w:val="22"/>
          <w:u w:val="single"/>
          <w:lang w:val="el-GR"/>
        </w:rPr>
      </w:pPr>
    </w:p>
    <w:p w14:paraId="5D692065" w14:textId="77777777" w:rsidR="00171824" w:rsidRDefault="006D258C">
      <w:pPr>
        <w:keepNext/>
        <w:widowControl/>
        <w:kinsoku w:val="0"/>
        <w:overflowPunct w:val="0"/>
        <w:rPr>
          <w:sz w:val="22"/>
          <w:szCs w:val="22"/>
          <w:lang w:val="el-GR"/>
        </w:rPr>
      </w:pPr>
      <w:r>
        <w:rPr>
          <w:sz w:val="22"/>
          <w:szCs w:val="22"/>
          <w:u w:val="single"/>
          <w:lang w:val="el-GR"/>
        </w:rPr>
        <w:t>Ενήλικες με διαπυητική ιδρωταδενίτιδα</w:t>
      </w:r>
    </w:p>
    <w:p w14:paraId="250CA06E" w14:textId="77777777" w:rsidR="00171824" w:rsidRDefault="00171824">
      <w:pPr>
        <w:keepNext/>
        <w:widowControl/>
        <w:kinsoku w:val="0"/>
        <w:overflowPunct w:val="0"/>
        <w:rPr>
          <w:sz w:val="22"/>
          <w:szCs w:val="22"/>
          <w:lang w:val="el-GR"/>
        </w:rPr>
      </w:pPr>
    </w:p>
    <w:p w14:paraId="7073585A" w14:textId="77777777" w:rsidR="00171824" w:rsidRDefault="006D258C">
      <w:pPr>
        <w:widowControl/>
        <w:kinsoku w:val="0"/>
        <w:overflowPunct w:val="0"/>
        <w:jc w:val="both"/>
        <w:rPr>
          <w:sz w:val="22"/>
          <w:szCs w:val="22"/>
          <w:lang w:val="el-GR"/>
        </w:rPr>
      </w:pPr>
      <w:r>
        <w:rPr>
          <w:sz w:val="22"/>
          <w:szCs w:val="22"/>
          <w:lang w:val="el-GR"/>
        </w:rPr>
        <w:t>Το σύνηθες δοσολογικό σχήμα για τη διαπυητική ιδρωταδενίτιδα είναι μια αρχική δόση 160 mg (δηλ τέσσερις ενέσεις 40 mg σε μία ημέρα ή δύο ενέσεις 40 mg ημερησίως για δύο συνεχόμενες ημέρες), ακολουθούμενη από μία δόση 80 mg (δηλ δύο ενέσεις 40 mg σε μία ημέρα) δύο εβδομάδες αργότερα. Μετά από δύο επιπλέον εβδομάδες, συνεχίστε με μια δόση 40 mg κάθε εβδομάδα</w:t>
      </w:r>
      <w:r>
        <w:rPr>
          <w:sz w:val="22"/>
          <w:lang w:val="el-GR"/>
        </w:rPr>
        <w:t xml:space="preserve"> </w:t>
      </w:r>
      <w:r>
        <w:rPr>
          <w:sz w:val="22"/>
          <w:szCs w:val="22"/>
          <w:lang w:val="el-GR"/>
        </w:rPr>
        <w:t>ή 80 mg κάθε δεύτερη εβδομάδα , όπως σας έχει συνταγογραφήσει ο γιατρός σας. Συνιστάται η καθημερινή χρήση αντισηπτικού σαπουνιού στις προσβεβλημένες περιοχές.</w:t>
      </w:r>
    </w:p>
    <w:p w14:paraId="14115DF9" w14:textId="77777777" w:rsidR="00171824" w:rsidRDefault="00171824">
      <w:pPr>
        <w:widowControl/>
        <w:kinsoku w:val="0"/>
        <w:overflowPunct w:val="0"/>
        <w:rPr>
          <w:sz w:val="22"/>
          <w:szCs w:val="22"/>
          <w:lang w:val="el-GR"/>
        </w:rPr>
      </w:pPr>
    </w:p>
    <w:p w14:paraId="794ED4DF" w14:textId="77777777" w:rsidR="00171824" w:rsidRDefault="006D258C">
      <w:pPr>
        <w:rPr>
          <w:sz w:val="22"/>
          <w:szCs w:val="22"/>
          <w:u w:val="single"/>
          <w:lang w:val="el-GR"/>
        </w:rPr>
      </w:pPr>
      <w:r>
        <w:rPr>
          <w:sz w:val="22"/>
          <w:szCs w:val="22"/>
          <w:u w:val="single"/>
          <w:lang w:val="el-GR"/>
        </w:rPr>
        <w:lastRenderedPageBreak/>
        <w:t>Έφηβοι με διαπυητική ιδρωταδενίτιδα από 12 έως 17 ετών βάρους 30 kg και άνω</w:t>
      </w:r>
    </w:p>
    <w:p w14:paraId="604970C9" w14:textId="77777777" w:rsidR="00171824" w:rsidRDefault="00171824">
      <w:pPr>
        <w:rPr>
          <w:sz w:val="22"/>
          <w:szCs w:val="22"/>
          <w:lang w:val="el-GR"/>
        </w:rPr>
      </w:pPr>
    </w:p>
    <w:p w14:paraId="7C78BFEF" w14:textId="77777777" w:rsidR="00171824" w:rsidRDefault="006D258C">
      <w:pPr>
        <w:rPr>
          <w:sz w:val="22"/>
          <w:szCs w:val="22"/>
          <w:lang w:val="el-GR"/>
        </w:rPr>
      </w:pPr>
      <w:r>
        <w:rPr>
          <w:sz w:val="22"/>
          <w:szCs w:val="22"/>
          <w:lang w:val="el-GR"/>
        </w:rPr>
        <w:t>Η συνιστώμενη δόση του AMGEVITA είναι μία αρχική δόση 80 mg (ως δυο ενέσεις 40 mg σε μία ημέρα), ακολουθούμενη από 40 mg κάθε δεύτερη εβδομάδα, ξεκινώντας μια εβδομάδα αργότερα. Εάν έχετε ανεπαρκή ανταπόκριση στο AMGEVITA 40 mg κάθε δεύτερη εβδομάδα, ο γιατρός σας μπορεί να αυξήσει τη δόση σας σε 40 mg κάθε εβδομάδα ή 80 mg κάθε δεύτερη εβδομάδα.</w:t>
      </w:r>
    </w:p>
    <w:p w14:paraId="3F6829C3" w14:textId="77777777" w:rsidR="00171824" w:rsidRDefault="00171824">
      <w:pPr>
        <w:rPr>
          <w:sz w:val="22"/>
          <w:szCs w:val="22"/>
          <w:lang w:val="el-GR"/>
        </w:rPr>
      </w:pPr>
    </w:p>
    <w:p w14:paraId="1A16F416" w14:textId="77777777" w:rsidR="00171824" w:rsidRDefault="006D258C">
      <w:pPr>
        <w:rPr>
          <w:sz w:val="22"/>
          <w:szCs w:val="22"/>
          <w:lang w:val="el-GR"/>
        </w:rPr>
      </w:pPr>
      <w:r>
        <w:rPr>
          <w:sz w:val="22"/>
          <w:szCs w:val="22"/>
          <w:lang w:val="el-GR"/>
        </w:rPr>
        <w:t>Συνιστάται η καθημερινή χρήση αντισηπτικού σαπουνιού στις προσβεβλημένες περιοχές.</w:t>
      </w:r>
    </w:p>
    <w:p w14:paraId="7D9EA616" w14:textId="77777777" w:rsidR="00171824" w:rsidRDefault="00171824">
      <w:pPr>
        <w:widowControl/>
        <w:kinsoku w:val="0"/>
        <w:overflowPunct w:val="0"/>
        <w:rPr>
          <w:sz w:val="22"/>
          <w:szCs w:val="22"/>
          <w:lang w:val="el-GR"/>
        </w:rPr>
      </w:pPr>
    </w:p>
    <w:p w14:paraId="4A569FBD" w14:textId="77777777" w:rsidR="00171824" w:rsidRDefault="006D258C">
      <w:pPr>
        <w:widowControl/>
        <w:kinsoku w:val="0"/>
        <w:overflowPunct w:val="0"/>
        <w:rPr>
          <w:sz w:val="22"/>
          <w:szCs w:val="22"/>
          <w:lang w:val="el-GR"/>
        </w:rPr>
      </w:pPr>
      <w:r>
        <w:rPr>
          <w:sz w:val="22"/>
          <w:szCs w:val="22"/>
          <w:u w:val="single"/>
          <w:lang w:val="el-GR"/>
        </w:rPr>
        <w:t>Ενήλικες με νόσο του Crohn</w:t>
      </w:r>
    </w:p>
    <w:p w14:paraId="783AF856" w14:textId="77777777" w:rsidR="00171824" w:rsidRDefault="00171824">
      <w:pPr>
        <w:widowControl/>
        <w:kinsoku w:val="0"/>
        <w:overflowPunct w:val="0"/>
        <w:rPr>
          <w:sz w:val="22"/>
          <w:szCs w:val="22"/>
          <w:lang w:val="el-GR"/>
        </w:rPr>
      </w:pPr>
    </w:p>
    <w:p w14:paraId="095603EA" w14:textId="77777777" w:rsidR="00171824" w:rsidRDefault="006D258C">
      <w:pPr>
        <w:widowControl/>
        <w:kinsoku w:val="0"/>
        <w:overflowPunct w:val="0"/>
        <w:rPr>
          <w:sz w:val="22"/>
          <w:szCs w:val="22"/>
          <w:lang w:val="el-GR"/>
        </w:rPr>
      </w:pPr>
      <w:r>
        <w:rPr>
          <w:sz w:val="22"/>
          <w:szCs w:val="22"/>
          <w:lang w:val="el-GR"/>
        </w:rPr>
        <w:t>Το σύνηθες δοσολογικό σχήμα για τη νόσο του Crohn είναι 80 mg (ως δύο ενέσεις των 40 mg σε μία ημέρα) αρχικά ακολουθούμενο από 40 mg κάθε δεύτερη εβδομάδα, δύο εβδομάδες αργότερα. Εάν απαιτείται πιο γρήγορη ανταπόκριση στη θεραπεία, ο γιατρός σας μπορεί να σας συνταγογραφήσει μία αρχική δόση των 160 mg (η δόση μπορεί να χορηγηθεί ως τέσσερις ενέσεις 40 mg σε μία ημέρα ή ως δύο ενέσεις 40 mg ημερησίως για δύο συνεχόμενες ημέρες), ακολουθούμενη από 80 mg (ως δύο ενέσεις των 40 mg σε μία ημέρα) δύο εβδομάδες αργότερα, και ακολούθως 40 mg κάθε δεύτερη εβδομάδα. Ανάλογα με την ανταπόκρισή σας στη θεραπεία, ο γιατρός σας είναι πιθανό να αυξήσει τη δόση σε 40 mg κάθε εβδομάδα ή 80 mg κάθε δεύτερη εβδομάδα.</w:t>
      </w:r>
    </w:p>
    <w:p w14:paraId="43E0E779" w14:textId="77777777" w:rsidR="00171824" w:rsidRDefault="00171824">
      <w:pPr>
        <w:widowControl/>
        <w:kinsoku w:val="0"/>
        <w:overflowPunct w:val="0"/>
        <w:rPr>
          <w:sz w:val="22"/>
          <w:szCs w:val="22"/>
          <w:lang w:val="el-GR"/>
        </w:rPr>
      </w:pPr>
    </w:p>
    <w:p w14:paraId="261CE107" w14:textId="77777777" w:rsidR="00171824" w:rsidRDefault="006D258C">
      <w:pPr>
        <w:keepNext/>
        <w:widowControl/>
        <w:kinsoku w:val="0"/>
        <w:overflowPunct w:val="0"/>
        <w:rPr>
          <w:sz w:val="22"/>
          <w:szCs w:val="22"/>
          <w:lang w:val="el-GR"/>
        </w:rPr>
      </w:pPr>
      <w:r>
        <w:rPr>
          <w:sz w:val="22"/>
          <w:szCs w:val="22"/>
          <w:u w:val="single"/>
          <w:lang w:val="el-GR"/>
        </w:rPr>
        <w:t>Παιδιά και έφηβοι με νόσο του Crohn</w:t>
      </w:r>
    </w:p>
    <w:p w14:paraId="3CF19BBD" w14:textId="77777777" w:rsidR="00171824" w:rsidRDefault="00171824">
      <w:pPr>
        <w:keepNext/>
        <w:widowControl/>
        <w:kinsoku w:val="0"/>
        <w:overflowPunct w:val="0"/>
        <w:rPr>
          <w:sz w:val="22"/>
          <w:szCs w:val="22"/>
          <w:lang w:val="el-GR"/>
        </w:rPr>
      </w:pPr>
    </w:p>
    <w:p w14:paraId="1BF08578" w14:textId="77777777" w:rsidR="00171824" w:rsidRDefault="006D258C">
      <w:pPr>
        <w:widowControl/>
        <w:kinsoku w:val="0"/>
        <w:overflowPunct w:val="0"/>
        <w:rPr>
          <w:i/>
          <w:sz w:val="22"/>
          <w:szCs w:val="22"/>
          <w:lang w:val="el-GR"/>
        </w:rPr>
      </w:pPr>
      <w:r>
        <w:rPr>
          <w:i/>
          <w:sz w:val="22"/>
          <w:szCs w:val="22"/>
          <w:lang w:val="el-GR"/>
        </w:rPr>
        <w:t>Παιδιά και έφηβοι με βάρος από την ηλικία των 6 έως 17 ετών με βάρος λιγότερο λιγότερο από 40 kg</w:t>
      </w:r>
    </w:p>
    <w:p w14:paraId="753CFDF8" w14:textId="77777777" w:rsidR="00171824" w:rsidRDefault="00171824">
      <w:pPr>
        <w:widowControl/>
        <w:kinsoku w:val="0"/>
        <w:overflowPunct w:val="0"/>
        <w:rPr>
          <w:sz w:val="22"/>
          <w:szCs w:val="22"/>
          <w:lang w:val="el-GR"/>
        </w:rPr>
      </w:pPr>
    </w:p>
    <w:p w14:paraId="3FE807D5" w14:textId="77777777" w:rsidR="00171824" w:rsidRDefault="006D258C">
      <w:pPr>
        <w:widowControl/>
        <w:kinsoku w:val="0"/>
        <w:overflowPunct w:val="0"/>
        <w:rPr>
          <w:sz w:val="22"/>
          <w:szCs w:val="22"/>
          <w:lang w:val="el-GR"/>
        </w:rPr>
      </w:pPr>
      <w:r>
        <w:rPr>
          <w:sz w:val="22"/>
          <w:szCs w:val="22"/>
          <w:lang w:val="el-GR"/>
        </w:rPr>
        <w:t>Το συνιστώμενο δοσολογικό σχήμα είναι αρχικά 40 mg, ακολουθούμενο από 20 mg δύο εβδομάδες αργότερα. Εάν απαιτείται πιο γρήγορη ανταπόκριση, ο γιατρός του παιδιού σας μπορεί να συνταγογραφήσει μία αρχική δόση των 80 mg (ως δύο ενέσεις 40 mg σε μία μέρα), ακολουθούμενη από 40 mg δύο εβδομάδες αργότερα.</w:t>
      </w:r>
    </w:p>
    <w:p w14:paraId="43815038" w14:textId="77777777" w:rsidR="00171824" w:rsidRDefault="00171824">
      <w:pPr>
        <w:widowControl/>
        <w:kinsoku w:val="0"/>
        <w:overflowPunct w:val="0"/>
        <w:rPr>
          <w:sz w:val="22"/>
          <w:szCs w:val="22"/>
          <w:lang w:val="el-GR"/>
        </w:rPr>
      </w:pPr>
    </w:p>
    <w:p w14:paraId="52EF4604" w14:textId="77777777" w:rsidR="00171824" w:rsidRDefault="006D258C">
      <w:pPr>
        <w:widowControl/>
        <w:kinsoku w:val="0"/>
        <w:overflowPunct w:val="0"/>
        <w:jc w:val="both"/>
        <w:rPr>
          <w:sz w:val="22"/>
          <w:szCs w:val="22"/>
          <w:lang w:val="el-GR"/>
        </w:rPr>
      </w:pPr>
      <w:r>
        <w:rPr>
          <w:sz w:val="22"/>
          <w:szCs w:val="22"/>
          <w:lang w:val="el-GR"/>
        </w:rPr>
        <w:t>Κατόπιν, η συνήθης δόση είναι 20 mg κάθε δεύτερη εβδομάδα. Ανάλογα με την ανταπόκριση του παιδιού σας, ο γιατρός του παιδιού σας μπορεί να αυξήσει τη συχνότητα της δόσης σε 20 mg κάθε εβδομάδα.</w:t>
      </w:r>
    </w:p>
    <w:p w14:paraId="405DE0D8" w14:textId="77777777" w:rsidR="00171824" w:rsidRDefault="00171824">
      <w:pPr>
        <w:widowControl/>
        <w:kinsoku w:val="0"/>
        <w:overflowPunct w:val="0"/>
        <w:rPr>
          <w:sz w:val="22"/>
          <w:szCs w:val="22"/>
          <w:lang w:val="el-GR"/>
        </w:rPr>
      </w:pPr>
    </w:p>
    <w:p w14:paraId="6C878CB1" w14:textId="77777777" w:rsidR="00171824" w:rsidRDefault="006D258C">
      <w:pPr>
        <w:widowControl/>
        <w:kinsoku w:val="0"/>
        <w:overflowPunct w:val="0"/>
        <w:rPr>
          <w:sz w:val="22"/>
          <w:szCs w:val="22"/>
          <w:lang w:val="el-GR"/>
        </w:rPr>
      </w:pPr>
      <w:r>
        <w:rPr>
          <w:sz w:val="22"/>
          <w:szCs w:val="22"/>
          <w:lang w:val="el-GR"/>
        </w:rPr>
        <w:t xml:space="preserve">Η προγεμισμένη συσκευή τύπου πένας των 40 mg δεν μπορεί να χρησιμοποιηθεί για τη δόση των 20 mg. Ωστόσο, μια προγεμισμένη </w:t>
      </w:r>
      <w:r>
        <w:rPr>
          <w:i/>
          <w:sz w:val="22"/>
          <w:szCs w:val="22"/>
          <w:lang w:val="el-GR"/>
        </w:rPr>
        <w:t>σύριγγα</w:t>
      </w:r>
      <w:r>
        <w:rPr>
          <w:sz w:val="22"/>
          <w:szCs w:val="22"/>
          <w:lang w:val="el-GR"/>
        </w:rPr>
        <w:t xml:space="preserve"> AMGEVITA των 20 mg είναι διαθέσιμη για τη δόση των 20 mg.</w:t>
      </w:r>
    </w:p>
    <w:p w14:paraId="272D546B" w14:textId="77777777" w:rsidR="00171824" w:rsidRDefault="00171824">
      <w:pPr>
        <w:widowControl/>
        <w:kinsoku w:val="0"/>
        <w:overflowPunct w:val="0"/>
        <w:rPr>
          <w:sz w:val="22"/>
          <w:szCs w:val="22"/>
          <w:lang w:val="el-GR"/>
        </w:rPr>
      </w:pPr>
    </w:p>
    <w:p w14:paraId="110C58ED" w14:textId="77777777" w:rsidR="00171824" w:rsidRDefault="006D258C">
      <w:pPr>
        <w:keepNext/>
        <w:widowControl/>
        <w:kinsoku w:val="0"/>
        <w:overflowPunct w:val="0"/>
        <w:rPr>
          <w:i/>
          <w:sz w:val="22"/>
          <w:szCs w:val="22"/>
          <w:lang w:val="el-GR"/>
        </w:rPr>
      </w:pPr>
      <w:r>
        <w:rPr>
          <w:i/>
          <w:sz w:val="22"/>
          <w:szCs w:val="22"/>
          <w:lang w:val="el-GR"/>
        </w:rPr>
        <w:t>Παιδιά και έφηβοι από την ηλικία των 6 έως 17 ετών με βάρος 40 kg ή περισσότερο:</w:t>
      </w:r>
    </w:p>
    <w:p w14:paraId="21BC3D96" w14:textId="77777777" w:rsidR="00171824" w:rsidRDefault="00171824">
      <w:pPr>
        <w:keepNext/>
        <w:widowControl/>
        <w:kinsoku w:val="0"/>
        <w:overflowPunct w:val="0"/>
        <w:rPr>
          <w:sz w:val="22"/>
          <w:szCs w:val="22"/>
          <w:lang w:val="el-GR"/>
        </w:rPr>
      </w:pPr>
    </w:p>
    <w:p w14:paraId="4D9373E4" w14:textId="77777777" w:rsidR="00171824" w:rsidRDefault="006D258C">
      <w:pPr>
        <w:widowControl/>
        <w:kinsoku w:val="0"/>
        <w:overflowPunct w:val="0"/>
        <w:rPr>
          <w:sz w:val="22"/>
          <w:szCs w:val="22"/>
          <w:lang w:val="el-GR"/>
        </w:rPr>
      </w:pPr>
      <w:r>
        <w:rPr>
          <w:sz w:val="22"/>
          <w:szCs w:val="22"/>
          <w:lang w:val="el-GR"/>
        </w:rPr>
        <w:t>Το συνιστώμενο δοσολογικό σχήμα είναι αρχικά 80 mg (ως δύο ενέσεις 40 mg σε μία ημέρα) ακολουθούμενο από 40 mg δύο εβδομάδες αργότερα. Εάν απαιτείται πιο γρήγορη ανταπόκριση, ο γιατρός του παιδιού σας μπορεί να συνταγογραφήσει μία αρχική δόση των 160 mg (ως τέσσερις ενέσεις 40 mg σε μια μέρα ή ως δύο ενέσεις 40 mg την ημέρα για δύο συνεχείς ημέρες), ακολουθούμενη από 80 mg (ως δύο ενέσεις των 40 mg σε μία ημέρα) δύο εβδομάδες αργότερα.</w:t>
      </w:r>
    </w:p>
    <w:p w14:paraId="2CD1C7D9" w14:textId="77777777" w:rsidR="00171824" w:rsidRDefault="00171824">
      <w:pPr>
        <w:widowControl/>
        <w:kinsoku w:val="0"/>
        <w:overflowPunct w:val="0"/>
        <w:rPr>
          <w:sz w:val="22"/>
          <w:szCs w:val="22"/>
          <w:lang w:val="el-GR"/>
        </w:rPr>
      </w:pPr>
    </w:p>
    <w:p w14:paraId="06EC9764" w14:textId="77777777" w:rsidR="00171824" w:rsidRDefault="006D258C">
      <w:pPr>
        <w:widowControl/>
        <w:kinsoku w:val="0"/>
        <w:overflowPunct w:val="0"/>
        <w:jc w:val="both"/>
        <w:rPr>
          <w:sz w:val="22"/>
          <w:szCs w:val="22"/>
          <w:lang w:val="el-GR"/>
        </w:rPr>
      </w:pPr>
      <w:r>
        <w:rPr>
          <w:sz w:val="22"/>
          <w:szCs w:val="22"/>
          <w:lang w:val="el-GR"/>
        </w:rPr>
        <w:t>Κατόπιν, η συνήθης δόση είναι 40 mg κάθε δεύτερη εβδομάδα. Ανάλογα με την ανταπόκριση του παιδιού σας, ο γιατρός του παιδιού σας μπορεί να αυξήσει τη δόση σε 40 mg κάθε εβδομάδα ή 80 mg κάθε δεύτερη εβδομάδα.</w:t>
      </w:r>
    </w:p>
    <w:p w14:paraId="3D789CB6" w14:textId="77777777" w:rsidR="00171824" w:rsidRDefault="00171824">
      <w:pPr>
        <w:widowControl/>
        <w:kinsoku w:val="0"/>
        <w:overflowPunct w:val="0"/>
        <w:rPr>
          <w:sz w:val="22"/>
          <w:szCs w:val="22"/>
          <w:lang w:val="el-GR"/>
        </w:rPr>
      </w:pPr>
    </w:p>
    <w:p w14:paraId="5720D399" w14:textId="77777777" w:rsidR="00171824" w:rsidRDefault="006D258C">
      <w:pPr>
        <w:widowControl/>
        <w:kinsoku w:val="0"/>
        <w:overflowPunct w:val="0"/>
        <w:rPr>
          <w:sz w:val="22"/>
          <w:szCs w:val="22"/>
          <w:lang w:val="el-GR"/>
        </w:rPr>
      </w:pPr>
      <w:r>
        <w:rPr>
          <w:sz w:val="22"/>
          <w:szCs w:val="22"/>
          <w:u w:val="single"/>
          <w:lang w:val="el-GR"/>
        </w:rPr>
        <w:t>Ενήλικες με ελκώδη κολίτιδα</w:t>
      </w:r>
    </w:p>
    <w:p w14:paraId="21627A7D" w14:textId="77777777" w:rsidR="00171824" w:rsidRDefault="00171824">
      <w:pPr>
        <w:widowControl/>
        <w:kinsoku w:val="0"/>
        <w:overflowPunct w:val="0"/>
        <w:rPr>
          <w:sz w:val="22"/>
          <w:szCs w:val="22"/>
          <w:lang w:val="el-GR"/>
        </w:rPr>
      </w:pPr>
    </w:p>
    <w:p w14:paraId="5A01C215" w14:textId="77777777" w:rsidR="00171824" w:rsidRDefault="006D258C">
      <w:pPr>
        <w:widowControl/>
        <w:kinsoku w:val="0"/>
        <w:overflowPunct w:val="0"/>
        <w:rPr>
          <w:sz w:val="22"/>
          <w:szCs w:val="22"/>
          <w:lang w:val="el-GR"/>
        </w:rPr>
      </w:pPr>
      <w:r>
        <w:rPr>
          <w:sz w:val="22"/>
          <w:szCs w:val="22"/>
          <w:lang w:val="el-GR"/>
        </w:rPr>
        <w:t>Η συνήθης δόση AMGEVITA για ενήλικες με ελκώδη κολίτιδα είναι 160 mg αρχικά (ως τέσσερις ενέσεις των 40 mg σε μία μέρα ή ως δύο ενέσεις 40 mg ημερησίως για δύο συνεχόμενες ημέρες) ακολουθούμενη από 80 mg (ως δύο ενέσεις των 40 mg σε μία ημέρα) δύο εβδομάδες αργότερα και στη συνέχεια 40 mg κάθε δεύτερη εβδομάδα. Ανάλογα με την ανταπόκρισή σας, ο γιατρός σας μπορεί να αυξήσει τη δόση σε 40 mg κάθε εβδομάδα ή 80 mg κάθε δεύτερη εβδομάδα.</w:t>
      </w:r>
    </w:p>
    <w:p w14:paraId="107F9412" w14:textId="77777777" w:rsidR="00171824" w:rsidRDefault="00171824">
      <w:pPr>
        <w:widowControl/>
        <w:kinsoku w:val="0"/>
        <w:overflowPunct w:val="0"/>
        <w:rPr>
          <w:sz w:val="22"/>
          <w:szCs w:val="22"/>
          <w:lang w:val="el-GR"/>
        </w:rPr>
      </w:pPr>
    </w:p>
    <w:p w14:paraId="0960345C" w14:textId="77777777" w:rsidR="00171824" w:rsidRDefault="006D258C">
      <w:pPr>
        <w:widowControl/>
        <w:rPr>
          <w:color w:val="000000"/>
          <w:sz w:val="22"/>
          <w:szCs w:val="22"/>
          <w:u w:val="single"/>
          <w:lang w:val="el-GR" w:eastAsia="ja-JP"/>
        </w:rPr>
      </w:pPr>
      <w:r>
        <w:rPr>
          <w:color w:val="000000"/>
          <w:sz w:val="22"/>
          <w:szCs w:val="22"/>
          <w:u w:val="single"/>
          <w:lang w:val="el-GR" w:eastAsia="ja-JP"/>
        </w:rPr>
        <w:lastRenderedPageBreak/>
        <w:t xml:space="preserve">Παιδιά και έφηβοι με ελκώδη κολίτιδα </w:t>
      </w:r>
    </w:p>
    <w:p w14:paraId="4AC55B47" w14:textId="77777777" w:rsidR="00171824" w:rsidRDefault="00171824">
      <w:pPr>
        <w:widowControl/>
        <w:rPr>
          <w:color w:val="000000"/>
          <w:sz w:val="22"/>
          <w:szCs w:val="22"/>
          <w:lang w:val="el-GR" w:eastAsia="ja-JP"/>
        </w:rPr>
      </w:pPr>
    </w:p>
    <w:p w14:paraId="104B92EE" w14:textId="77777777" w:rsidR="00171824" w:rsidRDefault="006D258C">
      <w:pPr>
        <w:widowControl/>
        <w:rPr>
          <w:color w:val="000000"/>
          <w:sz w:val="22"/>
          <w:szCs w:val="22"/>
          <w:lang w:val="el-GR" w:eastAsia="ja-JP"/>
        </w:rPr>
      </w:pPr>
      <w:r>
        <w:rPr>
          <w:i/>
          <w:iCs/>
          <w:color w:val="000000"/>
          <w:sz w:val="22"/>
          <w:szCs w:val="22"/>
          <w:lang w:val="el-GR" w:eastAsia="ja-JP"/>
        </w:rPr>
        <w:t>Παιδιά και έφηβοι από την ηλικία των 6 ετών με βάρος λιγότερο από 40</w:t>
      </w:r>
      <w:r>
        <w:rPr>
          <w:color w:val="000000"/>
          <w:sz w:val="22"/>
          <w:szCs w:val="22"/>
          <w:lang w:val="el-GR" w:eastAsia="ja-JP"/>
        </w:rPr>
        <w:t> </w:t>
      </w:r>
      <w:r>
        <w:rPr>
          <w:i/>
          <w:iCs/>
          <w:color w:val="000000"/>
          <w:sz w:val="22"/>
          <w:szCs w:val="22"/>
          <w:lang w:val="el-GR" w:eastAsia="ja-JP"/>
        </w:rPr>
        <w:t xml:space="preserve">kg </w:t>
      </w:r>
    </w:p>
    <w:p w14:paraId="3E5069A9" w14:textId="77777777" w:rsidR="00171824" w:rsidRDefault="00171824">
      <w:pPr>
        <w:widowControl/>
        <w:rPr>
          <w:color w:val="000000"/>
          <w:sz w:val="22"/>
          <w:szCs w:val="22"/>
          <w:lang w:val="el-GR" w:eastAsia="ja-JP"/>
        </w:rPr>
      </w:pPr>
    </w:p>
    <w:p w14:paraId="2DF250E3"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80</w:t>
      </w:r>
      <w:r>
        <w:rPr>
          <w:sz w:val="22"/>
          <w:szCs w:val="22"/>
          <w:lang w:val="el-GR"/>
        </w:rPr>
        <w:t> </w:t>
      </w:r>
      <w:r>
        <w:rPr>
          <w:color w:val="000000"/>
          <w:sz w:val="22"/>
          <w:szCs w:val="22"/>
          <w:lang w:val="el-GR" w:eastAsia="ja-JP"/>
        </w:rPr>
        <w:t>mg (ως δύο ενέσεις των 40</w:t>
      </w:r>
      <w:r>
        <w:rPr>
          <w:sz w:val="22"/>
          <w:szCs w:val="22"/>
          <w:lang w:val="el-GR"/>
        </w:rPr>
        <w:t> </w:t>
      </w:r>
      <w:r>
        <w:rPr>
          <w:color w:val="000000"/>
          <w:sz w:val="22"/>
          <w:szCs w:val="22"/>
          <w:lang w:val="el-GR" w:eastAsia="ja-JP"/>
        </w:rPr>
        <w:t>mg σε μία ημέρα) αρχικά, ακολουθούμενη από 40</w:t>
      </w:r>
      <w:r>
        <w:rPr>
          <w:sz w:val="22"/>
          <w:szCs w:val="22"/>
          <w:lang w:val="el-GR"/>
        </w:rPr>
        <w:t> </w:t>
      </w:r>
      <w:r>
        <w:rPr>
          <w:color w:val="000000"/>
          <w:sz w:val="22"/>
          <w:szCs w:val="22"/>
          <w:lang w:val="el-GR" w:eastAsia="ja-JP"/>
        </w:rPr>
        <w:t>mg (ως μία ένεση των 40</w:t>
      </w:r>
      <w:r>
        <w:rPr>
          <w:sz w:val="22"/>
          <w:szCs w:val="22"/>
          <w:lang w:val="el-GR"/>
        </w:rPr>
        <w:t> </w:t>
      </w:r>
      <w:r>
        <w:rPr>
          <w:color w:val="000000"/>
          <w:sz w:val="22"/>
          <w:szCs w:val="22"/>
          <w:lang w:val="el-GR" w:eastAsia="ja-JP"/>
        </w:rPr>
        <w:t>mg) δύο εβδομάδες μετά. Στη συνέχεια, η συνήθης δόση είναι 40</w:t>
      </w:r>
      <w:r>
        <w:rPr>
          <w:sz w:val="22"/>
          <w:szCs w:val="22"/>
          <w:lang w:val="el-GR"/>
        </w:rPr>
        <w:t> </w:t>
      </w:r>
      <w:r>
        <w:rPr>
          <w:color w:val="000000"/>
          <w:sz w:val="22"/>
          <w:szCs w:val="22"/>
          <w:lang w:val="el-GR" w:eastAsia="ja-JP"/>
        </w:rPr>
        <w:t xml:space="preserve">mg κάθε δεύτερη εβδομάδα. </w:t>
      </w:r>
    </w:p>
    <w:p w14:paraId="4415DBCC" w14:textId="77777777" w:rsidR="00171824" w:rsidRDefault="00171824">
      <w:pPr>
        <w:widowControl/>
        <w:rPr>
          <w:color w:val="000000"/>
          <w:sz w:val="22"/>
          <w:szCs w:val="22"/>
          <w:lang w:val="el-GR" w:eastAsia="ja-JP"/>
        </w:rPr>
      </w:pPr>
    </w:p>
    <w:p w14:paraId="159DF7F4" w14:textId="77777777" w:rsidR="00171824" w:rsidRDefault="006D258C">
      <w:pPr>
        <w:widowControl/>
        <w:rPr>
          <w:color w:val="000000"/>
          <w:sz w:val="22"/>
          <w:szCs w:val="22"/>
          <w:lang w:val="el-GR" w:eastAsia="ja-JP"/>
        </w:rPr>
      </w:pPr>
      <w:r>
        <w:rPr>
          <w:color w:val="000000"/>
          <w:sz w:val="22"/>
          <w:szCs w:val="22"/>
          <w:lang w:val="el-GR" w:eastAsia="ja-JP"/>
        </w:rPr>
        <w:t>Οι ασθενείς που γίνονται 18 ετών ενώ λαμβάνουν 40</w:t>
      </w:r>
      <w:r>
        <w:rPr>
          <w:sz w:val="22"/>
          <w:szCs w:val="22"/>
          <w:lang w:val="el-GR"/>
        </w:rPr>
        <w:t> </w:t>
      </w:r>
      <w:r>
        <w:rPr>
          <w:color w:val="000000"/>
          <w:sz w:val="22"/>
          <w:szCs w:val="22"/>
          <w:lang w:val="el-GR" w:eastAsia="ja-JP"/>
        </w:rPr>
        <w:t xml:space="preserve">mg κάθε δεύτερη εβδομάδα θα πρέπει να συνεχίζουν τη συνιστώμενη δόση τους. </w:t>
      </w:r>
    </w:p>
    <w:p w14:paraId="683E131F" w14:textId="77777777" w:rsidR="00171824" w:rsidRDefault="00171824">
      <w:pPr>
        <w:widowControl/>
        <w:rPr>
          <w:i/>
          <w:iCs/>
          <w:color w:val="000000"/>
          <w:sz w:val="22"/>
          <w:szCs w:val="22"/>
          <w:lang w:val="el-GR" w:eastAsia="ja-JP"/>
        </w:rPr>
      </w:pPr>
    </w:p>
    <w:p w14:paraId="3070710B" w14:textId="77777777" w:rsidR="00171824" w:rsidRDefault="006D258C">
      <w:pPr>
        <w:widowControl/>
        <w:rPr>
          <w:color w:val="000000"/>
          <w:sz w:val="22"/>
          <w:szCs w:val="22"/>
          <w:lang w:val="el-GR" w:eastAsia="ja-JP"/>
        </w:rPr>
      </w:pPr>
      <w:r>
        <w:rPr>
          <w:i/>
          <w:iCs/>
          <w:color w:val="000000"/>
          <w:sz w:val="22"/>
          <w:szCs w:val="22"/>
          <w:lang w:val="el-GR" w:eastAsia="ja-JP"/>
        </w:rPr>
        <w:t>Παιδιά και έφηβοι από την ηλικία των 6 ετών με βάρος 40</w:t>
      </w:r>
      <w:r>
        <w:rPr>
          <w:color w:val="000000"/>
          <w:sz w:val="22"/>
          <w:szCs w:val="22"/>
          <w:lang w:val="el-GR" w:eastAsia="ja-JP"/>
        </w:rPr>
        <w:t> </w:t>
      </w:r>
      <w:r>
        <w:rPr>
          <w:i/>
          <w:iCs/>
          <w:color w:val="000000"/>
          <w:sz w:val="22"/>
          <w:szCs w:val="22"/>
          <w:lang w:val="el-GR" w:eastAsia="ja-JP"/>
        </w:rPr>
        <w:t xml:space="preserve">kg ή περισσότερο </w:t>
      </w:r>
    </w:p>
    <w:p w14:paraId="64AD723C" w14:textId="77777777" w:rsidR="00171824" w:rsidRDefault="00171824">
      <w:pPr>
        <w:widowControl/>
        <w:rPr>
          <w:color w:val="000000"/>
          <w:sz w:val="22"/>
          <w:szCs w:val="22"/>
          <w:lang w:val="el-GR" w:eastAsia="ja-JP"/>
        </w:rPr>
      </w:pPr>
    </w:p>
    <w:p w14:paraId="6D044D53"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160</w:t>
      </w:r>
      <w:r>
        <w:rPr>
          <w:sz w:val="22"/>
          <w:szCs w:val="22"/>
          <w:lang w:val="el-GR"/>
        </w:rPr>
        <w:t> </w:t>
      </w:r>
      <w:r>
        <w:rPr>
          <w:color w:val="000000"/>
          <w:sz w:val="22"/>
          <w:szCs w:val="22"/>
          <w:lang w:val="el-GR" w:eastAsia="ja-JP"/>
        </w:rPr>
        <w:t>mg (ως τέσσερις ενέσεις των 40</w:t>
      </w:r>
      <w:r>
        <w:rPr>
          <w:sz w:val="22"/>
          <w:szCs w:val="22"/>
          <w:lang w:val="el-GR"/>
        </w:rPr>
        <w:t> </w:t>
      </w:r>
      <w:r>
        <w:rPr>
          <w:color w:val="000000"/>
          <w:sz w:val="22"/>
          <w:szCs w:val="22"/>
          <w:lang w:val="el-GR" w:eastAsia="ja-JP"/>
        </w:rPr>
        <w:t>mg σε μία ημέρα ή δύο ενέσεις των 40</w:t>
      </w:r>
      <w:r>
        <w:rPr>
          <w:sz w:val="22"/>
          <w:szCs w:val="22"/>
          <w:lang w:val="el-GR"/>
        </w:rPr>
        <w:t> </w:t>
      </w:r>
      <w:r>
        <w:rPr>
          <w:color w:val="000000"/>
          <w:sz w:val="22"/>
          <w:szCs w:val="22"/>
          <w:lang w:val="el-GR" w:eastAsia="ja-JP"/>
        </w:rPr>
        <w:t>mg ανά ημέρα για δύο διαδοχικές ημέρες) αρχικά, ακολουθούμενη από 80</w:t>
      </w:r>
      <w:r>
        <w:rPr>
          <w:sz w:val="22"/>
          <w:szCs w:val="22"/>
          <w:lang w:val="el-GR"/>
        </w:rPr>
        <w:t> </w:t>
      </w:r>
      <w:r>
        <w:rPr>
          <w:color w:val="000000"/>
          <w:sz w:val="22"/>
          <w:szCs w:val="22"/>
          <w:lang w:val="el-GR" w:eastAsia="ja-JP"/>
        </w:rPr>
        <w:t>mg (ως δύο ενέσεις των 40</w:t>
      </w:r>
      <w:r>
        <w:rPr>
          <w:sz w:val="22"/>
          <w:szCs w:val="22"/>
          <w:lang w:val="el-GR"/>
        </w:rPr>
        <w:t> </w:t>
      </w:r>
      <w:r>
        <w:rPr>
          <w:color w:val="000000"/>
          <w:sz w:val="22"/>
          <w:szCs w:val="22"/>
          <w:lang w:val="el-GR" w:eastAsia="ja-JP"/>
        </w:rPr>
        <w:t>mg σε μία ημέρα), δύο εβδομάδες μετά. Στη συνέχεια, η συνήθης δόση είναι 80</w:t>
      </w:r>
      <w:r>
        <w:rPr>
          <w:sz w:val="22"/>
          <w:szCs w:val="22"/>
          <w:lang w:val="el-GR"/>
        </w:rPr>
        <w:t> </w:t>
      </w:r>
      <w:r>
        <w:rPr>
          <w:color w:val="000000"/>
          <w:sz w:val="22"/>
          <w:szCs w:val="22"/>
          <w:lang w:val="el-GR" w:eastAsia="ja-JP"/>
        </w:rPr>
        <w:t xml:space="preserve">mg κάθε δεύτερη εβδομάδα. </w:t>
      </w:r>
    </w:p>
    <w:p w14:paraId="591747B6" w14:textId="77777777" w:rsidR="00171824" w:rsidRDefault="00171824">
      <w:pPr>
        <w:widowControl/>
        <w:kinsoku w:val="0"/>
        <w:overflowPunct w:val="0"/>
        <w:rPr>
          <w:color w:val="000000"/>
          <w:sz w:val="22"/>
          <w:szCs w:val="22"/>
          <w:lang w:val="el-GR" w:eastAsia="ja-JP"/>
        </w:rPr>
      </w:pPr>
    </w:p>
    <w:p w14:paraId="6D26F3F2" w14:textId="77777777" w:rsidR="00171824" w:rsidRDefault="006D258C">
      <w:pPr>
        <w:widowControl/>
        <w:tabs>
          <w:tab w:val="left" w:pos="1701"/>
        </w:tabs>
        <w:kinsoku w:val="0"/>
        <w:overflowPunct w:val="0"/>
        <w:rPr>
          <w:sz w:val="22"/>
          <w:szCs w:val="22"/>
          <w:lang w:val="el-GR"/>
        </w:rPr>
      </w:pPr>
      <w:r>
        <w:rPr>
          <w:color w:val="000000"/>
          <w:sz w:val="22"/>
          <w:szCs w:val="22"/>
          <w:lang w:val="el-GR" w:eastAsia="ja-JP"/>
        </w:rPr>
        <w:t>Οι ασθενείς που γίνονται 18 ετών ενώ λαμβάνουν 80 mg κάθε δεύτερη εβδομάδα θα πρέπει να συνεχίζουν τη συνιστώμενη δόση τους.</w:t>
      </w:r>
    </w:p>
    <w:p w14:paraId="0A697B29" w14:textId="77777777" w:rsidR="00171824" w:rsidRDefault="00171824">
      <w:pPr>
        <w:widowControl/>
        <w:kinsoku w:val="0"/>
        <w:overflowPunct w:val="0"/>
        <w:rPr>
          <w:sz w:val="22"/>
          <w:szCs w:val="22"/>
          <w:lang w:val="el-GR"/>
        </w:rPr>
      </w:pPr>
    </w:p>
    <w:p w14:paraId="0BA68B45" w14:textId="77777777" w:rsidR="00171824" w:rsidRDefault="006D258C">
      <w:pPr>
        <w:pStyle w:val="BodyText"/>
        <w:widowControl/>
        <w:kinsoku w:val="0"/>
        <w:overflowPunct w:val="0"/>
        <w:ind w:left="0"/>
        <w:rPr>
          <w:lang w:val="el-GR"/>
        </w:rPr>
      </w:pPr>
      <w:r>
        <w:rPr>
          <w:u w:val="single"/>
          <w:lang w:val="el-GR"/>
        </w:rPr>
        <w:t>Ενήλικες με μη-λοιμώδη ραγοειδίτιδα</w:t>
      </w:r>
    </w:p>
    <w:p w14:paraId="0F399276" w14:textId="77777777" w:rsidR="00171824" w:rsidRDefault="00171824">
      <w:pPr>
        <w:widowControl/>
        <w:kinsoku w:val="0"/>
        <w:overflowPunct w:val="0"/>
        <w:rPr>
          <w:sz w:val="22"/>
          <w:szCs w:val="22"/>
          <w:lang w:val="el-GR"/>
        </w:rPr>
      </w:pPr>
    </w:p>
    <w:p w14:paraId="2EB47BC8" w14:textId="77777777" w:rsidR="00171824" w:rsidRDefault="006D258C">
      <w:pPr>
        <w:pStyle w:val="BodyText"/>
        <w:widowControl/>
        <w:kinsoku w:val="0"/>
        <w:overflowPunct w:val="0"/>
        <w:ind w:left="0"/>
        <w:rPr>
          <w:lang w:val="el-GR"/>
        </w:rPr>
      </w:pPr>
      <w:r>
        <w:rPr>
          <w:lang w:val="el-GR"/>
        </w:rPr>
        <w:t>Η συνήθης δόση για ενήλικες με μη-λοιμώδη ραγοειδίτιδα είναι μία αρχική δόση 80 mg, (ως δύο ενέσεις των 40 mg σε μία ημέρα) ακολουθούμενη από 40 mg κάθε δεύτερη εβδομάδα, αρχίζοντας μία εβδομάδα μετά την αρχική δόση. Πρέπει να συνεχίσετε τις ενέσεις AMGEVITA για όσο διάστημα σας έχει υποδείξει ο γιατρός σας.</w:t>
      </w:r>
    </w:p>
    <w:p w14:paraId="5CFD62FF" w14:textId="77777777" w:rsidR="00171824" w:rsidRDefault="00171824">
      <w:pPr>
        <w:widowControl/>
        <w:kinsoku w:val="0"/>
        <w:overflowPunct w:val="0"/>
        <w:rPr>
          <w:sz w:val="22"/>
          <w:szCs w:val="22"/>
          <w:lang w:val="el-GR"/>
        </w:rPr>
      </w:pPr>
    </w:p>
    <w:p w14:paraId="7FCBCB71" w14:textId="77777777" w:rsidR="00171824" w:rsidRDefault="006D258C">
      <w:pPr>
        <w:pStyle w:val="BodyText"/>
        <w:widowControl/>
        <w:kinsoku w:val="0"/>
        <w:overflowPunct w:val="0"/>
        <w:ind w:left="0"/>
        <w:rPr>
          <w:lang w:val="el-GR"/>
        </w:rPr>
      </w:pPr>
      <w:r>
        <w:rPr>
          <w:lang w:val="el-GR"/>
        </w:rPr>
        <w:t>Στη μη-λοιμώδη ραγοειδίτιδα, τα κορτικοστεροειδή ή άλλα φάρμακα που επηρεάζουν το ανοσοποιητικό σύστημα μπορεί να συνεχίζονται όταν λαμβάνετε AMGEVITA. Το AMGEVITA μπορεί επίσης να χορηγηθεί μόνο του.</w:t>
      </w:r>
    </w:p>
    <w:p w14:paraId="4848A317" w14:textId="77777777" w:rsidR="00171824" w:rsidRDefault="00171824">
      <w:pPr>
        <w:widowControl/>
        <w:kinsoku w:val="0"/>
        <w:overflowPunct w:val="0"/>
        <w:outlineLvl w:val="0"/>
        <w:rPr>
          <w:b/>
          <w:bCs/>
          <w:sz w:val="22"/>
          <w:szCs w:val="22"/>
          <w:lang w:val="el-GR"/>
        </w:rPr>
      </w:pPr>
    </w:p>
    <w:p w14:paraId="25A578B5" w14:textId="77777777" w:rsidR="00171824" w:rsidRDefault="006D258C">
      <w:pPr>
        <w:numPr>
          <w:ilvl w:val="12"/>
          <w:numId w:val="0"/>
        </w:numPr>
        <w:tabs>
          <w:tab w:val="left" w:pos="708"/>
        </w:tabs>
        <w:ind w:right="-2"/>
        <w:rPr>
          <w:sz w:val="22"/>
          <w:szCs w:val="22"/>
          <w:u w:val="single"/>
          <w:lang w:val="el-GR"/>
        </w:rPr>
      </w:pPr>
      <w:r>
        <w:rPr>
          <w:sz w:val="22"/>
          <w:szCs w:val="22"/>
          <w:u w:val="single"/>
          <w:lang w:val="el-GR"/>
        </w:rPr>
        <w:t>Παιδιά και έφηβοι με χρόνια μη-λοιμώδη ραγοειδίτιδα από την ηλικία των 2 ετών</w:t>
      </w:r>
    </w:p>
    <w:p w14:paraId="581478F1" w14:textId="77777777" w:rsidR="00171824" w:rsidRDefault="00171824">
      <w:pPr>
        <w:numPr>
          <w:ilvl w:val="12"/>
          <w:numId w:val="0"/>
        </w:numPr>
        <w:tabs>
          <w:tab w:val="left" w:pos="708"/>
        </w:tabs>
        <w:ind w:right="-2"/>
        <w:rPr>
          <w:sz w:val="22"/>
          <w:szCs w:val="22"/>
          <w:lang w:val="el-GR"/>
        </w:rPr>
      </w:pPr>
    </w:p>
    <w:p w14:paraId="24709071" w14:textId="77777777" w:rsidR="00171824" w:rsidRDefault="006D258C">
      <w:pPr>
        <w:numPr>
          <w:ilvl w:val="12"/>
          <w:numId w:val="0"/>
        </w:numPr>
        <w:tabs>
          <w:tab w:val="left" w:pos="708"/>
        </w:tabs>
        <w:ind w:right="-2"/>
        <w:rPr>
          <w:i/>
          <w:sz w:val="22"/>
          <w:szCs w:val="22"/>
          <w:lang w:val="el-GR"/>
        </w:rPr>
      </w:pPr>
      <w:r>
        <w:rPr>
          <w:i/>
          <w:sz w:val="22"/>
          <w:szCs w:val="22"/>
          <w:lang w:val="el-GR"/>
        </w:rPr>
        <w:t>Παιδιά και έφηβοι 2 ετών και άνω με βάρος λιγότερο από 30 kg:</w:t>
      </w:r>
    </w:p>
    <w:p w14:paraId="0D61FF31" w14:textId="77777777" w:rsidR="00171824" w:rsidRDefault="00171824">
      <w:pPr>
        <w:numPr>
          <w:ilvl w:val="12"/>
          <w:numId w:val="0"/>
        </w:numPr>
        <w:tabs>
          <w:tab w:val="left" w:pos="708"/>
        </w:tabs>
        <w:ind w:right="-2"/>
        <w:rPr>
          <w:sz w:val="22"/>
          <w:szCs w:val="22"/>
          <w:lang w:val="el-GR"/>
        </w:rPr>
      </w:pPr>
    </w:p>
    <w:p w14:paraId="0387C0DD"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20 mg κάθε δεύτερη βδομάδα με μεθοτρεξάτη.</w:t>
      </w:r>
    </w:p>
    <w:p w14:paraId="09FE8B65" w14:textId="77777777" w:rsidR="00171824" w:rsidRDefault="00171824">
      <w:pPr>
        <w:rPr>
          <w:sz w:val="22"/>
          <w:szCs w:val="22"/>
          <w:lang w:val="el-GR"/>
        </w:rPr>
      </w:pPr>
    </w:p>
    <w:p w14:paraId="05366282" w14:textId="77777777" w:rsidR="00171824" w:rsidRDefault="006D258C">
      <w:pPr>
        <w:rPr>
          <w:sz w:val="22"/>
          <w:szCs w:val="22"/>
          <w:lang w:val="el-GR"/>
        </w:rPr>
      </w:pPr>
      <w:r>
        <w:rPr>
          <w:sz w:val="22"/>
          <w:szCs w:val="22"/>
          <w:lang w:val="el-GR"/>
        </w:rPr>
        <w:t>Ο γιατρός του παιδιού σας μπορεί επίσης να συνταγογραφήσει μία αρχική δόση των 40 mg η οποία μπορεί να χορηγηθεί μία εβδομάδα πριν την έναρξη της συνήθους δόσης.</w:t>
      </w:r>
    </w:p>
    <w:p w14:paraId="126DCD47" w14:textId="77777777" w:rsidR="00171824" w:rsidRDefault="00171824">
      <w:pPr>
        <w:rPr>
          <w:rFonts w:ascii="Arial" w:hAnsi="Arial" w:cs="Arial"/>
          <w:color w:val="222222"/>
          <w:sz w:val="22"/>
          <w:lang w:val="el-GR"/>
        </w:rPr>
      </w:pPr>
    </w:p>
    <w:p w14:paraId="1968CB2D" w14:textId="77777777" w:rsidR="00171824" w:rsidRDefault="006D258C">
      <w:pPr>
        <w:widowControl/>
        <w:kinsoku w:val="0"/>
        <w:overflowPunct w:val="0"/>
        <w:rPr>
          <w:sz w:val="22"/>
          <w:szCs w:val="22"/>
          <w:lang w:val="el-GR"/>
        </w:rPr>
      </w:pPr>
      <w:r>
        <w:rPr>
          <w:sz w:val="22"/>
          <w:szCs w:val="22"/>
          <w:lang w:val="el-GR"/>
        </w:rPr>
        <w:t xml:space="preserve">Η προγεμισμένη συσκευή τύπου πένας των 40 mg δεν μπορεί να χρησιμοποιηθεί για τη δόση των 20 mg. Ωστόσο, μια προγεμισμένη </w:t>
      </w:r>
      <w:r>
        <w:rPr>
          <w:i/>
          <w:sz w:val="22"/>
          <w:szCs w:val="22"/>
          <w:lang w:val="el-GR"/>
        </w:rPr>
        <w:t>σύριγγα</w:t>
      </w:r>
      <w:r>
        <w:rPr>
          <w:sz w:val="22"/>
          <w:szCs w:val="22"/>
          <w:lang w:val="el-GR"/>
        </w:rPr>
        <w:t xml:space="preserve"> AMGEVITA των 20 mg είναι διαθέσιμη για τη δόση των 20 mg.</w:t>
      </w:r>
    </w:p>
    <w:p w14:paraId="64474188" w14:textId="77777777" w:rsidR="00171824" w:rsidRDefault="00171824">
      <w:pPr>
        <w:rPr>
          <w:i/>
          <w:sz w:val="22"/>
          <w:szCs w:val="22"/>
          <w:lang w:val="el-GR"/>
        </w:rPr>
      </w:pPr>
    </w:p>
    <w:p w14:paraId="1CA9E37D" w14:textId="77777777" w:rsidR="00171824" w:rsidRDefault="006D258C">
      <w:pPr>
        <w:rPr>
          <w:i/>
          <w:sz w:val="22"/>
          <w:szCs w:val="22"/>
          <w:lang w:val="el-GR"/>
        </w:rPr>
      </w:pPr>
      <w:r>
        <w:rPr>
          <w:i/>
          <w:sz w:val="22"/>
          <w:szCs w:val="22"/>
          <w:lang w:val="el-GR"/>
        </w:rPr>
        <w:t>Παιδιά και έφηβοι 2 ετών και άνω με βάρος 30 kg ή περισσότερο:</w:t>
      </w:r>
    </w:p>
    <w:p w14:paraId="3C88E729" w14:textId="77777777" w:rsidR="00171824" w:rsidRDefault="00171824">
      <w:pPr>
        <w:rPr>
          <w:sz w:val="22"/>
          <w:szCs w:val="22"/>
          <w:lang w:val="el-GR"/>
        </w:rPr>
      </w:pPr>
    </w:p>
    <w:p w14:paraId="6B18E4F0"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40 mg κάθε δεύτερη βδομάδα με μεθοτρεξάτη.</w:t>
      </w:r>
    </w:p>
    <w:p w14:paraId="3513AB3F" w14:textId="77777777" w:rsidR="00171824" w:rsidRDefault="00171824">
      <w:pPr>
        <w:rPr>
          <w:sz w:val="22"/>
          <w:szCs w:val="22"/>
          <w:lang w:val="el-GR"/>
        </w:rPr>
      </w:pPr>
    </w:p>
    <w:p w14:paraId="4E9D64A1" w14:textId="77777777" w:rsidR="00171824" w:rsidRDefault="006D258C">
      <w:pPr>
        <w:rPr>
          <w:sz w:val="22"/>
          <w:szCs w:val="22"/>
          <w:lang w:val="el-GR"/>
        </w:rPr>
      </w:pPr>
      <w:r>
        <w:rPr>
          <w:sz w:val="22"/>
          <w:szCs w:val="22"/>
          <w:lang w:val="el-GR"/>
        </w:rPr>
        <w:t>Ο γιατρός του παιδιού σας μπορεί επίσης να συνταγογραφήσει μία αρχική δόση των 80 mg η οποία μπορεί να χορηγηθεί μία εβδομάδα πριν την έναρξη της συνήθους δόσης.</w:t>
      </w:r>
    </w:p>
    <w:p w14:paraId="072A5F0A" w14:textId="77777777" w:rsidR="00171824" w:rsidRDefault="00171824">
      <w:pPr>
        <w:widowControl/>
        <w:kinsoku w:val="0"/>
        <w:overflowPunct w:val="0"/>
        <w:outlineLvl w:val="0"/>
        <w:rPr>
          <w:b/>
          <w:bCs/>
          <w:sz w:val="22"/>
          <w:szCs w:val="22"/>
          <w:lang w:val="el-GR"/>
        </w:rPr>
      </w:pPr>
    </w:p>
    <w:p w14:paraId="7F8CC158" w14:textId="77777777" w:rsidR="00171824" w:rsidRDefault="006D258C">
      <w:pPr>
        <w:keepNext/>
        <w:widowControl/>
        <w:kinsoku w:val="0"/>
        <w:overflowPunct w:val="0"/>
        <w:outlineLvl w:val="0"/>
        <w:rPr>
          <w:sz w:val="22"/>
          <w:szCs w:val="22"/>
          <w:lang w:val="el-GR"/>
        </w:rPr>
      </w:pPr>
      <w:r>
        <w:rPr>
          <w:b/>
          <w:bCs/>
          <w:sz w:val="22"/>
          <w:szCs w:val="22"/>
          <w:lang w:val="el-GR"/>
        </w:rPr>
        <w:t>Τρόπος και οδός χορήγησης</w:t>
      </w:r>
    </w:p>
    <w:p w14:paraId="55E24E72" w14:textId="77777777" w:rsidR="00171824" w:rsidRDefault="00171824">
      <w:pPr>
        <w:keepNext/>
        <w:widowControl/>
        <w:kinsoku w:val="0"/>
        <w:overflowPunct w:val="0"/>
        <w:rPr>
          <w:sz w:val="22"/>
          <w:szCs w:val="22"/>
          <w:lang w:val="el-GR"/>
        </w:rPr>
      </w:pPr>
    </w:p>
    <w:p w14:paraId="65E84075" w14:textId="77777777" w:rsidR="00171824" w:rsidRDefault="006D258C">
      <w:pPr>
        <w:widowControl/>
        <w:kinsoku w:val="0"/>
        <w:overflowPunct w:val="0"/>
        <w:rPr>
          <w:sz w:val="22"/>
          <w:szCs w:val="22"/>
          <w:lang w:val="el-GR"/>
        </w:rPr>
      </w:pPr>
      <w:r>
        <w:rPr>
          <w:sz w:val="22"/>
          <w:szCs w:val="22"/>
          <w:lang w:val="el-GR"/>
        </w:rPr>
        <w:t>Το AMGEVITA χορηγείται με ένεση κάτω από το δέρμα (υποδόρια ένεση).</w:t>
      </w:r>
    </w:p>
    <w:p w14:paraId="19FDA891" w14:textId="77777777" w:rsidR="00171824" w:rsidRDefault="00171824">
      <w:pPr>
        <w:widowControl/>
        <w:kinsoku w:val="0"/>
        <w:overflowPunct w:val="0"/>
        <w:rPr>
          <w:sz w:val="22"/>
          <w:szCs w:val="22"/>
          <w:lang w:val="el-GR"/>
        </w:rPr>
      </w:pPr>
    </w:p>
    <w:p w14:paraId="333870E8" w14:textId="77777777" w:rsidR="00171824" w:rsidRDefault="006D258C">
      <w:pPr>
        <w:widowControl/>
        <w:kinsoku w:val="0"/>
        <w:overflowPunct w:val="0"/>
        <w:rPr>
          <w:sz w:val="22"/>
          <w:szCs w:val="22"/>
          <w:lang w:val="el-GR"/>
        </w:rPr>
      </w:pPr>
      <w:r>
        <w:rPr>
          <w:sz w:val="22"/>
          <w:szCs w:val="22"/>
          <w:lang w:val="el-GR"/>
        </w:rPr>
        <w:lastRenderedPageBreak/>
        <w:t>Λεπτομερείς οδηγίες σχετικά με τον τρόπο που πρέπει να κάνετε την ένεση του AMGEVITA παρέχονται στην παράγραφο «Οδηγίες χρήσης».</w:t>
      </w:r>
    </w:p>
    <w:p w14:paraId="175050E5" w14:textId="77777777" w:rsidR="00171824" w:rsidRDefault="00171824">
      <w:pPr>
        <w:widowControl/>
        <w:kinsoku w:val="0"/>
        <w:overflowPunct w:val="0"/>
        <w:rPr>
          <w:sz w:val="22"/>
          <w:szCs w:val="22"/>
          <w:lang w:val="el-GR"/>
        </w:rPr>
      </w:pPr>
    </w:p>
    <w:p w14:paraId="7F3C2825" w14:textId="77777777" w:rsidR="00171824" w:rsidRDefault="006D258C">
      <w:pPr>
        <w:keepNext/>
        <w:widowControl/>
        <w:kinsoku w:val="0"/>
        <w:overflowPunct w:val="0"/>
        <w:outlineLvl w:val="0"/>
        <w:rPr>
          <w:sz w:val="22"/>
          <w:szCs w:val="22"/>
          <w:lang w:val="el-GR"/>
        </w:rPr>
      </w:pPr>
      <w:r>
        <w:rPr>
          <w:b/>
          <w:bCs/>
          <w:sz w:val="22"/>
          <w:szCs w:val="22"/>
          <w:lang w:val="el-GR"/>
        </w:rPr>
        <w:t>Εάν χρησιμοποιήσετε μεγαλύτερη δόση AMGEVITA από την κανονική:</w:t>
      </w:r>
    </w:p>
    <w:p w14:paraId="41DD142B" w14:textId="77777777" w:rsidR="00171824" w:rsidRDefault="00171824">
      <w:pPr>
        <w:widowControl/>
        <w:kinsoku w:val="0"/>
        <w:overflowPunct w:val="0"/>
        <w:rPr>
          <w:sz w:val="22"/>
          <w:szCs w:val="22"/>
          <w:lang w:val="el-GR"/>
        </w:rPr>
      </w:pPr>
    </w:p>
    <w:p w14:paraId="595B91DB" w14:textId="77777777" w:rsidR="00171824" w:rsidRDefault="006D258C">
      <w:pPr>
        <w:widowControl/>
        <w:kinsoku w:val="0"/>
        <w:overflowPunct w:val="0"/>
        <w:rPr>
          <w:sz w:val="22"/>
          <w:szCs w:val="22"/>
          <w:lang w:val="el-GR"/>
        </w:rPr>
      </w:pPr>
      <w:r>
        <w:rPr>
          <w:sz w:val="22"/>
          <w:szCs w:val="22"/>
          <w:lang w:val="el-GR"/>
        </w:rPr>
        <w:t>Εάν κατά λάθος κάνετε την ένεση του AMGEVITA πιο συχνά από ό,τι σας είπε ο/η γιατρός ή ο φαρμακοποιός σας, καλέσετε τον γιατρό ή τον φαρμακοποιός σας και να του/της πείτε ότι πήρατε μεγαλύτερη δόση. Θα πρέπει να έχετε πάντοτε την εξωτερική συσκευασία αυτού του φαρμάκου μαζί σας, ακόμη και όταν είναι άδεια.</w:t>
      </w:r>
    </w:p>
    <w:p w14:paraId="28F76F67" w14:textId="77777777" w:rsidR="00171824" w:rsidRDefault="00171824">
      <w:pPr>
        <w:widowControl/>
        <w:kinsoku w:val="0"/>
        <w:overflowPunct w:val="0"/>
        <w:rPr>
          <w:sz w:val="22"/>
          <w:szCs w:val="22"/>
          <w:lang w:val="el-GR"/>
        </w:rPr>
      </w:pPr>
    </w:p>
    <w:p w14:paraId="37798B06" w14:textId="77777777" w:rsidR="00171824" w:rsidRDefault="006D258C">
      <w:pPr>
        <w:widowControl/>
        <w:kinsoku w:val="0"/>
        <w:overflowPunct w:val="0"/>
        <w:outlineLvl w:val="0"/>
        <w:rPr>
          <w:sz w:val="22"/>
          <w:szCs w:val="22"/>
          <w:lang w:val="el-GR"/>
        </w:rPr>
      </w:pPr>
      <w:r>
        <w:rPr>
          <w:b/>
          <w:bCs/>
          <w:sz w:val="22"/>
          <w:szCs w:val="22"/>
          <w:lang w:val="el-GR"/>
        </w:rPr>
        <w:t>Εάν ξεχάσετε να χρησιμοποιήσετε το AMGEVITA:</w:t>
      </w:r>
    </w:p>
    <w:p w14:paraId="4CD73F65" w14:textId="77777777" w:rsidR="00171824" w:rsidRDefault="00171824">
      <w:pPr>
        <w:widowControl/>
        <w:kinsoku w:val="0"/>
        <w:overflowPunct w:val="0"/>
        <w:rPr>
          <w:sz w:val="22"/>
          <w:szCs w:val="22"/>
          <w:lang w:val="el-GR"/>
        </w:rPr>
      </w:pPr>
    </w:p>
    <w:p w14:paraId="78A7D3D7" w14:textId="77777777" w:rsidR="00171824" w:rsidRDefault="006D258C">
      <w:pPr>
        <w:widowControl/>
        <w:kinsoku w:val="0"/>
        <w:overflowPunct w:val="0"/>
        <w:rPr>
          <w:sz w:val="22"/>
          <w:szCs w:val="22"/>
          <w:lang w:val="el-GR"/>
        </w:rPr>
      </w:pPr>
      <w:r>
        <w:rPr>
          <w:sz w:val="22"/>
          <w:szCs w:val="22"/>
          <w:lang w:val="el-GR"/>
        </w:rPr>
        <w:t xml:space="preserve">Εάν ξεχάσετε να κάνετε την ένεση, θα πρέπει να κάνετε την επόμενη δόση της ένεσης του </w:t>
      </w:r>
      <w:r>
        <w:rPr>
          <w:sz w:val="22"/>
          <w:lang w:val="el-GR"/>
        </w:rPr>
        <w:t>AMGEVITA</w:t>
      </w:r>
      <w:r>
        <w:rPr>
          <w:sz w:val="22"/>
          <w:szCs w:val="22"/>
          <w:lang w:val="el-GR"/>
        </w:rPr>
        <w:t xml:space="preserve"> αμέσως μόλις το θυμηθείτε. Κατόπιν θα συνεχίσετε την επόμενη δόση την ημέρα που είχε αρχικά προγραμματισθεί, εάν δεν είχατε ξεχάσει τη δόση.</w:t>
      </w:r>
    </w:p>
    <w:p w14:paraId="5976CA40" w14:textId="77777777" w:rsidR="00171824" w:rsidRDefault="00171824">
      <w:pPr>
        <w:widowControl/>
        <w:kinsoku w:val="0"/>
        <w:overflowPunct w:val="0"/>
        <w:rPr>
          <w:sz w:val="22"/>
          <w:szCs w:val="22"/>
          <w:lang w:val="el-GR"/>
        </w:rPr>
      </w:pPr>
    </w:p>
    <w:p w14:paraId="3D39EFDD" w14:textId="77777777" w:rsidR="00171824" w:rsidRDefault="006D258C">
      <w:pPr>
        <w:widowControl/>
        <w:kinsoku w:val="0"/>
        <w:overflowPunct w:val="0"/>
        <w:outlineLvl w:val="0"/>
        <w:rPr>
          <w:sz w:val="22"/>
          <w:szCs w:val="22"/>
          <w:lang w:val="el-GR"/>
        </w:rPr>
      </w:pPr>
      <w:r>
        <w:rPr>
          <w:b/>
          <w:bCs/>
          <w:sz w:val="22"/>
          <w:szCs w:val="22"/>
          <w:lang w:val="el-GR"/>
        </w:rPr>
        <w:t>Εάν σταματήσετε να χρησιμοποιείτε το AMGEVITA:</w:t>
      </w:r>
    </w:p>
    <w:p w14:paraId="72B3B95D" w14:textId="77777777" w:rsidR="00171824" w:rsidRDefault="00171824">
      <w:pPr>
        <w:widowControl/>
        <w:kinsoku w:val="0"/>
        <w:overflowPunct w:val="0"/>
        <w:rPr>
          <w:sz w:val="22"/>
          <w:szCs w:val="22"/>
          <w:lang w:val="el-GR"/>
        </w:rPr>
      </w:pPr>
    </w:p>
    <w:p w14:paraId="73DB1AF2" w14:textId="77777777" w:rsidR="00171824" w:rsidRDefault="006D258C">
      <w:pPr>
        <w:widowControl/>
        <w:kinsoku w:val="0"/>
        <w:overflowPunct w:val="0"/>
        <w:rPr>
          <w:sz w:val="22"/>
          <w:szCs w:val="22"/>
          <w:lang w:val="el-GR"/>
        </w:rPr>
      </w:pPr>
      <w:r>
        <w:rPr>
          <w:sz w:val="22"/>
          <w:szCs w:val="22"/>
          <w:lang w:val="el-GR"/>
        </w:rPr>
        <w:t>Η απόφαση να σταματήσετε να χρησιμοποιείτε το AMGEVITA θα πρέπει να συζητηθεί με τον γιατρό σας. Τα συμπτώματά σας μπορεί να επανέλθουν μετά την διακοπή.</w:t>
      </w:r>
    </w:p>
    <w:p w14:paraId="37A5A0FD" w14:textId="77777777" w:rsidR="00171824" w:rsidRDefault="00171824">
      <w:pPr>
        <w:widowControl/>
        <w:kinsoku w:val="0"/>
        <w:overflowPunct w:val="0"/>
        <w:rPr>
          <w:sz w:val="22"/>
          <w:szCs w:val="22"/>
          <w:lang w:val="el-GR"/>
        </w:rPr>
      </w:pPr>
    </w:p>
    <w:p w14:paraId="681DD31D" w14:textId="77777777" w:rsidR="00171824" w:rsidRDefault="006D258C">
      <w:pPr>
        <w:widowControl/>
        <w:kinsoku w:val="0"/>
        <w:overflowPunct w:val="0"/>
        <w:rPr>
          <w:sz w:val="22"/>
          <w:szCs w:val="22"/>
          <w:lang w:val="el-GR"/>
        </w:rPr>
      </w:pPr>
      <w:r>
        <w:rPr>
          <w:sz w:val="22"/>
          <w:szCs w:val="22"/>
          <w:lang w:val="el-GR"/>
        </w:rPr>
        <w:t>Εάν έχετε περισσότερες ερωτήσεις σχετικά με τη χρήση αυτού του φαρμάκου ρωτήστε τον γιατρό ή τον φαρμακοποιό σας.</w:t>
      </w:r>
    </w:p>
    <w:p w14:paraId="5B38EB21" w14:textId="77777777" w:rsidR="00171824" w:rsidRDefault="00171824">
      <w:pPr>
        <w:widowControl/>
        <w:kinsoku w:val="0"/>
        <w:overflowPunct w:val="0"/>
        <w:rPr>
          <w:sz w:val="22"/>
          <w:szCs w:val="22"/>
          <w:lang w:val="el-GR"/>
        </w:rPr>
      </w:pPr>
    </w:p>
    <w:p w14:paraId="31A14AE6" w14:textId="77777777" w:rsidR="00171824" w:rsidRDefault="00171824">
      <w:pPr>
        <w:widowControl/>
        <w:kinsoku w:val="0"/>
        <w:overflowPunct w:val="0"/>
        <w:rPr>
          <w:sz w:val="22"/>
          <w:szCs w:val="22"/>
          <w:lang w:val="el-GR"/>
        </w:rPr>
      </w:pPr>
    </w:p>
    <w:p w14:paraId="13C32157" w14:textId="77777777" w:rsidR="00171824" w:rsidRDefault="006D258C">
      <w:pPr>
        <w:widowControl/>
        <w:numPr>
          <w:ilvl w:val="0"/>
          <w:numId w:val="42"/>
        </w:numPr>
        <w:kinsoku w:val="0"/>
        <w:overflowPunct w:val="0"/>
        <w:autoSpaceDE/>
        <w:autoSpaceDN/>
        <w:adjustRightInd/>
        <w:ind w:left="567"/>
        <w:outlineLvl w:val="0"/>
        <w:rPr>
          <w:sz w:val="22"/>
          <w:szCs w:val="22"/>
          <w:lang w:val="el-GR"/>
        </w:rPr>
      </w:pPr>
      <w:r>
        <w:rPr>
          <w:b/>
          <w:bCs/>
          <w:sz w:val="22"/>
          <w:szCs w:val="22"/>
          <w:lang w:val="el-GR"/>
        </w:rPr>
        <w:t>Πιθανές ανεπιθύμητες ενέργειες</w:t>
      </w:r>
    </w:p>
    <w:p w14:paraId="3FE2BA88" w14:textId="77777777" w:rsidR="00171824" w:rsidRDefault="00171824">
      <w:pPr>
        <w:widowControl/>
        <w:kinsoku w:val="0"/>
        <w:overflowPunct w:val="0"/>
        <w:rPr>
          <w:sz w:val="22"/>
          <w:szCs w:val="22"/>
          <w:lang w:val="el-GR"/>
        </w:rPr>
      </w:pPr>
    </w:p>
    <w:p w14:paraId="781AC886" w14:textId="77777777" w:rsidR="00171824" w:rsidRDefault="006D258C">
      <w:pPr>
        <w:widowControl/>
        <w:kinsoku w:val="0"/>
        <w:overflowPunct w:val="0"/>
        <w:rPr>
          <w:sz w:val="22"/>
          <w:szCs w:val="22"/>
          <w:lang w:val="el-GR"/>
        </w:rPr>
      </w:pPr>
      <w:r>
        <w:rPr>
          <w:sz w:val="22"/>
          <w:szCs w:val="22"/>
          <w:lang w:val="el-GR"/>
        </w:rPr>
        <w:t>Όπως όλα τα φάρμακα, έτσι και αυτό το φάρμακο μπορεί να προκαλέσει ανεπιθύμητες ενέργειες, αν και δεν παρουσιάζονται σε όλους τους ανθρώπους. Οι περισσότερες ανεπιθύμητες ενέργειες είναι ελαφρές έως μέτριες. Όμως κάποιες μπορεί να είναι σοβαρές και να απαιτούν θεραπεία. Ανεπιθύμητες ενέργειες μπορεί να εμφανιστούν το λιγότερο μέσα σε διάστημα 4 μηνών μετά την τελευταία ένεση AMGEVITA.</w:t>
      </w:r>
    </w:p>
    <w:p w14:paraId="368BA3B5" w14:textId="77777777" w:rsidR="00171824" w:rsidRDefault="00171824">
      <w:pPr>
        <w:widowControl/>
        <w:kinsoku w:val="0"/>
        <w:overflowPunct w:val="0"/>
        <w:rPr>
          <w:sz w:val="22"/>
          <w:szCs w:val="22"/>
          <w:lang w:val="el-GR"/>
        </w:rPr>
      </w:pPr>
    </w:p>
    <w:p w14:paraId="2614274E" w14:textId="77777777" w:rsidR="00171824" w:rsidRDefault="006D258C">
      <w:pPr>
        <w:widowControl/>
        <w:kinsoku w:val="0"/>
        <w:overflowPunct w:val="0"/>
        <w:rPr>
          <w:sz w:val="22"/>
          <w:szCs w:val="22"/>
          <w:lang w:val="el-GR"/>
        </w:rPr>
      </w:pPr>
      <w:r>
        <w:rPr>
          <w:sz w:val="22"/>
          <w:szCs w:val="22"/>
          <w:lang w:val="el-GR"/>
        </w:rPr>
        <w:t>Ενημερώστε αμέσως τον γιατρό σας εάν παρατηρήσετε κάποιο από τα ακόλουθα</w:t>
      </w:r>
      <w:r>
        <w:rPr>
          <w:lang w:val="el-GR"/>
        </w:rPr>
        <w:t xml:space="preserve"> </w:t>
      </w:r>
      <w:r>
        <w:rPr>
          <w:sz w:val="22"/>
          <w:szCs w:val="22"/>
          <w:lang w:val="el-GR"/>
        </w:rPr>
        <w:t>σημεία αλλεργικής αντίδρασης ή καρδιακής ανεπάρκειας:</w:t>
      </w:r>
    </w:p>
    <w:p w14:paraId="6E3498E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Σοβαρό εξάνθημα, κνίδωση ή άλλα σημεία αλλεργικής αντίδρασης,</w:t>
      </w:r>
    </w:p>
    <w:p w14:paraId="72DBA1C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 χεριών και ποδιών,</w:t>
      </w:r>
    </w:p>
    <w:p w14:paraId="6EDA158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Αναπνευστικό πρόβλημα, δυσκολία κατάποσης,</w:t>
      </w:r>
    </w:p>
    <w:p w14:paraId="3F77B0F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Δυσκολία αναπνοής κατά την προσπάθεια ή κατά την κατάκλιση ή οίδημα στα πόδια.</w:t>
      </w:r>
    </w:p>
    <w:p w14:paraId="6DCD7329" w14:textId="77777777" w:rsidR="00171824" w:rsidRDefault="00171824">
      <w:pPr>
        <w:widowControl/>
        <w:kinsoku w:val="0"/>
        <w:overflowPunct w:val="0"/>
        <w:rPr>
          <w:sz w:val="22"/>
          <w:szCs w:val="22"/>
          <w:lang w:val="el-GR"/>
        </w:rPr>
      </w:pPr>
    </w:p>
    <w:p w14:paraId="7DC7CDE6" w14:textId="77777777" w:rsidR="00171824" w:rsidRDefault="006D258C">
      <w:pPr>
        <w:widowControl/>
        <w:kinsoku w:val="0"/>
        <w:overflowPunct w:val="0"/>
        <w:rPr>
          <w:sz w:val="22"/>
          <w:szCs w:val="22"/>
          <w:lang w:val="el-GR"/>
        </w:rPr>
      </w:pPr>
      <w:r>
        <w:rPr>
          <w:sz w:val="22"/>
          <w:szCs w:val="22"/>
          <w:lang w:val="el-GR"/>
        </w:rPr>
        <w:t>Ενημερώστε αμέσως τον γιατρό σας εάν παρατηρήσετε κάποιο από τα ακόλουθα:</w:t>
      </w:r>
    </w:p>
    <w:p w14:paraId="7532E0D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λοίμωξης, όπως πυρετός, αίσθημα ασθένειας, πληγές, οδοντικά προβλήματα, αίσθηση καύσου κατά την ούρηση,</w:t>
      </w:r>
    </w:p>
    <w:p w14:paraId="3BE9AFA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αδυναμίας ή κόπωσης,</w:t>
      </w:r>
    </w:p>
    <w:p w14:paraId="0F03FE5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Βήχα,</w:t>
      </w:r>
    </w:p>
    <w:p w14:paraId="27405E2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Κνησμό,</w:t>
      </w:r>
    </w:p>
    <w:p w14:paraId="6B694AF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Μούδιασμα,</w:t>
      </w:r>
    </w:p>
    <w:p w14:paraId="416D100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Διπλή όραση,</w:t>
      </w:r>
    </w:p>
    <w:p w14:paraId="100C24B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Αδυναμία χεριών ή ποδιών,</w:t>
      </w:r>
    </w:p>
    <w:p w14:paraId="3CE99AA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καρκίνου του δέρματος όπως τοπικό πρήξιμο, ή ανοιχτό έλκος το οποίο δε θεραπεύεται,</w:t>
      </w:r>
    </w:p>
    <w:p w14:paraId="68DFFE5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και συμπτώματα ύποπτα για αιματολογικές διαταραχές, όπως παρατεινόμενος πυρετός, μώλωπες, αιμορραγία, ωχρότητα.</w:t>
      </w:r>
    </w:p>
    <w:p w14:paraId="742E5155" w14:textId="77777777" w:rsidR="00171824" w:rsidRDefault="00171824">
      <w:pPr>
        <w:widowControl/>
        <w:kinsoku w:val="0"/>
        <w:overflowPunct w:val="0"/>
        <w:rPr>
          <w:sz w:val="22"/>
          <w:szCs w:val="22"/>
          <w:lang w:val="el-GR"/>
        </w:rPr>
      </w:pPr>
    </w:p>
    <w:p w14:paraId="2FF32D61" w14:textId="77777777" w:rsidR="00171824" w:rsidRDefault="006D258C">
      <w:pPr>
        <w:widowControl/>
        <w:kinsoku w:val="0"/>
        <w:overflowPunct w:val="0"/>
        <w:rPr>
          <w:sz w:val="22"/>
          <w:szCs w:val="22"/>
          <w:lang w:val="el-GR"/>
        </w:rPr>
      </w:pPr>
      <w:r>
        <w:rPr>
          <w:sz w:val="22"/>
          <w:szCs w:val="22"/>
          <w:lang w:val="el-GR"/>
        </w:rPr>
        <w:t>Τα παραπάνω συμπτώματα μπορεί να αποτελούν ένδειξη για τις ακόλουθες ανεπιθύμητες ενέργειες, οι οποίες έχουν παρατηρηθεί με το adalimumab.</w:t>
      </w:r>
    </w:p>
    <w:p w14:paraId="1F20B3B0" w14:textId="77777777" w:rsidR="00171824" w:rsidRDefault="00171824">
      <w:pPr>
        <w:widowControl/>
        <w:kinsoku w:val="0"/>
        <w:overflowPunct w:val="0"/>
        <w:rPr>
          <w:sz w:val="22"/>
          <w:szCs w:val="22"/>
          <w:lang w:val="el-GR"/>
        </w:rPr>
      </w:pPr>
    </w:p>
    <w:p w14:paraId="449A2B6C" w14:textId="77777777" w:rsidR="00171824" w:rsidRDefault="006D258C">
      <w:pPr>
        <w:keepNext/>
        <w:widowControl/>
        <w:kinsoku w:val="0"/>
        <w:overflowPunct w:val="0"/>
        <w:rPr>
          <w:sz w:val="22"/>
          <w:szCs w:val="22"/>
          <w:lang w:val="el-GR"/>
        </w:rPr>
      </w:pPr>
      <w:r>
        <w:rPr>
          <w:sz w:val="22"/>
          <w:szCs w:val="22"/>
          <w:lang w:val="el-GR"/>
        </w:rPr>
        <w:lastRenderedPageBreak/>
        <w:t>Πολύ συχνές (μπορεί να επηρεάσουν περισσότερους από 1 στους 10 ανθρώπους)</w:t>
      </w:r>
    </w:p>
    <w:p w14:paraId="6980A8D2" w14:textId="77777777" w:rsidR="00171824" w:rsidRDefault="006D258C">
      <w:pPr>
        <w:keepNext/>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αντιδράσεις της θέσης ένεσης (που συμπεριλαμβάνουν άλγος, οίδημα, ερυθρότητα ή κνησμό),</w:t>
      </w:r>
    </w:p>
    <w:p w14:paraId="07D9714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αναπνευστικού συστήματος (συμπεριλαμβάνεται κρυολόγημα, καταρροή, ιγμορίτιδα, πνευμονία),</w:t>
      </w:r>
    </w:p>
    <w:p w14:paraId="3BDBADB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πονοκέφαλος,</w:t>
      </w:r>
    </w:p>
    <w:p w14:paraId="75A37DF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πόνος στην κοιλιά,</w:t>
      </w:r>
    </w:p>
    <w:p w14:paraId="1C2594E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ναυτία και έμετος,</w:t>
      </w:r>
    </w:p>
    <w:p w14:paraId="68CE1FB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εξάνθημα,</w:t>
      </w:r>
    </w:p>
    <w:p w14:paraId="46A4438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μυοσκελετικός πόνος.</w:t>
      </w:r>
    </w:p>
    <w:p w14:paraId="26BEFF17" w14:textId="77777777" w:rsidR="00171824" w:rsidRDefault="00171824">
      <w:pPr>
        <w:widowControl/>
        <w:kinsoku w:val="0"/>
        <w:overflowPunct w:val="0"/>
        <w:rPr>
          <w:sz w:val="22"/>
          <w:szCs w:val="22"/>
          <w:lang w:val="el-GR"/>
        </w:rPr>
      </w:pPr>
    </w:p>
    <w:p w14:paraId="084CCA8F" w14:textId="77777777" w:rsidR="00171824" w:rsidRDefault="006D258C">
      <w:pPr>
        <w:widowControl/>
        <w:kinsoku w:val="0"/>
        <w:overflowPunct w:val="0"/>
        <w:rPr>
          <w:sz w:val="22"/>
          <w:szCs w:val="22"/>
          <w:lang w:val="el-GR"/>
        </w:rPr>
      </w:pPr>
      <w:r>
        <w:rPr>
          <w:sz w:val="22"/>
          <w:szCs w:val="22"/>
          <w:lang w:val="el-GR"/>
        </w:rPr>
        <w:t>Συχνές</w:t>
      </w:r>
      <w:r>
        <w:rPr>
          <w:b/>
          <w:sz w:val="22"/>
          <w:szCs w:val="22"/>
          <w:lang w:val="el-GR"/>
        </w:rPr>
        <w:t xml:space="preserve"> </w:t>
      </w:r>
      <w:r>
        <w:rPr>
          <w:sz w:val="22"/>
          <w:szCs w:val="22"/>
          <w:lang w:val="el-GR"/>
        </w:rPr>
        <w:t>(μπορεί να επηρεάσουν έως 1 στους 10 ανθρώπους)</w:t>
      </w:r>
    </w:p>
    <w:p w14:paraId="0503821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σοβαρές λοιμώξεις (συμπεριλαμβάνεται σηψαιμία και γρίπη),</w:t>
      </w:r>
    </w:p>
    <w:p w14:paraId="72A2009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εντερικές λοιμώξεις (συμπεριλαμβάνεται γαστρεντερίτιδα),</w:t>
      </w:r>
    </w:p>
    <w:p w14:paraId="4BFDC46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δέρματος (συμπεριλαμβάνεται κυτταρίτιδα και έρπης),</w:t>
      </w:r>
    </w:p>
    <w:p w14:paraId="6165512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αυτιού,</w:t>
      </w:r>
    </w:p>
    <w:p w14:paraId="06E730E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στοματικές λοιμώξεις (συμπεριλαμβάνονται λοιμώξεις των δοντιών και πόνοι από κρυολόγημα),</w:t>
      </w:r>
    </w:p>
    <w:p w14:paraId="6E4C627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αναπαραγωγικού συστήματος,</w:t>
      </w:r>
    </w:p>
    <w:p w14:paraId="036B3B5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ουροποιητικού συστήματος,</w:t>
      </w:r>
    </w:p>
    <w:p w14:paraId="43CF471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μυκητιασικές λοιμώξεις,</w:t>
      </w:r>
    </w:p>
    <w:p w14:paraId="01E77E8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των αρθρώσεων,</w:t>
      </w:r>
    </w:p>
    <w:p w14:paraId="28ED987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καλοήθεις όγκοι,</w:t>
      </w:r>
    </w:p>
    <w:p w14:paraId="3E00145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καρκίνος δέρματος,</w:t>
      </w:r>
    </w:p>
    <w:p w14:paraId="2419DE3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αλλεργικές αντιδράσεις (συμπεριλαμβάνεται εποχική αλλεργία),</w:t>
      </w:r>
    </w:p>
    <w:p w14:paraId="0F6DF6A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αφυδάτωση,</w:t>
      </w:r>
    </w:p>
    <w:p w14:paraId="089C8AB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αλλαγές της διάθεσης (συμπεριλαμβάνεται κατάθλιψη),</w:t>
      </w:r>
    </w:p>
    <w:p w14:paraId="78822F5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άγχος,</w:t>
      </w:r>
    </w:p>
    <w:p w14:paraId="356045C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δυσκολίες στον ύπνο,</w:t>
      </w:r>
    </w:p>
    <w:p w14:paraId="4960A28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της αίσθησης όπως μυρμήγκιασμα, αίσθημα τσιμπήματος ή μούδιασμα,</w:t>
      </w:r>
    </w:p>
    <w:p w14:paraId="1B46FAD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ημικρανία,</w:t>
      </w:r>
    </w:p>
    <w:p w14:paraId="0D11EAF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συμπίεση νευρικής ρίζας (συμπεριλαμβάνεται πόνος χαμηλά στη μέση και πόνος στο πόδι),</w:t>
      </w:r>
    </w:p>
    <w:p w14:paraId="0370C06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όρασης,</w:t>
      </w:r>
    </w:p>
    <w:p w14:paraId="1793119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οφθαλμική φλεγμονή,</w:t>
      </w:r>
    </w:p>
    <w:p w14:paraId="0017326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των βλεφάρων και πρήξιμο του ματιού,</w:t>
      </w:r>
    </w:p>
    <w:p w14:paraId="14F4D9F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ίλιγγος (αίσθηση ζάλης ή στροβιλισμού του δωματίου),</w:t>
      </w:r>
    </w:p>
    <w:p w14:paraId="105A454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γρήγορου καρδιακού παλμού,</w:t>
      </w:r>
    </w:p>
    <w:p w14:paraId="721F870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υψηλή αρτηριακή πίεση,</w:t>
      </w:r>
    </w:p>
    <w:p w14:paraId="3E8CED7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κοκκίνισμα,</w:t>
      </w:r>
    </w:p>
    <w:p w14:paraId="3F7E935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αιμάτωμα,</w:t>
      </w:r>
    </w:p>
    <w:p w14:paraId="75E6874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βήχας,</w:t>
      </w:r>
    </w:p>
    <w:p w14:paraId="27DFB9F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άσθμα,</w:t>
      </w:r>
    </w:p>
    <w:p w14:paraId="4CEEA54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κόψιμο της αναπνοής (δύσπνοια),</w:t>
      </w:r>
    </w:p>
    <w:p w14:paraId="7A477F7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γαστρεντερική αιμορραγία,</w:t>
      </w:r>
    </w:p>
    <w:p w14:paraId="23F2D16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δυσπεψία (δυσπεψία, φούσκωμα, καούρα),</w:t>
      </w:r>
    </w:p>
    <w:p w14:paraId="3559158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παλινδρόμηση,</w:t>
      </w:r>
    </w:p>
    <w:p w14:paraId="359C524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ξηρότητας (συμπεριλαμβάνονται ξηρότητα στα μάτια και ξηροστομία),</w:t>
      </w:r>
    </w:p>
    <w:p w14:paraId="490C82D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κνησμός,</w:t>
      </w:r>
    </w:p>
    <w:p w14:paraId="0005772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εξάνθημα με φαγούρα,</w:t>
      </w:r>
    </w:p>
    <w:p w14:paraId="6CB8302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μώλωπες,</w:t>
      </w:r>
    </w:p>
    <w:p w14:paraId="711D7D4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του δέρματος (όπως έκζεμα),</w:t>
      </w:r>
    </w:p>
    <w:p w14:paraId="135CCEE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σπάσιμο των νυχιών του χεριού και του ποδιού,</w:t>
      </w:r>
    </w:p>
    <w:p w14:paraId="6A7A95B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αυξημένη εφίδρωση,</w:t>
      </w:r>
    </w:p>
    <w:p w14:paraId="7BCD60F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απώλεια τριχών (αλωπεκία),</w:t>
      </w:r>
    </w:p>
    <w:p w14:paraId="110EEB3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πρόσφατη έναρξη ή επιδείνωση των συμπτωμάτων ψωρίασης,</w:t>
      </w:r>
    </w:p>
    <w:p w14:paraId="0463132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μυϊκοί σπασμοί,</w:t>
      </w:r>
    </w:p>
    <w:p w14:paraId="67E15A2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αιματουρία,</w:t>
      </w:r>
    </w:p>
    <w:p w14:paraId="4B4DB9A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προβλήματα στους νεφρούς,</w:t>
      </w:r>
    </w:p>
    <w:p w14:paraId="7FD924A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πόνος στο στήθος,</w:t>
      </w:r>
    </w:p>
    <w:p w14:paraId="4860B9D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w:t>
      </w:r>
    </w:p>
    <w:p w14:paraId="41C75C5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πυρετός,</w:t>
      </w:r>
    </w:p>
    <w:p w14:paraId="182DE4D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μείωση των αιμοπεταλίων του αίματος που αυξάνει τον κίνδυνο αιμορραγίας ή εμφάνισης μωλώπων,</w:t>
      </w:r>
    </w:p>
    <w:p w14:paraId="33B0321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δυσχερής επούλωση.</w:t>
      </w:r>
    </w:p>
    <w:p w14:paraId="097F7CF9" w14:textId="77777777" w:rsidR="00171824" w:rsidRDefault="00171824">
      <w:pPr>
        <w:widowControl/>
        <w:kinsoku w:val="0"/>
        <w:overflowPunct w:val="0"/>
        <w:rPr>
          <w:sz w:val="22"/>
          <w:szCs w:val="22"/>
          <w:lang w:val="el-GR"/>
        </w:rPr>
      </w:pPr>
    </w:p>
    <w:p w14:paraId="7AEA0849" w14:textId="77777777" w:rsidR="00171824" w:rsidRDefault="006D258C">
      <w:pPr>
        <w:widowControl/>
        <w:kinsoku w:val="0"/>
        <w:overflowPunct w:val="0"/>
        <w:rPr>
          <w:sz w:val="22"/>
          <w:szCs w:val="22"/>
          <w:lang w:val="el-GR"/>
        </w:rPr>
      </w:pPr>
      <w:r>
        <w:rPr>
          <w:sz w:val="22"/>
          <w:szCs w:val="22"/>
          <w:lang w:val="el-GR"/>
        </w:rPr>
        <w:t>Όχι συχνές (μπορεί να επηρεάσουν έως 1 στους 100 ανθρώπους)</w:t>
      </w:r>
    </w:p>
    <w:p w14:paraId="7F4CE2A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ευκαιριακές λοιμώξεις (που συμπεριλαμβάνουν φυματίωση και άλλες λοιμώξεις που προκύπτουν όταν μειώνεται η αντίσταση στη νόσο),</w:t>
      </w:r>
    </w:p>
    <w:p w14:paraId="43A151A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νευρολογικές λοιμώξεις (συμπεριλαμβάνεται ιογενής μηνιγγίτιδα),</w:t>
      </w:r>
    </w:p>
    <w:p w14:paraId="1EC74EA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οφθαλμικές λοιμώξεις,</w:t>
      </w:r>
    </w:p>
    <w:p w14:paraId="5F218A0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βακτηριακές λοιμώξεις,</w:t>
      </w:r>
    </w:p>
    <w:p w14:paraId="24B9FAB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εκκολπωματίτιδα (φλεγμονή και λοίμωξη του παχέος εντέρου),</w:t>
      </w:r>
    </w:p>
    <w:p w14:paraId="0DD3870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καρκίνος, συμπεριλαμβανομένου του καρκίνου που επηρεάζει το λεμφικό σύστημα (λέμφωμα) και του μελανώματος (καρκίνος του δέρματος),</w:t>
      </w:r>
    </w:p>
    <w:p w14:paraId="06F02E3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του ανοσοποιητικού συστήματος που μπορεί να επηρεάσουν τους πνεύμονες, το δέρμα και τους λεμφαδένες (παρουσιάζονται συνηθέστερα ως σαρκοείδωση),</w:t>
      </w:r>
    </w:p>
    <w:p w14:paraId="472A254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αγγειίτιδα (φλεγμονή αιμοφόρων αγγείων),</w:t>
      </w:r>
    </w:p>
    <w:p w14:paraId="36E44C0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τρόμος,</w:t>
      </w:r>
    </w:p>
    <w:p w14:paraId="6F45E72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νευροπάθεια,</w:t>
      </w:r>
    </w:p>
    <w:p w14:paraId="67C1ED5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εγκεφαλικό επεισόδιο,</w:t>
      </w:r>
    </w:p>
    <w:p w14:paraId="15BA9CD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απώλεια ακοής, βουητό,</w:t>
      </w:r>
    </w:p>
    <w:p w14:paraId="331F981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ανώμαλου καρδιακού ρυθμού όπως παράλειψη καρδιακών παλμών,</w:t>
      </w:r>
    </w:p>
    <w:p w14:paraId="5E1B1FE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καρδιολογικά προβλήματα που μπορεί να προκαλέσουν κόψιμο της αναπνοής (δύσπνοια) ή πρήξιμο των αστραγάλων,</w:t>
      </w:r>
    </w:p>
    <w:p w14:paraId="51A3771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καρδιακή προσβολή,</w:t>
      </w:r>
    </w:p>
    <w:p w14:paraId="071CCAE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ένα σάκο στο τοίχωμα μιας μεγάλης αρτηρίας (ανεύρυσμα), φλεγμονή και θρόμβωση μίας φλέβας, απόφραξη ενός αιμοφόρου αγγείου,</w:t>
      </w:r>
    </w:p>
    <w:p w14:paraId="76A1E5E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πνευμονικές νόσοι που προκαλούν κόψιμο της αναπνοής (δύσπνοια) (συμπεριλαμβάνεται φλεγμονή),</w:t>
      </w:r>
    </w:p>
    <w:p w14:paraId="3BFE8A4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πνευμονική εμβολή (απόφραξη μίας αρτηρίας των πνευμόνων),</w:t>
      </w:r>
    </w:p>
    <w:p w14:paraId="2F0C26F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υπεζωκοτική συλλογή (μη φυσιολογική συλλογή υγρού στη περιοχή των πλευρών),</w:t>
      </w:r>
    </w:p>
    <w:p w14:paraId="003F31F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του παγκρέατος που προκαλεί σοβαρό πόνο στην κοιλιά και την πλάτη,</w:t>
      </w:r>
    </w:p>
    <w:p w14:paraId="136C839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δυσκολία στην κατάποση,</w:t>
      </w:r>
    </w:p>
    <w:p w14:paraId="4501B7F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w:t>
      </w:r>
    </w:p>
    <w:p w14:paraId="6DFB3AB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της χοληδόχου κύστης, πέτρες στη χολή,</w:t>
      </w:r>
    </w:p>
    <w:p w14:paraId="5A08E63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λιπώδες ήπαρ,</w:t>
      </w:r>
    </w:p>
    <w:p w14:paraId="22755E9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νυκτερινοί ιδρώτες,</w:t>
      </w:r>
    </w:p>
    <w:p w14:paraId="0BBABC0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ουλή,</w:t>
      </w:r>
    </w:p>
    <w:p w14:paraId="15CCCF2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ανώμαλη μυϊκή κατάπτωση,</w:t>
      </w:r>
    </w:p>
    <w:p w14:paraId="6D331CB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συστηματικός ερυθηματώδης λύκος (συμπεριλαμβάνονται φλεγμονές του δέρματος, της καρδιάς, του πνεύμονα, των αρθρώσεων και άλλων οργανικών συστημάτων),</w:t>
      </w:r>
    </w:p>
    <w:p w14:paraId="5CE1C91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του ύπνου,</w:t>
      </w:r>
    </w:p>
    <w:p w14:paraId="5CEC2FC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ανικανότητα,</w:t>
      </w:r>
    </w:p>
    <w:p w14:paraId="6BF1B68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φλεγμονές.</w:t>
      </w:r>
    </w:p>
    <w:p w14:paraId="32F3BBE6" w14:textId="77777777" w:rsidR="00171824" w:rsidRDefault="00171824">
      <w:pPr>
        <w:widowControl/>
        <w:kinsoku w:val="0"/>
        <w:overflowPunct w:val="0"/>
        <w:rPr>
          <w:sz w:val="22"/>
          <w:szCs w:val="22"/>
          <w:lang w:val="el-GR"/>
        </w:rPr>
      </w:pPr>
    </w:p>
    <w:p w14:paraId="4B7C2738" w14:textId="77777777" w:rsidR="00171824" w:rsidRDefault="006D258C">
      <w:pPr>
        <w:widowControl/>
        <w:kinsoku w:val="0"/>
        <w:overflowPunct w:val="0"/>
        <w:rPr>
          <w:sz w:val="22"/>
          <w:szCs w:val="22"/>
          <w:lang w:val="el-GR"/>
        </w:rPr>
      </w:pPr>
      <w:r>
        <w:rPr>
          <w:sz w:val="22"/>
          <w:szCs w:val="22"/>
          <w:lang w:val="el-GR"/>
        </w:rPr>
        <w:t>Σπάνιες (μπορεί να επηρεάσουν έως 1 στους 1 000 ανθρώπους)</w:t>
      </w:r>
    </w:p>
    <w:p w14:paraId="74F95FD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λευχαιμία (καρκίνος που επηρεάζει το αίμα και το μυελό των οστών),</w:t>
      </w:r>
    </w:p>
    <w:p w14:paraId="1DDDB1E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σοβαρή αλλεργική αντίδραση με καταπληξία,</w:t>
      </w:r>
    </w:p>
    <w:p w14:paraId="5CFF218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σκλήρυνση κατά πλάκας,</w:t>
      </w:r>
    </w:p>
    <w:p w14:paraId="42B5B80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νευρολογικές διαταραχές (όπως φλεγμονή του οφθαλμικού νεύρου και σύνδρομο Guillain</w:t>
      </w:r>
      <w:r>
        <w:rPr>
          <w:sz w:val="22"/>
          <w:szCs w:val="22"/>
          <w:lang w:val="el-GR"/>
        </w:rPr>
        <w:noBreakHyphen/>
        <w:t>Barré που μπορεί να προκαλέσει μυϊκή αδυναμία, παθολογική αίσθηση (αισθητικότητα)), μυρμηκίαση στους βραχίονες και στο άνω μέρος του σώματος,</w:t>
      </w:r>
    </w:p>
    <w:p w14:paraId="506257D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καρδιακή ανακοπή,</w:t>
      </w:r>
    </w:p>
    <w:p w14:paraId="67D07E6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πνευμονική ίνωση (ουλές στον πνεύμονα),</w:t>
      </w:r>
    </w:p>
    <w:p w14:paraId="448E81E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διάτρηση του εντέρου</w:t>
      </w:r>
      <w:r>
        <w:rPr>
          <w:lang w:val="el-GR"/>
        </w:rPr>
        <w:t xml:space="preserve"> (</w:t>
      </w:r>
      <w:r>
        <w:rPr>
          <w:sz w:val="22"/>
          <w:szCs w:val="22"/>
          <w:lang w:val="el-GR"/>
        </w:rPr>
        <w:t>τρύπα στο τοίχωμα του εντέρου),</w:t>
      </w:r>
    </w:p>
    <w:p w14:paraId="2A1A22C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ηπατίτιδα (φλεγμονή του ήπατος),</w:t>
      </w:r>
    </w:p>
    <w:p w14:paraId="47B51E6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επανενεργοποίηση της ηπατίτιδας B,</w:t>
      </w:r>
    </w:p>
    <w:p w14:paraId="0A5C6E2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αυτοάνοση ηπατίτιδα (φλεγμονή του ήπατος που προκαλείται από το ανοσοποιητικό σας σύστημα),</w:t>
      </w:r>
    </w:p>
    <w:p w14:paraId="16F97C2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δερματική αγγειίτιδα (φλεγμονή των αιμοφόρων αγγείων του δέρματος),</w:t>
      </w:r>
    </w:p>
    <w:p w14:paraId="7C1C6BF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Stevens-Johnson (αντίδραση απειλητική για τη ζωή με γριποειδή συμπτώματα και φυσαλιδώδες εξάνθημα),</w:t>
      </w:r>
    </w:p>
    <w:p w14:paraId="6966920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 που συνοδεύεται από αλλεργικές αντιδράσεις,</w:t>
      </w:r>
    </w:p>
    <w:p w14:paraId="1EFC483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πολύμορφο ερύθημα (φλεγμονώδες εξάνθημα δέρματος),</w:t>
      </w:r>
    </w:p>
    <w:p w14:paraId="4F6C537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προσομοιάζον με λύκο,</w:t>
      </w:r>
    </w:p>
    <w:p w14:paraId="09CB712D" w14:textId="77777777" w:rsidR="00171824" w:rsidRDefault="006D258C">
      <w:pPr>
        <w:widowControl/>
        <w:numPr>
          <w:ilvl w:val="0"/>
          <w:numId w:val="26"/>
        </w:numPr>
        <w:tabs>
          <w:tab w:val="left" w:pos="567"/>
        </w:tabs>
        <w:kinsoku w:val="0"/>
        <w:overflowPunct w:val="0"/>
        <w:autoSpaceDE/>
        <w:autoSpaceDN/>
        <w:adjustRightInd/>
        <w:ind w:left="567" w:hanging="567"/>
        <w:rPr>
          <w:lang w:val="el-GR"/>
        </w:rPr>
      </w:pPr>
      <w:r>
        <w:rPr>
          <w:sz w:val="22"/>
          <w:szCs w:val="22"/>
          <w:lang w:val="el-GR"/>
        </w:rPr>
        <w:t>αγγειοοίδημα</w:t>
      </w:r>
      <w:r>
        <w:rPr>
          <w:lang w:val="el-GR"/>
        </w:rPr>
        <w:t xml:space="preserve"> (τοπικό πρήξιμο δέρματος),</w:t>
      </w:r>
    </w:p>
    <w:p w14:paraId="5CC17681" w14:textId="77777777" w:rsidR="00171824" w:rsidRDefault="006D258C">
      <w:pPr>
        <w:widowControl/>
        <w:numPr>
          <w:ilvl w:val="0"/>
          <w:numId w:val="26"/>
        </w:numPr>
        <w:tabs>
          <w:tab w:val="left" w:pos="567"/>
        </w:tabs>
        <w:kinsoku w:val="0"/>
        <w:overflowPunct w:val="0"/>
        <w:autoSpaceDE/>
        <w:autoSpaceDN/>
        <w:adjustRightInd/>
        <w:ind w:left="567" w:hanging="567"/>
        <w:rPr>
          <w:sz w:val="22"/>
          <w:lang w:val="el-GR"/>
        </w:rPr>
      </w:pPr>
      <w:r>
        <w:rPr>
          <w:sz w:val="22"/>
          <w:szCs w:val="22"/>
          <w:lang w:val="el-GR"/>
        </w:rPr>
        <w:t>λειχηνοειδής</w:t>
      </w:r>
      <w:r>
        <w:rPr>
          <w:sz w:val="22"/>
          <w:lang w:val="el-GR"/>
        </w:rPr>
        <w:t xml:space="preserve"> αντίδραση δέρματος (κνησμώδες ερυθρό-μωβ εξάνθημα στο δέρμα).</w:t>
      </w:r>
    </w:p>
    <w:p w14:paraId="04EC24AF" w14:textId="77777777" w:rsidR="00171824" w:rsidRDefault="00171824">
      <w:pPr>
        <w:widowControl/>
        <w:kinsoku w:val="0"/>
        <w:overflowPunct w:val="0"/>
        <w:rPr>
          <w:sz w:val="22"/>
          <w:szCs w:val="22"/>
          <w:lang w:val="el-GR"/>
        </w:rPr>
      </w:pPr>
    </w:p>
    <w:p w14:paraId="7247FDAD" w14:textId="77777777" w:rsidR="00171824" w:rsidRDefault="006D258C">
      <w:pPr>
        <w:keepNext/>
        <w:widowControl/>
        <w:kinsoku w:val="0"/>
        <w:overflowPunct w:val="0"/>
        <w:rPr>
          <w:sz w:val="22"/>
          <w:szCs w:val="22"/>
          <w:lang w:val="el-GR"/>
        </w:rPr>
      </w:pPr>
      <w:r>
        <w:rPr>
          <w:sz w:val="22"/>
          <w:szCs w:val="22"/>
          <w:lang w:val="el-GR"/>
        </w:rPr>
        <w:t>Mη γνωστές (η συχνότητα δεν μπορεί να εκτιμηθεί με βάση τα διαθέσιμα δεδομένα)</w:t>
      </w:r>
    </w:p>
    <w:p w14:paraId="4EDBC73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ηπατοσπληνικό λέμφωμα εκ Τ-κυττάρων (ένα σπάνιο είδος καρκίνου του αίματος που συχνά είναι θανατηφόρο),</w:t>
      </w:r>
    </w:p>
    <w:p w14:paraId="60765C1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καρκίνωμα εκ κυττάρων Merkel (τύπος καρκίνου του δέρματος),</w:t>
      </w:r>
    </w:p>
    <w:p w14:paraId="37B72F9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color w:val="000000"/>
          <w:sz w:val="22"/>
          <w:szCs w:val="22"/>
          <w:lang w:val="el-GR" w:eastAsia="ja-JP"/>
        </w:rPr>
        <w:t>Σάρκωμα Kaposi, μια σπάνια μορφή καρκίνου που σχετίζεται με λοίμωξη από τον ιό του ανθρώπινου έρπητα τύπου 8. Το σάρκωμα Kaposi εμφανίζεται συχνότερα με τη μορφή πορφυρών βλαβών του δέρματος,</w:t>
      </w:r>
    </w:p>
    <w:p w14:paraId="09A9F39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ηπατική ανεπάρκεια,</w:t>
      </w:r>
    </w:p>
    <w:p w14:paraId="57F3077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επιδείνωση μίας κατάστασης η οποία ονομάζεται δερματομυοσίτιδα (εμφανίζεται ως δερματικό εξάνθημα συνοδευόμενο από μυϊκή αδυναμία)</w:t>
      </w:r>
    </w:p>
    <w:p w14:paraId="2171C2F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αύξηση βάρους (για τους περισσότερους ασθενείς, η αύξηση βάρους ήταν μικρή).</w:t>
      </w:r>
    </w:p>
    <w:p w14:paraId="245023D7" w14:textId="77777777" w:rsidR="00171824" w:rsidRDefault="00171824">
      <w:pPr>
        <w:widowControl/>
        <w:kinsoku w:val="0"/>
        <w:overflowPunct w:val="0"/>
        <w:rPr>
          <w:sz w:val="22"/>
          <w:szCs w:val="22"/>
          <w:lang w:val="el-GR"/>
        </w:rPr>
      </w:pPr>
    </w:p>
    <w:p w14:paraId="317BC0DA" w14:textId="77777777" w:rsidR="00171824" w:rsidRDefault="006D258C">
      <w:pPr>
        <w:keepNext/>
        <w:widowControl/>
        <w:kinsoku w:val="0"/>
        <w:overflowPunct w:val="0"/>
        <w:rPr>
          <w:sz w:val="22"/>
          <w:szCs w:val="22"/>
          <w:lang w:val="el-GR"/>
        </w:rPr>
      </w:pPr>
      <w:r>
        <w:rPr>
          <w:sz w:val="22"/>
          <w:szCs w:val="22"/>
          <w:lang w:val="el-GR"/>
        </w:rPr>
        <w:t>Κάποιες ανεπιθύμητες ενέργειες που παρουσιάστηκαν με το adalimumab μπορεί να μην έχουν συμπτώματα και μπορεί να ανακαλυφθούν μόνο με εξετάσεις αίματος. Αυτές συμπεριλαμβάνουν:</w:t>
      </w:r>
    </w:p>
    <w:p w14:paraId="73A24B8D" w14:textId="77777777" w:rsidR="00171824" w:rsidRDefault="00171824">
      <w:pPr>
        <w:keepNext/>
        <w:widowControl/>
        <w:kinsoku w:val="0"/>
        <w:overflowPunct w:val="0"/>
        <w:rPr>
          <w:sz w:val="22"/>
          <w:szCs w:val="22"/>
          <w:lang w:val="el-GR"/>
        </w:rPr>
      </w:pPr>
    </w:p>
    <w:p w14:paraId="343950B1" w14:textId="77777777" w:rsidR="00171824" w:rsidRDefault="006D258C">
      <w:pPr>
        <w:keepNext/>
        <w:widowControl/>
        <w:kinsoku w:val="0"/>
        <w:overflowPunct w:val="0"/>
        <w:rPr>
          <w:sz w:val="22"/>
          <w:szCs w:val="22"/>
          <w:lang w:val="el-GR"/>
        </w:rPr>
      </w:pPr>
      <w:r>
        <w:rPr>
          <w:sz w:val="22"/>
          <w:szCs w:val="22"/>
          <w:lang w:val="el-GR"/>
        </w:rPr>
        <w:t>Πολύ συχνές (μπορεί να επηρεάσουν περισσότερους από 1 στους 10 ανθρώπους)</w:t>
      </w:r>
    </w:p>
    <w:p w14:paraId="15D96281" w14:textId="77777777" w:rsidR="00171824" w:rsidRDefault="006D258C">
      <w:pPr>
        <w:keepNext/>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λευκοκυττάρων,</w:t>
      </w:r>
    </w:p>
    <w:p w14:paraId="4FA4BE4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ερυθροκυττάρων,</w:t>
      </w:r>
    </w:p>
    <w:p w14:paraId="7E24E50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αυξημένα λιπίδια αίματος,</w:t>
      </w:r>
    </w:p>
    <w:p w14:paraId="6873876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αυξημένα ηπατικά ένζυμα.</w:t>
      </w:r>
    </w:p>
    <w:p w14:paraId="331E3B15" w14:textId="77777777" w:rsidR="00171824" w:rsidRDefault="00171824">
      <w:pPr>
        <w:widowControl/>
        <w:kinsoku w:val="0"/>
        <w:overflowPunct w:val="0"/>
        <w:rPr>
          <w:sz w:val="22"/>
          <w:szCs w:val="22"/>
          <w:lang w:val="el-GR"/>
        </w:rPr>
      </w:pPr>
    </w:p>
    <w:p w14:paraId="29CD651B" w14:textId="77777777" w:rsidR="00171824" w:rsidRDefault="006D258C">
      <w:pPr>
        <w:widowControl/>
        <w:kinsoku w:val="0"/>
        <w:overflowPunct w:val="0"/>
        <w:rPr>
          <w:sz w:val="22"/>
          <w:szCs w:val="22"/>
          <w:lang w:val="el-GR"/>
        </w:rPr>
      </w:pPr>
      <w:r>
        <w:rPr>
          <w:sz w:val="22"/>
          <w:szCs w:val="22"/>
          <w:lang w:val="el-GR"/>
        </w:rPr>
        <w:t>Συχνές (μπορεί να επηρεάσουν έως 1 στους 10 ανθρώπους)</w:t>
      </w:r>
    </w:p>
    <w:p w14:paraId="47AC736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υψηλές τιμές των λευκοκυττάρων,</w:t>
      </w:r>
    </w:p>
    <w:p w14:paraId="3DD52CC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αιμοπεταλίων του αίματος</w:t>
      </w:r>
    </w:p>
    <w:p w14:paraId="3622FA9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αυξημένο ουρικό οξύ αίματος,</w:t>
      </w:r>
    </w:p>
    <w:p w14:paraId="76F49D8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μη φυσιολογικές τιμές νατρίου του αίματος,</w:t>
      </w:r>
    </w:p>
    <w:p w14:paraId="214CAEC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ασβεστίου αίματος,</w:t>
      </w:r>
    </w:p>
    <w:p w14:paraId="15DA7EB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φωσφόρου του αίματος,</w:t>
      </w:r>
    </w:p>
    <w:p w14:paraId="7A3CB5B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υψηλό σάκχαρο αίματος,</w:t>
      </w:r>
    </w:p>
    <w:p w14:paraId="0614B30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υψηλές τιμές αίματος της γαλακτικής αφυδρογονάσης,</w:t>
      </w:r>
    </w:p>
    <w:p w14:paraId="6325FE1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παρουσία αυτοαντισωμάτων στο αίμα,</w:t>
      </w:r>
    </w:p>
    <w:p w14:paraId="4392C38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χαμηλό κάλιο αίματος,</w:t>
      </w:r>
    </w:p>
    <w:p w14:paraId="7063EAD5" w14:textId="77777777" w:rsidR="00171824" w:rsidRDefault="00171824">
      <w:pPr>
        <w:widowControl/>
        <w:kinsoku w:val="0"/>
        <w:overflowPunct w:val="0"/>
        <w:rPr>
          <w:sz w:val="22"/>
          <w:szCs w:val="22"/>
          <w:lang w:val="el-GR"/>
        </w:rPr>
      </w:pPr>
    </w:p>
    <w:p w14:paraId="4434D096" w14:textId="77777777" w:rsidR="00171824" w:rsidRDefault="006D258C">
      <w:pPr>
        <w:widowControl/>
        <w:kinsoku w:val="0"/>
        <w:overflowPunct w:val="0"/>
        <w:rPr>
          <w:sz w:val="22"/>
          <w:szCs w:val="22"/>
          <w:lang w:val="el-GR"/>
        </w:rPr>
      </w:pPr>
      <w:r>
        <w:rPr>
          <w:sz w:val="22"/>
          <w:szCs w:val="22"/>
          <w:lang w:val="el-GR"/>
        </w:rPr>
        <w:t>Όχι συχνές (μπορεί να επηρεάσουν έως 1 στους 100 ανθρώπους)</w:t>
      </w:r>
    </w:p>
    <w:p w14:paraId="3932D0DA" w14:textId="77777777" w:rsidR="00171824" w:rsidRDefault="006D258C">
      <w:pPr>
        <w:pStyle w:val="ListParagraph"/>
        <w:widowControl/>
        <w:numPr>
          <w:ilvl w:val="0"/>
          <w:numId w:val="33"/>
        </w:numPr>
        <w:kinsoku w:val="0"/>
        <w:overflowPunct w:val="0"/>
        <w:ind w:left="567" w:hanging="567"/>
        <w:rPr>
          <w:sz w:val="22"/>
          <w:szCs w:val="22"/>
          <w:lang w:val="el-GR"/>
        </w:rPr>
      </w:pPr>
      <w:r>
        <w:rPr>
          <w:sz w:val="22"/>
          <w:szCs w:val="22"/>
          <w:lang w:val="el-GR"/>
        </w:rPr>
        <w:t>υψηλή μέτρηση της χολερυθρίνης (ηπατικές δοκιμασίες αίματος).</w:t>
      </w:r>
    </w:p>
    <w:p w14:paraId="6D83042C" w14:textId="77777777" w:rsidR="00171824" w:rsidRDefault="00171824">
      <w:pPr>
        <w:widowControl/>
        <w:kinsoku w:val="0"/>
        <w:overflowPunct w:val="0"/>
        <w:rPr>
          <w:b/>
          <w:sz w:val="22"/>
          <w:szCs w:val="22"/>
          <w:lang w:val="el-GR"/>
        </w:rPr>
      </w:pPr>
    </w:p>
    <w:p w14:paraId="5644090A" w14:textId="77777777" w:rsidR="00171824" w:rsidRDefault="006D258C">
      <w:pPr>
        <w:widowControl/>
        <w:kinsoku w:val="0"/>
        <w:overflowPunct w:val="0"/>
        <w:rPr>
          <w:sz w:val="22"/>
          <w:szCs w:val="22"/>
          <w:lang w:val="el-GR"/>
        </w:rPr>
      </w:pPr>
      <w:r>
        <w:rPr>
          <w:sz w:val="22"/>
          <w:szCs w:val="22"/>
          <w:lang w:val="el-GR"/>
        </w:rPr>
        <w:lastRenderedPageBreak/>
        <w:t>Σπάνιες (μπορεί να επηρεάσουν έως 1 στους 1 000 ανθρώπους)</w:t>
      </w:r>
    </w:p>
    <w:p w14:paraId="0B1BA49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 xml:space="preserve">χαμηλές τιμές των λευκοκυττάρων, των ερυθροκυττάρων και των αιμοπεταλίων του αίματος. </w:t>
      </w:r>
    </w:p>
    <w:p w14:paraId="3E870F06" w14:textId="77777777" w:rsidR="00171824" w:rsidRDefault="00171824">
      <w:pPr>
        <w:widowControl/>
        <w:tabs>
          <w:tab w:val="left" w:pos="567"/>
        </w:tabs>
        <w:kinsoku w:val="0"/>
        <w:overflowPunct w:val="0"/>
        <w:rPr>
          <w:sz w:val="22"/>
          <w:szCs w:val="22"/>
          <w:lang w:val="el-GR"/>
        </w:rPr>
      </w:pPr>
    </w:p>
    <w:p w14:paraId="5E5839E9" w14:textId="77777777" w:rsidR="00171824" w:rsidRDefault="006D258C">
      <w:pPr>
        <w:widowControl/>
        <w:tabs>
          <w:tab w:val="left" w:pos="567"/>
        </w:tabs>
        <w:kinsoku w:val="0"/>
        <w:overflowPunct w:val="0"/>
        <w:rPr>
          <w:b/>
          <w:sz w:val="22"/>
          <w:szCs w:val="22"/>
          <w:lang w:val="el-GR"/>
        </w:rPr>
      </w:pPr>
      <w:r>
        <w:rPr>
          <w:b/>
          <w:sz w:val="22"/>
          <w:szCs w:val="22"/>
          <w:lang w:val="el-GR"/>
        </w:rPr>
        <w:t>Αναφορά ανεπιθύμητων ενεργειών</w:t>
      </w:r>
    </w:p>
    <w:p w14:paraId="79B28C96" w14:textId="77777777" w:rsidR="00171824" w:rsidRDefault="00171824">
      <w:pPr>
        <w:widowControl/>
        <w:tabs>
          <w:tab w:val="left" w:pos="567"/>
        </w:tabs>
        <w:kinsoku w:val="0"/>
        <w:overflowPunct w:val="0"/>
        <w:rPr>
          <w:sz w:val="22"/>
          <w:szCs w:val="22"/>
          <w:lang w:val="el-GR"/>
        </w:rPr>
      </w:pPr>
    </w:p>
    <w:p w14:paraId="51C85ABD" w14:textId="77777777" w:rsidR="00171824" w:rsidRDefault="006D258C">
      <w:pPr>
        <w:widowControl/>
        <w:rPr>
          <w:sz w:val="22"/>
          <w:szCs w:val="22"/>
          <w:lang w:val="el-GR"/>
        </w:rPr>
      </w:pPr>
      <w:r>
        <w:rPr>
          <w:sz w:val="22"/>
          <w:szCs w:val="22"/>
          <w:lang w:val="el-GR"/>
        </w:rPr>
        <w:t xml:space="preserve">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Μπορείτε επίσης να αναφέρετε ανεπιθύμητες ενέργειες απευθείας, μέσω </w:t>
      </w:r>
      <w:r>
        <w:rPr>
          <w:sz w:val="22"/>
          <w:szCs w:val="22"/>
          <w:highlight w:val="lightGray"/>
          <w:lang w:val="el-GR"/>
        </w:rPr>
        <w:t xml:space="preserve">του εθνικού συστήματος αναφοράς που αναγράφεται στο </w:t>
      </w:r>
      <w:hyperlink r:id="rId77" w:history="1">
        <w:r>
          <w:rPr>
            <w:rStyle w:val="Hyperlink"/>
            <w:color w:val="0000FF"/>
            <w:sz w:val="22"/>
            <w:szCs w:val="22"/>
            <w:highlight w:val="lightGray"/>
            <w:lang w:val="el-GR"/>
          </w:rPr>
          <w:t>Παράρτημα V</w:t>
        </w:r>
      </w:hyperlink>
      <w:r>
        <w:rPr>
          <w:sz w:val="22"/>
          <w:szCs w:val="22"/>
          <w:lang w:val="el-GR"/>
        </w:rPr>
        <w:t>. Μέσω της αναφοράς ανεπιθύμητων ενεργειών, μπορείτε να βοηθήσετε στη συλλογή περισσότερων πληροφοριών σχετικά με την ασφάλεια του παρόντος φαρμάκου.</w:t>
      </w:r>
    </w:p>
    <w:p w14:paraId="0E4DF56E" w14:textId="77777777" w:rsidR="00171824" w:rsidRDefault="00171824">
      <w:pPr>
        <w:widowControl/>
        <w:rPr>
          <w:sz w:val="22"/>
          <w:szCs w:val="22"/>
          <w:lang w:val="el-GR"/>
        </w:rPr>
      </w:pPr>
    </w:p>
    <w:p w14:paraId="5FCD3E99" w14:textId="77777777" w:rsidR="00171824" w:rsidRDefault="00171824">
      <w:pPr>
        <w:widowControl/>
        <w:rPr>
          <w:sz w:val="22"/>
          <w:szCs w:val="22"/>
          <w:lang w:val="el-GR"/>
        </w:rPr>
      </w:pPr>
    </w:p>
    <w:p w14:paraId="5FE751EA" w14:textId="77777777" w:rsidR="00171824" w:rsidRDefault="006D258C">
      <w:pPr>
        <w:widowControl/>
        <w:numPr>
          <w:ilvl w:val="0"/>
          <w:numId w:val="42"/>
        </w:numPr>
        <w:kinsoku w:val="0"/>
        <w:overflowPunct w:val="0"/>
        <w:autoSpaceDE/>
        <w:autoSpaceDN/>
        <w:adjustRightInd/>
        <w:ind w:left="567"/>
        <w:outlineLvl w:val="0"/>
        <w:rPr>
          <w:sz w:val="22"/>
          <w:szCs w:val="22"/>
          <w:lang w:val="el-GR"/>
        </w:rPr>
      </w:pPr>
      <w:r>
        <w:rPr>
          <w:b/>
          <w:bCs/>
          <w:sz w:val="22"/>
          <w:szCs w:val="22"/>
          <w:lang w:val="el-GR"/>
        </w:rPr>
        <w:t xml:space="preserve">Πώς να φυλάσσετε το AMGEVITA </w:t>
      </w:r>
    </w:p>
    <w:p w14:paraId="483E7226" w14:textId="77777777" w:rsidR="00171824" w:rsidRDefault="00171824">
      <w:pPr>
        <w:widowControl/>
        <w:kinsoku w:val="0"/>
        <w:overflowPunct w:val="0"/>
        <w:rPr>
          <w:sz w:val="22"/>
          <w:szCs w:val="22"/>
          <w:lang w:val="el-GR"/>
        </w:rPr>
      </w:pPr>
    </w:p>
    <w:p w14:paraId="1EADE41D" w14:textId="77777777" w:rsidR="00171824" w:rsidRDefault="006D258C">
      <w:pPr>
        <w:widowControl/>
        <w:kinsoku w:val="0"/>
        <w:overflowPunct w:val="0"/>
        <w:rPr>
          <w:sz w:val="22"/>
          <w:szCs w:val="22"/>
          <w:lang w:val="el-GR"/>
        </w:rPr>
      </w:pPr>
      <w:r>
        <w:rPr>
          <w:sz w:val="22"/>
          <w:szCs w:val="22"/>
          <w:lang w:val="el-GR"/>
        </w:rPr>
        <w:t>Το φάρμακο αυτό πρέπει να φυλάσσεται σε μέρη που δεν το βλέπουν και δεν το φθάνουν τα παιδιά.</w:t>
      </w:r>
    </w:p>
    <w:p w14:paraId="1014EAE1" w14:textId="77777777" w:rsidR="00171824" w:rsidRDefault="00171824">
      <w:pPr>
        <w:widowControl/>
        <w:kinsoku w:val="0"/>
        <w:overflowPunct w:val="0"/>
        <w:rPr>
          <w:sz w:val="22"/>
          <w:szCs w:val="22"/>
          <w:lang w:val="el-GR"/>
        </w:rPr>
      </w:pPr>
    </w:p>
    <w:p w14:paraId="0D837203" w14:textId="77777777" w:rsidR="00171824" w:rsidRDefault="006D258C">
      <w:pPr>
        <w:widowControl/>
        <w:kinsoku w:val="0"/>
        <w:overflowPunct w:val="0"/>
        <w:rPr>
          <w:sz w:val="22"/>
          <w:szCs w:val="22"/>
          <w:lang w:val="el-GR"/>
        </w:rPr>
      </w:pPr>
      <w:r>
        <w:rPr>
          <w:sz w:val="22"/>
          <w:szCs w:val="22"/>
          <w:lang w:val="el-GR"/>
        </w:rPr>
        <w:t>Να μη χρησιμοποιείτε αυτό το φάρμακο μετά την ημερομηνία λήξης που αναφέρεται στην επισήμανση και στο κουτί μετά τη ΛΗΞΗ. H ημερομηνία λήξης είναι η τελευταία ημέρα του μήνα που αναφέρεται εκεί.</w:t>
      </w:r>
    </w:p>
    <w:p w14:paraId="06B9A061" w14:textId="77777777" w:rsidR="00171824" w:rsidRDefault="00171824">
      <w:pPr>
        <w:widowControl/>
        <w:kinsoku w:val="0"/>
        <w:overflowPunct w:val="0"/>
        <w:rPr>
          <w:sz w:val="22"/>
          <w:szCs w:val="22"/>
          <w:lang w:val="el-GR"/>
        </w:rPr>
      </w:pPr>
    </w:p>
    <w:p w14:paraId="1A4A6110" w14:textId="77777777" w:rsidR="00171824" w:rsidRDefault="006D258C">
      <w:pPr>
        <w:widowControl/>
        <w:kinsoku w:val="0"/>
        <w:overflowPunct w:val="0"/>
        <w:rPr>
          <w:sz w:val="22"/>
          <w:szCs w:val="22"/>
          <w:lang w:val="el-GR"/>
        </w:rPr>
      </w:pPr>
      <w:r>
        <w:rPr>
          <w:sz w:val="22"/>
          <w:szCs w:val="22"/>
          <w:lang w:val="el-GR"/>
        </w:rPr>
        <w:t>Φυλάσσετε σε ψυγείο (2°C – 8°C). Μην καταψύχετε.</w:t>
      </w:r>
    </w:p>
    <w:p w14:paraId="327A62A7" w14:textId="77777777" w:rsidR="00171824" w:rsidRDefault="00171824">
      <w:pPr>
        <w:widowControl/>
        <w:kinsoku w:val="0"/>
        <w:overflowPunct w:val="0"/>
        <w:rPr>
          <w:sz w:val="22"/>
          <w:szCs w:val="22"/>
          <w:lang w:val="el-GR"/>
        </w:rPr>
      </w:pPr>
    </w:p>
    <w:p w14:paraId="1C277138" w14:textId="77777777" w:rsidR="00171824" w:rsidRDefault="006D258C">
      <w:pPr>
        <w:widowControl/>
        <w:kinsoku w:val="0"/>
        <w:overflowPunct w:val="0"/>
        <w:rPr>
          <w:sz w:val="22"/>
          <w:szCs w:val="22"/>
          <w:lang w:val="el-GR"/>
        </w:rPr>
      </w:pPr>
      <w:r>
        <w:rPr>
          <w:sz w:val="22"/>
          <w:szCs w:val="22"/>
          <w:lang w:val="el-GR"/>
        </w:rPr>
        <w:t>Φυλάσσετε το φάρμακο στο εξωτερικό κουτί για να προστατεύεται από το φως.</w:t>
      </w:r>
    </w:p>
    <w:p w14:paraId="302F2EF0" w14:textId="77777777" w:rsidR="00171824" w:rsidRDefault="00171824">
      <w:pPr>
        <w:widowControl/>
        <w:kinsoku w:val="0"/>
        <w:overflowPunct w:val="0"/>
        <w:rPr>
          <w:sz w:val="22"/>
          <w:szCs w:val="22"/>
          <w:lang w:val="el-GR"/>
        </w:rPr>
      </w:pPr>
    </w:p>
    <w:p w14:paraId="1D286C81" w14:textId="77777777" w:rsidR="00171824" w:rsidRDefault="006D258C">
      <w:pPr>
        <w:widowControl/>
        <w:kinsoku w:val="0"/>
        <w:overflowPunct w:val="0"/>
        <w:rPr>
          <w:sz w:val="22"/>
          <w:szCs w:val="22"/>
          <w:lang w:val="el-GR"/>
        </w:rPr>
      </w:pPr>
      <w:r>
        <w:rPr>
          <w:sz w:val="22"/>
          <w:szCs w:val="22"/>
          <w:lang w:val="el-GR"/>
        </w:rPr>
        <w:t>Κάθε προγεμισμένη συσκευή τύπου πένας AMGEVITA μπορεί να φυλάσσεται σε θερμοκρασίες μέχρι 25 °C κατά μέγιστο για χρονικό διάστημα έως και 14 ημέρες. Η προγεμισμένη συσκευή τύπου πένας θα πρέπει να είναι προστατευμένη από το φως και να απορριφθεί εάν δεν</w:t>
      </w:r>
      <w:r>
        <w:rPr>
          <w:b/>
          <w:bCs/>
          <w:sz w:val="22"/>
          <w:szCs w:val="22"/>
          <w:lang w:val="el-GR"/>
        </w:rPr>
        <w:t xml:space="preserve"> </w:t>
      </w:r>
      <w:r>
        <w:rPr>
          <w:bCs/>
          <w:sz w:val="22"/>
          <w:szCs w:val="22"/>
          <w:lang w:val="el-GR"/>
        </w:rPr>
        <w:t>χρησιμοποιηθεί εντός της περιόδου 14 ημερών</w:t>
      </w:r>
      <w:r>
        <w:rPr>
          <w:sz w:val="22"/>
          <w:szCs w:val="22"/>
          <w:lang w:val="el-GR"/>
        </w:rPr>
        <w:t>.</w:t>
      </w:r>
    </w:p>
    <w:p w14:paraId="32D756FF" w14:textId="77777777" w:rsidR="00171824" w:rsidRDefault="00171824">
      <w:pPr>
        <w:widowControl/>
        <w:kinsoku w:val="0"/>
        <w:overflowPunct w:val="0"/>
        <w:rPr>
          <w:sz w:val="22"/>
          <w:szCs w:val="22"/>
          <w:lang w:val="el-GR"/>
        </w:rPr>
      </w:pPr>
    </w:p>
    <w:p w14:paraId="0A314F14" w14:textId="77777777" w:rsidR="00171824" w:rsidRDefault="006D258C">
      <w:pPr>
        <w:widowControl/>
        <w:kinsoku w:val="0"/>
        <w:overflowPunct w:val="0"/>
        <w:rPr>
          <w:sz w:val="22"/>
          <w:szCs w:val="22"/>
          <w:lang w:val="el-GR"/>
        </w:rPr>
      </w:pPr>
      <w:r>
        <w:rPr>
          <w:sz w:val="22"/>
          <w:szCs w:val="22"/>
          <w:lang w:val="el-GR"/>
        </w:rPr>
        <w:t>Μην πετάτε φάρμακα στο νερό της αποχέτευσης ή στα οικιακά απορρίμματα. Ρωτήστε τον φαρμακοποιό σας για το πώς να πετάξετε τα φάρμακα που δεν χρησιμοποιείτε πια. Αυτά τα μέτρα θα βοηθήσουν στην προστασία του περιβάλλοντος.</w:t>
      </w:r>
    </w:p>
    <w:p w14:paraId="20B36EF6" w14:textId="77777777" w:rsidR="00171824" w:rsidRDefault="00171824">
      <w:pPr>
        <w:widowControl/>
        <w:kinsoku w:val="0"/>
        <w:overflowPunct w:val="0"/>
        <w:rPr>
          <w:sz w:val="22"/>
          <w:szCs w:val="22"/>
          <w:lang w:val="el-GR"/>
        </w:rPr>
      </w:pPr>
    </w:p>
    <w:p w14:paraId="1EB48BCA" w14:textId="77777777" w:rsidR="00171824" w:rsidRDefault="00171824">
      <w:pPr>
        <w:widowControl/>
        <w:kinsoku w:val="0"/>
        <w:overflowPunct w:val="0"/>
        <w:rPr>
          <w:sz w:val="22"/>
          <w:szCs w:val="22"/>
          <w:lang w:val="el-GR"/>
        </w:rPr>
      </w:pPr>
    </w:p>
    <w:p w14:paraId="0F63959C" w14:textId="77777777" w:rsidR="00171824" w:rsidRDefault="006D258C">
      <w:pPr>
        <w:widowControl/>
        <w:numPr>
          <w:ilvl w:val="0"/>
          <w:numId w:val="42"/>
        </w:numPr>
        <w:tabs>
          <w:tab w:val="left" w:pos="567"/>
        </w:tabs>
        <w:kinsoku w:val="0"/>
        <w:overflowPunct w:val="0"/>
        <w:autoSpaceDE/>
        <w:autoSpaceDN/>
        <w:adjustRightInd/>
        <w:ind w:left="567"/>
        <w:outlineLvl w:val="0"/>
        <w:rPr>
          <w:sz w:val="22"/>
          <w:szCs w:val="22"/>
          <w:lang w:val="el-GR"/>
        </w:rPr>
      </w:pPr>
      <w:r>
        <w:rPr>
          <w:b/>
          <w:bCs/>
          <w:sz w:val="22"/>
          <w:szCs w:val="22"/>
          <w:lang w:val="el-GR"/>
        </w:rPr>
        <w:t>Περιεχόμενα της συσκευασίας και λοιπές πληροφορίες</w:t>
      </w:r>
    </w:p>
    <w:p w14:paraId="7A6F3140" w14:textId="77777777" w:rsidR="00171824" w:rsidRDefault="00171824">
      <w:pPr>
        <w:widowControl/>
        <w:tabs>
          <w:tab w:val="left" w:pos="567"/>
        </w:tabs>
        <w:kinsoku w:val="0"/>
        <w:overflowPunct w:val="0"/>
        <w:outlineLvl w:val="0"/>
        <w:rPr>
          <w:bCs/>
          <w:sz w:val="22"/>
          <w:szCs w:val="22"/>
          <w:lang w:val="el-GR"/>
        </w:rPr>
      </w:pPr>
    </w:p>
    <w:p w14:paraId="16C14B34" w14:textId="77777777" w:rsidR="00171824" w:rsidRDefault="006D258C">
      <w:pPr>
        <w:widowControl/>
        <w:tabs>
          <w:tab w:val="left" w:pos="567"/>
        </w:tabs>
        <w:kinsoku w:val="0"/>
        <w:overflowPunct w:val="0"/>
        <w:outlineLvl w:val="0"/>
        <w:rPr>
          <w:b/>
          <w:bCs/>
          <w:sz w:val="22"/>
          <w:szCs w:val="22"/>
          <w:lang w:val="el-GR"/>
        </w:rPr>
      </w:pPr>
      <w:r>
        <w:rPr>
          <w:b/>
          <w:bCs/>
          <w:sz w:val="22"/>
          <w:szCs w:val="22"/>
          <w:lang w:val="el-GR"/>
        </w:rPr>
        <w:t xml:space="preserve">Tι περιέχει το AMGEVITA </w:t>
      </w:r>
    </w:p>
    <w:p w14:paraId="106ED38C" w14:textId="77777777" w:rsidR="00171824" w:rsidRDefault="006D258C">
      <w:pPr>
        <w:pStyle w:val="ListParagraph"/>
        <w:widowControl/>
        <w:numPr>
          <w:ilvl w:val="0"/>
          <w:numId w:val="29"/>
        </w:numPr>
        <w:kinsoku w:val="0"/>
        <w:overflowPunct w:val="0"/>
        <w:ind w:left="567" w:hanging="567"/>
        <w:rPr>
          <w:sz w:val="22"/>
          <w:szCs w:val="22"/>
          <w:lang w:val="el-GR"/>
        </w:rPr>
      </w:pPr>
      <w:r>
        <w:rPr>
          <w:sz w:val="22"/>
          <w:szCs w:val="22"/>
          <w:lang w:val="el-GR"/>
        </w:rPr>
        <w:t>H δραστική ουσία είναι adalimumab. Κάθε προγεμισμένη συσκευή τύπου πένας περιέχει 40 mg adalimumab σε 0,4 ml διαλύματος.</w:t>
      </w:r>
    </w:p>
    <w:p w14:paraId="06B66A8B" w14:textId="77777777" w:rsidR="00171824" w:rsidRDefault="006D258C">
      <w:pPr>
        <w:pStyle w:val="ListParagraph"/>
        <w:widowControl/>
        <w:numPr>
          <w:ilvl w:val="0"/>
          <w:numId w:val="29"/>
        </w:numPr>
        <w:kinsoku w:val="0"/>
        <w:overflowPunct w:val="0"/>
        <w:ind w:left="567" w:hanging="567"/>
        <w:rPr>
          <w:sz w:val="22"/>
          <w:szCs w:val="22"/>
          <w:lang w:val="el-GR"/>
        </w:rPr>
      </w:pPr>
      <w:r>
        <w:rPr>
          <w:sz w:val="22"/>
          <w:szCs w:val="22"/>
          <w:lang w:val="el-GR"/>
        </w:rPr>
        <w:t>Τα άλλα συστατικά είναι L-γαλακτικό οξύ, σακχαρόζη, πολυσορβικό 80, υδροξείδιο του νατρίου και ενέσιμο ύδωρ.</w:t>
      </w:r>
    </w:p>
    <w:p w14:paraId="1F221151" w14:textId="77777777" w:rsidR="00171824" w:rsidRDefault="00171824">
      <w:pPr>
        <w:widowControl/>
        <w:kinsoku w:val="0"/>
        <w:overflowPunct w:val="0"/>
        <w:rPr>
          <w:sz w:val="22"/>
          <w:szCs w:val="22"/>
          <w:lang w:val="el-GR"/>
        </w:rPr>
      </w:pPr>
    </w:p>
    <w:p w14:paraId="78FF1A74" w14:textId="77777777" w:rsidR="00171824" w:rsidRDefault="006D258C">
      <w:pPr>
        <w:widowControl/>
        <w:kinsoku w:val="0"/>
        <w:overflowPunct w:val="0"/>
        <w:outlineLvl w:val="0"/>
        <w:rPr>
          <w:sz w:val="22"/>
          <w:szCs w:val="22"/>
          <w:lang w:val="el-GR"/>
        </w:rPr>
      </w:pPr>
      <w:r>
        <w:rPr>
          <w:b/>
          <w:bCs/>
          <w:sz w:val="22"/>
          <w:szCs w:val="22"/>
          <w:lang w:val="el-GR"/>
        </w:rPr>
        <w:t>Εμφάνιση του AMGEVITA και περιεχόμενα της συσκευασίας</w:t>
      </w:r>
    </w:p>
    <w:p w14:paraId="6DA6BFA9" w14:textId="77777777" w:rsidR="00171824" w:rsidRDefault="00171824">
      <w:pPr>
        <w:widowControl/>
        <w:kinsoku w:val="0"/>
        <w:overflowPunct w:val="0"/>
        <w:rPr>
          <w:sz w:val="22"/>
          <w:szCs w:val="22"/>
          <w:lang w:val="el-GR"/>
        </w:rPr>
      </w:pPr>
    </w:p>
    <w:p w14:paraId="3113A969" w14:textId="77777777" w:rsidR="00171824" w:rsidRDefault="006D258C">
      <w:pPr>
        <w:widowControl/>
        <w:kinsoku w:val="0"/>
        <w:overflowPunct w:val="0"/>
        <w:rPr>
          <w:sz w:val="22"/>
          <w:szCs w:val="22"/>
          <w:lang w:val="el-GR"/>
        </w:rPr>
      </w:pPr>
      <w:r>
        <w:rPr>
          <w:sz w:val="22"/>
          <w:szCs w:val="22"/>
          <w:lang w:val="el-GR"/>
        </w:rPr>
        <w:t>Το AMGEVITA</w:t>
      </w:r>
      <w:r>
        <w:rPr>
          <w:b/>
          <w:sz w:val="22"/>
          <w:szCs w:val="22"/>
          <w:lang w:val="el-GR"/>
        </w:rPr>
        <w:t xml:space="preserve"> </w:t>
      </w:r>
      <w:r>
        <w:rPr>
          <w:sz w:val="22"/>
          <w:szCs w:val="22"/>
          <w:lang w:val="el-GR"/>
        </w:rPr>
        <w:t>είναι ένα διαυγές και άχρωμο έως ελαφρώς κίτρινο διάλυμα.</w:t>
      </w:r>
    </w:p>
    <w:p w14:paraId="5A56F417" w14:textId="77777777" w:rsidR="00171824" w:rsidRDefault="00171824">
      <w:pPr>
        <w:widowControl/>
        <w:kinsoku w:val="0"/>
        <w:overflowPunct w:val="0"/>
        <w:rPr>
          <w:sz w:val="22"/>
          <w:szCs w:val="22"/>
          <w:lang w:val="el-GR"/>
        </w:rPr>
      </w:pPr>
    </w:p>
    <w:p w14:paraId="54DEF31E" w14:textId="77777777" w:rsidR="00171824" w:rsidRDefault="006D258C">
      <w:pPr>
        <w:widowControl/>
        <w:kinsoku w:val="0"/>
        <w:overflowPunct w:val="0"/>
        <w:rPr>
          <w:sz w:val="22"/>
          <w:szCs w:val="22"/>
          <w:lang w:val="el-GR"/>
        </w:rPr>
      </w:pPr>
      <w:r>
        <w:rPr>
          <w:sz w:val="22"/>
          <w:szCs w:val="22"/>
          <w:lang w:val="el-GR"/>
        </w:rPr>
        <w:t>Κάθε συσκευασία περιέχει 1, 2 ή 6 προγεμισμένες συσκευές τύπου πένας 40 mg μίας χρήσης SureClick.</w:t>
      </w:r>
    </w:p>
    <w:p w14:paraId="08219ACC" w14:textId="77777777" w:rsidR="00171824" w:rsidRDefault="00171824">
      <w:pPr>
        <w:keepNext/>
        <w:widowControl/>
        <w:kinsoku w:val="0"/>
        <w:overflowPunct w:val="0"/>
        <w:rPr>
          <w:sz w:val="22"/>
          <w:szCs w:val="22"/>
          <w:lang w:val="el-GR"/>
        </w:rPr>
      </w:pPr>
    </w:p>
    <w:p w14:paraId="0C3C2FDF" w14:textId="77777777" w:rsidR="00171824" w:rsidRDefault="006D258C">
      <w:pPr>
        <w:keepNext/>
        <w:keepLines/>
        <w:widowControl/>
        <w:kinsoku w:val="0"/>
        <w:overflowPunct w:val="0"/>
        <w:outlineLvl w:val="0"/>
        <w:rPr>
          <w:sz w:val="22"/>
          <w:szCs w:val="22"/>
          <w:lang w:val="el-GR"/>
        </w:rPr>
      </w:pPr>
      <w:r>
        <w:rPr>
          <w:b/>
          <w:bCs/>
          <w:sz w:val="22"/>
          <w:szCs w:val="22"/>
          <w:lang w:val="el-GR"/>
        </w:rPr>
        <w:t>Κάτοχος Άδειας Κυκλοφορίας και Παρασκευαστής</w:t>
      </w:r>
    </w:p>
    <w:p w14:paraId="7C05347B" w14:textId="77777777" w:rsidR="00171824" w:rsidRDefault="006D258C">
      <w:pPr>
        <w:keepNext/>
        <w:keepLines/>
        <w:widowControl/>
        <w:tabs>
          <w:tab w:val="left" w:pos="567"/>
        </w:tabs>
        <w:autoSpaceDE/>
        <w:autoSpaceDN/>
        <w:adjustRightInd/>
        <w:rPr>
          <w:rFonts w:eastAsia="PMingLiU"/>
          <w:sz w:val="22"/>
          <w:szCs w:val="20"/>
          <w:lang w:val="el-GR"/>
        </w:rPr>
      </w:pPr>
      <w:r>
        <w:rPr>
          <w:rFonts w:eastAsia="PMingLiU"/>
          <w:sz w:val="22"/>
          <w:szCs w:val="20"/>
          <w:lang w:val="el-GR"/>
        </w:rPr>
        <w:t xml:space="preserve">Amgen Europe B.V. </w:t>
      </w:r>
      <w:r>
        <w:rPr>
          <w:rFonts w:eastAsia="PMingLiU"/>
          <w:sz w:val="22"/>
          <w:szCs w:val="20"/>
          <w:lang w:val="el-GR"/>
        </w:rPr>
        <w:br/>
        <w:t xml:space="preserve">Minervum 7061 </w:t>
      </w:r>
      <w:r>
        <w:rPr>
          <w:rFonts w:eastAsia="PMingLiU"/>
          <w:sz w:val="22"/>
          <w:szCs w:val="20"/>
          <w:lang w:val="el-GR"/>
        </w:rPr>
        <w:br/>
        <w:t xml:space="preserve">4817 ZK Breda </w:t>
      </w:r>
      <w:r>
        <w:rPr>
          <w:rFonts w:eastAsia="PMingLiU"/>
          <w:sz w:val="22"/>
          <w:szCs w:val="20"/>
          <w:lang w:val="el-GR"/>
        </w:rPr>
        <w:br/>
        <w:t>Ολλανδία</w:t>
      </w:r>
    </w:p>
    <w:p w14:paraId="6EBB54E8" w14:textId="77777777" w:rsidR="00171824" w:rsidRDefault="00171824">
      <w:pPr>
        <w:widowControl/>
        <w:kinsoku w:val="0"/>
        <w:overflowPunct w:val="0"/>
        <w:rPr>
          <w:sz w:val="22"/>
          <w:szCs w:val="22"/>
          <w:lang w:val="el-GR"/>
        </w:rPr>
      </w:pPr>
    </w:p>
    <w:p w14:paraId="23B53CCC" w14:textId="77777777" w:rsidR="00171824" w:rsidRDefault="006D258C">
      <w:pPr>
        <w:keepNext/>
        <w:keepLines/>
        <w:widowControl/>
        <w:tabs>
          <w:tab w:val="left" w:pos="567"/>
        </w:tabs>
        <w:autoSpaceDE/>
        <w:autoSpaceDN/>
        <w:adjustRightInd/>
        <w:rPr>
          <w:rFonts w:eastAsia="PMingLiU"/>
          <w:b/>
          <w:bCs/>
          <w:sz w:val="22"/>
          <w:szCs w:val="20"/>
          <w:highlight w:val="lightGray"/>
          <w:lang w:val="el-GR"/>
        </w:rPr>
      </w:pPr>
      <w:r>
        <w:rPr>
          <w:rFonts w:eastAsia="PMingLiU"/>
          <w:b/>
          <w:bCs/>
          <w:sz w:val="22"/>
          <w:szCs w:val="20"/>
          <w:highlight w:val="lightGray"/>
          <w:lang w:val="el-GR"/>
        </w:rPr>
        <w:lastRenderedPageBreak/>
        <w:t>Κάτοχος Άδειας Κυκλοφορίας</w:t>
      </w:r>
    </w:p>
    <w:p w14:paraId="7AEA22F7" w14:textId="77777777" w:rsidR="00171824" w:rsidRDefault="006D258C">
      <w:pPr>
        <w:keepNext/>
        <w:keepLines/>
        <w:widowControl/>
        <w:tabs>
          <w:tab w:val="left" w:pos="567"/>
        </w:tabs>
        <w:autoSpaceDE/>
        <w:autoSpaceDN/>
        <w:adjustRightInd/>
        <w:rPr>
          <w:rFonts w:eastAsia="PMingLiU"/>
          <w:sz w:val="22"/>
          <w:szCs w:val="20"/>
          <w:highlight w:val="lightGray"/>
          <w:lang w:val="el-GR"/>
        </w:rPr>
      </w:pPr>
      <w:r w:rsidRPr="00422380">
        <w:rPr>
          <w:rFonts w:eastAsia="PMingLiU"/>
          <w:sz w:val="22"/>
          <w:szCs w:val="20"/>
          <w:highlight w:val="lightGray"/>
        </w:rPr>
        <w:t>Amgen</w:t>
      </w:r>
      <w:r>
        <w:rPr>
          <w:rFonts w:eastAsia="PMingLiU"/>
          <w:sz w:val="22"/>
          <w:szCs w:val="20"/>
          <w:highlight w:val="lightGray"/>
          <w:lang w:val="el-GR"/>
        </w:rPr>
        <w:t xml:space="preserve"> </w:t>
      </w:r>
      <w:r w:rsidRPr="00422380">
        <w:rPr>
          <w:rFonts w:eastAsia="PMingLiU"/>
          <w:sz w:val="22"/>
          <w:szCs w:val="20"/>
          <w:highlight w:val="lightGray"/>
        </w:rPr>
        <w:t>Europe</w:t>
      </w:r>
      <w:r>
        <w:rPr>
          <w:rFonts w:eastAsia="PMingLiU"/>
          <w:sz w:val="22"/>
          <w:szCs w:val="20"/>
          <w:highlight w:val="lightGray"/>
          <w:lang w:val="el-GR"/>
        </w:rPr>
        <w:t xml:space="preserve"> </w:t>
      </w:r>
      <w:r w:rsidRPr="00422380">
        <w:rPr>
          <w:rFonts w:eastAsia="PMingLiU"/>
          <w:sz w:val="22"/>
          <w:szCs w:val="20"/>
          <w:highlight w:val="lightGray"/>
        </w:rPr>
        <w:t>B</w:t>
      </w:r>
      <w:r>
        <w:rPr>
          <w:rFonts w:eastAsia="PMingLiU"/>
          <w:sz w:val="22"/>
          <w:szCs w:val="20"/>
          <w:highlight w:val="lightGray"/>
          <w:lang w:val="el-GR"/>
        </w:rPr>
        <w:t>.</w:t>
      </w:r>
      <w:r w:rsidRPr="00422380">
        <w:rPr>
          <w:rFonts w:eastAsia="PMingLiU"/>
          <w:sz w:val="22"/>
          <w:szCs w:val="20"/>
          <w:highlight w:val="lightGray"/>
        </w:rPr>
        <w:t>V</w:t>
      </w:r>
      <w:r>
        <w:rPr>
          <w:rFonts w:eastAsia="PMingLiU"/>
          <w:sz w:val="22"/>
          <w:szCs w:val="20"/>
          <w:highlight w:val="lightGray"/>
          <w:lang w:val="el-GR"/>
        </w:rPr>
        <w:t xml:space="preserve">. </w:t>
      </w:r>
      <w:r>
        <w:rPr>
          <w:rFonts w:eastAsia="PMingLiU"/>
          <w:sz w:val="22"/>
          <w:szCs w:val="20"/>
          <w:highlight w:val="lightGray"/>
          <w:lang w:val="el-GR"/>
        </w:rPr>
        <w:br/>
      </w:r>
      <w:r w:rsidRPr="00422380">
        <w:rPr>
          <w:rFonts w:eastAsia="PMingLiU"/>
          <w:sz w:val="22"/>
          <w:szCs w:val="20"/>
          <w:highlight w:val="lightGray"/>
        </w:rPr>
        <w:t>Minervum</w:t>
      </w:r>
      <w:r>
        <w:rPr>
          <w:rFonts w:eastAsia="PMingLiU"/>
          <w:sz w:val="22"/>
          <w:szCs w:val="20"/>
          <w:highlight w:val="lightGray"/>
          <w:lang w:val="el-GR"/>
        </w:rPr>
        <w:t xml:space="preserve"> 7061 </w:t>
      </w:r>
      <w:r>
        <w:rPr>
          <w:rFonts w:eastAsia="PMingLiU"/>
          <w:sz w:val="22"/>
          <w:szCs w:val="20"/>
          <w:highlight w:val="lightGray"/>
          <w:lang w:val="el-GR"/>
        </w:rPr>
        <w:br/>
        <w:t xml:space="preserve">4817 </w:t>
      </w:r>
      <w:r w:rsidRPr="00422380">
        <w:rPr>
          <w:rFonts w:eastAsia="PMingLiU"/>
          <w:sz w:val="22"/>
          <w:szCs w:val="20"/>
          <w:highlight w:val="lightGray"/>
        </w:rPr>
        <w:t>ZK</w:t>
      </w:r>
      <w:r>
        <w:rPr>
          <w:rFonts w:eastAsia="PMingLiU"/>
          <w:sz w:val="22"/>
          <w:szCs w:val="20"/>
          <w:highlight w:val="lightGray"/>
          <w:lang w:val="el-GR"/>
        </w:rPr>
        <w:t xml:space="preserve"> </w:t>
      </w:r>
      <w:r w:rsidRPr="00422380">
        <w:rPr>
          <w:rFonts w:eastAsia="PMingLiU"/>
          <w:sz w:val="22"/>
          <w:szCs w:val="20"/>
          <w:highlight w:val="lightGray"/>
        </w:rPr>
        <w:t>Breda</w:t>
      </w:r>
      <w:r>
        <w:rPr>
          <w:rFonts w:eastAsia="PMingLiU"/>
          <w:sz w:val="22"/>
          <w:szCs w:val="20"/>
          <w:highlight w:val="lightGray"/>
          <w:lang w:val="el-GR"/>
        </w:rPr>
        <w:t xml:space="preserve"> </w:t>
      </w:r>
      <w:r>
        <w:rPr>
          <w:rFonts w:eastAsia="PMingLiU"/>
          <w:sz w:val="22"/>
          <w:szCs w:val="20"/>
          <w:highlight w:val="lightGray"/>
          <w:lang w:val="el-GR"/>
        </w:rPr>
        <w:br/>
        <w:t>Ολλανδία</w:t>
      </w:r>
    </w:p>
    <w:p w14:paraId="034C5B2A" w14:textId="77777777" w:rsidR="00171824" w:rsidRDefault="00171824">
      <w:pPr>
        <w:widowControl/>
        <w:tabs>
          <w:tab w:val="left" w:pos="567"/>
        </w:tabs>
        <w:autoSpaceDE/>
        <w:autoSpaceDN/>
        <w:adjustRightInd/>
        <w:rPr>
          <w:rFonts w:eastAsia="PMingLiU"/>
          <w:sz w:val="22"/>
          <w:szCs w:val="20"/>
          <w:highlight w:val="lightGray"/>
          <w:lang w:val="el-GR"/>
        </w:rPr>
      </w:pPr>
    </w:p>
    <w:p w14:paraId="2352106F" w14:textId="77777777" w:rsidR="00171824" w:rsidRPr="00422380" w:rsidRDefault="006D258C">
      <w:pPr>
        <w:keepNext/>
        <w:widowControl/>
        <w:tabs>
          <w:tab w:val="left" w:pos="567"/>
        </w:tabs>
        <w:autoSpaceDE/>
        <w:autoSpaceDN/>
        <w:adjustRightInd/>
        <w:rPr>
          <w:rFonts w:eastAsia="PMingLiU"/>
          <w:b/>
          <w:sz w:val="22"/>
          <w:szCs w:val="20"/>
          <w:highlight w:val="lightGray"/>
          <w:lang w:val="el-GR"/>
        </w:rPr>
      </w:pPr>
      <w:r>
        <w:rPr>
          <w:rFonts w:eastAsia="PMingLiU"/>
          <w:b/>
          <w:sz w:val="22"/>
          <w:szCs w:val="20"/>
          <w:highlight w:val="lightGray"/>
          <w:lang w:val="el-GR"/>
        </w:rPr>
        <w:t>Παρασκευαστής</w:t>
      </w:r>
    </w:p>
    <w:p w14:paraId="1E4D3251" w14:textId="77777777" w:rsidR="00171824" w:rsidRPr="00422380" w:rsidRDefault="006D258C">
      <w:pPr>
        <w:keepNext/>
        <w:widowControl/>
        <w:tabs>
          <w:tab w:val="left" w:pos="567"/>
        </w:tabs>
        <w:autoSpaceDE/>
        <w:autoSpaceDN/>
        <w:adjustRightInd/>
        <w:rPr>
          <w:rFonts w:eastAsia="PMingLiU"/>
          <w:sz w:val="22"/>
          <w:szCs w:val="20"/>
          <w:highlight w:val="lightGray"/>
          <w:lang w:val="el-GR"/>
        </w:rPr>
      </w:pPr>
      <w:r w:rsidRPr="00422380">
        <w:rPr>
          <w:rFonts w:eastAsia="PMingLiU"/>
          <w:sz w:val="22"/>
          <w:szCs w:val="20"/>
          <w:highlight w:val="lightGray"/>
        </w:rPr>
        <w:t>Amgen</w:t>
      </w:r>
      <w:r w:rsidRPr="00422380">
        <w:rPr>
          <w:rFonts w:eastAsia="PMingLiU"/>
          <w:sz w:val="22"/>
          <w:szCs w:val="20"/>
          <w:highlight w:val="lightGray"/>
          <w:lang w:val="el-GR"/>
        </w:rPr>
        <w:t xml:space="preserve"> </w:t>
      </w:r>
      <w:r w:rsidRPr="00422380">
        <w:rPr>
          <w:rFonts w:eastAsia="PMingLiU"/>
          <w:sz w:val="22"/>
          <w:szCs w:val="20"/>
          <w:highlight w:val="lightGray"/>
        </w:rPr>
        <w:t>Technology</w:t>
      </w:r>
      <w:r w:rsidRPr="00422380">
        <w:rPr>
          <w:rFonts w:eastAsia="PMingLiU"/>
          <w:sz w:val="22"/>
          <w:szCs w:val="20"/>
          <w:highlight w:val="lightGray"/>
          <w:lang w:val="el-GR"/>
        </w:rPr>
        <w:t xml:space="preserve"> </w:t>
      </w:r>
      <w:r w:rsidRPr="00422380">
        <w:rPr>
          <w:rFonts w:eastAsia="PMingLiU"/>
          <w:sz w:val="22"/>
          <w:szCs w:val="20"/>
          <w:highlight w:val="lightGray"/>
        </w:rPr>
        <w:t>Ireland</w:t>
      </w:r>
      <w:r w:rsidRPr="00422380">
        <w:rPr>
          <w:rFonts w:eastAsia="PMingLiU"/>
          <w:sz w:val="22"/>
          <w:szCs w:val="20"/>
          <w:highlight w:val="lightGray"/>
          <w:lang w:val="el-GR"/>
        </w:rPr>
        <w:t xml:space="preserve"> </w:t>
      </w:r>
      <w:r w:rsidRPr="00422380">
        <w:rPr>
          <w:rFonts w:eastAsia="PMingLiU"/>
          <w:sz w:val="22"/>
          <w:szCs w:val="20"/>
          <w:highlight w:val="lightGray"/>
        </w:rPr>
        <w:t>UC</w:t>
      </w:r>
      <w:r w:rsidRPr="00422380">
        <w:rPr>
          <w:rFonts w:eastAsia="PMingLiU"/>
          <w:sz w:val="22"/>
          <w:szCs w:val="20"/>
          <w:highlight w:val="lightGray"/>
          <w:lang w:val="el-GR"/>
        </w:rPr>
        <w:t xml:space="preserve"> </w:t>
      </w:r>
    </w:p>
    <w:p w14:paraId="12901C8E" w14:textId="77777777" w:rsidR="00171824" w:rsidRPr="00422380"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Pottery Road</w:t>
      </w:r>
    </w:p>
    <w:p w14:paraId="3DA41FDE" w14:textId="77777777" w:rsidR="00171824" w:rsidRPr="00422380"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Dun Laoghaire</w:t>
      </w:r>
    </w:p>
    <w:p w14:paraId="5C676EE6" w14:textId="77777777" w:rsidR="00171824" w:rsidRPr="00422380"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Co Dublin</w:t>
      </w:r>
    </w:p>
    <w:p w14:paraId="071652F0" w14:textId="77777777" w:rsidR="00171824" w:rsidRPr="00422380" w:rsidRDefault="006D258C">
      <w:pPr>
        <w:widowControl/>
        <w:tabs>
          <w:tab w:val="left" w:pos="567"/>
        </w:tabs>
        <w:autoSpaceDE/>
        <w:autoSpaceDN/>
        <w:adjustRightInd/>
        <w:rPr>
          <w:rFonts w:eastAsia="PMingLiU"/>
          <w:sz w:val="22"/>
          <w:szCs w:val="20"/>
          <w:highlight w:val="lightGray"/>
        </w:rPr>
      </w:pPr>
      <w:r>
        <w:rPr>
          <w:rFonts w:eastAsia="PMingLiU"/>
          <w:sz w:val="22"/>
          <w:szCs w:val="20"/>
          <w:highlight w:val="lightGray"/>
          <w:lang w:val="el-GR"/>
        </w:rPr>
        <w:t>Ιρλανδία</w:t>
      </w:r>
    </w:p>
    <w:p w14:paraId="7E786B72" w14:textId="77777777" w:rsidR="00171824" w:rsidRPr="00422380" w:rsidRDefault="00171824">
      <w:pPr>
        <w:widowControl/>
        <w:kinsoku w:val="0"/>
        <w:overflowPunct w:val="0"/>
        <w:rPr>
          <w:sz w:val="22"/>
          <w:szCs w:val="22"/>
        </w:rPr>
      </w:pPr>
    </w:p>
    <w:p w14:paraId="6CBEDF56" w14:textId="77777777" w:rsidR="00171824" w:rsidRPr="00422380" w:rsidRDefault="006D258C">
      <w:pPr>
        <w:widowControl/>
        <w:tabs>
          <w:tab w:val="left" w:pos="567"/>
        </w:tabs>
        <w:autoSpaceDE/>
        <w:autoSpaceDN/>
        <w:adjustRightInd/>
        <w:rPr>
          <w:rFonts w:eastAsia="PMingLiU"/>
          <w:b/>
          <w:sz w:val="22"/>
          <w:szCs w:val="20"/>
          <w:highlight w:val="lightGray"/>
        </w:rPr>
      </w:pPr>
      <w:r>
        <w:rPr>
          <w:rFonts w:eastAsia="PMingLiU"/>
          <w:b/>
          <w:sz w:val="22"/>
          <w:szCs w:val="20"/>
          <w:highlight w:val="lightGray"/>
          <w:lang w:val="el-GR"/>
        </w:rPr>
        <w:t>Παρασκευαστής</w:t>
      </w:r>
    </w:p>
    <w:p w14:paraId="718AC7DF" w14:textId="77777777" w:rsidR="00171824" w:rsidRDefault="006D258C">
      <w:pPr>
        <w:rPr>
          <w:sz w:val="22"/>
          <w:szCs w:val="22"/>
          <w:highlight w:val="lightGray"/>
          <w:lang w:val="el-GR" w:eastAsia="ja-JP"/>
        </w:rPr>
      </w:pPr>
      <w:r w:rsidRPr="00422380">
        <w:rPr>
          <w:sz w:val="22"/>
          <w:szCs w:val="22"/>
          <w:highlight w:val="lightGray"/>
          <w:lang w:eastAsia="ja-JP"/>
        </w:rPr>
        <w:t>Amgen</w:t>
      </w:r>
      <w:r>
        <w:rPr>
          <w:sz w:val="22"/>
          <w:szCs w:val="22"/>
          <w:highlight w:val="lightGray"/>
          <w:lang w:val="el-GR" w:eastAsia="ja-JP"/>
        </w:rPr>
        <w:t xml:space="preserve"> </w:t>
      </w:r>
      <w:r w:rsidRPr="00422380">
        <w:rPr>
          <w:sz w:val="22"/>
          <w:szCs w:val="22"/>
          <w:highlight w:val="lightGray"/>
          <w:lang w:eastAsia="ja-JP"/>
        </w:rPr>
        <w:t>NV</w:t>
      </w:r>
    </w:p>
    <w:p w14:paraId="7422A9EC" w14:textId="77777777" w:rsidR="00171824" w:rsidRDefault="006D258C">
      <w:pPr>
        <w:rPr>
          <w:sz w:val="22"/>
          <w:szCs w:val="22"/>
          <w:highlight w:val="lightGray"/>
          <w:lang w:val="el-GR" w:eastAsia="ja-JP"/>
        </w:rPr>
      </w:pPr>
      <w:r>
        <w:rPr>
          <w:sz w:val="22"/>
          <w:szCs w:val="22"/>
          <w:highlight w:val="lightGray"/>
          <w:lang w:val="el-GR" w:eastAsia="ja-JP"/>
        </w:rPr>
        <w:t>Telecomlaan 5-7</w:t>
      </w:r>
    </w:p>
    <w:p w14:paraId="70DDC2EF" w14:textId="77777777" w:rsidR="00171824" w:rsidRDefault="006D258C">
      <w:pPr>
        <w:rPr>
          <w:sz w:val="22"/>
          <w:szCs w:val="22"/>
          <w:highlight w:val="lightGray"/>
          <w:lang w:val="el-GR" w:eastAsia="ja-JP"/>
        </w:rPr>
      </w:pPr>
      <w:r>
        <w:rPr>
          <w:sz w:val="22"/>
          <w:szCs w:val="22"/>
          <w:highlight w:val="lightGray"/>
          <w:lang w:val="el-GR" w:eastAsia="ja-JP"/>
        </w:rPr>
        <w:t>1831 Diegem</w:t>
      </w:r>
    </w:p>
    <w:p w14:paraId="068C42F0" w14:textId="77777777" w:rsidR="00171824" w:rsidRDefault="006D258C">
      <w:pPr>
        <w:rPr>
          <w:sz w:val="22"/>
          <w:szCs w:val="22"/>
          <w:highlight w:val="lightGray"/>
          <w:lang w:val="el-GR" w:eastAsia="ja-JP"/>
        </w:rPr>
      </w:pPr>
      <w:r>
        <w:rPr>
          <w:sz w:val="22"/>
          <w:szCs w:val="22"/>
          <w:highlight w:val="lightGray"/>
          <w:lang w:val="el-GR" w:eastAsia="ja-JP"/>
        </w:rPr>
        <w:t>Βέλγιο</w:t>
      </w:r>
    </w:p>
    <w:p w14:paraId="4DF0AB42" w14:textId="77777777" w:rsidR="00171824" w:rsidRDefault="00171824">
      <w:pPr>
        <w:widowControl/>
        <w:kinsoku w:val="0"/>
        <w:overflowPunct w:val="0"/>
        <w:rPr>
          <w:sz w:val="22"/>
          <w:szCs w:val="22"/>
          <w:lang w:val="el-GR"/>
        </w:rPr>
      </w:pPr>
    </w:p>
    <w:p w14:paraId="24E6D40D" w14:textId="77777777" w:rsidR="00171824" w:rsidRDefault="006D258C">
      <w:pPr>
        <w:widowControl/>
        <w:kinsoku w:val="0"/>
        <w:overflowPunct w:val="0"/>
        <w:rPr>
          <w:sz w:val="22"/>
          <w:szCs w:val="22"/>
          <w:lang w:val="el-GR"/>
        </w:rPr>
      </w:pPr>
      <w:r>
        <w:rPr>
          <w:sz w:val="22"/>
          <w:szCs w:val="22"/>
          <w:lang w:val="el-GR"/>
        </w:rPr>
        <w:t>Για οποιαδήποτε πληροφορία σχετικά με το παρόν φαρμακευτικό προϊόν, παρακαλείστε να απευθυνθείτε στον τοπικό αντιπρόσωπο του Κατόχου της Άδειας Κυκλοφορίας:</w:t>
      </w:r>
    </w:p>
    <w:p w14:paraId="4661BEBB" w14:textId="77777777" w:rsidR="00171824" w:rsidRDefault="00171824">
      <w:pPr>
        <w:widowControl/>
        <w:kinsoku w:val="0"/>
        <w:overflowPunct w:val="0"/>
        <w:rPr>
          <w:sz w:val="22"/>
          <w:szCs w:val="22"/>
          <w:lang w:val="el-GR"/>
        </w:rPr>
      </w:pPr>
    </w:p>
    <w:tbl>
      <w:tblPr>
        <w:tblW w:w="9356" w:type="dxa"/>
        <w:tblLook w:val="04A0" w:firstRow="1" w:lastRow="0" w:firstColumn="1" w:lastColumn="0" w:noHBand="0" w:noVBand="1"/>
      </w:tblPr>
      <w:tblGrid>
        <w:gridCol w:w="4677"/>
        <w:gridCol w:w="4679"/>
      </w:tblGrid>
      <w:tr w:rsidR="00171824" w14:paraId="3B8E91D7" w14:textId="77777777">
        <w:trPr>
          <w:cantSplit/>
        </w:trPr>
        <w:tc>
          <w:tcPr>
            <w:tcW w:w="4677" w:type="dxa"/>
          </w:tcPr>
          <w:p w14:paraId="2EDED4C4"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b/>
                <w:sz w:val="22"/>
                <w:szCs w:val="22"/>
                <w:lang w:val="fr-FR"/>
              </w:rPr>
              <w:t>België/Belgique/Belgien</w:t>
            </w:r>
          </w:p>
          <w:p w14:paraId="35952BF6"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s.a. Amgen n.v.</w:t>
            </w:r>
          </w:p>
          <w:p w14:paraId="36C43E2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Tél/Tel: +32 (0)2 7752711</w:t>
            </w:r>
          </w:p>
          <w:p w14:paraId="21914A71"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5DE19695" w14:textId="77777777" w:rsidR="00171824" w:rsidRPr="00CB2FBB" w:rsidRDefault="006D258C">
            <w:pPr>
              <w:widowControl/>
              <w:tabs>
                <w:tab w:val="left" w:pos="567"/>
              </w:tabs>
              <w:autoSpaceDE/>
              <w:autoSpaceDN/>
              <w:adjustRightInd/>
              <w:rPr>
                <w:rFonts w:eastAsia="PMingLiU"/>
                <w:b/>
                <w:sz w:val="22"/>
                <w:szCs w:val="22"/>
                <w:lang w:val="el-GR"/>
              </w:rPr>
            </w:pPr>
            <w:r w:rsidRPr="00422380">
              <w:rPr>
                <w:rFonts w:eastAsia="PMingLiU"/>
                <w:b/>
                <w:sz w:val="22"/>
                <w:szCs w:val="22"/>
              </w:rPr>
              <w:t>Lietuva</w:t>
            </w:r>
          </w:p>
          <w:p w14:paraId="325AC18C" w14:textId="77777777" w:rsidR="00171824" w:rsidRPr="00CB2FBB" w:rsidRDefault="006D258C">
            <w:pPr>
              <w:widowControl/>
              <w:tabs>
                <w:tab w:val="left" w:pos="567"/>
              </w:tabs>
              <w:autoSpaceDE/>
              <w:autoSpaceDN/>
              <w:adjustRightInd/>
              <w:rPr>
                <w:rFonts w:eastAsia="PMingLiU"/>
                <w:bCs/>
                <w:sz w:val="22"/>
                <w:szCs w:val="22"/>
                <w:lang w:val="el-GR"/>
              </w:rPr>
            </w:pPr>
            <w:r w:rsidRPr="00422380">
              <w:rPr>
                <w:rFonts w:eastAsia="PMingLiU"/>
                <w:sz w:val="22"/>
                <w:szCs w:val="22"/>
              </w:rPr>
              <w:t>Amgen</w:t>
            </w:r>
            <w:r w:rsidRPr="00CB2FBB">
              <w:rPr>
                <w:rFonts w:eastAsia="PMingLiU"/>
                <w:sz w:val="22"/>
                <w:szCs w:val="22"/>
                <w:lang w:val="el-GR"/>
              </w:rPr>
              <w:t xml:space="preserve"> </w:t>
            </w:r>
            <w:r w:rsidRPr="00422380">
              <w:rPr>
                <w:rFonts w:eastAsia="PMingLiU"/>
                <w:sz w:val="22"/>
                <w:szCs w:val="22"/>
              </w:rPr>
              <w:t>Switzerland</w:t>
            </w:r>
            <w:r w:rsidRPr="00CB2FBB">
              <w:rPr>
                <w:rFonts w:eastAsia="PMingLiU"/>
                <w:sz w:val="22"/>
                <w:szCs w:val="22"/>
                <w:lang w:val="el-GR"/>
              </w:rPr>
              <w:t xml:space="preserve"> </w:t>
            </w:r>
            <w:r w:rsidRPr="00422380">
              <w:rPr>
                <w:rFonts w:eastAsia="PMingLiU"/>
                <w:sz w:val="22"/>
                <w:szCs w:val="22"/>
              </w:rPr>
              <w:t>AG</w:t>
            </w:r>
            <w:r w:rsidRPr="00CB2FBB">
              <w:rPr>
                <w:rFonts w:eastAsia="PMingLiU"/>
                <w:sz w:val="22"/>
                <w:szCs w:val="22"/>
                <w:lang w:val="el-GR"/>
              </w:rPr>
              <w:t xml:space="preserve"> </w:t>
            </w:r>
            <w:r w:rsidRPr="00422380">
              <w:rPr>
                <w:rFonts w:eastAsia="PMingLiU"/>
                <w:sz w:val="22"/>
                <w:szCs w:val="22"/>
              </w:rPr>
              <w:t>Vilniaus</w:t>
            </w:r>
            <w:r w:rsidRPr="00CB2FBB">
              <w:rPr>
                <w:rFonts w:eastAsia="PMingLiU"/>
                <w:sz w:val="22"/>
                <w:szCs w:val="22"/>
                <w:lang w:val="el-GR"/>
              </w:rPr>
              <w:t xml:space="preserve"> </w:t>
            </w:r>
            <w:r w:rsidRPr="00422380">
              <w:rPr>
                <w:rFonts w:eastAsia="PMingLiU"/>
                <w:sz w:val="22"/>
                <w:szCs w:val="22"/>
              </w:rPr>
              <w:t>filialas</w:t>
            </w:r>
          </w:p>
          <w:p w14:paraId="5EBFF585"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w:t>
            </w:r>
            <w:del w:id="229" w:author="Author">
              <w:r>
                <w:rPr>
                  <w:rFonts w:eastAsia="PMingLiU"/>
                  <w:bCs/>
                  <w:sz w:val="22"/>
                  <w:szCs w:val="22"/>
                  <w:lang w:val="el-GR"/>
                </w:rPr>
                <w:delText xml:space="preserve">: </w:delText>
              </w:r>
            </w:del>
            <w:ins w:id="230" w:author="Author">
              <w:r>
                <w:rPr>
                  <w:rFonts w:eastAsia="PMingLiU"/>
                  <w:bCs/>
                  <w:sz w:val="22"/>
                  <w:szCs w:val="22"/>
                  <w:lang w:val="el-GR"/>
                </w:rPr>
                <w:t xml:space="preserve">. </w:t>
              </w:r>
            </w:ins>
            <w:r>
              <w:rPr>
                <w:rFonts w:eastAsia="PMingLiU"/>
                <w:bCs/>
                <w:sz w:val="22"/>
                <w:szCs w:val="22"/>
                <w:lang w:val="el-GR"/>
              </w:rPr>
              <w:t>+370 5 219 7474</w:t>
            </w:r>
          </w:p>
          <w:p w14:paraId="053ACB1C" w14:textId="77777777" w:rsidR="00171824" w:rsidRDefault="00171824">
            <w:pPr>
              <w:widowControl/>
              <w:tabs>
                <w:tab w:val="left" w:pos="567"/>
              </w:tabs>
              <w:autoSpaceDE/>
              <w:autoSpaceDN/>
              <w:adjustRightInd/>
              <w:rPr>
                <w:rFonts w:eastAsia="PMingLiU"/>
                <w:sz w:val="22"/>
                <w:szCs w:val="22"/>
                <w:lang w:val="el-GR"/>
              </w:rPr>
            </w:pPr>
          </w:p>
        </w:tc>
      </w:tr>
      <w:tr w:rsidR="00171824" w:rsidRPr="00AA11B3" w14:paraId="2DA62062" w14:textId="77777777">
        <w:trPr>
          <w:cantSplit/>
        </w:trPr>
        <w:tc>
          <w:tcPr>
            <w:tcW w:w="4677" w:type="dxa"/>
          </w:tcPr>
          <w:p w14:paraId="677DC66F" w14:textId="77777777" w:rsidR="00171824" w:rsidRPr="00422380" w:rsidRDefault="006D258C">
            <w:pPr>
              <w:widowControl/>
              <w:tabs>
                <w:tab w:val="left" w:pos="567"/>
              </w:tabs>
              <w:rPr>
                <w:rFonts w:eastAsia="PMingLiU"/>
                <w:b/>
                <w:sz w:val="22"/>
                <w:szCs w:val="22"/>
                <w:lang w:val="ru-RU"/>
              </w:rPr>
            </w:pPr>
            <w:r>
              <w:rPr>
                <w:rFonts w:eastAsia="PMingLiU"/>
                <w:b/>
                <w:sz w:val="22"/>
                <w:szCs w:val="22"/>
                <w:lang w:val="ru-RU"/>
              </w:rPr>
              <w:t>България</w:t>
            </w:r>
          </w:p>
          <w:p w14:paraId="5F328EA7" w14:textId="77777777" w:rsidR="00171824" w:rsidRPr="00422380" w:rsidRDefault="006D258C">
            <w:pPr>
              <w:widowControl/>
              <w:tabs>
                <w:tab w:val="left" w:pos="567"/>
              </w:tabs>
              <w:autoSpaceDE/>
              <w:autoSpaceDN/>
              <w:adjustRightInd/>
              <w:rPr>
                <w:rFonts w:eastAsia="PMingLiU"/>
                <w:sz w:val="22"/>
                <w:szCs w:val="22"/>
                <w:lang w:val="ru-RU"/>
              </w:rPr>
            </w:pPr>
            <w:r>
              <w:rPr>
                <w:rFonts w:eastAsia="Arial Unicode MS"/>
                <w:sz w:val="22"/>
                <w:szCs w:val="22"/>
                <w:lang w:val="ru-RU" w:eastAsia="en-GB"/>
              </w:rPr>
              <w:t>Амджен</w:t>
            </w:r>
            <w:r w:rsidRPr="00422380">
              <w:rPr>
                <w:rFonts w:eastAsia="Arial Unicode MS"/>
                <w:sz w:val="22"/>
                <w:szCs w:val="22"/>
                <w:lang w:val="ru-RU" w:eastAsia="en-GB"/>
              </w:rPr>
              <w:t xml:space="preserve"> </w:t>
            </w:r>
            <w:r>
              <w:rPr>
                <w:rFonts w:eastAsia="Arial Unicode MS"/>
                <w:sz w:val="22"/>
                <w:szCs w:val="22"/>
                <w:lang w:val="ru-RU" w:eastAsia="en-GB"/>
              </w:rPr>
              <w:t>България</w:t>
            </w:r>
            <w:r w:rsidRPr="00422380">
              <w:rPr>
                <w:rFonts w:eastAsia="PMingLiU"/>
                <w:sz w:val="22"/>
                <w:szCs w:val="22"/>
                <w:lang w:val="ru-RU"/>
              </w:rPr>
              <w:t xml:space="preserve"> </w:t>
            </w:r>
            <w:r>
              <w:rPr>
                <w:rFonts w:eastAsia="PMingLiU"/>
                <w:sz w:val="22"/>
                <w:szCs w:val="22"/>
                <w:lang w:val="ru-RU"/>
              </w:rPr>
              <w:t>ЕООД</w:t>
            </w:r>
          </w:p>
          <w:p w14:paraId="31977FF3" w14:textId="77777777" w:rsidR="00171824" w:rsidRPr="00422380" w:rsidRDefault="006D258C">
            <w:pPr>
              <w:widowControl/>
              <w:tabs>
                <w:tab w:val="left" w:pos="567"/>
              </w:tabs>
              <w:autoSpaceDE/>
              <w:autoSpaceDN/>
              <w:adjustRightInd/>
              <w:rPr>
                <w:rFonts w:eastAsia="Arial Unicode MS"/>
                <w:bCs/>
                <w:sz w:val="22"/>
                <w:szCs w:val="22"/>
                <w:lang w:val="ru-RU"/>
              </w:rPr>
            </w:pPr>
            <w:r>
              <w:rPr>
                <w:rFonts w:eastAsia="PMingLiU"/>
                <w:sz w:val="22"/>
                <w:szCs w:val="22"/>
                <w:lang w:val="ru-RU"/>
              </w:rPr>
              <w:t>Тел</w:t>
            </w:r>
            <w:r w:rsidRPr="00422380">
              <w:rPr>
                <w:rFonts w:eastAsia="Arial Unicode MS"/>
                <w:sz w:val="22"/>
                <w:szCs w:val="22"/>
                <w:lang w:val="ru-RU" w:eastAsia="en-GB"/>
              </w:rPr>
              <w:t>.: +</w:t>
            </w:r>
            <w:r w:rsidRPr="00422380">
              <w:rPr>
                <w:rFonts w:eastAsia="PMingLiU"/>
                <w:sz w:val="22"/>
                <w:szCs w:val="22"/>
                <w:lang w:val="ru-RU"/>
              </w:rPr>
              <w:t xml:space="preserve">359 </w:t>
            </w:r>
            <w:r w:rsidRPr="00422380">
              <w:rPr>
                <w:rFonts w:eastAsia="Arial Unicode MS"/>
                <w:bCs/>
                <w:sz w:val="22"/>
                <w:szCs w:val="22"/>
                <w:lang w:val="ru-RU"/>
              </w:rPr>
              <w:t>(0)</w:t>
            </w:r>
            <w:r w:rsidRPr="00422380">
              <w:rPr>
                <w:rFonts w:eastAsia="PMingLiU"/>
                <w:sz w:val="22"/>
                <w:szCs w:val="22"/>
                <w:lang w:val="ru-RU"/>
              </w:rPr>
              <w:t>2</w:t>
            </w:r>
            <w:r w:rsidRPr="00422380">
              <w:rPr>
                <w:rFonts w:eastAsia="Arial Unicode MS"/>
                <w:bCs/>
                <w:sz w:val="22"/>
                <w:szCs w:val="22"/>
              </w:rPr>
              <w:t> </w:t>
            </w:r>
            <w:r w:rsidRPr="00422380">
              <w:rPr>
                <w:rFonts w:eastAsia="Arial Unicode MS"/>
                <w:bCs/>
                <w:sz w:val="22"/>
                <w:szCs w:val="22"/>
                <w:lang w:val="ru-RU"/>
              </w:rPr>
              <w:t>424 7440</w:t>
            </w:r>
          </w:p>
          <w:p w14:paraId="1C145A9B" w14:textId="77777777" w:rsidR="00171824" w:rsidRPr="00422380" w:rsidRDefault="00171824">
            <w:pPr>
              <w:widowControl/>
              <w:tabs>
                <w:tab w:val="left" w:pos="567"/>
              </w:tabs>
              <w:autoSpaceDE/>
              <w:autoSpaceDN/>
              <w:adjustRightInd/>
              <w:rPr>
                <w:rFonts w:eastAsia="PMingLiU"/>
                <w:sz w:val="22"/>
                <w:szCs w:val="22"/>
                <w:lang w:val="ru-RU"/>
              </w:rPr>
            </w:pPr>
          </w:p>
        </w:tc>
        <w:tc>
          <w:tcPr>
            <w:tcW w:w="4679" w:type="dxa"/>
          </w:tcPr>
          <w:p w14:paraId="53E4B12B"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b/>
                <w:sz w:val="22"/>
                <w:szCs w:val="22"/>
                <w:lang w:val="de-DE"/>
              </w:rPr>
              <w:t>Luxembourg/Luxemburg</w:t>
            </w:r>
          </w:p>
          <w:p w14:paraId="076D95B1"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 xml:space="preserve">s.a. Amgen </w:t>
            </w:r>
          </w:p>
          <w:p w14:paraId="12145D54"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Belgique/Belgien</w:t>
            </w:r>
          </w:p>
          <w:p w14:paraId="324D1192"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Tél/Tel: +32 (0)2 7752711</w:t>
            </w:r>
          </w:p>
          <w:p w14:paraId="51A7CE67" w14:textId="77777777" w:rsidR="00171824" w:rsidRPr="00422380" w:rsidRDefault="00171824">
            <w:pPr>
              <w:widowControl/>
              <w:tabs>
                <w:tab w:val="left" w:pos="567"/>
              </w:tabs>
              <w:autoSpaceDE/>
              <w:autoSpaceDN/>
              <w:adjustRightInd/>
              <w:rPr>
                <w:rFonts w:eastAsia="PMingLiU"/>
                <w:sz w:val="22"/>
                <w:szCs w:val="22"/>
                <w:lang w:val="fr-FR"/>
              </w:rPr>
            </w:pPr>
          </w:p>
        </w:tc>
      </w:tr>
      <w:tr w:rsidR="00171824" w14:paraId="3001C32F" w14:textId="77777777">
        <w:trPr>
          <w:cantSplit/>
        </w:trPr>
        <w:tc>
          <w:tcPr>
            <w:tcW w:w="4677" w:type="dxa"/>
          </w:tcPr>
          <w:p w14:paraId="593516B5" w14:textId="77777777" w:rsidR="00171824" w:rsidRPr="00422380" w:rsidRDefault="006D258C">
            <w:pPr>
              <w:keepNext/>
              <w:widowControl/>
              <w:tabs>
                <w:tab w:val="left" w:pos="567"/>
              </w:tabs>
              <w:autoSpaceDE/>
              <w:autoSpaceDN/>
              <w:adjustRightInd/>
              <w:rPr>
                <w:rFonts w:eastAsia="PMingLiU"/>
                <w:b/>
                <w:sz w:val="22"/>
                <w:szCs w:val="22"/>
                <w:lang w:val="sv-SE"/>
              </w:rPr>
            </w:pPr>
            <w:r w:rsidRPr="00422380">
              <w:rPr>
                <w:rFonts w:eastAsia="PMingLiU"/>
                <w:b/>
                <w:sz w:val="22"/>
                <w:szCs w:val="22"/>
                <w:lang w:val="sv-SE"/>
              </w:rPr>
              <w:t>Česká republika</w:t>
            </w:r>
          </w:p>
          <w:p w14:paraId="64B5060D" w14:textId="77777777" w:rsidR="00171824" w:rsidRPr="00422380" w:rsidRDefault="006D258C">
            <w:pPr>
              <w:keepNext/>
              <w:widowControl/>
              <w:tabs>
                <w:tab w:val="left" w:pos="567"/>
              </w:tabs>
              <w:autoSpaceDE/>
              <w:autoSpaceDN/>
              <w:adjustRightInd/>
              <w:rPr>
                <w:rFonts w:eastAsia="PMingLiU"/>
                <w:sz w:val="22"/>
                <w:szCs w:val="22"/>
                <w:lang w:val="sv-SE"/>
              </w:rPr>
            </w:pPr>
            <w:r w:rsidRPr="00422380">
              <w:rPr>
                <w:rFonts w:eastAsia="PMingLiU"/>
                <w:bCs/>
                <w:sz w:val="22"/>
                <w:szCs w:val="22"/>
                <w:lang w:val="sv-SE"/>
              </w:rPr>
              <w:t>Amgen</w:t>
            </w:r>
            <w:r w:rsidRPr="00422380">
              <w:rPr>
                <w:rFonts w:eastAsia="PMingLiU"/>
                <w:sz w:val="22"/>
                <w:szCs w:val="22"/>
                <w:lang w:val="sv-SE"/>
              </w:rPr>
              <w:t xml:space="preserve"> s.r.o.</w:t>
            </w:r>
          </w:p>
          <w:p w14:paraId="0FB61AEF"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+420 </w:t>
            </w:r>
            <w:r>
              <w:rPr>
                <w:rFonts w:eastAsia="PMingLiU"/>
                <w:bCs/>
                <w:sz w:val="22"/>
                <w:szCs w:val="22"/>
                <w:lang w:val="el-GR"/>
              </w:rPr>
              <w:t>221 773 500</w:t>
            </w:r>
          </w:p>
          <w:p w14:paraId="5834001D"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5DF548B4"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Magyarország</w:t>
            </w:r>
          </w:p>
          <w:p w14:paraId="25F2F802" w14:textId="77777777" w:rsidR="00171824" w:rsidRDefault="006D258C">
            <w:pPr>
              <w:widowControl/>
              <w:tabs>
                <w:tab w:val="left" w:pos="567"/>
              </w:tabs>
              <w:autoSpaceDE/>
              <w:autoSpaceDN/>
              <w:adjustRightInd/>
              <w:rPr>
                <w:rFonts w:eastAsia="PMingLiU"/>
                <w:sz w:val="22"/>
                <w:szCs w:val="22"/>
                <w:lang w:val="el-GR"/>
              </w:rPr>
            </w:pPr>
            <w:r>
              <w:rPr>
                <w:rFonts w:eastAsia="PMingLiU"/>
                <w:bCs/>
                <w:sz w:val="22"/>
                <w:szCs w:val="22"/>
                <w:lang w:val="el-GR"/>
              </w:rPr>
              <w:t>Amgen</w:t>
            </w:r>
            <w:r>
              <w:rPr>
                <w:rFonts w:eastAsia="PMingLiU"/>
                <w:sz w:val="22"/>
                <w:szCs w:val="22"/>
                <w:lang w:val="el-GR"/>
              </w:rPr>
              <w:t xml:space="preserve"> Kft.</w:t>
            </w:r>
          </w:p>
          <w:p w14:paraId="75213DAA"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Tel</w:t>
            </w:r>
            <w:r>
              <w:rPr>
                <w:rFonts w:eastAsia="PMingLiU"/>
                <w:bCs/>
                <w:sz w:val="22"/>
                <w:szCs w:val="22"/>
                <w:lang w:val="el-GR"/>
              </w:rPr>
              <w:t>.: +</w:t>
            </w:r>
            <w:r>
              <w:rPr>
                <w:rFonts w:eastAsia="PMingLiU"/>
                <w:sz w:val="22"/>
                <w:szCs w:val="22"/>
                <w:lang w:val="el-GR"/>
              </w:rPr>
              <w:t xml:space="preserve">36 1 </w:t>
            </w:r>
            <w:r>
              <w:rPr>
                <w:rFonts w:eastAsia="PMingLiU"/>
                <w:bCs/>
                <w:sz w:val="22"/>
                <w:szCs w:val="22"/>
                <w:lang w:val="el-GR"/>
              </w:rPr>
              <w:t>35 44 700</w:t>
            </w:r>
          </w:p>
          <w:p w14:paraId="174793E7" w14:textId="77777777" w:rsidR="00171824" w:rsidRDefault="00171824">
            <w:pPr>
              <w:widowControl/>
              <w:tabs>
                <w:tab w:val="left" w:pos="567"/>
              </w:tabs>
              <w:autoSpaceDE/>
              <w:autoSpaceDN/>
              <w:adjustRightInd/>
              <w:rPr>
                <w:rFonts w:eastAsia="PMingLiU"/>
                <w:sz w:val="22"/>
                <w:szCs w:val="22"/>
                <w:lang w:val="el-GR"/>
              </w:rPr>
            </w:pPr>
          </w:p>
        </w:tc>
      </w:tr>
      <w:tr w:rsidR="00171824" w14:paraId="787B8AE2" w14:textId="77777777">
        <w:trPr>
          <w:cantSplit/>
        </w:trPr>
        <w:tc>
          <w:tcPr>
            <w:tcW w:w="4677" w:type="dxa"/>
          </w:tcPr>
          <w:p w14:paraId="4EA9B9BD"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Danmark</w:t>
            </w:r>
          </w:p>
          <w:p w14:paraId="6047756E"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filial af Amgen AB, Sverige</w:t>
            </w:r>
          </w:p>
          <w:p w14:paraId="3070DAC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w:t>
            </w:r>
            <w:ins w:id="231" w:author="Author">
              <w:r>
                <w:rPr>
                  <w:rFonts w:eastAsia="PMingLiU"/>
                  <w:sz w:val="22"/>
                  <w:szCs w:val="22"/>
                  <w:lang w:val="el-GR"/>
                </w:rPr>
                <w:t>.</w:t>
              </w:r>
            </w:ins>
            <w:r>
              <w:rPr>
                <w:rFonts w:eastAsia="PMingLiU"/>
                <w:sz w:val="22"/>
                <w:szCs w:val="22"/>
                <w:lang w:val="el-GR"/>
              </w:rPr>
              <w:t>: +45 39617500</w:t>
            </w:r>
          </w:p>
          <w:p w14:paraId="7485A14A"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45897909" w14:textId="77777777" w:rsidR="00171824" w:rsidRPr="00422380" w:rsidRDefault="006D258C">
            <w:pPr>
              <w:widowControl/>
              <w:tabs>
                <w:tab w:val="left" w:pos="567"/>
              </w:tabs>
              <w:autoSpaceDE/>
              <w:autoSpaceDN/>
              <w:adjustRightInd/>
              <w:rPr>
                <w:rFonts w:eastAsia="PMingLiU"/>
                <w:b/>
                <w:sz w:val="22"/>
                <w:szCs w:val="22"/>
                <w:lang w:val="it-IT"/>
              </w:rPr>
            </w:pPr>
            <w:r w:rsidRPr="00422380">
              <w:rPr>
                <w:rFonts w:eastAsia="PMingLiU"/>
                <w:b/>
                <w:sz w:val="22"/>
                <w:szCs w:val="22"/>
                <w:lang w:val="it-IT"/>
              </w:rPr>
              <w:t>Malta</w:t>
            </w:r>
          </w:p>
          <w:p w14:paraId="45F53080" w14:textId="77777777" w:rsidR="00171824" w:rsidRPr="00422380" w:rsidRDefault="006D258C">
            <w:pPr>
              <w:widowControl/>
              <w:tabs>
                <w:tab w:val="left" w:pos="567"/>
              </w:tabs>
              <w:autoSpaceDE/>
              <w:autoSpaceDN/>
              <w:adjustRightInd/>
              <w:rPr>
                <w:rFonts w:eastAsia="PMingLiU"/>
                <w:bCs/>
                <w:sz w:val="22"/>
                <w:szCs w:val="22"/>
                <w:lang w:val="it-IT"/>
              </w:rPr>
            </w:pPr>
            <w:r w:rsidRPr="00422380">
              <w:rPr>
                <w:rFonts w:eastAsia="PMingLiU"/>
                <w:bCs/>
                <w:sz w:val="22"/>
                <w:szCs w:val="22"/>
                <w:lang w:val="it-IT"/>
              </w:rPr>
              <w:t>Amgen S.r.l.</w:t>
            </w:r>
          </w:p>
          <w:p w14:paraId="6A527D5B"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Italy</w:t>
            </w:r>
          </w:p>
          <w:p w14:paraId="79A00A9C"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 +39 02 6241121</w:t>
            </w:r>
          </w:p>
          <w:p w14:paraId="0BC3FADC" w14:textId="77777777" w:rsidR="00171824" w:rsidRDefault="00171824">
            <w:pPr>
              <w:widowControl/>
              <w:tabs>
                <w:tab w:val="left" w:pos="567"/>
              </w:tabs>
              <w:autoSpaceDE/>
              <w:autoSpaceDN/>
              <w:adjustRightInd/>
              <w:rPr>
                <w:rFonts w:eastAsia="PMingLiU"/>
                <w:sz w:val="22"/>
                <w:szCs w:val="22"/>
                <w:lang w:val="el-GR"/>
              </w:rPr>
            </w:pPr>
          </w:p>
        </w:tc>
      </w:tr>
      <w:tr w:rsidR="00171824" w:rsidRPr="00A07F46" w14:paraId="476C3EE7" w14:textId="77777777">
        <w:trPr>
          <w:cantSplit/>
        </w:trPr>
        <w:tc>
          <w:tcPr>
            <w:tcW w:w="4677" w:type="dxa"/>
          </w:tcPr>
          <w:p w14:paraId="368BEC73"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Deutschland</w:t>
            </w:r>
          </w:p>
          <w:p w14:paraId="30FAC46E"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GmbH</w:t>
            </w:r>
          </w:p>
          <w:p w14:paraId="1F4E82D5"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+49 89 1490960</w:t>
            </w:r>
          </w:p>
          <w:p w14:paraId="21FDFB2D"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2799A000"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Nederland</w:t>
            </w:r>
          </w:p>
          <w:p w14:paraId="4B9BF1BF"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B.V.</w:t>
            </w:r>
          </w:p>
          <w:p w14:paraId="38960CBF"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sz w:val="22"/>
                <w:szCs w:val="22"/>
                <w:lang w:val="da-DK"/>
              </w:rPr>
              <w:t>Tel: +31 (0)76 5732500</w:t>
            </w:r>
          </w:p>
          <w:p w14:paraId="6F73C57D" w14:textId="77777777" w:rsidR="00171824" w:rsidRPr="00422380" w:rsidRDefault="00171824">
            <w:pPr>
              <w:widowControl/>
              <w:tabs>
                <w:tab w:val="left" w:pos="567"/>
              </w:tabs>
              <w:autoSpaceDE/>
              <w:autoSpaceDN/>
              <w:adjustRightInd/>
              <w:rPr>
                <w:rFonts w:eastAsia="PMingLiU"/>
                <w:sz w:val="22"/>
                <w:szCs w:val="22"/>
                <w:lang w:val="da-DK"/>
              </w:rPr>
            </w:pPr>
          </w:p>
        </w:tc>
      </w:tr>
      <w:tr w:rsidR="00171824" w14:paraId="6EDCCA55" w14:textId="77777777">
        <w:trPr>
          <w:cantSplit/>
        </w:trPr>
        <w:tc>
          <w:tcPr>
            <w:tcW w:w="4677" w:type="dxa"/>
          </w:tcPr>
          <w:p w14:paraId="1EB5EC60" w14:textId="77777777" w:rsidR="00171824" w:rsidRPr="00422380" w:rsidRDefault="006D258C">
            <w:pPr>
              <w:widowControl/>
              <w:tabs>
                <w:tab w:val="left" w:pos="567"/>
              </w:tabs>
              <w:autoSpaceDE/>
              <w:autoSpaceDN/>
              <w:adjustRightInd/>
              <w:rPr>
                <w:rFonts w:eastAsia="PMingLiU"/>
                <w:b/>
                <w:sz w:val="22"/>
                <w:szCs w:val="22"/>
                <w:lang w:val="da-DK"/>
              </w:rPr>
            </w:pPr>
            <w:r w:rsidRPr="00422380">
              <w:rPr>
                <w:rFonts w:eastAsia="PMingLiU"/>
                <w:b/>
                <w:sz w:val="22"/>
                <w:szCs w:val="22"/>
                <w:lang w:val="da-DK"/>
              </w:rPr>
              <w:t>Eesti</w:t>
            </w:r>
          </w:p>
          <w:p w14:paraId="4439EB27"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bCs/>
                <w:sz w:val="22"/>
                <w:szCs w:val="22"/>
                <w:lang w:val="da-DK"/>
              </w:rPr>
              <w:t xml:space="preserve">Amgen Switzerland AG </w:t>
            </w:r>
            <w:r w:rsidRPr="00422380">
              <w:rPr>
                <w:rFonts w:eastAsia="PMingLiU"/>
                <w:sz w:val="22"/>
                <w:szCs w:val="22"/>
                <w:lang w:val="da-DK"/>
              </w:rPr>
              <w:t>Vilniaus filialas</w:t>
            </w:r>
          </w:p>
          <w:p w14:paraId="7CFF0D8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+372 586 09553</w:t>
            </w:r>
          </w:p>
          <w:p w14:paraId="5FB81159"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37E5A7A"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Norge</w:t>
            </w:r>
          </w:p>
          <w:p w14:paraId="1161B751"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AB</w:t>
            </w:r>
          </w:p>
          <w:p w14:paraId="6CC24C5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 +47 23308000</w:t>
            </w:r>
          </w:p>
          <w:p w14:paraId="74F82628" w14:textId="77777777" w:rsidR="00171824" w:rsidRDefault="00171824">
            <w:pPr>
              <w:widowControl/>
              <w:tabs>
                <w:tab w:val="left" w:pos="567"/>
              </w:tabs>
              <w:autoSpaceDE/>
              <w:autoSpaceDN/>
              <w:adjustRightInd/>
              <w:rPr>
                <w:rFonts w:eastAsia="PMingLiU"/>
                <w:sz w:val="22"/>
                <w:szCs w:val="22"/>
                <w:lang w:val="el-GR"/>
              </w:rPr>
            </w:pPr>
          </w:p>
        </w:tc>
      </w:tr>
      <w:tr w:rsidR="00171824" w14:paraId="068AAFCD" w14:textId="77777777">
        <w:trPr>
          <w:cantSplit/>
        </w:trPr>
        <w:tc>
          <w:tcPr>
            <w:tcW w:w="4677" w:type="dxa"/>
          </w:tcPr>
          <w:p w14:paraId="274B1E2F"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Ελλάδα</w:t>
            </w:r>
          </w:p>
          <w:p w14:paraId="07D1BBEE"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Ελλάς Φαρμακευτικά Ε.Π.Ε. </w:t>
            </w:r>
          </w:p>
          <w:p w14:paraId="14235E8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Τηλ: +30 210 3447000</w:t>
            </w:r>
          </w:p>
          <w:p w14:paraId="2BEEE678"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070C599F"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Österreich</w:t>
            </w:r>
          </w:p>
          <w:p w14:paraId="7FD6DBE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GmbH </w:t>
            </w:r>
          </w:p>
          <w:p w14:paraId="70C0625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+43 (0)1 50 217</w:t>
            </w:r>
          </w:p>
          <w:p w14:paraId="1F89DA5C" w14:textId="77777777" w:rsidR="00171824" w:rsidRDefault="00171824">
            <w:pPr>
              <w:widowControl/>
              <w:tabs>
                <w:tab w:val="left" w:pos="567"/>
              </w:tabs>
              <w:autoSpaceDE/>
              <w:autoSpaceDN/>
              <w:adjustRightInd/>
              <w:rPr>
                <w:rFonts w:eastAsia="PMingLiU"/>
                <w:sz w:val="22"/>
                <w:szCs w:val="22"/>
                <w:lang w:val="el-GR"/>
              </w:rPr>
            </w:pPr>
          </w:p>
        </w:tc>
      </w:tr>
      <w:tr w:rsidR="00171824" w14:paraId="30D5C0EF" w14:textId="77777777">
        <w:trPr>
          <w:cantSplit/>
        </w:trPr>
        <w:tc>
          <w:tcPr>
            <w:tcW w:w="4677" w:type="dxa"/>
          </w:tcPr>
          <w:p w14:paraId="1186FDAE"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b/>
                <w:sz w:val="22"/>
                <w:szCs w:val="22"/>
                <w:lang w:val="es-ES"/>
              </w:rPr>
              <w:lastRenderedPageBreak/>
              <w:t>España</w:t>
            </w:r>
          </w:p>
          <w:p w14:paraId="02BEA427"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Amgen S.A.</w:t>
            </w:r>
          </w:p>
          <w:p w14:paraId="66AC1886"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 xml:space="preserve">Tel: +34 93 600 18 60 </w:t>
            </w:r>
          </w:p>
          <w:p w14:paraId="7335BAE6" w14:textId="77777777" w:rsidR="00171824" w:rsidRPr="00422380" w:rsidRDefault="00171824">
            <w:pPr>
              <w:keepNext/>
              <w:widowControl/>
              <w:tabs>
                <w:tab w:val="left" w:pos="567"/>
              </w:tabs>
              <w:autoSpaceDE/>
              <w:autoSpaceDN/>
              <w:adjustRightInd/>
              <w:rPr>
                <w:rFonts w:eastAsia="PMingLiU"/>
                <w:sz w:val="22"/>
                <w:szCs w:val="22"/>
                <w:lang w:val="es-ES"/>
              </w:rPr>
            </w:pPr>
          </w:p>
        </w:tc>
        <w:tc>
          <w:tcPr>
            <w:tcW w:w="4679" w:type="dxa"/>
          </w:tcPr>
          <w:p w14:paraId="6F5001D0" w14:textId="77777777" w:rsidR="00171824" w:rsidRPr="00422380" w:rsidRDefault="006D258C">
            <w:pPr>
              <w:keepNext/>
              <w:widowControl/>
              <w:tabs>
                <w:tab w:val="left" w:pos="567"/>
              </w:tabs>
              <w:autoSpaceDE/>
              <w:autoSpaceDN/>
              <w:adjustRightInd/>
              <w:rPr>
                <w:rFonts w:eastAsia="PMingLiU"/>
                <w:b/>
                <w:sz w:val="22"/>
                <w:szCs w:val="22"/>
                <w:lang w:val="pl-PL"/>
              </w:rPr>
            </w:pPr>
            <w:r w:rsidRPr="00422380">
              <w:rPr>
                <w:rFonts w:eastAsia="PMingLiU"/>
                <w:b/>
                <w:sz w:val="22"/>
                <w:szCs w:val="22"/>
                <w:lang w:val="pl-PL"/>
              </w:rPr>
              <w:t>Polska</w:t>
            </w:r>
          </w:p>
          <w:p w14:paraId="6B6276EE" w14:textId="77777777" w:rsidR="00171824" w:rsidRPr="00422380" w:rsidRDefault="006D258C">
            <w:pPr>
              <w:keepNext/>
              <w:widowControl/>
              <w:tabs>
                <w:tab w:val="left" w:pos="567"/>
              </w:tabs>
              <w:autoSpaceDE/>
              <w:autoSpaceDN/>
              <w:adjustRightInd/>
              <w:rPr>
                <w:rFonts w:eastAsia="PMingLiU"/>
                <w:sz w:val="22"/>
                <w:szCs w:val="22"/>
                <w:lang w:val="pl-PL"/>
              </w:rPr>
            </w:pPr>
            <w:r w:rsidRPr="00422380">
              <w:rPr>
                <w:rFonts w:eastAsia="PMingLiU"/>
                <w:sz w:val="22"/>
                <w:szCs w:val="22"/>
                <w:lang w:val="pl-PL"/>
              </w:rPr>
              <w:t xml:space="preserve">Amgen </w:t>
            </w:r>
            <w:r w:rsidRPr="00422380">
              <w:rPr>
                <w:rFonts w:eastAsia="PMingLiU"/>
                <w:color w:val="000000"/>
                <w:sz w:val="22"/>
                <w:szCs w:val="22"/>
                <w:lang w:val="pl-PL" w:eastAsia="en-GB"/>
              </w:rPr>
              <w:t>Biotechnologia</w:t>
            </w:r>
            <w:r w:rsidRPr="00422380">
              <w:rPr>
                <w:rFonts w:eastAsia="PMingLiU"/>
                <w:sz w:val="22"/>
                <w:szCs w:val="22"/>
                <w:lang w:val="pl-PL"/>
              </w:rPr>
              <w:t xml:space="preserve"> Sp. z o.o.</w:t>
            </w:r>
          </w:p>
          <w:p w14:paraId="3B7977BB"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+48 22 </w:t>
            </w:r>
            <w:r>
              <w:rPr>
                <w:rFonts w:eastAsia="PMingLiU"/>
                <w:bCs/>
                <w:sz w:val="22"/>
                <w:szCs w:val="22"/>
                <w:lang w:val="el-GR"/>
              </w:rPr>
              <w:t>581 3000</w:t>
            </w:r>
          </w:p>
          <w:p w14:paraId="3DF310BC" w14:textId="77777777" w:rsidR="00171824" w:rsidRDefault="00171824">
            <w:pPr>
              <w:keepNext/>
              <w:widowControl/>
              <w:tabs>
                <w:tab w:val="left" w:pos="567"/>
              </w:tabs>
              <w:autoSpaceDE/>
              <w:autoSpaceDN/>
              <w:adjustRightInd/>
              <w:rPr>
                <w:rFonts w:eastAsia="PMingLiU"/>
                <w:sz w:val="22"/>
                <w:szCs w:val="22"/>
                <w:lang w:val="el-GR"/>
              </w:rPr>
            </w:pPr>
          </w:p>
        </w:tc>
      </w:tr>
      <w:tr w:rsidR="00171824" w14:paraId="75E51985" w14:textId="77777777">
        <w:trPr>
          <w:cantSplit/>
        </w:trPr>
        <w:tc>
          <w:tcPr>
            <w:tcW w:w="4677" w:type="dxa"/>
          </w:tcPr>
          <w:p w14:paraId="135752FD"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b/>
                <w:sz w:val="22"/>
                <w:szCs w:val="22"/>
                <w:lang w:val="fr-CA"/>
              </w:rPr>
              <w:t>France</w:t>
            </w:r>
          </w:p>
          <w:p w14:paraId="1817764D"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sz w:val="22"/>
                <w:szCs w:val="22"/>
                <w:lang w:val="fr-CA"/>
              </w:rPr>
              <w:t>Amgen S.A.S.</w:t>
            </w:r>
          </w:p>
          <w:p w14:paraId="572218E6" w14:textId="77777777" w:rsidR="00171824" w:rsidRDefault="006D258C">
            <w:pPr>
              <w:widowControl/>
              <w:tabs>
                <w:tab w:val="left" w:pos="567"/>
              </w:tabs>
              <w:autoSpaceDE/>
              <w:autoSpaceDN/>
              <w:adjustRightInd/>
              <w:rPr>
                <w:rFonts w:eastAsia="MS Mincho"/>
                <w:sz w:val="22"/>
                <w:szCs w:val="22"/>
                <w:lang w:val="el-GR" w:eastAsia="en-IN"/>
              </w:rPr>
            </w:pPr>
            <w:r>
              <w:rPr>
                <w:rFonts w:eastAsia="PMingLiU"/>
                <w:sz w:val="22"/>
                <w:szCs w:val="22"/>
                <w:lang w:val="el-GR"/>
              </w:rPr>
              <w:t>Tél: +33 (0)9 69 363 363</w:t>
            </w:r>
          </w:p>
          <w:p w14:paraId="522220D8"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0252F0E3"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b/>
                <w:sz w:val="22"/>
                <w:szCs w:val="22"/>
              </w:rPr>
              <w:t>Portugal</w:t>
            </w:r>
          </w:p>
          <w:p w14:paraId="42EFF5F4"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Biofarmacêutica, Lda.</w:t>
            </w:r>
          </w:p>
          <w:p w14:paraId="0ABB620B"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Tel: +351 21 4220606</w:t>
            </w:r>
          </w:p>
          <w:p w14:paraId="51AD06A7" w14:textId="77777777" w:rsidR="00171824" w:rsidRPr="00422380" w:rsidRDefault="00171824">
            <w:pPr>
              <w:widowControl/>
              <w:tabs>
                <w:tab w:val="left" w:pos="567"/>
              </w:tabs>
              <w:autoSpaceDE/>
              <w:autoSpaceDN/>
              <w:adjustRightInd/>
              <w:rPr>
                <w:rFonts w:eastAsia="PMingLiU"/>
                <w:sz w:val="22"/>
                <w:szCs w:val="22"/>
              </w:rPr>
            </w:pPr>
          </w:p>
        </w:tc>
      </w:tr>
      <w:tr w:rsidR="00171824" w:rsidRPr="00422380" w14:paraId="1004711E" w14:textId="77777777">
        <w:trPr>
          <w:cantSplit/>
        </w:trPr>
        <w:tc>
          <w:tcPr>
            <w:tcW w:w="4677" w:type="dxa"/>
          </w:tcPr>
          <w:p w14:paraId="7110EFE3"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b/>
                <w:sz w:val="22"/>
                <w:szCs w:val="22"/>
                <w:lang w:val="sv-SE"/>
              </w:rPr>
              <w:t>Hrvatska</w:t>
            </w:r>
          </w:p>
          <w:p w14:paraId="31CFB8F3"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sz w:val="22"/>
                <w:szCs w:val="22"/>
                <w:lang w:val="sv-SE"/>
              </w:rPr>
              <w:t>Amgen d.o.o.</w:t>
            </w:r>
          </w:p>
          <w:p w14:paraId="08F701E5" w14:textId="77777777" w:rsidR="00171824" w:rsidRDefault="006D258C">
            <w:pPr>
              <w:keepNext/>
              <w:keepLines/>
              <w:widowControl/>
              <w:tabs>
                <w:tab w:val="left" w:pos="567"/>
              </w:tabs>
              <w:autoSpaceDE/>
              <w:autoSpaceDN/>
              <w:adjustRightInd/>
              <w:rPr>
                <w:rFonts w:eastAsia="MS Mincho"/>
                <w:sz w:val="22"/>
                <w:szCs w:val="22"/>
                <w:lang w:val="el-GR" w:eastAsia="en-IN"/>
              </w:rPr>
            </w:pPr>
            <w:r>
              <w:rPr>
                <w:rFonts w:eastAsia="PMingLiU"/>
                <w:sz w:val="22"/>
                <w:szCs w:val="22"/>
                <w:lang w:val="el-GR"/>
              </w:rPr>
              <w:t>Tel: +385 (0)1 562 57 20</w:t>
            </w:r>
          </w:p>
          <w:p w14:paraId="071069D7" w14:textId="77777777" w:rsidR="00171824" w:rsidRDefault="00171824">
            <w:pPr>
              <w:keepNext/>
              <w:keepLines/>
              <w:widowControl/>
              <w:tabs>
                <w:tab w:val="left" w:pos="567"/>
              </w:tabs>
              <w:autoSpaceDE/>
              <w:autoSpaceDN/>
              <w:adjustRightInd/>
              <w:rPr>
                <w:rFonts w:eastAsia="PMingLiU"/>
                <w:sz w:val="22"/>
                <w:szCs w:val="22"/>
                <w:lang w:val="el-GR"/>
              </w:rPr>
            </w:pPr>
          </w:p>
        </w:tc>
        <w:tc>
          <w:tcPr>
            <w:tcW w:w="4679" w:type="dxa"/>
          </w:tcPr>
          <w:p w14:paraId="1BB900B3" w14:textId="77777777" w:rsidR="00171824" w:rsidRPr="00422380" w:rsidRDefault="006D258C">
            <w:pPr>
              <w:keepNext/>
              <w:keepLines/>
              <w:widowControl/>
              <w:tabs>
                <w:tab w:val="left" w:pos="567"/>
              </w:tabs>
              <w:suppressAutoHyphens/>
              <w:autoSpaceDE/>
              <w:autoSpaceDN/>
              <w:adjustRightInd/>
              <w:rPr>
                <w:rFonts w:eastAsia="PMingLiU"/>
                <w:b/>
                <w:sz w:val="22"/>
                <w:szCs w:val="22"/>
                <w:lang w:val="it-IT"/>
              </w:rPr>
            </w:pPr>
            <w:r w:rsidRPr="00422380">
              <w:rPr>
                <w:rFonts w:eastAsia="PMingLiU"/>
                <w:b/>
                <w:sz w:val="22"/>
                <w:szCs w:val="22"/>
                <w:lang w:val="it-IT"/>
              </w:rPr>
              <w:t>România</w:t>
            </w:r>
          </w:p>
          <w:p w14:paraId="235C9138" w14:textId="77777777" w:rsidR="00171824" w:rsidRPr="00422380" w:rsidRDefault="006D258C">
            <w:pPr>
              <w:keepNext/>
              <w:keepLines/>
              <w:widowControl/>
              <w:tabs>
                <w:tab w:val="left" w:pos="567"/>
              </w:tabs>
              <w:autoSpaceDE/>
              <w:autoSpaceDN/>
              <w:adjustRightInd/>
              <w:rPr>
                <w:rFonts w:eastAsia="PMingLiU"/>
                <w:color w:val="000000"/>
                <w:sz w:val="22"/>
                <w:szCs w:val="22"/>
                <w:lang w:val="it-IT"/>
              </w:rPr>
            </w:pPr>
            <w:r w:rsidRPr="00422380">
              <w:rPr>
                <w:rFonts w:eastAsia="PMingLiU"/>
                <w:color w:val="000000"/>
                <w:sz w:val="22"/>
                <w:szCs w:val="22"/>
                <w:lang w:val="it-IT"/>
              </w:rPr>
              <w:t>Amgen România SRL</w:t>
            </w:r>
          </w:p>
          <w:p w14:paraId="313BE20B" w14:textId="77777777" w:rsidR="00171824" w:rsidRPr="00422380" w:rsidRDefault="006D258C">
            <w:pPr>
              <w:keepNext/>
              <w:keepLines/>
              <w:widowControl/>
              <w:tabs>
                <w:tab w:val="left" w:pos="567"/>
              </w:tabs>
              <w:autoSpaceDE/>
              <w:autoSpaceDN/>
              <w:adjustRightInd/>
              <w:rPr>
                <w:rFonts w:eastAsia="PMingLiU"/>
                <w:sz w:val="22"/>
                <w:szCs w:val="22"/>
                <w:lang w:val="it-IT"/>
              </w:rPr>
            </w:pPr>
            <w:r w:rsidRPr="00422380">
              <w:rPr>
                <w:rFonts w:eastAsia="PMingLiU"/>
                <w:sz w:val="22"/>
                <w:szCs w:val="22"/>
                <w:lang w:val="it-IT"/>
              </w:rPr>
              <w:t>Tel: +4021 527 3000</w:t>
            </w:r>
          </w:p>
          <w:p w14:paraId="615B8B86" w14:textId="77777777" w:rsidR="00171824" w:rsidRPr="00422380" w:rsidRDefault="00171824">
            <w:pPr>
              <w:keepNext/>
              <w:keepLines/>
              <w:widowControl/>
              <w:tabs>
                <w:tab w:val="left" w:pos="567"/>
              </w:tabs>
              <w:autoSpaceDE/>
              <w:autoSpaceDN/>
              <w:adjustRightInd/>
              <w:rPr>
                <w:rFonts w:eastAsia="PMingLiU"/>
                <w:sz w:val="22"/>
                <w:szCs w:val="22"/>
                <w:lang w:val="it-IT"/>
              </w:rPr>
            </w:pPr>
          </w:p>
        </w:tc>
      </w:tr>
      <w:tr w:rsidR="00171824" w14:paraId="4FFC1D70" w14:textId="77777777">
        <w:trPr>
          <w:cantSplit/>
        </w:trPr>
        <w:tc>
          <w:tcPr>
            <w:tcW w:w="4677" w:type="dxa"/>
          </w:tcPr>
          <w:p w14:paraId="157452C9"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Ireland</w:t>
            </w:r>
          </w:p>
          <w:p w14:paraId="2A98960E" w14:textId="77777777" w:rsidR="00171824" w:rsidRPr="00422380" w:rsidRDefault="006D258C">
            <w:pPr>
              <w:widowControl/>
              <w:tabs>
                <w:tab w:val="left" w:pos="567"/>
              </w:tabs>
              <w:autoSpaceDE/>
              <w:autoSpaceDN/>
              <w:adjustRightInd/>
              <w:rPr>
                <w:rFonts w:eastAsia="PMingLiU"/>
                <w:sz w:val="22"/>
                <w:szCs w:val="22"/>
              </w:rPr>
            </w:pPr>
            <w:r w:rsidRPr="00422380">
              <w:rPr>
                <w:rFonts w:eastAsia="Arial Unicode MS"/>
                <w:bCs/>
                <w:sz w:val="22"/>
                <w:szCs w:val="22"/>
              </w:rPr>
              <w:t>Amgen</w:t>
            </w:r>
            <w:r w:rsidRPr="00422380">
              <w:rPr>
                <w:rFonts w:eastAsia="PMingLiU"/>
                <w:sz w:val="22"/>
                <w:szCs w:val="22"/>
              </w:rPr>
              <w:t xml:space="preserve"> Ireland Limited</w:t>
            </w:r>
          </w:p>
          <w:p w14:paraId="3AC150EE" w14:textId="77777777" w:rsidR="00171824" w:rsidRPr="00422380" w:rsidRDefault="006D258C">
            <w:pPr>
              <w:widowControl/>
              <w:tabs>
                <w:tab w:val="left" w:pos="567"/>
              </w:tabs>
              <w:autoSpaceDE/>
              <w:autoSpaceDN/>
              <w:adjustRightInd/>
              <w:rPr>
                <w:rFonts w:eastAsia="Arial Unicode MS"/>
                <w:bCs/>
                <w:sz w:val="22"/>
                <w:szCs w:val="22"/>
              </w:rPr>
            </w:pPr>
            <w:r w:rsidRPr="00422380">
              <w:rPr>
                <w:rFonts w:eastAsia="PMingLiU"/>
                <w:sz w:val="22"/>
                <w:szCs w:val="22"/>
              </w:rPr>
              <w:t>Tel: +</w:t>
            </w:r>
            <w:r w:rsidRPr="00422380">
              <w:rPr>
                <w:rFonts w:eastAsia="Arial Unicode MS"/>
                <w:bCs/>
                <w:sz w:val="22"/>
                <w:szCs w:val="22"/>
              </w:rPr>
              <w:t>353 1 8527400</w:t>
            </w:r>
          </w:p>
          <w:p w14:paraId="254A9CFE"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3A7590A5" w14:textId="77777777" w:rsidR="00171824" w:rsidRPr="00422380" w:rsidRDefault="006D258C">
            <w:pPr>
              <w:widowControl/>
              <w:tabs>
                <w:tab w:val="left" w:pos="567"/>
              </w:tabs>
              <w:autoSpaceDE/>
              <w:autoSpaceDN/>
              <w:adjustRightInd/>
              <w:rPr>
                <w:rFonts w:eastAsia="PMingLiU"/>
                <w:b/>
                <w:sz w:val="22"/>
                <w:szCs w:val="22"/>
                <w:lang w:val="it-IT"/>
              </w:rPr>
            </w:pPr>
            <w:r w:rsidRPr="00422380">
              <w:rPr>
                <w:rFonts w:eastAsia="PMingLiU"/>
                <w:b/>
                <w:sz w:val="22"/>
                <w:szCs w:val="22"/>
                <w:lang w:val="it-IT"/>
              </w:rPr>
              <w:t>Slovenija</w:t>
            </w:r>
          </w:p>
          <w:p w14:paraId="4B3AD1A6" w14:textId="77777777" w:rsidR="00171824" w:rsidRPr="00422380" w:rsidRDefault="006D258C">
            <w:pPr>
              <w:widowControl/>
              <w:tabs>
                <w:tab w:val="left" w:pos="567"/>
              </w:tabs>
              <w:autoSpaceDE/>
              <w:autoSpaceDN/>
              <w:adjustRightInd/>
              <w:rPr>
                <w:rFonts w:eastAsia="PMingLiU"/>
                <w:sz w:val="22"/>
                <w:szCs w:val="22"/>
                <w:lang w:val="it-IT"/>
              </w:rPr>
            </w:pPr>
            <w:r w:rsidRPr="00422380">
              <w:rPr>
                <w:rFonts w:eastAsia="PMingLiU"/>
                <w:sz w:val="22"/>
                <w:szCs w:val="22"/>
                <w:lang w:val="it-IT"/>
              </w:rPr>
              <w:t>AMGEN zdravila d.o.o.</w:t>
            </w:r>
          </w:p>
          <w:p w14:paraId="2A89A0A0" w14:textId="77777777" w:rsidR="00171824" w:rsidRDefault="006D258C">
            <w:pPr>
              <w:widowControl/>
              <w:tabs>
                <w:tab w:val="left" w:pos="567"/>
              </w:tabs>
              <w:autoSpaceDE/>
              <w:autoSpaceDN/>
              <w:adjustRightInd/>
              <w:rPr>
                <w:rFonts w:eastAsia="PMingLiU"/>
                <w:bCs/>
                <w:sz w:val="22"/>
                <w:szCs w:val="22"/>
              </w:rPr>
            </w:pPr>
            <w:r>
              <w:rPr>
                <w:rFonts w:eastAsia="PMingLiU"/>
                <w:sz w:val="22"/>
                <w:szCs w:val="22"/>
              </w:rPr>
              <w:t>Tel: +386 (</w:t>
            </w:r>
            <w:r>
              <w:rPr>
                <w:rFonts w:eastAsia="PMingLiU"/>
                <w:bCs/>
                <w:sz w:val="22"/>
                <w:szCs w:val="22"/>
              </w:rPr>
              <w:t>0)</w:t>
            </w:r>
            <w:r>
              <w:rPr>
                <w:rFonts w:eastAsia="PMingLiU"/>
                <w:sz w:val="22"/>
                <w:szCs w:val="22"/>
              </w:rPr>
              <w:t>1</w:t>
            </w:r>
            <w:r>
              <w:rPr>
                <w:rFonts w:eastAsia="PMingLiU"/>
                <w:bCs/>
                <w:sz w:val="22"/>
                <w:szCs w:val="22"/>
              </w:rPr>
              <w:t xml:space="preserve"> 585 1767</w:t>
            </w:r>
          </w:p>
          <w:p w14:paraId="7CE3F35C" w14:textId="77777777" w:rsidR="00171824" w:rsidRDefault="00171824">
            <w:pPr>
              <w:widowControl/>
              <w:tabs>
                <w:tab w:val="left" w:pos="567"/>
              </w:tabs>
              <w:autoSpaceDE/>
              <w:autoSpaceDN/>
              <w:adjustRightInd/>
              <w:rPr>
                <w:rFonts w:eastAsia="PMingLiU"/>
                <w:sz w:val="22"/>
                <w:szCs w:val="22"/>
              </w:rPr>
            </w:pPr>
          </w:p>
        </w:tc>
      </w:tr>
      <w:tr w:rsidR="00171824" w14:paraId="21E3169A" w14:textId="77777777">
        <w:trPr>
          <w:cantSplit/>
        </w:trPr>
        <w:tc>
          <w:tcPr>
            <w:tcW w:w="4677" w:type="dxa"/>
          </w:tcPr>
          <w:p w14:paraId="160225D6"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Ísland</w:t>
            </w:r>
          </w:p>
          <w:p w14:paraId="6B72358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Vistor</w:t>
            </w:r>
            <w:del w:id="232" w:author="Author">
              <w:r>
                <w:rPr>
                  <w:rFonts w:eastAsia="PMingLiU"/>
                  <w:sz w:val="22"/>
                  <w:szCs w:val="22"/>
                  <w:lang w:val="el-GR"/>
                </w:rPr>
                <w:delText xml:space="preserve"> hf.</w:delText>
              </w:r>
            </w:del>
          </w:p>
          <w:p w14:paraId="177CF52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Sími: +354 535 7000</w:t>
            </w:r>
          </w:p>
          <w:p w14:paraId="2FD6BDE7"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5C4018BD" w14:textId="77777777" w:rsidR="00171824" w:rsidRPr="00422380" w:rsidRDefault="006D258C">
            <w:pPr>
              <w:widowControl/>
              <w:tabs>
                <w:tab w:val="left" w:pos="567"/>
              </w:tabs>
              <w:autoSpaceDE/>
              <w:autoSpaceDN/>
              <w:adjustRightInd/>
              <w:rPr>
                <w:rFonts w:eastAsia="PMingLiU"/>
                <w:b/>
                <w:sz w:val="22"/>
                <w:szCs w:val="22"/>
                <w:lang w:val="sv-SE"/>
              </w:rPr>
            </w:pPr>
            <w:r w:rsidRPr="00422380">
              <w:rPr>
                <w:rFonts w:eastAsia="PMingLiU"/>
                <w:b/>
                <w:sz w:val="22"/>
                <w:szCs w:val="22"/>
                <w:lang w:val="sv-SE"/>
              </w:rPr>
              <w:t>Slovenská republika</w:t>
            </w:r>
          </w:p>
          <w:p w14:paraId="2201F1FD" w14:textId="77777777" w:rsidR="00171824" w:rsidRPr="00422380" w:rsidRDefault="006D258C">
            <w:pPr>
              <w:widowControl/>
              <w:tabs>
                <w:tab w:val="left" w:pos="567"/>
              </w:tabs>
              <w:autoSpaceDE/>
              <w:autoSpaceDN/>
              <w:adjustRightInd/>
              <w:rPr>
                <w:rFonts w:eastAsia="PMingLiU"/>
                <w:sz w:val="22"/>
                <w:szCs w:val="22"/>
                <w:lang w:val="sv-SE"/>
              </w:rPr>
            </w:pPr>
            <w:r w:rsidRPr="00422380">
              <w:rPr>
                <w:rFonts w:eastAsia="PMingLiU"/>
                <w:bCs/>
                <w:sz w:val="22"/>
                <w:szCs w:val="22"/>
                <w:lang w:val="sv-SE"/>
              </w:rPr>
              <w:t>Amgen Slovakia</w:t>
            </w:r>
            <w:r w:rsidRPr="00422380">
              <w:rPr>
                <w:rFonts w:eastAsia="PMingLiU"/>
                <w:sz w:val="22"/>
                <w:szCs w:val="22"/>
                <w:lang w:val="sv-SE"/>
              </w:rPr>
              <w:t xml:space="preserve"> s.r.o.</w:t>
            </w:r>
          </w:p>
          <w:p w14:paraId="3FAD3CE5"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 xml:space="preserve">Tel: +421 </w:t>
            </w:r>
            <w:r>
              <w:rPr>
                <w:rFonts w:eastAsia="PMingLiU"/>
                <w:bCs/>
                <w:sz w:val="22"/>
                <w:szCs w:val="22"/>
                <w:lang w:val="el-GR"/>
              </w:rPr>
              <w:t>2 321 114 49</w:t>
            </w:r>
          </w:p>
          <w:p w14:paraId="7405E9B1" w14:textId="77777777" w:rsidR="00171824" w:rsidRDefault="00171824">
            <w:pPr>
              <w:widowControl/>
              <w:tabs>
                <w:tab w:val="left" w:pos="567"/>
              </w:tabs>
              <w:autoSpaceDE/>
              <w:autoSpaceDN/>
              <w:adjustRightInd/>
              <w:rPr>
                <w:rFonts w:eastAsia="PMingLiU"/>
                <w:sz w:val="22"/>
                <w:szCs w:val="22"/>
                <w:lang w:val="el-GR"/>
              </w:rPr>
            </w:pPr>
          </w:p>
        </w:tc>
      </w:tr>
      <w:tr w:rsidR="00171824" w14:paraId="764AFED2" w14:textId="77777777">
        <w:trPr>
          <w:cantSplit/>
        </w:trPr>
        <w:tc>
          <w:tcPr>
            <w:tcW w:w="4677" w:type="dxa"/>
          </w:tcPr>
          <w:p w14:paraId="1FE6C99F"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b/>
                <w:sz w:val="22"/>
                <w:szCs w:val="22"/>
                <w:lang w:val="es-ES"/>
              </w:rPr>
              <w:t>Italia</w:t>
            </w:r>
          </w:p>
          <w:p w14:paraId="73D18AA9"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sz w:val="22"/>
                <w:szCs w:val="22"/>
                <w:lang w:val="es-ES"/>
              </w:rPr>
              <w:t>Amgen S.r.l.</w:t>
            </w:r>
          </w:p>
          <w:p w14:paraId="48C1748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+39 02 6241121</w:t>
            </w:r>
          </w:p>
          <w:p w14:paraId="40A10224"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BDBEC67" w14:textId="77777777" w:rsidR="00171824" w:rsidRPr="00CB2FBB" w:rsidRDefault="006D258C">
            <w:pPr>
              <w:widowControl/>
              <w:tabs>
                <w:tab w:val="left" w:pos="567"/>
              </w:tabs>
              <w:autoSpaceDE/>
              <w:autoSpaceDN/>
              <w:adjustRightInd/>
              <w:rPr>
                <w:rFonts w:eastAsia="PMingLiU"/>
                <w:sz w:val="22"/>
                <w:szCs w:val="22"/>
                <w:lang w:val="el-GR"/>
              </w:rPr>
            </w:pPr>
            <w:r w:rsidRPr="00422380">
              <w:rPr>
                <w:rFonts w:eastAsia="PMingLiU"/>
                <w:b/>
                <w:sz w:val="22"/>
                <w:szCs w:val="22"/>
                <w:lang w:val="it-IT"/>
              </w:rPr>
              <w:t>Suomi</w:t>
            </w:r>
            <w:r w:rsidRPr="00CB2FBB">
              <w:rPr>
                <w:rFonts w:eastAsia="PMingLiU"/>
                <w:b/>
                <w:sz w:val="22"/>
                <w:szCs w:val="22"/>
                <w:lang w:val="el-GR"/>
              </w:rPr>
              <w:t>/</w:t>
            </w:r>
            <w:r w:rsidRPr="00422380">
              <w:rPr>
                <w:rFonts w:eastAsia="PMingLiU"/>
                <w:b/>
                <w:sz w:val="22"/>
                <w:szCs w:val="22"/>
                <w:lang w:val="it-IT"/>
              </w:rPr>
              <w:t>Finland</w:t>
            </w:r>
          </w:p>
          <w:p w14:paraId="3F0916A4" w14:textId="77777777" w:rsidR="00171824" w:rsidRPr="00CB2FBB" w:rsidRDefault="006D258C">
            <w:pPr>
              <w:pStyle w:val="lbltxt"/>
              <w:rPr>
                <w:szCs w:val="22"/>
                <w:lang w:val="el-GR"/>
              </w:rPr>
            </w:pPr>
            <w:r w:rsidRPr="00422380">
              <w:rPr>
                <w:szCs w:val="22"/>
                <w:lang w:val="it-IT"/>
              </w:rPr>
              <w:t>Amgen</w:t>
            </w:r>
            <w:r w:rsidRPr="00CB2FBB">
              <w:rPr>
                <w:szCs w:val="22"/>
                <w:lang w:val="el-GR"/>
              </w:rPr>
              <w:t xml:space="preserve"> </w:t>
            </w:r>
            <w:r w:rsidRPr="00422380">
              <w:rPr>
                <w:szCs w:val="22"/>
                <w:lang w:val="it-IT"/>
              </w:rPr>
              <w:t>AB</w:t>
            </w:r>
            <w:r w:rsidRPr="00CB2FBB">
              <w:rPr>
                <w:szCs w:val="22"/>
                <w:lang w:val="el-GR"/>
              </w:rPr>
              <w:t xml:space="preserve">, </w:t>
            </w:r>
            <w:r w:rsidRPr="00422380">
              <w:rPr>
                <w:szCs w:val="22"/>
                <w:lang w:val="it-IT"/>
              </w:rPr>
              <w:t>sivuliike</w:t>
            </w:r>
            <w:r w:rsidRPr="00CB2FBB">
              <w:rPr>
                <w:szCs w:val="22"/>
                <w:lang w:val="el-GR"/>
              </w:rPr>
              <w:t xml:space="preserve"> </w:t>
            </w:r>
            <w:r w:rsidRPr="00422380">
              <w:rPr>
                <w:szCs w:val="22"/>
                <w:lang w:val="it-IT"/>
              </w:rPr>
              <w:t>Suomessa</w:t>
            </w:r>
            <w:r w:rsidRPr="00CB2FBB">
              <w:rPr>
                <w:szCs w:val="22"/>
                <w:lang w:val="el-GR"/>
              </w:rPr>
              <w:t>/</w:t>
            </w:r>
            <w:r w:rsidRPr="00422380">
              <w:rPr>
                <w:szCs w:val="22"/>
                <w:lang w:val="it-IT"/>
              </w:rPr>
              <w:t>Amgen</w:t>
            </w:r>
            <w:r w:rsidRPr="00CB2FBB">
              <w:rPr>
                <w:szCs w:val="22"/>
                <w:lang w:val="el-GR"/>
              </w:rPr>
              <w:t xml:space="preserve"> </w:t>
            </w:r>
            <w:r w:rsidRPr="00422380">
              <w:rPr>
                <w:szCs w:val="22"/>
                <w:lang w:val="it-IT"/>
              </w:rPr>
              <w:t>AB</w:t>
            </w:r>
            <w:r w:rsidRPr="00CB2FBB">
              <w:rPr>
                <w:szCs w:val="22"/>
                <w:lang w:val="el-GR"/>
              </w:rPr>
              <w:t xml:space="preserve">, </w:t>
            </w:r>
            <w:r w:rsidRPr="00422380">
              <w:rPr>
                <w:szCs w:val="22"/>
                <w:lang w:val="it-IT"/>
              </w:rPr>
              <w:t>filial</w:t>
            </w:r>
            <w:r w:rsidRPr="00CB2FBB">
              <w:rPr>
                <w:szCs w:val="22"/>
                <w:lang w:val="el-GR"/>
              </w:rPr>
              <w:t xml:space="preserve"> </w:t>
            </w:r>
            <w:r w:rsidRPr="00422380">
              <w:rPr>
                <w:szCs w:val="22"/>
                <w:lang w:val="it-IT"/>
              </w:rPr>
              <w:t>i</w:t>
            </w:r>
            <w:r w:rsidRPr="00CB2FBB">
              <w:rPr>
                <w:szCs w:val="22"/>
                <w:lang w:val="el-GR"/>
              </w:rPr>
              <w:t xml:space="preserve"> </w:t>
            </w:r>
            <w:r w:rsidRPr="00422380">
              <w:rPr>
                <w:szCs w:val="22"/>
                <w:lang w:val="it-IT"/>
              </w:rPr>
              <w:t>Finland</w:t>
            </w:r>
          </w:p>
          <w:p w14:paraId="5AB668B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Puh/Tel: +358 (0)9 54900500</w:t>
            </w:r>
          </w:p>
          <w:p w14:paraId="22DC3E33" w14:textId="77777777" w:rsidR="00171824" w:rsidRDefault="00171824">
            <w:pPr>
              <w:widowControl/>
              <w:tabs>
                <w:tab w:val="left" w:pos="567"/>
              </w:tabs>
              <w:autoSpaceDE/>
              <w:autoSpaceDN/>
              <w:adjustRightInd/>
              <w:rPr>
                <w:rFonts w:eastAsia="PMingLiU"/>
                <w:sz w:val="22"/>
                <w:szCs w:val="22"/>
                <w:lang w:val="el-GR"/>
              </w:rPr>
            </w:pPr>
          </w:p>
        </w:tc>
      </w:tr>
      <w:tr w:rsidR="00171824" w14:paraId="40C927D4" w14:textId="77777777">
        <w:trPr>
          <w:cantSplit/>
        </w:trPr>
        <w:tc>
          <w:tcPr>
            <w:tcW w:w="4677" w:type="dxa"/>
          </w:tcPr>
          <w:p w14:paraId="361EA564"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K</w:t>
            </w:r>
            <w:r>
              <w:rPr>
                <w:rFonts w:eastAsia="PMingLiU"/>
                <w:b/>
                <w:sz w:val="22"/>
                <w:szCs w:val="22"/>
                <w:lang w:val="el-GR"/>
              </w:rPr>
              <w:t>ύπρος</w:t>
            </w:r>
          </w:p>
          <w:p w14:paraId="50BBC4C5"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C.A. Papaellinas Ltd</w:t>
            </w:r>
          </w:p>
          <w:p w14:paraId="4E78926E" w14:textId="77777777" w:rsidR="00171824" w:rsidRPr="00422380" w:rsidRDefault="006D258C">
            <w:pPr>
              <w:widowControl/>
              <w:tabs>
                <w:tab w:val="left" w:pos="567"/>
              </w:tabs>
              <w:autoSpaceDE/>
              <w:autoSpaceDN/>
              <w:adjustRightInd/>
              <w:rPr>
                <w:rFonts w:eastAsia="PMingLiU"/>
                <w:sz w:val="22"/>
                <w:szCs w:val="22"/>
              </w:rPr>
            </w:pPr>
            <w:r>
              <w:rPr>
                <w:rFonts w:eastAsia="PMingLiU"/>
                <w:sz w:val="22"/>
                <w:szCs w:val="22"/>
                <w:lang w:val="el-GR"/>
              </w:rPr>
              <w:t>Τηλ</w:t>
            </w:r>
            <w:r w:rsidRPr="00422380">
              <w:rPr>
                <w:rFonts w:eastAsia="PMingLiU"/>
                <w:sz w:val="22"/>
                <w:szCs w:val="22"/>
              </w:rPr>
              <w:t>: +357 22741 741</w:t>
            </w:r>
          </w:p>
          <w:p w14:paraId="02967023"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6058B0F3"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Sverige</w:t>
            </w:r>
          </w:p>
          <w:p w14:paraId="458949F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AB </w:t>
            </w:r>
          </w:p>
          <w:p w14:paraId="3EE8A5CF"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+46 (0)8 6951100</w:t>
            </w:r>
          </w:p>
          <w:p w14:paraId="7E2DDECC" w14:textId="77777777" w:rsidR="00171824" w:rsidRDefault="00171824">
            <w:pPr>
              <w:widowControl/>
              <w:tabs>
                <w:tab w:val="left" w:pos="567"/>
              </w:tabs>
              <w:autoSpaceDE/>
              <w:autoSpaceDN/>
              <w:adjustRightInd/>
              <w:rPr>
                <w:rFonts w:eastAsia="PMingLiU"/>
                <w:sz w:val="22"/>
                <w:szCs w:val="22"/>
                <w:lang w:val="el-GR"/>
              </w:rPr>
            </w:pPr>
          </w:p>
        </w:tc>
      </w:tr>
      <w:tr w:rsidR="00171824" w14:paraId="02FC8B9E" w14:textId="77777777">
        <w:trPr>
          <w:cantSplit/>
        </w:trPr>
        <w:tc>
          <w:tcPr>
            <w:tcW w:w="4677" w:type="dxa"/>
          </w:tcPr>
          <w:p w14:paraId="0009C344"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Latvija</w:t>
            </w:r>
          </w:p>
          <w:p w14:paraId="1194B39D"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Switzerland AG Rīgas filiāle</w:t>
            </w:r>
          </w:p>
          <w:p w14:paraId="10BB527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+371 257 25888</w:t>
            </w:r>
          </w:p>
          <w:p w14:paraId="7D56C0B0"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042B0F74" w14:textId="77777777" w:rsidR="00171824" w:rsidRDefault="00171824">
            <w:pPr>
              <w:widowControl/>
              <w:tabs>
                <w:tab w:val="left" w:pos="567"/>
              </w:tabs>
              <w:autoSpaceDE/>
              <w:autoSpaceDN/>
              <w:adjustRightInd/>
              <w:rPr>
                <w:rFonts w:eastAsia="PMingLiU"/>
                <w:sz w:val="22"/>
                <w:szCs w:val="22"/>
                <w:lang w:val="el-GR"/>
              </w:rPr>
            </w:pPr>
          </w:p>
        </w:tc>
      </w:tr>
    </w:tbl>
    <w:p w14:paraId="2D84E1E6" w14:textId="77777777" w:rsidR="00171824" w:rsidRDefault="00171824">
      <w:pPr>
        <w:widowControl/>
        <w:kinsoku w:val="0"/>
        <w:overflowPunct w:val="0"/>
        <w:rPr>
          <w:sz w:val="22"/>
          <w:szCs w:val="22"/>
          <w:lang w:val="el-GR"/>
        </w:rPr>
      </w:pPr>
    </w:p>
    <w:p w14:paraId="5DDB028E" w14:textId="77777777" w:rsidR="00171824" w:rsidRDefault="006D258C">
      <w:pPr>
        <w:keepNext/>
        <w:widowControl/>
        <w:kinsoku w:val="0"/>
        <w:overflowPunct w:val="0"/>
        <w:outlineLvl w:val="0"/>
        <w:rPr>
          <w:sz w:val="22"/>
          <w:szCs w:val="22"/>
          <w:lang w:val="el-GR"/>
        </w:rPr>
      </w:pPr>
      <w:r>
        <w:rPr>
          <w:b/>
          <w:bCs/>
          <w:sz w:val="22"/>
          <w:szCs w:val="22"/>
          <w:lang w:val="el-GR"/>
        </w:rPr>
        <w:t>Το παρόν φύλλο οδηγιών χρήσης αναθεωρήθηκε για τελευταία φορά στις</w:t>
      </w:r>
    </w:p>
    <w:p w14:paraId="35FDF5CD" w14:textId="77777777" w:rsidR="00171824" w:rsidRDefault="00171824">
      <w:pPr>
        <w:keepNext/>
        <w:widowControl/>
        <w:kinsoku w:val="0"/>
        <w:overflowPunct w:val="0"/>
        <w:rPr>
          <w:sz w:val="22"/>
          <w:szCs w:val="22"/>
          <w:lang w:val="el-GR"/>
        </w:rPr>
      </w:pPr>
    </w:p>
    <w:p w14:paraId="6ACB88BF" w14:textId="77777777" w:rsidR="00171824" w:rsidRDefault="006D258C">
      <w:pPr>
        <w:keepNext/>
        <w:widowControl/>
        <w:numPr>
          <w:ilvl w:val="12"/>
          <w:numId w:val="0"/>
        </w:numPr>
        <w:ind w:right="-2"/>
        <w:rPr>
          <w:b/>
          <w:sz w:val="22"/>
          <w:lang w:val="el-GR"/>
        </w:rPr>
      </w:pPr>
      <w:r>
        <w:rPr>
          <w:b/>
          <w:sz w:val="22"/>
          <w:lang w:val="el-GR"/>
        </w:rPr>
        <w:t>Άλλες πηγές πληροφοριών</w:t>
      </w:r>
    </w:p>
    <w:p w14:paraId="1D49E7F9" w14:textId="77777777" w:rsidR="00171824" w:rsidRDefault="00171824">
      <w:pPr>
        <w:widowControl/>
        <w:kinsoku w:val="0"/>
        <w:overflowPunct w:val="0"/>
        <w:rPr>
          <w:sz w:val="22"/>
          <w:szCs w:val="22"/>
          <w:lang w:val="el-GR"/>
        </w:rPr>
      </w:pPr>
    </w:p>
    <w:p w14:paraId="3754F42E" w14:textId="77777777" w:rsidR="00171824" w:rsidRDefault="006D258C">
      <w:pPr>
        <w:widowControl/>
        <w:kinsoku w:val="0"/>
        <w:overflowPunct w:val="0"/>
        <w:rPr>
          <w:rFonts w:eastAsia="Arial Unicode MS"/>
          <w:color w:val="000000"/>
          <w:sz w:val="22"/>
          <w:szCs w:val="22"/>
          <w:lang w:val="el-GR" w:bidi="en-US"/>
        </w:rPr>
      </w:pPr>
      <w:r>
        <w:rPr>
          <w:sz w:val="22"/>
          <w:szCs w:val="22"/>
          <w:lang w:val="el-GR"/>
        </w:rPr>
        <w:t xml:space="preserve">Λεπτομερείς πληροφορίες για το φάρμακο αυτό είναι διαθέσιμες στο δικτυακό τόπο του Ευρωπαϊκού Οργανισμού Φαρμάκων: </w:t>
      </w:r>
      <w:hyperlink r:id="rId78" w:history="1">
        <w:r>
          <w:rPr>
            <w:rStyle w:val="Hyperlink"/>
            <w:color w:val="0000FF"/>
            <w:sz w:val="22"/>
            <w:szCs w:val="22"/>
            <w:lang w:val="el-GR"/>
          </w:rPr>
          <w:t>http://www.ema.europa.eu</w:t>
        </w:r>
      </w:hyperlink>
      <w:r>
        <w:rPr>
          <w:sz w:val="22"/>
          <w:szCs w:val="22"/>
          <w:lang w:val="el-GR"/>
        </w:rPr>
        <w:t>.</w:t>
      </w:r>
    </w:p>
    <w:p w14:paraId="51284F71" w14:textId="77777777" w:rsidR="00171824" w:rsidRDefault="006D258C">
      <w:pPr>
        <w:widowControl/>
        <w:kinsoku w:val="0"/>
        <w:overflowPunct w:val="0"/>
        <w:rPr>
          <w:szCs w:val="22"/>
          <w:lang w:val="el-GR"/>
        </w:rPr>
      </w:pPr>
      <w:r>
        <w:rPr>
          <w:rFonts w:eastAsia="Arial Unicode MS"/>
          <w:color w:val="000000"/>
          <w:sz w:val="22"/>
          <w:szCs w:val="22"/>
          <w:lang w:val="el-GR" w:bidi="en-US"/>
        </w:rPr>
        <w:br w:type="page"/>
      </w:r>
    </w:p>
    <w:tbl>
      <w:tblPr>
        <w:tblpPr w:leftFromText="141" w:rightFromText="141" w:vertAnchor="text" w:tblpX="108" w:tblpY="1"/>
        <w:tblOverlap w:val="never"/>
        <w:tblW w:w="48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5"/>
        <w:gridCol w:w="2564"/>
        <w:gridCol w:w="2991"/>
      </w:tblGrid>
      <w:tr w:rsidR="00171824" w14:paraId="4F5B8C76" w14:textId="77777777">
        <w:trPr>
          <w:cantSplit/>
          <w:trHeight w:val="56"/>
        </w:trPr>
        <w:tc>
          <w:tcPr>
            <w:tcW w:w="5000" w:type="pct"/>
            <w:gridSpan w:val="3"/>
            <w:tcBorders>
              <w:bottom w:val="single" w:sz="4" w:space="0" w:color="auto"/>
            </w:tcBorders>
          </w:tcPr>
          <w:p w14:paraId="127C8DE0" w14:textId="77777777" w:rsidR="00171824" w:rsidRDefault="006D258C">
            <w:pPr>
              <w:keepNext/>
              <w:keepLines/>
              <w:jc w:val="center"/>
              <w:rPr>
                <w:b/>
                <w:bCs/>
                <w:sz w:val="22"/>
                <w:szCs w:val="22"/>
                <w:lang w:val="el-GR"/>
              </w:rPr>
            </w:pPr>
            <w:r>
              <w:rPr>
                <w:b/>
                <w:sz w:val="22"/>
                <w:szCs w:val="22"/>
                <w:lang w:val="el-GR"/>
              </w:rPr>
              <w:lastRenderedPageBreak/>
              <w:t>ΟΔΗΓΙΕΣ ΧΡΗΣΗΣ 40 mg / 0,4 ml</w:t>
            </w:r>
          </w:p>
        </w:tc>
      </w:tr>
      <w:tr w:rsidR="00171824" w14:paraId="57DCF7B7" w14:textId="77777777">
        <w:trPr>
          <w:cantSplit/>
          <w:trHeight w:val="56"/>
        </w:trPr>
        <w:tc>
          <w:tcPr>
            <w:tcW w:w="5000" w:type="pct"/>
            <w:gridSpan w:val="3"/>
            <w:tcBorders>
              <w:top w:val="single" w:sz="4" w:space="0" w:color="auto"/>
              <w:left w:val="nil"/>
              <w:bottom w:val="single" w:sz="4" w:space="0" w:color="auto"/>
              <w:right w:val="nil"/>
            </w:tcBorders>
          </w:tcPr>
          <w:p w14:paraId="06286CA7" w14:textId="77777777" w:rsidR="00171824" w:rsidRDefault="00171824">
            <w:pPr>
              <w:keepNext/>
              <w:keepLines/>
              <w:jc w:val="center"/>
              <w:rPr>
                <w:bCs/>
                <w:sz w:val="22"/>
                <w:szCs w:val="22"/>
                <w:lang w:val="el-GR"/>
              </w:rPr>
            </w:pPr>
          </w:p>
        </w:tc>
      </w:tr>
      <w:tr w:rsidR="00171824" w:rsidRPr="00A07F46" w14:paraId="5E6CD0A1" w14:textId="77777777">
        <w:trPr>
          <w:cantSplit/>
          <w:trHeight w:val="56"/>
        </w:trPr>
        <w:tc>
          <w:tcPr>
            <w:tcW w:w="5000" w:type="pct"/>
            <w:gridSpan w:val="3"/>
            <w:tcBorders>
              <w:top w:val="single" w:sz="4" w:space="0" w:color="auto"/>
            </w:tcBorders>
          </w:tcPr>
          <w:p w14:paraId="53181866" w14:textId="77777777" w:rsidR="00171824" w:rsidRDefault="006D258C">
            <w:pPr>
              <w:keepNext/>
              <w:keepLines/>
              <w:rPr>
                <w:sz w:val="22"/>
                <w:szCs w:val="22"/>
                <w:lang w:val="el-GR"/>
              </w:rPr>
            </w:pPr>
            <w:r>
              <w:rPr>
                <w:sz w:val="22"/>
                <w:szCs w:val="22"/>
                <w:lang w:val="el-GR"/>
              </w:rPr>
              <w:t>Εξοικειωθείτε με την προγεμισμένη συσκευή σας τύπου πένας SureClick</w:t>
            </w:r>
          </w:p>
        </w:tc>
      </w:tr>
      <w:tr w:rsidR="00171824" w14:paraId="7112BB8E" w14:textId="77777777">
        <w:trPr>
          <w:cantSplit/>
          <w:trHeight w:val="5556"/>
        </w:trPr>
        <w:tc>
          <w:tcPr>
            <w:tcW w:w="1865" w:type="pct"/>
            <w:tcBorders>
              <w:right w:val="nil"/>
            </w:tcBorders>
          </w:tcPr>
          <w:tbl>
            <w:tblPr>
              <w:tblW w:w="1771" w:type="dxa"/>
              <w:tblInd w:w="1295" w:type="dxa"/>
              <w:tblLayout w:type="fixed"/>
              <w:tblCellMar>
                <w:left w:w="0" w:type="dxa"/>
                <w:right w:w="113" w:type="dxa"/>
              </w:tblCellMar>
              <w:tblLook w:val="04A0" w:firstRow="1" w:lastRow="0" w:firstColumn="1" w:lastColumn="0" w:noHBand="0" w:noVBand="1"/>
            </w:tblPr>
            <w:tblGrid>
              <w:gridCol w:w="1771"/>
            </w:tblGrid>
            <w:tr w:rsidR="00171824" w:rsidRPr="00A07F46" w14:paraId="1D13D0A8" w14:textId="77777777">
              <w:trPr>
                <w:trHeight w:val="458"/>
              </w:trPr>
              <w:tc>
                <w:tcPr>
                  <w:tcW w:w="1771" w:type="dxa"/>
                </w:tcPr>
                <w:p w14:paraId="0F8C8696" w14:textId="77777777" w:rsidR="00171824" w:rsidRDefault="00171824">
                  <w:pPr>
                    <w:framePr w:hSpace="141" w:wrap="around" w:vAnchor="text" w:hAnchor="text" w:x="108" w:y="1"/>
                    <w:suppressOverlap/>
                    <w:jc w:val="center"/>
                    <w:rPr>
                      <w:sz w:val="22"/>
                      <w:szCs w:val="22"/>
                      <w:lang w:val="el-GR"/>
                    </w:rPr>
                  </w:pPr>
                </w:p>
              </w:tc>
            </w:tr>
            <w:tr w:rsidR="00171824" w14:paraId="3E51E51A" w14:textId="77777777">
              <w:trPr>
                <w:trHeight w:val="988"/>
              </w:trPr>
              <w:tc>
                <w:tcPr>
                  <w:tcW w:w="1771" w:type="dxa"/>
                </w:tcPr>
                <w:p w14:paraId="1C387E4C" w14:textId="77777777" w:rsidR="00171824" w:rsidRDefault="006D258C">
                  <w:pPr>
                    <w:framePr w:hSpace="141" w:wrap="around" w:vAnchor="text" w:hAnchor="text" w:x="108" w:y="1"/>
                    <w:suppressOverlap/>
                    <w:jc w:val="right"/>
                    <w:rPr>
                      <w:sz w:val="22"/>
                      <w:szCs w:val="22"/>
                      <w:lang w:val="el-GR"/>
                    </w:rPr>
                  </w:pPr>
                  <w:r>
                    <w:rPr>
                      <w:sz w:val="22"/>
                      <w:szCs w:val="22"/>
                      <w:lang w:val="el-GR"/>
                    </w:rPr>
                    <w:t>Ημερομηνία λήξης</w:t>
                  </w:r>
                </w:p>
              </w:tc>
            </w:tr>
            <w:tr w:rsidR="00171824" w14:paraId="2D2CA373" w14:textId="77777777">
              <w:trPr>
                <w:trHeight w:val="850"/>
              </w:trPr>
              <w:tc>
                <w:tcPr>
                  <w:tcW w:w="1771" w:type="dxa"/>
                </w:tcPr>
                <w:p w14:paraId="66CEF8D3" w14:textId="77777777" w:rsidR="00171824" w:rsidRDefault="00171824">
                  <w:pPr>
                    <w:framePr w:hSpace="141" w:wrap="around" w:vAnchor="text" w:hAnchor="text" w:x="108" w:y="1"/>
                    <w:suppressOverlap/>
                    <w:jc w:val="right"/>
                    <w:rPr>
                      <w:sz w:val="22"/>
                      <w:szCs w:val="22"/>
                      <w:lang w:val="el-GR"/>
                    </w:rPr>
                  </w:pPr>
                </w:p>
              </w:tc>
            </w:tr>
            <w:tr w:rsidR="00171824" w14:paraId="7417AC23" w14:textId="77777777">
              <w:trPr>
                <w:trHeight w:val="884"/>
              </w:trPr>
              <w:tc>
                <w:tcPr>
                  <w:tcW w:w="1771" w:type="dxa"/>
                </w:tcPr>
                <w:p w14:paraId="248742BA" w14:textId="77777777" w:rsidR="00171824" w:rsidRDefault="00171824">
                  <w:pPr>
                    <w:framePr w:hSpace="141" w:wrap="around" w:vAnchor="text" w:hAnchor="text" w:x="108" w:y="1"/>
                    <w:suppressOverlap/>
                    <w:jc w:val="right"/>
                    <w:rPr>
                      <w:sz w:val="22"/>
                      <w:szCs w:val="22"/>
                      <w:lang w:val="el-GR"/>
                    </w:rPr>
                  </w:pPr>
                </w:p>
              </w:tc>
            </w:tr>
            <w:tr w:rsidR="00171824" w14:paraId="1B8DD000" w14:textId="77777777">
              <w:trPr>
                <w:trHeight w:val="970"/>
              </w:trPr>
              <w:tc>
                <w:tcPr>
                  <w:tcW w:w="1771" w:type="dxa"/>
                </w:tcPr>
                <w:p w14:paraId="4B33C15C" w14:textId="77777777" w:rsidR="00171824" w:rsidRDefault="006D258C">
                  <w:pPr>
                    <w:framePr w:hSpace="141" w:wrap="around" w:vAnchor="text" w:hAnchor="text" w:x="108" w:y="1"/>
                    <w:suppressOverlap/>
                    <w:jc w:val="right"/>
                    <w:rPr>
                      <w:sz w:val="22"/>
                      <w:szCs w:val="22"/>
                      <w:lang w:val="el-GR"/>
                    </w:rPr>
                  </w:pPr>
                  <w:r>
                    <w:rPr>
                      <w:sz w:val="22"/>
                      <w:szCs w:val="22"/>
                      <w:lang w:val="el-GR"/>
                    </w:rPr>
                    <w:t>Παράθυρο</w:t>
                  </w:r>
                </w:p>
              </w:tc>
            </w:tr>
            <w:tr w:rsidR="00171824" w:rsidRPr="00A07F46" w14:paraId="6DF91F7D" w14:textId="77777777">
              <w:trPr>
                <w:trHeight w:val="1126"/>
              </w:trPr>
              <w:tc>
                <w:tcPr>
                  <w:tcW w:w="1771" w:type="dxa"/>
                </w:tcPr>
                <w:p w14:paraId="2A7140DB" w14:textId="77777777" w:rsidR="00171824" w:rsidRDefault="006D258C">
                  <w:pPr>
                    <w:framePr w:hSpace="141" w:wrap="around" w:vAnchor="text" w:hAnchor="text" w:x="108" w:y="1"/>
                    <w:suppressOverlap/>
                    <w:jc w:val="right"/>
                    <w:rPr>
                      <w:sz w:val="22"/>
                      <w:szCs w:val="22"/>
                      <w:lang w:val="el-GR"/>
                    </w:rPr>
                  </w:pPr>
                  <w:r>
                    <w:rPr>
                      <w:sz w:val="22"/>
                      <w:szCs w:val="22"/>
                      <w:lang w:val="el-GR"/>
                    </w:rPr>
                    <w:t>Κρεμ προστατευτικό κάλυμμα ασφαλείας</w:t>
                  </w:r>
                </w:p>
                <w:p w14:paraId="55D1D584" w14:textId="77777777" w:rsidR="00171824" w:rsidRDefault="006D258C">
                  <w:pPr>
                    <w:framePr w:hSpace="141" w:wrap="around" w:vAnchor="text" w:hAnchor="text" w:x="108" w:y="1"/>
                    <w:suppressOverlap/>
                    <w:jc w:val="right"/>
                    <w:rPr>
                      <w:sz w:val="22"/>
                      <w:szCs w:val="22"/>
                      <w:lang w:val="el-GR"/>
                    </w:rPr>
                  </w:pPr>
                  <w:r>
                    <w:rPr>
                      <w:sz w:val="22"/>
                      <w:szCs w:val="22"/>
                      <w:lang w:val="el-GR"/>
                    </w:rPr>
                    <w:t xml:space="preserve"> (η βελόνα είναι στο εσωτερικό)</w:t>
                  </w:r>
                </w:p>
              </w:tc>
            </w:tr>
          </w:tbl>
          <w:p w14:paraId="0939E5E4" w14:textId="77777777" w:rsidR="00171824" w:rsidRDefault="00171824">
            <w:pPr>
              <w:keepNext/>
              <w:jc w:val="right"/>
              <w:rPr>
                <w:sz w:val="22"/>
                <w:szCs w:val="22"/>
                <w:lang w:val="el-GR"/>
              </w:rPr>
            </w:pPr>
          </w:p>
        </w:tc>
        <w:tc>
          <w:tcPr>
            <w:tcW w:w="1447" w:type="pct"/>
            <w:tcBorders>
              <w:top w:val="nil"/>
              <w:left w:val="nil"/>
              <w:bottom w:val="single" w:sz="4" w:space="0" w:color="auto"/>
              <w:right w:val="nil"/>
            </w:tcBorders>
          </w:tcPr>
          <w:p w14:paraId="0D350976" w14:textId="6AD00ACB" w:rsidR="00171824" w:rsidRDefault="009039B7">
            <w:pPr>
              <w:jc w:val="center"/>
              <w:rPr>
                <w:sz w:val="22"/>
                <w:szCs w:val="22"/>
                <w:lang w:val="el-GR"/>
              </w:rPr>
            </w:pPr>
            <w:r>
              <w:rPr>
                <w:noProof/>
                <w:sz w:val="22"/>
                <w:szCs w:val="22"/>
                <w:lang w:val="el-GR"/>
              </w:rPr>
              <w:drawing>
                <wp:inline distT="0" distB="0" distL="0" distR="0" wp14:anchorId="25D16BF0" wp14:editId="642E99D2">
                  <wp:extent cx="1097280" cy="3200400"/>
                  <wp:effectExtent l="0" t="0" r="0" b="0"/>
                  <wp:docPr id="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97280" cy="3200400"/>
                          </a:xfrm>
                          <a:prstGeom prst="rect">
                            <a:avLst/>
                          </a:prstGeom>
                          <a:noFill/>
                          <a:ln>
                            <a:noFill/>
                          </a:ln>
                        </pic:spPr>
                      </pic:pic>
                    </a:graphicData>
                  </a:graphic>
                </wp:inline>
              </w:drawing>
            </w:r>
          </w:p>
          <w:p w14:paraId="46B8BF18" w14:textId="77777777" w:rsidR="00171824" w:rsidRDefault="006D258C">
            <w:pPr>
              <w:jc w:val="center"/>
              <w:rPr>
                <w:sz w:val="22"/>
                <w:szCs w:val="22"/>
                <w:lang w:val="el-GR"/>
              </w:rPr>
            </w:pPr>
            <w:r>
              <w:rPr>
                <w:sz w:val="22"/>
                <w:szCs w:val="22"/>
                <w:lang w:val="el-GR"/>
              </w:rPr>
              <w:t>40 mg/0,4 ml</w:t>
            </w:r>
          </w:p>
        </w:tc>
        <w:tc>
          <w:tcPr>
            <w:tcW w:w="1688" w:type="pct"/>
            <w:tcBorders>
              <w:left w:val="nil"/>
            </w:tcBorders>
          </w:tcPr>
          <w:tbl>
            <w:tblPr>
              <w:tblW w:w="1861" w:type="dxa"/>
              <w:tblLayout w:type="fixed"/>
              <w:tblCellMar>
                <w:left w:w="113" w:type="dxa"/>
                <w:right w:w="0" w:type="dxa"/>
              </w:tblCellMar>
              <w:tblLook w:val="04A0" w:firstRow="1" w:lastRow="0" w:firstColumn="1" w:lastColumn="0" w:noHBand="0" w:noVBand="1"/>
            </w:tblPr>
            <w:tblGrid>
              <w:gridCol w:w="1861"/>
            </w:tblGrid>
            <w:tr w:rsidR="00171824" w14:paraId="5035084F" w14:textId="77777777">
              <w:trPr>
                <w:trHeight w:val="460"/>
              </w:trPr>
              <w:tc>
                <w:tcPr>
                  <w:tcW w:w="1861" w:type="dxa"/>
                </w:tcPr>
                <w:p w14:paraId="3887E3A5" w14:textId="77777777" w:rsidR="00171824" w:rsidRDefault="006D258C">
                  <w:pPr>
                    <w:framePr w:hSpace="141" w:wrap="around" w:vAnchor="text" w:hAnchor="text" w:x="108" w:y="1"/>
                    <w:suppressOverlap/>
                    <w:rPr>
                      <w:sz w:val="22"/>
                      <w:szCs w:val="22"/>
                      <w:lang w:val="el-GR"/>
                    </w:rPr>
                  </w:pPr>
                  <w:r>
                    <w:rPr>
                      <w:sz w:val="22"/>
                      <w:szCs w:val="22"/>
                      <w:lang w:val="el-GR"/>
                    </w:rPr>
                    <w:t>Γαλάζιο κουμπί έναρξης</w:t>
                  </w:r>
                </w:p>
              </w:tc>
            </w:tr>
            <w:tr w:rsidR="00171824" w14:paraId="34940584" w14:textId="77777777">
              <w:trPr>
                <w:trHeight w:val="1075"/>
              </w:trPr>
              <w:tc>
                <w:tcPr>
                  <w:tcW w:w="1861" w:type="dxa"/>
                </w:tcPr>
                <w:p w14:paraId="1D8C9099" w14:textId="77777777" w:rsidR="00171824" w:rsidRDefault="00171824">
                  <w:pPr>
                    <w:framePr w:hSpace="141" w:wrap="around" w:vAnchor="text" w:hAnchor="text" w:x="108" w:y="1"/>
                    <w:suppressOverlap/>
                    <w:rPr>
                      <w:sz w:val="22"/>
                      <w:szCs w:val="22"/>
                      <w:lang w:val="el-GR"/>
                    </w:rPr>
                  </w:pPr>
                </w:p>
              </w:tc>
            </w:tr>
            <w:tr w:rsidR="00171824" w:rsidRPr="00A07F46" w14:paraId="153CD0CE" w14:textId="77777777">
              <w:trPr>
                <w:trHeight w:val="723"/>
              </w:trPr>
              <w:tc>
                <w:tcPr>
                  <w:tcW w:w="1861" w:type="dxa"/>
                </w:tcPr>
                <w:p w14:paraId="2DA45AD1" w14:textId="77777777" w:rsidR="00171824" w:rsidRDefault="006D258C">
                  <w:pPr>
                    <w:framePr w:hSpace="141" w:wrap="around" w:vAnchor="text" w:hAnchor="text" w:x="108" w:y="1"/>
                    <w:suppressOverlap/>
                    <w:rPr>
                      <w:sz w:val="22"/>
                      <w:szCs w:val="22"/>
                      <w:lang w:val="el-GR"/>
                    </w:rPr>
                  </w:pPr>
                  <w:r>
                    <w:rPr>
                      <w:sz w:val="22"/>
                      <w:szCs w:val="22"/>
                      <w:lang w:val="el-GR"/>
                    </w:rPr>
                    <w:t>Έμβολο (μπορεί να είναι ορατό στο παράθυρο, η θέση μπορεί να διαφέρει)</w:t>
                  </w:r>
                </w:p>
              </w:tc>
            </w:tr>
            <w:tr w:rsidR="00171824" w:rsidRPr="00A07F46" w14:paraId="35FED0AE" w14:textId="77777777">
              <w:trPr>
                <w:trHeight w:val="609"/>
              </w:trPr>
              <w:tc>
                <w:tcPr>
                  <w:tcW w:w="1861" w:type="dxa"/>
                </w:tcPr>
                <w:p w14:paraId="5923303F" w14:textId="77777777" w:rsidR="00171824" w:rsidRDefault="00171824">
                  <w:pPr>
                    <w:framePr w:hSpace="141" w:wrap="around" w:vAnchor="text" w:hAnchor="text" w:x="108" w:y="1"/>
                    <w:suppressOverlap/>
                    <w:rPr>
                      <w:sz w:val="22"/>
                      <w:szCs w:val="22"/>
                      <w:lang w:val="el-GR"/>
                    </w:rPr>
                  </w:pPr>
                </w:p>
              </w:tc>
            </w:tr>
            <w:tr w:rsidR="00171824" w14:paraId="740DACE0" w14:textId="77777777">
              <w:trPr>
                <w:trHeight w:val="1075"/>
              </w:trPr>
              <w:tc>
                <w:tcPr>
                  <w:tcW w:w="1861" w:type="dxa"/>
                </w:tcPr>
                <w:p w14:paraId="0B987D5A" w14:textId="77777777" w:rsidR="00171824" w:rsidRDefault="006D258C">
                  <w:pPr>
                    <w:framePr w:hSpace="141" w:wrap="around" w:vAnchor="text" w:hAnchor="text" w:x="108" w:y="1"/>
                    <w:suppressOverlap/>
                    <w:rPr>
                      <w:sz w:val="22"/>
                      <w:szCs w:val="22"/>
                      <w:lang w:val="el-GR"/>
                    </w:rPr>
                  </w:pPr>
                  <w:r>
                    <w:rPr>
                      <w:sz w:val="22"/>
                      <w:szCs w:val="22"/>
                      <w:lang w:val="el-GR"/>
                    </w:rPr>
                    <w:t>Φάρμακο</w:t>
                  </w:r>
                </w:p>
              </w:tc>
            </w:tr>
            <w:tr w:rsidR="00171824" w14:paraId="6CC215BD" w14:textId="77777777">
              <w:trPr>
                <w:trHeight w:val="567"/>
              </w:trPr>
              <w:tc>
                <w:tcPr>
                  <w:tcW w:w="1861" w:type="dxa"/>
                </w:tcPr>
                <w:p w14:paraId="4BADFCA5" w14:textId="77777777" w:rsidR="00171824" w:rsidRDefault="006D258C">
                  <w:pPr>
                    <w:framePr w:hSpace="141" w:wrap="around" w:vAnchor="text" w:hAnchor="text" w:x="108" w:y="1"/>
                    <w:suppressOverlap/>
                    <w:rPr>
                      <w:sz w:val="22"/>
                      <w:szCs w:val="22"/>
                      <w:lang w:val="el-GR"/>
                    </w:rPr>
                  </w:pPr>
                  <w:r>
                    <w:rPr>
                      <w:sz w:val="22"/>
                      <w:szCs w:val="22"/>
                      <w:lang w:val="el-GR"/>
                    </w:rPr>
                    <w:t>Κίτρινο κάλυμμα</w:t>
                  </w:r>
                </w:p>
              </w:tc>
            </w:tr>
          </w:tbl>
          <w:p w14:paraId="6CC8DEA8" w14:textId="77777777" w:rsidR="00171824" w:rsidRDefault="00171824">
            <w:pPr>
              <w:rPr>
                <w:sz w:val="22"/>
                <w:szCs w:val="22"/>
                <w:lang w:val="el-GR"/>
              </w:rPr>
            </w:pPr>
          </w:p>
        </w:tc>
      </w:tr>
    </w:tbl>
    <w:p w14:paraId="76B21F68" w14:textId="77777777" w:rsidR="00171824" w:rsidRDefault="00171824">
      <w:pPr>
        <w:rPr>
          <w:b/>
          <w:bCs/>
          <w:lang w:val="el-GR"/>
        </w:rPr>
      </w:pPr>
    </w:p>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5"/>
        <w:gridCol w:w="8496"/>
      </w:tblGrid>
      <w:tr w:rsidR="00171824" w:rsidRPr="00422380" w14:paraId="6C3BA80B" w14:textId="77777777">
        <w:trPr>
          <w:cantSplit/>
          <w:trHeight w:val="58"/>
        </w:trPr>
        <w:tc>
          <w:tcPr>
            <w:tcW w:w="312" w:type="pct"/>
            <w:tcBorders>
              <w:bottom w:val="single" w:sz="4" w:space="0" w:color="auto"/>
              <w:right w:val="single" w:sz="4" w:space="0" w:color="auto"/>
            </w:tcBorders>
            <w:tcMar>
              <w:top w:w="57" w:type="dxa"/>
              <w:left w:w="57" w:type="dxa"/>
              <w:bottom w:w="57" w:type="dxa"/>
              <w:right w:w="57" w:type="dxa"/>
            </w:tcMar>
          </w:tcPr>
          <w:p w14:paraId="2A6BDD7B" w14:textId="77777777" w:rsidR="00171824" w:rsidRDefault="006D258C">
            <w:pPr>
              <w:rPr>
                <w:b/>
                <w:bCs/>
                <w:sz w:val="22"/>
                <w:szCs w:val="22"/>
                <w:lang w:val="el-GR"/>
              </w:rPr>
            </w:pPr>
            <w:r>
              <w:rPr>
                <w:b/>
                <w:sz w:val="22"/>
                <w:szCs w:val="22"/>
                <w:lang w:val="el-GR"/>
              </w:rPr>
              <w:t>1</w:t>
            </w:r>
          </w:p>
        </w:tc>
        <w:tc>
          <w:tcPr>
            <w:tcW w:w="4688" w:type="pct"/>
            <w:tcBorders>
              <w:left w:val="single" w:sz="4" w:space="0" w:color="auto"/>
              <w:bottom w:val="single" w:sz="4" w:space="0" w:color="auto"/>
            </w:tcBorders>
          </w:tcPr>
          <w:p w14:paraId="071C858A" w14:textId="77777777" w:rsidR="00171824" w:rsidRDefault="006D258C">
            <w:pPr>
              <w:rPr>
                <w:b/>
                <w:bCs/>
                <w:sz w:val="22"/>
                <w:szCs w:val="22"/>
                <w:lang w:val="el-GR"/>
              </w:rPr>
            </w:pPr>
            <w:r>
              <w:rPr>
                <w:b/>
                <w:sz w:val="22"/>
                <w:szCs w:val="22"/>
                <w:lang w:val="el-GR"/>
              </w:rPr>
              <w:t>Σημαντικές πληροφορίες που πρέπει να γνωρίζετε προτού κάνετε την ένεση AMGEVITA</w:t>
            </w:r>
          </w:p>
        </w:tc>
      </w:tr>
      <w:tr w:rsidR="00171824" w:rsidRPr="00422380" w14:paraId="4C704BED" w14:textId="77777777">
        <w:trPr>
          <w:cantSplit/>
          <w:trHeight w:val="58"/>
          <w:del w:id="233" w:author="Author"/>
        </w:trPr>
        <w:tc>
          <w:tcPr>
            <w:tcW w:w="5000" w:type="pct"/>
            <w:gridSpan w:val="2"/>
            <w:tcBorders>
              <w:bottom w:val="nil"/>
            </w:tcBorders>
            <w:tcMar>
              <w:top w:w="57" w:type="dxa"/>
              <w:left w:w="57" w:type="dxa"/>
              <w:bottom w:w="57" w:type="dxa"/>
              <w:right w:w="57" w:type="dxa"/>
            </w:tcMar>
          </w:tcPr>
          <w:p w14:paraId="47AA8E94" w14:textId="77777777" w:rsidR="00171824" w:rsidRDefault="006D258C">
            <w:pPr>
              <w:rPr>
                <w:del w:id="234" w:author="Author"/>
                <w:b/>
                <w:bCs/>
                <w:sz w:val="22"/>
                <w:szCs w:val="22"/>
                <w:lang w:val="el-GR"/>
              </w:rPr>
            </w:pPr>
            <w:del w:id="235" w:author="Author">
              <w:r>
                <w:rPr>
                  <w:b/>
                  <w:sz w:val="22"/>
                  <w:szCs w:val="22"/>
                  <w:lang w:val="el-GR"/>
                </w:rPr>
                <w:delText>Πώς να χρησιμοποιείτε την προγεμισμένη συσκευή σας τύπου πένας AMGEVITA SureClick:</w:delText>
              </w:r>
            </w:del>
          </w:p>
          <w:p w14:paraId="752CA2D9" w14:textId="77777777" w:rsidR="00171824" w:rsidRDefault="00171824">
            <w:pPr>
              <w:rPr>
                <w:del w:id="236" w:author="Author"/>
                <w:b/>
                <w:bCs/>
                <w:sz w:val="22"/>
                <w:szCs w:val="22"/>
                <w:lang w:val="el-GR"/>
              </w:rPr>
            </w:pPr>
          </w:p>
        </w:tc>
      </w:tr>
      <w:tr w:rsidR="00171824" w:rsidRPr="00422380" w14:paraId="16053B13" w14:textId="77777777">
        <w:trPr>
          <w:cantSplit/>
          <w:trHeight w:val="58"/>
        </w:trPr>
        <w:tc>
          <w:tcPr>
            <w:tcW w:w="312" w:type="pct"/>
            <w:tcBorders>
              <w:top w:val="nil"/>
              <w:bottom w:val="nil"/>
              <w:right w:val="nil"/>
            </w:tcBorders>
          </w:tcPr>
          <w:p w14:paraId="0B1DAEEC" w14:textId="77777777" w:rsidR="00171824" w:rsidRDefault="00171824">
            <w:pPr>
              <w:keepNext/>
              <w:widowControl/>
              <w:numPr>
                <w:ilvl w:val="0"/>
                <w:numId w:val="36"/>
              </w:numPr>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0CCC55D3" w14:textId="77777777" w:rsidR="00171824" w:rsidRDefault="006D258C">
            <w:pPr>
              <w:rPr>
                <w:b/>
                <w:bCs/>
                <w:sz w:val="22"/>
                <w:szCs w:val="22"/>
                <w:lang w:val="el-GR"/>
              </w:rPr>
            </w:pPr>
            <w:r>
              <w:rPr>
                <w:sz w:val="22"/>
                <w:szCs w:val="22"/>
                <w:lang w:val="el-GR"/>
              </w:rPr>
              <w:t xml:space="preserve">Είναι σημαντικό να μην επιχειρήσετε να κάνετε μόνοι σας την ένεση προτού </w:t>
            </w:r>
            <w:bookmarkStart w:id="237" w:name="_Hlk117681572"/>
            <w:r>
              <w:rPr>
                <w:sz w:val="22"/>
                <w:szCs w:val="22"/>
                <w:lang w:val="el-GR"/>
              </w:rPr>
              <w:t>διαβάσετε και κατανοήσετε πλήρως αυτές τις οδηγίες χρήσης και παρά μόνο εάν έχετε λάβει εκπαίδευση από τον γιατρό ή τον πάροχο υγειονομικής περίθαλψης.</w:t>
            </w:r>
            <w:bookmarkEnd w:id="237"/>
          </w:p>
        </w:tc>
      </w:tr>
      <w:tr w:rsidR="00171824" w:rsidRPr="00422380" w14:paraId="620538BC" w14:textId="77777777">
        <w:trPr>
          <w:cantSplit/>
          <w:trHeight w:val="58"/>
        </w:trPr>
        <w:tc>
          <w:tcPr>
            <w:tcW w:w="312" w:type="pct"/>
            <w:tcBorders>
              <w:top w:val="nil"/>
              <w:bottom w:val="nil"/>
              <w:right w:val="nil"/>
            </w:tcBorders>
          </w:tcPr>
          <w:p w14:paraId="61B7FCF3" w14:textId="77777777" w:rsidR="00171824" w:rsidRDefault="00171824">
            <w:pPr>
              <w:keepNext/>
              <w:widowControl/>
              <w:numPr>
                <w:ilvl w:val="0"/>
                <w:numId w:val="36"/>
              </w:numPr>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6A6FE731"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χρησιμοποιείτε την προγεμισμένη συσκευή τύπου πένας εάν το κουτί είναι κατεστραμμένο ή έχει παραβιαστεί η σφράγιση.</w:t>
            </w:r>
          </w:p>
        </w:tc>
      </w:tr>
      <w:tr w:rsidR="00171824" w:rsidRPr="00422380" w14:paraId="5E9C66D7" w14:textId="77777777">
        <w:trPr>
          <w:cantSplit/>
          <w:trHeight w:val="58"/>
        </w:trPr>
        <w:tc>
          <w:tcPr>
            <w:tcW w:w="312" w:type="pct"/>
            <w:tcBorders>
              <w:top w:val="nil"/>
              <w:bottom w:val="nil"/>
              <w:right w:val="nil"/>
            </w:tcBorders>
          </w:tcPr>
          <w:p w14:paraId="7D5E80C0" w14:textId="77777777" w:rsidR="00171824" w:rsidRDefault="00171824">
            <w:pPr>
              <w:pStyle w:val="ListParagraph"/>
              <w:keepNext/>
              <w:widowControl/>
              <w:numPr>
                <w:ilvl w:val="0"/>
                <w:numId w:val="37"/>
              </w:numPr>
              <w:tabs>
                <w:tab w:val="left" w:pos="474"/>
                <w:tab w:val="left" w:pos="529"/>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2D7E3AA4"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χρησιμοποιείτε την προγεμισμένη συσκευή τύπου πένας μετά την ημερομηνία λήξης που αναγράφεται στην ετικέτα.</w:t>
            </w:r>
          </w:p>
        </w:tc>
      </w:tr>
      <w:tr w:rsidR="00171824" w:rsidRPr="00422380" w14:paraId="42318E2F" w14:textId="77777777">
        <w:trPr>
          <w:cantSplit/>
          <w:trHeight w:val="58"/>
        </w:trPr>
        <w:tc>
          <w:tcPr>
            <w:tcW w:w="312" w:type="pct"/>
            <w:tcBorders>
              <w:top w:val="nil"/>
              <w:bottom w:val="nil"/>
              <w:right w:val="nil"/>
            </w:tcBorders>
          </w:tcPr>
          <w:p w14:paraId="312227F7" w14:textId="77777777" w:rsidR="00171824" w:rsidRDefault="00171824">
            <w:pPr>
              <w:pStyle w:val="ListParagraph"/>
              <w:keepNext/>
              <w:widowControl/>
              <w:numPr>
                <w:ilvl w:val="0"/>
                <w:numId w:val="37"/>
              </w:numPr>
              <w:tabs>
                <w:tab w:val="left" w:pos="567"/>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0663EAC0" w14:textId="77777777" w:rsidR="00171824" w:rsidRDefault="006D258C">
            <w:pPr>
              <w:rPr>
                <w:b/>
                <w:bCs/>
                <w:sz w:val="22"/>
                <w:szCs w:val="22"/>
                <w:lang w:val="el-GR"/>
              </w:rPr>
            </w:pPr>
            <w:r>
              <w:rPr>
                <w:b/>
                <w:bCs/>
                <w:sz w:val="22"/>
                <w:szCs w:val="22"/>
                <w:lang w:val="el-GR"/>
              </w:rPr>
              <w:t>Μην</w:t>
            </w:r>
            <w:r>
              <w:rPr>
                <w:sz w:val="22"/>
                <w:szCs w:val="22"/>
                <w:lang w:val="el-GR"/>
              </w:rPr>
              <w:t xml:space="preserve"> ανακινείτε την προγεμισμένη συσκευή τύπου πένας.</w:t>
            </w:r>
          </w:p>
        </w:tc>
      </w:tr>
      <w:tr w:rsidR="00171824" w:rsidRPr="00422380" w14:paraId="54A33709" w14:textId="77777777">
        <w:trPr>
          <w:cantSplit/>
          <w:trHeight w:val="58"/>
        </w:trPr>
        <w:tc>
          <w:tcPr>
            <w:tcW w:w="312" w:type="pct"/>
            <w:tcBorders>
              <w:top w:val="nil"/>
              <w:bottom w:val="nil"/>
              <w:right w:val="nil"/>
            </w:tcBorders>
          </w:tcPr>
          <w:p w14:paraId="02287107" w14:textId="77777777" w:rsidR="00171824" w:rsidRDefault="00171824">
            <w:pPr>
              <w:pStyle w:val="ListParagraph"/>
              <w:keepNext/>
              <w:widowControl/>
              <w:numPr>
                <w:ilvl w:val="0"/>
                <w:numId w:val="38"/>
              </w:numPr>
              <w:tabs>
                <w:tab w:val="left" w:pos="567"/>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6484C5C0" w14:textId="77777777" w:rsidR="00171824" w:rsidRDefault="006D258C">
            <w:pPr>
              <w:rPr>
                <w:sz w:val="22"/>
                <w:szCs w:val="22"/>
                <w:lang w:val="el-GR"/>
              </w:rPr>
            </w:pPr>
            <w:r>
              <w:rPr>
                <w:b/>
                <w:bCs/>
                <w:sz w:val="22"/>
                <w:szCs w:val="22"/>
                <w:lang w:val="el-GR"/>
              </w:rPr>
              <w:t>Μην</w:t>
            </w:r>
            <w:r>
              <w:rPr>
                <w:sz w:val="22"/>
                <w:szCs w:val="22"/>
                <w:lang w:val="el-GR"/>
              </w:rPr>
              <w:t xml:space="preserve"> αφαιρείτε το κίτρινο κάλυμμα από την προγεμισμένη συσκευή τύπου πένας παρά μόνο όταν θα είστε έτοιμοι για την ένεση.</w:t>
            </w:r>
          </w:p>
        </w:tc>
      </w:tr>
      <w:tr w:rsidR="00171824" w:rsidRPr="00422380" w14:paraId="75DC146B" w14:textId="77777777">
        <w:trPr>
          <w:cantSplit/>
          <w:trHeight w:val="58"/>
        </w:trPr>
        <w:tc>
          <w:tcPr>
            <w:tcW w:w="312" w:type="pct"/>
            <w:tcBorders>
              <w:top w:val="nil"/>
              <w:bottom w:val="nil"/>
              <w:right w:val="nil"/>
            </w:tcBorders>
          </w:tcPr>
          <w:p w14:paraId="14832E69" w14:textId="77777777" w:rsidR="00171824" w:rsidRDefault="00171824">
            <w:pPr>
              <w:pStyle w:val="ListParagraph"/>
              <w:keepNext/>
              <w:widowControl/>
              <w:numPr>
                <w:ilvl w:val="0"/>
                <w:numId w:val="38"/>
              </w:numPr>
              <w:tabs>
                <w:tab w:val="left" w:pos="567"/>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07983955" w14:textId="77777777" w:rsidR="00171824" w:rsidRDefault="006D258C">
            <w:pPr>
              <w:rPr>
                <w:sz w:val="22"/>
                <w:szCs w:val="22"/>
                <w:lang w:val="el-GR"/>
              </w:rPr>
            </w:pPr>
            <w:r>
              <w:rPr>
                <w:b/>
                <w:bCs/>
                <w:sz w:val="22"/>
                <w:szCs w:val="22"/>
                <w:lang w:val="el-GR"/>
              </w:rPr>
              <w:t>Μη</w:t>
            </w:r>
            <w:r>
              <w:rPr>
                <w:sz w:val="22"/>
                <w:szCs w:val="22"/>
                <w:lang w:val="el-GR"/>
              </w:rPr>
              <w:t xml:space="preserve"> χρησιμοποιείτε την προγεμισμένη συσκευή τύπου πένας εάν έχει καταψυχθεί.</w:t>
            </w:r>
          </w:p>
        </w:tc>
      </w:tr>
      <w:tr w:rsidR="00171824" w:rsidRPr="00422380" w14:paraId="454B408D" w14:textId="77777777">
        <w:trPr>
          <w:cantSplit/>
          <w:trHeight w:val="58"/>
        </w:trPr>
        <w:tc>
          <w:tcPr>
            <w:tcW w:w="312" w:type="pct"/>
            <w:tcBorders>
              <w:top w:val="nil"/>
              <w:bottom w:val="nil"/>
              <w:right w:val="nil"/>
            </w:tcBorders>
          </w:tcPr>
          <w:p w14:paraId="170842F6" w14:textId="77777777" w:rsidR="00171824" w:rsidRDefault="00171824">
            <w:pPr>
              <w:pStyle w:val="ListParagraph"/>
              <w:keepNext/>
              <w:widowControl/>
              <w:numPr>
                <w:ilvl w:val="0"/>
                <w:numId w:val="38"/>
              </w:numPr>
              <w:tabs>
                <w:tab w:val="left" w:pos="567"/>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32FD9509" w14:textId="77777777" w:rsidR="00171824" w:rsidRDefault="006D258C">
            <w:pPr>
              <w:rPr>
                <w:sz w:val="22"/>
                <w:szCs w:val="22"/>
                <w:lang w:val="el-GR"/>
              </w:rPr>
            </w:pPr>
            <w:r>
              <w:rPr>
                <w:b/>
                <w:color w:val="000000"/>
                <w:sz w:val="22"/>
                <w:szCs w:val="22"/>
                <w:lang w:val="el-GR"/>
              </w:rPr>
              <w:t xml:space="preserve">Μη </w:t>
            </w:r>
            <w:r>
              <w:rPr>
                <w:color w:val="000000"/>
                <w:sz w:val="22"/>
                <w:szCs w:val="22"/>
                <w:lang w:val="el-GR"/>
              </w:rPr>
              <w:t>χρησιμοποιείτε την προγεμισμένη συσκευή τύπου πένας εάν έχει πέσει επάνω σε μια σκληρή επιφάνεια. Κάποιο μέρος της προγεμισμένης συσκευής τύπου πένας μπορεί να έχει σπάσει, ακόμη και εάν το σπάσιμο δεν είναι ορατό. Χρησιμοποιήστε μια νέα προγεμισμένη συσκευή τύπου πένας και καλέστε τον γιατρό σας ή τον πάροχο υγειονομικής περίθαλψης.</w:t>
            </w:r>
          </w:p>
        </w:tc>
      </w:tr>
      <w:tr w:rsidR="00171824" w:rsidRPr="00422380" w14:paraId="3A2C4D65" w14:textId="77777777">
        <w:trPr>
          <w:cantSplit/>
          <w:trHeight w:val="58"/>
        </w:trPr>
        <w:tc>
          <w:tcPr>
            <w:tcW w:w="5000" w:type="pct"/>
            <w:gridSpan w:val="2"/>
            <w:tcBorders>
              <w:top w:val="nil"/>
              <w:bottom w:val="single" w:sz="4" w:space="0" w:color="auto"/>
            </w:tcBorders>
          </w:tcPr>
          <w:p w14:paraId="72F84998" w14:textId="09E1074D" w:rsidR="00171824" w:rsidRDefault="009039B7">
            <w:pPr>
              <w:rPr>
                <w:b/>
                <w:bCs/>
                <w:sz w:val="22"/>
                <w:szCs w:val="22"/>
                <w:lang w:val="el-GR"/>
              </w:rPr>
            </w:pPr>
            <w:r>
              <w:rPr>
                <w:noProof/>
              </w:rPr>
              <mc:AlternateContent>
                <mc:Choice Requires="wps">
                  <w:drawing>
                    <wp:anchor distT="45720" distB="45720" distL="114300" distR="114300" simplePos="0" relativeHeight="251658240" behindDoc="0" locked="0" layoutInCell="1" allowOverlap="1" wp14:anchorId="6F531589" wp14:editId="04609FD9">
                      <wp:simplePos x="0" y="0"/>
                      <wp:positionH relativeFrom="margin">
                        <wp:posOffset>53340</wp:posOffset>
                      </wp:positionH>
                      <wp:positionV relativeFrom="paragraph">
                        <wp:posOffset>66040</wp:posOffset>
                      </wp:positionV>
                      <wp:extent cx="5576570" cy="431800"/>
                      <wp:effectExtent l="0" t="0" r="5080" b="6350"/>
                      <wp:wrapSquare wrapText="bothSides"/>
                      <wp:docPr id="76090992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30B7C8A0" w14:textId="77777777" w:rsidR="00171824" w:rsidRDefault="006D258C">
                                  <w:pPr>
                                    <w:rPr>
                                      <w:sz w:val="22"/>
                                      <w:szCs w:val="22"/>
                                      <w:lang w:val="el-GR"/>
                                    </w:rPr>
                                  </w:pPr>
                                  <w:r>
                                    <w:rPr>
                                      <w:b/>
                                      <w:sz w:val="22"/>
                                      <w:szCs w:val="22"/>
                                      <w:lang w:val="el-GR"/>
                                    </w:rPr>
                                    <w:t>Σημαντικό:</w:t>
                                  </w:r>
                                  <w:r>
                                    <w:rPr>
                                      <w:sz w:val="22"/>
                                      <w:szCs w:val="22"/>
                                      <w:lang w:val="el-GR"/>
                                    </w:rPr>
                                    <w:t xml:space="preserve"> Φυλάσσετε την προγεμισμένη συσκευή τύπου πένας και το δοχείο απόρριψης αιχμηρών αντικειμένων σε μέρη που δεν βλέπουν και δεν προσεγγίζουν τα παιδιά.</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F531589" id="Text Box 38" o:spid="_x0000_s1037" type="#_x0000_t202" style="position:absolute;margin-left:4.2pt;margin-top:5.2pt;width:439.1pt;height:34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pyLBw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" strokecolor="red" strokeweight="1.5pt">
                      <v:textbox style="mso-fit-shape-to-text:t">
                        <w:txbxContent>
                          <w:p w14:paraId="30B7C8A0" w14:textId="77777777" w:rsidR="00171824" w:rsidRDefault="006D258C">
                            <w:pPr>
                              <w:rPr>
                                <w:sz w:val="22"/>
                                <w:szCs w:val="22"/>
                                <w:lang w:val="el-GR"/>
                              </w:rPr>
                            </w:pPr>
                            <w:r>
                              <w:rPr>
                                <w:b/>
                                <w:sz w:val="22"/>
                                <w:szCs w:val="22"/>
                                <w:lang w:val="el-GR"/>
                              </w:rPr>
                              <w:t>Σημαντικό:</w:t>
                            </w:r>
                            <w:r>
                              <w:rPr>
                                <w:sz w:val="22"/>
                                <w:szCs w:val="22"/>
                                <w:lang w:val="el-GR"/>
                              </w:rPr>
                              <w:t xml:space="preserve"> Φυλάσσετε την προγεμισμένη συσκευή τύπου πένας και το δοχείο απόρριψης αιχμηρών αντικειμένων σε μέρη που δεν βλέπουν και δεν προσεγγίζουν τα παιδιά.</w:t>
                            </w:r>
                          </w:p>
                        </w:txbxContent>
                      </v:textbox>
                      <w10:wrap type="square" anchorx="margin"/>
                    </v:shape>
                  </w:pict>
                </mc:Fallback>
              </mc:AlternateContent>
            </w:r>
          </w:p>
        </w:tc>
      </w:tr>
    </w:tbl>
    <w:p w14:paraId="50A1FB39" w14:textId="77777777" w:rsidR="00171824" w:rsidRDefault="00171824">
      <w:pPr>
        <w:rPr>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171824" w:rsidRPr="00422380" w14:paraId="2AE916BE" w14:textId="77777777">
        <w:trPr>
          <w:cantSplit/>
          <w:trHeight w:val="57"/>
        </w:trPr>
        <w:tc>
          <w:tcPr>
            <w:tcW w:w="305" w:type="pct"/>
            <w:tcBorders>
              <w:top w:val="single" w:sz="4" w:space="0" w:color="auto"/>
            </w:tcBorders>
            <w:tcMar>
              <w:top w:w="28" w:type="dxa"/>
              <w:left w:w="57" w:type="dxa"/>
              <w:bottom w:w="28" w:type="dxa"/>
              <w:right w:w="57" w:type="dxa"/>
            </w:tcMar>
          </w:tcPr>
          <w:p w14:paraId="712FAA3F" w14:textId="77777777" w:rsidR="00171824" w:rsidRDefault="006D258C">
            <w:pPr>
              <w:keepNext/>
              <w:rPr>
                <w:sz w:val="22"/>
                <w:szCs w:val="22"/>
                <w:lang w:val="el-GR"/>
              </w:rPr>
            </w:pPr>
            <w:r>
              <w:rPr>
                <w:b/>
                <w:sz w:val="22"/>
                <w:szCs w:val="22"/>
                <w:lang w:val="el-GR"/>
              </w:rPr>
              <w:lastRenderedPageBreak/>
              <w:t>2</w:t>
            </w:r>
          </w:p>
        </w:tc>
        <w:tc>
          <w:tcPr>
            <w:tcW w:w="4695" w:type="pct"/>
            <w:tcBorders>
              <w:top w:val="single" w:sz="4" w:space="0" w:color="auto"/>
            </w:tcBorders>
          </w:tcPr>
          <w:p w14:paraId="4CA32C58" w14:textId="77777777" w:rsidR="00171824" w:rsidRDefault="006D258C">
            <w:pPr>
              <w:keepNext/>
              <w:ind w:left="567" w:hanging="567"/>
              <w:rPr>
                <w:sz w:val="22"/>
                <w:szCs w:val="22"/>
                <w:lang w:val="el-GR"/>
              </w:rPr>
            </w:pPr>
            <w:r>
              <w:rPr>
                <w:b/>
                <w:sz w:val="22"/>
                <w:szCs w:val="22"/>
                <w:lang w:val="el-GR"/>
              </w:rPr>
              <w:t>Πώς να προετοιμαστείτε για να κάνετε την ένεση AMGEVITA</w:t>
            </w:r>
          </w:p>
        </w:tc>
      </w:tr>
    </w:tbl>
    <w:p w14:paraId="4B1A4AA5" w14:textId="77777777" w:rsidR="00171824" w:rsidRDefault="00171824">
      <w:pPr>
        <w:keepNext/>
        <w:rPr>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171824" w:rsidRPr="00422380" w14:paraId="4D467716" w14:textId="77777777">
        <w:trPr>
          <w:cantSplit/>
          <w:trHeight w:val="57"/>
        </w:trPr>
        <w:tc>
          <w:tcPr>
            <w:tcW w:w="310" w:type="pct"/>
            <w:tcBorders>
              <w:bottom w:val="single" w:sz="4" w:space="0" w:color="auto"/>
            </w:tcBorders>
            <w:tcMar>
              <w:top w:w="28" w:type="dxa"/>
              <w:left w:w="57" w:type="dxa"/>
              <w:bottom w:w="28" w:type="dxa"/>
              <w:right w:w="57" w:type="dxa"/>
            </w:tcMar>
          </w:tcPr>
          <w:p w14:paraId="4AAE6AB1" w14:textId="77777777" w:rsidR="00171824" w:rsidRDefault="006D258C">
            <w:pPr>
              <w:keepNext/>
              <w:rPr>
                <w:sz w:val="22"/>
                <w:szCs w:val="22"/>
                <w:lang w:val="el-GR"/>
              </w:rPr>
            </w:pPr>
            <w:r>
              <w:rPr>
                <w:b/>
                <w:sz w:val="22"/>
                <w:szCs w:val="22"/>
                <w:lang w:val="el-GR"/>
              </w:rPr>
              <w:t>2α</w:t>
            </w:r>
          </w:p>
        </w:tc>
        <w:tc>
          <w:tcPr>
            <w:tcW w:w="4690" w:type="pct"/>
            <w:gridSpan w:val="2"/>
            <w:tcBorders>
              <w:bottom w:val="single" w:sz="4" w:space="0" w:color="auto"/>
            </w:tcBorders>
          </w:tcPr>
          <w:p w14:paraId="203FDE78" w14:textId="77777777" w:rsidR="00171824" w:rsidRDefault="006D258C">
            <w:pPr>
              <w:keepNext/>
              <w:ind w:left="567" w:hanging="567"/>
              <w:rPr>
                <w:sz w:val="22"/>
                <w:szCs w:val="22"/>
                <w:lang w:val="el-GR"/>
              </w:rPr>
            </w:pPr>
            <w:r>
              <w:rPr>
                <w:b/>
                <w:sz w:val="22"/>
                <w:szCs w:val="22"/>
                <w:lang w:val="el-GR"/>
              </w:rPr>
              <w:t xml:space="preserve">Περιμένετε </w:t>
            </w:r>
            <w:ins w:id="238" w:author="Author">
              <w:r>
                <w:rPr>
                  <w:b/>
                  <w:sz w:val="22"/>
                  <w:szCs w:val="22"/>
                  <w:lang w:val="el-GR"/>
                </w:rPr>
                <w:t xml:space="preserve">15 με </w:t>
              </w:r>
            </w:ins>
            <w:r>
              <w:rPr>
                <w:b/>
                <w:sz w:val="22"/>
                <w:szCs w:val="22"/>
                <w:lang w:val="el-GR"/>
              </w:rPr>
              <w:t>30 λεπτά για να φτάσει η προγεμισμένη συσκευή τύπου πένας σε θερμοκρασία δωματίου.</w:t>
            </w:r>
          </w:p>
        </w:tc>
      </w:tr>
      <w:tr w:rsidR="00171824" w14:paraId="2DF6BD21"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23536A80" w14:textId="77777777" w:rsidR="00171824" w:rsidRDefault="00171824">
            <w:pPr>
              <w:jc w:val="center"/>
              <w:rPr>
                <w:b/>
                <w:bCs/>
                <w:sz w:val="36"/>
                <w:szCs w:val="36"/>
                <w:lang w:val="el-GR"/>
              </w:rPr>
            </w:pPr>
          </w:p>
          <w:p w14:paraId="52296C5E" w14:textId="77777777" w:rsidR="00171824" w:rsidRDefault="006D258C">
            <w:pPr>
              <w:jc w:val="center"/>
              <w:rPr>
                <w:b/>
                <w:bCs/>
                <w:sz w:val="36"/>
                <w:szCs w:val="36"/>
                <w:lang w:val="el-GR"/>
              </w:rPr>
            </w:pPr>
            <w:r>
              <w:rPr>
                <w:b/>
                <w:sz w:val="36"/>
                <w:szCs w:val="36"/>
                <w:lang w:val="el-GR"/>
              </w:rPr>
              <w:t>ΠΕΡΙΜΕΝΕΤΕ</w:t>
            </w:r>
          </w:p>
          <w:p w14:paraId="1A2F3103" w14:textId="77777777" w:rsidR="00171824" w:rsidRDefault="006D258C">
            <w:pPr>
              <w:jc w:val="center"/>
              <w:rPr>
                <w:b/>
                <w:bCs/>
                <w:sz w:val="36"/>
                <w:szCs w:val="36"/>
                <w:lang w:val="el-GR"/>
              </w:rPr>
            </w:pPr>
            <w:ins w:id="239" w:author="Author">
              <w:r>
                <w:rPr>
                  <w:b/>
                  <w:sz w:val="36"/>
                  <w:szCs w:val="36"/>
                  <w:lang w:val="el-GR"/>
                </w:rPr>
                <w:t xml:space="preserve">15 με </w:t>
              </w:r>
            </w:ins>
            <w:r>
              <w:rPr>
                <w:b/>
                <w:sz w:val="36"/>
                <w:szCs w:val="36"/>
                <w:lang w:val="el-GR"/>
              </w:rPr>
              <w:t>30</w:t>
            </w:r>
          </w:p>
          <w:p w14:paraId="1F77F1EB" w14:textId="77777777" w:rsidR="00171824" w:rsidRDefault="006D258C">
            <w:pPr>
              <w:jc w:val="center"/>
              <w:rPr>
                <w:b/>
                <w:bCs/>
                <w:sz w:val="36"/>
                <w:szCs w:val="36"/>
                <w:lang w:val="el-GR"/>
              </w:rPr>
            </w:pPr>
            <w:r>
              <w:rPr>
                <w:b/>
                <w:sz w:val="36"/>
                <w:szCs w:val="36"/>
                <w:lang w:val="el-GR"/>
              </w:rPr>
              <w:t>λεπτά</w:t>
            </w:r>
          </w:p>
          <w:p w14:paraId="57889631" w14:textId="77777777" w:rsidR="00171824" w:rsidRDefault="00171824">
            <w:pPr>
              <w:pStyle w:val="ListParagraph"/>
              <w:ind w:left="567" w:hanging="567"/>
              <w:rPr>
                <w:b/>
                <w:bCs/>
                <w:sz w:val="22"/>
                <w:szCs w:val="22"/>
                <w:lang w:val="el-GR"/>
              </w:rPr>
            </w:pPr>
          </w:p>
        </w:tc>
      </w:tr>
      <w:tr w:rsidR="00171824" w:rsidRPr="00422380" w14:paraId="3B0B2E60"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6DC260F8"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550EFCF5" w14:textId="77777777" w:rsidR="00171824" w:rsidRDefault="006D258C">
            <w:pPr>
              <w:pStyle w:val="ListBullets"/>
              <w:numPr>
                <w:ilvl w:val="0"/>
                <w:numId w:val="0"/>
              </w:numPr>
              <w:spacing w:after="0"/>
              <w:contextualSpacing w:val="0"/>
              <w:rPr>
                <w:sz w:val="22"/>
                <w:szCs w:val="22"/>
              </w:rPr>
            </w:pPr>
            <w:r>
              <w:rPr>
                <w:rFonts w:ascii="Times New Roman" w:hAnsi="Times New Roman"/>
                <w:sz w:val="22"/>
                <w:szCs w:val="22"/>
              </w:rPr>
              <w:t>Αφαιρέστε τον αριθμό των προγεμισμένων συσκευών τύπου πένας που χρειάζεστε για την ένεσή σας και τοποθετήστε τυχόν αχρησιμοποίητες προγεμισμένες συσκευές τύπου πένας και πάλι στο ψυγείο.</w:t>
            </w:r>
          </w:p>
        </w:tc>
      </w:tr>
      <w:tr w:rsidR="00171824" w:rsidRPr="00422380" w14:paraId="15B6DB45"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36FEFDE1"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6F5E74E1" w14:textId="77777777" w:rsidR="00171824" w:rsidRDefault="006D258C">
            <w:pPr>
              <w:rPr>
                <w:b/>
                <w:bCs/>
                <w:sz w:val="22"/>
                <w:szCs w:val="22"/>
                <w:lang w:val="el-GR"/>
              </w:rPr>
            </w:pPr>
            <w:r>
              <w:rPr>
                <w:sz w:val="22"/>
                <w:szCs w:val="22"/>
                <w:lang w:val="el-GR"/>
              </w:rPr>
              <w:t>Αφήστε την προγεμισμένη συσκευή τύπου πένας να ζεσταθεί φυσικά.</w:t>
            </w:r>
          </w:p>
        </w:tc>
      </w:tr>
      <w:tr w:rsidR="00171824" w:rsidRPr="00422380" w14:paraId="7114D143"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3069F8A"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502330D2" w14:textId="77777777" w:rsidR="00171824" w:rsidRDefault="006D258C">
            <w:pPr>
              <w:rPr>
                <w:sz w:val="22"/>
                <w:szCs w:val="22"/>
                <w:lang w:val="el-GR"/>
              </w:rPr>
            </w:pPr>
            <w:r>
              <w:rPr>
                <w:b/>
                <w:bCs/>
                <w:sz w:val="22"/>
                <w:szCs w:val="22"/>
                <w:lang w:val="el-GR"/>
              </w:rPr>
              <w:t>Μην</w:t>
            </w:r>
            <w:r>
              <w:rPr>
                <w:sz w:val="22"/>
                <w:szCs w:val="22"/>
                <w:lang w:val="el-GR"/>
              </w:rPr>
              <w:t xml:space="preserve"> θερμαίνετε </w:t>
            </w:r>
            <w:ins w:id="240" w:author="Author">
              <w:r>
                <w:rPr>
                  <w:sz w:val="22"/>
                  <w:szCs w:val="22"/>
                  <w:lang w:val="el-GR"/>
                </w:rPr>
                <w:t xml:space="preserve">την προγεμισμένη συσκευή τύπου πένας </w:t>
              </w:r>
            </w:ins>
            <w:r>
              <w:rPr>
                <w:sz w:val="22"/>
                <w:szCs w:val="22"/>
                <w:lang w:val="el-GR"/>
              </w:rPr>
              <w:t>με ζεστό νερό, φούρνο μικροκυμάτων ή άμεσο ηλιακό φως.</w:t>
            </w:r>
          </w:p>
        </w:tc>
      </w:tr>
      <w:tr w:rsidR="00171824" w:rsidRPr="00422380" w14:paraId="6AA91734"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6ACE389"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71A1E3B2" w14:textId="77777777" w:rsidR="00171824" w:rsidRDefault="006D258C">
            <w:pPr>
              <w:rPr>
                <w:sz w:val="22"/>
                <w:szCs w:val="22"/>
                <w:lang w:val="el-GR"/>
              </w:rPr>
            </w:pPr>
            <w:r>
              <w:rPr>
                <w:b/>
                <w:bCs/>
                <w:sz w:val="22"/>
                <w:szCs w:val="22"/>
                <w:lang w:val="el-GR"/>
              </w:rPr>
              <w:t>Μην</w:t>
            </w:r>
            <w:r>
              <w:rPr>
                <w:sz w:val="22"/>
                <w:szCs w:val="22"/>
                <w:lang w:val="el-GR"/>
              </w:rPr>
              <w:t xml:space="preserve"> ανακινείτε την προγεμισμένη συσκευή τύπου πένας σε καμία στιγμή.</w:t>
            </w:r>
          </w:p>
        </w:tc>
      </w:tr>
      <w:tr w:rsidR="00171824" w:rsidRPr="00422380" w14:paraId="36A6409A"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3EC0353"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40487466" w14:textId="77777777" w:rsidR="00171824" w:rsidRDefault="006D258C">
            <w:pPr>
              <w:rPr>
                <w:b/>
                <w:bCs/>
                <w:sz w:val="22"/>
                <w:szCs w:val="22"/>
                <w:lang w:val="el-GR"/>
              </w:rPr>
            </w:pPr>
            <w:r>
              <w:rPr>
                <w:b/>
                <w:bCs/>
                <w:sz w:val="22"/>
                <w:szCs w:val="22"/>
                <w:lang w:val="el-GR"/>
              </w:rPr>
              <w:t>Μην</w:t>
            </w:r>
            <w:r>
              <w:rPr>
                <w:sz w:val="22"/>
                <w:szCs w:val="22"/>
                <w:lang w:val="el-GR"/>
              </w:rPr>
              <w:t xml:space="preserve"> τοποθετήσετε την προγεμισμένη συσκευή τύπου πένας και πάλι στο ψυγείο αφού φτάσει σε θερμοκρασία δωματίου.</w:t>
            </w:r>
          </w:p>
        </w:tc>
      </w:tr>
      <w:tr w:rsidR="00171824" w:rsidRPr="00422380" w14:paraId="3EF3A7A9"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23091BBB"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single" w:sz="4" w:space="0" w:color="auto"/>
            </w:tcBorders>
            <w:tcMar>
              <w:left w:w="0" w:type="dxa"/>
            </w:tcMar>
          </w:tcPr>
          <w:p w14:paraId="2F7988DC" w14:textId="77777777" w:rsidR="00171824" w:rsidRDefault="006D258C">
            <w:pPr>
              <w:pStyle w:val="ListParagraph"/>
              <w:rPr>
                <w:b/>
                <w:bCs/>
                <w:sz w:val="22"/>
                <w:szCs w:val="22"/>
                <w:lang w:val="el-GR"/>
              </w:rPr>
            </w:pPr>
            <w:r>
              <w:rPr>
                <w:sz w:val="22"/>
                <w:szCs w:val="22"/>
                <w:lang w:val="el-GR"/>
              </w:rPr>
              <w:t xml:space="preserve">Χρησιμοποιώντας την προγεμισμένη συσκευή τύπου πένας σε θερμοκρασία δωματίου, </w:t>
            </w:r>
            <w:bookmarkStart w:id="241" w:name="_Hlk211854420"/>
            <w:ins w:id="242" w:author="Author">
              <w:r>
                <w:rPr>
                  <w:sz w:val="22"/>
                  <w:szCs w:val="22"/>
                  <w:lang w:val="el-GR"/>
                </w:rPr>
                <w:t xml:space="preserve">εξασφαλίζετε ότι θα χορηγηθεί ολόκληρη η δόση και </w:t>
              </w:r>
              <w:bookmarkEnd w:id="241"/>
              <w:r>
                <w:rPr>
                  <w:sz w:val="22"/>
                  <w:szCs w:val="22"/>
                  <w:lang w:val="el-GR"/>
                </w:rPr>
                <w:t xml:space="preserve">ότι </w:t>
              </w:r>
            </w:ins>
            <w:r>
              <w:rPr>
                <w:sz w:val="22"/>
                <w:szCs w:val="22"/>
                <w:lang w:val="el-GR"/>
              </w:rPr>
              <w:t xml:space="preserve">η ένεση </w:t>
            </w:r>
            <w:ins w:id="243" w:author="Author">
              <w:r>
                <w:rPr>
                  <w:sz w:val="22"/>
                  <w:szCs w:val="22"/>
                  <w:lang w:val="el-GR"/>
                </w:rPr>
                <w:t xml:space="preserve">θα </w:t>
              </w:r>
            </w:ins>
            <w:r>
              <w:rPr>
                <w:sz w:val="22"/>
                <w:szCs w:val="22"/>
                <w:lang w:val="el-GR"/>
              </w:rPr>
              <w:t>είναι πιο άνετη</w:t>
            </w:r>
            <w:r>
              <w:rPr>
                <w:b/>
                <w:sz w:val="22"/>
                <w:szCs w:val="22"/>
                <w:lang w:val="el-GR"/>
              </w:rPr>
              <w:t xml:space="preserve">. </w:t>
            </w:r>
          </w:p>
          <w:p w14:paraId="6484350A" w14:textId="77777777" w:rsidR="00171824" w:rsidRDefault="00171824">
            <w:pPr>
              <w:rPr>
                <w:sz w:val="22"/>
                <w:szCs w:val="22"/>
                <w:lang w:val="el-GR"/>
              </w:rPr>
            </w:pPr>
          </w:p>
        </w:tc>
      </w:tr>
    </w:tbl>
    <w:p w14:paraId="2473CEDF" w14:textId="77777777" w:rsidR="00171824" w:rsidRDefault="00171824">
      <w:pPr>
        <w:rPr>
          <w:b/>
          <w:bCs/>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171824" w:rsidRPr="00422380" w14:paraId="7A902B6C" w14:textId="77777777">
        <w:trPr>
          <w:cantSplit/>
          <w:trHeight w:val="382"/>
        </w:trPr>
        <w:tc>
          <w:tcPr>
            <w:tcW w:w="355" w:type="pct"/>
            <w:tcBorders>
              <w:bottom w:val="nil"/>
            </w:tcBorders>
            <w:tcMar>
              <w:top w:w="28" w:type="dxa"/>
              <w:left w:w="57" w:type="dxa"/>
              <w:bottom w:w="28" w:type="dxa"/>
              <w:right w:w="57" w:type="dxa"/>
            </w:tcMar>
          </w:tcPr>
          <w:p w14:paraId="09D3F7A3" w14:textId="77777777" w:rsidR="00171824" w:rsidRDefault="006D258C">
            <w:pPr>
              <w:keepNext/>
              <w:rPr>
                <w:sz w:val="22"/>
                <w:szCs w:val="22"/>
                <w:lang w:val="el-GR"/>
              </w:rPr>
            </w:pPr>
            <w:r>
              <w:rPr>
                <w:b/>
                <w:sz w:val="22"/>
                <w:szCs w:val="22"/>
                <w:lang w:val="el-GR"/>
              </w:rPr>
              <w:t>2β</w:t>
            </w:r>
          </w:p>
        </w:tc>
        <w:tc>
          <w:tcPr>
            <w:tcW w:w="4645" w:type="pct"/>
            <w:gridSpan w:val="2"/>
            <w:tcBorders>
              <w:bottom w:val="nil"/>
            </w:tcBorders>
          </w:tcPr>
          <w:p w14:paraId="23CFEBA7" w14:textId="77777777" w:rsidR="00171824" w:rsidRDefault="006D258C">
            <w:pPr>
              <w:keepNext/>
              <w:rPr>
                <w:sz w:val="22"/>
                <w:szCs w:val="22"/>
                <w:lang w:val="el-GR"/>
              </w:rPr>
            </w:pPr>
            <w:r>
              <w:rPr>
                <w:b/>
                <w:sz w:val="22"/>
                <w:szCs w:val="22"/>
                <w:lang w:val="el-GR"/>
              </w:rPr>
              <w:t>Επιθεωρήστε οπτικά το φάρμακο. Θα πρέπει να είναι διαυγές και άχρωμο προς ελαφρώς κίτρινο.</w:t>
            </w:r>
          </w:p>
        </w:tc>
      </w:tr>
      <w:tr w:rsidR="00171824" w14:paraId="065DD1AB" w14:textId="77777777">
        <w:trPr>
          <w:cantSplit/>
          <w:trHeight w:val="2460"/>
        </w:trPr>
        <w:tc>
          <w:tcPr>
            <w:tcW w:w="355" w:type="pct"/>
            <w:tcBorders>
              <w:bottom w:val="nil"/>
              <w:right w:val="nil"/>
            </w:tcBorders>
            <w:tcMar>
              <w:top w:w="28" w:type="dxa"/>
              <w:left w:w="57" w:type="dxa"/>
              <w:bottom w:w="28" w:type="dxa"/>
              <w:right w:w="57" w:type="dxa"/>
            </w:tcMar>
          </w:tcPr>
          <w:p w14:paraId="07DED290" w14:textId="77777777" w:rsidR="00171824" w:rsidRDefault="00171824">
            <w:pPr>
              <w:keepNext/>
              <w:rPr>
                <w:b/>
                <w:bCs/>
                <w:sz w:val="22"/>
                <w:szCs w:val="22"/>
                <w:lang w:val="el-GR"/>
              </w:rPr>
            </w:pPr>
          </w:p>
        </w:tc>
        <w:tc>
          <w:tcPr>
            <w:tcW w:w="2216" w:type="pct"/>
            <w:tcBorders>
              <w:top w:val="single" w:sz="4" w:space="0" w:color="auto"/>
              <w:left w:val="nil"/>
              <w:bottom w:val="nil"/>
              <w:right w:val="nil"/>
            </w:tcBorders>
            <w:tcMar>
              <w:top w:w="28" w:type="dxa"/>
              <w:left w:w="57" w:type="dxa"/>
              <w:bottom w:w="28" w:type="dxa"/>
              <w:right w:w="57" w:type="dxa"/>
            </w:tcMar>
          </w:tcPr>
          <w:p w14:paraId="0A408966" w14:textId="4E5C34D3" w:rsidR="00171824" w:rsidRDefault="009039B7">
            <w:pPr>
              <w:pStyle w:val="ListParagraph"/>
              <w:ind w:left="567" w:hanging="567"/>
              <w:rPr>
                <w:b/>
                <w:bCs/>
                <w:sz w:val="22"/>
                <w:szCs w:val="22"/>
                <w:lang w:val="el-GR"/>
              </w:rPr>
            </w:pPr>
            <w:r>
              <w:rPr>
                <w:b/>
                <w:noProof/>
                <w:sz w:val="22"/>
                <w:szCs w:val="22"/>
                <w:lang w:val="el-GR" w:eastAsia="zh-CN"/>
              </w:rPr>
              <w:drawing>
                <wp:inline distT="0" distB="0" distL="0" distR="0" wp14:anchorId="725FA340" wp14:editId="5061ADFA">
                  <wp:extent cx="2560320" cy="1468755"/>
                  <wp:effectExtent l="0" t="0" r="0" b="0"/>
                  <wp:docPr id="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0320" cy="1468755"/>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68E3D289" w14:textId="77777777" w:rsidR="00171824" w:rsidRDefault="00171824">
            <w:pPr>
              <w:pStyle w:val="ListParagraph"/>
              <w:ind w:left="567" w:hanging="567"/>
              <w:rPr>
                <w:b/>
                <w:bCs/>
                <w:sz w:val="22"/>
                <w:szCs w:val="22"/>
                <w:lang w:val="el-GR"/>
              </w:rPr>
            </w:pPr>
          </w:p>
          <w:p w14:paraId="0710D2BA" w14:textId="77777777" w:rsidR="00171824" w:rsidRDefault="00171824">
            <w:pPr>
              <w:pStyle w:val="ListParagraph"/>
              <w:ind w:left="567" w:hanging="567"/>
              <w:rPr>
                <w:b/>
                <w:bCs/>
                <w:sz w:val="22"/>
                <w:szCs w:val="22"/>
                <w:lang w:val="el-GR"/>
              </w:rPr>
            </w:pPr>
          </w:p>
          <w:p w14:paraId="2B70CDD6" w14:textId="77777777" w:rsidR="00171824" w:rsidRDefault="00171824">
            <w:pPr>
              <w:pStyle w:val="ListParagraph"/>
              <w:ind w:left="567" w:hanging="567"/>
              <w:rPr>
                <w:b/>
                <w:bCs/>
                <w:sz w:val="22"/>
                <w:szCs w:val="22"/>
                <w:lang w:val="el-GR"/>
              </w:rPr>
            </w:pPr>
          </w:p>
          <w:p w14:paraId="21956149" w14:textId="77777777" w:rsidR="00171824" w:rsidRDefault="00171824">
            <w:pPr>
              <w:pStyle w:val="ListParagraph"/>
              <w:ind w:left="567" w:hanging="567"/>
              <w:rPr>
                <w:b/>
                <w:bCs/>
                <w:sz w:val="22"/>
                <w:szCs w:val="22"/>
                <w:lang w:val="el-GR"/>
              </w:rPr>
            </w:pPr>
          </w:p>
          <w:p w14:paraId="7AC1FF7D" w14:textId="77777777" w:rsidR="00171824" w:rsidRDefault="00171824">
            <w:pPr>
              <w:pStyle w:val="ListParagraph"/>
              <w:ind w:left="567" w:hanging="567"/>
              <w:rPr>
                <w:sz w:val="22"/>
                <w:szCs w:val="22"/>
                <w:lang w:val="el-GR"/>
              </w:rPr>
            </w:pPr>
          </w:p>
          <w:p w14:paraId="7F7353AB" w14:textId="77777777" w:rsidR="00171824" w:rsidRDefault="006D258C">
            <w:pPr>
              <w:pStyle w:val="ListParagraph"/>
              <w:ind w:left="567" w:hanging="567"/>
              <w:rPr>
                <w:sz w:val="22"/>
                <w:szCs w:val="22"/>
                <w:lang w:val="el-GR"/>
              </w:rPr>
            </w:pPr>
            <w:r>
              <w:rPr>
                <w:sz w:val="22"/>
                <w:szCs w:val="22"/>
                <w:lang w:val="el-GR"/>
              </w:rPr>
              <w:t>Φάρμακο</w:t>
            </w:r>
          </w:p>
        </w:tc>
      </w:tr>
      <w:tr w:rsidR="00171824" w:rsidRPr="00422380" w14:paraId="1C8D9E19" w14:textId="77777777">
        <w:trPr>
          <w:cantSplit/>
          <w:trHeight w:val="57"/>
        </w:trPr>
        <w:tc>
          <w:tcPr>
            <w:tcW w:w="355" w:type="pct"/>
            <w:tcBorders>
              <w:top w:val="nil"/>
              <w:bottom w:val="nil"/>
              <w:right w:val="nil"/>
            </w:tcBorders>
            <w:tcMar>
              <w:top w:w="28" w:type="dxa"/>
              <w:left w:w="57" w:type="dxa"/>
              <w:bottom w:w="28" w:type="dxa"/>
              <w:right w:w="57" w:type="dxa"/>
            </w:tcMar>
          </w:tcPr>
          <w:p w14:paraId="58413B0D"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598348D3" w14:textId="77777777" w:rsidR="00171824" w:rsidRDefault="006D258C">
            <w:pPr>
              <w:pStyle w:val="ListBullets"/>
              <w:numPr>
                <w:ilvl w:val="0"/>
                <w:numId w:val="0"/>
              </w:numPr>
              <w:spacing w:after="0"/>
              <w:rPr>
                <w:b/>
                <w:bCs/>
                <w:sz w:val="22"/>
                <w:szCs w:val="22"/>
              </w:rPr>
            </w:pPr>
            <w:r>
              <w:rPr>
                <w:rFonts w:ascii="Times New Roman" w:hAnsi="Times New Roman"/>
                <w:sz w:val="22"/>
                <w:szCs w:val="22"/>
              </w:rPr>
              <w:t>Δεν πειράζει αν δείτε φυσαλίδες αέρα</w:t>
            </w:r>
            <w:ins w:id="244" w:author="Author">
              <w:r>
                <w:rPr>
                  <w:rFonts w:ascii="Times New Roman" w:hAnsi="Times New Roman"/>
                  <w:sz w:val="22"/>
                  <w:szCs w:val="22"/>
                </w:rPr>
                <w:t xml:space="preserve"> μέσα στην προγεμισμένη συσκευή τύπου πένας</w:t>
              </w:r>
            </w:ins>
            <w:r>
              <w:rPr>
                <w:rFonts w:ascii="Times New Roman" w:hAnsi="Times New Roman"/>
                <w:sz w:val="22"/>
                <w:szCs w:val="22"/>
              </w:rPr>
              <w:t>.</w:t>
            </w:r>
          </w:p>
        </w:tc>
      </w:tr>
      <w:tr w:rsidR="00171824" w:rsidRPr="00422380" w14:paraId="43781E8A" w14:textId="77777777" w:rsidTr="00422380">
        <w:trPr>
          <w:cantSplit/>
          <w:trHeight w:val="641"/>
        </w:trPr>
        <w:tc>
          <w:tcPr>
            <w:tcW w:w="355" w:type="pct"/>
            <w:tcBorders>
              <w:top w:val="nil"/>
              <w:bottom w:val="nil"/>
              <w:right w:val="nil"/>
            </w:tcBorders>
            <w:tcMar>
              <w:top w:w="28" w:type="dxa"/>
              <w:left w:w="57" w:type="dxa"/>
              <w:bottom w:w="28" w:type="dxa"/>
              <w:right w:w="57" w:type="dxa"/>
            </w:tcMar>
          </w:tcPr>
          <w:p w14:paraId="7FF6D795"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3BB9594E" w14:textId="77777777" w:rsidR="00171824" w:rsidDel="00187EA0" w:rsidRDefault="006D258C">
            <w:pPr>
              <w:rPr>
                <w:ins w:id="245" w:author="Author"/>
                <w:del w:id="246" w:author="Author"/>
                <w:sz w:val="22"/>
                <w:szCs w:val="22"/>
                <w:lang w:val="el-GR"/>
              </w:rPr>
            </w:pPr>
            <w:r>
              <w:rPr>
                <w:b/>
                <w:bCs/>
                <w:sz w:val="22"/>
                <w:szCs w:val="22"/>
                <w:lang w:val="el-GR"/>
              </w:rPr>
              <w:t>Μη</w:t>
            </w:r>
            <w:r>
              <w:rPr>
                <w:sz w:val="22"/>
                <w:szCs w:val="22"/>
                <w:lang w:val="el-GR"/>
              </w:rPr>
              <w:t xml:space="preserve"> χρησιμοποιήσετε το φάρμακο εάν είναι θολό, αποχρωματισμένο ή έχει νιφάδες</w:t>
            </w:r>
            <w:ins w:id="247" w:author="Author">
              <w:r>
                <w:rPr>
                  <w:sz w:val="22"/>
                  <w:szCs w:val="22"/>
                  <w:lang w:val="el-GR"/>
                </w:rPr>
                <w:t xml:space="preserve"> ή σωματίδια</w:t>
              </w:r>
            </w:ins>
            <w:r>
              <w:rPr>
                <w:sz w:val="22"/>
                <w:szCs w:val="22"/>
                <w:lang w:val="el-GR"/>
              </w:rPr>
              <w:t xml:space="preserve">.   </w:t>
            </w:r>
          </w:p>
          <w:p w14:paraId="50A3C7A6" w14:textId="0598D91F" w:rsidR="00171824" w:rsidRPr="00187EA0" w:rsidDel="00187EA0" w:rsidRDefault="00171824">
            <w:pPr>
              <w:rPr>
                <w:ins w:id="248" w:author="Author"/>
                <w:del w:id="249" w:author="Author"/>
                <w:sz w:val="22"/>
                <w:szCs w:val="22"/>
                <w:lang w:val="el-GR"/>
              </w:rPr>
            </w:pPr>
          </w:p>
          <w:p w14:paraId="362EFBA1" w14:textId="1D1E2FF0" w:rsidR="00171824" w:rsidRDefault="00171824" w:rsidP="00187EA0">
            <w:pPr>
              <w:rPr>
                <w:sz w:val="22"/>
                <w:szCs w:val="22"/>
                <w:lang w:val="el-GR"/>
              </w:rPr>
            </w:pPr>
          </w:p>
        </w:tc>
      </w:tr>
      <w:tr w:rsidR="00187EA0" w:rsidRPr="00422380" w14:paraId="7DF6FFA5" w14:textId="77777777" w:rsidTr="00422380">
        <w:trPr>
          <w:cantSplit/>
          <w:trHeight w:val="495"/>
          <w:ins w:id="250" w:author="Author"/>
        </w:trPr>
        <w:tc>
          <w:tcPr>
            <w:tcW w:w="5000" w:type="pct"/>
            <w:gridSpan w:val="3"/>
            <w:tcBorders>
              <w:top w:val="nil"/>
              <w:bottom w:val="single" w:sz="4" w:space="0" w:color="auto"/>
            </w:tcBorders>
            <w:tcMar>
              <w:top w:w="28" w:type="dxa"/>
              <w:left w:w="57" w:type="dxa"/>
              <w:bottom w:w="28" w:type="dxa"/>
              <w:right w:w="57" w:type="dxa"/>
            </w:tcMar>
          </w:tcPr>
          <w:p w14:paraId="63EFB4C6" w14:textId="5DA5F94A" w:rsidR="00187EA0" w:rsidRPr="00A07F46" w:rsidRDefault="009039B7">
            <w:pPr>
              <w:rPr>
                <w:ins w:id="251" w:author="Author"/>
                <w:b/>
                <w:bCs/>
                <w:sz w:val="22"/>
                <w:szCs w:val="22"/>
                <w:lang w:val="el-GR"/>
              </w:rPr>
            </w:pPr>
            <w:ins w:id="252" w:author="Author">
              <w:r>
                <w:rPr>
                  <w:noProof/>
                </w:rPr>
                <mc:AlternateContent>
                  <mc:Choice Requires="wps">
                    <w:drawing>
                      <wp:anchor distT="45720" distB="45720" distL="114300" distR="114300" simplePos="0" relativeHeight="251669504" behindDoc="0" locked="0" layoutInCell="1" allowOverlap="1" wp14:anchorId="200FAC94" wp14:editId="79DAE592">
                        <wp:simplePos x="0" y="0"/>
                        <wp:positionH relativeFrom="margin">
                          <wp:posOffset>92710</wp:posOffset>
                        </wp:positionH>
                        <wp:positionV relativeFrom="paragraph">
                          <wp:posOffset>64770</wp:posOffset>
                        </wp:positionV>
                        <wp:extent cx="5475605" cy="592455"/>
                        <wp:effectExtent l="0" t="0" r="0" b="0"/>
                        <wp:wrapSquare wrapText="bothSides"/>
                        <wp:docPr id="44527563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5605" cy="592455"/>
                                </a:xfrm>
                                <a:prstGeom prst="rect">
                                  <a:avLst/>
                                </a:prstGeom>
                                <a:solidFill>
                                  <a:srgbClr val="FFFFFF"/>
                                </a:solidFill>
                                <a:ln w="19050">
                                  <a:solidFill>
                                    <a:srgbClr val="FF0000"/>
                                  </a:solidFill>
                                  <a:miter lim="800000"/>
                                </a:ln>
                              </wps:spPr>
                              <wps:txbx>
                                <w:txbxContent>
                                  <w:p w14:paraId="1656FEB7" w14:textId="77777777" w:rsidR="00171824" w:rsidRDefault="006D258C">
                                    <w:pPr>
                                      <w:rPr>
                                        <w:sz w:val="22"/>
                                        <w:szCs w:val="22"/>
                                        <w:lang w:val="el-GR"/>
                                      </w:rPr>
                                    </w:pPr>
                                    <w:r>
                                      <w:rPr>
                                        <w:b/>
                                        <w:sz w:val="22"/>
                                        <w:szCs w:val="22"/>
                                        <w:lang w:val="el-GR"/>
                                      </w:rPr>
                                      <w:t xml:space="preserve">Σημαντικό: </w:t>
                                    </w:r>
                                    <w:r>
                                      <w:rPr>
                                        <w:sz w:val="22"/>
                                        <w:szCs w:val="22"/>
                                        <w:lang w:val="el-GR"/>
                                      </w:rPr>
                                      <w:t>Εάν το φάρμακο είναι θολό, αποχρωματισμένο ή περιέχει νιφάδες</w:t>
                                    </w:r>
                                    <w:ins w:id="253" w:author="Author">
                                      <w:r>
                                        <w:rPr>
                                          <w:sz w:val="22"/>
                                          <w:szCs w:val="22"/>
                                          <w:lang w:val="el-GR"/>
                                        </w:rPr>
                                        <w:t xml:space="preserve"> ή σωματίδια</w:t>
                                      </w:r>
                                    </w:ins>
                                    <w:del w:id="254" w:author="Author">
                                      <w:r>
                                        <w:rPr>
                                          <w:sz w:val="22"/>
                                          <w:szCs w:val="22"/>
                                          <w:lang w:val="el-GR"/>
                                        </w:rPr>
                                        <w:delText>,</w:delText>
                                      </w:r>
                                    </w:del>
                                    <w:r>
                                      <w:rPr>
                                        <w:sz w:val="22"/>
                                        <w:szCs w:val="22"/>
                                        <w:lang w:val="el-GR"/>
                                      </w:rPr>
                                      <w:t xml:space="preserve"> </w:t>
                                    </w:r>
                                    <w:ins w:id="255" w:author="Author">
                                      <w:r>
                                        <w:rPr>
                                          <w:sz w:val="22"/>
                                          <w:szCs w:val="22"/>
                                          <w:lang w:val="el-GR"/>
                                        </w:rPr>
                                        <w:t xml:space="preserve">ή εάν η </w:t>
                                      </w:r>
                                      <w:r w:rsidRPr="00422380">
                                        <w:rPr>
                                          <w:sz w:val="22"/>
                                          <w:szCs w:val="22"/>
                                          <w:lang w:val="el-GR"/>
                                        </w:rPr>
                                        <w:t>προγεμισμένη συσκευή τύπου πένας</w:t>
                                      </w:r>
                                      <w:r>
                                        <w:rPr>
                                          <w:sz w:val="22"/>
                                          <w:szCs w:val="22"/>
                                          <w:lang w:val="el-GR"/>
                                        </w:rPr>
                                        <w:t xml:space="preserve"> έχει υποστεί ζημιά ή έχει λήξει, </w:t>
                                      </w:r>
                                    </w:ins>
                                    <w:r>
                                      <w:rPr>
                                        <w:sz w:val="22"/>
                                        <w:szCs w:val="22"/>
                                        <w:lang w:val="el-GR"/>
                                      </w:rPr>
                                      <w:t>καλέστε τον γιατρό σας ή τον πάροχο υγειονομικής περίθαλψης.</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00FAC94" id="Text Box 37" o:spid="_x0000_s1038" type="#_x0000_t202" style="position:absolute;margin-left:7.3pt;margin-top:5.1pt;width:431.15pt;height:46.65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" strokecolor="red" strokeweight="1.5pt">
                        <v:textbox style="mso-fit-shape-to-text:t">
                          <w:txbxContent>
                            <w:p w14:paraId="1656FEB7" w14:textId="77777777" w:rsidR="00171824" w:rsidRDefault="006D258C">
                              <w:pPr>
                                <w:rPr>
                                  <w:sz w:val="22"/>
                                  <w:szCs w:val="22"/>
                                  <w:lang w:val="el-GR"/>
                                </w:rPr>
                              </w:pPr>
                              <w:r>
                                <w:rPr>
                                  <w:b/>
                                  <w:sz w:val="22"/>
                                  <w:szCs w:val="22"/>
                                  <w:lang w:val="el-GR"/>
                                </w:rPr>
                                <w:t xml:space="preserve">Σημαντικό: </w:t>
                              </w:r>
                              <w:r>
                                <w:rPr>
                                  <w:sz w:val="22"/>
                                  <w:szCs w:val="22"/>
                                  <w:lang w:val="el-GR"/>
                                </w:rPr>
                                <w:t>Εάν το φάρμακο είναι θολό, αποχρωματισμένο ή περιέχει νιφάδες</w:t>
                              </w:r>
                              <w:ins w:id="256" w:author="Author">
                                <w:r>
                                  <w:rPr>
                                    <w:sz w:val="22"/>
                                    <w:szCs w:val="22"/>
                                    <w:lang w:val="el-GR"/>
                                  </w:rPr>
                                  <w:t xml:space="preserve"> ή σωματίδια</w:t>
                                </w:r>
                              </w:ins>
                              <w:del w:id="257" w:author="Author">
                                <w:r>
                                  <w:rPr>
                                    <w:sz w:val="22"/>
                                    <w:szCs w:val="22"/>
                                    <w:lang w:val="el-GR"/>
                                  </w:rPr>
                                  <w:delText>,</w:delText>
                                </w:r>
                              </w:del>
                              <w:r>
                                <w:rPr>
                                  <w:sz w:val="22"/>
                                  <w:szCs w:val="22"/>
                                  <w:lang w:val="el-GR"/>
                                </w:rPr>
                                <w:t xml:space="preserve"> </w:t>
                              </w:r>
                              <w:ins w:id="258" w:author="Author">
                                <w:r>
                                  <w:rPr>
                                    <w:sz w:val="22"/>
                                    <w:szCs w:val="22"/>
                                    <w:lang w:val="el-GR"/>
                                  </w:rPr>
                                  <w:t xml:space="preserve">ή εάν η </w:t>
                                </w:r>
                                <w:r w:rsidRPr="00422380">
                                  <w:rPr>
                                    <w:sz w:val="22"/>
                                    <w:szCs w:val="22"/>
                                    <w:lang w:val="el-GR"/>
                                  </w:rPr>
                                  <w:t>προγεμισμένη συσκευή τύπου πένας</w:t>
                                </w:r>
                                <w:r>
                                  <w:rPr>
                                    <w:sz w:val="22"/>
                                    <w:szCs w:val="22"/>
                                    <w:lang w:val="el-GR"/>
                                  </w:rPr>
                                  <w:t xml:space="preserve"> έχει υποστεί ζημιά ή έχει λήξει, </w:t>
                                </w:r>
                              </w:ins>
                              <w:r>
                                <w:rPr>
                                  <w:sz w:val="22"/>
                                  <w:szCs w:val="22"/>
                                  <w:lang w:val="el-GR"/>
                                </w:rPr>
                                <w:t>καλέστε τον γιατρό σας ή τον πάροχο υγειονομικής περίθαλψης.</w:t>
                              </w:r>
                            </w:p>
                          </w:txbxContent>
                        </v:textbox>
                        <w10:wrap type="square" anchorx="margin"/>
                      </v:shape>
                    </w:pict>
                  </mc:Fallback>
                </mc:AlternateContent>
              </w:r>
            </w:ins>
          </w:p>
        </w:tc>
      </w:tr>
    </w:tbl>
    <w:p w14:paraId="72385FCF" w14:textId="77777777" w:rsidR="00171824" w:rsidRDefault="00171824">
      <w:pPr>
        <w:rPr>
          <w:b/>
          <w:bCs/>
          <w:lang w:val="el-GR"/>
        </w:rPr>
      </w:pPr>
    </w:p>
    <w:tbl>
      <w:tblPr>
        <w:tblW w:w="483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3340"/>
        <w:gridCol w:w="4736"/>
      </w:tblGrid>
      <w:tr w:rsidR="00171824" w:rsidRPr="00422380" w14:paraId="08189317" w14:textId="77777777" w:rsidTr="00422380">
        <w:trPr>
          <w:cantSplit/>
          <w:trHeight w:val="335"/>
        </w:trPr>
        <w:tc>
          <w:tcPr>
            <w:tcW w:w="389" w:type="pct"/>
            <w:tcBorders>
              <w:bottom w:val="nil"/>
            </w:tcBorders>
            <w:tcMar>
              <w:top w:w="28" w:type="dxa"/>
              <w:left w:w="57" w:type="dxa"/>
              <w:bottom w:w="28" w:type="dxa"/>
              <w:right w:w="57" w:type="dxa"/>
            </w:tcMar>
          </w:tcPr>
          <w:p w14:paraId="77C07392" w14:textId="77777777" w:rsidR="00171824" w:rsidRDefault="006D258C">
            <w:pPr>
              <w:keepNext/>
              <w:rPr>
                <w:sz w:val="22"/>
                <w:szCs w:val="22"/>
                <w:lang w:val="el-GR"/>
              </w:rPr>
            </w:pPr>
            <w:r>
              <w:rPr>
                <w:b/>
                <w:sz w:val="22"/>
                <w:szCs w:val="22"/>
                <w:lang w:val="el-GR"/>
              </w:rPr>
              <w:lastRenderedPageBreak/>
              <w:t>2γ</w:t>
            </w:r>
          </w:p>
        </w:tc>
        <w:tc>
          <w:tcPr>
            <w:tcW w:w="4611" w:type="pct"/>
            <w:gridSpan w:val="2"/>
            <w:tcBorders>
              <w:bottom w:val="nil"/>
            </w:tcBorders>
          </w:tcPr>
          <w:p w14:paraId="2D1E8D1E" w14:textId="77777777" w:rsidR="00171824" w:rsidRDefault="006D258C">
            <w:pPr>
              <w:keepNext/>
              <w:rPr>
                <w:sz w:val="22"/>
                <w:szCs w:val="22"/>
                <w:lang w:val="el-GR"/>
              </w:rPr>
            </w:pPr>
            <w:r>
              <w:rPr>
                <w:b/>
                <w:sz w:val="22"/>
                <w:szCs w:val="22"/>
                <w:lang w:val="el-GR"/>
              </w:rPr>
              <w:t xml:space="preserve">Ελέγξτε την ημερομηνία λήξης (EXP.) και επιθεωρήστε οπτικά την προγεμισμένη συσκευή τύπου πένας για ζημιά. </w:t>
            </w:r>
          </w:p>
        </w:tc>
      </w:tr>
      <w:tr w:rsidR="00171824" w14:paraId="56DB5CCD" w14:textId="77777777" w:rsidTr="0029090B">
        <w:trPr>
          <w:cantSplit/>
          <w:trHeight w:val="1612"/>
        </w:trPr>
        <w:tc>
          <w:tcPr>
            <w:tcW w:w="389" w:type="pct"/>
            <w:tcBorders>
              <w:bottom w:val="nil"/>
              <w:right w:val="nil"/>
            </w:tcBorders>
            <w:tcMar>
              <w:top w:w="28" w:type="dxa"/>
              <w:left w:w="57" w:type="dxa"/>
              <w:bottom w:w="28" w:type="dxa"/>
              <w:right w:w="57" w:type="dxa"/>
            </w:tcMar>
          </w:tcPr>
          <w:p w14:paraId="31CF8F01" w14:textId="77777777" w:rsidR="00171824" w:rsidRDefault="00171824">
            <w:pPr>
              <w:keepNext/>
              <w:rPr>
                <w:b/>
                <w:bCs/>
                <w:sz w:val="22"/>
                <w:szCs w:val="22"/>
                <w:lang w:val="el-GR"/>
              </w:rPr>
            </w:pPr>
          </w:p>
        </w:tc>
        <w:tc>
          <w:tcPr>
            <w:tcW w:w="1907" w:type="pct"/>
            <w:tcBorders>
              <w:top w:val="single" w:sz="4" w:space="0" w:color="auto"/>
              <w:left w:val="nil"/>
              <w:bottom w:val="nil"/>
              <w:right w:val="nil"/>
            </w:tcBorders>
            <w:tcMar>
              <w:top w:w="28" w:type="dxa"/>
              <w:left w:w="57" w:type="dxa"/>
              <w:bottom w:w="28" w:type="dxa"/>
              <w:right w:w="57" w:type="dxa"/>
            </w:tcMar>
          </w:tcPr>
          <w:p w14:paraId="02ADF54E" w14:textId="6232DD8D" w:rsidR="00171824" w:rsidRDefault="009039B7">
            <w:pPr>
              <w:suppressAutoHyphens/>
              <w:textAlignment w:val="center"/>
              <w:rPr>
                <w:b/>
                <w:bCs/>
                <w:sz w:val="22"/>
                <w:szCs w:val="22"/>
                <w:lang w:val="el-GR"/>
              </w:rPr>
            </w:pPr>
            <w:r>
              <w:rPr>
                <w:b/>
                <w:noProof/>
                <w:sz w:val="22"/>
                <w:szCs w:val="22"/>
                <w:lang w:val="el-GR" w:eastAsia="zh-CN"/>
              </w:rPr>
              <w:drawing>
                <wp:inline distT="0" distB="0" distL="0" distR="0" wp14:anchorId="447CD99F" wp14:editId="087A9856">
                  <wp:extent cx="2646045" cy="1468755"/>
                  <wp:effectExtent l="0" t="0" r="0" b="0"/>
                  <wp:docPr id="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46045" cy="1468755"/>
                          </a:xfrm>
                          <a:prstGeom prst="rect">
                            <a:avLst/>
                          </a:prstGeom>
                          <a:noFill/>
                          <a:ln>
                            <a:noFill/>
                          </a:ln>
                        </pic:spPr>
                      </pic:pic>
                    </a:graphicData>
                  </a:graphic>
                </wp:inline>
              </w:drawing>
            </w:r>
          </w:p>
        </w:tc>
        <w:tc>
          <w:tcPr>
            <w:tcW w:w="2704" w:type="pct"/>
            <w:tcBorders>
              <w:top w:val="single" w:sz="4" w:space="0" w:color="auto"/>
              <w:left w:val="nil"/>
              <w:bottom w:val="nil"/>
              <w:right w:val="single" w:sz="4" w:space="0" w:color="auto"/>
            </w:tcBorders>
          </w:tcPr>
          <w:p w14:paraId="66A85FF0" w14:textId="77777777" w:rsidR="00171824" w:rsidRDefault="00171824">
            <w:pPr>
              <w:suppressAutoHyphens/>
              <w:textAlignment w:val="center"/>
              <w:rPr>
                <w:b/>
                <w:bCs/>
                <w:sz w:val="22"/>
                <w:szCs w:val="22"/>
                <w:lang w:val="el-GR"/>
              </w:rPr>
            </w:pPr>
          </w:p>
          <w:p w14:paraId="647579A4" w14:textId="77777777" w:rsidR="00171824" w:rsidRDefault="00171824">
            <w:pPr>
              <w:suppressAutoHyphens/>
              <w:textAlignment w:val="center"/>
              <w:rPr>
                <w:b/>
                <w:bCs/>
                <w:sz w:val="22"/>
                <w:szCs w:val="22"/>
                <w:lang w:val="el-GR"/>
              </w:rPr>
            </w:pPr>
          </w:p>
          <w:p w14:paraId="09C8784D" w14:textId="77777777" w:rsidR="00171824" w:rsidRDefault="00171824">
            <w:pPr>
              <w:suppressAutoHyphens/>
              <w:textAlignment w:val="center"/>
              <w:rPr>
                <w:b/>
                <w:bCs/>
                <w:sz w:val="22"/>
                <w:szCs w:val="22"/>
                <w:lang w:val="el-GR"/>
              </w:rPr>
            </w:pPr>
          </w:p>
          <w:p w14:paraId="6ABBCEC7" w14:textId="77777777" w:rsidR="00171824" w:rsidRDefault="00171824">
            <w:pPr>
              <w:suppressAutoHyphens/>
              <w:textAlignment w:val="center"/>
              <w:rPr>
                <w:b/>
                <w:bCs/>
                <w:sz w:val="22"/>
                <w:szCs w:val="22"/>
                <w:lang w:val="el-GR"/>
              </w:rPr>
            </w:pPr>
          </w:p>
          <w:p w14:paraId="41F899F6" w14:textId="77777777" w:rsidR="00171824" w:rsidRDefault="00171824">
            <w:pPr>
              <w:suppressAutoHyphens/>
              <w:textAlignment w:val="center"/>
              <w:rPr>
                <w:b/>
                <w:bCs/>
                <w:sz w:val="22"/>
                <w:szCs w:val="22"/>
                <w:lang w:val="el-GR"/>
              </w:rPr>
            </w:pPr>
          </w:p>
          <w:p w14:paraId="79373AE5" w14:textId="77777777" w:rsidR="00171824" w:rsidRDefault="006D258C">
            <w:pPr>
              <w:suppressAutoHyphens/>
              <w:textAlignment w:val="center"/>
              <w:rPr>
                <w:sz w:val="22"/>
                <w:szCs w:val="22"/>
                <w:lang w:val="el-GR"/>
              </w:rPr>
            </w:pPr>
            <w:r>
              <w:rPr>
                <w:sz w:val="22"/>
                <w:szCs w:val="22"/>
                <w:lang w:val="el-GR"/>
              </w:rPr>
              <w:t>Ημερομηνία λήξης</w:t>
            </w:r>
          </w:p>
        </w:tc>
      </w:tr>
      <w:tr w:rsidR="00171824" w:rsidRPr="00422380" w14:paraId="6266EC9E" w14:textId="77777777" w:rsidTr="0029090B">
        <w:trPr>
          <w:cantSplit/>
          <w:trHeight w:val="57"/>
        </w:trPr>
        <w:tc>
          <w:tcPr>
            <w:tcW w:w="389" w:type="pct"/>
            <w:tcBorders>
              <w:top w:val="nil"/>
              <w:bottom w:val="nil"/>
              <w:right w:val="nil"/>
            </w:tcBorders>
            <w:tcMar>
              <w:top w:w="28" w:type="dxa"/>
              <w:left w:w="57" w:type="dxa"/>
              <w:bottom w:w="28" w:type="dxa"/>
              <w:right w:w="57" w:type="dxa"/>
            </w:tcMar>
          </w:tcPr>
          <w:p w14:paraId="3883F6D2" w14:textId="77777777" w:rsidR="00171824" w:rsidRDefault="00171824">
            <w:pPr>
              <w:keepNext/>
              <w:widowControl/>
              <w:numPr>
                <w:ilvl w:val="0"/>
                <w:numId w:val="36"/>
              </w:numPr>
              <w:autoSpaceDE/>
              <w:autoSpaceDN/>
              <w:adjustRightInd/>
              <w:ind w:left="567" w:hanging="567"/>
              <w:rPr>
                <w:sz w:val="22"/>
                <w:szCs w:val="22"/>
                <w:lang w:val="el-GR"/>
              </w:rPr>
            </w:pPr>
          </w:p>
        </w:tc>
        <w:tc>
          <w:tcPr>
            <w:tcW w:w="4611" w:type="pct"/>
            <w:gridSpan w:val="2"/>
            <w:tcBorders>
              <w:top w:val="nil"/>
              <w:left w:val="nil"/>
              <w:bottom w:val="nil"/>
            </w:tcBorders>
            <w:tcMar>
              <w:left w:w="0" w:type="dxa"/>
            </w:tcMar>
          </w:tcPr>
          <w:p w14:paraId="39A0A1AB" w14:textId="77777777" w:rsidR="00171824" w:rsidRDefault="006D258C">
            <w:pPr>
              <w:pStyle w:val="ListParagraph"/>
              <w:keepNext/>
              <w:suppressAutoHyphens/>
              <w:textAlignment w:val="center"/>
              <w:rPr>
                <w:b/>
                <w:bCs/>
                <w:sz w:val="22"/>
                <w:szCs w:val="22"/>
                <w:lang w:val="el-GR"/>
              </w:rPr>
            </w:pPr>
            <w:r>
              <w:rPr>
                <w:b/>
                <w:bCs/>
                <w:sz w:val="22"/>
                <w:szCs w:val="22"/>
                <w:lang w:val="el-GR"/>
              </w:rPr>
              <w:t>Μη</w:t>
            </w:r>
            <w:del w:id="259" w:author="Author">
              <w:r>
                <w:rPr>
                  <w:b/>
                  <w:bCs/>
                  <w:sz w:val="22"/>
                  <w:szCs w:val="22"/>
                  <w:lang w:val="el-GR"/>
                </w:rPr>
                <w:delText>ν</w:delText>
              </w:r>
            </w:del>
            <w:r>
              <w:rPr>
                <w:sz w:val="22"/>
                <w:szCs w:val="22"/>
                <w:lang w:val="el-GR"/>
              </w:rPr>
              <w:t xml:space="preserve"> </w:t>
            </w:r>
            <w:del w:id="260" w:author="Author">
              <w:r>
                <w:rPr>
                  <w:sz w:val="22"/>
                  <w:szCs w:val="22"/>
                  <w:lang w:val="el-GR"/>
                </w:rPr>
                <w:delText xml:space="preserve">τη </w:delText>
              </w:r>
            </w:del>
            <w:r>
              <w:rPr>
                <w:sz w:val="22"/>
                <w:szCs w:val="22"/>
                <w:lang w:val="el-GR"/>
              </w:rPr>
              <w:t xml:space="preserve">χρησιμοποιήσετε </w:t>
            </w:r>
            <w:ins w:id="261" w:author="Author">
              <w:r>
                <w:rPr>
                  <w:sz w:val="22"/>
                  <w:szCs w:val="22"/>
                  <w:lang w:val="el-GR"/>
                </w:rPr>
                <w:t xml:space="preserve">την προγεμισμένη συσκευή τύπου πένας </w:t>
              </w:r>
            </w:ins>
            <w:r>
              <w:rPr>
                <w:sz w:val="22"/>
                <w:szCs w:val="22"/>
                <w:lang w:val="el-GR"/>
              </w:rPr>
              <w:t xml:space="preserve">εάν η ημερομηνία λήξης έχει παρέλθει.  </w:t>
            </w:r>
          </w:p>
        </w:tc>
      </w:tr>
      <w:tr w:rsidR="00171824" w:rsidRPr="00422380" w14:paraId="6D277C6A" w14:textId="77777777" w:rsidTr="00422380">
        <w:trPr>
          <w:cantSplit/>
          <w:trHeight w:val="57"/>
        </w:trPr>
        <w:tc>
          <w:tcPr>
            <w:tcW w:w="389" w:type="pct"/>
            <w:tcBorders>
              <w:top w:val="nil"/>
              <w:bottom w:val="nil"/>
              <w:right w:val="nil"/>
            </w:tcBorders>
            <w:tcMar>
              <w:top w:w="28" w:type="dxa"/>
              <w:left w:w="57" w:type="dxa"/>
              <w:bottom w:w="28" w:type="dxa"/>
              <w:right w:w="57" w:type="dxa"/>
            </w:tcMar>
          </w:tcPr>
          <w:p w14:paraId="21905EE3" w14:textId="77777777" w:rsidR="00171824" w:rsidRDefault="00171824">
            <w:pPr>
              <w:widowControl/>
              <w:numPr>
                <w:ilvl w:val="0"/>
                <w:numId w:val="36"/>
              </w:numPr>
              <w:autoSpaceDE/>
              <w:autoSpaceDN/>
              <w:adjustRightInd/>
              <w:ind w:left="567" w:hanging="567"/>
              <w:rPr>
                <w:sz w:val="22"/>
                <w:szCs w:val="22"/>
                <w:lang w:val="el-GR"/>
              </w:rPr>
            </w:pPr>
          </w:p>
        </w:tc>
        <w:tc>
          <w:tcPr>
            <w:tcW w:w="4611" w:type="pct"/>
            <w:gridSpan w:val="2"/>
            <w:tcBorders>
              <w:top w:val="nil"/>
              <w:left w:val="nil"/>
              <w:bottom w:val="nil"/>
            </w:tcBorders>
            <w:tcMar>
              <w:left w:w="0" w:type="dxa"/>
            </w:tcMar>
          </w:tcPr>
          <w:p w14:paraId="3A94FD1D" w14:textId="77777777" w:rsidR="00171824" w:rsidRDefault="006D258C">
            <w:pPr>
              <w:pStyle w:val="ListParagraph"/>
              <w:suppressAutoHyphens/>
              <w:textAlignment w:val="center"/>
              <w:rPr>
                <w:sz w:val="22"/>
                <w:szCs w:val="22"/>
                <w:lang w:val="el-GR"/>
              </w:rPr>
            </w:pPr>
            <w:r>
              <w:rPr>
                <w:b/>
                <w:bCs/>
                <w:sz w:val="22"/>
                <w:szCs w:val="22"/>
                <w:lang w:val="el-GR"/>
              </w:rPr>
              <w:t>Μη</w:t>
            </w:r>
            <w:r>
              <w:rPr>
                <w:sz w:val="22"/>
                <w:szCs w:val="22"/>
                <w:lang w:val="el-GR"/>
              </w:rPr>
              <w:t xml:space="preserve"> χρησιμοποιήσετε την προγεμισμένη συσκευή τύπου πένας εάν:</w:t>
            </w:r>
          </w:p>
          <w:p w14:paraId="00BF026D" w14:textId="77777777" w:rsidR="00171824" w:rsidRDefault="006D258C">
            <w:pPr>
              <w:pStyle w:val="ListParagraph"/>
              <w:widowControl/>
              <w:numPr>
                <w:ilvl w:val="0"/>
                <w:numId w:val="43"/>
              </w:numPr>
              <w:suppressAutoHyphens/>
              <w:ind w:left="677" w:right="-464" w:hanging="357"/>
              <w:contextualSpacing/>
              <w:textAlignment w:val="center"/>
              <w:rPr>
                <w:sz w:val="22"/>
                <w:szCs w:val="22"/>
                <w:lang w:val="el-GR"/>
              </w:rPr>
            </w:pPr>
            <w:ins w:id="262" w:author="Author">
              <w:r>
                <w:rPr>
                  <w:sz w:val="22"/>
                  <w:szCs w:val="22"/>
                  <w:lang w:val="el-GR"/>
                </w:rPr>
                <w:t>τ</w:t>
              </w:r>
            </w:ins>
            <w:del w:id="263" w:author="Author">
              <w:r>
                <w:rPr>
                  <w:sz w:val="22"/>
                  <w:szCs w:val="22"/>
                  <w:lang w:val="el-GR"/>
                </w:rPr>
                <w:delText>Τ</w:delText>
              </w:r>
            </w:del>
            <w:r>
              <w:rPr>
                <w:sz w:val="22"/>
                <w:szCs w:val="22"/>
                <w:lang w:val="el-GR"/>
              </w:rPr>
              <w:t>ο κίτρινο κάλυμμα λείπει ή δεν είναι καλά τοποθετημένο.</w:t>
            </w:r>
          </w:p>
          <w:p w14:paraId="3ACCCE9D" w14:textId="77777777" w:rsidR="00171824" w:rsidRDefault="006D258C">
            <w:pPr>
              <w:pStyle w:val="ListParagraph"/>
              <w:widowControl/>
              <w:numPr>
                <w:ilvl w:val="0"/>
                <w:numId w:val="43"/>
              </w:numPr>
              <w:suppressAutoHyphens/>
              <w:ind w:left="677" w:hanging="357"/>
              <w:contextualSpacing/>
              <w:textAlignment w:val="center"/>
              <w:rPr>
                <w:sz w:val="22"/>
                <w:szCs w:val="22"/>
                <w:lang w:val="el-GR"/>
              </w:rPr>
            </w:pPr>
            <w:ins w:id="264" w:author="Author">
              <w:r>
                <w:rPr>
                  <w:sz w:val="22"/>
                  <w:szCs w:val="22"/>
                  <w:lang w:val="el-GR"/>
                </w:rPr>
                <w:t>κ</w:t>
              </w:r>
            </w:ins>
            <w:del w:id="265" w:author="Author">
              <w:r>
                <w:rPr>
                  <w:sz w:val="22"/>
                  <w:szCs w:val="22"/>
                  <w:lang w:val="el-GR"/>
                </w:rPr>
                <w:delText>Κ</w:delText>
              </w:r>
            </w:del>
            <w:r>
              <w:rPr>
                <w:sz w:val="22"/>
                <w:szCs w:val="22"/>
                <w:lang w:val="el-GR"/>
              </w:rPr>
              <w:t>άποιο μέρος της φαίνεται να είναι ραγισμένο ή σπασμένο.</w:t>
            </w:r>
          </w:p>
          <w:p w14:paraId="5E1F2DA8" w14:textId="77777777" w:rsidR="00171824" w:rsidRDefault="006D258C">
            <w:pPr>
              <w:pStyle w:val="ListParagraph"/>
              <w:widowControl/>
              <w:numPr>
                <w:ilvl w:val="0"/>
                <w:numId w:val="43"/>
              </w:numPr>
              <w:suppressAutoHyphens/>
              <w:ind w:left="677" w:hanging="357"/>
              <w:contextualSpacing/>
              <w:textAlignment w:val="center"/>
              <w:rPr>
                <w:sz w:val="22"/>
                <w:szCs w:val="22"/>
                <w:lang w:val="el-GR"/>
              </w:rPr>
            </w:pPr>
            <w:ins w:id="266" w:author="Author">
              <w:r>
                <w:rPr>
                  <w:sz w:val="22"/>
                  <w:szCs w:val="22"/>
                  <w:lang w:val="el-GR"/>
                </w:rPr>
                <w:t>έ</w:t>
              </w:r>
            </w:ins>
            <w:del w:id="267" w:author="Author">
              <w:r>
                <w:rPr>
                  <w:sz w:val="22"/>
                  <w:szCs w:val="22"/>
                  <w:lang w:val="el-GR"/>
                </w:rPr>
                <w:delText>Έ</w:delText>
              </w:r>
            </w:del>
            <w:r>
              <w:rPr>
                <w:sz w:val="22"/>
                <w:szCs w:val="22"/>
                <w:lang w:val="el-GR"/>
              </w:rPr>
              <w:t>χει πέσει επάνω σε μια σκληρή επιφάνεια.</w:t>
            </w:r>
          </w:p>
        </w:tc>
      </w:tr>
      <w:tr w:rsidR="00171824" w:rsidRPr="00422380" w14:paraId="1C3B9015" w14:textId="77777777" w:rsidTr="00422380">
        <w:trPr>
          <w:cantSplit/>
          <w:trHeight w:val="57"/>
        </w:trPr>
        <w:tc>
          <w:tcPr>
            <w:tcW w:w="389" w:type="pct"/>
            <w:tcBorders>
              <w:top w:val="nil"/>
              <w:bottom w:val="single" w:sz="4" w:space="0" w:color="auto"/>
              <w:right w:val="nil"/>
            </w:tcBorders>
            <w:tcMar>
              <w:top w:w="28" w:type="dxa"/>
              <w:left w:w="57" w:type="dxa"/>
              <w:bottom w:w="28" w:type="dxa"/>
              <w:right w:w="57" w:type="dxa"/>
            </w:tcMar>
          </w:tcPr>
          <w:p w14:paraId="1EDCEE6A" w14:textId="77777777" w:rsidR="00171824" w:rsidRDefault="00171824">
            <w:pPr>
              <w:widowControl/>
              <w:numPr>
                <w:ilvl w:val="0"/>
                <w:numId w:val="36"/>
              </w:numPr>
              <w:autoSpaceDE/>
              <w:autoSpaceDN/>
              <w:adjustRightInd/>
              <w:ind w:left="567" w:hanging="567"/>
              <w:rPr>
                <w:sz w:val="22"/>
                <w:szCs w:val="22"/>
                <w:lang w:val="el-GR"/>
              </w:rPr>
            </w:pPr>
          </w:p>
        </w:tc>
        <w:tc>
          <w:tcPr>
            <w:tcW w:w="4611" w:type="pct"/>
            <w:gridSpan w:val="2"/>
            <w:tcBorders>
              <w:top w:val="nil"/>
              <w:left w:val="nil"/>
              <w:bottom w:val="single" w:sz="4" w:space="0" w:color="auto"/>
            </w:tcBorders>
            <w:tcMar>
              <w:left w:w="0" w:type="dxa"/>
            </w:tcMar>
          </w:tcPr>
          <w:p w14:paraId="1CB30E62" w14:textId="77777777" w:rsidR="00171824" w:rsidRDefault="006D258C">
            <w:pPr>
              <w:rPr>
                <w:sz w:val="22"/>
                <w:szCs w:val="22"/>
                <w:lang w:val="el-GR"/>
              </w:rPr>
            </w:pPr>
            <w:r>
              <w:rPr>
                <w:sz w:val="22"/>
                <w:szCs w:val="22"/>
                <w:lang w:val="el-GR"/>
              </w:rPr>
              <w:t xml:space="preserve">Βεβαιωθείτε ότι έχετε το σωστό φάρμακο και δόση. </w:t>
            </w:r>
          </w:p>
        </w:tc>
      </w:tr>
      <w:tr w:rsidR="00171824" w:rsidRPr="00422380" w:rsidDel="00187EA0" w14:paraId="61475E02" w14:textId="03E707BB" w:rsidTr="00422380">
        <w:trPr>
          <w:cantSplit/>
          <w:trHeight w:val="57"/>
          <w:del w:id="268" w:author="Author"/>
        </w:trPr>
        <w:tc>
          <w:tcPr>
            <w:tcW w:w="5000" w:type="pct"/>
            <w:gridSpan w:val="3"/>
            <w:tcBorders>
              <w:top w:val="single" w:sz="4" w:space="0" w:color="auto"/>
              <w:bottom w:val="single" w:sz="4" w:space="0" w:color="auto"/>
            </w:tcBorders>
            <w:tcMar>
              <w:top w:w="28" w:type="dxa"/>
              <w:left w:w="57" w:type="dxa"/>
              <w:bottom w:w="28" w:type="dxa"/>
              <w:right w:w="57" w:type="dxa"/>
            </w:tcMar>
          </w:tcPr>
          <w:p w14:paraId="34133E3C" w14:textId="7FAADA78" w:rsidR="00171824" w:rsidDel="00187EA0" w:rsidRDefault="009039B7">
            <w:pPr>
              <w:rPr>
                <w:del w:id="269" w:author="Author"/>
                <w:sz w:val="22"/>
                <w:szCs w:val="22"/>
                <w:lang w:val="el-GR"/>
              </w:rPr>
            </w:pPr>
            <w:del w:id="270" w:author="Author">
              <w:r>
                <w:rPr>
                  <w:noProof/>
                </w:rPr>
                <mc:AlternateContent>
                  <mc:Choice Requires="wps">
                    <w:drawing>
                      <wp:anchor distT="45720" distB="45720" distL="114300" distR="114300" simplePos="0" relativeHeight="251660288" behindDoc="0" locked="0" layoutInCell="1" allowOverlap="1" wp14:anchorId="57CBB807" wp14:editId="3F2EC0E5">
                        <wp:simplePos x="0" y="0"/>
                        <wp:positionH relativeFrom="margin">
                          <wp:posOffset>6985</wp:posOffset>
                        </wp:positionH>
                        <wp:positionV relativeFrom="paragraph">
                          <wp:posOffset>81280</wp:posOffset>
                        </wp:positionV>
                        <wp:extent cx="5575935" cy="440690"/>
                        <wp:effectExtent l="0" t="0" r="5715" b="6350"/>
                        <wp:wrapSquare wrapText="bothSides"/>
                        <wp:docPr id="35448420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40690"/>
                                </a:xfrm>
                                <a:prstGeom prst="rect">
                                  <a:avLst/>
                                </a:prstGeom>
                                <a:solidFill>
                                  <a:srgbClr val="FFFFFF"/>
                                </a:solidFill>
                                <a:ln w="19050">
                                  <a:solidFill>
                                    <a:srgbClr val="FF0000"/>
                                  </a:solidFill>
                                  <a:miter lim="800000"/>
                                </a:ln>
                              </wps:spPr>
                              <wps:txbx>
                                <w:txbxContent>
                                  <w:p w14:paraId="34B36859" w14:textId="77777777" w:rsidR="00171824" w:rsidRDefault="006D258C">
                                    <w:pPr>
                                      <w:rPr>
                                        <w:sz w:val="22"/>
                                        <w:szCs w:val="22"/>
                                        <w:lang w:val="el-GR"/>
                                      </w:rPr>
                                    </w:pPr>
                                    <w:del w:id="271" w:author="Author">
                                      <w:r>
                                        <w:rPr>
                                          <w:b/>
                                          <w:sz w:val="22"/>
                                          <w:szCs w:val="22"/>
                                          <w:lang w:val="el-GR"/>
                                        </w:rPr>
                                        <w:delText xml:space="preserve">Σημαντικό: </w:delText>
                                      </w:r>
                                      <w:r>
                                        <w:rPr>
                                          <w:sz w:val="22"/>
                                          <w:szCs w:val="22"/>
                                          <w:lang w:val="el-GR"/>
                                        </w:rPr>
                                        <w:delText>Εάν το φάρμακο είναι θολό, αποχρωματισμένο ή περιέχει νιφάδες, καλέστε τον γιατρό σας ή τον πάροχο υγειονομικής περίθαλψης.</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7CBB807" id="Text Box 36" o:spid="_x0000_s1039" type="#_x0000_t202" style="position:absolute;margin-left:.55pt;margin-top:6.4pt;width:439.05pt;height:34.7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" strokecolor="red" strokeweight="1.5pt">
                        <v:textbox style="mso-fit-shape-to-text:t">
                          <w:txbxContent>
                            <w:p w14:paraId="34B36859" w14:textId="77777777" w:rsidR="00171824" w:rsidRDefault="006D258C">
                              <w:pPr>
                                <w:rPr>
                                  <w:sz w:val="22"/>
                                  <w:szCs w:val="22"/>
                                  <w:lang w:val="el-GR"/>
                                </w:rPr>
                              </w:pPr>
                              <w:del w:id="1644" w:author="Author">
                                <w:r>
                                  <w:rPr>
                                    <w:b/>
                                    <w:sz w:val="22"/>
                                    <w:szCs w:val="22"/>
                                    <w:lang w:val="el-GR"/>
                                  </w:rPr>
                                  <w:delText xml:space="preserve">Σημαντικό: </w:delText>
                                </w:r>
                                <w:r>
                                  <w:rPr>
                                    <w:sz w:val="22"/>
                                    <w:szCs w:val="22"/>
                                    <w:lang w:val="el-GR"/>
                                  </w:rPr>
                                  <w:delText>Εάν το φάρμακο είναι θολό, αποχρωματισμένο ή περιέχει νιφάδες, καλέστε τον γιατρό σας ή τον πάροχο υγειονομικής περίθαλψης.</w:delText>
                                </w:r>
                              </w:del>
                            </w:p>
                          </w:txbxContent>
                        </v:textbox>
                        <w10:wrap type="square" anchorx="margin"/>
                      </v:shape>
                    </w:pict>
                  </mc:Fallback>
                </mc:AlternateContent>
              </w:r>
            </w:del>
          </w:p>
        </w:tc>
      </w:tr>
    </w:tbl>
    <w:p w14:paraId="09EE673E" w14:textId="77777777" w:rsidR="00171824" w:rsidRDefault="00171824">
      <w:pPr>
        <w:rPr>
          <w:b/>
          <w:bCs/>
          <w:lang w:val="el-GR"/>
        </w:rPr>
      </w:pPr>
    </w:p>
    <w:tbl>
      <w:tblPr>
        <w:tblW w:w="485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6"/>
        <w:gridCol w:w="656"/>
        <w:gridCol w:w="3397"/>
        <w:gridCol w:w="4057"/>
      </w:tblGrid>
      <w:tr w:rsidR="00171824" w:rsidRPr="00422380" w14:paraId="31488A9E" w14:textId="77777777">
        <w:trPr>
          <w:cantSplit/>
          <w:trHeight w:val="57"/>
        </w:trPr>
        <w:tc>
          <w:tcPr>
            <w:tcW w:w="390" w:type="pct"/>
            <w:tcBorders>
              <w:bottom w:val="single" w:sz="4" w:space="0" w:color="auto"/>
            </w:tcBorders>
            <w:tcMar>
              <w:top w:w="28" w:type="dxa"/>
              <w:left w:w="57" w:type="dxa"/>
              <w:bottom w:w="28" w:type="dxa"/>
              <w:right w:w="57" w:type="dxa"/>
            </w:tcMar>
          </w:tcPr>
          <w:p w14:paraId="19FB7A4F" w14:textId="77777777" w:rsidR="00171824" w:rsidRDefault="006D258C">
            <w:pPr>
              <w:keepNext/>
              <w:rPr>
                <w:b/>
                <w:bCs/>
                <w:sz w:val="22"/>
                <w:szCs w:val="22"/>
                <w:lang w:val="el-GR"/>
              </w:rPr>
            </w:pPr>
            <w:r>
              <w:rPr>
                <w:b/>
                <w:sz w:val="22"/>
                <w:szCs w:val="22"/>
                <w:lang w:val="el-GR"/>
              </w:rPr>
              <w:t>3</w:t>
            </w:r>
          </w:p>
        </w:tc>
        <w:tc>
          <w:tcPr>
            <w:tcW w:w="4610" w:type="pct"/>
            <w:gridSpan w:val="3"/>
            <w:tcBorders>
              <w:bottom w:val="single" w:sz="4" w:space="0" w:color="auto"/>
            </w:tcBorders>
            <w:tcMar>
              <w:top w:w="28" w:type="dxa"/>
              <w:left w:w="57" w:type="dxa"/>
              <w:bottom w:w="28" w:type="dxa"/>
              <w:right w:w="57" w:type="dxa"/>
            </w:tcMar>
          </w:tcPr>
          <w:p w14:paraId="5F8FF8CC" w14:textId="77777777" w:rsidR="00171824" w:rsidRDefault="006D258C">
            <w:pPr>
              <w:pStyle w:val="ListParagraph"/>
              <w:ind w:left="567" w:hanging="567"/>
              <w:rPr>
                <w:b/>
                <w:bCs/>
                <w:sz w:val="22"/>
                <w:szCs w:val="22"/>
                <w:lang w:val="el-GR"/>
              </w:rPr>
            </w:pPr>
            <w:r>
              <w:rPr>
                <w:b/>
                <w:sz w:val="22"/>
                <w:szCs w:val="22"/>
                <w:lang w:val="el-GR"/>
              </w:rPr>
              <w:t>Ετοιμαστείτε για την ένεσή σας</w:t>
            </w:r>
          </w:p>
        </w:tc>
      </w:tr>
      <w:tr w:rsidR="00171824" w:rsidRPr="00422380" w14:paraId="3E7E8965" w14:textId="77777777">
        <w:trPr>
          <w:cantSplit/>
          <w:trHeight w:val="57"/>
        </w:trPr>
        <w:tc>
          <w:tcPr>
            <w:tcW w:w="390" w:type="pct"/>
            <w:tcBorders>
              <w:bottom w:val="single" w:sz="4" w:space="0" w:color="auto"/>
            </w:tcBorders>
            <w:tcMar>
              <w:top w:w="28" w:type="dxa"/>
              <w:left w:w="57" w:type="dxa"/>
              <w:bottom w:w="28" w:type="dxa"/>
              <w:right w:w="57" w:type="dxa"/>
            </w:tcMar>
          </w:tcPr>
          <w:p w14:paraId="46FAA770" w14:textId="77777777" w:rsidR="00171824" w:rsidRDefault="006D258C">
            <w:pPr>
              <w:keepNext/>
              <w:rPr>
                <w:b/>
                <w:bCs/>
                <w:sz w:val="22"/>
                <w:szCs w:val="22"/>
                <w:lang w:val="el-GR"/>
              </w:rPr>
            </w:pPr>
            <w:r>
              <w:rPr>
                <w:b/>
                <w:sz w:val="22"/>
                <w:szCs w:val="22"/>
                <w:lang w:val="el-GR"/>
              </w:rPr>
              <w:t>3α</w:t>
            </w:r>
          </w:p>
        </w:tc>
        <w:tc>
          <w:tcPr>
            <w:tcW w:w="4610" w:type="pct"/>
            <w:gridSpan w:val="3"/>
            <w:tcBorders>
              <w:bottom w:val="single" w:sz="4" w:space="0" w:color="auto"/>
            </w:tcBorders>
            <w:tcMar>
              <w:top w:w="28" w:type="dxa"/>
              <w:left w:w="57" w:type="dxa"/>
              <w:bottom w:w="28" w:type="dxa"/>
              <w:right w:w="57" w:type="dxa"/>
            </w:tcMar>
          </w:tcPr>
          <w:p w14:paraId="18F65DF0" w14:textId="77777777" w:rsidR="00171824" w:rsidRDefault="006D258C">
            <w:pPr>
              <w:pStyle w:val="ListParagraph"/>
              <w:rPr>
                <w:sz w:val="22"/>
                <w:szCs w:val="22"/>
                <w:lang w:val="el-GR"/>
              </w:rPr>
            </w:pPr>
            <w:r>
              <w:rPr>
                <w:b/>
                <w:sz w:val="22"/>
                <w:szCs w:val="22"/>
                <w:lang w:val="el-GR"/>
              </w:rPr>
              <w:t xml:space="preserve">Συγκεντρώστε και τοποθετήστε τα </w:t>
            </w:r>
            <w:ins w:id="272" w:author="Author">
              <w:r>
                <w:rPr>
                  <w:b/>
                  <w:sz w:val="22"/>
                  <w:szCs w:val="22"/>
                  <w:lang w:val="el-GR"/>
                </w:rPr>
                <w:t xml:space="preserve">παρακάτω </w:t>
              </w:r>
            </w:ins>
            <w:r>
              <w:rPr>
                <w:b/>
                <w:sz w:val="22"/>
                <w:szCs w:val="22"/>
                <w:lang w:val="el-GR"/>
              </w:rPr>
              <w:t xml:space="preserve">υλικά για την ένεσή σας σε μια καθαρή, </w:t>
            </w:r>
            <w:ins w:id="273" w:author="Author">
              <w:r>
                <w:rPr>
                  <w:b/>
                  <w:sz w:val="22"/>
                  <w:szCs w:val="22"/>
                  <w:lang w:val="el-GR"/>
                </w:rPr>
                <w:t xml:space="preserve">επίπεδη και </w:t>
              </w:r>
            </w:ins>
            <w:r>
              <w:rPr>
                <w:b/>
                <w:sz w:val="22"/>
                <w:szCs w:val="22"/>
                <w:lang w:val="el-GR"/>
              </w:rPr>
              <w:t>καλά φωτισμένη επιφάνεια.</w:t>
            </w:r>
          </w:p>
        </w:tc>
      </w:tr>
      <w:tr w:rsidR="00171824" w:rsidRPr="00422380" w14:paraId="0C1297E5" w14:textId="77777777">
        <w:trPr>
          <w:cantSplit/>
          <w:trHeight w:val="2070"/>
        </w:trPr>
        <w:tc>
          <w:tcPr>
            <w:tcW w:w="763"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1769ACEE" w14:textId="77777777" w:rsidR="00171824" w:rsidRDefault="00171824">
            <w:pPr>
              <w:pStyle w:val="ListParagraph"/>
              <w:keepNext/>
              <w:ind w:left="567" w:hanging="567"/>
              <w:rPr>
                <w:sz w:val="22"/>
                <w:szCs w:val="22"/>
                <w:lang w:val="el-GR"/>
              </w:rPr>
            </w:pPr>
          </w:p>
          <w:p w14:paraId="4C1BD3A4" w14:textId="77777777" w:rsidR="00171824" w:rsidRDefault="00171824">
            <w:pPr>
              <w:pStyle w:val="ListParagraph"/>
              <w:keepNext/>
              <w:ind w:left="567" w:hanging="567"/>
              <w:rPr>
                <w:sz w:val="22"/>
                <w:szCs w:val="22"/>
                <w:lang w:val="el-GR"/>
              </w:rPr>
            </w:pPr>
          </w:p>
          <w:p w14:paraId="629328B9" w14:textId="77777777" w:rsidR="00171824" w:rsidRDefault="00171824">
            <w:pPr>
              <w:pStyle w:val="ListParagraph"/>
              <w:keepNext/>
              <w:ind w:left="567" w:hanging="567"/>
              <w:rPr>
                <w:sz w:val="22"/>
                <w:szCs w:val="22"/>
                <w:lang w:val="el-GR"/>
              </w:rPr>
            </w:pPr>
          </w:p>
          <w:p w14:paraId="428E1B7F" w14:textId="77777777" w:rsidR="00171824" w:rsidRDefault="00171824">
            <w:pPr>
              <w:pStyle w:val="ListParagraph"/>
              <w:keepNext/>
              <w:ind w:left="567" w:hanging="567"/>
              <w:rPr>
                <w:sz w:val="22"/>
                <w:szCs w:val="22"/>
                <w:lang w:val="el-GR"/>
              </w:rPr>
            </w:pPr>
          </w:p>
          <w:p w14:paraId="60C1AC41" w14:textId="77777777" w:rsidR="00171824" w:rsidRDefault="00171824">
            <w:pPr>
              <w:pStyle w:val="ListParagraph"/>
              <w:keepNext/>
              <w:ind w:left="567" w:hanging="567"/>
              <w:rPr>
                <w:sz w:val="22"/>
                <w:szCs w:val="22"/>
                <w:lang w:val="el-GR"/>
              </w:rPr>
            </w:pPr>
          </w:p>
          <w:p w14:paraId="00FA20A5" w14:textId="77777777" w:rsidR="00171824" w:rsidRDefault="006D258C">
            <w:pPr>
              <w:pStyle w:val="ListParagraph"/>
              <w:keepNext/>
              <w:rPr>
                <w:sz w:val="22"/>
                <w:szCs w:val="22"/>
                <w:lang w:val="el-GR"/>
              </w:rPr>
            </w:pPr>
            <w:r>
              <w:rPr>
                <w:sz w:val="22"/>
                <w:szCs w:val="22"/>
                <w:lang w:val="el-GR"/>
              </w:rPr>
              <w:t>Δοχείο απόρριψης αιχμηρών αντικειμένων</w:t>
            </w:r>
          </w:p>
        </w:tc>
        <w:tc>
          <w:tcPr>
            <w:tcW w:w="1931" w:type="pct"/>
            <w:tcBorders>
              <w:top w:val="single" w:sz="4" w:space="0" w:color="auto"/>
              <w:left w:val="nil"/>
              <w:bottom w:val="single" w:sz="4" w:space="0" w:color="auto"/>
              <w:right w:val="nil"/>
            </w:tcBorders>
          </w:tcPr>
          <w:p w14:paraId="16C3040E" w14:textId="41ACD80F" w:rsidR="00171824" w:rsidRDefault="009039B7">
            <w:pPr>
              <w:pStyle w:val="ListParagraph"/>
              <w:keepNext/>
              <w:ind w:left="567" w:hanging="567"/>
              <w:rPr>
                <w:sz w:val="22"/>
                <w:szCs w:val="22"/>
                <w:lang w:val="el-GR"/>
              </w:rPr>
            </w:pPr>
            <w:r>
              <w:rPr>
                <w:noProof/>
                <w:sz w:val="22"/>
                <w:szCs w:val="22"/>
                <w:lang w:val="el-GR" w:eastAsia="zh-CN"/>
              </w:rPr>
              <w:drawing>
                <wp:inline distT="0" distB="0" distL="0" distR="0" wp14:anchorId="014384CE" wp14:editId="67BC6648">
                  <wp:extent cx="1828800" cy="1645920"/>
                  <wp:effectExtent l="0" t="0" r="0" b="0"/>
                  <wp:docPr id="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28800" cy="1645920"/>
                          </a:xfrm>
                          <a:prstGeom prst="rect">
                            <a:avLst/>
                          </a:prstGeom>
                          <a:noFill/>
                          <a:ln>
                            <a:noFill/>
                          </a:ln>
                        </pic:spPr>
                      </pic:pic>
                    </a:graphicData>
                  </a:graphic>
                </wp:inline>
              </w:drawing>
            </w:r>
          </w:p>
          <w:p w14:paraId="527F43B6" w14:textId="77777777" w:rsidR="00171824" w:rsidRDefault="00171824">
            <w:pPr>
              <w:pStyle w:val="ListParagraph"/>
              <w:keepNext/>
              <w:ind w:left="567" w:hanging="567"/>
              <w:rPr>
                <w:sz w:val="22"/>
                <w:szCs w:val="22"/>
                <w:lang w:val="el-GR"/>
              </w:rPr>
            </w:pPr>
          </w:p>
          <w:p w14:paraId="77556C0D" w14:textId="77777777" w:rsidR="00171824" w:rsidRDefault="00171824">
            <w:pPr>
              <w:pStyle w:val="ListParagraph"/>
              <w:keepNext/>
              <w:ind w:left="567" w:hanging="567"/>
              <w:rPr>
                <w:sz w:val="22"/>
                <w:szCs w:val="22"/>
                <w:lang w:val="el-GR"/>
              </w:rPr>
            </w:pPr>
          </w:p>
        </w:tc>
        <w:tc>
          <w:tcPr>
            <w:tcW w:w="2306" w:type="pct"/>
            <w:tcBorders>
              <w:top w:val="single" w:sz="4" w:space="0" w:color="auto"/>
              <w:left w:val="nil"/>
              <w:bottom w:val="single" w:sz="4" w:space="0" w:color="auto"/>
              <w:right w:val="single" w:sz="4" w:space="0" w:color="auto"/>
            </w:tcBorders>
          </w:tcPr>
          <w:p w14:paraId="231F2975" w14:textId="77777777" w:rsidR="00171824" w:rsidRDefault="00171824">
            <w:pPr>
              <w:pStyle w:val="ListParagraph"/>
              <w:ind w:left="567" w:hanging="567"/>
              <w:rPr>
                <w:b/>
                <w:bCs/>
                <w:sz w:val="22"/>
                <w:szCs w:val="22"/>
                <w:lang w:val="el-GR"/>
              </w:rPr>
            </w:pPr>
          </w:p>
          <w:p w14:paraId="7D86355B" w14:textId="77777777" w:rsidR="00171824" w:rsidRDefault="006D258C">
            <w:pPr>
              <w:pStyle w:val="ListParagraph"/>
              <w:ind w:left="567" w:hanging="567"/>
              <w:rPr>
                <w:sz w:val="22"/>
                <w:szCs w:val="22"/>
                <w:lang w:val="el-GR"/>
              </w:rPr>
            </w:pPr>
            <w:r>
              <w:rPr>
                <w:sz w:val="22"/>
                <w:szCs w:val="22"/>
                <w:lang w:val="el-GR"/>
              </w:rPr>
              <w:t>Μαντηλάκια οινοπνεύματος</w:t>
            </w:r>
          </w:p>
          <w:p w14:paraId="20B9EBAE" w14:textId="77777777" w:rsidR="00171824" w:rsidRDefault="00171824">
            <w:pPr>
              <w:pStyle w:val="ListParagraph"/>
              <w:ind w:left="567" w:hanging="567"/>
              <w:rPr>
                <w:b/>
                <w:bCs/>
                <w:sz w:val="22"/>
                <w:szCs w:val="22"/>
                <w:lang w:val="el-GR"/>
              </w:rPr>
            </w:pPr>
          </w:p>
          <w:p w14:paraId="1793435C" w14:textId="77777777" w:rsidR="00171824" w:rsidRDefault="00171824">
            <w:pPr>
              <w:pStyle w:val="ListParagraph"/>
              <w:ind w:left="567" w:hanging="567"/>
              <w:rPr>
                <w:b/>
                <w:bCs/>
                <w:sz w:val="22"/>
                <w:szCs w:val="22"/>
                <w:lang w:val="el-GR"/>
              </w:rPr>
            </w:pPr>
          </w:p>
          <w:p w14:paraId="078BEF66" w14:textId="77777777" w:rsidR="00171824" w:rsidRDefault="006D258C">
            <w:pPr>
              <w:pStyle w:val="ListParagraph"/>
              <w:ind w:left="567" w:hanging="567"/>
              <w:rPr>
                <w:sz w:val="22"/>
                <w:szCs w:val="22"/>
                <w:lang w:val="el-GR"/>
              </w:rPr>
            </w:pPr>
            <w:r>
              <w:rPr>
                <w:sz w:val="22"/>
                <w:szCs w:val="22"/>
                <w:lang w:val="el-GR"/>
              </w:rPr>
              <w:t>Αυτοκόλλητος επίδεσμος</w:t>
            </w:r>
          </w:p>
          <w:p w14:paraId="1E6BE0C4" w14:textId="77777777" w:rsidR="00171824" w:rsidRDefault="00171824">
            <w:pPr>
              <w:pStyle w:val="ListParagraph"/>
              <w:ind w:left="567" w:hanging="567"/>
              <w:rPr>
                <w:sz w:val="22"/>
                <w:szCs w:val="22"/>
                <w:lang w:val="el-GR"/>
              </w:rPr>
            </w:pPr>
          </w:p>
          <w:p w14:paraId="2B9A8856" w14:textId="77777777" w:rsidR="00171824" w:rsidRDefault="00171824">
            <w:pPr>
              <w:pStyle w:val="ListParagraph"/>
              <w:ind w:left="567" w:hanging="567"/>
              <w:rPr>
                <w:sz w:val="22"/>
                <w:szCs w:val="22"/>
                <w:lang w:val="el-GR"/>
              </w:rPr>
            </w:pPr>
          </w:p>
          <w:p w14:paraId="626D0981" w14:textId="77777777" w:rsidR="00171824" w:rsidRDefault="006D258C">
            <w:pPr>
              <w:pStyle w:val="ListParagraph"/>
              <w:ind w:left="567" w:hanging="567"/>
              <w:rPr>
                <w:sz w:val="22"/>
                <w:szCs w:val="22"/>
                <w:lang w:val="el-GR"/>
              </w:rPr>
            </w:pPr>
            <w:r>
              <w:rPr>
                <w:sz w:val="22"/>
                <w:szCs w:val="22"/>
                <w:lang w:val="el-GR"/>
              </w:rPr>
              <w:t>Κομμάτι βαμβάκι ή γάζα</w:t>
            </w:r>
          </w:p>
        </w:tc>
      </w:tr>
      <w:tr w:rsidR="00171824" w:rsidRPr="00422380" w14:paraId="0345700E" w14:textId="77777777">
        <w:trPr>
          <w:cantSplit/>
          <w:trHeight w:val="57"/>
        </w:trPr>
        <w:tc>
          <w:tcPr>
            <w:tcW w:w="390" w:type="pct"/>
            <w:tcBorders>
              <w:top w:val="single" w:sz="4" w:space="0" w:color="auto"/>
              <w:bottom w:val="nil"/>
              <w:right w:val="nil"/>
            </w:tcBorders>
            <w:tcMar>
              <w:top w:w="28" w:type="dxa"/>
              <w:left w:w="57" w:type="dxa"/>
              <w:bottom w:w="28" w:type="dxa"/>
              <w:right w:w="57" w:type="dxa"/>
            </w:tcMar>
          </w:tcPr>
          <w:p w14:paraId="4059F399" w14:textId="77777777" w:rsidR="00171824" w:rsidRDefault="00171824">
            <w:pPr>
              <w:widowControl/>
              <w:numPr>
                <w:ilvl w:val="0"/>
                <w:numId w:val="36"/>
              </w:numPr>
              <w:autoSpaceDE/>
              <w:autoSpaceDN/>
              <w:adjustRightInd/>
              <w:ind w:left="567" w:hanging="567"/>
              <w:rPr>
                <w:sz w:val="22"/>
                <w:szCs w:val="22"/>
                <w:lang w:val="el-GR"/>
              </w:rPr>
            </w:pPr>
          </w:p>
        </w:tc>
        <w:tc>
          <w:tcPr>
            <w:tcW w:w="4610" w:type="pct"/>
            <w:gridSpan w:val="3"/>
            <w:tcBorders>
              <w:top w:val="nil"/>
              <w:left w:val="nil"/>
              <w:bottom w:val="nil"/>
            </w:tcBorders>
            <w:tcMar>
              <w:left w:w="0" w:type="dxa"/>
            </w:tcMar>
          </w:tcPr>
          <w:p w14:paraId="55E31264" w14:textId="77777777" w:rsidR="00171824" w:rsidRDefault="006D258C">
            <w:pPr>
              <w:pStyle w:val="ListParagraph"/>
              <w:keepNext/>
              <w:keepLines/>
              <w:suppressAutoHyphens/>
              <w:textAlignment w:val="center"/>
              <w:rPr>
                <w:sz w:val="22"/>
                <w:szCs w:val="22"/>
                <w:lang w:val="el-GR"/>
              </w:rPr>
            </w:pPr>
            <w:r>
              <w:rPr>
                <w:sz w:val="22"/>
                <w:szCs w:val="22"/>
                <w:lang w:val="el-GR"/>
              </w:rPr>
              <w:t>Προγεμισμένη συσκευή τύπου πένας AMGEVITA (σε θερμοκρασία δωματίου)</w:t>
            </w:r>
          </w:p>
        </w:tc>
      </w:tr>
      <w:tr w:rsidR="00171824" w14:paraId="1C4D366F" w14:textId="77777777">
        <w:trPr>
          <w:cantSplit/>
          <w:trHeight w:val="57"/>
        </w:trPr>
        <w:tc>
          <w:tcPr>
            <w:tcW w:w="390" w:type="pct"/>
            <w:tcBorders>
              <w:top w:val="nil"/>
              <w:bottom w:val="nil"/>
              <w:right w:val="nil"/>
            </w:tcBorders>
            <w:tcMar>
              <w:top w:w="28" w:type="dxa"/>
              <w:left w:w="57" w:type="dxa"/>
              <w:bottom w:w="28" w:type="dxa"/>
              <w:right w:w="57" w:type="dxa"/>
            </w:tcMar>
          </w:tcPr>
          <w:p w14:paraId="19E887E1" w14:textId="77777777" w:rsidR="00171824" w:rsidRDefault="00171824">
            <w:pPr>
              <w:widowControl/>
              <w:numPr>
                <w:ilvl w:val="0"/>
                <w:numId w:val="36"/>
              </w:numPr>
              <w:autoSpaceDE/>
              <w:autoSpaceDN/>
              <w:adjustRightInd/>
              <w:ind w:left="567" w:hanging="567"/>
              <w:rPr>
                <w:sz w:val="22"/>
                <w:szCs w:val="22"/>
                <w:lang w:val="el-GR"/>
              </w:rPr>
            </w:pPr>
          </w:p>
        </w:tc>
        <w:tc>
          <w:tcPr>
            <w:tcW w:w="4610" w:type="pct"/>
            <w:gridSpan w:val="3"/>
            <w:tcBorders>
              <w:top w:val="nil"/>
              <w:left w:val="nil"/>
              <w:bottom w:val="nil"/>
            </w:tcBorders>
            <w:tcMar>
              <w:left w:w="0" w:type="dxa"/>
            </w:tcMar>
          </w:tcPr>
          <w:p w14:paraId="08B17E76" w14:textId="77777777" w:rsidR="00171824" w:rsidRDefault="006D258C">
            <w:pPr>
              <w:pStyle w:val="ListParagraph"/>
              <w:keepNext/>
              <w:keepLines/>
              <w:suppressAutoHyphens/>
              <w:textAlignment w:val="center"/>
              <w:rPr>
                <w:sz w:val="22"/>
                <w:szCs w:val="22"/>
                <w:lang w:val="el-GR"/>
              </w:rPr>
            </w:pPr>
            <w:r>
              <w:rPr>
                <w:sz w:val="22"/>
                <w:szCs w:val="22"/>
                <w:lang w:val="el-GR"/>
              </w:rPr>
              <w:t xml:space="preserve">Δοχείο απόρριψης αιχμηρών αντικειμένων </w:t>
            </w:r>
          </w:p>
        </w:tc>
      </w:tr>
      <w:tr w:rsidR="00171824" w14:paraId="77C6AB70" w14:textId="77777777">
        <w:trPr>
          <w:cantSplit/>
          <w:trHeight w:val="57"/>
        </w:trPr>
        <w:tc>
          <w:tcPr>
            <w:tcW w:w="390" w:type="pct"/>
            <w:tcBorders>
              <w:top w:val="nil"/>
              <w:bottom w:val="nil"/>
              <w:right w:val="nil"/>
            </w:tcBorders>
            <w:tcMar>
              <w:top w:w="28" w:type="dxa"/>
              <w:left w:w="57" w:type="dxa"/>
              <w:bottom w:w="28" w:type="dxa"/>
              <w:right w:w="57" w:type="dxa"/>
            </w:tcMar>
          </w:tcPr>
          <w:p w14:paraId="592DF153" w14:textId="77777777" w:rsidR="00171824" w:rsidRDefault="00171824">
            <w:pPr>
              <w:widowControl/>
              <w:numPr>
                <w:ilvl w:val="0"/>
                <w:numId w:val="36"/>
              </w:numPr>
              <w:autoSpaceDE/>
              <w:autoSpaceDN/>
              <w:adjustRightInd/>
              <w:ind w:left="567" w:hanging="567"/>
              <w:rPr>
                <w:sz w:val="22"/>
                <w:szCs w:val="22"/>
                <w:lang w:val="el-GR"/>
              </w:rPr>
            </w:pPr>
          </w:p>
        </w:tc>
        <w:tc>
          <w:tcPr>
            <w:tcW w:w="4610" w:type="pct"/>
            <w:gridSpan w:val="3"/>
            <w:tcBorders>
              <w:top w:val="nil"/>
              <w:left w:val="nil"/>
              <w:bottom w:val="nil"/>
            </w:tcBorders>
            <w:tcMar>
              <w:left w:w="0" w:type="dxa"/>
            </w:tcMar>
          </w:tcPr>
          <w:p w14:paraId="528FF569" w14:textId="77777777" w:rsidR="00171824" w:rsidRDefault="006D258C">
            <w:pPr>
              <w:rPr>
                <w:sz w:val="22"/>
                <w:szCs w:val="22"/>
                <w:lang w:val="el-GR"/>
              </w:rPr>
            </w:pPr>
            <w:r>
              <w:rPr>
                <w:sz w:val="22"/>
                <w:szCs w:val="22"/>
                <w:lang w:val="el-GR"/>
              </w:rPr>
              <w:t>Μαντηλάκια οινοπνεύματος</w:t>
            </w:r>
          </w:p>
        </w:tc>
      </w:tr>
      <w:tr w:rsidR="00171824" w14:paraId="191B75C0" w14:textId="77777777">
        <w:trPr>
          <w:cantSplit/>
          <w:trHeight w:val="57"/>
        </w:trPr>
        <w:tc>
          <w:tcPr>
            <w:tcW w:w="390" w:type="pct"/>
            <w:tcBorders>
              <w:top w:val="nil"/>
              <w:bottom w:val="nil"/>
              <w:right w:val="nil"/>
            </w:tcBorders>
            <w:tcMar>
              <w:top w:w="28" w:type="dxa"/>
              <w:left w:w="57" w:type="dxa"/>
              <w:bottom w:w="28" w:type="dxa"/>
              <w:right w:w="57" w:type="dxa"/>
            </w:tcMar>
          </w:tcPr>
          <w:p w14:paraId="1BABCFEA" w14:textId="77777777" w:rsidR="00171824" w:rsidRDefault="00171824">
            <w:pPr>
              <w:widowControl/>
              <w:numPr>
                <w:ilvl w:val="0"/>
                <w:numId w:val="36"/>
              </w:numPr>
              <w:autoSpaceDE/>
              <w:autoSpaceDN/>
              <w:adjustRightInd/>
              <w:ind w:left="567" w:hanging="567"/>
              <w:rPr>
                <w:sz w:val="22"/>
                <w:szCs w:val="22"/>
                <w:lang w:val="el-GR"/>
              </w:rPr>
            </w:pPr>
          </w:p>
        </w:tc>
        <w:tc>
          <w:tcPr>
            <w:tcW w:w="4610" w:type="pct"/>
            <w:gridSpan w:val="3"/>
            <w:tcBorders>
              <w:top w:val="nil"/>
              <w:left w:val="nil"/>
              <w:bottom w:val="nil"/>
            </w:tcBorders>
            <w:tcMar>
              <w:left w:w="0" w:type="dxa"/>
            </w:tcMar>
          </w:tcPr>
          <w:p w14:paraId="295410F6" w14:textId="77777777" w:rsidR="00171824" w:rsidRDefault="006D258C">
            <w:pPr>
              <w:rPr>
                <w:sz w:val="22"/>
                <w:szCs w:val="22"/>
                <w:lang w:val="el-GR"/>
              </w:rPr>
            </w:pPr>
            <w:r>
              <w:rPr>
                <w:sz w:val="22"/>
                <w:szCs w:val="22"/>
                <w:lang w:val="el-GR"/>
              </w:rPr>
              <w:t>Αυτοκόλλητος επίδεσμος</w:t>
            </w:r>
          </w:p>
        </w:tc>
      </w:tr>
      <w:tr w:rsidR="00171824" w14:paraId="41924864" w14:textId="77777777">
        <w:trPr>
          <w:cantSplit/>
          <w:trHeight w:val="57"/>
        </w:trPr>
        <w:tc>
          <w:tcPr>
            <w:tcW w:w="390" w:type="pct"/>
            <w:tcBorders>
              <w:top w:val="nil"/>
              <w:bottom w:val="single" w:sz="4" w:space="0" w:color="auto"/>
              <w:right w:val="nil"/>
            </w:tcBorders>
            <w:tcMar>
              <w:top w:w="28" w:type="dxa"/>
              <w:left w:w="57" w:type="dxa"/>
              <w:bottom w:w="28" w:type="dxa"/>
              <w:right w:w="57" w:type="dxa"/>
            </w:tcMar>
          </w:tcPr>
          <w:p w14:paraId="4D810C0F" w14:textId="77777777" w:rsidR="00171824" w:rsidRDefault="00171824">
            <w:pPr>
              <w:widowControl/>
              <w:numPr>
                <w:ilvl w:val="0"/>
                <w:numId w:val="36"/>
              </w:numPr>
              <w:autoSpaceDE/>
              <w:autoSpaceDN/>
              <w:adjustRightInd/>
              <w:ind w:left="567" w:hanging="567"/>
              <w:rPr>
                <w:sz w:val="22"/>
                <w:szCs w:val="22"/>
                <w:lang w:val="el-GR"/>
              </w:rPr>
            </w:pPr>
          </w:p>
        </w:tc>
        <w:tc>
          <w:tcPr>
            <w:tcW w:w="4610" w:type="pct"/>
            <w:gridSpan w:val="3"/>
            <w:tcBorders>
              <w:top w:val="nil"/>
              <w:left w:val="nil"/>
              <w:bottom w:val="single" w:sz="4" w:space="0" w:color="auto"/>
            </w:tcBorders>
            <w:tcMar>
              <w:left w:w="0" w:type="dxa"/>
            </w:tcMar>
          </w:tcPr>
          <w:p w14:paraId="6AB875F6" w14:textId="77777777" w:rsidR="00171824" w:rsidRDefault="006D258C">
            <w:pPr>
              <w:rPr>
                <w:b/>
                <w:bCs/>
                <w:sz w:val="22"/>
                <w:szCs w:val="22"/>
                <w:lang w:val="el-GR"/>
              </w:rPr>
            </w:pPr>
            <w:r>
              <w:rPr>
                <w:sz w:val="22"/>
                <w:szCs w:val="22"/>
                <w:lang w:val="el-GR"/>
              </w:rPr>
              <w:t>Κομμάτι βαμβάκι ή γάζα</w:t>
            </w:r>
          </w:p>
        </w:tc>
      </w:tr>
    </w:tbl>
    <w:p w14:paraId="23EFFEFE" w14:textId="77777777" w:rsidR="00171824" w:rsidRDefault="00171824">
      <w:pPr>
        <w:rPr>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171824" w:rsidRPr="00422380" w14:paraId="2E273CAC" w14:textId="77777777">
        <w:trPr>
          <w:cantSplit/>
          <w:trHeight w:val="57"/>
        </w:trPr>
        <w:tc>
          <w:tcPr>
            <w:tcW w:w="354" w:type="pct"/>
            <w:tcBorders>
              <w:bottom w:val="single" w:sz="4" w:space="0" w:color="auto"/>
            </w:tcBorders>
            <w:tcMar>
              <w:top w:w="28" w:type="dxa"/>
              <w:left w:w="57" w:type="dxa"/>
              <w:bottom w:w="28" w:type="dxa"/>
              <w:right w:w="57" w:type="dxa"/>
            </w:tcMar>
          </w:tcPr>
          <w:p w14:paraId="491627DF" w14:textId="77777777" w:rsidR="00171824" w:rsidRDefault="006D258C">
            <w:pPr>
              <w:keepNext/>
              <w:rPr>
                <w:b/>
                <w:bCs/>
                <w:sz w:val="22"/>
                <w:szCs w:val="22"/>
                <w:lang w:val="el-GR"/>
              </w:rPr>
            </w:pPr>
            <w:r>
              <w:rPr>
                <w:b/>
                <w:sz w:val="22"/>
                <w:szCs w:val="22"/>
                <w:lang w:val="el-GR"/>
              </w:rPr>
              <w:lastRenderedPageBreak/>
              <w:t>3β</w:t>
            </w:r>
          </w:p>
        </w:tc>
        <w:tc>
          <w:tcPr>
            <w:tcW w:w="4646" w:type="pct"/>
            <w:tcBorders>
              <w:bottom w:val="single" w:sz="4" w:space="0" w:color="auto"/>
            </w:tcBorders>
            <w:tcMar>
              <w:top w:w="28" w:type="dxa"/>
              <w:left w:w="57" w:type="dxa"/>
              <w:bottom w:w="28" w:type="dxa"/>
              <w:right w:w="57" w:type="dxa"/>
            </w:tcMar>
          </w:tcPr>
          <w:p w14:paraId="7204686E" w14:textId="77777777" w:rsidR="00171824" w:rsidRDefault="006D258C">
            <w:pPr>
              <w:pStyle w:val="ListParagraph"/>
              <w:keepNext/>
              <w:ind w:left="567" w:hanging="567"/>
              <w:rPr>
                <w:sz w:val="22"/>
                <w:szCs w:val="22"/>
                <w:lang w:val="el-GR"/>
              </w:rPr>
            </w:pPr>
            <w:r>
              <w:rPr>
                <w:b/>
                <w:sz w:val="22"/>
                <w:szCs w:val="22"/>
                <w:lang w:val="el-GR"/>
              </w:rPr>
              <w:t xml:space="preserve">Κάνετε την ένεση σε </w:t>
            </w:r>
            <w:del w:id="274" w:author="Author">
              <w:r>
                <w:rPr>
                  <w:b/>
                  <w:sz w:val="22"/>
                  <w:szCs w:val="22"/>
                  <w:lang w:val="el-GR"/>
                </w:rPr>
                <w:delText xml:space="preserve">μία </w:delText>
              </w:r>
            </w:del>
            <w:ins w:id="275" w:author="Author">
              <w:r>
                <w:rPr>
                  <w:b/>
                  <w:sz w:val="22"/>
                  <w:szCs w:val="22"/>
                  <w:lang w:val="el-GR"/>
                </w:rPr>
                <w:t xml:space="preserve">1 </w:t>
              </w:r>
            </w:ins>
            <w:r>
              <w:rPr>
                <w:b/>
                <w:sz w:val="22"/>
                <w:szCs w:val="22"/>
                <w:lang w:val="el-GR"/>
              </w:rPr>
              <w:t xml:space="preserve">από </w:t>
            </w:r>
            <w:del w:id="276" w:author="Author">
              <w:r>
                <w:rPr>
                  <w:b/>
                  <w:sz w:val="22"/>
                  <w:szCs w:val="22"/>
                  <w:lang w:val="el-GR"/>
                </w:rPr>
                <w:delText>αυτές τις θέσεις</w:delText>
              </w:r>
            </w:del>
            <w:ins w:id="277" w:author="Author">
              <w:r>
                <w:rPr>
                  <w:b/>
                  <w:sz w:val="22"/>
                  <w:szCs w:val="22"/>
                  <w:lang w:val="el-GR"/>
                </w:rPr>
                <w:t>αυτά τα σημεία</w:t>
              </w:r>
            </w:ins>
            <w:r>
              <w:rPr>
                <w:b/>
                <w:sz w:val="22"/>
                <w:szCs w:val="22"/>
                <w:lang w:val="el-GR"/>
              </w:rPr>
              <w:t>.</w:t>
            </w:r>
          </w:p>
        </w:tc>
      </w:tr>
      <w:tr w:rsidR="00171824" w14:paraId="29D396A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324F5DF0" w14:textId="2E00A5EA" w:rsidR="00171824" w:rsidRDefault="009039B7">
            <w:pPr>
              <w:pStyle w:val="ListParagraph"/>
              <w:keepNext/>
              <w:ind w:left="567" w:hanging="567"/>
              <w:jc w:val="center"/>
              <w:rPr>
                <w:sz w:val="22"/>
                <w:szCs w:val="22"/>
                <w:lang w:val="el-GR"/>
              </w:rPr>
            </w:pPr>
            <w:del w:id="278" w:author="Author">
              <w:r>
                <w:rPr>
                  <w:noProof/>
                  <w:sz w:val="22"/>
                  <w:szCs w:val="22"/>
                  <w:lang w:val="el-GR" w:eastAsia="zh-CN"/>
                </w:rPr>
                <w:drawing>
                  <wp:inline distT="0" distB="0" distL="0" distR="0" wp14:anchorId="5345F269" wp14:editId="2049103D">
                    <wp:extent cx="3200400" cy="1925955"/>
                    <wp:effectExtent l="0" t="0" r="0" b="0"/>
                    <wp:docPr id="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del>
            <w:ins w:id="279" w:author="Author">
              <w:r>
                <w:rPr>
                  <w:noProof/>
                  <w:lang w:val="el-GR"/>
                </w:rPr>
                <w:drawing>
                  <wp:inline distT="0" distB="0" distL="0" distR="0" wp14:anchorId="5690DBC2" wp14:editId="4D8AEF12">
                    <wp:extent cx="1371600" cy="1828800"/>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ins>
          </w:p>
        </w:tc>
      </w:tr>
      <w:tr w:rsidR="00171824" w:rsidRPr="00422380" w14:paraId="2AFF9C9D" w14:textId="77777777">
        <w:trPr>
          <w:cantSplit/>
          <w:trHeight w:val="57"/>
        </w:trPr>
        <w:tc>
          <w:tcPr>
            <w:tcW w:w="354" w:type="pct"/>
            <w:tcBorders>
              <w:top w:val="nil"/>
              <w:bottom w:val="nil"/>
              <w:right w:val="nil"/>
            </w:tcBorders>
            <w:tcMar>
              <w:top w:w="28" w:type="dxa"/>
              <w:left w:w="57" w:type="dxa"/>
              <w:bottom w:w="28" w:type="dxa"/>
              <w:right w:w="57" w:type="dxa"/>
            </w:tcMar>
          </w:tcPr>
          <w:p w14:paraId="35477609" w14:textId="77777777" w:rsidR="00171824" w:rsidRDefault="00171824">
            <w:pPr>
              <w:keepNext/>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11880A4B" w14:textId="77777777" w:rsidR="00171824" w:rsidRDefault="006D258C">
            <w:pPr>
              <w:keepNext/>
              <w:tabs>
                <w:tab w:val="left" w:pos="1134"/>
              </w:tabs>
              <w:rPr>
                <w:b/>
                <w:bCs/>
                <w:sz w:val="22"/>
                <w:szCs w:val="22"/>
                <w:lang w:val="el-GR"/>
              </w:rPr>
            </w:pPr>
            <w:r>
              <w:rPr>
                <w:sz w:val="22"/>
                <w:szCs w:val="22"/>
                <w:lang w:val="el-GR"/>
              </w:rPr>
              <w:t xml:space="preserve">Κάνετε την ένεση </w:t>
            </w:r>
            <w:del w:id="280" w:author="Author">
              <w:r>
                <w:rPr>
                  <w:sz w:val="22"/>
                  <w:szCs w:val="22"/>
                  <w:lang w:val="el-GR"/>
                </w:rPr>
                <w:delText>στον μηρό</w:delText>
              </w:r>
            </w:del>
            <w:ins w:id="281" w:author="Author">
              <w:r>
                <w:rPr>
                  <w:sz w:val="22"/>
                  <w:szCs w:val="22"/>
                  <w:lang w:val="el-GR"/>
                </w:rPr>
                <w:t>στο μπροστινό μέρος του μηρού σας</w:t>
              </w:r>
            </w:ins>
            <w:r>
              <w:rPr>
                <w:sz w:val="22"/>
                <w:szCs w:val="22"/>
                <w:lang w:val="el-GR"/>
              </w:rPr>
              <w:t xml:space="preserve"> ή στην κοιλιά σας (εκτός από μία περιοχή διαμέτρου 5 εκατοστών γύρω από τον ομφαλό σας).</w:t>
            </w:r>
          </w:p>
        </w:tc>
      </w:tr>
      <w:tr w:rsidR="00171824" w:rsidRPr="00422380" w14:paraId="259FFBFB" w14:textId="77777777">
        <w:trPr>
          <w:cantSplit/>
          <w:trHeight w:val="57"/>
        </w:trPr>
        <w:tc>
          <w:tcPr>
            <w:tcW w:w="354" w:type="pct"/>
            <w:tcBorders>
              <w:top w:val="nil"/>
              <w:bottom w:val="nil"/>
              <w:right w:val="nil"/>
            </w:tcBorders>
            <w:tcMar>
              <w:top w:w="28" w:type="dxa"/>
              <w:left w:w="57" w:type="dxa"/>
              <w:bottom w:w="28" w:type="dxa"/>
              <w:right w:w="57" w:type="dxa"/>
            </w:tcMar>
          </w:tcPr>
          <w:p w14:paraId="2B2803CF" w14:textId="77777777" w:rsidR="00171824" w:rsidRDefault="00171824">
            <w:pPr>
              <w:keepNext/>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3926EEB2" w14:textId="77777777" w:rsidR="00171824" w:rsidRDefault="006D258C">
            <w:pPr>
              <w:keepNext/>
              <w:tabs>
                <w:tab w:val="left" w:pos="1134"/>
              </w:tabs>
              <w:rPr>
                <w:sz w:val="22"/>
                <w:szCs w:val="22"/>
                <w:lang w:val="el-GR"/>
              </w:rPr>
            </w:pPr>
            <w:r>
              <w:rPr>
                <w:sz w:val="22"/>
                <w:szCs w:val="22"/>
                <w:lang w:val="el-GR"/>
              </w:rPr>
              <w:t>Επιλέγετε διαφορετικό σημείο για κάθε ένεση.</w:t>
            </w:r>
          </w:p>
        </w:tc>
      </w:tr>
      <w:tr w:rsidR="00171824" w:rsidRPr="00422380" w14:paraId="22CEC0B4" w14:textId="77777777">
        <w:trPr>
          <w:cantSplit/>
          <w:trHeight w:val="57"/>
        </w:trPr>
        <w:tc>
          <w:tcPr>
            <w:tcW w:w="354" w:type="pct"/>
            <w:tcBorders>
              <w:top w:val="nil"/>
              <w:bottom w:val="nil"/>
              <w:right w:val="nil"/>
            </w:tcBorders>
            <w:tcMar>
              <w:top w:w="28" w:type="dxa"/>
              <w:left w:w="57" w:type="dxa"/>
              <w:bottom w:w="28" w:type="dxa"/>
              <w:right w:w="57" w:type="dxa"/>
            </w:tcMar>
          </w:tcPr>
          <w:p w14:paraId="05929372" w14:textId="77777777" w:rsidR="00171824" w:rsidRDefault="00171824">
            <w:pPr>
              <w:keepNext/>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632F25EC" w14:textId="77777777" w:rsidR="00171824" w:rsidRDefault="006D258C">
            <w:pPr>
              <w:keepNext/>
              <w:tabs>
                <w:tab w:val="left" w:pos="1134"/>
              </w:tabs>
              <w:rPr>
                <w:sz w:val="22"/>
                <w:szCs w:val="22"/>
                <w:lang w:val="el-GR"/>
              </w:rPr>
            </w:pPr>
            <w:r>
              <w:rPr>
                <w:sz w:val="22"/>
                <w:szCs w:val="22"/>
                <w:lang w:val="el-GR"/>
              </w:rPr>
              <w:t>Πλύνετε σχολαστικά τα χέρια σας με σαπούνι και νερό.</w:t>
            </w:r>
          </w:p>
        </w:tc>
      </w:tr>
      <w:tr w:rsidR="00171824" w:rsidRPr="00422380" w14:paraId="730F3FD6" w14:textId="77777777">
        <w:trPr>
          <w:cantSplit/>
          <w:trHeight w:val="57"/>
        </w:trPr>
        <w:tc>
          <w:tcPr>
            <w:tcW w:w="354" w:type="pct"/>
            <w:tcBorders>
              <w:top w:val="nil"/>
              <w:bottom w:val="nil"/>
              <w:right w:val="nil"/>
            </w:tcBorders>
            <w:tcMar>
              <w:top w:w="28" w:type="dxa"/>
              <w:left w:w="57" w:type="dxa"/>
              <w:bottom w:w="28" w:type="dxa"/>
              <w:right w:w="57" w:type="dxa"/>
            </w:tcMar>
          </w:tcPr>
          <w:p w14:paraId="70C3776E" w14:textId="77777777" w:rsidR="00171824" w:rsidRDefault="00171824">
            <w:pPr>
              <w:keepNext/>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15C9A017" w14:textId="77777777" w:rsidR="00171824" w:rsidRDefault="006D258C">
            <w:pPr>
              <w:keepNext/>
              <w:rPr>
                <w:sz w:val="22"/>
                <w:szCs w:val="22"/>
                <w:lang w:val="el-GR"/>
              </w:rPr>
            </w:pPr>
            <w:r>
              <w:rPr>
                <w:sz w:val="22"/>
                <w:szCs w:val="22"/>
                <w:lang w:val="el-GR"/>
              </w:rPr>
              <w:t>Καθαρίστε τη θέση της ένεσης με ένα μαντηλάκι οινοπνεύματος.</w:t>
            </w:r>
          </w:p>
        </w:tc>
      </w:tr>
      <w:tr w:rsidR="00171824" w:rsidRPr="00422380" w14:paraId="06C3B049" w14:textId="77777777">
        <w:trPr>
          <w:cantSplit/>
          <w:trHeight w:val="55"/>
        </w:trPr>
        <w:tc>
          <w:tcPr>
            <w:tcW w:w="354" w:type="pct"/>
            <w:tcBorders>
              <w:top w:val="nil"/>
              <w:bottom w:val="nil"/>
              <w:right w:val="nil"/>
            </w:tcBorders>
            <w:tcMar>
              <w:top w:w="28" w:type="dxa"/>
              <w:left w:w="57" w:type="dxa"/>
              <w:bottom w:w="28" w:type="dxa"/>
              <w:right w:w="57" w:type="dxa"/>
            </w:tcMar>
          </w:tcPr>
          <w:p w14:paraId="2B10D866"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404A8B02" w14:textId="77777777" w:rsidR="00171824" w:rsidRDefault="006D258C">
            <w:pPr>
              <w:tabs>
                <w:tab w:val="left" w:pos="1134"/>
              </w:tabs>
              <w:rPr>
                <w:sz w:val="22"/>
                <w:szCs w:val="22"/>
                <w:lang w:val="el-GR"/>
              </w:rPr>
            </w:pPr>
            <w:r>
              <w:rPr>
                <w:sz w:val="22"/>
                <w:szCs w:val="22"/>
                <w:lang w:val="el-GR"/>
              </w:rPr>
              <w:t xml:space="preserve">Αφήστε το δέρμα </w:t>
            </w:r>
            <w:del w:id="282" w:author="Author">
              <w:r>
                <w:rPr>
                  <w:sz w:val="22"/>
                  <w:szCs w:val="22"/>
                  <w:lang w:val="el-GR"/>
                </w:rPr>
                <w:delText xml:space="preserve">σας </w:delText>
              </w:r>
            </w:del>
            <w:r>
              <w:rPr>
                <w:sz w:val="22"/>
                <w:szCs w:val="22"/>
                <w:lang w:val="el-GR"/>
              </w:rPr>
              <w:t>να στεγνώσει.</w:t>
            </w:r>
          </w:p>
        </w:tc>
      </w:tr>
      <w:tr w:rsidR="00171824" w:rsidRPr="00422380" w14:paraId="6B7C8C6D" w14:textId="77777777">
        <w:trPr>
          <w:cantSplit/>
          <w:trHeight w:val="55"/>
        </w:trPr>
        <w:tc>
          <w:tcPr>
            <w:tcW w:w="354" w:type="pct"/>
            <w:tcBorders>
              <w:top w:val="nil"/>
              <w:bottom w:val="nil"/>
              <w:right w:val="nil"/>
            </w:tcBorders>
            <w:tcMar>
              <w:top w:w="28" w:type="dxa"/>
              <w:left w:w="57" w:type="dxa"/>
              <w:bottom w:w="28" w:type="dxa"/>
              <w:right w:w="57" w:type="dxa"/>
            </w:tcMar>
          </w:tcPr>
          <w:p w14:paraId="1C4E8ADB"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0C31BF17"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αγγίζετε αυτή την περιοχή ξανά πριν κάνετε την ένεση.</w:t>
            </w:r>
          </w:p>
        </w:tc>
      </w:tr>
      <w:tr w:rsidR="00171824" w:rsidRPr="00422380" w14:paraId="18C01804"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24241ED8" w14:textId="4C7571DC" w:rsidR="00171824" w:rsidRDefault="009039B7">
            <w:pPr>
              <w:tabs>
                <w:tab w:val="left" w:pos="1134"/>
              </w:tabs>
              <w:rPr>
                <w:b/>
                <w:bCs/>
                <w:sz w:val="22"/>
                <w:szCs w:val="22"/>
                <w:lang w:val="el-GR"/>
              </w:rPr>
            </w:pPr>
            <w:r>
              <w:rPr>
                <w:noProof/>
              </w:rPr>
              <mc:AlternateContent>
                <mc:Choice Requires="wps">
                  <w:drawing>
                    <wp:anchor distT="45720" distB="45720" distL="114300" distR="114300" simplePos="0" relativeHeight="251659264" behindDoc="0" locked="0" layoutInCell="1" allowOverlap="1" wp14:anchorId="3A3D7474" wp14:editId="524216E7">
                      <wp:simplePos x="0" y="0"/>
                      <wp:positionH relativeFrom="margin">
                        <wp:posOffset>-2540</wp:posOffset>
                      </wp:positionH>
                      <wp:positionV relativeFrom="paragraph">
                        <wp:posOffset>6350</wp:posOffset>
                      </wp:positionV>
                      <wp:extent cx="5605780" cy="431800"/>
                      <wp:effectExtent l="0" t="0" r="0" b="6350"/>
                      <wp:wrapSquare wrapText="bothSides"/>
                      <wp:docPr id="125169028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41059C8E"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Αποφεύγετε να κάνετε ενέσεις σε περιοχές με ουλές, ραγάδες ή όπου το δέρμα είναι ευαίσθητο, έχει μώλωπες, είναι ερυθρό ή σκληρό.</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A3D7474" id="Text Box 35" o:spid="_x0000_s1040" type="#_x0000_t202" style="position:absolute;margin-left:-.2pt;margin-top:.5pt;width:441.4pt;height:34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CckTx0CAIAABAEAAAOAAAA&#10;AAAAAAAAAAAAAC4CAABkcnMvZTJvRG9jLnhtbFBLAQItABQABgAIAAAAIQCQcOwl2gAAAAYBAAAP&#10;AAAAAAAAAAAAAAAAAGIEAABkcnMvZG93bnJldi54bWxQSwUGAAAAAAQABADzAAAAaQUAAAAA&#10;" strokecolor="red" strokeweight="1.5pt">
                      <v:textbox style="mso-fit-shape-to-text:t">
                        <w:txbxContent>
                          <w:p w14:paraId="41059C8E"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Αποφεύγετε να κάνετε ενέσεις σε περιοχές με ουλές, ραγάδες ή όπου το δέρμα είναι ευαίσθητο, έχει μώλωπες, είναι ερυθρό ή σκληρό.</w:t>
                            </w:r>
                          </w:p>
                        </w:txbxContent>
                      </v:textbox>
                      <w10:wrap type="square" anchorx="margin"/>
                    </v:shape>
                  </w:pict>
                </mc:Fallback>
              </mc:AlternateContent>
            </w:r>
          </w:p>
        </w:tc>
      </w:tr>
    </w:tbl>
    <w:p w14:paraId="1C66193D" w14:textId="77777777" w:rsidR="00171824" w:rsidRDefault="00171824">
      <w:pPr>
        <w:tabs>
          <w:tab w:val="left" w:pos="1134"/>
        </w:tabs>
        <w:rPr>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171824" w:rsidRPr="00422380" w14:paraId="4DF82B33" w14:textId="77777777">
        <w:trPr>
          <w:cantSplit/>
          <w:trHeight w:val="57"/>
        </w:trPr>
        <w:tc>
          <w:tcPr>
            <w:tcW w:w="355" w:type="pct"/>
            <w:tcMar>
              <w:top w:w="28" w:type="dxa"/>
              <w:left w:w="57" w:type="dxa"/>
              <w:bottom w:w="28" w:type="dxa"/>
              <w:right w:w="57" w:type="dxa"/>
            </w:tcMar>
          </w:tcPr>
          <w:p w14:paraId="13E2ED17" w14:textId="77777777" w:rsidR="00171824" w:rsidRDefault="006D258C">
            <w:pPr>
              <w:keepNext/>
              <w:rPr>
                <w:b/>
                <w:bCs/>
                <w:sz w:val="22"/>
                <w:szCs w:val="22"/>
                <w:lang w:val="el-GR"/>
              </w:rPr>
            </w:pPr>
            <w:r>
              <w:rPr>
                <w:b/>
                <w:sz w:val="22"/>
                <w:szCs w:val="22"/>
                <w:lang w:val="el-GR"/>
              </w:rPr>
              <w:t>4</w:t>
            </w:r>
          </w:p>
        </w:tc>
        <w:tc>
          <w:tcPr>
            <w:tcW w:w="4645" w:type="pct"/>
            <w:gridSpan w:val="2"/>
            <w:tcMar>
              <w:top w:w="28" w:type="dxa"/>
              <w:left w:w="57" w:type="dxa"/>
              <w:bottom w:w="28" w:type="dxa"/>
              <w:right w:w="57" w:type="dxa"/>
            </w:tcMar>
          </w:tcPr>
          <w:p w14:paraId="03AE3A1D" w14:textId="77777777" w:rsidR="00171824" w:rsidRDefault="006D258C">
            <w:pPr>
              <w:pStyle w:val="ListParagraph"/>
              <w:ind w:left="567" w:hanging="567"/>
              <w:rPr>
                <w:sz w:val="22"/>
                <w:szCs w:val="22"/>
                <w:lang w:val="el-GR"/>
              </w:rPr>
            </w:pPr>
            <w:r>
              <w:rPr>
                <w:b/>
                <w:sz w:val="22"/>
                <w:szCs w:val="22"/>
                <w:lang w:val="el-GR"/>
              </w:rPr>
              <w:t>Πώς να κάνετε την ένεση AMGEVITA</w:t>
            </w:r>
          </w:p>
        </w:tc>
      </w:tr>
      <w:tr w:rsidR="00171824" w:rsidRPr="00422380" w14:paraId="7F7220FC"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449E1400" w14:textId="1DD79515" w:rsidR="00171824" w:rsidRDefault="009039B7">
            <w:pPr>
              <w:pStyle w:val="ListParagraph"/>
              <w:ind w:left="567" w:hanging="567"/>
              <w:rPr>
                <w:sz w:val="22"/>
                <w:szCs w:val="22"/>
                <w:lang w:val="el-GR"/>
              </w:rPr>
            </w:pPr>
            <w:r>
              <w:rPr>
                <w:noProof/>
              </w:rPr>
              <mc:AlternateContent>
                <mc:Choice Requires="wps">
                  <w:drawing>
                    <wp:anchor distT="45720" distB="45720" distL="114300" distR="114300" simplePos="0" relativeHeight="251656192" behindDoc="0" locked="0" layoutInCell="1" allowOverlap="1" wp14:anchorId="1B38712A" wp14:editId="4E7FF49A">
                      <wp:simplePos x="0" y="0"/>
                      <wp:positionH relativeFrom="margin">
                        <wp:posOffset>6985</wp:posOffset>
                      </wp:positionH>
                      <wp:positionV relativeFrom="paragraph">
                        <wp:posOffset>1270</wp:posOffset>
                      </wp:positionV>
                      <wp:extent cx="5606415" cy="431800"/>
                      <wp:effectExtent l="0" t="0" r="0" b="6350"/>
                      <wp:wrapSquare wrapText="bothSides"/>
                      <wp:docPr id="124503445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1EE54A49"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Αφαιρέστε το κίτρινο κάλυμμα μόνο όταν μπορείτε να κάνετε την ένεση αμέσως (εντός 5</w:t>
                                  </w:r>
                                  <w:r>
                                    <w:rPr>
                                      <w:sz w:val="22"/>
                                      <w:szCs w:val="22"/>
                                    </w:rPr>
                                    <w:t> </w:t>
                                  </w:r>
                                  <w:r>
                                    <w:rPr>
                                      <w:sz w:val="22"/>
                                      <w:szCs w:val="22"/>
                                      <w:lang w:val="el-GR"/>
                                    </w:rPr>
                                    <w:t>λεπτών) επειδή το φάρμακο μπορεί να ξεραθεί.</w:t>
                                  </w:r>
                                  <w:ins w:id="283" w:author="Author">
                                    <w:r>
                                      <w:rPr>
                                        <w:sz w:val="22"/>
                                        <w:szCs w:val="22"/>
                                        <w:lang w:val="el-GR"/>
                                      </w:rPr>
                                      <w:t xml:space="preserve"> </w:t>
                                    </w:r>
                                    <w:bookmarkStart w:id="284" w:name="_Hlk211854970"/>
                                    <w:r>
                                      <w:rPr>
                                        <w:sz w:val="22"/>
                                        <w:szCs w:val="22"/>
                                        <w:lang w:val="el-GR"/>
                                      </w:rPr>
                                      <w:t>Μην τοποθετήσετε ξανά το κάλυμμα</w:t>
                                    </w:r>
                                    <w:bookmarkEnd w:id="284"/>
                                    <w:r>
                                      <w:rPr>
                                        <w:sz w:val="22"/>
                                        <w:szCs w:val="22"/>
                                        <w:lang w:val="el-GR"/>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B38712A" id="Text Box 34" o:spid="_x0000_s1041" type="#_x0000_t202" style="position:absolute;left:0;text-align:left;margin-left:.55pt;margin-top:.1pt;width:441.45pt;height:34pt;z-index:251656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ARXjnkCAIAABAEAAAOAAAA&#10;AAAAAAAAAAAAAC4CAABkcnMvZTJvRG9jLnhtbFBLAQItABQABgAIAAAAIQBmkiA22gAAAAUBAAAP&#10;AAAAAAAAAAAAAAAAAGIEAABkcnMvZG93bnJldi54bWxQSwUGAAAAAAQABADzAAAAaQUAAAAA&#10;" strokecolor="red" strokeweight="1.5pt">
                      <v:textbox style="mso-fit-shape-to-text:t">
                        <w:txbxContent>
                          <w:p w14:paraId="1EE54A49"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Αφαιρέστε το κίτρινο κάλυμμα μόνο όταν μπορείτε να κάνετε την ένεση αμέσως (εντός 5</w:t>
                            </w:r>
                            <w:r>
                              <w:rPr>
                                <w:sz w:val="22"/>
                                <w:szCs w:val="22"/>
                              </w:rPr>
                              <w:t> </w:t>
                            </w:r>
                            <w:r>
                              <w:rPr>
                                <w:sz w:val="22"/>
                                <w:szCs w:val="22"/>
                                <w:lang w:val="el-GR"/>
                              </w:rPr>
                              <w:t>λεπτών) επειδή το φάρμακο μπορεί να ξεραθεί.</w:t>
                            </w:r>
                            <w:ins w:id="1658" w:author="Author">
                              <w:r>
                                <w:rPr>
                                  <w:sz w:val="22"/>
                                  <w:szCs w:val="22"/>
                                  <w:lang w:val="el-GR"/>
                                </w:rPr>
                                <w:t xml:space="preserve"> </w:t>
                              </w:r>
                              <w:bookmarkStart w:id="1659" w:name="_Hlk211854970"/>
                              <w:r>
                                <w:rPr>
                                  <w:sz w:val="22"/>
                                  <w:szCs w:val="22"/>
                                  <w:lang w:val="el-GR"/>
                                </w:rPr>
                                <w:t>Μην τοποθετήσετε ξανά το κάλυμμα</w:t>
                              </w:r>
                              <w:bookmarkEnd w:id="1659"/>
                              <w:r>
                                <w:rPr>
                                  <w:sz w:val="22"/>
                                  <w:szCs w:val="22"/>
                                  <w:lang w:val="el-GR"/>
                                </w:rPr>
                                <w:t>.</w:t>
                              </w:r>
                            </w:ins>
                          </w:p>
                        </w:txbxContent>
                      </v:textbox>
                      <w10:wrap type="square" anchorx="margin"/>
                    </v:shape>
                  </w:pict>
                </mc:Fallback>
              </mc:AlternateContent>
            </w:r>
          </w:p>
        </w:tc>
      </w:tr>
      <w:tr w:rsidR="00171824" w:rsidRPr="00422380" w14:paraId="7B4381B8" w14:textId="77777777">
        <w:trPr>
          <w:cantSplit/>
          <w:trHeight w:val="57"/>
        </w:trPr>
        <w:tc>
          <w:tcPr>
            <w:tcW w:w="355" w:type="pct"/>
            <w:tcBorders>
              <w:bottom w:val="single" w:sz="4" w:space="0" w:color="auto"/>
            </w:tcBorders>
            <w:tcMar>
              <w:top w:w="28" w:type="dxa"/>
              <w:left w:w="57" w:type="dxa"/>
              <w:bottom w:w="28" w:type="dxa"/>
              <w:right w:w="57" w:type="dxa"/>
            </w:tcMar>
          </w:tcPr>
          <w:p w14:paraId="58684D58" w14:textId="77777777" w:rsidR="00171824" w:rsidRDefault="006D258C">
            <w:pPr>
              <w:keepNext/>
              <w:rPr>
                <w:b/>
                <w:bCs/>
                <w:sz w:val="22"/>
                <w:szCs w:val="22"/>
                <w:lang w:val="el-GR"/>
              </w:rPr>
            </w:pPr>
            <w:r>
              <w:rPr>
                <w:b/>
                <w:sz w:val="22"/>
                <w:szCs w:val="22"/>
                <w:lang w:val="el-GR"/>
              </w:rPr>
              <w:t>4α</w:t>
            </w:r>
          </w:p>
        </w:tc>
        <w:tc>
          <w:tcPr>
            <w:tcW w:w="4645" w:type="pct"/>
            <w:gridSpan w:val="2"/>
            <w:tcBorders>
              <w:bottom w:val="single" w:sz="4" w:space="0" w:color="auto"/>
            </w:tcBorders>
            <w:tcMar>
              <w:top w:w="28" w:type="dxa"/>
              <w:left w:w="57" w:type="dxa"/>
              <w:bottom w:w="28" w:type="dxa"/>
              <w:right w:w="57" w:type="dxa"/>
            </w:tcMar>
          </w:tcPr>
          <w:p w14:paraId="346C1517" w14:textId="77777777" w:rsidR="00171824" w:rsidRDefault="006D258C">
            <w:pPr>
              <w:pStyle w:val="ListParagraph"/>
              <w:rPr>
                <w:b/>
                <w:bCs/>
                <w:sz w:val="22"/>
                <w:szCs w:val="22"/>
                <w:lang w:val="el-GR"/>
              </w:rPr>
            </w:pPr>
            <w:r>
              <w:rPr>
                <w:b/>
                <w:sz w:val="22"/>
                <w:szCs w:val="22"/>
                <w:lang w:val="el-GR"/>
              </w:rPr>
              <w:t xml:space="preserve">Κρατήστε την προγεμισμένη συσκευή τύπου πένας με τέτοιον τρόπο ώστε να μπορείτε να βλέπετε το παράθυρο. Τραβήξτε το κίτρινο κάλυμμα ευθεία προς τα έξω. </w:t>
            </w:r>
          </w:p>
          <w:p w14:paraId="3171F151" w14:textId="77777777" w:rsidR="00171824" w:rsidRDefault="006D258C">
            <w:pPr>
              <w:pStyle w:val="ListParagraph"/>
              <w:rPr>
                <w:sz w:val="22"/>
                <w:szCs w:val="22"/>
                <w:lang w:val="el-GR"/>
              </w:rPr>
            </w:pPr>
            <w:r>
              <w:rPr>
                <w:b/>
                <w:sz w:val="22"/>
                <w:szCs w:val="22"/>
                <w:lang w:val="el-GR"/>
              </w:rPr>
              <w:t>Μπορεί να χρειαστεί να τραβήξετε δυνατά.</w:t>
            </w:r>
          </w:p>
        </w:tc>
      </w:tr>
      <w:tr w:rsidR="00171824" w14:paraId="672A7FC0"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67D4731E" w14:textId="77777777" w:rsidR="00171824" w:rsidRDefault="00171824">
            <w:pPr>
              <w:pStyle w:val="ListParagraph"/>
              <w:ind w:left="567" w:hanging="567"/>
              <w:jc w:val="center"/>
              <w:rPr>
                <w:b/>
                <w:bCs/>
                <w:sz w:val="22"/>
                <w:szCs w:val="22"/>
                <w:lang w:val="el-GR"/>
              </w:rPr>
            </w:pPr>
          </w:p>
          <w:p w14:paraId="5C5128BA" w14:textId="77777777" w:rsidR="00171824" w:rsidRDefault="00171824">
            <w:pPr>
              <w:pStyle w:val="ListParagraph"/>
              <w:ind w:left="567" w:hanging="567"/>
              <w:jc w:val="center"/>
              <w:rPr>
                <w:b/>
                <w:bCs/>
                <w:sz w:val="22"/>
                <w:szCs w:val="22"/>
                <w:lang w:val="el-GR"/>
              </w:rPr>
            </w:pPr>
          </w:p>
          <w:p w14:paraId="309457D0" w14:textId="77777777" w:rsidR="00171824" w:rsidRDefault="00171824">
            <w:pPr>
              <w:pStyle w:val="ListParagraph"/>
              <w:ind w:left="567" w:hanging="567"/>
              <w:jc w:val="center"/>
              <w:rPr>
                <w:b/>
                <w:bCs/>
                <w:sz w:val="22"/>
                <w:szCs w:val="22"/>
                <w:lang w:val="el-GR"/>
              </w:rPr>
            </w:pPr>
          </w:p>
          <w:p w14:paraId="45F9A426" w14:textId="77777777" w:rsidR="00171824" w:rsidRDefault="00171824">
            <w:pPr>
              <w:pStyle w:val="ListParagraph"/>
              <w:ind w:left="567" w:hanging="567"/>
              <w:jc w:val="center"/>
              <w:rPr>
                <w:b/>
                <w:bCs/>
                <w:sz w:val="22"/>
                <w:szCs w:val="22"/>
                <w:lang w:val="el-GR"/>
              </w:rPr>
            </w:pPr>
          </w:p>
          <w:p w14:paraId="151B1AA0" w14:textId="77777777" w:rsidR="00171824" w:rsidRDefault="006D258C">
            <w:pPr>
              <w:pStyle w:val="ListParagraph"/>
              <w:ind w:left="567" w:hanging="567"/>
              <w:jc w:val="center"/>
              <w:rPr>
                <w:sz w:val="22"/>
                <w:szCs w:val="22"/>
                <w:lang w:val="el-GR"/>
              </w:rPr>
            </w:pPr>
            <w:r>
              <w:rPr>
                <w:sz w:val="22"/>
                <w:szCs w:val="22"/>
                <w:lang w:val="el-GR"/>
              </w:rPr>
              <w:t>Το παράθυρο θα πρέπει να είναι ορατό.</w:t>
            </w:r>
          </w:p>
        </w:tc>
        <w:tc>
          <w:tcPr>
            <w:tcW w:w="3757" w:type="pct"/>
            <w:tcBorders>
              <w:left w:val="nil"/>
              <w:bottom w:val="single" w:sz="4" w:space="0" w:color="auto"/>
            </w:tcBorders>
          </w:tcPr>
          <w:p w14:paraId="4BD93747" w14:textId="5A237677" w:rsidR="00171824" w:rsidRDefault="009039B7">
            <w:pPr>
              <w:pStyle w:val="ListParagraph"/>
              <w:ind w:left="567" w:hanging="567"/>
              <w:jc w:val="center"/>
              <w:rPr>
                <w:b/>
                <w:bCs/>
                <w:sz w:val="22"/>
                <w:szCs w:val="22"/>
                <w:lang w:val="el-GR"/>
              </w:rPr>
            </w:pPr>
            <w:r>
              <w:rPr>
                <w:b/>
                <w:noProof/>
                <w:sz w:val="22"/>
                <w:szCs w:val="22"/>
                <w:lang w:val="el-GR"/>
              </w:rPr>
              <w:drawing>
                <wp:inline distT="0" distB="0" distL="0" distR="0" wp14:anchorId="1BC0022A" wp14:editId="08AFC4F4">
                  <wp:extent cx="3017520" cy="1731645"/>
                  <wp:effectExtent l="0" t="0" r="0" b="0"/>
                  <wp:docPr id="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17520" cy="1731645"/>
                          </a:xfrm>
                          <a:prstGeom prst="rect">
                            <a:avLst/>
                          </a:prstGeom>
                          <a:noFill/>
                          <a:ln>
                            <a:noFill/>
                          </a:ln>
                        </pic:spPr>
                      </pic:pic>
                    </a:graphicData>
                  </a:graphic>
                </wp:inline>
              </w:drawing>
            </w:r>
          </w:p>
        </w:tc>
      </w:tr>
      <w:tr w:rsidR="00171824" w:rsidRPr="00422380" w14:paraId="4717EA07" w14:textId="77777777">
        <w:trPr>
          <w:cantSplit/>
          <w:trHeight w:val="57"/>
        </w:trPr>
        <w:tc>
          <w:tcPr>
            <w:tcW w:w="355" w:type="pct"/>
            <w:tcBorders>
              <w:top w:val="nil"/>
              <w:bottom w:val="nil"/>
              <w:right w:val="nil"/>
            </w:tcBorders>
            <w:tcMar>
              <w:top w:w="28" w:type="dxa"/>
              <w:left w:w="57" w:type="dxa"/>
              <w:bottom w:w="28" w:type="dxa"/>
              <w:right w:w="57" w:type="dxa"/>
            </w:tcMar>
          </w:tcPr>
          <w:p w14:paraId="6473C43C"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483C29AF" w14:textId="77777777" w:rsidR="00171824" w:rsidRDefault="006D258C">
            <w:pPr>
              <w:tabs>
                <w:tab w:val="left" w:pos="1134"/>
              </w:tabs>
              <w:rPr>
                <w:b/>
                <w:bCs/>
                <w:sz w:val="22"/>
                <w:szCs w:val="22"/>
                <w:lang w:val="el-GR"/>
              </w:rPr>
            </w:pPr>
            <w:r>
              <w:rPr>
                <w:b/>
                <w:bCs/>
                <w:sz w:val="22"/>
                <w:szCs w:val="22"/>
                <w:lang w:val="el-GR"/>
              </w:rPr>
              <w:t>Μην</w:t>
            </w:r>
            <w:r>
              <w:rPr>
                <w:sz w:val="22"/>
                <w:szCs w:val="22"/>
                <w:lang w:val="el-GR"/>
              </w:rPr>
              <w:t xml:space="preserve"> περιστρέφετε, λυγίζετε ή κουνάτε το κίτρινο κάλυμμα για να το τραβήξετε.</w:t>
            </w:r>
          </w:p>
        </w:tc>
      </w:tr>
      <w:tr w:rsidR="00171824" w14:paraId="31D9BED1" w14:textId="77777777">
        <w:trPr>
          <w:cantSplit/>
          <w:trHeight w:val="57"/>
        </w:trPr>
        <w:tc>
          <w:tcPr>
            <w:tcW w:w="355" w:type="pct"/>
            <w:tcBorders>
              <w:top w:val="nil"/>
              <w:bottom w:val="nil"/>
              <w:right w:val="nil"/>
            </w:tcBorders>
            <w:tcMar>
              <w:top w:w="28" w:type="dxa"/>
              <w:left w:w="57" w:type="dxa"/>
              <w:bottom w:w="28" w:type="dxa"/>
              <w:right w:w="57" w:type="dxa"/>
            </w:tcMar>
          </w:tcPr>
          <w:p w14:paraId="7B79E502"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0E536F19" w14:textId="77777777" w:rsidR="00171824" w:rsidRDefault="006D258C">
            <w:pPr>
              <w:tabs>
                <w:tab w:val="left" w:pos="1134"/>
              </w:tabs>
              <w:rPr>
                <w:sz w:val="22"/>
                <w:szCs w:val="22"/>
                <w:lang w:val="el-GR"/>
              </w:rPr>
            </w:pPr>
            <w:r>
              <w:rPr>
                <w:sz w:val="22"/>
                <w:szCs w:val="22"/>
                <w:lang w:val="el-GR"/>
              </w:rPr>
              <w:t xml:space="preserve">Μην τοποθετείτε </w:t>
            </w:r>
            <w:r>
              <w:rPr>
                <w:b/>
                <w:bCs/>
                <w:sz w:val="22"/>
                <w:szCs w:val="22"/>
                <w:lang w:val="el-GR"/>
              </w:rPr>
              <w:t>ποτέ</w:t>
            </w:r>
            <w:r>
              <w:rPr>
                <w:sz w:val="22"/>
                <w:szCs w:val="22"/>
                <w:lang w:val="el-GR"/>
              </w:rPr>
              <w:t xml:space="preserve"> το κάλυμμα της βελόνας και πάλι στη σύριγγα. Αυτό μπορεί να καταστρέψει τη βελόνα.</w:t>
            </w:r>
          </w:p>
        </w:tc>
      </w:tr>
      <w:tr w:rsidR="00171824" w:rsidRPr="00422380" w14:paraId="51CE9D25" w14:textId="77777777">
        <w:trPr>
          <w:cantSplit/>
          <w:trHeight w:val="57"/>
        </w:trPr>
        <w:tc>
          <w:tcPr>
            <w:tcW w:w="355" w:type="pct"/>
            <w:tcBorders>
              <w:top w:val="nil"/>
              <w:bottom w:val="nil"/>
              <w:right w:val="nil"/>
            </w:tcBorders>
            <w:tcMar>
              <w:top w:w="28" w:type="dxa"/>
              <w:left w:w="57" w:type="dxa"/>
              <w:bottom w:w="28" w:type="dxa"/>
              <w:right w:w="57" w:type="dxa"/>
            </w:tcMar>
          </w:tcPr>
          <w:p w14:paraId="097A1C44"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2C9B02FE" w14:textId="77777777" w:rsidR="00171824" w:rsidRDefault="006D258C">
            <w:pPr>
              <w:keepNext/>
              <w:keepLines/>
              <w:contextualSpacing/>
              <w:rPr>
                <w:b/>
                <w:bCs/>
                <w:sz w:val="22"/>
                <w:szCs w:val="22"/>
                <w:lang w:val="el-GR"/>
              </w:rPr>
            </w:pPr>
            <w:r>
              <w:rPr>
                <w:b/>
                <w:bCs/>
                <w:color w:val="000000"/>
                <w:sz w:val="22"/>
                <w:szCs w:val="22"/>
                <w:lang w:val="el-GR"/>
              </w:rPr>
              <w:t>Μη</w:t>
            </w:r>
            <w:r>
              <w:rPr>
                <w:color w:val="000000"/>
                <w:sz w:val="22"/>
                <w:szCs w:val="22"/>
                <w:lang w:val="el-GR"/>
              </w:rPr>
              <w:t xml:space="preserve"> βάζετε το δάκτυλό σας μέσα στο κρεμ προστατευτικό κάλυμμα ασφαλείας.</w:t>
            </w:r>
          </w:p>
        </w:tc>
      </w:tr>
      <w:tr w:rsidR="00171824" w:rsidRPr="00422380" w14:paraId="4C9AF54F"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7E6F6A3B"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single" w:sz="4" w:space="0" w:color="auto"/>
            </w:tcBorders>
            <w:tcMar>
              <w:left w:w="0" w:type="dxa"/>
            </w:tcMar>
          </w:tcPr>
          <w:p w14:paraId="134B58D1" w14:textId="77777777" w:rsidR="00171824" w:rsidRDefault="006D258C">
            <w:pPr>
              <w:keepNext/>
              <w:keepLines/>
              <w:contextualSpacing/>
              <w:rPr>
                <w:b/>
                <w:bCs/>
                <w:color w:val="000000"/>
                <w:sz w:val="22"/>
                <w:szCs w:val="22"/>
                <w:lang w:val="el-GR"/>
              </w:rPr>
            </w:pPr>
            <w:r>
              <w:rPr>
                <w:color w:val="000000"/>
                <w:sz w:val="22"/>
                <w:szCs w:val="22"/>
                <w:lang w:val="el-GR"/>
              </w:rPr>
              <w:t>Είναι φυσιολογικό να δείτε μια σταγόνα φαρμάκου στο άκρο της βελόνας ή στο κρεμ προστατευτικό κάλυμμα ασφαλείας.</w:t>
            </w:r>
          </w:p>
        </w:tc>
      </w:tr>
    </w:tbl>
    <w:p w14:paraId="6FC1B80E" w14:textId="77777777" w:rsidR="00171824" w:rsidRDefault="00171824">
      <w:pPr>
        <w:tabs>
          <w:tab w:val="left" w:pos="1134"/>
        </w:tabs>
        <w:rPr>
          <w:lang w:val="el-GR"/>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2377"/>
        <w:gridCol w:w="5873"/>
      </w:tblGrid>
      <w:tr w:rsidR="00171824" w:rsidRPr="00422380" w14:paraId="4359A4E2" w14:textId="77777777">
        <w:trPr>
          <w:cantSplit/>
          <w:trHeight w:val="57"/>
        </w:trPr>
        <w:tc>
          <w:tcPr>
            <w:tcW w:w="338" w:type="pct"/>
            <w:tcBorders>
              <w:bottom w:val="single" w:sz="4" w:space="0" w:color="auto"/>
            </w:tcBorders>
            <w:tcMar>
              <w:top w:w="28" w:type="dxa"/>
              <w:left w:w="57" w:type="dxa"/>
              <w:bottom w:w="28" w:type="dxa"/>
              <w:right w:w="57" w:type="dxa"/>
            </w:tcMar>
          </w:tcPr>
          <w:p w14:paraId="75BEE18D" w14:textId="77777777" w:rsidR="00171824" w:rsidRDefault="006D258C">
            <w:pPr>
              <w:keepNext/>
              <w:rPr>
                <w:b/>
                <w:bCs/>
                <w:sz w:val="22"/>
                <w:szCs w:val="22"/>
                <w:lang w:val="el-GR"/>
              </w:rPr>
            </w:pPr>
            <w:r>
              <w:rPr>
                <w:b/>
                <w:sz w:val="22"/>
                <w:szCs w:val="22"/>
                <w:lang w:val="el-GR"/>
              </w:rPr>
              <w:lastRenderedPageBreak/>
              <w:t>4β</w:t>
            </w:r>
          </w:p>
        </w:tc>
        <w:tc>
          <w:tcPr>
            <w:tcW w:w="4662" w:type="pct"/>
            <w:gridSpan w:val="3"/>
            <w:tcBorders>
              <w:bottom w:val="single" w:sz="4" w:space="0" w:color="auto"/>
            </w:tcBorders>
            <w:tcMar>
              <w:top w:w="28" w:type="dxa"/>
              <w:left w:w="57" w:type="dxa"/>
              <w:bottom w:w="28" w:type="dxa"/>
              <w:right w:w="57" w:type="dxa"/>
            </w:tcMar>
          </w:tcPr>
          <w:p w14:paraId="36DFD0CA" w14:textId="77777777" w:rsidR="00171824" w:rsidRDefault="006D258C">
            <w:pPr>
              <w:pStyle w:val="ListParagraph"/>
              <w:keepNext/>
              <w:rPr>
                <w:sz w:val="22"/>
                <w:szCs w:val="22"/>
                <w:lang w:val="el-GR"/>
              </w:rPr>
            </w:pPr>
            <w:r>
              <w:rPr>
                <w:b/>
                <w:sz w:val="22"/>
                <w:szCs w:val="22"/>
                <w:lang w:val="el-GR"/>
              </w:rPr>
              <w:t xml:space="preserve">Τσιμπήστε το δέρμα για να δημιουργήσετε μια σταθερή επιφάνεια στη θέση ένεσης. Τοποθετήστε το κρεμ προστατευτικό κάλυμμα ασφαλείας πάνω στο </w:t>
            </w:r>
            <w:ins w:id="285" w:author="Author">
              <w:r>
                <w:rPr>
                  <w:b/>
                  <w:sz w:val="22"/>
                  <w:szCs w:val="22"/>
                  <w:lang w:val="el-GR"/>
                </w:rPr>
                <w:t xml:space="preserve">τσιμπημένο </w:t>
              </w:r>
            </w:ins>
            <w:r>
              <w:rPr>
                <w:b/>
                <w:sz w:val="22"/>
                <w:szCs w:val="22"/>
                <w:lang w:val="el-GR"/>
              </w:rPr>
              <w:t xml:space="preserve">δέρμα.  </w:t>
            </w:r>
          </w:p>
        </w:tc>
      </w:tr>
      <w:tr w:rsidR="00171824" w:rsidRPr="00422380" w14:paraId="542E20B7" w14:textId="77777777">
        <w:trPr>
          <w:cantSplit/>
          <w:trHeight w:val="57"/>
          <w:del w:id="286" w:author="Author"/>
        </w:trPr>
        <w:tc>
          <w:tcPr>
            <w:tcW w:w="5000" w:type="pct"/>
            <w:gridSpan w:val="4"/>
            <w:tcBorders>
              <w:bottom w:val="single" w:sz="4" w:space="0" w:color="auto"/>
            </w:tcBorders>
            <w:tcMar>
              <w:top w:w="28" w:type="dxa"/>
              <w:left w:w="57" w:type="dxa"/>
              <w:bottom w:w="28" w:type="dxa"/>
              <w:right w:w="57" w:type="dxa"/>
            </w:tcMar>
          </w:tcPr>
          <w:p w14:paraId="61174139" w14:textId="77777777" w:rsidR="00171824" w:rsidRDefault="006D258C">
            <w:pPr>
              <w:keepNext/>
              <w:tabs>
                <w:tab w:val="left" w:pos="1134"/>
              </w:tabs>
              <w:jc w:val="center"/>
              <w:rPr>
                <w:del w:id="287" w:author="Author"/>
                <w:sz w:val="22"/>
                <w:szCs w:val="22"/>
                <w:lang w:val="el-GR"/>
              </w:rPr>
            </w:pPr>
            <w:del w:id="288" w:author="Author">
              <w:r>
                <w:rPr>
                  <w:b/>
                  <w:sz w:val="22"/>
                  <w:szCs w:val="22"/>
                  <w:lang w:val="el-GR"/>
                </w:rPr>
                <w:delText>ΤΣΙΜΠΗΣΤΕ</w:delText>
              </w:r>
            </w:del>
          </w:p>
        </w:tc>
      </w:tr>
      <w:tr w:rsidR="0029090B" w14:paraId="44E9495E" w14:textId="2E39ACC4" w:rsidTr="0029090B">
        <w:trPr>
          <w:cantSplit/>
          <w:trHeight w:val="57"/>
        </w:trPr>
        <w:tc>
          <w:tcPr>
            <w:tcW w:w="1714" w:type="pct"/>
            <w:gridSpan w:val="3"/>
            <w:tcBorders>
              <w:bottom w:val="single" w:sz="4" w:space="0" w:color="auto"/>
              <w:right w:val="nil"/>
            </w:tcBorders>
            <w:tcMar>
              <w:top w:w="28" w:type="dxa"/>
              <w:left w:w="57" w:type="dxa"/>
              <w:bottom w:w="28" w:type="dxa"/>
              <w:right w:w="57" w:type="dxa"/>
            </w:tcMar>
          </w:tcPr>
          <w:p w14:paraId="2BA7ECB7" w14:textId="77777777" w:rsidR="0029090B" w:rsidRPr="00422380" w:rsidRDefault="0029090B" w:rsidP="0029090B">
            <w:pPr>
              <w:keepNext/>
              <w:tabs>
                <w:tab w:val="left" w:pos="1134"/>
              </w:tabs>
              <w:jc w:val="right"/>
              <w:rPr>
                <w:lang w:val="el-GR"/>
              </w:rPr>
            </w:pPr>
          </w:p>
          <w:p w14:paraId="310C23F8" w14:textId="77777777" w:rsidR="0029090B" w:rsidRPr="00422380" w:rsidRDefault="0029090B" w:rsidP="0029090B">
            <w:pPr>
              <w:keepNext/>
              <w:tabs>
                <w:tab w:val="left" w:pos="1134"/>
              </w:tabs>
              <w:jc w:val="right"/>
              <w:rPr>
                <w:lang w:val="el-GR"/>
              </w:rPr>
            </w:pPr>
          </w:p>
          <w:p w14:paraId="6B65AC25" w14:textId="77777777" w:rsidR="0029090B" w:rsidRPr="00422380" w:rsidRDefault="0029090B" w:rsidP="0029090B">
            <w:pPr>
              <w:keepNext/>
              <w:pBdr>
                <w:right w:val="single" w:sz="4" w:space="4" w:color="auto"/>
              </w:pBdr>
              <w:tabs>
                <w:tab w:val="left" w:pos="1134"/>
              </w:tabs>
              <w:jc w:val="right"/>
              <w:rPr>
                <w:lang w:val="el-GR"/>
              </w:rPr>
            </w:pPr>
          </w:p>
          <w:p w14:paraId="1FA981E7" w14:textId="42344C73" w:rsidR="0029090B" w:rsidRDefault="0029090B" w:rsidP="0029090B">
            <w:pPr>
              <w:keepNext/>
              <w:pBdr>
                <w:right w:val="single" w:sz="4" w:space="4" w:color="auto"/>
              </w:pBdr>
              <w:tabs>
                <w:tab w:val="left" w:pos="1134"/>
              </w:tabs>
              <w:jc w:val="right"/>
              <w:rPr>
                <w:b/>
                <w:bCs/>
                <w:sz w:val="22"/>
                <w:szCs w:val="22"/>
                <w:lang w:val="el-GR"/>
              </w:rPr>
            </w:pPr>
            <w:ins w:id="289" w:author="Author">
              <w:r>
                <w:rPr>
                  <w:lang w:val="el-GR"/>
                </w:rPr>
                <w:t>ΤΣΙΜΠΗΣΤΕ το δέρμα στο σημείο της ένεσης</w:t>
              </w:r>
            </w:ins>
          </w:p>
        </w:tc>
        <w:tc>
          <w:tcPr>
            <w:tcW w:w="3286" w:type="pct"/>
            <w:tcBorders>
              <w:left w:val="nil"/>
              <w:bottom w:val="single" w:sz="4" w:space="0" w:color="auto"/>
            </w:tcBorders>
          </w:tcPr>
          <w:p w14:paraId="75A5A5AE" w14:textId="227E7099" w:rsidR="0029090B" w:rsidRDefault="009039B7" w:rsidP="0029090B">
            <w:pPr>
              <w:keepNext/>
              <w:tabs>
                <w:tab w:val="left" w:pos="1134"/>
              </w:tabs>
              <w:rPr>
                <w:b/>
                <w:bCs/>
                <w:sz w:val="22"/>
                <w:szCs w:val="22"/>
                <w:lang w:val="el-GR"/>
              </w:rPr>
            </w:pPr>
            <w:ins w:id="290" w:author="Author">
              <w:r>
                <w:rPr>
                  <w:b/>
                  <w:noProof/>
                </w:rPr>
                <w:drawing>
                  <wp:inline distT="0" distB="0" distL="0" distR="0" wp14:anchorId="2C5D9ED5" wp14:editId="16B7C147">
                    <wp:extent cx="3023235" cy="1828800"/>
                    <wp:effectExtent l="0" t="0" r="0" b="0"/>
                    <wp:docPr id="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23235" cy="1828800"/>
                            </a:xfrm>
                            <a:prstGeom prst="rect">
                              <a:avLst/>
                            </a:prstGeom>
                            <a:noFill/>
                            <a:ln>
                              <a:noFill/>
                            </a:ln>
                          </pic:spPr>
                        </pic:pic>
                      </a:graphicData>
                    </a:graphic>
                  </wp:inline>
                </w:drawing>
              </w:r>
            </w:ins>
            <w:del w:id="291" w:author="Author">
              <w:r>
                <w:rPr>
                  <w:b/>
                  <w:noProof/>
                  <w:sz w:val="22"/>
                  <w:szCs w:val="22"/>
                  <w:lang w:val="el-GR" w:eastAsia="zh-CN"/>
                </w:rPr>
                <w:drawing>
                  <wp:inline distT="0" distB="0" distL="0" distR="0" wp14:anchorId="74A17A89" wp14:editId="50D8FBF9">
                    <wp:extent cx="3200400" cy="1925955"/>
                    <wp:effectExtent l="0" t="0" r="0" b="0"/>
                    <wp:docPr id="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del>
          </w:p>
        </w:tc>
      </w:tr>
      <w:tr w:rsidR="00171824" w:rsidRPr="00422380" w14:paraId="7789D491" w14:textId="77777777">
        <w:trPr>
          <w:cantSplit/>
          <w:trHeight w:val="57"/>
        </w:trPr>
        <w:tc>
          <w:tcPr>
            <w:tcW w:w="338" w:type="pct"/>
            <w:tcBorders>
              <w:top w:val="nil"/>
              <w:bottom w:val="nil"/>
              <w:right w:val="nil"/>
            </w:tcBorders>
            <w:tcMar>
              <w:top w:w="28" w:type="dxa"/>
              <w:left w:w="57" w:type="dxa"/>
              <w:bottom w:w="28" w:type="dxa"/>
              <w:right w:w="57" w:type="dxa"/>
            </w:tcMar>
          </w:tcPr>
          <w:p w14:paraId="44B07BCE" w14:textId="77777777" w:rsidR="00171824" w:rsidRDefault="00171824">
            <w:pPr>
              <w:widowControl/>
              <w:numPr>
                <w:ilvl w:val="0"/>
                <w:numId w:val="36"/>
              </w:numPr>
              <w:autoSpaceDE/>
              <w:autoSpaceDN/>
              <w:adjustRightInd/>
              <w:ind w:left="567" w:hanging="567"/>
              <w:rPr>
                <w:sz w:val="22"/>
                <w:szCs w:val="22"/>
                <w:lang w:val="el-GR"/>
              </w:rPr>
            </w:pPr>
          </w:p>
        </w:tc>
        <w:tc>
          <w:tcPr>
            <w:tcW w:w="4662" w:type="pct"/>
            <w:gridSpan w:val="3"/>
            <w:tcBorders>
              <w:top w:val="nil"/>
              <w:left w:val="nil"/>
              <w:bottom w:val="nil"/>
            </w:tcBorders>
            <w:tcMar>
              <w:left w:w="0" w:type="dxa"/>
            </w:tcMar>
          </w:tcPr>
          <w:p w14:paraId="418A73D0" w14:textId="77777777" w:rsidR="00171824" w:rsidRDefault="006D258C">
            <w:pPr>
              <w:tabs>
                <w:tab w:val="left" w:pos="1134"/>
              </w:tabs>
              <w:rPr>
                <w:sz w:val="22"/>
                <w:szCs w:val="22"/>
                <w:lang w:val="el-GR"/>
              </w:rPr>
            </w:pPr>
            <w:r>
              <w:rPr>
                <w:sz w:val="22"/>
                <w:szCs w:val="22"/>
                <w:lang w:val="el-GR"/>
              </w:rPr>
              <w:t xml:space="preserve">Κρατήστε το δέρμα </w:t>
            </w:r>
            <w:r>
              <w:rPr>
                <w:b/>
                <w:bCs/>
                <w:sz w:val="22"/>
                <w:szCs w:val="22"/>
                <w:lang w:val="el-GR"/>
              </w:rPr>
              <w:t>τσιμπημένο</w:t>
            </w:r>
            <w:r>
              <w:rPr>
                <w:sz w:val="22"/>
                <w:szCs w:val="22"/>
                <w:lang w:val="el-GR"/>
              </w:rPr>
              <w:t xml:space="preserve"> μέχρι να τελειώσει η ένεση.</w:t>
            </w:r>
          </w:p>
        </w:tc>
      </w:tr>
      <w:tr w:rsidR="00171824" w:rsidRPr="00422380" w14:paraId="07F4B7AA"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7DACAEFD" w14:textId="77777777" w:rsidR="00171824" w:rsidRDefault="00171824">
            <w:pPr>
              <w:widowControl/>
              <w:numPr>
                <w:ilvl w:val="0"/>
                <w:numId w:val="36"/>
              </w:numPr>
              <w:autoSpaceDE/>
              <w:autoSpaceDN/>
              <w:adjustRightInd/>
              <w:ind w:left="567" w:hanging="567"/>
              <w:rPr>
                <w:sz w:val="22"/>
                <w:szCs w:val="22"/>
                <w:lang w:val="el-GR"/>
              </w:rPr>
            </w:pPr>
          </w:p>
        </w:tc>
        <w:tc>
          <w:tcPr>
            <w:tcW w:w="4662" w:type="pct"/>
            <w:gridSpan w:val="3"/>
            <w:tcBorders>
              <w:top w:val="nil"/>
              <w:left w:val="nil"/>
              <w:bottom w:val="single" w:sz="4" w:space="0" w:color="auto"/>
            </w:tcBorders>
            <w:tcMar>
              <w:left w:w="0" w:type="dxa"/>
            </w:tcMar>
          </w:tcPr>
          <w:p w14:paraId="64C22AE6" w14:textId="77777777" w:rsidR="00171824" w:rsidRDefault="006D258C">
            <w:pPr>
              <w:tabs>
                <w:tab w:val="left" w:pos="1134"/>
              </w:tabs>
              <w:rPr>
                <w:sz w:val="22"/>
                <w:szCs w:val="22"/>
                <w:lang w:val="el-GR"/>
              </w:rPr>
            </w:pPr>
            <w:r>
              <w:rPr>
                <w:sz w:val="22"/>
                <w:szCs w:val="22"/>
                <w:lang w:val="el-GR"/>
              </w:rPr>
              <w:t>Βεβαιωθείτε ότι το παράθυρο είναι ορατό.</w:t>
            </w:r>
          </w:p>
        </w:tc>
      </w:tr>
      <w:tr w:rsidR="00171824" w:rsidRPr="00422380" w14:paraId="05A1A6B7"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52369CC5" w14:textId="77777777" w:rsidR="00171824" w:rsidRDefault="00171824">
            <w:pPr>
              <w:widowControl/>
              <w:numPr>
                <w:ilvl w:val="0"/>
                <w:numId w:val="36"/>
              </w:numPr>
              <w:autoSpaceDE/>
              <w:autoSpaceDN/>
              <w:adjustRightInd/>
              <w:ind w:left="567" w:hanging="567"/>
              <w:rPr>
                <w:sz w:val="22"/>
                <w:szCs w:val="22"/>
                <w:lang w:val="el-GR"/>
              </w:rPr>
            </w:pPr>
          </w:p>
        </w:tc>
        <w:tc>
          <w:tcPr>
            <w:tcW w:w="4662" w:type="pct"/>
            <w:gridSpan w:val="3"/>
            <w:tcBorders>
              <w:top w:val="nil"/>
              <w:left w:val="nil"/>
              <w:bottom w:val="single" w:sz="4" w:space="0" w:color="auto"/>
            </w:tcBorders>
            <w:tcMar>
              <w:left w:w="0" w:type="dxa"/>
            </w:tcMar>
          </w:tcPr>
          <w:p w14:paraId="14290B42" w14:textId="77777777" w:rsidR="00171824" w:rsidRDefault="006D258C">
            <w:pPr>
              <w:tabs>
                <w:tab w:val="left" w:pos="1134"/>
              </w:tabs>
              <w:rPr>
                <w:sz w:val="22"/>
                <w:szCs w:val="22"/>
                <w:lang w:val="el-GR"/>
              </w:rPr>
            </w:pPr>
            <w:r>
              <w:rPr>
                <w:sz w:val="22"/>
                <w:szCs w:val="22"/>
                <w:lang w:val="el-GR"/>
              </w:rPr>
              <w:t xml:space="preserve">Βεβαιωθείτε ότι η </w:t>
            </w:r>
            <w:ins w:id="292" w:author="Author">
              <w:r>
                <w:rPr>
                  <w:sz w:val="22"/>
                  <w:szCs w:val="22"/>
                  <w:lang w:val="el-GR"/>
                </w:rPr>
                <w:t xml:space="preserve">προγεμισμένη </w:t>
              </w:r>
            </w:ins>
            <w:r>
              <w:rPr>
                <w:sz w:val="22"/>
                <w:szCs w:val="22"/>
                <w:lang w:val="el-GR"/>
              </w:rPr>
              <w:t>συσκευή</w:t>
            </w:r>
            <w:ins w:id="293" w:author="Author">
              <w:r>
                <w:rPr>
                  <w:sz w:val="22"/>
                  <w:szCs w:val="22"/>
                  <w:lang w:val="el-GR"/>
                </w:rPr>
                <w:t xml:space="preserve"> τύπου πένας</w:t>
              </w:r>
            </w:ins>
            <w:del w:id="294" w:author="Author">
              <w:r>
                <w:rPr>
                  <w:sz w:val="22"/>
                  <w:szCs w:val="22"/>
                  <w:lang w:val="el-GR"/>
                </w:rPr>
                <w:delText xml:space="preserve"> αυτοχορήγησης ένεσης</w:delText>
              </w:r>
            </w:del>
            <w:r>
              <w:rPr>
                <w:sz w:val="22"/>
                <w:szCs w:val="22"/>
                <w:lang w:val="el-GR"/>
              </w:rPr>
              <w:t xml:space="preserve"> είναι τοποθετημένη κατακόρυφα στη θέση ένεσης (σε γωνία 90 μοιρών).</w:t>
            </w:r>
          </w:p>
        </w:tc>
      </w:tr>
      <w:tr w:rsidR="00171824" w:rsidRPr="00422380" w14:paraId="439F5E79"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258575C0" w14:textId="77777777" w:rsidR="00171824" w:rsidRDefault="00171824">
            <w:pPr>
              <w:keepNext/>
              <w:tabs>
                <w:tab w:val="left" w:pos="1134"/>
              </w:tabs>
              <w:jc w:val="center"/>
              <w:rPr>
                <w:b/>
                <w:bCs/>
                <w:sz w:val="22"/>
                <w:szCs w:val="22"/>
                <w:lang w:val="el-GR"/>
              </w:rPr>
            </w:pPr>
          </w:p>
          <w:p w14:paraId="0C03143B" w14:textId="77777777" w:rsidR="00171824" w:rsidRDefault="006D258C">
            <w:pPr>
              <w:keepNext/>
              <w:tabs>
                <w:tab w:val="left" w:pos="1134"/>
              </w:tabs>
              <w:jc w:val="center"/>
              <w:rPr>
                <w:b/>
                <w:bCs/>
                <w:sz w:val="22"/>
                <w:szCs w:val="22"/>
                <w:lang w:val="el-GR"/>
              </w:rPr>
            </w:pPr>
            <w:r>
              <w:rPr>
                <w:b/>
                <w:sz w:val="22"/>
                <w:szCs w:val="22"/>
                <w:lang w:val="el-GR"/>
              </w:rPr>
              <w:t>ΣΠΡΩΞΤΕ</w:t>
            </w:r>
          </w:p>
          <w:p w14:paraId="6D2BC7DD" w14:textId="77777777" w:rsidR="00171824" w:rsidRDefault="006D258C">
            <w:pPr>
              <w:keepNext/>
              <w:tabs>
                <w:tab w:val="left" w:pos="1134"/>
              </w:tabs>
              <w:jc w:val="center"/>
              <w:rPr>
                <w:sz w:val="22"/>
                <w:szCs w:val="22"/>
                <w:lang w:val="el-GR"/>
              </w:rPr>
            </w:pPr>
            <w:r>
              <w:rPr>
                <w:b/>
                <w:sz w:val="22"/>
                <w:szCs w:val="22"/>
                <w:lang w:val="el-GR"/>
              </w:rPr>
              <w:t>και κρατήστε πάνω στο δέρμα</w:t>
            </w:r>
          </w:p>
        </w:tc>
      </w:tr>
      <w:tr w:rsidR="00171824" w14:paraId="71B3DB17"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53F82518" w14:textId="02D84AD5" w:rsidR="00171824" w:rsidRDefault="009039B7">
            <w:pPr>
              <w:keepNext/>
              <w:tabs>
                <w:tab w:val="left" w:pos="1134"/>
              </w:tabs>
              <w:jc w:val="center"/>
              <w:rPr>
                <w:sz w:val="22"/>
                <w:szCs w:val="22"/>
                <w:lang w:val="el-GR"/>
              </w:rPr>
            </w:pPr>
            <w:r>
              <w:rPr>
                <w:noProof/>
                <w:sz w:val="22"/>
                <w:szCs w:val="22"/>
                <w:lang w:val="el-GR" w:eastAsia="zh-CN"/>
              </w:rPr>
              <w:drawing>
                <wp:inline distT="0" distB="0" distL="0" distR="0" wp14:anchorId="50896263" wp14:editId="6FD96A84">
                  <wp:extent cx="3200400" cy="1925955"/>
                  <wp:effectExtent l="0" t="0" r="0" b="0"/>
                  <wp:docPr id="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p>
        </w:tc>
      </w:tr>
      <w:tr w:rsidR="00171824" w:rsidRPr="00422380" w14:paraId="66A8DE59"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1BE8E53D" w14:textId="77777777" w:rsidR="00171824" w:rsidRDefault="006D258C">
            <w:pPr>
              <w:tabs>
                <w:tab w:val="left" w:pos="1134"/>
              </w:tabs>
              <w:rPr>
                <w:b/>
                <w:bCs/>
                <w:sz w:val="22"/>
                <w:szCs w:val="22"/>
                <w:lang w:val="el-GR"/>
              </w:rPr>
            </w:pPr>
            <w:r>
              <w:rPr>
                <w:b/>
                <w:sz w:val="22"/>
                <w:szCs w:val="22"/>
                <w:lang w:val="el-GR"/>
              </w:rPr>
              <w:t>4γ</w:t>
            </w:r>
          </w:p>
        </w:tc>
        <w:tc>
          <w:tcPr>
            <w:tcW w:w="4616" w:type="pct"/>
            <w:gridSpan w:val="2"/>
            <w:tcBorders>
              <w:top w:val="single" w:sz="4" w:space="0" w:color="auto"/>
              <w:bottom w:val="single" w:sz="4" w:space="0" w:color="auto"/>
            </w:tcBorders>
            <w:vAlign w:val="center"/>
          </w:tcPr>
          <w:p w14:paraId="50AF0D95" w14:textId="77777777" w:rsidR="00171824" w:rsidRDefault="006D258C">
            <w:pPr>
              <w:tabs>
                <w:tab w:val="left" w:pos="1134"/>
              </w:tabs>
              <w:rPr>
                <w:sz w:val="22"/>
                <w:szCs w:val="22"/>
                <w:lang w:val="el-GR"/>
              </w:rPr>
            </w:pPr>
            <w:r>
              <w:rPr>
                <w:b/>
                <w:sz w:val="22"/>
                <w:szCs w:val="22"/>
                <w:lang w:val="el-GR"/>
              </w:rPr>
              <w:t xml:space="preserve">Σπρώξτε </w:t>
            </w:r>
            <w:ins w:id="295" w:author="Author">
              <w:r>
                <w:rPr>
                  <w:b/>
                  <w:sz w:val="22"/>
                  <w:szCs w:val="22"/>
                  <w:lang w:val="el-GR"/>
                </w:rPr>
                <w:t xml:space="preserve">την </w:t>
              </w:r>
              <w:r w:rsidRPr="00422380">
                <w:rPr>
                  <w:b/>
                  <w:sz w:val="22"/>
                  <w:szCs w:val="22"/>
                  <w:lang w:val="el-GR"/>
                </w:rPr>
                <w:t>προγεμισμένη συσκευή τύπου πένας</w:t>
              </w:r>
              <w:r>
                <w:rPr>
                  <w:b/>
                  <w:sz w:val="22"/>
                  <w:szCs w:val="22"/>
                  <w:lang w:val="el-GR"/>
                </w:rPr>
                <w:t xml:space="preserve"> </w:t>
              </w:r>
            </w:ins>
            <w:r>
              <w:rPr>
                <w:b/>
                <w:sz w:val="22"/>
                <w:szCs w:val="22"/>
                <w:lang w:val="el-GR"/>
              </w:rPr>
              <w:t xml:space="preserve">σταθερά προς τα κάτω μέχρι το κρεμ προστατευτικό κάλυμμα ασφαλείας να σταματήσει να κινείται. Κρατήστε </w:t>
            </w:r>
            <w:ins w:id="296" w:author="Author">
              <w:r>
                <w:rPr>
                  <w:b/>
                  <w:sz w:val="22"/>
                  <w:szCs w:val="22"/>
                  <w:lang w:val="el-GR"/>
                </w:rPr>
                <w:t xml:space="preserve">την προγεμισμένη συσκευή τύπου πένας </w:t>
              </w:r>
            </w:ins>
            <w:r>
              <w:rPr>
                <w:b/>
                <w:sz w:val="22"/>
                <w:szCs w:val="22"/>
                <w:lang w:val="el-GR"/>
              </w:rPr>
              <w:t xml:space="preserve">κάτω, μην </w:t>
            </w:r>
            <w:ins w:id="297" w:author="Author">
              <w:r>
                <w:rPr>
                  <w:b/>
                  <w:sz w:val="22"/>
                  <w:szCs w:val="22"/>
                  <w:lang w:val="el-GR"/>
                </w:rPr>
                <w:t xml:space="preserve">την </w:t>
              </w:r>
            </w:ins>
            <w:r>
              <w:rPr>
                <w:b/>
                <w:sz w:val="22"/>
                <w:szCs w:val="22"/>
                <w:lang w:val="el-GR"/>
              </w:rPr>
              <w:t>σηκώσετε.</w:t>
            </w:r>
          </w:p>
        </w:tc>
      </w:tr>
      <w:tr w:rsidR="00171824" w:rsidRPr="00422380" w14:paraId="4F0B7746"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7766F8A3" w14:textId="77777777" w:rsidR="00171824" w:rsidRDefault="00171824">
            <w:pPr>
              <w:widowControl/>
              <w:numPr>
                <w:ilvl w:val="0"/>
                <w:numId w:val="36"/>
              </w:numPr>
              <w:tabs>
                <w:tab w:val="left" w:pos="578"/>
              </w:tabs>
              <w:autoSpaceDE/>
              <w:autoSpaceDN/>
              <w:adjustRightInd/>
              <w:ind w:left="642" w:hanging="642"/>
              <w:rPr>
                <w:sz w:val="22"/>
                <w:szCs w:val="22"/>
                <w:lang w:val="el-GR"/>
              </w:rPr>
            </w:pPr>
          </w:p>
        </w:tc>
        <w:tc>
          <w:tcPr>
            <w:tcW w:w="4616" w:type="pct"/>
            <w:gridSpan w:val="2"/>
            <w:tcBorders>
              <w:top w:val="single" w:sz="4" w:space="0" w:color="auto"/>
              <w:bottom w:val="single" w:sz="4" w:space="0" w:color="auto"/>
            </w:tcBorders>
            <w:vAlign w:val="center"/>
          </w:tcPr>
          <w:p w14:paraId="445D6C2B" w14:textId="77777777" w:rsidR="00171824" w:rsidRDefault="006D258C">
            <w:pPr>
              <w:tabs>
                <w:tab w:val="left" w:pos="1134"/>
              </w:tabs>
              <w:rPr>
                <w:sz w:val="22"/>
                <w:szCs w:val="22"/>
                <w:lang w:val="el-GR"/>
              </w:rPr>
            </w:pPr>
            <w:r>
              <w:rPr>
                <w:sz w:val="22"/>
                <w:szCs w:val="22"/>
                <w:lang w:val="el-GR"/>
              </w:rPr>
              <w:t>Το κρεμ προστατευτικό κάλυμμα ασφαλείας σπρώχνεται προς τα μέσα και απασφαλίζει το γαλάζιο κουμπί έναρξης</w:t>
            </w:r>
            <w:ins w:id="298" w:author="Author">
              <w:r>
                <w:rPr>
                  <w:sz w:val="22"/>
                  <w:szCs w:val="22"/>
                  <w:lang w:val="el-GR"/>
                </w:rPr>
                <w:t>.</w:t>
              </w:r>
            </w:ins>
          </w:p>
        </w:tc>
      </w:tr>
    </w:tbl>
    <w:p w14:paraId="05EBA77A" w14:textId="77777777" w:rsidR="00171824" w:rsidRDefault="00171824">
      <w:pPr>
        <w:tabs>
          <w:tab w:val="left" w:pos="1134"/>
        </w:tabs>
        <w:rPr>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71824" w:rsidRPr="00422380" w14:paraId="6E48A854" w14:textId="77777777">
        <w:trPr>
          <w:cantSplit/>
          <w:trHeight w:val="57"/>
        </w:trPr>
        <w:tc>
          <w:tcPr>
            <w:tcW w:w="5000" w:type="pct"/>
            <w:gridSpan w:val="2"/>
            <w:tcBorders>
              <w:bottom w:val="nil"/>
            </w:tcBorders>
            <w:tcMar>
              <w:top w:w="28" w:type="dxa"/>
              <w:left w:w="57" w:type="dxa"/>
              <w:bottom w:w="28" w:type="dxa"/>
              <w:right w:w="57" w:type="dxa"/>
            </w:tcMar>
          </w:tcPr>
          <w:p w14:paraId="3C84AE24" w14:textId="77777777" w:rsidR="00171824" w:rsidRDefault="006D258C">
            <w:pPr>
              <w:keepNext/>
              <w:tabs>
                <w:tab w:val="left" w:pos="1134"/>
              </w:tabs>
              <w:jc w:val="center"/>
              <w:rPr>
                <w:b/>
                <w:bCs/>
                <w:sz w:val="22"/>
                <w:szCs w:val="22"/>
                <w:lang w:val="el-GR"/>
              </w:rPr>
            </w:pPr>
            <w:r>
              <w:rPr>
                <w:b/>
                <w:sz w:val="22"/>
                <w:szCs w:val="22"/>
                <w:lang w:val="el-GR"/>
              </w:rPr>
              <w:lastRenderedPageBreak/>
              <w:t>ΠΙΕΣΤΕ</w:t>
            </w:r>
          </w:p>
          <w:p w14:paraId="4919651B" w14:textId="77777777" w:rsidR="00171824" w:rsidRDefault="006D258C">
            <w:pPr>
              <w:keepNext/>
              <w:tabs>
                <w:tab w:val="left" w:pos="1134"/>
              </w:tabs>
              <w:jc w:val="center"/>
              <w:rPr>
                <w:sz w:val="22"/>
                <w:szCs w:val="22"/>
                <w:lang w:val="el-GR"/>
              </w:rPr>
            </w:pPr>
            <w:r>
              <w:rPr>
                <w:b/>
                <w:sz w:val="22"/>
                <w:szCs w:val="22"/>
                <w:lang w:val="el-GR"/>
              </w:rPr>
              <w:t>το γαλάζιο κουμπί έναρξης</w:t>
            </w:r>
          </w:p>
        </w:tc>
      </w:tr>
      <w:tr w:rsidR="00171824" w14:paraId="50CF018E"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46E9174" w14:textId="352006F6" w:rsidR="00171824" w:rsidRDefault="009039B7">
            <w:pPr>
              <w:tabs>
                <w:tab w:val="left" w:pos="1134"/>
              </w:tabs>
              <w:jc w:val="center"/>
              <w:rPr>
                <w:b/>
                <w:bCs/>
                <w:sz w:val="22"/>
                <w:szCs w:val="22"/>
                <w:lang w:val="el-GR"/>
              </w:rPr>
            </w:pPr>
            <w:r>
              <w:rPr>
                <w:noProof/>
                <w:sz w:val="22"/>
                <w:szCs w:val="22"/>
                <w:lang w:val="el-GR" w:eastAsia="zh-CN"/>
              </w:rPr>
              <w:drawing>
                <wp:inline distT="0" distB="0" distL="0" distR="0" wp14:anchorId="517529D3" wp14:editId="392E026E">
                  <wp:extent cx="4572000" cy="2743200"/>
                  <wp:effectExtent l="0" t="0" r="0" b="0"/>
                  <wp:docPr id="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tc>
      </w:tr>
      <w:tr w:rsidR="00171824" w:rsidRPr="00A07F46" w14:paraId="032A0CE8"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307B8C83" w14:textId="77777777" w:rsidR="00171824" w:rsidRDefault="006D258C">
            <w:pPr>
              <w:ind w:left="217" w:hanging="217"/>
              <w:rPr>
                <w:b/>
                <w:bCs/>
                <w:sz w:val="22"/>
                <w:szCs w:val="22"/>
                <w:lang w:val="el-GR"/>
              </w:rPr>
            </w:pPr>
            <w:r>
              <w:rPr>
                <w:b/>
                <w:sz w:val="22"/>
                <w:szCs w:val="22"/>
                <w:lang w:val="el-GR"/>
              </w:rPr>
              <w:t>4δ</w:t>
            </w:r>
          </w:p>
        </w:tc>
        <w:tc>
          <w:tcPr>
            <w:tcW w:w="4617" w:type="pct"/>
            <w:tcBorders>
              <w:top w:val="single" w:sz="4" w:space="0" w:color="auto"/>
              <w:left w:val="single" w:sz="4" w:space="0" w:color="auto"/>
              <w:bottom w:val="single" w:sz="4" w:space="0" w:color="auto"/>
            </w:tcBorders>
            <w:tcMar>
              <w:left w:w="0" w:type="dxa"/>
            </w:tcMar>
          </w:tcPr>
          <w:p w14:paraId="0ECA54F6" w14:textId="77777777" w:rsidR="00171824" w:rsidRDefault="006D258C">
            <w:pPr>
              <w:tabs>
                <w:tab w:val="left" w:pos="1134"/>
              </w:tabs>
              <w:rPr>
                <w:b/>
                <w:bCs/>
                <w:sz w:val="22"/>
                <w:szCs w:val="22"/>
                <w:lang w:val="el-GR"/>
              </w:rPr>
            </w:pPr>
            <w:r>
              <w:rPr>
                <w:b/>
                <w:sz w:val="22"/>
                <w:szCs w:val="22"/>
                <w:lang w:val="el-GR"/>
              </w:rPr>
              <w:t xml:space="preserve">Συνεχίστε να σπρώχνετε </w:t>
            </w:r>
            <w:ins w:id="299" w:author="Author">
              <w:r>
                <w:rPr>
                  <w:b/>
                  <w:sz w:val="22"/>
                  <w:szCs w:val="22"/>
                  <w:lang w:val="el-GR"/>
                </w:rPr>
                <w:t xml:space="preserve">την προγεμισμένη συσκευή τύπου πένας </w:t>
              </w:r>
            </w:ins>
            <w:r>
              <w:rPr>
                <w:b/>
                <w:sz w:val="22"/>
                <w:szCs w:val="22"/>
                <w:lang w:val="el-GR"/>
              </w:rPr>
              <w:t xml:space="preserve">προς τα κάτω </w:t>
            </w:r>
            <w:del w:id="300" w:author="Author">
              <w:r>
                <w:rPr>
                  <w:b/>
                  <w:sz w:val="22"/>
                  <w:szCs w:val="22"/>
                  <w:lang w:val="el-GR"/>
                </w:rPr>
                <w:delText xml:space="preserve">σταθερά </w:delText>
              </w:r>
            </w:del>
            <w:r>
              <w:rPr>
                <w:b/>
                <w:sz w:val="22"/>
                <w:szCs w:val="22"/>
                <w:lang w:val="el-GR"/>
              </w:rPr>
              <w:t>και πιέστε το γαλάζιο κουμπί έναρξης για να ξεκινήσει η ένεση.</w:t>
            </w:r>
          </w:p>
        </w:tc>
      </w:tr>
      <w:tr w:rsidR="00171824" w:rsidRPr="00A07F46" w14:paraId="36B74554"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F3DC1D8"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single" w:sz="4" w:space="0" w:color="auto"/>
              <w:left w:val="nil"/>
              <w:bottom w:val="nil"/>
            </w:tcBorders>
            <w:tcMar>
              <w:left w:w="0" w:type="dxa"/>
            </w:tcMar>
          </w:tcPr>
          <w:p w14:paraId="7F428A0E" w14:textId="77777777" w:rsidR="00171824" w:rsidRDefault="006D258C">
            <w:pPr>
              <w:tabs>
                <w:tab w:val="left" w:pos="1134"/>
              </w:tabs>
              <w:rPr>
                <w:sz w:val="22"/>
                <w:szCs w:val="22"/>
                <w:lang w:val="el-GR"/>
              </w:rPr>
            </w:pPr>
            <w:r>
              <w:rPr>
                <w:sz w:val="22"/>
                <w:szCs w:val="22"/>
                <w:lang w:val="el-GR"/>
              </w:rPr>
              <w:t>Μπορεί να ακούσετε ή να αισθανθείτε ένα κλικ.</w:t>
            </w:r>
          </w:p>
        </w:tc>
      </w:tr>
      <w:tr w:rsidR="00171824" w:rsidRPr="00A07F46" w14:paraId="0C49991C" w14:textId="77777777">
        <w:trPr>
          <w:cantSplit/>
          <w:trHeight w:val="57"/>
        </w:trPr>
        <w:tc>
          <w:tcPr>
            <w:tcW w:w="383" w:type="pct"/>
            <w:tcBorders>
              <w:top w:val="nil"/>
              <w:bottom w:val="nil"/>
              <w:right w:val="nil"/>
            </w:tcBorders>
            <w:tcMar>
              <w:top w:w="28" w:type="dxa"/>
              <w:left w:w="57" w:type="dxa"/>
              <w:bottom w:w="28" w:type="dxa"/>
              <w:right w:w="57" w:type="dxa"/>
            </w:tcMar>
          </w:tcPr>
          <w:p w14:paraId="2FEB864D"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nil"/>
            </w:tcBorders>
            <w:tcMar>
              <w:left w:w="0" w:type="dxa"/>
            </w:tcMar>
          </w:tcPr>
          <w:p w14:paraId="798C0931" w14:textId="77777777" w:rsidR="00171824" w:rsidRDefault="006D258C">
            <w:pPr>
              <w:tabs>
                <w:tab w:val="left" w:pos="1134"/>
              </w:tabs>
              <w:rPr>
                <w:b/>
                <w:bCs/>
                <w:sz w:val="22"/>
                <w:szCs w:val="22"/>
                <w:lang w:val="el-GR"/>
              </w:rPr>
            </w:pPr>
            <w:r>
              <w:rPr>
                <w:sz w:val="22"/>
                <w:szCs w:val="22"/>
                <w:lang w:val="el-GR"/>
              </w:rPr>
              <w:t>Το παράθυρο αρχίζει να γίνεται κίτρινο.</w:t>
            </w:r>
          </w:p>
        </w:tc>
      </w:tr>
      <w:tr w:rsidR="00171824" w:rsidRPr="00A07F46" w14:paraId="4CDF341E"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E8387D5"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single" w:sz="4" w:space="0" w:color="auto"/>
            </w:tcBorders>
            <w:tcMar>
              <w:left w:w="0" w:type="dxa"/>
            </w:tcMar>
          </w:tcPr>
          <w:p w14:paraId="16FEED38" w14:textId="77777777" w:rsidR="00171824" w:rsidRDefault="006D258C">
            <w:pPr>
              <w:tabs>
                <w:tab w:val="left" w:pos="1134"/>
              </w:tabs>
              <w:rPr>
                <w:b/>
                <w:bCs/>
                <w:sz w:val="22"/>
                <w:szCs w:val="22"/>
                <w:lang w:val="el-GR"/>
              </w:rPr>
            </w:pPr>
            <w:r>
              <w:rPr>
                <w:sz w:val="22"/>
                <w:szCs w:val="22"/>
                <w:lang w:val="el-GR"/>
              </w:rPr>
              <w:t>Μπορείτε να αφήσετε το γαλάζιο κουμπί έναρξης.</w:t>
            </w:r>
          </w:p>
        </w:tc>
      </w:tr>
    </w:tbl>
    <w:p w14:paraId="29DF3446" w14:textId="77777777" w:rsidR="00171824" w:rsidRDefault="00171824">
      <w:pPr>
        <w:tabs>
          <w:tab w:val="left" w:pos="1134"/>
        </w:tabs>
        <w:rPr>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71824" w:rsidRPr="00A07F46" w14:paraId="0614AC62"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2E51EF1" w14:textId="77777777" w:rsidR="00171824" w:rsidRDefault="006D258C">
            <w:pPr>
              <w:keepNext/>
              <w:tabs>
                <w:tab w:val="left" w:pos="1134"/>
              </w:tabs>
              <w:jc w:val="center"/>
              <w:rPr>
                <w:b/>
                <w:bCs/>
                <w:sz w:val="22"/>
                <w:szCs w:val="22"/>
                <w:lang w:val="el-GR"/>
              </w:rPr>
            </w:pPr>
            <w:r>
              <w:rPr>
                <w:b/>
                <w:sz w:val="22"/>
                <w:szCs w:val="22"/>
                <w:lang w:val="el-GR"/>
              </w:rPr>
              <w:lastRenderedPageBreak/>
              <w:t xml:space="preserve">ΠΑΡΑΚΟΛΟΥΘΕΙΤΕ </w:t>
            </w:r>
            <w:del w:id="301" w:author="Author">
              <w:r>
                <w:rPr>
                  <w:b/>
                  <w:sz w:val="22"/>
                  <w:szCs w:val="22"/>
                  <w:lang w:val="el-GR"/>
                </w:rPr>
                <w:delText xml:space="preserve">ΚΑΙ </w:delText>
              </w:r>
            </w:del>
            <w:ins w:id="302" w:author="Author">
              <w:r>
                <w:rPr>
                  <w:b/>
                  <w:sz w:val="22"/>
                  <w:szCs w:val="22"/>
                  <w:lang w:val="el-GR"/>
                </w:rPr>
                <w:t xml:space="preserve">και </w:t>
              </w:r>
            </w:ins>
            <w:r>
              <w:rPr>
                <w:b/>
                <w:sz w:val="22"/>
                <w:szCs w:val="22"/>
                <w:lang w:val="el-GR"/>
              </w:rPr>
              <w:t>ΕΠΙΒΕΒΑΙΩΣΤΕ</w:t>
            </w:r>
          </w:p>
          <w:p w14:paraId="5AE1089F" w14:textId="77777777" w:rsidR="00171824" w:rsidRDefault="006D258C">
            <w:pPr>
              <w:keepNext/>
              <w:tabs>
                <w:tab w:val="left" w:pos="1134"/>
              </w:tabs>
              <w:jc w:val="center"/>
              <w:rPr>
                <w:b/>
                <w:bCs/>
                <w:sz w:val="22"/>
                <w:szCs w:val="22"/>
                <w:lang w:val="el-GR"/>
              </w:rPr>
            </w:pPr>
            <w:ins w:id="303" w:author="Author">
              <w:r>
                <w:rPr>
                  <w:b/>
                  <w:sz w:val="22"/>
                  <w:szCs w:val="22"/>
                  <w:lang w:val="el-GR"/>
                </w:rPr>
                <w:t xml:space="preserve">ότι </w:t>
              </w:r>
            </w:ins>
            <w:r>
              <w:rPr>
                <w:b/>
                <w:sz w:val="22"/>
                <w:szCs w:val="22"/>
                <w:lang w:val="el-GR"/>
              </w:rPr>
              <w:t xml:space="preserve">το παράθυρο </w:t>
            </w:r>
            <w:ins w:id="304" w:author="Author">
              <w:r>
                <w:rPr>
                  <w:b/>
                  <w:sz w:val="22"/>
                  <w:szCs w:val="22"/>
                  <w:lang w:val="el-GR"/>
                </w:rPr>
                <w:t>έχει</w:t>
              </w:r>
            </w:ins>
            <w:del w:id="305" w:author="Author">
              <w:r>
                <w:rPr>
                  <w:b/>
                  <w:sz w:val="22"/>
                  <w:szCs w:val="22"/>
                  <w:lang w:val="el-GR"/>
                </w:rPr>
                <w:delText>θα</w:delText>
              </w:r>
            </w:del>
            <w:r>
              <w:rPr>
                <w:b/>
                <w:sz w:val="22"/>
                <w:szCs w:val="22"/>
                <w:lang w:val="el-GR"/>
              </w:rPr>
              <w:t xml:space="preserve"> κιτρινίσει τελείως</w:t>
            </w:r>
          </w:p>
        </w:tc>
      </w:tr>
      <w:tr w:rsidR="00171824" w14:paraId="7A01B53F"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6225DF4D" w14:textId="5F5C80EA" w:rsidR="00171824" w:rsidRDefault="009039B7">
            <w:pPr>
              <w:keepNext/>
              <w:tabs>
                <w:tab w:val="left" w:pos="1134"/>
              </w:tabs>
              <w:jc w:val="center"/>
              <w:rPr>
                <w:b/>
                <w:bCs/>
                <w:sz w:val="22"/>
                <w:szCs w:val="22"/>
                <w:lang w:val="el-GR"/>
              </w:rPr>
            </w:pPr>
            <w:r>
              <w:rPr>
                <w:b/>
                <w:noProof/>
                <w:sz w:val="22"/>
                <w:szCs w:val="22"/>
                <w:lang w:val="el-GR" w:eastAsia="zh-CN"/>
              </w:rPr>
              <w:drawing>
                <wp:inline distT="0" distB="0" distL="0" distR="0" wp14:anchorId="135F5160" wp14:editId="49ABD022">
                  <wp:extent cx="4211955" cy="2560320"/>
                  <wp:effectExtent l="0" t="0" r="0" b="0"/>
                  <wp:docPr id="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11955" cy="2560320"/>
                          </a:xfrm>
                          <a:prstGeom prst="rect">
                            <a:avLst/>
                          </a:prstGeom>
                          <a:noFill/>
                          <a:ln>
                            <a:noFill/>
                          </a:ln>
                        </pic:spPr>
                      </pic:pic>
                    </a:graphicData>
                  </a:graphic>
                </wp:inline>
              </w:drawing>
            </w:r>
          </w:p>
          <w:p w14:paraId="61F4738C" w14:textId="77777777" w:rsidR="00171824" w:rsidRDefault="00171824">
            <w:pPr>
              <w:keepNext/>
              <w:tabs>
                <w:tab w:val="left" w:pos="1134"/>
              </w:tabs>
              <w:jc w:val="center"/>
              <w:rPr>
                <w:b/>
                <w:bCs/>
                <w:sz w:val="22"/>
                <w:szCs w:val="22"/>
                <w:lang w:val="el-GR"/>
              </w:rPr>
            </w:pPr>
          </w:p>
        </w:tc>
      </w:tr>
      <w:tr w:rsidR="00171824" w14:paraId="170BD31D"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2E93279A" w14:textId="77777777" w:rsidR="00171824" w:rsidRDefault="006D258C">
            <w:pPr>
              <w:keepNext/>
              <w:rPr>
                <w:b/>
                <w:bCs/>
                <w:sz w:val="22"/>
                <w:szCs w:val="22"/>
                <w:lang w:val="el-GR"/>
              </w:rPr>
            </w:pPr>
            <w:r>
              <w:rPr>
                <w:b/>
                <w:sz w:val="22"/>
                <w:szCs w:val="22"/>
                <w:lang w:val="el-GR"/>
              </w:rPr>
              <w:t>4ε</w:t>
            </w:r>
          </w:p>
        </w:tc>
        <w:tc>
          <w:tcPr>
            <w:tcW w:w="4617" w:type="pct"/>
            <w:tcBorders>
              <w:top w:val="single" w:sz="4" w:space="0" w:color="auto"/>
              <w:left w:val="single" w:sz="4" w:space="0" w:color="auto"/>
              <w:bottom w:val="single" w:sz="4" w:space="0" w:color="auto"/>
            </w:tcBorders>
            <w:tcMar>
              <w:left w:w="0" w:type="dxa"/>
            </w:tcMar>
          </w:tcPr>
          <w:p w14:paraId="5E630035" w14:textId="77777777" w:rsidR="00171824" w:rsidRDefault="006D258C">
            <w:pPr>
              <w:keepNext/>
              <w:rPr>
                <w:sz w:val="22"/>
                <w:szCs w:val="22"/>
                <w:lang w:val="el-GR"/>
              </w:rPr>
            </w:pPr>
            <w:r>
              <w:rPr>
                <w:b/>
                <w:sz w:val="22"/>
                <w:szCs w:val="22"/>
                <w:lang w:val="el-GR"/>
              </w:rPr>
              <w:t xml:space="preserve">Συνεχίστε να σπρώχνετε </w:t>
            </w:r>
            <w:ins w:id="306" w:author="Author">
              <w:r>
                <w:rPr>
                  <w:b/>
                  <w:sz w:val="22"/>
                  <w:szCs w:val="22"/>
                  <w:lang w:val="el-GR"/>
                </w:rPr>
                <w:t xml:space="preserve">την προγεμισμένη συσκευή τύπου πένας </w:t>
              </w:r>
            </w:ins>
            <w:r>
              <w:rPr>
                <w:b/>
                <w:sz w:val="22"/>
                <w:szCs w:val="22"/>
                <w:lang w:val="el-GR"/>
              </w:rPr>
              <w:t>προς τα κάτω. Όταν το παράθυρο κιτρινίσει τελείως, η ένεση έχει ολοκληρωθεί.</w:t>
            </w:r>
          </w:p>
        </w:tc>
      </w:tr>
      <w:tr w:rsidR="00171824" w:rsidRPr="00A07F46" w14:paraId="65C078C3"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BAEBB8E" w14:textId="77777777" w:rsidR="00171824" w:rsidRDefault="00171824">
            <w:pPr>
              <w:keepNext/>
              <w:widowControl/>
              <w:numPr>
                <w:ilvl w:val="0"/>
                <w:numId w:val="36"/>
              </w:numPr>
              <w:autoSpaceDE/>
              <w:autoSpaceDN/>
              <w:adjustRightInd/>
              <w:ind w:left="567" w:hanging="567"/>
              <w:rPr>
                <w:sz w:val="22"/>
                <w:szCs w:val="22"/>
                <w:lang w:val="el-GR"/>
              </w:rPr>
            </w:pPr>
          </w:p>
        </w:tc>
        <w:tc>
          <w:tcPr>
            <w:tcW w:w="4617" w:type="pct"/>
            <w:tcBorders>
              <w:top w:val="single" w:sz="4" w:space="0" w:color="auto"/>
              <w:left w:val="nil"/>
              <w:bottom w:val="nil"/>
            </w:tcBorders>
            <w:tcMar>
              <w:left w:w="0" w:type="dxa"/>
            </w:tcMar>
          </w:tcPr>
          <w:p w14:paraId="395DFD05" w14:textId="77777777" w:rsidR="00171824" w:rsidRDefault="006D258C">
            <w:pPr>
              <w:keepNext/>
              <w:rPr>
                <w:b/>
                <w:bCs/>
                <w:sz w:val="22"/>
                <w:szCs w:val="22"/>
                <w:lang w:val="el-GR"/>
              </w:rPr>
            </w:pPr>
            <w:r>
              <w:rPr>
                <w:sz w:val="22"/>
                <w:szCs w:val="22"/>
                <w:lang w:val="el-GR"/>
              </w:rPr>
              <w:t xml:space="preserve">Μπορεί να χρειαστούν έως και </w:t>
            </w:r>
            <w:r>
              <w:rPr>
                <w:b/>
                <w:bCs/>
                <w:sz w:val="22"/>
                <w:szCs w:val="22"/>
                <w:lang w:val="el-GR"/>
              </w:rPr>
              <w:t>10</w:t>
            </w:r>
            <w:r>
              <w:rPr>
                <w:sz w:val="22"/>
                <w:szCs w:val="22"/>
                <w:lang w:val="el-GR"/>
              </w:rPr>
              <w:t xml:space="preserve"> δευτερόλεπτα για να ολοκληρωθεί η ένεση. </w:t>
            </w:r>
          </w:p>
        </w:tc>
      </w:tr>
      <w:tr w:rsidR="00171824" w:rsidRPr="00A07F46" w14:paraId="1621AE1E" w14:textId="77777777">
        <w:trPr>
          <w:cantSplit/>
          <w:trHeight w:val="57"/>
        </w:trPr>
        <w:tc>
          <w:tcPr>
            <w:tcW w:w="383" w:type="pct"/>
            <w:tcBorders>
              <w:top w:val="nil"/>
              <w:bottom w:val="nil"/>
              <w:right w:val="nil"/>
            </w:tcBorders>
            <w:tcMar>
              <w:top w:w="28" w:type="dxa"/>
              <w:left w:w="57" w:type="dxa"/>
              <w:bottom w:w="28" w:type="dxa"/>
              <w:right w:w="57" w:type="dxa"/>
            </w:tcMar>
          </w:tcPr>
          <w:p w14:paraId="23E5C9C7" w14:textId="77777777" w:rsidR="00171824" w:rsidRDefault="00171824">
            <w:pPr>
              <w:keepNext/>
              <w:widowControl/>
              <w:numPr>
                <w:ilvl w:val="0"/>
                <w:numId w:val="36"/>
              </w:numPr>
              <w:autoSpaceDE/>
              <w:autoSpaceDN/>
              <w:adjustRightInd/>
              <w:ind w:left="567" w:hanging="567"/>
              <w:rPr>
                <w:sz w:val="22"/>
                <w:szCs w:val="22"/>
                <w:lang w:val="el-GR"/>
              </w:rPr>
            </w:pPr>
          </w:p>
        </w:tc>
        <w:tc>
          <w:tcPr>
            <w:tcW w:w="4617" w:type="pct"/>
            <w:tcBorders>
              <w:top w:val="nil"/>
              <w:left w:val="nil"/>
              <w:bottom w:val="nil"/>
            </w:tcBorders>
            <w:tcMar>
              <w:left w:w="0" w:type="dxa"/>
            </w:tcMar>
          </w:tcPr>
          <w:p w14:paraId="417A9136" w14:textId="77777777" w:rsidR="00171824" w:rsidRDefault="006D258C">
            <w:pPr>
              <w:keepNext/>
              <w:rPr>
                <w:b/>
                <w:bCs/>
                <w:sz w:val="22"/>
                <w:szCs w:val="22"/>
                <w:lang w:val="el-GR"/>
              </w:rPr>
            </w:pPr>
            <w:r>
              <w:rPr>
                <w:sz w:val="22"/>
                <w:szCs w:val="22"/>
                <w:lang w:val="el-GR"/>
              </w:rPr>
              <w:t xml:space="preserve">Μπορεί να ακούσετε ή να αισθανθείτε ένα κλικ.  </w:t>
            </w:r>
          </w:p>
        </w:tc>
      </w:tr>
      <w:tr w:rsidR="00171824" w:rsidRPr="00A07F46" w14:paraId="505D3643" w14:textId="77777777">
        <w:trPr>
          <w:cantSplit/>
          <w:trHeight w:val="57"/>
        </w:trPr>
        <w:tc>
          <w:tcPr>
            <w:tcW w:w="383" w:type="pct"/>
            <w:tcBorders>
              <w:top w:val="nil"/>
              <w:bottom w:val="nil"/>
              <w:right w:val="nil"/>
            </w:tcBorders>
            <w:tcMar>
              <w:top w:w="28" w:type="dxa"/>
              <w:left w:w="57" w:type="dxa"/>
              <w:bottom w:w="28" w:type="dxa"/>
              <w:right w:w="57" w:type="dxa"/>
            </w:tcMar>
          </w:tcPr>
          <w:p w14:paraId="25218526" w14:textId="77777777" w:rsidR="00171824" w:rsidRDefault="00171824">
            <w:pPr>
              <w:keepNext/>
              <w:widowControl/>
              <w:numPr>
                <w:ilvl w:val="0"/>
                <w:numId w:val="36"/>
              </w:numPr>
              <w:autoSpaceDE/>
              <w:autoSpaceDN/>
              <w:adjustRightInd/>
              <w:ind w:left="567" w:hanging="567"/>
              <w:rPr>
                <w:sz w:val="22"/>
                <w:szCs w:val="22"/>
                <w:lang w:val="el-GR"/>
              </w:rPr>
            </w:pPr>
          </w:p>
        </w:tc>
        <w:tc>
          <w:tcPr>
            <w:tcW w:w="4617" w:type="pct"/>
            <w:tcBorders>
              <w:top w:val="nil"/>
              <w:left w:val="nil"/>
              <w:bottom w:val="nil"/>
            </w:tcBorders>
            <w:tcMar>
              <w:left w:w="0" w:type="dxa"/>
            </w:tcMar>
          </w:tcPr>
          <w:p w14:paraId="11FDCAE4" w14:textId="77777777" w:rsidR="00171824" w:rsidRDefault="006D258C">
            <w:pPr>
              <w:keepNext/>
              <w:rPr>
                <w:b/>
                <w:bCs/>
                <w:sz w:val="22"/>
                <w:szCs w:val="22"/>
                <w:lang w:val="el-GR"/>
              </w:rPr>
            </w:pPr>
            <w:r>
              <w:rPr>
                <w:sz w:val="22"/>
                <w:szCs w:val="22"/>
                <w:lang w:val="el-GR"/>
              </w:rPr>
              <w:t>Σηκώστε την προγεμισμένη συσκευή τύπου πένας μακριά από το δέρμα σας.</w:t>
            </w:r>
          </w:p>
        </w:tc>
      </w:tr>
      <w:tr w:rsidR="00171824" w:rsidRPr="00A07F46" w14:paraId="309471F4" w14:textId="77777777">
        <w:trPr>
          <w:cantSplit/>
          <w:trHeight w:val="57"/>
        </w:trPr>
        <w:tc>
          <w:tcPr>
            <w:tcW w:w="383" w:type="pct"/>
            <w:tcBorders>
              <w:top w:val="nil"/>
              <w:bottom w:val="nil"/>
              <w:right w:val="nil"/>
            </w:tcBorders>
            <w:tcMar>
              <w:top w:w="28" w:type="dxa"/>
              <w:left w:w="57" w:type="dxa"/>
              <w:bottom w:w="28" w:type="dxa"/>
              <w:right w:w="57" w:type="dxa"/>
            </w:tcMar>
          </w:tcPr>
          <w:p w14:paraId="22F79357" w14:textId="77777777" w:rsidR="00171824" w:rsidRDefault="00171824">
            <w:pPr>
              <w:keepNext/>
              <w:widowControl/>
              <w:numPr>
                <w:ilvl w:val="0"/>
                <w:numId w:val="36"/>
              </w:numPr>
              <w:autoSpaceDE/>
              <w:autoSpaceDN/>
              <w:adjustRightInd/>
              <w:ind w:left="567" w:hanging="567"/>
              <w:rPr>
                <w:sz w:val="22"/>
                <w:szCs w:val="22"/>
                <w:lang w:val="el-GR"/>
              </w:rPr>
            </w:pPr>
          </w:p>
        </w:tc>
        <w:tc>
          <w:tcPr>
            <w:tcW w:w="4617" w:type="pct"/>
            <w:tcBorders>
              <w:top w:val="nil"/>
              <w:left w:val="nil"/>
              <w:bottom w:val="nil"/>
            </w:tcBorders>
            <w:tcMar>
              <w:left w:w="0" w:type="dxa"/>
            </w:tcMar>
          </w:tcPr>
          <w:p w14:paraId="0EDC32C5" w14:textId="77777777" w:rsidR="00171824" w:rsidRDefault="006D258C">
            <w:pPr>
              <w:keepNext/>
              <w:tabs>
                <w:tab w:val="left" w:pos="1134"/>
              </w:tabs>
              <w:rPr>
                <w:sz w:val="22"/>
                <w:szCs w:val="22"/>
                <w:lang w:val="el-GR"/>
              </w:rPr>
            </w:pPr>
            <w:r>
              <w:rPr>
                <w:sz w:val="22"/>
                <w:szCs w:val="22"/>
                <w:lang w:val="el-GR"/>
              </w:rPr>
              <w:t>Το κρεμ προστατευτικό κάλυμμα ασφαλείας ασφαλίζει γύρω από τη βελόνα.</w:t>
            </w:r>
          </w:p>
        </w:tc>
      </w:tr>
      <w:tr w:rsidR="00171824" w:rsidRPr="00A07F46" w14:paraId="5C66BFC0"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49E474EF" w14:textId="0D81D408" w:rsidR="00171824" w:rsidRDefault="009039B7">
            <w:pPr>
              <w:tabs>
                <w:tab w:val="left" w:pos="1134"/>
              </w:tabs>
              <w:rPr>
                <w:sz w:val="22"/>
                <w:szCs w:val="22"/>
                <w:lang w:val="el-GR"/>
              </w:rPr>
            </w:pPr>
            <w:r>
              <w:rPr>
                <w:noProof/>
              </w:rPr>
              <mc:AlternateContent>
                <mc:Choice Requires="wps">
                  <w:drawing>
                    <wp:anchor distT="45720" distB="45720" distL="114300" distR="114300" simplePos="0" relativeHeight="251661312" behindDoc="0" locked="0" layoutInCell="1" allowOverlap="1" wp14:anchorId="77696811" wp14:editId="75B074E8">
                      <wp:simplePos x="0" y="0"/>
                      <wp:positionH relativeFrom="column">
                        <wp:posOffset>13970</wp:posOffset>
                      </wp:positionH>
                      <wp:positionV relativeFrom="paragraph">
                        <wp:posOffset>38100</wp:posOffset>
                      </wp:positionV>
                      <wp:extent cx="5491480" cy="637540"/>
                      <wp:effectExtent l="0" t="0" r="0" b="0"/>
                      <wp:wrapSquare wrapText="bothSides"/>
                      <wp:docPr id="6481682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37540"/>
                              </a:xfrm>
                              <a:prstGeom prst="rect">
                                <a:avLst/>
                              </a:prstGeom>
                              <a:solidFill>
                                <a:srgbClr val="FFFFFF"/>
                              </a:solidFill>
                              <a:ln w="19050">
                                <a:solidFill>
                                  <a:srgbClr val="FF0000"/>
                                </a:solidFill>
                                <a:miter lim="800000"/>
                              </a:ln>
                            </wps:spPr>
                            <wps:txbx>
                              <w:txbxContent>
                                <w:p w14:paraId="38D1A933" w14:textId="77777777" w:rsidR="00171824" w:rsidRDefault="006D258C">
                                  <w:pPr>
                                    <w:rPr>
                                      <w:sz w:val="22"/>
                                      <w:szCs w:val="22"/>
                                      <w:lang w:val="el-GR"/>
                                    </w:rPr>
                                  </w:pPr>
                                  <w:r>
                                    <w:rPr>
                                      <w:b/>
                                      <w:sz w:val="22"/>
                                      <w:szCs w:val="22"/>
                                      <w:lang w:val="el-GR"/>
                                    </w:rPr>
                                    <w:t>Σημαντικό:</w:t>
                                  </w:r>
                                  <w:r>
                                    <w:rPr>
                                      <w:sz w:val="22"/>
                                      <w:szCs w:val="22"/>
                                      <w:lang w:val="el-GR"/>
                                    </w:rPr>
                                    <w:t xml:space="preserve"> Εάν το παράθυρο δεν γίνει </w:t>
                                  </w:r>
                                  <w:ins w:id="307" w:author="Author">
                                    <w:r>
                                      <w:rPr>
                                        <w:sz w:val="22"/>
                                        <w:szCs w:val="22"/>
                                        <w:lang w:val="el-GR"/>
                                      </w:rPr>
                                      <w:t xml:space="preserve">εντελώς </w:t>
                                    </w:r>
                                  </w:ins>
                                  <w:r>
                                    <w:rPr>
                                      <w:sz w:val="22"/>
                                      <w:szCs w:val="22"/>
                                      <w:lang w:val="el-GR"/>
                                    </w:rPr>
                                    <w:t>κίτρινο ή φαίνεται ότι το φάρμακο εξακολουθεί να βγαίνει, δεν λάβατε μια πλήρη δόση.  Καλέστε αμέσως τον γιατρό σας ή τον πάροχο υγειονομικής περίθαλψης.</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7696811" id="Text Box 33" o:spid="_x0000_s1042" type="#_x0000_t202" style="position:absolute;margin-left:1.1pt;margin-top:3pt;width:432.4pt;height:50.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" strokecolor="red" strokeweight="1.5pt">
                      <v:textbox>
                        <w:txbxContent>
                          <w:p w14:paraId="38D1A933" w14:textId="77777777" w:rsidR="00171824" w:rsidRDefault="006D258C">
                            <w:pPr>
                              <w:rPr>
                                <w:sz w:val="22"/>
                                <w:szCs w:val="22"/>
                                <w:lang w:val="el-GR"/>
                              </w:rPr>
                            </w:pPr>
                            <w:r>
                              <w:rPr>
                                <w:b/>
                                <w:sz w:val="22"/>
                                <w:szCs w:val="22"/>
                                <w:lang w:val="el-GR"/>
                              </w:rPr>
                              <w:t>Σημαντικό:</w:t>
                            </w:r>
                            <w:r>
                              <w:rPr>
                                <w:sz w:val="22"/>
                                <w:szCs w:val="22"/>
                                <w:lang w:val="el-GR"/>
                              </w:rPr>
                              <w:t xml:space="preserve"> Εάν το παράθυρο δεν γίνει </w:t>
                            </w:r>
                            <w:ins w:id="1684" w:author="Author">
                              <w:r>
                                <w:rPr>
                                  <w:sz w:val="22"/>
                                  <w:szCs w:val="22"/>
                                  <w:lang w:val="el-GR"/>
                                </w:rPr>
                                <w:t xml:space="preserve">εντελώς </w:t>
                              </w:r>
                            </w:ins>
                            <w:r>
                              <w:rPr>
                                <w:sz w:val="22"/>
                                <w:szCs w:val="22"/>
                                <w:lang w:val="el-GR"/>
                              </w:rPr>
                              <w:t>κίτρινο ή φαίνεται ότι το φάρμακο εξακολουθεί να βγαίνει, δεν λάβατε μια πλήρη δόση.  Καλέστε αμέσως τον γιατρό σας ή τον πάροχο υγειονομικής περίθαλψης.</w:t>
                            </w:r>
                          </w:p>
                        </w:txbxContent>
                      </v:textbox>
                      <w10:wrap type="square"/>
                    </v:shape>
                  </w:pict>
                </mc:Fallback>
              </mc:AlternateContent>
            </w:r>
          </w:p>
        </w:tc>
      </w:tr>
    </w:tbl>
    <w:p w14:paraId="6CD71B2A" w14:textId="77777777" w:rsidR="00171824" w:rsidRDefault="00171824">
      <w:pPr>
        <w:pageBreakBefore/>
        <w:tabs>
          <w:tab w:val="left" w:pos="1134"/>
        </w:tabs>
        <w:rPr>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171824" w:rsidRPr="00A07F46" w14:paraId="60A7C2CC" w14:textId="77777777">
        <w:trPr>
          <w:cantSplit/>
          <w:trHeight w:val="57"/>
        </w:trPr>
        <w:tc>
          <w:tcPr>
            <w:tcW w:w="383" w:type="pct"/>
            <w:tcBorders>
              <w:bottom w:val="single" w:sz="4" w:space="0" w:color="auto"/>
            </w:tcBorders>
            <w:tcMar>
              <w:top w:w="28" w:type="dxa"/>
              <w:left w:w="57" w:type="dxa"/>
              <w:bottom w:w="28" w:type="dxa"/>
              <w:right w:w="57" w:type="dxa"/>
            </w:tcMar>
          </w:tcPr>
          <w:p w14:paraId="133A021D" w14:textId="77777777" w:rsidR="00171824" w:rsidRDefault="006D258C">
            <w:pPr>
              <w:tabs>
                <w:tab w:val="left" w:pos="1134"/>
              </w:tabs>
              <w:rPr>
                <w:sz w:val="22"/>
                <w:szCs w:val="22"/>
                <w:lang w:val="el-GR"/>
              </w:rPr>
            </w:pPr>
            <w:r>
              <w:rPr>
                <w:b/>
                <w:sz w:val="22"/>
                <w:szCs w:val="22"/>
                <w:lang w:val="el-GR"/>
              </w:rPr>
              <w:t>5</w:t>
            </w:r>
          </w:p>
        </w:tc>
        <w:tc>
          <w:tcPr>
            <w:tcW w:w="4617" w:type="pct"/>
            <w:tcBorders>
              <w:bottom w:val="single" w:sz="4" w:space="0" w:color="auto"/>
            </w:tcBorders>
          </w:tcPr>
          <w:p w14:paraId="336FBCB9" w14:textId="77777777" w:rsidR="00171824" w:rsidRDefault="006D258C">
            <w:pPr>
              <w:tabs>
                <w:tab w:val="left" w:pos="1134"/>
              </w:tabs>
              <w:ind w:left="567" w:hanging="567"/>
              <w:rPr>
                <w:sz w:val="22"/>
                <w:szCs w:val="22"/>
                <w:lang w:val="el-GR"/>
              </w:rPr>
            </w:pPr>
            <w:r>
              <w:rPr>
                <w:b/>
                <w:sz w:val="22"/>
                <w:szCs w:val="22"/>
                <w:lang w:val="el-GR"/>
              </w:rPr>
              <w:t xml:space="preserve">Πώς να </w:t>
            </w:r>
            <w:del w:id="308" w:author="Author">
              <w:r>
                <w:rPr>
                  <w:b/>
                  <w:sz w:val="22"/>
                  <w:szCs w:val="22"/>
                  <w:lang w:val="el-GR"/>
                </w:rPr>
                <w:delText xml:space="preserve">ολοκληρώσετε τη διαδικασία και να </w:delText>
              </w:r>
            </w:del>
            <w:r>
              <w:rPr>
                <w:b/>
                <w:sz w:val="22"/>
                <w:szCs w:val="22"/>
                <w:lang w:val="el-GR"/>
              </w:rPr>
              <w:t>απορρίψετε το AMGEVITA</w:t>
            </w:r>
            <w:ins w:id="309" w:author="Author">
              <w:r>
                <w:rPr>
                  <w:b/>
                  <w:sz w:val="22"/>
                  <w:szCs w:val="22"/>
                  <w:lang w:val="el-GR"/>
                </w:rPr>
                <w:t xml:space="preserve"> </w:t>
              </w:r>
              <w:bookmarkStart w:id="310" w:name="_Hlk211855126"/>
              <w:r>
                <w:rPr>
                  <w:b/>
                  <w:sz w:val="22"/>
                  <w:szCs w:val="22"/>
                  <w:lang w:val="el-GR"/>
                </w:rPr>
                <w:t>και να ελέγξετε τη θέση της ένεσης</w:t>
              </w:r>
            </w:ins>
            <w:bookmarkEnd w:id="310"/>
          </w:p>
        </w:tc>
      </w:tr>
      <w:tr w:rsidR="00171824" w14:paraId="69909883"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EE8F1CA" w14:textId="4155FBE3" w:rsidR="00171824" w:rsidRDefault="009039B7">
            <w:pPr>
              <w:pStyle w:val="ListParagraph"/>
              <w:tabs>
                <w:tab w:val="left" w:pos="0"/>
              </w:tabs>
              <w:jc w:val="center"/>
              <w:rPr>
                <w:b/>
                <w:bCs/>
                <w:sz w:val="22"/>
                <w:szCs w:val="22"/>
                <w:lang w:val="el-GR"/>
              </w:rPr>
            </w:pPr>
            <w:r>
              <w:rPr>
                <w:noProof/>
                <w:sz w:val="22"/>
                <w:szCs w:val="22"/>
                <w:lang w:val="el-GR" w:eastAsia="zh-CN"/>
              </w:rPr>
              <w:drawing>
                <wp:inline distT="0" distB="0" distL="0" distR="0" wp14:anchorId="5541AC46" wp14:editId="157B96D4">
                  <wp:extent cx="2743200" cy="1731645"/>
                  <wp:effectExtent l="0" t="0" r="0"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43200" cy="1731645"/>
                          </a:xfrm>
                          <a:prstGeom prst="rect">
                            <a:avLst/>
                          </a:prstGeom>
                          <a:noFill/>
                          <a:ln>
                            <a:noFill/>
                          </a:ln>
                        </pic:spPr>
                      </pic:pic>
                    </a:graphicData>
                  </a:graphic>
                </wp:inline>
              </w:drawing>
            </w:r>
          </w:p>
        </w:tc>
      </w:tr>
      <w:tr w:rsidR="00171824" w14:paraId="58C21162"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6B37DA64" w14:textId="2C7A9893" w:rsidR="00171824" w:rsidRDefault="009039B7">
            <w:pPr>
              <w:rPr>
                <w:sz w:val="22"/>
                <w:szCs w:val="22"/>
                <w:lang w:val="el-GR"/>
              </w:rPr>
            </w:pPr>
            <w:r>
              <w:rPr>
                <w:noProof/>
              </w:rPr>
              <mc:AlternateContent>
                <mc:Choice Requires="wps">
                  <w:drawing>
                    <wp:anchor distT="45720" distB="45720" distL="114300" distR="114300" simplePos="0" relativeHeight="251657216" behindDoc="0" locked="0" layoutInCell="1" allowOverlap="1" wp14:anchorId="4E8C5AE9" wp14:editId="452EB8F6">
                      <wp:simplePos x="0" y="0"/>
                      <wp:positionH relativeFrom="margin">
                        <wp:posOffset>-2540</wp:posOffset>
                      </wp:positionH>
                      <wp:positionV relativeFrom="paragraph">
                        <wp:posOffset>18415</wp:posOffset>
                      </wp:positionV>
                      <wp:extent cx="5566410" cy="271145"/>
                      <wp:effectExtent l="0" t="0" r="0" b="0"/>
                      <wp:wrapSquare wrapText="bothSides"/>
                      <wp:docPr id="165486669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79CB9D02" w14:textId="77777777" w:rsidR="00171824" w:rsidRDefault="006D258C">
                                  <w:pPr>
                                    <w:tabs>
                                      <w:tab w:val="left" w:pos="1134"/>
                                    </w:tabs>
                                    <w:rPr>
                                      <w:sz w:val="22"/>
                                      <w:szCs w:val="22"/>
                                      <w:lang w:val="el-GR"/>
                                    </w:rPr>
                                  </w:pPr>
                                  <w:r>
                                    <w:rPr>
                                      <w:b/>
                                      <w:sz w:val="22"/>
                                      <w:szCs w:val="22"/>
                                      <w:lang w:val="el-GR"/>
                                    </w:rPr>
                                    <w:t xml:space="preserve">Σημαντικό: </w:t>
                                  </w:r>
                                  <w:r>
                                    <w:rPr>
                                      <w:sz w:val="22"/>
                                      <w:szCs w:val="22"/>
                                      <w:lang w:val="el-GR"/>
                                    </w:rPr>
                                    <w:t>Μην πετάτε την προγεμισμένη συσκευή τύπου πένας στα οικιακά απορρίμματα.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E8C5AE9" id="Text Box 32" o:spid="_x0000_s1043" type="#_x0000_t202" style="position:absolute;margin-left:-.2pt;margin-top:1.45pt;width:438.3pt;height:21.35pt;z-index:251657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hy5hIQgCAAAQBAAADgAA&#10;AAAAAAAAAAAAAAAuAgAAZHJzL2Uyb0RvYy54bWxQSwECLQAUAAYACAAAACEAYnhH1tsAAAAGAQAA&#10;DwAAAAAAAAAAAAAAAABiBAAAZHJzL2Rvd25yZXYueG1sUEsFBgAAAAAEAAQA8wAAAGoFAAAAAA==&#10;" strokecolor="red" strokeweight="1.5pt">
                      <v:textbox style="mso-fit-shape-to-text:t">
                        <w:txbxContent>
                          <w:p w14:paraId="79CB9D02" w14:textId="77777777" w:rsidR="00171824" w:rsidRDefault="006D258C">
                            <w:pPr>
                              <w:tabs>
                                <w:tab w:val="left" w:pos="1134"/>
                              </w:tabs>
                              <w:rPr>
                                <w:sz w:val="22"/>
                                <w:szCs w:val="22"/>
                                <w:lang w:val="el-GR"/>
                              </w:rPr>
                            </w:pPr>
                            <w:r>
                              <w:rPr>
                                <w:b/>
                                <w:sz w:val="22"/>
                                <w:szCs w:val="22"/>
                                <w:lang w:val="el-GR"/>
                              </w:rPr>
                              <w:t xml:space="preserve">Σημαντικό: </w:t>
                            </w:r>
                            <w:r>
                              <w:rPr>
                                <w:sz w:val="22"/>
                                <w:szCs w:val="22"/>
                                <w:lang w:val="el-GR"/>
                              </w:rPr>
                              <w:t>Μην πετάτε την προγεμισμένη συσκευή τύπου πένας στα οικιακά απορρίμματα.</w:t>
                            </w:r>
                          </w:p>
                        </w:txbxContent>
                      </v:textbox>
                      <w10:wrap type="square" anchorx="margin"/>
                    </v:shape>
                  </w:pict>
                </mc:Fallback>
              </mc:AlternateContent>
            </w:r>
          </w:p>
        </w:tc>
      </w:tr>
      <w:tr w:rsidR="00171824" w:rsidRPr="00A07F46" w14:paraId="5A015929"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2821BB8A" w14:textId="77777777" w:rsidR="00171824" w:rsidRDefault="006D258C">
            <w:pPr>
              <w:keepNext/>
              <w:rPr>
                <w:b/>
                <w:bCs/>
                <w:sz w:val="22"/>
                <w:szCs w:val="22"/>
                <w:lang w:val="el-GR"/>
              </w:rPr>
            </w:pPr>
            <w:r>
              <w:rPr>
                <w:b/>
                <w:sz w:val="22"/>
                <w:szCs w:val="22"/>
                <w:lang w:val="el-GR"/>
              </w:rPr>
              <w:t>5α</w:t>
            </w:r>
          </w:p>
        </w:tc>
        <w:tc>
          <w:tcPr>
            <w:tcW w:w="4617" w:type="pct"/>
            <w:tcBorders>
              <w:top w:val="single" w:sz="4" w:space="0" w:color="auto"/>
              <w:left w:val="single" w:sz="4" w:space="0" w:color="auto"/>
              <w:bottom w:val="single" w:sz="4" w:space="0" w:color="auto"/>
            </w:tcBorders>
            <w:tcMar>
              <w:left w:w="0" w:type="dxa"/>
            </w:tcMar>
          </w:tcPr>
          <w:p w14:paraId="312455EE" w14:textId="77777777" w:rsidR="00171824" w:rsidRDefault="006D258C">
            <w:pPr>
              <w:keepNext/>
              <w:rPr>
                <w:b/>
                <w:bCs/>
                <w:sz w:val="22"/>
                <w:szCs w:val="22"/>
                <w:lang w:val="el-GR"/>
              </w:rPr>
            </w:pPr>
            <w:r>
              <w:rPr>
                <w:b/>
                <w:sz w:val="22"/>
                <w:szCs w:val="22"/>
                <w:lang w:val="el-GR"/>
              </w:rPr>
              <w:t xml:space="preserve">Τοποθετήστε τη χρησιμοποιημένη προγεμισμένη συσκευή τύπου πένας και το κίτρινο κάλυμμα </w:t>
            </w:r>
            <w:del w:id="311" w:author="Author">
              <w:r>
                <w:rPr>
                  <w:b/>
                  <w:sz w:val="22"/>
                  <w:szCs w:val="22"/>
                  <w:lang w:val="el-GR"/>
                </w:rPr>
                <w:delText xml:space="preserve">στο </w:delText>
              </w:r>
            </w:del>
            <w:ins w:id="312" w:author="Author">
              <w:r>
                <w:rPr>
                  <w:b/>
                  <w:sz w:val="22"/>
                  <w:szCs w:val="22"/>
                  <w:lang w:val="el-GR"/>
                </w:rPr>
                <w:t xml:space="preserve">σε ένα </w:t>
              </w:r>
            </w:ins>
            <w:r>
              <w:rPr>
                <w:b/>
                <w:sz w:val="22"/>
                <w:szCs w:val="22"/>
                <w:lang w:val="el-GR"/>
              </w:rPr>
              <w:t>δοχείο απόρριψης αιχμηρών αντικειμένων</w:t>
            </w:r>
            <w:ins w:id="313" w:author="Author">
              <w:r>
                <w:rPr>
                  <w:b/>
                  <w:sz w:val="22"/>
                  <w:szCs w:val="22"/>
                  <w:lang w:val="el-GR"/>
                </w:rPr>
                <w:t xml:space="preserve"> αμέσως μετά τη χρήση</w:t>
              </w:r>
            </w:ins>
            <w:r>
              <w:rPr>
                <w:b/>
                <w:sz w:val="22"/>
                <w:szCs w:val="22"/>
                <w:lang w:val="el-GR"/>
              </w:rPr>
              <w:t>.</w:t>
            </w:r>
          </w:p>
        </w:tc>
      </w:tr>
      <w:tr w:rsidR="00171824" w:rsidRPr="00A07F46" w14:paraId="33849D42" w14:textId="77777777" w:rsidTr="00422380">
        <w:trPr>
          <w:cantSplit/>
          <w:trHeight w:val="57"/>
        </w:trPr>
        <w:tc>
          <w:tcPr>
            <w:tcW w:w="383" w:type="pct"/>
            <w:tcBorders>
              <w:top w:val="single" w:sz="4" w:space="0" w:color="auto"/>
              <w:bottom w:val="nil"/>
              <w:right w:val="nil"/>
            </w:tcBorders>
            <w:tcMar>
              <w:top w:w="28" w:type="dxa"/>
              <w:left w:w="57" w:type="dxa"/>
              <w:bottom w:w="28" w:type="dxa"/>
              <w:right w:w="57" w:type="dxa"/>
            </w:tcMar>
          </w:tcPr>
          <w:p w14:paraId="00C66199" w14:textId="77777777" w:rsidR="00171824" w:rsidRDefault="00171824">
            <w:pPr>
              <w:keepNext/>
              <w:widowControl/>
              <w:numPr>
                <w:ilvl w:val="0"/>
                <w:numId w:val="36"/>
              </w:numPr>
              <w:autoSpaceDE/>
              <w:autoSpaceDN/>
              <w:adjustRightInd/>
              <w:ind w:left="567" w:hanging="567"/>
              <w:rPr>
                <w:sz w:val="22"/>
                <w:szCs w:val="22"/>
                <w:lang w:val="el-GR"/>
              </w:rPr>
            </w:pPr>
          </w:p>
        </w:tc>
        <w:tc>
          <w:tcPr>
            <w:tcW w:w="4617" w:type="pct"/>
            <w:tcBorders>
              <w:top w:val="single" w:sz="4" w:space="0" w:color="auto"/>
              <w:left w:val="nil"/>
              <w:bottom w:val="nil"/>
            </w:tcBorders>
            <w:tcMar>
              <w:left w:w="0" w:type="dxa"/>
            </w:tcMar>
          </w:tcPr>
          <w:p w14:paraId="559AED0B" w14:textId="77777777" w:rsidR="00171824" w:rsidRDefault="006D258C">
            <w:pPr>
              <w:keepNext/>
              <w:rPr>
                <w:b/>
                <w:bCs/>
                <w:sz w:val="22"/>
                <w:szCs w:val="22"/>
                <w:lang w:val="el-GR"/>
              </w:rPr>
            </w:pPr>
            <w:r>
              <w:rPr>
                <w:b/>
                <w:bCs/>
                <w:sz w:val="22"/>
                <w:szCs w:val="22"/>
                <w:lang w:val="el-GR"/>
              </w:rPr>
              <w:t>Μη</w:t>
            </w:r>
            <w:r>
              <w:rPr>
                <w:sz w:val="22"/>
                <w:szCs w:val="22"/>
                <w:lang w:val="el-GR"/>
              </w:rPr>
              <w:t xml:space="preserve"> χρησιμοποιήσετε ξανά την προγεμισμένη συσκευή τύπου πένας.</w:t>
            </w:r>
          </w:p>
        </w:tc>
      </w:tr>
      <w:tr w:rsidR="00171824" w:rsidRPr="00A07F46" w14:paraId="1A392D05" w14:textId="77777777" w:rsidTr="00422380">
        <w:trPr>
          <w:cantSplit/>
          <w:trHeight w:val="57"/>
        </w:trPr>
        <w:tc>
          <w:tcPr>
            <w:tcW w:w="383" w:type="pct"/>
            <w:tcBorders>
              <w:top w:val="nil"/>
              <w:bottom w:val="single" w:sz="4" w:space="0" w:color="auto"/>
              <w:right w:val="nil"/>
            </w:tcBorders>
            <w:tcMar>
              <w:top w:w="28" w:type="dxa"/>
              <w:left w:w="57" w:type="dxa"/>
              <w:bottom w:w="28" w:type="dxa"/>
              <w:right w:w="57" w:type="dxa"/>
            </w:tcMar>
          </w:tcPr>
          <w:p w14:paraId="0191BF41" w14:textId="77777777" w:rsidR="00171824" w:rsidRDefault="00171824">
            <w:pPr>
              <w:keepNext/>
              <w:widowControl/>
              <w:numPr>
                <w:ilvl w:val="0"/>
                <w:numId w:val="36"/>
              </w:numPr>
              <w:autoSpaceDE/>
              <w:autoSpaceDN/>
              <w:adjustRightInd/>
              <w:ind w:left="567" w:hanging="567"/>
              <w:rPr>
                <w:sz w:val="22"/>
                <w:szCs w:val="22"/>
                <w:lang w:val="el-GR"/>
              </w:rPr>
            </w:pPr>
          </w:p>
        </w:tc>
        <w:tc>
          <w:tcPr>
            <w:tcW w:w="4617" w:type="pct"/>
            <w:tcBorders>
              <w:top w:val="nil"/>
              <w:left w:val="nil"/>
              <w:bottom w:val="single" w:sz="4" w:space="0" w:color="auto"/>
            </w:tcBorders>
            <w:tcMar>
              <w:left w:w="0" w:type="dxa"/>
            </w:tcMar>
          </w:tcPr>
          <w:p w14:paraId="4F62BEA9" w14:textId="77777777" w:rsidR="00171824" w:rsidRDefault="006D258C">
            <w:pPr>
              <w:keepNext/>
              <w:rPr>
                <w:b/>
                <w:bCs/>
                <w:sz w:val="22"/>
                <w:szCs w:val="22"/>
                <w:lang w:val="el-GR"/>
              </w:rPr>
            </w:pPr>
            <w:r>
              <w:rPr>
                <w:b/>
                <w:bCs/>
                <w:sz w:val="22"/>
                <w:szCs w:val="22"/>
                <w:lang w:val="el-GR"/>
              </w:rPr>
              <w:t>Μην</w:t>
            </w:r>
            <w:r>
              <w:rPr>
                <w:sz w:val="22"/>
                <w:szCs w:val="22"/>
                <w:lang w:val="el-GR"/>
              </w:rPr>
              <w:t xml:space="preserve"> αγγίζετε το κρεμ προστατευτικό κάλυμμα ασφαλείας.</w:t>
            </w:r>
          </w:p>
        </w:tc>
      </w:tr>
      <w:tr w:rsidR="00171824" w:rsidRPr="00A07F46" w14:paraId="6A1D6436" w14:textId="77777777" w:rsidTr="00422380">
        <w:trPr>
          <w:cantSplit/>
          <w:trHeight w:val="57"/>
          <w:ins w:id="314" w:author="Author"/>
        </w:trPr>
        <w:tc>
          <w:tcPr>
            <w:tcW w:w="383" w:type="pct"/>
            <w:tcBorders>
              <w:top w:val="single" w:sz="4" w:space="0" w:color="auto"/>
              <w:left w:val="nil"/>
              <w:bottom w:val="single" w:sz="4" w:space="0" w:color="auto"/>
              <w:right w:val="nil"/>
            </w:tcBorders>
            <w:tcMar>
              <w:top w:w="28" w:type="dxa"/>
              <w:left w:w="57" w:type="dxa"/>
              <w:bottom w:w="28" w:type="dxa"/>
              <w:right w:w="57" w:type="dxa"/>
            </w:tcMar>
          </w:tcPr>
          <w:p w14:paraId="1E80CCAB" w14:textId="77777777" w:rsidR="00171824" w:rsidRDefault="00171824" w:rsidP="00422380">
            <w:pPr>
              <w:keepNext/>
              <w:widowControl/>
              <w:autoSpaceDE/>
              <w:autoSpaceDN/>
              <w:adjustRightInd/>
              <w:rPr>
                <w:ins w:id="315" w:author="Author"/>
                <w:sz w:val="22"/>
                <w:szCs w:val="22"/>
                <w:lang w:val="el-GR"/>
              </w:rPr>
            </w:pPr>
          </w:p>
        </w:tc>
        <w:tc>
          <w:tcPr>
            <w:tcW w:w="4617" w:type="pct"/>
            <w:tcBorders>
              <w:top w:val="single" w:sz="4" w:space="0" w:color="auto"/>
              <w:left w:val="nil"/>
              <w:bottom w:val="single" w:sz="4" w:space="0" w:color="auto"/>
              <w:right w:val="nil"/>
            </w:tcBorders>
            <w:tcMar>
              <w:left w:w="0" w:type="dxa"/>
            </w:tcMar>
          </w:tcPr>
          <w:p w14:paraId="4E388A45" w14:textId="77777777" w:rsidR="00171824" w:rsidRDefault="00171824">
            <w:pPr>
              <w:keepNext/>
              <w:rPr>
                <w:ins w:id="316" w:author="Author"/>
                <w:b/>
                <w:bCs/>
                <w:sz w:val="22"/>
                <w:szCs w:val="22"/>
                <w:lang w:val="el-GR"/>
              </w:rPr>
            </w:pPr>
          </w:p>
        </w:tc>
      </w:tr>
      <w:tr w:rsidR="00171824" w:rsidRPr="00A07F46" w14:paraId="009978FA" w14:textId="77777777" w:rsidTr="00422380">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049A6215" w14:textId="77777777" w:rsidR="00171824" w:rsidRDefault="006D258C">
            <w:pPr>
              <w:keepNext/>
              <w:rPr>
                <w:sz w:val="22"/>
                <w:szCs w:val="22"/>
                <w:lang w:val="el-GR"/>
              </w:rPr>
            </w:pPr>
            <w:r>
              <w:rPr>
                <w:b/>
                <w:sz w:val="22"/>
                <w:szCs w:val="22"/>
                <w:lang w:val="el-GR"/>
              </w:rPr>
              <w:t>5β</w:t>
            </w:r>
          </w:p>
        </w:tc>
        <w:tc>
          <w:tcPr>
            <w:tcW w:w="4617" w:type="pct"/>
            <w:tcBorders>
              <w:top w:val="single" w:sz="4" w:space="0" w:color="auto"/>
              <w:left w:val="single" w:sz="4" w:space="0" w:color="auto"/>
              <w:bottom w:val="single" w:sz="4" w:space="0" w:color="auto"/>
            </w:tcBorders>
            <w:tcMar>
              <w:left w:w="0" w:type="dxa"/>
            </w:tcMar>
          </w:tcPr>
          <w:p w14:paraId="31B179C6" w14:textId="77777777" w:rsidR="00171824" w:rsidRDefault="006D258C">
            <w:pPr>
              <w:keepNext/>
              <w:rPr>
                <w:b/>
                <w:bCs/>
                <w:sz w:val="22"/>
                <w:szCs w:val="22"/>
                <w:lang w:val="el-GR"/>
              </w:rPr>
            </w:pPr>
            <w:r>
              <w:rPr>
                <w:b/>
                <w:sz w:val="22"/>
                <w:szCs w:val="22"/>
                <w:lang w:val="el-GR"/>
              </w:rPr>
              <w:t>Ελέγξτε τη θέση της ένεσης.</w:t>
            </w:r>
          </w:p>
        </w:tc>
      </w:tr>
      <w:tr w:rsidR="00171824" w:rsidRPr="00A07F46" w14:paraId="5E4E1015"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1AC2AC58" w14:textId="77777777" w:rsidR="00171824" w:rsidRDefault="00171824">
            <w:pPr>
              <w:keepNext/>
              <w:widowControl/>
              <w:numPr>
                <w:ilvl w:val="0"/>
                <w:numId w:val="36"/>
              </w:numPr>
              <w:autoSpaceDE/>
              <w:autoSpaceDN/>
              <w:adjustRightInd/>
              <w:ind w:left="567" w:hanging="567"/>
              <w:rPr>
                <w:sz w:val="22"/>
                <w:szCs w:val="22"/>
                <w:lang w:val="el-GR"/>
              </w:rPr>
            </w:pPr>
          </w:p>
        </w:tc>
        <w:tc>
          <w:tcPr>
            <w:tcW w:w="4617" w:type="pct"/>
            <w:tcBorders>
              <w:top w:val="single" w:sz="4" w:space="0" w:color="auto"/>
              <w:left w:val="nil"/>
              <w:bottom w:val="nil"/>
            </w:tcBorders>
            <w:tcMar>
              <w:left w:w="0" w:type="dxa"/>
            </w:tcMar>
          </w:tcPr>
          <w:p w14:paraId="395A752D" w14:textId="77777777" w:rsidR="00171824" w:rsidRDefault="006D258C">
            <w:pPr>
              <w:keepNext/>
              <w:rPr>
                <w:b/>
                <w:bCs/>
                <w:sz w:val="22"/>
                <w:szCs w:val="22"/>
                <w:lang w:val="el-GR"/>
              </w:rPr>
            </w:pPr>
            <w:r>
              <w:rPr>
                <w:b/>
                <w:bCs/>
                <w:sz w:val="22"/>
                <w:szCs w:val="22"/>
                <w:lang w:val="el-GR"/>
              </w:rPr>
              <w:t>Μην</w:t>
            </w:r>
            <w:r>
              <w:rPr>
                <w:sz w:val="22"/>
                <w:szCs w:val="22"/>
                <w:lang w:val="el-GR"/>
              </w:rPr>
              <w:t xml:space="preserve"> τρίβετε τη θέση της ένεσης. </w:t>
            </w:r>
          </w:p>
        </w:tc>
      </w:tr>
      <w:tr w:rsidR="00171824" w14:paraId="2C15F408"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3CBD7C8"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single" w:sz="4" w:space="0" w:color="auto"/>
            </w:tcBorders>
            <w:tcMar>
              <w:left w:w="0" w:type="dxa"/>
            </w:tcMar>
          </w:tcPr>
          <w:p w14:paraId="6E2211E8" w14:textId="77777777" w:rsidR="00171824" w:rsidRDefault="006D258C">
            <w:pPr>
              <w:rPr>
                <w:b/>
                <w:bCs/>
                <w:sz w:val="22"/>
                <w:szCs w:val="22"/>
                <w:lang w:val="el-GR"/>
              </w:rPr>
            </w:pPr>
            <w:r>
              <w:rPr>
                <w:sz w:val="22"/>
                <w:szCs w:val="22"/>
                <w:lang w:val="el-GR"/>
              </w:rPr>
              <w:t>Εάν υπάρχει αίμα, πιέστε ένα κομμάτι βαμβακιού ή γάζας επάνω στη θέση της ένεσης. Εάν χρειαστεί, τοποθετήστε έναν αυτοκόλλητο επίδεσμο.</w:t>
            </w:r>
          </w:p>
        </w:tc>
      </w:tr>
    </w:tbl>
    <w:p w14:paraId="613FAF65" w14:textId="77777777" w:rsidR="00171824" w:rsidRDefault="00171824">
      <w:pPr>
        <w:suppressAutoHyphens/>
        <w:contextualSpacing/>
        <w:textAlignment w:val="center"/>
        <w:rPr>
          <w:sz w:val="22"/>
          <w:szCs w:val="22"/>
          <w:highlight w:val="lightGray"/>
          <w:lang w:val="el-GR"/>
        </w:rPr>
      </w:pPr>
    </w:p>
    <w:p w14:paraId="6338A362" w14:textId="77777777" w:rsidR="00171824" w:rsidRDefault="006D258C">
      <w:pPr>
        <w:widowControl/>
        <w:jc w:val="center"/>
        <w:rPr>
          <w:b/>
          <w:bCs/>
          <w:sz w:val="22"/>
          <w:szCs w:val="22"/>
          <w:lang w:val="el-GR"/>
        </w:rPr>
      </w:pPr>
      <w:r>
        <w:rPr>
          <w:rFonts w:eastAsia="Arial Unicode MS"/>
          <w:color w:val="000000"/>
          <w:sz w:val="22"/>
          <w:szCs w:val="22"/>
          <w:lang w:val="el-GR" w:bidi="en-US"/>
        </w:rPr>
        <w:br w:type="page"/>
      </w:r>
      <w:r>
        <w:rPr>
          <w:b/>
          <w:bCs/>
          <w:sz w:val="22"/>
          <w:szCs w:val="22"/>
          <w:lang w:val="el-GR"/>
        </w:rPr>
        <w:lastRenderedPageBreak/>
        <w:t>Φύλλο οδηγιών χρήσης: Πληροφορίες για τον ασθενή</w:t>
      </w:r>
    </w:p>
    <w:p w14:paraId="0EE0E3CF" w14:textId="77777777" w:rsidR="00171824" w:rsidRDefault="00171824">
      <w:pPr>
        <w:widowControl/>
        <w:kinsoku w:val="0"/>
        <w:overflowPunct w:val="0"/>
        <w:jc w:val="center"/>
        <w:rPr>
          <w:sz w:val="22"/>
          <w:szCs w:val="22"/>
          <w:lang w:val="el-GR"/>
        </w:rPr>
      </w:pPr>
    </w:p>
    <w:p w14:paraId="649043AE" w14:textId="77777777" w:rsidR="00171824" w:rsidRDefault="006D258C">
      <w:pPr>
        <w:widowControl/>
        <w:kinsoku w:val="0"/>
        <w:overflowPunct w:val="0"/>
        <w:jc w:val="center"/>
        <w:rPr>
          <w:sz w:val="22"/>
          <w:szCs w:val="22"/>
          <w:lang w:val="el-GR"/>
        </w:rPr>
      </w:pPr>
      <w:r>
        <w:rPr>
          <w:b/>
          <w:bCs/>
          <w:sz w:val="22"/>
          <w:szCs w:val="22"/>
          <w:lang w:val="el-GR"/>
        </w:rPr>
        <w:t>AMGEVITA 80 mg ενέσιμο διάλυμα σε προγεμισμένη συσκευή τύπου πένας</w:t>
      </w:r>
    </w:p>
    <w:p w14:paraId="0D814EFE" w14:textId="77777777" w:rsidR="00171824" w:rsidRDefault="006D258C">
      <w:pPr>
        <w:widowControl/>
        <w:kinsoku w:val="0"/>
        <w:overflowPunct w:val="0"/>
        <w:jc w:val="center"/>
        <w:rPr>
          <w:sz w:val="22"/>
          <w:szCs w:val="22"/>
          <w:lang w:val="el-GR"/>
        </w:rPr>
      </w:pPr>
      <w:r>
        <w:rPr>
          <w:sz w:val="22"/>
          <w:szCs w:val="22"/>
          <w:lang w:val="el-GR"/>
        </w:rPr>
        <w:t>adalimumab</w:t>
      </w:r>
    </w:p>
    <w:p w14:paraId="34C02584" w14:textId="77777777" w:rsidR="00171824" w:rsidRDefault="00171824">
      <w:pPr>
        <w:widowControl/>
        <w:kinsoku w:val="0"/>
        <w:overflowPunct w:val="0"/>
        <w:rPr>
          <w:sz w:val="22"/>
          <w:szCs w:val="22"/>
          <w:lang w:val="el-GR"/>
        </w:rPr>
      </w:pPr>
    </w:p>
    <w:p w14:paraId="4A6BF81E" w14:textId="77777777" w:rsidR="00171824" w:rsidRDefault="00171824">
      <w:pPr>
        <w:widowControl/>
        <w:kinsoku w:val="0"/>
        <w:overflowPunct w:val="0"/>
        <w:rPr>
          <w:sz w:val="22"/>
          <w:szCs w:val="22"/>
          <w:lang w:val="el-GR"/>
        </w:rPr>
      </w:pPr>
    </w:p>
    <w:p w14:paraId="2B1A7576" w14:textId="77777777" w:rsidR="00171824" w:rsidRDefault="006D258C">
      <w:pPr>
        <w:widowControl/>
        <w:kinsoku w:val="0"/>
        <w:overflowPunct w:val="0"/>
        <w:outlineLvl w:val="0"/>
        <w:rPr>
          <w:sz w:val="22"/>
          <w:szCs w:val="22"/>
          <w:lang w:val="el-GR"/>
        </w:rPr>
      </w:pPr>
      <w:r>
        <w:rPr>
          <w:b/>
          <w:bCs/>
          <w:sz w:val="22"/>
          <w:szCs w:val="22"/>
          <w:lang w:val="el-GR"/>
        </w:rPr>
        <w:t>Διαβάστε προσεκτικά ολόκληρο το φύλλο οδηγιών χρήσης πριν αρχίσετε να χρησιμοποιείτε αυτό το φάρμακο, διότι περιλαμβάνει σημαντικές πληροφορίες για σας.</w:t>
      </w:r>
    </w:p>
    <w:p w14:paraId="3118EC30"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Φυλάξτε αυτό το φύλλο οδηγιών χρήσης. Ίσως χρειαστεί να το διαβάσετε ξανά.</w:t>
      </w:r>
    </w:p>
    <w:p w14:paraId="2429A962"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 xml:space="preserve">Ο γιατρός σας θα σας δώσει μια </w:t>
      </w:r>
      <w:r>
        <w:rPr>
          <w:b/>
          <w:sz w:val="22"/>
          <w:szCs w:val="22"/>
          <w:lang w:val="el-GR"/>
        </w:rPr>
        <w:t>Κάρτα Υπενθύμισης του Ασθενούς</w:t>
      </w:r>
      <w:r>
        <w:rPr>
          <w:sz w:val="22"/>
          <w:szCs w:val="22"/>
          <w:lang w:val="el-GR"/>
        </w:rPr>
        <w:t xml:space="preserve">, η οποία περιέχει σημαντικές πληροφορίες για την ασφάλεια του φαρμάκου τις οποίες θα πρέπει να γνωρίζετε πριν λάβετε AMGEVITA καθώς και κατά τη διάρκεια της θεραπείας με AMGEVITA. Φυλάξτε την </w:t>
      </w:r>
      <w:r>
        <w:rPr>
          <w:b/>
          <w:sz w:val="22"/>
          <w:szCs w:val="22"/>
          <w:lang w:val="el-GR"/>
        </w:rPr>
        <w:t>Κάρτα Υπενθύμισης του Ασθενούς</w:t>
      </w:r>
      <w:r>
        <w:rPr>
          <w:sz w:val="22"/>
          <w:szCs w:val="22"/>
          <w:lang w:val="el-GR"/>
        </w:rPr>
        <w:t xml:space="preserve"> μαζί με το φύλλο οδηγιών χρήσης.</w:t>
      </w:r>
    </w:p>
    <w:p w14:paraId="6D53D410"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Εάν έχετε περαιτέρω απορίες, ρωτήστε τον γιατρό ή τον φαρμακοποιό σας.</w:t>
      </w:r>
    </w:p>
    <w:p w14:paraId="43FB643F"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Η συνταγή για αυτό το φάρμακο χορηγήθηκε αποκλειστικά για σας. Δεν πρέπει να δώσετε το φάρμακο σε άλλους. Μπορεί να τους προκαλέσει βλάβη, ακόμα και όταν τα συμπτώματα της ασθένειάς τους είναι ίδια με τα δικά σας.</w:t>
      </w:r>
    </w:p>
    <w:p w14:paraId="1E41973C" w14:textId="77777777" w:rsidR="00171824" w:rsidRDefault="006D258C">
      <w:pPr>
        <w:widowControl/>
        <w:numPr>
          <w:ilvl w:val="0"/>
          <w:numId w:val="20"/>
        </w:numPr>
        <w:tabs>
          <w:tab w:val="left" w:pos="567"/>
        </w:tabs>
        <w:kinsoku w:val="0"/>
        <w:overflowPunct w:val="0"/>
        <w:autoSpaceDE/>
        <w:autoSpaceDN/>
        <w:adjustRightInd/>
        <w:ind w:left="567" w:hanging="567"/>
        <w:rPr>
          <w:sz w:val="22"/>
          <w:szCs w:val="22"/>
          <w:lang w:val="el-GR"/>
        </w:rPr>
      </w:pPr>
      <w:r>
        <w:rPr>
          <w:sz w:val="22"/>
          <w:szCs w:val="22"/>
          <w:lang w:val="el-GR"/>
        </w:rPr>
        <w:t>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(βλέπε παράγραφο 4).</w:t>
      </w:r>
    </w:p>
    <w:p w14:paraId="5553A42C" w14:textId="77777777" w:rsidR="00171824" w:rsidRDefault="00171824">
      <w:pPr>
        <w:widowControl/>
        <w:kinsoku w:val="0"/>
        <w:overflowPunct w:val="0"/>
        <w:rPr>
          <w:sz w:val="22"/>
          <w:szCs w:val="22"/>
          <w:lang w:val="el-GR"/>
        </w:rPr>
      </w:pPr>
    </w:p>
    <w:p w14:paraId="04CE21DA" w14:textId="77777777" w:rsidR="00171824" w:rsidRDefault="006D258C">
      <w:pPr>
        <w:widowControl/>
        <w:kinsoku w:val="0"/>
        <w:overflowPunct w:val="0"/>
        <w:outlineLvl w:val="0"/>
        <w:rPr>
          <w:sz w:val="22"/>
          <w:szCs w:val="22"/>
          <w:lang w:val="el-GR"/>
        </w:rPr>
      </w:pPr>
      <w:r>
        <w:rPr>
          <w:b/>
          <w:bCs/>
          <w:sz w:val="22"/>
          <w:szCs w:val="22"/>
          <w:lang w:val="el-GR"/>
        </w:rPr>
        <w:t>Τι περιέχει το παρόν φύλλο οδηγιών:</w:t>
      </w:r>
    </w:p>
    <w:p w14:paraId="72F550F4"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1.</w:t>
      </w:r>
      <w:r>
        <w:rPr>
          <w:sz w:val="22"/>
          <w:szCs w:val="22"/>
          <w:lang w:val="el-GR"/>
        </w:rPr>
        <w:tab/>
        <w:t>Τι είναι το AMGEVITA και ποια είναι η χρήση του</w:t>
      </w:r>
    </w:p>
    <w:p w14:paraId="482F99A6"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2.</w:t>
      </w:r>
      <w:r>
        <w:rPr>
          <w:sz w:val="22"/>
          <w:szCs w:val="22"/>
          <w:lang w:val="el-GR"/>
        </w:rPr>
        <w:tab/>
        <w:t xml:space="preserve">Τι πρέπει να γνωρίζετε πριν χρησιμοποιήσετε το AMGEVITA </w:t>
      </w:r>
    </w:p>
    <w:p w14:paraId="65265CA1"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3.</w:t>
      </w:r>
      <w:r>
        <w:rPr>
          <w:sz w:val="22"/>
          <w:szCs w:val="22"/>
          <w:lang w:val="el-GR"/>
        </w:rPr>
        <w:tab/>
        <w:t xml:space="preserve">Πώς να χρησιμοποιήσετε το AMGEVITA </w:t>
      </w:r>
    </w:p>
    <w:p w14:paraId="0BBC78D7"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4.</w:t>
      </w:r>
      <w:r>
        <w:rPr>
          <w:sz w:val="22"/>
          <w:szCs w:val="22"/>
          <w:lang w:val="el-GR"/>
        </w:rPr>
        <w:tab/>
        <w:t>Πιθανές ανεπιθύμητες ενέργειες</w:t>
      </w:r>
    </w:p>
    <w:p w14:paraId="5874763E"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5.</w:t>
      </w:r>
      <w:r>
        <w:rPr>
          <w:sz w:val="22"/>
          <w:szCs w:val="22"/>
          <w:lang w:val="el-GR"/>
        </w:rPr>
        <w:tab/>
        <w:t xml:space="preserve">Πώς να φυλάσσετε το AMGEVITA </w:t>
      </w:r>
    </w:p>
    <w:p w14:paraId="06E913D3"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6.</w:t>
      </w:r>
      <w:r>
        <w:rPr>
          <w:sz w:val="22"/>
          <w:szCs w:val="22"/>
          <w:lang w:val="el-GR"/>
        </w:rPr>
        <w:tab/>
        <w:t>Περιεχόμενο της συσκευασίας και λοιπές πληροφορίες</w:t>
      </w:r>
    </w:p>
    <w:p w14:paraId="36AA3D53" w14:textId="77777777" w:rsidR="00171824" w:rsidRDefault="00171824">
      <w:pPr>
        <w:widowControl/>
        <w:kinsoku w:val="0"/>
        <w:overflowPunct w:val="0"/>
        <w:rPr>
          <w:sz w:val="22"/>
          <w:szCs w:val="22"/>
          <w:lang w:val="el-GR"/>
        </w:rPr>
      </w:pPr>
    </w:p>
    <w:p w14:paraId="3BFF716B" w14:textId="77777777" w:rsidR="00171824" w:rsidRDefault="00171824">
      <w:pPr>
        <w:widowControl/>
        <w:kinsoku w:val="0"/>
        <w:overflowPunct w:val="0"/>
        <w:rPr>
          <w:sz w:val="22"/>
          <w:szCs w:val="22"/>
          <w:lang w:val="el-GR"/>
        </w:rPr>
      </w:pPr>
    </w:p>
    <w:p w14:paraId="51AEEEA9" w14:textId="77777777" w:rsidR="00171824" w:rsidRDefault="006D258C">
      <w:pPr>
        <w:widowControl/>
        <w:tabs>
          <w:tab w:val="left" w:pos="567"/>
        </w:tabs>
        <w:kinsoku w:val="0"/>
        <w:overflowPunct w:val="0"/>
        <w:autoSpaceDE/>
        <w:autoSpaceDN/>
        <w:adjustRightInd/>
        <w:outlineLvl w:val="0"/>
        <w:rPr>
          <w:sz w:val="22"/>
          <w:szCs w:val="22"/>
          <w:lang w:val="el-GR"/>
        </w:rPr>
      </w:pPr>
      <w:r>
        <w:rPr>
          <w:b/>
          <w:bCs/>
          <w:sz w:val="22"/>
          <w:szCs w:val="22"/>
          <w:lang w:val="el-GR"/>
        </w:rPr>
        <w:t>1.</w:t>
      </w:r>
      <w:r>
        <w:rPr>
          <w:b/>
          <w:bCs/>
          <w:sz w:val="22"/>
          <w:szCs w:val="22"/>
          <w:lang w:val="el-GR"/>
        </w:rPr>
        <w:tab/>
        <w:t>Τι είναι το AMGEVITA και ποια είναι η χρήση του</w:t>
      </w:r>
    </w:p>
    <w:p w14:paraId="3F06AC9A" w14:textId="77777777" w:rsidR="00171824" w:rsidRDefault="00171824">
      <w:pPr>
        <w:widowControl/>
        <w:kinsoku w:val="0"/>
        <w:overflowPunct w:val="0"/>
        <w:rPr>
          <w:sz w:val="22"/>
          <w:szCs w:val="22"/>
          <w:lang w:val="el-GR"/>
        </w:rPr>
      </w:pPr>
    </w:p>
    <w:p w14:paraId="7E18564D" w14:textId="77777777" w:rsidR="00171824" w:rsidRDefault="006D258C">
      <w:pPr>
        <w:widowControl/>
        <w:kinsoku w:val="0"/>
        <w:overflowPunct w:val="0"/>
        <w:rPr>
          <w:sz w:val="22"/>
          <w:szCs w:val="22"/>
          <w:lang w:val="el-GR"/>
        </w:rPr>
      </w:pPr>
      <w:r>
        <w:rPr>
          <w:sz w:val="22"/>
          <w:lang w:val="el-GR"/>
        </w:rPr>
        <w:t xml:space="preserve">Το AMGEVITA περιέχει τη δραστική ουσία adalimumab, ένα φάρμακο που δρα στο ανοσοποιητικό (αμυντικό) σύστημα του οργανισμού σας. </w:t>
      </w:r>
    </w:p>
    <w:p w14:paraId="06B3B752" w14:textId="77777777" w:rsidR="00171824" w:rsidRDefault="00171824">
      <w:pPr>
        <w:widowControl/>
        <w:kinsoku w:val="0"/>
        <w:overflowPunct w:val="0"/>
        <w:rPr>
          <w:sz w:val="22"/>
          <w:szCs w:val="22"/>
          <w:lang w:val="el-GR"/>
        </w:rPr>
      </w:pPr>
    </w:p>
    <w:p w14:paraId="378C7545" w14:textId="77777777" w:rsidR="00171824" w:rsidRDefault="006D258C">
      <w:pPr>
        <w:pStyle w:val="BodyText"/>
        <w:widowControl/>
        <w:kinsoku w:val="0"/>
        <w:overflowPunct w:val="0"/>
        <w:ind w:left="0"/>
        <w:rPr>
          <w:lang w:val="el-GR"/>
        </w:rPr>
      </w:pPr>
      <w:r>
        <w:rPr>
          <w:lang w:val="el-GR"/>
        </w:rPr>
        <w:t xml:space="preserve">Το AMGEVITA προορίζεται για τη θεραπεία των φλεγμονώδων νοσημάτων που περιγράφονται παρακάτω: </w:t>
      </w:r>
    </w:p>
    <w:p w14:paraId="227B9F8D" w14:textId="77777777" w:rsidR="00171824" w:rsidRDefault="006D258C">
      <w:pPr>
        <w:pStyle w:val="BodyText"/>
        <w:widowControl/>
        <w:numPr>
          <w:ilvl w:val="0"/>
          <w:numId w:val="23"/>
        </w:numPr>
        <w:kinsoku w:val="0"/>
        <w:overflowPunct w:val="0"/>
        <w:ind w:left="567" w:hanging="567"/>
        <w:rPr>
          <w:lang w:val="el-GR"/>
        </w:rPr>
      </w:pPr>
      <w:r>
        <w:rPr>
          <w:lang w:val="el-GR"/>
        </w:rPr>
        <w:t>Ρευματοειδής αρθρίτιδα</w:t>
      </w:r>
    </w:p>
    <w:p w14:paraId="7BA4A2A2" w14:textId="77777777" w:rsidR="00171824" w:rsidRDefault="006D258C">
      <w:pPr>
        <w:pStyle w:val="BodyText"/>
        <w:widowControl/>
        <w:numPr>
          <w:ilvl w:val="0"/>
          <w:numId w:val="23"/>
        </w:numPr>
        <w:kinsoku w:val="0"/>
        <w:overflowPunct w:val="0"/>
        <w:ind w:left="567" w:hanging="567"/>
        <w:rPr>
          <w:lang w:val="el-GR"/>
        </w:rPr>
      </w:pPr>
      <w:r>
        <w:rPr>
          <w:lang w:val="el-GR"/>
        </w:rPr>
        <w:t>Πολυαρθρική νεανική ιδιοπαθής αρθρίτιδα</w:t>
      </w:r>
    </w:p>
    <w:p w14:paraId="76002CD1" w14:textId="77777777" w:rsidR="00171824" w:rsidRDefault="006D258C">
      <w:pPr>
        <w:pStyle w:val="BodyText"/>
        <w:widowControl/>
        <w:numPr>
          <w:ilvl w:val="0"/>
          <w:numId w:val="23"/>
        </w:numPr>
        <w:kinsoku w:val="0"/>
        <w:overflowPunct w:val="0"/>
        <w:ind w:left="567" w:hanging="567"/>
        <w:rPr>
          <w:lang w:val="el-GR"/>
        </w:rPr>
      </w:pPr>
      <w:r>
        <w:rPr>
          <w:lang w:val="el-GR"/>
        </w:rPr>
        <w:t>Αρθρίτιδα σχετιζόμενη με ενθεσίτιδα</w:t>
      </w:r>
    </w:p>
    <w:p w14:paraId="7FC43373" w14:textId="77777777" w:rsidR="00171824" w:rsidRDefault="006D258C">
      <w:pPr>
        <w:pStyle w:val="BodyText"/>
        <w:widowControl/>
        <w:numPr>
          <w:ilvl w:val="0"/>
          <w:numId w:val="23"/>
        </w:numPr>
        <w:kinsoku w:val="0"/>
        <w:overflowPunct w:val="0"/>
        <w:ind w:left="567" w:hanging="567"/>
        <w:rPr>
          <w:lang w:val="el-GR"/>
        </w:rPr>
      </w:pPr>
      <w:r>
        <w:rPr>
          <w:lang w:val="el-GR"/>
        </w:rPr>
        <w:t>Αγκυλοποιητική σπονδυλίτιδα</w:t>
      </w:r>
    </w:p>
    <w:p w14:paraId="24F6C7C7" w14:textId="77777777" w:rsidR="00171824" w:rsidRDefault="006D258C">
      <w:pPr>
        <w:pStyle w:val="BodyText"/>
        <w:widowControl/>
        <w:numPr>
          <w:ilvl w:val="0"/>
          <w:numId w:val="23"/>
        </w:numPr>
        <w:kinsoku w:val="0"/>
        <w:overflowPunct w:val="0"/>
        <w:ind w:left="567" w:hanging="567"/>
        <w:rPr>
          <w:lang w:val="el-GR"/>
        </w:rPr>
      </w:pPr>
      <w:r>
        <w:rPr>
          <w:lang w:val="el-GR"/>
        </w:rPr>
        <w:t>Αξονική σπονδυλαρθρίτιδα χωρίς ακτινολογικά ευρήματα αγκυλοποιητικής σπονδυλίτιδας</w:t>
      </w:r>
    </w:p>
    <w:p w14:paraId="2A5AE0A8" w14:textId="77777777" w:rsidR="00171824" w:rsidRDefault="006D258C">
      <w:pPr>
        <w:pStyle w:val="BodyText"/>
        <w:widowControl/>
        <w:numPr>
          <w:ilvl w:val="0"/>
          <w:numId w:val="23"/>
        </w:numPr>
        <w:kinsoku w:val="0"/>
        <w:overflowPunct w:val="0"/>
        <w:ind w:left="567" w:hanging="567"/>
        <w:rPr>
          <w:lang w:val="el-GR"/>
        </w:rPr>
      </w:pPr>
      <w:r>
        <w:rPr>
          <w:lang w:val="el-GR"/>
        </w:rPr>
        <w:t>Ψωριασική αρθρίτιδα</w:t>
      </w:r>
    </w:p>
    <w:p w14:paraId="7B694BD1" w14:textId="77777777" w:rsidR="00171824" w:rsidRDefault="006D258C">
      <w:pPr>
        <w:pStyle w:val="BodyText"/>
        <w:widowControl/>
        <w:numPr>
          <w:ilvl w:val="0"/>
          <w:numId w:val="23"/>
        </w:numPr>
        <w:kinsoku w:val="0"/>
        <w:overflowPunct w:val="0"/>
        <w:ind w:left="567" w:hanging="567"/>
        <w:rPr>
          <w:lang w:val="el-GR"/>
        </w:rPr>
      </w:pPr>
      <w:r>
        <w:rPr>
          <w:lang w:val="el-GR"/>
        </w:rPr>
        <w:t xml:space="preserve">Ψωρίαση κατά πλάκας </w:t>
      </w:r>
    </w:p>
    <w:p w14:paraId="118E9960" w14:textId="77777777" w:rsidR="00171824" w:rsidRDefault="006D258C">
      <w:pPr>
        <w:pStyle w:val="BodyText"/>
        <w:widowControl/>
        <w:numPr>
          <w:ilvl w:val="0"/>
          <w:numId w:val="23"/>
        </w:numPr>
        <w:kinsoku w:val="0"/>
        <w:overflowPunct w:val="0"/>
        <w:ind w:left="567" w:hanging="567"/>
        <w:rPr>
          <w:lang w:val="el-GR"/>
        </w:rPr>
      </w:pPr>
      <w:r>
        <w:rPr>
          <w:lang w:val="el-GR"/>
        </w:rPr>
        <w:t>Διαπυητική ιδρωταδενίτιδα</w:t>
      </w:r>
    </w:p>
    <w:p w14:paraId="269EA283" w14:textId="77777777" w:rsidR="00171824" w:rsidRDefault="006D258C">
      <w:pPr>
        <w:pStyle w:val="BodyText"/>
        <w:widowControl/>
        <w:numPr>
          <w:ilvl w:val="0"/>
          <w:numId w:val="23"/>
        </w:numPr>
        <w:kinsoku w:val="0"/>
        <w:overflowPunct w:val="0"/>
        <w:ind w:left="567" w:hanging="567"/>
        <w:rPr>
          <w:lang w:val="el-GR"/>
        </w:rPr>
      </w:pPr>
      <w:r>
        <w:rPr>
          <w:lang w:val="el-GR"/>
        </w:rPr>
        <w:t xml:space="preserve">Νόσος του Crohn </w:t>
      </w:r>
    </w:p>
    <w:p w14:paraId="2ECD3CA1" w14:textId="77777777" w:rsidR="00171824" w:rsidRDefault="006D258C">
      <w:pPr>
        <w:pStyle w:val="BodyText"/>
        <w:widowControl/>
        <w:numPr>
          <w:ilvl w:val="0"/>
          <w:numId w:val="23"/>
        </w:numPr>
        <w:kinsoku w:val="0"/>
        <w:overflowPunct w:val="0"/>
        <w:ind w:left="567" w:hanging="567"/>
        <w:rPr>
          <w:lang w:val="el-GR"/>
        </w:rPr>
      </w:pPr>
      <w:r>
        <w:rPr>
          <w:lang w:val="el-GR"/>
        </w:rPr>
        <w:t>Ελκώδης κολίτιδα</w:t>
      </w:r>
    </w:p>
    <w:p w14:paraId="129BB971" w14:textId="77777777" w:rsidR="00171824" w:rsidRDefault="006D258C">
      <w:pPr>
        <w:pStyle w:val="BodyText"/>
        <w:widowControl/>
        <w:numPr>
          <w:ilvl w:val="0"/>
          <w:numId w:val="23"/>
        </w:numPr>
        <w:kinsoku w:val="0"/>
        <w:overflowPunct w:val="0"/>
        <w:ind w:left="567" w:hanging="567"/>
        <w:rPr>
          <w:lang w:val="el-GR"/>
        </w:rPr>
      </w:pPr>
      <w:r>
        <w:rPr>
          <w:lang w:val="el-GR"/>
        </w:rPr>
        <w:t>Μη λοιμώδης ραγοειδίτιδα</w:t>
      </w:r>
    </w:p>
    <w:p w14:paraId="7B25EC6E" w14:textId="77777777" w:rsidR="00171824" w:rsidRDefault="00171824">
      <w:pPr>
        <w:widowControl/>
        <w:kinsoku w:val="0"/>
        <w:overflowPunct w:val="0"/>
        <w:rPr>
          <w:sz w:val="22"/>
          <w:szCs w:val="22"/>
          <w:lang w:val="el-GR"/>
        </w:rPr>
      </w:pPr>
    </w:p>
    <w:p w14:paraId="78EC23A1" w14:textId="77777777" w:rsidR="00171824" w:rsidRDefault="006D258C">
      <w:pPr>
        <w:widowControl/>
        <w:kinsoku w:val="0"/>
        <w:overflowPunct w:val="0"/>
        <w:rPr>
          <w:sz w:val="22"/>
          <w:szCs w:val="22"/>
          <w:lang w:val="el-GR"/>
        </w:rPr>
      </w:pPr>
      <w:r>
        <w:rPr>
          <w:sz w:val="22"/>
          <w:szCs w:val="22"/>
          <w:lang w:val="el-GR"/>
        </w:rPr>
        <w:t xml:space="preserve">Η δραστική ουσία, στο AMGEVITA, το adalimumab, είναι ένα ανθρώπινο μονοκλωνικό αντίσωμα. Τα μονοκλωνικά αντισώματα είναι πρωτεΐνες που συνδέονται με ένα συγκεκριμένο στόχο. </w:t>
      </w:r>
    </w:p>
    <w:p w14:paraId="161FD871" w14:textId="77777777" w:rsidR="00171824" w:rsidRDefault="00171824">
      <w:pPr>
        <w:widowControl/>
        <w:kinsoku w:val="0"/>
        <w:overflowPunct w:val="0"/>
        <w:rPr>
          <w:sz w:val="22"/>
          <w:szCs w:val="22"/>
          <w:lang w:val="el-GR"/>
        </w:rPr>
      </w:pPr>
    </w:p>
    <w:p w14:paraId="5EBF31C1" w14:textId="77777777" w:rsidR="00171824" w:rsidRDefault="006D258C">
      <w:pPr>
        <w:widowControl/>
        <w:kinsoku w:val="0"/>
        <w:overflowPunct w:val="0"/>
        <w:rPr>
          <w:sz w:val="22"/>
          <w:szCs w:val="22"/>
          <w:lang w:val="el-GR"/>
        </w:rPr>
      </w:pPr>
      <w:r>
        <w:rPr>
          <w:sz w:val="22"/>
          <w:szCs w:val="22"/>
          <w:lang w:val="el-GR"/>
        </w:rPr>
        <w:t>Ο στόχος του adalimumab είναι μια πρωτεΐνη (που ονομάζεται παράγοντας νέκρωσης των όγκων (TNFα), η οποία εμπλέκεται στο ανοσολογικό (αμυντικό) σύστημα</w:t>
      </w:r>
      <w:r>
        <w:rPr>
          <w:rFonts w:ascii="Arial" w:hAnsi="Arial" w:cs="Arial"/>
          <w:color w:val="222222"/>
          <w:sz w:val="22"/>
          <w:lang w:val="el-GR"/>
        </w:rPr>
        <w:t xml:space="preserve"> </w:t>
      </w:r>
      <w:r>
        <w:rPr>
          <w:sz w:val="22"/>
          <w:szCs w:val="22"/>
          <w:lang w:val="el-GR"/>
        </w:rPr>
        <w:t>και παρουσιάζεται σε αυξημένα επίπεδα σε φλεγμονώδεις νόσους, που αναφέρονται ανωτέρω.</w:t>
      </w:r>
    </w:p>
    <w:p w14:paraId="67E4969F" w14:textId="77777777" w:rsidR="00171824" w:rsidRDefault="00171824">
      <w:pPr>
        <w:widowControl/>
        <w:kinsoku w:val="0"/>
        <w:overflowPunct w:val="0"/>
        <w:rPr>
          <w:sz w:val="22"/>
          <w:szCs w:val="22"/>
          <w:lang w:val="el-GR"/>
        </w:rPr>
      </w:pPr>
    </w:p>
    <w:p w14:paraId="477345FA" w14:textId="77777777" w:rsidR="00171824" w:rsidRDefault="006D258C">
      <w:pPr>
        <w:widowControl/>
        <w:kinsoku w:val="0"/>
        <w:overflowPunct w:val="0"/>
        <w:rPr>
          <w:sz w:val="22"/>
          <w:szCs w:val="22"/>
          <w:lang w:val="el-GR"/>
        </w:rPr>
      </w:pPr>
      <w:r>
        <w:rPr>
          <w:sz w:val="22"/>
          <w:szCs w:val="22"/>
          <w:u w:val="single"/>
          <w:lang w:val="el-GR"/>
        </w:rPr>
        <w:lastRenderedPageBreak/>
        <w:t>Ρευματοειδής αρθρίτιδα</w:t>
      </w:r>
    </w:p>
    <w:p w14:paraId="2C505719" w14:textId="77777777" w:rsidR="00171824" w:rsidRDefault="00171824">
      <w:pPr>
        <w:widowControl/>
        <w:kinsoku w:val="0"/>
        <w:overflowPunct w:val="0"/>
        <w:rPr>
          <w:sz w:val="22"/>
          <w:szCs w:val="22"/>
          <w:lang w:val="el-GR"/>
        </w:rPr>
      </w:pPr>
    </w:p>
    <w:p w14:paraId="212A144E" w14:textId="77777777" w:rsidR="00171824" w:rsidRDefault="006D258C">
      <w:pPr>
        <w:widowControl/>
        <w:kinsoku w:val="0"/>
        <w:overflowPunct w:val="0"/>
        <w:rPr>
          <w:sz w:val="22"/>
          <w:szCs w:val="22"/>
          <w:lang w:val="el-GR"/>
        </w:rPr>
      </w:pPr>
      <w:r>
        <w:rPr>
          <w:sz w:val="22"/>
          <w:szCs w:val="22"/>
          <w:lang w:val="el-GR"/>
        </w:rPr>
        <w:t>Η ρευματοειδής αρθρίτιδα είναι μια φλεγμονώδης νόσος των αρθρώσεων.</w:t>
      </w:r>
    </w:p>
    <w:p w14:paraId="6659ACFB" w14:textId="77777777" w:rsidR="00171824" w:rsidRDefault="00171824">
      <w:pPr>
        <w:widowControl/>
        <w:kinsoku w:val="0"/>
        <w:overflowPunct w:val="0"/>
        <w:rPr>
          <w:sz w:val="22"/>
          <w:szCs w:val="22"/>
          <w:lang w:val="el-GR"/>
        </w:rPr>
      </w:pPr>
    </w:p>
    <w:p w14:paraId="194DFF50"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ρευματοειδούς αρθρίτιδας στους ενήλικες. Εάν υποφέρετε από μετρίως έως σοβαρή ενεργό ρευματοειδή αρθρίτιδα, μπορεί αρχικά να σας χορηγηθούν άλλα τροποποιητικά της νόσου φάρμακα, όπως η μεθοτρεξάτη. Εάν δεν ανταποκριθείτε ικανοποιητικά σε αυτά τα φάρμακα, θα σας χορηγηθεί το AMGEVITA για τη θεραπεία της ρευματοειδούς αρθρίτιδας.</w:t>
      </w:r>
    </w:p>
    <w:p w14:paraId="604869A4" w14:textId="77777777" w:rsidR="00171824" w:rsidRDefault="00171824">
      <w:pPr>
        <w:widowControl/>
        <w:kinsoku w:val="0"/>
        <w:overflowPunct w:val="0"/>
        <w:rPr>
          <w:sz w:val="22"/>
          <w:szCs w:val="22"/>
          <w:lang w:val="el-GR"/>
        </w:rPr>
      </w:pPr>
    </w:p>
    <w:p w14:paraId="5509A0A7" w14:textId="77777777" w:rsidR="00171824" w:rsidRDefault="006D258C">
      <w:pPr>
        <w:widowControl/>
        <w:kinsoku w:val="0"/>
        <w:overflowPunct w:val="0"/>
        <w:rPr>
          <w:sz w:val="22"/>
          <w:szCs w:val="22"/>
          <w:lang w:val="el-GR"/>
        </w:rPr>
      </w:pPr>
      <w:r>
        <w:rPr>
          <w:sz w:val="22"/>
          <w:szCs w:val="22"/>
          <w:lang w:val="el-GR"/>
        </w:rPr>
        <w:t>Το AMGEVITA μπορεί επίσης να χορηγηθεί για τη θεραπεία της σοβαρής, ενεργού και εξελισσόμενης ρευματοειδούς αρθρίτιδας χωρίς να έχει προηγηθεί θεραπεία με μεθοτρεξάτη.</w:t>
      </w:r>
    </w:p>
    <w:p w14:paraId="6D650BF8" w14:textId="77777777" w:rsidR="00171824" w:rsidRDefault="00171824">
      <w:pPr>
        <w:widowControl/>
        <w:kinsoku w:val="0"/>
        <w:overflowPunct w:val="0"/>
        <w:rPr>
          <w:sz w:val="22"/>
          <w:szCs w:val="22"/>
          <w:lang w:val="el-GR"/>
        </w:rPr>
      </w:pPr>
    </w:p>
    <w:p w14:paraId="5889191C" w14:textId="77777777" w:rsidR="00171824" w:rsidRDefault="006D258C">
      <w:pPr>
        <w:widowControl/>
        <w:kinsoku w:val="0"/>
        <w:overflowPunct w:val="0"/>
        <w:rPr>
          <w:sz w:val="22"/>
          <w:szCs w:val="22"/>
          <w:lang w:val="el-GR"/>
        </w:rPr>
      </w:pPr>
      <w:r>
        <w:rPr>
          <w:sz w:val="22"/>
          <w:szCs w:val="22"/>
          <w:lang w:val="el-GR"/>
        </w:rPr>
        <w:t>Το AMGEVITA επιβραδύνει τις βλάβες στο χόνδρο και στα οστά των αρθρώσεών σας που προκαλούνται από τη νόσο και βελτιώνει τη λειτουργικότητα.</w:t>
      </w:r>
    </w:p>
    <w:p w14:paraId="1E95364B" w14:textId="77777777" w:rsidR="00171824" w:rsidRDefault="00171824">
      <w:pPr>
        <w:widowControl/>
        <w:kinsoku w:val="0"/>
        <w:overflowPunct w:val="0"/>
        <w:rPr>
          <w:sz w:val="22"/>
          <w:szCs w:val="22"/>
          <w:lang w:val="el-GR"/>
        </w:rPr>
      </w:pPr>
    </w:p>
    <w:p w14:paraId="5D509D08" w14:textId="77777777" w:rsidR="00171824" w:rsidRDefault="006D258C">
      <w:pPr>
        <w:widowControl/>
        <w:kinsoku w:val="0"/>
        <w:overflowPunct w:val="0"/>
        <w:rPr>
          <w:sz w:val="22"/>
          <w:szCs w:val="22"/>
          <w:lang w:val="el-GR"/>
        </w:rPr>
      </w:pPr>
      <w:r>
        <w:rPr>
          <w:sz w:val="22"/>
          <w:szCs w:val="22"/>
          <w:lang w:val="el-GR"/>
        </w:rPr>
        <w:t>Συνήθως το AMGEVITA χορηγείται με μεθοτρεξάτη. Εάν ο γιατρός σας καθορίσει ότι η χορήγηση της μεθοτρεξάτης είναι ακατάλληλη, τότε το AMGEVITA μπορεί να χορηγηθεί μόνο του.</w:t>
      </w:r>
    </w:p>
    <w:p w14:paraId="78A5282D" w14:textId="77777777" w:rsidR="00171824" w:rsidRDefault="00171824">
      <w:pPr>
        <w:widowControl/>
        <w:kinsoku w:val="0"/>
        <w:overflowPunct w:val="0"/>
        <w:rPr>
          <w:sz w:val="22"/>
          <w:szCs w:val="22"/>
          <w:lang w:val="el-GR"/>
        </w:rPr>
      </w:pPr>
    </w:p>
    <w:p w14:paraId="7303323E" w14:textId="77777777" w:rsidR="00171824" w:rsidRDefault="006D258C">
      <w:pPr>
        <w:widowControl/>
        <w:kinsoku w:val="0"/>
        <w:overflowPunct w:val="0"/>
        <w:rPr>
          <w:sz w:val="22"/>
          <w:szCs w:val="22"/>
          <w:lang w:val="el-GR"/>
        </w:rPr>
      </w:pPr>
      <w:r>
        <w:rPr>
          <w:sz w:val="22"/>
          <w:szCs w:val="22"/>
          <w:u w:val="single"/>
          <w:lang w:val="el-GR"/>
        </w:rPr>
        <w:t>Πολυαρθρική νεανική ιδιοπαθής αρθρίτιδα και της αρθρίτιδας σχετιζόμενης με ενθεσίτιδα</w:t>
      </w:r>
    </w:p>
    <w:p w14:paraId="5CAB63F1" w14:textId="77777777" w:rsidR="00171824" w:rsidRDefault="00171824">
      <w:pPr>
        <w:widowControl/>
        <w:kinsoku w:val="0"/>
        <w:overflowPunct w:val="0"/>
        <w:rPr>
          <w:sz w:val="22"/>
          <w:szCs w:val="22"/>
          <w:lang w:val="el-GR"/>
        </w:rPr>
      </w:pPr>
    </w:p>
    <w:p w14:paraId="3625F249" w14:textId="77777777" w:rsidR="00171824" w:rsidRDefault="006D258C">
      <w:pPr>
        <w:widowControl/>
        <w:kinsoku w:val="0"/>
        <w:overflowPunct w:val="0"/>
        <w:rPr>
          <w:sz w:val="22"/>
          <w:szCs w:val="22"/>
          <w:lang w:val="el-GR"/>
        </w:rPr>
      </w:pPr>
      <w:r>
        <w:rPr>
          <w:sz w:val="22"/>
          <w:szCs w:val="22"/>
          <w:lang w:val="el-GR"/>
        </w:rPr>
        <w:t>Η πολυαρθρική νεανική ιδιοπαθής αρθρίτιδα και η αρθρίτιδα σχετιζόμενη με ενθεσίτιδα είναι φλεγμονώδεις νόσοι των αρθρώσεων που συνήθως εμφανίζονται για πρώτη φορά στην παιδική ηλικία.</w:t>
      </w:r>
    </w:p>
    <w:p w14:paraId="68CCBD46" w14:textId="77777777" w:rsidR="00171824" w:rsidRDefault="00171824">
      <w:pPr>
        <w:widowControl/>
        <w:kinsoku w:val="0"/>
        <w:overflowPunct w:val="0"/>
        <w:rPr>
          <w:sz w:val="22"/>
          <w:szCs w:val="22"/>
          <w:lang w:val="el-GR"/>
        </w:rPr>
      </w:pPr>
    </w:p>
    <w:p w14:paraId="11860FB5"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πολυαρθρικής νεανικής ιδιοπαθούς αρθρίτιδας σε ασθενείς από την ηλικία των 2 ετών και της αρθρίτιδας σχετιζόμενης με ενθεσίτιδα σε ασθενείς από την ηλικία των 6 ετών. Μπορεί να λάβετε πρώτα άλλα τροποποιητικά της νόσου φάρμακα όπως μεθοτρεξάτη. Εάν δεν ανταποκριθείτε αρκετά καλά στα φάρμακα αυτά, θα σας χορηγηθεί το AMGEVITA για τη θεραπεία της πολυαρθρικής νεανικής ιδιοπαθούς αρθρίτιδάς σας και της αρθρίτιδας σχετιζόμενης με ενθεσίτιδα.</w:t>
      </w:r>
    </w:p>
    <w:p w14:paraId="5F154E18" w14:textId="77777777" w:rsidR="00171824" w:rsidRDefault="00171824">
      <w:pPr>
        <w:widowControl/>
        <w:kinsoku w:val="0"/>
        <w:overflowPunct w:val="0"/>
        <w:rPr>
          <w:sz w:val="22"/>
          <w:szCs w:val="22"/>
          <w:lang w:val="el-GR"/>
        </w:rPr>
      </w:pPr>
    </w:p>
    <w:p w14:paraId="4F61E987" w14:textId="77777777" w:rsidR="00171824" w:rsidRDefault="006D258C">
      <w:pPr>
        <w:widowControl/>
        <w:kinsoku w:val="0"/>
        <w:overflowPunct w:val="0"/>
        <w:rPr>
          <w:sz w:val="22"/>
          <w:szCs w:val="22"/>
          <w:lang w:val="el-GR"/>
        </w:rPr>
      </w:pPr>
      <w:r>
        <w:rPr>
          <w:sz w:val="22"/>
          <w:szCs w:val="22"/>
          <w:u w:val="single"/>
          <w:lang w:val="el-GR"/>
        </w:rPr>
        <w:t>Αγκυλοποιητική σπονδυλίτιδα και αξονική σπονδυλαρθρίτιδα χωρίς ακτινολογικά ευρήματα</w:t>
      </w:r>
      <w:r>
        <w:rPr>
          <w:sz w:val="22"/>
          <w:szCs w:val="22"/>
          <w:lang w:val="el-GR"/>
        </w:rPr>
        <w:t xml:space="preserve"> </w:t>
      </w:r>
      <w:r>
        <w:rPr>
          <w:sz w:val="22"/>
          <w:szCs w:val="22"/>
          <w:u w:val="single"/>
          <w:lang w:val="el-GR"/>
        </w:rPr>
        <w:t>αγκυλοποιητικής σπονδυλίτιδας</w:t>
      </w:r>
    </w:p>
    <w:p w14:paraId="7A48AEB7" w14:textId="77777777" w:rsidR="00171824" w:rsidRDefault="00171824">
      <w:pPr>
        <w:widowControl/>
        <w:kinsoku w:val="0"/>
        <w:overflowPunct w:val="0"/>
        <w:rPr>
          <w:sz w:val="22"/>
          <w:szCs w:val="22"/>
          <w:lang w:val="el-GR"/>
        </w:rPr>
      </w:pPr>
    </w:p>
    <w:p w14:paraId="5163980B" w14:textId="77777777" w:rsidR="00171824" w:rsidRDefault="006D258C">
      <w:pPr>
        <w:widowControl/>
        <w:kinsoku w:val="0"/>
        <w:overflowPunct w:val="0"/>
        <w:rPr>
          <w:sz w:val="22"/>
          <w:szCs w:val="22"/>
          <w:lang w:val="el-GR"/>
        </w:rPr>
      </w:pPr>
      <w:r>
        <w:rPr>
          <w:sz w:val="22"/>
          <w:szCs w:val="22"/>
          <w:lang w:val="el-GR"/>
        </w:rPr>
        <w:t>Η αγκυλοποιητική σπονδυλίτιδα και η αξονική σπονδυλαρθρίτιδα χωρίς ακτινολογικά ευρήματα αγκυλοποιητικής σπονδυλίτιδας είναι φλεγμονώδεις νόσοι της σπονδυλικής στήλης.</w:t>
      </w:r>
    </w:p>
    <w:p w14:paraId="74CCB7AF" w14:textId="77777777" w:rsidR="00171824" w:rsidRDefault="00171824">
      <w:pPr>
        <w:widowControl/>
        <w:kinsoku w:val="0"/>
        <w:overflowPunct w:val="0"/>
        <w:rPr>
          <w:sz w:val="22"/>
          <w:szCs w:val="22"/>
          <w:lang w:val="el-GR"/>
        </w:rPr>
      </w:pPr>
    </w:p>
    <w:p w14:paraId="6CAF9EAC"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αγκυλοποιητικής σπονδυλίτιδας και της αξονικής σπονδυλαρθρίτιδας χωρίς ακτινολογικά ευρήματα αγκυλοποιητικής σπονδυλίτιδας στους ενήλικες. Εάν πάσχετε από αγκυλοποιητική σπονδυλίτιδα ή αξονική σπονδυλαρθρίτιδα χωρίς ακτινολογικά ευρήματα αγκυλοποιητικής σπονδυλίτιδας, θα σας χορηγηθούν αρχικά άλλα φάρμακα. Εάν δεν ανταποκριθείτε αρκετά καλά σε αυτά, θα σας χορηγηθεί AMGEVITA ώστε να μειωθούν τα σημεία και τα συμπτώματα της νόσου σας.</w:t>
      </w:r>
    </w:p>
    <w:p w14:paraId="28670E1E" w14:textId="77777777" w:rsidR="00171824" w:rsidRDefault="00171824">
      <w:pPr>
        <w:widowControl/>
        <w:kinsoku w:val="0"/>
        <w:overflowPunct w:val="0"/>
        <w:rPr>
          <w:sz w:val="22"/>
          <w:szCs w:val="22"/>
          <w:lang w:val="el-GR"/>
        </w:rPr>
      </w:pPr>
    </w:p>
    <w:p w14:paraId="14956274" w14:textId="77777777" w:rsidR="00171824" w:rsidRDefault="006D258C">
      <w:pPr>
        <w:widowControl/>
        <w:kinsoku w:val="0"/>
        <w:overflowPunct w:val="0"/>
        <w:rPr>
          <w:sz w:val="22"/>
          <w:szCs w:val="22"/>
          <w:lang w:val="el-GR"/>
        </w:rPr>
      </w:pPr>
      <w:r>
        <w:rPr>
          <w:sz w:val="22"/>
          <w:szCs w:val="22"/>
          <w:u w:val="single"/>
          <w:lang w:val="el-GR"/>
        </w:rPr>
        <w:t>Ψωριασική αρθρίτιδα</w:t>
      </w:r>
    </w:p>
    <w:p w14:paraId="41EEAF8B" w14:textId="77777777" w:rsidR="00171824" w:rsidRDefault="00171824">
      <w:pPr>
        <w:widowControl/>
        <w:kinsoku w:val="0"/>
        <w:overflowPunct w:val="0"/>
        <w:rPr>
          <w:sz w:val="22"/>
          <w:szCs w:val="22"/>
          <w:lang w:val="el-GR"/>
        </w:rPr>
      </w:pPr>
    </w:p>
    <w:p w14:paraId="7CD13232" w14:textId="77777777" w:rsidR="00171824" w:rsidRDefault="006D258C">
      <w:pPr>
        <w:widowControl/>
        <w:kinsoku w:val="0"/>
        <w:overflowPunct w:val="0"/>
        <w:rPr>
          <w:sz w:val="22"/>
          <w:szCs w:val="22"/>
          <w:lang w:val="el-GR"/>
        </w:rPr>
      </w:pPr>
      <w:r>
        <w:rPr>
          <w:sz w:val="22"/>
          <w:szCs w:val="22"/>
          <w:lang w:val="el-GR"/>
        </w:rPr>
        <w:t>Η ψωριασική αρθρίτιδα είναι μια φλεγμονή των αρθρώσεων που συνδέεται με ψωρίαση.</w:t>
      </w:r>
    </w:p>
    <w:p w14:paraId="007FAC0B" w14:textId="77777777" w:rsidR="00171824" w:rsidRDefault="00171824">
      <w:pPr>
        <w:widowControl/>
        <w:kinsoku w:val="0"/>
        <w:overflowPunct w:val="0"/>
        <w:rPr>
          <w:sz w:val="22"/>
          <w:szCs w:val="22"/>
          <w:lang w:val="el-GR"/>
        </w:rPr>
      </w:pPr>
    </w:p>
    <w:p w14:paraId="3CF7C97C"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ψωριασικής αρθρίτιδας στους ενήλικες. Το AMGEVITA επιβραδύνει τις βλάβες στο χόνδρο και στα οστά των αρθρώσεών σας που προκαλούνται από τη νόσο και βελτιώνει τη λειτουργικότητα.</w:t>
      </w:r>
    </w:p>
    <w:p w14:paraId="08F96953" w14:textId="77777777" w:rsidR="00171824" w:rsidRDefault="00171824">
      <w:pPr>
        <w:widowControl/>
        <w:kinsoku w:val="0"/>
        <w:overflowPunct w:val="0"/>
        <w:rPr>
          <w:sz w:val="22"/>
          <w:szCs w:val="22"/>
          <w:lang w:val="el-GR"/>
        </w:rPr>
      </w:pPr>
    </w:p>
    <w:p w14:paraId="634A5AD5" w14:textId="77777777" w:rsidR="00171824" w:rsidRDefault="006D258C">
      <w:pPr>
        <w:keepNext/>
        <w:widowControl/>
        <w:kinsoku w:val="0"/>
        <w:overflowPunct w:val="0"/>
        <w:rPr>
          <w:sz w:val="22"/>
          <w:szCs w:val="22"/>
          <w:lang w:val="el-GR"/>
        </w:rPr>
      </w:pPr>
      <w:r>
        <w:rPr>
          <w:sz w:val="22"/>
          <w:szCs w:val="22"/>
          <w:u w:val="single"/>
          <w:lang w:val="el-GR"/>
        </w:rPr>
        <w:t>Ψωρίαση κατά πλάκας σε ενήλικες και παιδιά</w:t>
      </w:r>
    </w:p>
    <w:p w14:paraId="368B9ABC" w14:textId="77777777" w:rsidR="00171824" w:rsidRDefault="00171824">
      <w:pPr>
        <w:keepNext/>
        <w:widowControl/>
        <w:kinsoku w:val="0"/>
        <w:overflowPunct w:val="0"/>
        <w:rPr>
          <w:sz w:val="22"/>
          <w:szCs w:val="22"/>
          <w:lang w:val="el-GR"/>
        </w:rPr>
      </w:pPr>
    </w:p>
    <w:p w14:paraId="24BBF3B8" w14:textId="77777777" w:rsidR="00171824" w:rsidRDefault="006D258C">
      <w:pPr>
        <w:widowControl/>
        <w:kinsoku w:val="0"/>
        <w:overflowPunct w:val="0"/>
        <w:rPr>
          <w:sz w:val="22"/>
          <w:szCs w:val="22"/>
          <w:lang w:val="el-GR"/>
        </w:rPr>
      </w:pPr>
      <w:r>
        <w:rPr>
          <w:sz w:val="22"/>
          <w:szCs w:val="22"/>
          <w:lang w:val="el-GR"/>
        </w:rPr>
        <w:t xml:space="preserve">Η ψωρίαση κατά πλάκας είναι μια δερματοπάθεια που προκαλεί ερυθρές, φολιδωτές, λεπιδώδεις πλάκες δέρματος που καλύπτονται από αργυρόχροα λέπια. Η ψωρίαση κατά πλάκας μπορεί επίσης να </w:t>
      </w:r>
      <w:r>
        <w:rPr>
          <w:sz w:val="22"/>
          <w:szCs w:val="22"/>
          <w:lang w:val="el-GR"/>
        </w:rPr>
        <w:lastRenderedPageBreak/>
        <w:t>προσβάλει τα νύχια, προκαλώντας απώλεια του νυχιού, πάχυνση και αποκόλληση από την κοίτη του νυχιού, το οποίο μπορεί να είναι επώδυνο.</w:t>
      </w:r>
      <w:r>
        <w:rPr>
          <w:sz w:val="22"/>
          <w:lang w:val="el-GR"/>
        </w:rPr>
        <w:t xml:space="preserve"> </w:t>
      </w:r>
      <w:r>
        <w:rPr>
          <w:sz w:val="22"/>
          <w:szCs w:val="22"/>
          <w:lang w:val="el-GR"/>
        </w:rPr>
        <w:t>Η ψωρίαση πιστεύεται ότι προκαλείται από ένα πρόβλημα στο ανοσοποιητικό σύστημα του οργανισμού, που οδηγεί σε αυξημένη παραγωγή επιδερμιδικών κυττάρων.</w:t>
      </w:r>
    </w:p>
    <w:p w14:paraId="59819004" w14:textId="77777777" w:rsidR="00171824" w:rsidRDefault="00171824">
      <w:pPr>
        <w:widowControl/>
        <w:kinsoku w:val="0"/>
        <w:overflowPunct w:val="0"/>
        <w:rPr>
          <w:sz w:val="22"/>
          <w:szCs w:val="22"/>
          <w:lang w:val="el-GR"/>
        </w:rPr>
      </w:pPr>
    </w:p>
    <w:p w14:paraId="5A7ECFCE"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μέτριας έως σοβαρής ψωρίασης κατά πλάκας στους ενήλικες. Το AMGEVITA χρησιμοποιείται επίσης για τη θεραπεία της σοβαρής ψωρίασης κατά πλάκας σε παιδιά και εφήβους ηλικίας 4 έως 17 ετών για τους οποίους η τοπική θεραπεία και οι φωτοθεραπείες είτε δεν λειτούργησαν πολύ καλά ή δεν ήταν κατάλληλες.</w:t>
      </w:r>
    </w:p>
    <w:p w14:paraId="4DF6F052" w14:textId="77777777" w:rsidR="00171824" w:rsidRDefault="00171824">
      <w:pPr>
        <w:widowControl/>
        <w:kinsoku w:val="0"/>
        <w:overflowPunct w:val="0"/>
        <w:rPr>
          <w:sz w:val="22"/>
          <w:szCs w:val="22"/>
          <w:lang w:val="el-GR"/>
        </w:rPr>
      </w:pPr>
    </w:p>
    <w:p w14:paraId="156E5581" w14:textId="77777777" w:rsidR="00171824" w:rsidRDefault="006D258C">
      <w:pPr>
        <w:widowControl/>
        <w:kinsoku w:val="0"/>
        <w:overflowPunct w:val="0"/>
        <w:rPr>
          <w:sz w:val="22"/>
          <w:szCs w:val="22"/>
          <w:lang w:val="el-GR"/>
        </w:rPr>
      </w:pPr>
      <w:r>
        <w:rPr>
          <w:sz w:val="22"/>
          <w:szCs w:val="22"/>
          <w:u w:val="single"/>
          <w:lang w:val="el-GR"/>
        </w:rPr>
        <w:t>Διαπυητική ιδρωταδενίτιδα σε ενήλικες και παιδιά</w:t>
      </w:r>
    </w:p>
    <w:p w14:paraId="44D2F5ED" w14:textId="77777777" w:rsidR="00171824" w:rsidRDefault="00171824">
      <w:pPr>
        <w:widowControl/>
        <w:kinsoku w:val="0"/>
        <w:overflowPunct w:val="0"/>
        <w:rPr>
          <w:sz w:val="22"/>
          <w:szCs w:val="22"/>
          <w:lang w:val="el-GR"/>
        </w:rPr>
      </w:pPr>
    </w:p>
    <w:p w14:paraId="6C316A8C" w14:textId="77777777" w:rsidR="00171824" w:rsidRDefault="006D258C">
      <w:pPr>
        <w:widowControl/>
        <w:kinsoku w:val="0"/>
        <w:overflowPunct w:val="0"/>
        <w:rPr>
          <w:sz w:val="22"/>
          <w:szCs w:val="22"/>
          <w:lang w:val="el-GR"/>
        </w:rPr>
      </w:pPr>
      <w:r>
        <w:rPr>
          <w:sz w:val="22"/>
          <w:szCs w:val="22"/>
          <w:lang w:val="el-GR"/>
        </w:rPr>
        <w:t>Η διαπυητική ιδρωταδενίτιδα (ονομάζεται και ανάστροφη ακµή) είναι μία χρόνια και συχνά επώδυνη φλεγμονώδης νόσος του δέρματος. Τα συμπτώματα μπορεί να περιλαμβάνουν ευαίσθητα οζίδια (εξογκώματα) και αποστήματα (δοθιήνες) που μπορεί να εκκρίνουν πύον. Εμφανίζεται συχνότερα σε συγκεκριμένες περιοχές του δέρματος, όπως κάτω από το στήθος, στις μασχάλες, στο εσωτερικό των μηρών, στη βουβωνική χώρα και τους γλουτούς. Στις προσβεβλημένες περιοχές μπορεί επίσης να εμφανιστούν ουλές.</w:t>
      </w:r>
    </w:p>
    <w:p w14:paraId="3ED17AD0" w14:textId="77777777" w:rsidR="00171824" w:rsidRDefault="00171824">
      <w:pPr>
        <w:widowControl/>
        <w:kinsoku w:val="0"/>
        <w:overflowPunct w:val="0"/>
        <w:rPr>
          <w:sz w:val="22"/>
          <w:szCs w:val="22"/>
          <w:lang w:val="el-GR"/>
        </w:rPr>
      </w:pPr>
    </w:p>
    <w:p w14:paraId="05616471"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διαπυητικής ιδρωταδενίτιδας σε ενήλικες και παιδιά από 12 ετών. Το AMGEVITA μπορεί να μειώσει τον αριθμό των οζιδίων και των αποστημάτων, καθώς και τον πόνο που συνδέεται συχνά με τη νόσο.</w:t>
      </w:r>
      <w:r>
        <w:rPr>
          <w:rFonts w:ascii="Arial" w:hAnsi="Arial" w:cs="Arial"/>
          <w:color w:val="222222"/>
          <w:sz w:val="22"/>
          <w:lang w:val="el-GR"/>
        </w:rPr>
        <w:t xml:space="preserve"> </w:t>
      </w:r>
      <w:r>
        <w:rPr>
          <w:sz w:val="22"/>
          <w:szCs w:val="22"/>
          <w:lang w:val="el-GR"/>
        </w:rPr>
        <w:t>Μπορεί πρώτα να σας χορηγηθούν άλλα φάρμακα. Αν δεν ανταποκριθείτε καλά σε αυτά τα φάρμακα, θα σας δοθεί το AMGEVITA.</w:t>
      </w:r>
    </w:p>
    <w:p w14:paraId="04570597" w14:textId="77777777" w:rsidR="00171824" w:rsidRDefault="00171824">
      <w:pPr>
        <w:widowControl/>
        <w:kinsoku w:val="0"/>
        <w:overflowPunct w:val="0"/>
        <w:rPr>
          <w:sz w:val="22"/>
          <w:szCs w:val="22"/>
          <w:lang w:val="el-GR"/>
        </w:rPr>
      </w:pPr>
    </w:p>
    <w:p w14:paraId="197E30B9" w14:textId="77777777" w:rsidR="00171824" w:rsidRDefault="006D258C">
      <w:pPr>
        <w:widowControl/>
        <w:kinsoku w:val="0"/>
        <w:overflowPunct w:val="0"/>
        <w:rPr>
          <w:sz w:val="22"/>
          <w:szCs w:val="22"/>
          <w:lang w:val="el-GR"/>
        </w:rPr>
      </w:pPr>
      <w:r>
        <w:rPr>
          <w:sz w:val="22"/>
          <w:szCs w:val="22"/>
          <w:u w:val="single"/>
          <w:lang w:val="el-GR"/>
        </w:rPr>
        <w:t>Nόσος του Crohn σε ενήλικες και παιδιά</w:t>
      </w:r>
    </w:p>
    <w:p w14:paraId="191FEBE5" w14:textId="77777777" w:rsidR="00171824" w:rsidRDefault="00171824">
      <w:pPr>
        <w:widowControl/>
        <w:kinsoku w:val="0"/>
        <w:overflowPunct w:val="0"/>
        <w:rPr>
          <w:sz w:val="22"/>
          <w:szCs w:val="22"/>
          <w:lang w:val="el-GR"/>
        </w:rPr>
      </w:pPr>
    </w:p>
    <w:p w14:paraId="78A97CFD" w14:textId="77777777" w:rsidR="00171824" w:rsidRDefault="006D258C">
      <w:pPr>
        <w:widowControl/>
        <w:kinsoku w:val="0"/>
        <w:overflowPunct w:val="0"/>
        <w:rPr>
          <w:sz w:val="22"/>
          <w:szCs w:val="22"/>
          <w:lang w:val="el-GR"/>
        </w:rPr>
      </w:pPr>
      <w:r>
        <w:rPr>
          <w:sz w:val="22"/>
          <w:szCs w:val="22"/>
          <w:lang w:val="el-GR"/>
        </w:rPr>
        <w:t>H νόσος του Crohn είναι μια φλεγμονώδης νόσος του πεπτικού συστήματος.</w:t>
      </w:r>
    </w:p>
    <w:p w14:paraId="192CFD15" w14:textId="77777777" w:rsidR="00171824" w:rsidRDefault="00171824">
      <w:pPr>
        <w:widowControl/>
        <w:kinsoku w:val="0"/>
        <w:overflowPunct w:val="0"/>
        <w:rPr>
          <w:sz w:val="22"/>
          <w:szCs w:val="22"/>
          <w:lang w:val="el-GR"/>
        </w:rPr>
      </w:pPr>
    </w:p>
    <w:p w14:paraId="6DF5DC2D"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νόσου του Crohn σε ενήλικες και παιδιά ηλικίας 6 έως 17 ετών. Εάν πάσχετε από νόσο του Crohn θα πρέπει να σας δοθεί αρχικά άλλη φαρμακευτική αγωγή. Εάν δεν ανταποκριθείτε αρκετά καλά σε αυτή τη φαρμακευτική αγωγή, θα σας δοθεί AMGEVITA ώστε να μειωθούν τα σημεία και τα συμπτώματα της νόσου του Crohn.</w:t>
      </w:r>
    </w:p>
    <w:p w14:paraId="0C0CAA7B" w14:textId="77777777" w:rsidR="00171824" w:rsidRDefault="00171824">
      <w:pPr>
        <w:widowControl/>
        <w:kinsoku w:val="0"/>
        <w:overflowPunct w:val="0"/>
        <w:rPr>
          <w:sz w:val="22"/>
          <w:szCs w:val="22"/>
          <w:lang w:val="el-GR"/>
        </w:rPr>
      </w:pPr>
    </w:p>
    <w:p w14:paraId="5CF4D52C" w14:textId="77777777" w:rsidR="00171824" w:rsidRDefault="006D258C">
      <w:pPr>
        <w:widowControl/>
        <w:kinsoku w:val="0"/>
        <w:overflowPunct w:val="0"/>
        <w:rPr>
          <w:sz w:val="22"/>
          <w:szCs w:val="22"/>
          <w:lang w:val="el-GR"/>
        </w:rPr>
      </w:pPr>
      <w:r>
        <w:rPr>
          <w:sz w:val="22"/>
          <w:szCs w:val="22"/>
          <w:u w:val="single"/>
          <w:lang w:val="el-GR"/>
        </w:rPr>
        <w:t>Ελκώδης κολίτιδα σε ενήλικες και παιδιά</w:t>
      </w:r>
    </w:p>
    <w:p w14:paraId="37A2E46F" w14:textId="77777777" w:rsidR="00171824" w:rsidRDefault="00171824">
      <w:pPr>
        <w:widowControl/>
        <w:kinsoku w:val="0"/>
        <w:overflowPunct w:val="0"/>
        <w:rPr>
          <w:sz w:val="22"/>
          <w:szCs w:val="22"/>
          <w:lang w:val="el-GR"/>
        </w:rPr>
      </w:pPr>
    </w:p>
    <w:p w14:paraId="7F223BEE" w14:textId="77777777" w:rsidR="00171824" w:rsidRDefault="006D258C">
      <w:pPr>
        <w:widowControl/>
        <w:kinsoku w:val="0"/>
        <w:overflowPunct w:val="0"/>
        <w:rPr>
          <w:sz w:val="22"/>
          <w:szCs w:val="22"/>
          <w:lang w:val="el-GR"/>
        </w:rPr>
      </w:pPr>
      <w:r>
        <w:rPr>
          <w:sz w:val="22"/>
          <w:szCs w:val="22"/>
          <w:lang w:val="el-GR"/>
        </w:rPr>
        <w:t>Η ελκώδης κολίτιδα είναι μία φλεγμονώδης νόσος του παχέος εντέρου.</w:t>
      </w:r>
    </w:p>
    <w:p w14:paraId="5F620FD9" w14:textId="77777777" w:rsidR="00171824" w:rsidRDefault="00171824">
      <w:pPr>
        <w:widowControl/>
        <w:kinsoku w:val="0"/>
        <w:overflowPunct w:val="0"/>
        <w:rPr>
          <w:sz w:val="22"/>
          <w:szCs w:val="22"/>
          <w:lang w:val="el-GR"/>
        </w:rPr>
      </w:pPr>
    </w:p>
    <w:p w14:paraId="5006D15F" w14:textId="77777777" w:rsidR="00171824" w:rsidRDefault="006D258C">
      <w:pPr>
        <w:widowControl/>
        <w:kinsoku w:val="0"/>
        <w:overflowPunct w:val="0"/>
        <w:rPr>
          <w:sz w:val="22"/>
          <w:szCs w:val="22"/>
          <w:lang w:val="el-GR"/>
        </w:rPr>
      </w:pPr>
      <w:r>
        <w:rPr>
          <w:sz w:val="22"/>
          <w:szCs w:val="22"/>
          <w:lang w:val="el-GR"/>
        </w:rPr>
        <w:t>Το AMGEVITA χρησιμοποιείται για τη θεραπεία της μέτριας έως σοβαρής ελκώδους κολίτιδας σε ενήλικες και παιδιά ηλικίας 6 έως 17 ετών. Αν έχετε ελκώδη κολίτιδα, μπορεί πρώτα να σας χορηγηθούν άλλα φάρμακα. Αν δεν ανταποκριθείτε αρκετά καλά σε αυτά τα φάρμακα, θα σας δοθεί AMGEVITA για να μειωθούν τα σημεία και τα συμπτώματα της νόσου σας.</w:t>
      </w:r>
    </w:p>
    <w:p w14:paraId="309B05AD" w14:textId="77777777" w:rsidR="00171824" w:rsidRDefault="00171824">
      <w:pPr>
        <w:widowControl/>
        <w:kinsoku w:val="0"/>
        <w:overflowPunct w:val="0"/>
        <w:rPr>
          <w:sz w:val="22"/>
          <w:szCs w:val="22"/>
          <w:lang w:val="el-GR"/>
        </w:rPr>
      </w:pPr>
    </w:p>
    <w:p w14:paraId="4635815C" w14:textId="77777777" w:rsidR="00171824" w:rsidRDefault="006D258C">
      <w:pPr>
        <w:pStyle w:val="BodyText"/>
        <w:widowControl/>
        <w:kinsoku w:val="0"/>
        <w:overflowPunct w:val="0"/>
        <w:ind w:left="0"/>
        <w:rPr>
          <w:lang w:val="el-GR"/>
        </w:rPr>
      </w:pPr>
      <w:r>
        <w:rPr>
          <w:u w:val="single"/>
          <w:lang w:val="el-GR"/>
        </w:rPr>
        <w:t>Μη-λοιμώδης ραγοειδίτιδα σε ενήλικες και παιδιά</w:t>
      </w:r>
    </w:p>
    <w:p w14:paraId="0DB07327" w14:textId="77777777" w:rsidR="00171824" w:rsidRDefault="00171824">
      <w:pPr>
        <w:widowControl/>
        <w:kinsoku w:val="0"/>
        <w:overflowPunct w:val="0"/>
        <w:rPr>
          <w:sz w:val="22"/>
          <w:szCs w:val="22"/>
          <w:lang w:val="el-GR"/>
        </w:rPr>
      </w:pPr>
    </w:p>
    <w:p w14:paraId="453E52A5" w14:textId="77777777" w:rsidR="00171824" w:rsidRDefault="006D258C">
      <w:pPr>
        <w:pStyle w:val="BodyText"/>
        <w:widowControl/>
        <w:kinsoku w:val="0"/>
        <w:overflowPunct w:val="0"/>
        <w:ind w:left="0"/>
        <w:rPr>
          <w:lang w:val="el-GR"/>
        </w:rPr>
      </w:pPr>
      <w:r>
        <w:rPr>
          <w:lang w:val="el-GR"/>
        </w:rPr>
        <w:t xml:space="preserve">Η μη-λοιμώδης ραγοειδίτιδα είναι μία φλεγμονώδης ασθένεια που επηρεάζει ορισμένα τμήματα του οφθαλμού. </w:t>
      </w:r>
    </w:p>
    <w:p w14:paraId="02F5559E" w14:textId="77777777" w:rsidR="00171824" w:rsidRDefault="00171824">
      <w:pPr>
        <w:pStyle w:val="BodyText"/>
        <w:widowControl/>
        <w:kinsoku w:val="0"/>
        <w:overflowPunct w:val="0"/>
        <w:ind w:left="0"/>
        <w:rPr>
          <w:lang w:val="el-GR"/>
        </w:rPr>
      </w:pPr>
    </w:p>
    <w:p w14:paraId="18E2416D" w14:textId="77777777" w:rsidR="00171824" w:rsidRDefault="006D258C">
      <w:pPr>
        <w:pStyle w:val="BodyText"/>
        <w:widowControl/>
        <w:kinsoku w:val="0"/>
        <w:overflowPunct w:val="0"/>
        <w:ind w:left="0"/>
        <w:rPr>
          <w:lang w:val="el-GR"/>
        </w:rPr>
      </w:pPr>
      <w:r>
        <w:rPr>
          <w:lang w:val="el-GR"/>
        </w:rPr>
        <w:t xml:space="preserve">Το AMGEVITA χρησιμοποιείται για τη θεραπεία </w:t>
      </w:r>
    </w:p>
    <w:p w14:paraId="3AF4C0D3" w14:textId="77777777" w:rsidR="00171824" w:rsidRDefault="006D258C">
      <w:pPr>
        <w:pStyle w:val="BodyText"/>
        <w:widowControl/>
        <w:numPr>
          <w:ilvl w:val="0"/>
          <w:numId w:val="26"/>
        </w:numPr>
        <w:kinsoku w:val="0"/>
        <w:overflowPunct w:val="0"/>
        <w:ind w:left="567" w:hanging="567"/>
        <w:rPr>
          <w:lang w:val="el-GR"/>
        </w:rPr>
      </w:pPr>
      <w:r>
        <w:rPr>
          <w:lang w:val="el-GR"/>
        </w:rPr>
        <w:t xml:space="preserve">Ενηλίκων με μη-λοιμώδη ραγοειδίτιδα με φλεγμονή που επηρεάζει το οπίσθιο μέρος του οφθαλμού. </w:t>
      </w:r>
    </w:p>
    <w:p w14:paraId="5A964168" w14:textId="77777777" w:rsidR="00171824" w:rsidRDefault="006D258C">
      <w:pPr>
        <w:pStyle w:val="BodyText"/>
        <w:widowControl/>
        <w:numPr>
          <w:ilvl w:val="0"/>
          <w:numId w:val="26"/>
        </w:numPr>
        <w:kinsoku w:val="0"/>
        <w:overflowPunct w:val="0"/>
        <w:ind w:left="567" w:hanging="567"/>
        <w:rPr>
          <w:lang w:val="el-GR"/>
        </w:rPr>
      </w:pPr>
      <w:r>
        <w:rPr>
          <w:lang w:val="el-GR"/>
        </w:rPr>
        <w:t xml:space="preserve">Παιδιά από την ηλικία των 2 ετών με χρόνια μη-λοιμώδη ραγοειδίτιδα με φλεγμονή που επηρεάζει το μπροστινό μέρος του οφθαλμού. </w:t>
      </w:r>
    </w:p>
    <w:p w14:paraId="51581C0E" w14:textId="77777777" w:rsidR="00171824" w:rsidRDefault="00171824">
      <w:pPr>
        <w:pStyle w:val="BodyText"/>
        <w:widowControl/>
        <w:kinsoku w:val="0"/>
        <w:overflowPunct w:val="0"/>
        <w:rPr>
          <w:lang w:val="el-GR"/>
        </w:rPr>
      </w:pPr>
    </w:p>
    <w:p w14:paraId="3C3926CB" w14:textId="77777777" w:rsidR="00171824" w:rsidRDefault="006D258C">
      <w:pPr>
        <w:pStyle w:val="BodyText"/>
        <w:widowControl/>
        <w:kinsoku w:val="0"/>
        <w:overflowPunct w:val="0"/>
        <w:ind w:left="0"/>
        <w:rPr>
          <w:lang w:val="el-GR"/>
        </w:rPr>
      </w:pPr>
      <w:r>
        <w:rPr>
          <w:lang w:val="el-GR"/>
        </w:rPr>
        <w:t>Η φλεγμονή αυτή μπορεί να οδηγήσει σε μείωση της όρασης και/ή στην παρουσία εξιδρωμάτων στον οφθαλμό (μαύρες κουκίδες ή ψιλές γραμμές που κινούνται σε όλο το πεδίο της όρασης). Το AMGEVITA δρα μειώνοντας αυτήν τη φλεγμονή.</w:t>
      </w:r>
    </w:p>
    <w:p w14:paraId="77920E30" w14:textId="77777777" w:rsidR="00171824" w:rsidRDefault="00171824">
      <w:pPr>
        <w:widowControl/>
        <w:kinsoku w:val="0"/>
        <w:overflowPunct w:val="0"/>
        <w:rPr>
          <w:sz w:val="22"/>
          <w:szCs w:val="22"/>
          <w:lang w:val="el-GR"/>
        </w:rPr>
      </w:pPr>
    </w:p>
    <w:p w14:paraId="39373C7A" w14:textId="77777777" w:rsidR="00171824" w:rsidRDefault="00171824">
      <w:pPr>
        <w:widowControl/>
        <w:kinsoku w:val="0"/>
        <w:overflowPunct w:val="0"/>
        <w:rPr>
          <w:sz w:val="22"/>
          <w:szCs w:val="22"/>
          <w:lang w:val="el-GR"/>
        </w:rPr>
      </w:pPr>
    </w:p>
    <w:p w14:paraId="1717E3AC" w14:textId="77777777" w:rsidR="00171824" w:rsidRDefault="006D258C">
      <w:pPr>
        <w:keepNext/>
        <w:widowControl/>
        <w:tabs>
          <w:tab w:val="left" w:pos="567"/>
        </w:tabs>
        <w:kinsoku w:val="0"/>
        <w:overflowPunct w:val="0"/>
        <w:autoSpaceDE/>
        <w:autoSpaceDN/>
        <w:adjustRightInd/>
        <w:outlineLvl w:val="0"/>
        <w:rPr>
          <w:sz w:val="22"/>
          <w:szCs w:val="22"/>
          <w:lang w:val="el-GR"/>
        </w:rPr>
      </w:pPr>
      <w:r>
        <w:rPr>
          <w:b/>
          <w:bCs/>
          <w:sz w:val="22"/>
          <w:szCs w:val="22"/>
          <w:lang w:val="el-GR"/>
        </w:rPr>
        <w:t>2.</w:t>
      </w:r>
      <w:r>
        <w:rPr>
          <w:b/>
          <w:bCs/>
          <w:sz w:val="22"/>
          <w:szCs w:val="22"/>
          <w:lang w:val="el-GR"/>
        </w:rPr>
        <w:tab/>
        <w:t xml:space="preserve">Τι πρέπει να γνωρίζετε πριν χρησιμοποιήσετε το AMGEVITA </w:t>
      </w:r>
    </w:p>
    <w:p w14:paraId="0A85FEAD" w14:textId="77777777" w:rsidR="00171824" w:rsidRDefault="00171824">
      <w:pPr>
        <w:keepNext/>
        <w:widowControl/>
        <w:tabs>
          <w:tab w:val="left" w:pos="684"/>
        </w:tabs>
        <w:kinsoku w:val="0"/>
        <w:overflowPunct w:val="0"/>
        <w:outlineLvl w:val="0"/>
        <w:rPr>
          <w:sz w:val="22"/>
          <w:szCs w:val="22"/>
          <w:lang w:val="el-GR"/>
        </w:rPr>
      </w:pPr>
    </w:p>
    <w:p w14:paraId="5187E75F" w14:textId="77777777" w:rsidR="00171824" w:rsidRDefault="006D258C">
      <w:pPr>
        <w:keepNext/>
        <w:widowControl/>
        <w:tabs>
          <w:tab w:val="left" w:pos="684"/>
        </w:tabs>
        <w:kinsoku w:val="0"/>
        <w:overflowPunct w:val="0"/>
        <w:outlineLvl w:val="0"/>
        <w:rPr>
          <w:b/>
          <w:bCs/>
          <w:sz w:val="22"/>
          <w:szCs w:val="22"/>
          <w:lang w:val="el-GR"/>
        </w:rPr>
      </w:pPr>
      <w:r>
        <w:rPr>
          <w:b/>
          <w:bCs/>
          <w:sz w:val="22"/>
          <w:szCs w:val="22"/>
          <w:lang w:val="el-GR"/>
        </w:rPr>
        <w:t>Μην χρησιμοποιήσετε το AMGEVITA:</w:t>
      </w:r>
    </w:p>
    <w:p w14:paraId="65C40E03" w14:textId="77777777" w:rsidR="00171824" w:rsidRDefault="00171824">
      <w:pPr>
        <w:keepNext/>
        <w:widowControl/>
        <w:rPr>
          <w:sz w:val="22"/>
          <w:szCs w:val="22"/>
          <w:lang w:val="el-GR"/>
        </w:rPr>
      </w:pPr>
    </w:p>
    <w:p w14:paraId="2D5A7583"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περίπτωση αλλεργίας στο adalimumab ή σε οποιοδήποτε άλλο από τα συστατικά αυτού του φαρμάκου (αναφέρονται στην παράγραφο 6).</w:t>
      </w:r>
    </w:p>
    <w:p w14:paraId="025AF610" w14:textId="77777777" w:rsidR="00171824" w:rsidRDefault="006D258C">
      <w:pPr>
        <w:keepNext/>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περίπτωση σοβαρής λοίμωξης, συμπεριλαμβανομένης και της ενεργού φυματίωσης,</w:t>
      </w:r>
      <w:r>
        <w:rPr>
          <w:lang w:val="el-GR"/>
        </w:rPr>
        <w:t xml:space="preserve"> </w:t>
      </w:r>
      <w:r>
        <w:rPr>
          <w:sz w:val="22"/>
          <w:szCs w:val="22"/>
          <w:lang w:val="el-GR"/>
        </w:rPr>
        <w:t>σηψαιμίας (λοίμωξης του αίματος) ή άλλων ευκαιριακών λοιμώξεων (ασυνήθιστων λοιμώξεων που συσχετίζονται με εξασθενημένο ανοσοποιητικό σύστημα) (βλέπε «Προειδοποιήσεις και Προφυλάξεις»). Είναι σημαντικό να ενημερώσετε τον γιατρό σας εάν έχετε συμπτώματα λοίμωξης, όπως π.χ. πυρετό, πληγές, αίσθημα κόπωσης ή οδοντικά προβλήματα.</w:t>
      </w:r>
    </w:p>
    <w:p w14:paraId="769E849F"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περίπτωση μέτριας ή σοβαρής καρδιακής ανεπάρκειας. Είναι σημαντικό να ενημερώσετε τον γιατρό σας εάν είχατε ή έχετε σοβαρή καρδιακή νόσο (βλέπε «Προειδοποιήσεις και Προφυλάξεις»).</w:t>
      </w:r>
    </w:p>
    <w:p w14:paraId="3A52CC8A" w14:textId="77777777" w:rsidR="00171824" w:rsidRDefault="00171824">
      <w:pPr>
        <w:widowControl/>
        <w:kinsoku w:val="0"/>
        <w:overflowPunct w:val="0"/>
        <w:rPr>
          <w:sz w:val="22"/>
          <w:szCs w:val="22"/>
          <w:lang w:val="el-GR"/>
        </w:rPr>
      </w:pPr>
    </w:p>
    <w:p w14:paraId="157D8F98" w14:textId="77777777" w:rsidR="00171824" w:rsidRDefault="006D258C">
      <w:pPr>
        <w:widowControl/>
        <w:kinsoku w:val="0"/>
        <w:overflowPunct w:val="0"/>
        <w:outlineLvl w:val="0"/>
        <w:rPr>
          <w:sz w:val="22"/>
          <w:szCs w:val="22"/>
          <w:lang w:val="el-GR"/>
        </w:rPr>
      </w:pPr>
      <w:r>
        <w:rPr>
          <w:b/>
          <w:bCs/>
          <w:sz w:val="22"/>
          <w:szCs w:val="22"/>
          <w:lang w:val="el-GR"/>
        </w:rPr>
        <w:t>Προειδοποιήσεις και προφυλάξεις</w:t>
      </w:r>
    </w:p>
    <w:p w14:paraId="0CFA7C4F" w14:textId="77777777" w:rsidR="00171824" w:rsidRDefault="00171824">
      <w:pPr>
        <w:widowControl/>
        <w:kinsoku w:val="0"/>
        <w:overflowPunct w:val="0"/>
        <w:rPr>
          <w:sz w:val="22"/>
          <w:szCs w:val="22"/>
          <w:lang w:val="el-GR"/>
        </w:rPr>
      </w:pPr>
    </w:p>
    <w:p w14:paraId="007F9E1F" w14:textId="77777777" w:rsidR="00171824" w:rsidRDefault="006D258C">
      <w:pPr>
        <w:widowControl/>
        <w:kinsoku w:val="0"/>
        <w:overflowPunct w:val="0"/>
        <w:rPr>
          <w:sz w:val="22"/>
          <w:szCs w:val="22"/>
          <w:lang w:val="el-GR"/>
        </w:rPr>
      </w:pPr>
      <w:r>
        <w:rPr>
          <w:sz w:val="22"/>
          <w:szCs w:val="22"/>
          <w:lang w:val="el-GR"/>
        </w:rPr>
        <w:t xml:space="preserve">Απευθυνθείτε στον γιατρό ή τον φαρμακοποιό σας πριν χρησιμοποιήσετε το AMGEVITA: </w:t>
      </w:r>
    </w:p>
    <w:p w14:paraId="3AE1C050" w14:textId="77777777" w:rsidR="00171824" w:rsidRDefault="00171824">
      <w:pPr>
        <w:widowControl/>
        <w:kinsoku w:val="0"/>
        <w:overflowPunct w:val="0"/>
        <w:rPr>
          <w:sz w:val="22"/>
          <w:szCs w:val="22"/>
          <w:lang w:val="el-GR"/>
        </w:rPr>
      </w:pPr>
    </w:p>
    <w:p w14:paraId="019B879F" w14:textId="77777777" w:rsidR="00171824" w:rsidRDefault="006D258C">
      <w:pPr>
        <w:widowControl/>
        <w:kinsoku w:val="0"/>
        <w:overflowPunct w:val="0"/>
        <w:rPr>
          <w:sz w:val="22"/>
          <w:szCs w:val="22"/>
          <w:lang w:val="el-GR"/>
        </w:rPr>
      </w:pPr>
      <w:r>
        <w:rPr>
          <w:sz w:val="22"/>
          <w:szCs w:val="22"/>
          <w:lang w:val="el-GR"/>
        </w:rPr>
        <w:t xml:space="preserve">Αλλεργικές αντιδράσεις </w:t>
      </w:r>
    </w:p>
    <w:p w14:paraId="46AE9370" w14:textId="77777777" w:rsidR="00171824" w:rsidRDefault="00171824">
      <w:pPr>
        <w:widowControl/>
        <w:kinsoku w:val="0"/>
        <w:overflowPunct w:val="0"/>
        <w:rPr>
          <w:sz w:val="22"/>
          <w:szCs w:val="22"/>
          <w:lang w:val="el-GR"/>
        </w:rPr>
      </w:pPr>
    </w:p>
    <w:p w14:paraId="325AFDC4"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εμφανίσετε αλλεργικές αντιδράσεις με συμπτώματα όπως αίσθημα σφιξίματος στο θώρακα, δύσπνοια, ζάλη, οίδημα ή εξάνθημα διακόψτε τις ενέσεις AMGEVITA και επικοινωνήστε αμέσως με τον γιατρό σας δεδομένου ότι, σε σπάνιες περιπτώσεις, αυτές οι αντιδράσεις μπορεί να είναι απειλητικές για τη ζωή.</w:t>
      </w:r>
    </w:p>
    <w:p w14:paraId="67C6117B" w14:textId="77777777" w:rsidR="00171824" w:rsidRDefault="00171824">
      <w:pPr>
        <w:widowControl/>
        <w:kinsoku w:val="0"/>
        <w:overflowPunct w:val="0"/>
        <w:rPr>
          <w:sz w:val="22"/>
          <w:szCs w:val="22"/>
          <w:lang w:val="el-GR"/>
        </w:rPr>
      </w:pPr>
    </w:p>
    <w:p w14:paraId="34998E40" w14:textId="77777777" w:rsidR="00171824" w:rsidRDefault="006D258C">
      <w:pPr>
        <w:widowControl/>
        <w:kinsoku w:val="0"/>
        <w:overflowPunct w:val="0"/>
        <w:rPr>
          <w:sz w:val="22"/>
          <w:szCs w:val="22"/>
          <w:lang w:val="el-GR"/>
        </w:rPr>
      </w:pPr>
      <w:r>
        <w:rPr>
          <w:sz w:val="22"/>
          <w:szCs w:val="22"/>
          <w:lang w:val="el-GR"/>
        </w:rPr>
        <w:t>Λοιμώξεις</w:t>
      </w:r>
    </w:p>
    <w:p w14:paraId="01F2FCAE" w14:textId="77777777" w:rsidR="00171824" w:rsidRDefault="00171824">
      <w:pPr>
        <w:widowControl/>
        <w:kinsoku w:val="0"/>
        <w:overflowPunct w:val="0"/>
        <w:rPr>
          <w:sz w:val="22"/>
          <w:szCs w:val="22"/>
          <w:lang w:val="el-GR"/>
        </w:rPr>
      </w:pPr>
    </w:p>
    <w:p w14:paraId="61D44100"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έχετε μια λοίμωξη, συμπεριλαμβανομένων των μακροχρόνιων ή των τοπικών λοιμώξεων (για παράδειγμα, έλκος κνήμης) συμβουλευθείτε τον γιατρό σας πριν αρχίσετε την αγωγή με το AMGEVITA. Εάν δεν είστε βέβαιος, παρακαλείσθε να επικοινωνήσετε με τον γιατρό σας.</w:t>
      </w:r>
    </w:p>
    <w:p w14:paraId="26CE9A22"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Μπορεί να εμφανίσετε λοιμώξεις ευκολότερα ενώ λαμβάνετε τη θεραπεία AMGEVITA. Ο κίνδυνος ενδέχεται να αυξηθεί εάν η πνευμονική λειτουργία σας είναι επηρεασμένη. Οι λοιμώξεις αυτές μπορεί να είναι επικίνδυνες και συμπεριλαμβάνουν φυματίωση, λοιμώξεις που προκαλούνται από ιούς, μύκητες ή βακτήρια ή άλλες ευκαιριακές λοιμώξεις και σηψαιμία, η οποία σε σπάνιες περιπτώσεις είναι πιθανό να είναι απειλητική για τη ζωή. Είναι σημαντικό να ενημερώσετε τον γιατρό σας εάν παρουσιάσετε συμπτώματα όπως πυρετό, πληγές, αίσθημα κόπωσης ή οδοντικά προβλήματα. Ο γιατρός σας είναι πιθανό να συστήσει προσωρινή διακοπή της θεραπείας με AMGEVITA.</w:t>
      </w:r>
    </w:p>
    <w:p w14:paraId="5EFBE1DE" w14:textId="77777777" w:rsidR="00171824" w:rsidRDefault="00171824">
      <w:pPr>
        <w:widowControl/>
        <w:kinsoku w:val="0"/>
        <w:overflowPunct w:val="0"/>
        <w:rPr>
          <w:sz w:val="22"/>
          <w:szCs w:val="22"/>
          <w:lang w:val="el-GR"/>
        </w:rPr>
      </w:pPr>
    </w:p>
    <w:p w14:paraId="0014E17C" w14:textId="77777777" w:rsidR="00171824" w:rsidRDefault="006D258C">
      <w:pPr>
        <w:widowControl/>
        <w:kinsoku w:val="0"/>
        <w:overflowPunct w:val="0"/>
        <w:rPr>
          <w:sz w:val="22"/>
          <w:szCs w:val="22"/>
          <w:lang w:val="el-GR"/>
        </w:rPr>
      </w:pPr>
      <w:r>
        <w:rPr>
          <w:sz w:val="22"/>
          <w:szCs w:val="22"/>
          <w:lang w:val="el-GR"/>
        </w:rPr>
        <w:t>Φυματίωση</w:t>
      </w:r>
    </w:p>
    <w:p w14:paraId="3C1B11BD" w14:textId="77777777" w:rsidR="00171824" w:rsidRDefault="00171824">
      <w:pPr>
        <w:widowControl/>
        <w:kinsoku w:val="0"/>
        <w:overflowPunct w:val="0"/>
        <w:rPr>
          <w:sz w:val="22"/>
          <w:szCs w:val="22"/>
          <w:lang w:val="el-GR"/>
        </w:rPr>
      </w:pPr>
    </w:p>
    <w:p w14:paraId="75844245"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Επειδή έχουν αναφερθεί περιπτώσεις φυματίωσης σε ασθενείς που έλαβαν το adalimumab, ο γιατρός σας θα σας εξετάσει για σημεία και συμπτώματα φυματίωσης πριν αρχίσετε να λαμβάνετε το AMGEVITA. Η εξέταση αυτή θα περιλαμβάνει πλήρη ιατρική εκτίμηση συμπεριλαμβανομένου του ιατρικού ιστορικού σας και κατάλληλο έλεγχο (για παράδειγμα, ακτινογραφία θώρακος και δοκιμασία φυματίνης). Τα αποτελέσματα αυτών των δοκιμασιών θα πρέπει να καταγράφονται στην </w:t>
      </w:r>
      <w:r>
        <w:rPr>
          <w:b/>
          <w:sz w:val="22"/>
          <w:szCs w:val="22"/>
          <w:lang w:val="el-GR"/>
        </w:rPr>
        <w:t>Κάρτα Υπενθύμισης του Ασθενούς</w:t>
      </w:r>
      <w:r>
        <w:rPr>
          <w:sz w:val="22"/>
          <w:szCs w:val="22"/>
          <w:lang w:val="el-GR"/>
        </w:rPr>
        <w:t xml:space="preserve">. Είναι πολύ σημαντικό να ενημερώσετε τον γιατρό σας εάν είχατε ποτέ φυματίωση ή εάν ήλθατε σε στενή επαφή με κάποιον που είχε φυματίωση. </w:t>
      </w:r>
    </w:p>
    <w:p w14:paraId="6DEF4AE6"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Φυματίωση μπορεί να αναπτυχθεί κατά τη διάρκεια της θεραπείας ακόμη και εάν έχετε λάβει προληπτική θεραπεία για φυματίωση. </w:t>
      </w:r>
    </w:p>
    <w:p w14:paraId="101940E2"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συμπτώματα φυματίωσης (επίμονος βήχας, απώλεια βάρους, αφηρημάδα, ήπιος πυρετός) ή οποιαδήποτε άλλη λοίμωξη εμφανισθεί κατά τη διάρκεια της θεραπείας ή μετά από αυτή θα πρέπει να ενημερώσετε αμέσως τον γιατρό σας.</w:t>
      </w:r>
    </w:p>
    <w:p w14:paraId="33DAE429" w14:textId="77777777" w:rsidR="00171824" w:rsidRDefault="00171824">
      <w:pPr>
        <w:widowControl/>
        <w:kinsoku w:val="0"/>
        <w:overflowPunct w:val="0"/>
        <w:rPr>
          <w:sz w:val="22"/>
          <w:szCs w:val="22"/>
          <w:lang w:val="el-GR"/>
        </w:rPr>
      </w:pPr>
    </w:p>
    <w:p w14:paraId="6F6FCC5D" w14:textId="77777777" w:rsidR="00171824" w:rsidRDefault="006D258C">
      <w:pPr>
        <w:keepNext/>
        <w:keepLines/>
        <w:widowControl/>
        <w:kinsoku w:val="0"/>
        <w:overflowPunct w:val="0"/>
        <w:rPr>
          <w:sz w:val="22"/>
          <w:szCs w:val="22"/>
          <w:lang w:val="el-GR"/>
        </w:rPr>
      </w:pPr>
      <w:r>
        <w:rPr>
          <w:sz w:val="22"/>
          <w:szCs w:val="22"/>
          <w:lang w:val="el-GR"/>
        </w:rPr>
        <w:t>Ταξιδιωτικές / υποτροπιάζουσες λοιμώξεις</w:t>
      </w:r>
    </w:p>
    <w:p w14:paraId="2EFFF2F6" w14:textId="77777777" w:rsidR="00171824" w:rsidRDefault="00171824">
      <w:pPr>
        <w:keepNext/>
        <w:keepLines/>
        <w:widowControl/>
        <w:kinsoku w:val="0"/>
        <w:overflowPunct w:val="0"/>
        <w:rPr>
          <w:sz w:val="22"/>
          <w:szCs w:val="22"/>
          <w:lang w:val="el-GR"/>
        </w:rPr>
      </w:pPr>
    </w:p>
    <w:p w14:paraId="2C18A5DA"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Συμβουλευτείτε τον γιατρό σας εάν κατοικείτε ή ταξιδεύετε σε περιοχές όπου μυκητιασικές λοιμώξεις, όπως ιστοπλάσμωση, κοκκιδιοειδομυκητίαση ή βλαστομυκητίαση είναι ενδημικές.</w:t>
      </w:r>
    </w:p>
    <w:p w14:paraId="489F77E8"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Ενημερώστε τον γιατρό σας εάν έχετε ιστορικό υποτροπιαζουσών λοιμώξεων ή άλλες καταστάσεις που μπορεί να αυξήσουν τον κίνδυνο για λοιμώξεις.</w:t>
      </w:r>
    </w:p>
    <w:p w14:paraId="28C7E5B6" w14:textId="77777777" w:rsidR="00171824" w:rsidRDefault="00171824">
      <w:pPr>
        <w:widowControl/>
        <w:kinsoku w:val="0"/>
        <w:overflowPunct w:val="0"/>
        <w:rPr>
          <w:sz w:val="22"/>
          <w:szCs w:val="22"/>
          <w:lang w:val="el-GR"/>
        </w:rPr>
      </w:pPr>
    </w:p>
    <w:p w14:paraId="17C43636" w14:textId="77777777" w:rsidR="00171824" w:rsidRDefault="006D258C">
      <w:pPr>
        <w:widowControl/>
        <w:kinsoku w:val="0"/>
        <w:overflowPunct w:val="0"/>
        <w:rPr>
          <w:sz w:val="22"/>
          <w:szCs w:val="22"/>
          <w:lang w:val="el-GR"/>
        </w:rPr>
      </w:pPr>
      <w:r>
        <w:rPr>
          <w:sz w:val="22"/>
          <w:szCs w:val="22"/>
          <w:lang w:val="el-GR"/>
        </w:rPr>
        <w:t>Ιός της ηπατίτιδας Β</w:t>
      </w:r>
    </w:p>
    <w:p w14:paraId="5D6066D8" w14:textId="77777777" w:rsidR="00171824" w:rsidRDefault="00171824">
      <w:pPr>
        <w:widowControl/>
        <w:kinsoku w:val="0"/>
        <w:overflowPunct w:val="0"/>
        <w:rPr>
          <w:sz w:val="22"/>
          <w:szCs w:val="22"/>
          <w:lang w:val="el-GR"/>
        </w:rPr>
      </w:pPr>
    </w:p>
    <w:p w14:paraId="56565345"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Ενημερώστε τον γιατρό σας εάν είστε φορέας του ιού της ηπατίτιδας Β, εάν έχετε ενεργό ηπατίτιδα Β, ή υποψιάζεστε ότι βρίσκεστε σε κίνδυνο να μολυνθείτε με τον ιό της ηπατίτιδας. Ο γιατρός σας θα πρέπει να σας εξετάσει για ιό της ηπατίτιδας Β. Το AMGEVITA είναι πιθανό να προκαλέσει επανενεργοποίηση της ηπατίτιδας Β σε ασθενείς οι οποίοι μεταφέρουν τον ιό. Σε κάποιες σπάνιες περιπτώσεις, ειδικά εάν λαμβάνετε και άλλα φάρμακα τα οποία καταστέλλουν το ανοσολογικό σύστημα, η επανενεργοποίηση του ιού της ηπατίτιδας Β, είναι πιθανό να αποδειχθεί απειλητική για τη ζωή.</w:t>
      </w:r>
    </w:p>
    <w:p w14:paraId="48C55FFF" w14:textId="77777777" w:rsidR="00171824" w:rsidRDefault="00171824">
      <w:pPr>
        <w:pStyle w:val="ListParagraph"/>
        <w:widowControl/>
        <w:kinsoku w:val="0"/>
        <w:overflowPunct w:val="0"/>
        <w:rPr>
          <w:sz w:val="22"/>
          <w:szCs w:val="22"/>
          <w:lang w:val="el-GR"/>
        </w:rPr>
      </w:pPr>
    </w:p>
    <w:p w14:paraId="5700A2FC" w14:textId="77777777" w:rsidR="00171824" w:rsidRDefault="006D258C">
      <w:pPr>
        <w:pStyle w:val="ListParagraph"/>
        <w:widowControl/>
        <w:kinsoku w:val="0"/>
        <w:overflowPunct w:val="0"/>
        <w:rPr>
          <w:sz w:val="22"/>
          <w:szCs w:val="22"/>
          <w:lang w:val="el-GR"/>
        </w:rPr>
      </w:pPr>
      <w:r>
        <w:rPr>
          <w:sz w:val="22"/>
          <w:szCs w:val="22"/>
          <w:lang w:val="el-GR"/>
        </w:rPr>
        <w:t>Ηλικία άνω των 65 ετών</w:t>
      </w:r>
    </w:p>
    <w:p w14:paraId="4E798639" w14:textId="77777777" w:rsidR="00171824" w:rsidRDefault="00171824">
      <w:pPr>
        <w:widowControl/>
        <w:kinsoku w:val="0"/>
        <w:overflowPunct w:val="0"/>
        <w:rPr>
          <w:sz w:val="22"/>
          <w:szCs w:val="22"/>
          <w:lang w:val="el-GR"/>
        </w:rPr>
      </w:pPr>
    </w:p>
    <w:p w14:paraId="271F0908"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είστε άνω των 65 ετών μπορεί να είστε πιο ευάλωτοι σε λοιμώξεις ενώ λαμβάνετε AMGEVITA. Εσείς και ο γιατρός σας πρέπει να δείξετε ιδιαίτερη προσοχή σε σημεία λοίμωξης ενώ λαμβάνετε θεραπεία με AMGEVITA. Είναι σημαντικό να πείτε στον γιατρό σας εάν έχετε συμπτώματα λοίμωξης, όπως είναι ο πυρετός, τραύματα, αίσθημα κόπωσης ή προβλήματα στα δόντια.</w:t>
      </w:r>
    </w:p>
    <w:p w14:paraId="6CAA46F4" w14:textId="77777777" w:rsidR="00171824" w:rsidRDefault="00171824">
      <w:pPr>
        <w:widowControl/>
        <w:kinsoku w:val="0"/>
        <w:overflowPunct w:val="0"/>
        <w:rPr>
          <w:sz w:val="22"/>
          <w:szCs w:val="22"/>
          <w:lang w:val="el-GR"/>
        </w:rPr>
      </w:pPr>
    </w:p>
    <w:p w14:paraId="5B70F0AE" w14:textId="77777777" w:rsidR="00171824" w:rsidRDefault="006D258C">
      <w:pPr>
        <w:widowControl/>
        <w:kinsoku w:val="0"/>
        <w:overflowPunct w:val="0"/>
        <w:rPr>
          <w:sz w:val="22"/>
          <w:szCs w:val="22"/>
          <w:lang w:val="el-GR"/>
        </w:rPr>
      </w:pPr>
      <w:r>
        <w:rPr>
          <w:sz w:val="22"/>
          <w:szCs w:val="22"/>
          <w:lang w:val="el-GR"/>
        </w:rPr>
        <w:t>Χειρουργικές ή οδοντιατρικές επεμβάσεις</w:t>
      </w:r>
    </w:p>
    <w:p w14:paraId="16CE2EBC" w14:textId="77777777" w:rsidR="00171824" w:rsidRDefault="00171824">
      <w:pPr>
        <w:widowControl/>
        <w:kinsoku w:val="0"/>
        <w:overflowPunct w:val="0"/>
        <w:rPr>
          <w:sz w:val="22"/>
          <w:szCs w:val="22"/>
          <w:lang w:val="el-GR"/>
        </w:rPr>
      </w:pPr>
    </w:p>
    <w:p w14:paraId="7EE3AEDF"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πρόκειται να υποβληθείτε σε εγχείρηση ή σε επέμβαση στα δόντια ενημερώστε τον γιατρό σας ότι λαμβάνετε AMGEVITA. Ο γιατρός σας είναι πιθανό να συστήσει προσωρινή διακοπή της θεραπείας με AMGEVITA.</w:t>
      </w:r>
    </w:p>
    <w:p w14:paraId="7FB89346" w14:textId="77777777" w:rsidR="00171824" w:rsidRDefault="00171824">
      <w:pPr>
        <w:pStyle w:val="ListParagraph"/>
        <w:widowControl/>
        <w:kinsoku w:val="0"/>
        <w:overflowPunct w:val="0"/>
        <w:rPr>
          <w:sz w:val="22"/>
          <w:szCs w:val="22"/>
          <w:lang w:val="el-GR"/>
        </w:rPr>
      </w:pPr>
    </w:p>
    <w:p w14:paraId="66F6E4C8" w14:textId="77777777" w:rsidR="00171824" w:rsidRDefault="006D258C">
      <w:pPr>
        <w:pStyle w:val="ListParagraph"/>
        <w:widowControl/>
        <w:kinsoku w:val="0"/>
        <w:overflowPunct w:val="0"/>
        <w:rPr>
          <w:sz w:val="22"/>
          <w:szCs w:val="22"/>
          <w:lang w:val="el-GR"/>
        </w:rPr>
      </w:pPr>
      <w:r>
        <w:rPr>
          <w:sz w:val="22"/>
          <w:szCs w:val="22"/>
          <w:lang w:val="el-GR"/>
        </w:rPr>
        <w:t>Απομυελινωτική νόσος</w:t>
      </w:r>
    </w:p>
    <w:p w14:paraId="28B3AC57" w14:textId="77777777" w:rsidR="00171824" w:rsidRDefault="00171824">
      <w:pPr>
        <w:pStyle w:val="ListParagraph"/>
        <w:widowControl/>
        <w:kinsoku w:val="0"/>
        <w:overflowPunct w:val="0"/>
        <w:rPr>
          <w:sz w:val="22"/>
          <w:szCs w:val="22"/>
          <w:lang w:val="el-GR"/>
        </w:rPr>
      </w:pPr>
    </w:p>
    <w:p w14:paraId="0FE75DB9"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υποφέρετε ή εμφανίσετε μια απομυελινωτική νόσο, όπως η σκλήρυνση κατά πλάκας, ο γιατρός σας θα αποφασίσει εάν πρέπει να λάβετε ή να συνεχίσετε να λαμβάνετε το AMGEVITA. Ενημερώστε αμέσως τον γιατρό σας εάν βιώσετε συμπτώματα, όπως αλλαγές στην όραση, αδυναμία στα χέρια ή τα πόδια, ή μούδιασμα ή μυρμήγκιασμα σε οποιοδήποτε μέρος του σώματός σας.</w:t>
      </w:r>
    </w:p>
    <w:p w14:paraId="3A034D10" w14:textId="77777777" w:rsidR="00171824" w:rsidRDefault="00171824">
      <w:pPr>
        <w:widowControl/>
        <w:kinsoku w:val="0"/>
        <w:overflowPunct w:val="0"/>
        <w:rPr>
          <w:sz w:val="22"/>
          <w:szCs w:val="22"/>
          <w:lang w:val="el-GR"/>
        </w:rPr>
      </w:pPr>
    </w:p>
    <w:p w14:paraId="2BB023E6" w14:textId="77777777" w:rsidR="00171824" w:rsidRDefault="006D258C">
      <w:pPr>
        <w:pStyle w:val="ListParagraph"/>
        <w:widowControl/>
        <w:kinsoku w:val="0"/>
        <w:overflowPunct w:val="0"/>
        <w:rPr>
          <w:sz w:val="22"/>
          <w:szCs w:val="22"/>
          <w:lang w:val="el-GR"/>
        </w:rPr>
      </w:pPr>
      <w:r>
        <w:rPr>
          <w:sz w:val="22"/>
          <w:szCs w:val="22"/>
          <w:lang w:val="el-GR"/>
        </w:rPr>
        <w:t>Εμβολιασμοί</w:t>
      </w:r>
    </w:p>
    <w:p w14:paraId="1F5DF42A" w14:textId="77777777" w:rsidR="00171824" w:rsidRDefault="00171824">
      <w:pPr>
        <w:widowControl/>
        <w:kinsoku w:val="0"/>
        <w:overflowPunct w:val="0"/>
        <w:rPr>
          <w:sz w:val="22"/>
          <w:szCs w:val="22"/>
          <w:lang w:val="el-GR"/>
        </w:rPr>
      </w:pPr>
    </w:p>
    <w:p w14:paraId="726CBF47"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Ορισμένα εμβόλια περιέχουν ζωντανές αλλά εξασθενημένες μορφές παθογόνων βακτηρίων ή ιών που ενδέχεται να προκαλέσουν λοιμώξεις και δε θα πρέπει να γίνονται ενώ λαμβάνετε το AMGEVITA. Ρωτήστε τον γιατρό σας πριν λάβετε οποιοδήποτε εμβόλιο. Συνιστάται, εφ’ όσον είναι εφικτό, τα παιδιά να έχουν πραγματοποιήσει τους απαραίτητους εμβολιασμούς σύμφωνα με τις ισχύουσες κατευθυντήριες οδηγίες για την ανοσοποίηση πριν από την έναρξη της θεραπείας με AMGEVITA. </w:t>
      </w:r>
    </w:p>
    <w:p w14:paraId="50F306B2"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λάβατε AMGEVITA ενώ ήσασταν έγκυος, το μωρό σας μπορεί να διατρέχει μεγαλύτερο κίνδυνο εμφάνισης τέτοιας λοίμωξης για διάστημα έως πέντε περίπου μήνες μετά την τελευταία δόση που λάβατε κατά τη διάρκεια της εγκυμοσύνης. Είναι σημαντικό να ενημερώσετε τους γιατρούς του μωρού σας και άλλους επαγγελματίες υγείας σχετικά με τη χρήση AMGEVITA κατά τη διάρκεια της εγκυμοσύνης σας, ώστε να μπορούν να αποφασίζουν πότε το μωρό σας θα πρέπει να λάβει κάποιο εμβόλιο.</w:t>
      </w:r>
    </w:p>
    <w:p w14:paraId="1654B6E7" w14:textId="77777777" w:rsidR="00171824" w:rsidRDefault="00171824">
      <w:pPr>
        <w:pStyle w:val="ListParagraph"/>
        <w:widowControl/>
        <w:kinsoku w:val="0"/>
        <w:overflowPunct w:val="0"/>
        <w:rPr>
          <w:sz w:val="22"/>
          <w:szCs w:val="22"/>
          <w:lang w:val="el-GR"/>
        </w:rPr>
      </w:pPr>
    </w:p>
    <w:p w14:paraId="4AF98665" w14:textId="77777777" w:rsidR="00171824" w:rsidRDefault="006D258C">
      <w:pPr>
        <w:pStyle w:val="ListParagraph"/>
        <w:keepNext/>
        <w:keepLines/>
        <w:widowControl/>
        <w:kinsoku w:val="0"/>
        <w:overflowPunct w:val="0"/>
        <w:rPr>
          <w:sz w:val="22"/>
          <w:szCs w:val="22"/>
          <w:lang w:val="el-GR"/>
        </w:rPr>
      </w:pPr>
      <w:r>
        <w:rPr>
          <w:sz w:val="22"/>
          <w:szCs w:val="22"/>
          <w:lang w:val="el-GR"/>
        </w:rPr>
        <w:lastRenderedPageBreak/>
        <w:t>Καρδιακή ανεπάρκεια</w:t>
      </w:r>
    </w:p>
    <w:p w14:paraId="61A5BFA9" w14:textId="77777777" w:rsidR="00171824" w:rsidRDefault="00171824">
      <w:pPr>
        <w:keepNext/>
        <w:keepLines/>
        <w:widowControl/>
        <w:kinsoku w:val="0"/>
        <w:overflowPunct w:val="0"/>
        <w:rPr>
          <w:sz w:val="22"/>
          <w:szCs w:val="22"/>
          <w:lang w:val="el-GR"/>
        </w:rPr>
      </w:pPr>
    </w:p>
    <w:p w14:paraId="2EB6909C"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Εάν υποφέρετε από ήπια καρδιακή ανεπάρκεια και λαμβάνετε θεραπεία με AMGEVITA, η καρδιακή ανεπάρκεια θα πρέπει να παρακολουθείται στενά από τον γιατρό σας. Είναι σημαντικό να πείτε στον γιατρό σας εάν είχατε στο παρελθόν ή υποφέρετε από σοβαρό καρδιακό πρόβλημα. Εάν παρουσιάσετε νέα συμπτώματα ή επιδείνωση των συμπτωμάτων της καρδιακής ανεπάρκειας (π.χ. δύσπνοια ή πρήξιμο ποδιών) θα πρέπει να επικοινωνήσετε αμέσως με τον γιατρό σας. Ο γιατρός σας θα αποφασίσει εάν πρέπει να λάβετε AMGEVITA.</w:t>
      </w:r>
    </w:p>
    <w:p w14:paraId="2CD67ED3" w14:textId="77777777" w:rsidR="00171824" w:rsidRDefault="00171824">
      <w:pPr>
        <w:pStyle w:val="ListParagraph"/>
        <w:tabs>
          <w:tab w:val="left" w:pos="567"/>
        </w:tabs>
        <w:rPr>
          <w:sz w:val="22"/>
          <w:szCs w:val="22"/>
          <w:lang w:val="el-GR" w:eastAsia="en-GB"/>
        </w:rPr>
      </w:pPr>
    </w:p>
    <w:p w14:paraId="3BCC2970" w14:textId="77777777" w:rsidR="00171824" w:rsidRDefault="006D258C">
      <w:pPr>
        <w:pStyle w:val="ListParagraph"/>
        <w:tabs>
          <w:tab w:val="left" w:pos="0"/>
        </w:tabs>
        <w:rPr>
          <w:sz w:val="22"/>
          <w:szCs w:val="22"/>
          <w:lang w:val="el-GR" w:eastAsia="en-GB"/>
        </w:rPr>
      </w:pPr>
      <w:r>
        <w:rPr>
          <w:sz w:val="22"/>
          <w:szCs w:val="22"/>
          <w:lang w:val="el-GR" w:eastAsia="en-GB"/>
        </w:rPr>
        <w:t>Πυρετός, μώλωπες, αιμορραγία ή ωχρότητα</w:t>
      </w:r>
    </w:p>
    <w:p w14:paraId="225E7DCA" w14:textId="77777777" w:rsidR="00171824" w:rsidRDefault="00171824">
      <w:pPr>
        <w:widowControl/>
        <w:kinsoku w:val="0"/>
        <w:overflowPunct w:val="0"/>
        <w:rPr>
          <w:sz w:val="22"/>
          <w:szCs w:val="22"/>
          <w:lang w:val="el-GR"/>
        </w:rPr>
      </w:pPr>
    </w:p>
    <w:p w14:paraId="1E0C6888" w14:textId="77777777" w:rsidR="00171824" w:rsidRDefault="006D258C">
      <w:pPr>
        <w:pStyle w:val="ListParagraph"/>
        <w:widowControl/>
        <w:numPr>
          <w:ilvl w:val="0"/>
          <w:numId w:val="44"/>
        </w:numPr>
        <w:tabs>
          <w:tab w:val="left" w:pos="567"/>
        </w:tabs>
        <w:kinsoku w:val="0"/>
        <w:overflowPunct w:val="0"/>
        <w:autoSpaceDE/>
        <w:autoSpaceDN/>
        <w:adjustRightInd/>
        <w:ind w:left="567" w:hanging="567"/>
        <w:rPr>
          <w:sz w:val="22"/>
          <w:szCs w:val="22"/>
          <w:lang w:val="el-GR"/>
        </w:rPr>
      </w:pPr>
      <w:r>
        <w:rPr>
          <w:sz w:val="22"/>
          <w:szCs w:val="22"/>
          <w:lang w:val="el-GR"/>
        </w:rPr>
        <w:t>Σε μερικούς ασθενείς ο οργανισμός είναι πιθανό να αποτύχει να παραγάγει αρκετή ποσότητα κυττάρων του αίματος τα οποία βοηθούν τον οργανισμό σας να αντιμετωπίσει τις λοιμώξεις ή σας βοηθά στη διακοπή της αιμορραγίας. Εάν εμφανίσετε πυρετό ο οποίος δεν υποχωρεί, ή μώλωπα ή αιμορραγείτε πολύ εύκολα ή φαίνεστε πολύ χλωμοί, επικοινωνήστε με τον γιατρό σας αμέσως. Ο γιατρός σας είναι πιθανό να αποφασίσει να διακόψει τη θεραπεία.</w:t>
      </w:r>
    </w:p>
    <w:p w14:paraId="5D12DB15" w14:textId="77777777" w:rsidR="00171824" w:rsidRDefault="00171824">
      <w:pPr>
        <w:pStyle w:val="ListParagraph"/>
        <w:widowControl/>
        <w:kinsoku w:val="0"/>
        <w:overflowPunct w:val="0"/>
        <w:rPr>
          <w:sz w:val="22"/>
          <w:szCs w:val="22"/>
          <w:lang w:val="el-GR"/>
        </w:rPr>
      </w:pPr>
    </w:p>
    <w:p w14:paraId="376B9EE1" w14:textId="77777777" w:rsidR="00171824" w:rsidRDefault="006D258C">
      <w:pPr>
        <w:pStyle w:val="ListParagraph"/>
        <w:widowControl/>
        <w:kinsoku w:val="0"/>
        <w:overflowPunct w:val="0"/>
        <w:rPr>
          <w:sz w:val="22"/>
          <w:szCs w:val="22"/>
          <w:lang w:val="el-GR"/>
        </w:rPr>
      </w:pPr>
      <w:r>
        <w:rPr>
          <w:sz w:val="22"/>
          <w:szCs w:val="22"/>
          <w:lang w:val="el-GR"/>
        </w:rPr>
        <w:t>Καρκίνος</w:t>
      </w:r>
    </w:p>
    <w:p w14:paraId="36BAE6F2" w14:textId="77777777" w:rsidR="00171824" w:rsidRDefault="00171824">
      <w:pPr>
        <w:widowControl/>
        <w:kinsoku w:val="0"/>
        <w:overflowPunct w:val="0"/>
        <w:rPr>
          <w:sz w:val="22"/>
          <w:szCs w:val="22"/>
          <w:lang w:val="el-GR"/>
        </w:rPr>
      </w:pPr>
    </w:p>
    <w:p w14:paraId="3B3A9726"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Υπάρχουν πολύ σπάνιες περιπτώσεις εμφάνισης συγκεκριμένων ειδών καρκίνου σε παιδιά και ενήλικες ασθενείς που λαμβάνουν adalimumab ή άλλο TNF-ανταγωνιστή. Ασθενείς με πιο σοβαρή ρευματοειδή αρθρίτιδα οι οποίοι πάσχουν από μακροχρόνια νόσο είναι πιθανό να έχουν μεγαλύτερο του μέσου όρου κίνδυνο εμφάνισης λεμφώματος (ένας καρκίνος που επηρεάζει το λεμφικό σύστημα), και λευχαιμία (ένας καρκίνος που επηρεάζει το αίμα και το μυελό των οστών). </w:t>
      </w:r>
    </w:p>
    <w:p w14:paraId="51C56059"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Αν πάρετε το AMGEVITA, μπορεί να αυξηθεί ο κίνδυνος εμφάνισης λεμφώματος, λευχαιμίας ή άλλων μορφών καρκίνου. Σε σπάνιες περιπτώσεις, ένας ειδικός και σοβαρός τύπος λεμφώματος έχει παρατηρηθεί σε ασθενείς που λαμβάνουν adalimumab. Σε κάποιους από αυτούς τους ασθενείς χορηγήθηκε επίσης azathiοprine ή 6-mercaptopurine. Ενημερώστε τον γιατρό σας εάν λαμβάνετε azathiοprine ή 6-mercaptopurine με AMGEVITA. </w:t>
      </w:r>
    </w:p>
    <w:p w14:paraId="1C0E247B"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Επιπλέον, περιπτώσεις μη μελανωματικού καρκίνου του δέρματος έχουν παρατηρηθεί σε ασθενείς οι οποίοι λαμβάνουν adalimumab. Εάν νέες δερματικές βλάβες εμφανιστούν κατά τη διάρκεια ή μετά τη θεραπεία ή εάν υπάρχουσες δερματικές βλάβες αλλάξουν μορφή, ενημερώστε τον γιατρό σας.</w:t>
      </w:r>
    </w:p>
    <w:p w14:paraId="659A369B"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Υπήρξαν περιπτώσεις καρκίνων, εκτός του λεμφώματος, σε ασθενείς με συγκεκριμένου τύπου πνευμονοπάθεια η οποία καλείται Χρόνια Αποφρακτική Πνευμονοπάθεια (ΧΑΠ) στους οποίους έχει χορηγηθεί άλλος ΤΝF-ανταγωνιστής. Εάν πάσχετε από ΧΑΠ ή καπνίζετε πολύ, θα πρέπει να συζητήσετε με τον γιατρό σας εάν η θεραπεία με έναν TNF-ανταγωνιστή είναι κατάλληλη για εσάς.</w:t>
      </w:r>
    </w:p>
    <w:p w14:paraId="682DD3CA" w14:textId="77777777" w:rsidR="00171824" w:rsidRDefault="00171824">
      <w:pPr>
        <w:pStyle w:val="ListParagraph"/>
        <w:rPr>
          <w:sz w:val="22"/>
          <w:szCs w:val="22"/>
          <w:lang w:val="el-GR"/>
        </w:rPr>
      </w:pPr>
    </w:p>
    <w:p w14:paraId="4122D369" w14:textId="77777777" w:rsidR="00171824" w:rsidRDefault="006D258C">
      <w:pPr>
        <w:pStyle w:val="ListParagraph"/>
        <w:rPr>
          <w:sz w:val="22"/>
          <w:szCs w:val="22"/>
          <w:lang w:val="el-GR"/>
        </w:rPr>
      </w:pPr>
      <w:r>
        <w:rPr>
          <w:sz w:val="22"/>
          <w:szCs w:val="22"/>
          <w:lang w:val="el-GR"/>
        </w:rPr>
        <w:t>Αυτοάνοσ</w:t>
      </w:r>
      <w:ins w:id="317" w:author="Author">
        <w:r>
          <w:rPr>
            <w:sz w:val="22"/>
            <w:szCs w:val="22"/>
            <w:lang w:val="el-GR"/>
          </w:rPr>
          <w:t>ο</w:t>
        </w:r>
      </w:ins>
      <w:del w:id="318" w:author="Author">
        <w:r>
          <w:rPr>
            <w:sz w:val="22"/>
            <w:szCs w:val="22"/>
            <w:lang w:val="el-GR"/>
          </w:rPr>
          <w:delText>α</w:delText>
        </w:r>
      </w:del>
      <w:r>
        <w:rPr>
          <w:sz w:val="22"/>
          <w:szCs w:val="22"/>
          <w:lang w:val="el-GR"/>
        </w:rPr>
        <w:t xml:space="preserve"> </w:t>
      </w:r>
      <w:ins w:id="319" w:author="Author">
        <w:r>
          <w:rPr>
            <w:sz w:val="22"/>
            <w:szCs w:val="22"/>
            <w:lang w:val="el-GR"/>
          </w:rPr>
          <w:t>νόσημα</w:t>
        </w:r>
      </w:ins>
      <w:del w:id="320" w:author="Author">
        <w:r>
          <w:rPr>
            <w:sz w:val="22"/>
            <w:szCs w:val="22"/>
            <w:lang w:val="el-GR"/>
          </w:rPr>
          <w:delText>νοσήματα</w:delText>
        </w:r>
      </w:del>
    </w:p>
    <w:p w14:paraId="7015339D" w14:textId="77777777" w:rsidR="00171824" w:rsidRDefault="00171824">
      <w:pPr>
        <w:pStyle w:val="ListParagraph"/>
        <w:rPr>
          <w:sz w:val="22"/>
          <w:szCs w:val="22"/>
          <w:lang w:val="el-GR"/>
        </w:rPr>
      </w:pPr>
    </w:p>
    <w:p w14:paraId="786A1162"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Σε σπάνιες περιπτώσεις, η θεραπεία με το AMGEVITA μπορεί να οδηγήσει σε σύνδρομο προσομοιάζον με λύκο. Ενημερώστε τον γιατρό σας εάν παρατηρηθούν συμπτώματα όπως επίμονο ανεξήγητο εξάνθημα, πυρετός, πόνος στις αρθρώσεις ή κόπωση.</w:t>
      </w:r>
    </w:p>
    <w:p w14:paraId="1829C67A" w14:textId="77777777" w:rsidR="00171824" w:rsidRDefault="00171824">
      <w:pPr>
        <w:widowControl/>
        <w:kinsoku w:val="0"/>
        <w:overflowPunct w:val="0"/>
        <w:rPr>
          <w:sz w:val="22"/>
          <w:szCs w:val="22"/>
          <w:lang w:val="el-GR"/>
        </w:rPr>
      </w:pPr>
    </w:p>
    <w:p w14:paraId="15B00320" w14:textId="77777777" w:rsidR="00171824" w:rsidRDefault="006D258C">
      <w:pPr>
        <w:widowControl/>
        <w:rPr>
          <w:b/>
          <w:sz w:val="22"/>
          <w:szCs w:val="22"/>
          <w:lang w:val="el-GR"/>
        </w:rPr>
      </w:pPr>
      <w:r>
        <w:rPr>
          <w:sz w:val="22"/>
          <w:szCs w:val="22"/>
          <w:lang w:val="el-GR"/>
        </w:rPr>
        <w:t>Προκειμένου να βελτιωθεί η ιχνηλασιμότητα αυτού του φαρμάκου, ο γιατρός ή ο φαρμακοποιός σας θα πρέπει να καταγράφει την ονομασία και τον αριθμό παρτίδας του προϊόντος που σας έχει δοθεί στον φάκελο ασθενούς. Θα ήταν ίσως καλό να σημειώσετε κάπου αυτά τα στοιχεία, σε περίπτωση κατά την οποία σας ζητηθούν οι συγκεκριμένες πληροφορίες στο μέλλον.</w:t>
      </w:r>
    </w:p>
    <w:p w14:paraId="1C749D12" w14:textId="77777777" w:rsidR="00171824" w:rsidRDefault="00171824">
      <w:pPr>
        <w:widowControl/>
        <w:kinsoku w:val="0"/>
        <w:overflowPunct w:val="0"/>
        <w:rPr>
          <w:sz w:val="22"/>
          <w:szCs w:val="22"/>
          <w:lang w:val="el-GR"/>
        </w:rPr>
      </w:pPr>
    </w:p>
    <w:p w14:paraId="40BA8917" w14:textId="77777777" w:rsidR="00171824" w:rsidRDefault="006D258C">
      <w:pPr>
        <w:keepNext/>
        <w:keepLines/>
        <w:widowControl/>
        <w:kinsoku w:val="0"/>
        <w:overflowPunct w:val="0"/>
        <w:outlineLvl w:val="0"/>
        <w:rPr>
          <w:sz w:val="22"/>
          <w:szCs w:val="22"/>
          <w:lang w:val="el-GR"/>
        </w:rPr>
      </w:pPr>
      <w:r>
        <w:rPr>
          <w:b/>
          <w:bCs/>
          <w:sz w:val="22"/>
          <w:szCs w:val="22"/>
          <w:lang w:val="el-GR"/>
        </w:rPr>
        <w:t>Παιδιά και έφηβοι</w:t>
      </w:r>
    </w:p>
    <w:p w14:paraId="4F2A111E" w14:textId="77777777" w:rsidR="00171824" w:rsidRDefault="00171824">
      <w:pPr>
        <w:keepNext/>
        <w:keepLines/>
        <w:widowControl/>
        <w:kinsoku w:val="0"/>
        <w:overflowPunct w:val="0"/>
        <w:rPr>
          <w:sz w:val="22"/>
          <w:szCs w:val="22"/>
          <w:lang w:val="el-GR"/>
        </w:rPr>
      </w:pPr>
    </w:p>
    <w:p w14:paraId="1BDF9CF8"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Εμβολιασμοί: εάν είναι δυνατόν το παιδί σας θα πρέπει να έχει πραγματοποιήσει τους απαραίτητους εμβολιασμούς πριν χρησιμοποιήσει το AMGEVITA.</w:t>
      </w:r>
    </w:p>
    <w:p w14:paraId="6C958D3D" w14:textId="77777777" w:rsidR="00171824" w:rsidRDefault="00171824">
      <w:pPr>
        <w:widowControl/>
        <w:kinsoku w:val="0"/>
        <w:overflowPunct w:val="0"/>
        <w:rPr>
          <w:sz w:val="22"/>
          <w:szCs w:val="22"/>
          <w:lang w:val="el-GR"/>
        </w:rPr>
      </w:pPr>
    </w:p>
    <w:p w14:paraId="40585160"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lastRenderedPageBreak/>
        <w:t>-</w:t>
      </w:r>
      <w:r>
        <w:rPr>
          <w:sz w:val="22"/>
          <w:szCs w:val="22"/>
          <w:lang w:val="el-GR"/>
        </w:rPr>
        <w:tab/>
        <w:t>Μην χορηγείτε AMGEVITA σε παιδιά με πολυαρθρική νεανική αρθρίτιδα ηλικίας κάτω των 2 ετών.</w:t>
      </w:r>
    </w:p>
    <w:p w14:paraId="17369F3A" w14:textId="77777777" w:rsidR="00171824" w:rsidRDefault="00171824">
      <w:pPr>
        <w:pStyle w:val="ListParagraph"/>
        <w:rPr>
          <w:sz w:val="22"/>
          <w:szCs w:val="22"/>
          <w:lang w:val="el-GR"/>
        </w:rPr>
      </w:pPr>
    </w:p>
    <w:p w14:paraId="25873543"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Μην χορηγείτε AMGEVITA σε παιδιά με ψωρίαση κατά πλάκας ηλικίας κάτω των 4 ετών.</w:t>
      </w:r>
    </w:p>
    <w:p w14:paraId="4F12FFDD" w14:textId="77777777" w:rsidR="00171824" w:rsidRDefault="00171824">
      <w:pPr>
        <w:widowControl/>
        <w:tabs>
          <w:tab w:val="left" w:pos="567"/>
        </w:tabs>
        <w:kinsoku w:val="0"/>
        <w:overflowPunct w:val="0"/>
        <w:autoSpaceDE/>
        <w:autoSpaceDN/>
        <w:adjustRightInd/>
        <w:rPr>
          <w:sz w:val="22"/>
          <w:szCs w:val="22"/>
          <w:lang w:val="el-GR"/>
        </w:rPr>
      </w:pPr>
    </w:p>
    <w:p w14:paraId="26EEA7CA" w14:textId="77777777" w:rsidR="00171824" w:rsidRDefault="006D258C">
      <w:pPr>
        <w:widowControl/>
        <w:tabs>
          <w:tab w:val="left" w:pos="567"/>
        </w:tabs>
        <w:kinsoku w:val="0"/>
        <w:overflowPunct w:val="0"/>
        <w:autoSpaceDE/>
        <w:autoSpaceDN/>
        <w:adjustRightInd/>
        <w:ind w:left="567" w:hanging="567"/>
        <w:rPr>
          <w:sz w:val="22"/>
          <w:szCs w:val="22"/>
          <w:lang w:val="el-GR"/>
        </w:rPr>
      </w:pPr>
      <w:r>
        <w:rPr>
          <w:sz w:val="22"/>
          <w:szCs w:val="22"/>
          <w:lang w:val="el-GR"/>
        </w:rPr>
        <w:t>-</w:t>
      </w:r>
      <w:r>
        <w:rPr>
          <w:sz w:val="22"/>
          <w:szCs w:val="22"/>
          <w:lang w:val="el-GR"/>
        </w:rPr>
        <w:tab/>
        <w:t xml:space="preserve">Μην χορηγείτε AMGEVITA σε παιδιά με νόσο του Crohn ή ελκώδη κολίτιδα ηλικίας κάτω των 6 ετών. </w:t>
      </w:r>
    </w:p>
    <w:p w14:paraId="2CA7B671" w14:textId="77777777" w:rsidR="00171824" w:rsidRDefault="00171824">
      <w:pPr>
        <w:widowControl/>
        <w:tabs>
          <w:tab w:val="left" w:pos="567"/>
        </w:tabs>
        <w:kinsoku w:val="0"/>
        <w:overflowPunct w:val="0"/>
        <w:autoSpaceDE/>
        <w:autoSpaceDN/>
        <w:adjustRightInd/>
        <w:rPr>
          <w:sz w:val="22"/>
          <w:szCs w:val="22"/>
          <w:lang w:val="el-GR"/>
        </w:rPr>
      </w:pPr>
    </w:p>
    <w:p w14:paraId="390EE086" w14:textId="77777777" w:rsidR="00171824" w:rsidRDefault="006D258C">
      <w:pPr>
        <w:keepNext/>
        <w:widowControl/>
        <w:kinsoku w:val="0"/>
        <w:overflowPunct w:val="0"/>
        <w:outlineLvl w:val="0"/>
        <w:rPr>
          <w:sz w:val="22"/>
          <w:szCs w:val="22"/>
          <w:lang w:val="el-GR"/>
        </w:rPr>
      </w:pPr>
      <w:r>
        <w:rPr>
          <w:b/>
          <w:bCs/>
          <w:sz w:val="22"/>
          <w:szCs w:val="22"/>
          <w:lang w:val="el-GR"/>
        </w:rPr>
        <w:t>Άλλα φάρμακα και AMGEVITA</w:t>
      </w:r>
    </w:p>
    <w:p w14:paraId="0AC8357F" w14:textId="77777777" w:rsidR="00171824" w:rsidRDefault="00171824">
      <w:pPr>
        <w:keepNext/>
        <w:widowControl/>
        <w:kinsoku w:val="0"/>
        <w:overflowPunct w:val="0"/>
        <w:rPr>
          <w:sz w:val="22"/>
          <w:szCs w:val="22"/>
          <w:lang w:val="el-GR"/>
        </w:rPr>
      </w:pPr>
    </w:p>
    <w:p w14:paraId="3DB9012F" w14:textId="77777777" w:rsidR="00171824" w:rsidRDefault="006D258C">
      <w:pPr>
        <w:widowControl/>
        <w:kinsoku w:val="0"/>
        <w:overflowPunct w:val="0"/>
        <w:rPr>
          <w:sz w:val="22"/>
          <w:szCs w:val="22"/>
          <w:lang w:val="el-GR"/>
        </w:rPr>
      </w:pPr>
      <w:r>
        <w:rPr>
          <w:sz w:val="22"/>
          <w:szCs w:val="22"/>
          <w:lang w:val="el-GR"/>
        </w:rPr>
        <w:t>Ενημερώστε τον γιατρό ή τον φαρμακοποιό σας εάν παίρνετε, έχετε πρόσφατα πάρει ή μπορεί να πάρετε άλλα φάρμακα.</w:t>
      </w:r>
    </w:p>
    <w:p w14:paraId="7D6F3CD1" w14:textId="77777777" w:rsidR="00171824" w:rsidRDefault="00171824">
      <w:pPr>
        <w:widowControl/>
        <w:kinsoku w:val="0"/>
        <w:overflowPunct w:val="0"/>
        <w:rPr>
          <w:sz w:val="22"/>
          <w:szCs w:val="22"/>
          <w:lang w:val="el-GR"/>
        </w:rPr>
      </w:pPr>
    </w:p>
    <w:p w14:paraId="2F7D087A" w14:textId="77777777" w:rsidR="00171824" w:rsidRDefault="006D258C">
      <w:pPr>
        <w:widowControl/>
        <w:kinsoku w:val="0"/>
        <w:overflowPunct w:val="0"/>
        <w:rPr>
          <w:sz w:val="22"/>
          <w:szCs w:val="22"/>
          <w:lang w:val="el-GR"/>
        </w:rPr>
      </w:pPr>
      <w:r>
        <w:rPr>
          <w:sz w:val="22"/>
          <w:szCs w:val="22"/>
          <w:lang w:val="el-GR"/>
        </w:rPr>
        <w:t>Μπορείτε να λαμβάνετε το AMGEVITA μαζί με μεθοτρεξάτη ή με συγκεκριμένα τροποποιητικά της νόσου αντιρευματικά φάρμακα (σουλφασαλαζίνη, υδροξυχλωροκίνη, λεφλουνομίδη και ενέσιμα σκευάσματα χρυσού), στεροειδή ή αναλγητικά φάρμακα συμπεριλαμβανομένων των μη στεροειδών αντιφλεγμονωδών φαρμάκων (ΜΣΑΦ).</w:t>
      </w:r>
    </w:p>
    <w:p w14:paraId="6ABAEF2F" w14:textId="77777777" w:rsidR="00171824" w:rsidRDefault="00171824">
      <w:pPr>
        <w:widowControl/>
        <w:kinsoku w:val="0"/>
        <w:overflowPunct w:val="0"/>
        <w:rPr>
          <w:sz w:val="22"/>
          <w:szCs w:val="22"/>
          <w:lang w:val="el-GR"/>
        </w:rPr>
      </w:pPr>
    </w:p>
    <w:p w14:paraId="2076C720" w14:textId="77777777" w:rsidR="00171824" w:rsidRDefault="006D258C">
      <w:pPr>
        <w:widowControl/>
        <w:kinsoku w:val="0"/>
        <w:overflowPunct w:val="0"/>
        <w:rPr>
          <w:sz w:val="22"/>
          <w:szCs w:val="22"/>
          <w:lang w:val="el-GR"/>
        </w:rPr>
      </w:pPr>
      <w:r>
        <w:rPr>
          <w:sz w:val="22"/>
          <w:szCs w:val="22"/>
          <w:lang w:val="el-GR"/>
        </w:rPr>
        <w:t>Δε θα πρέπει να λαμβάνετε AMGEVITA με φάρμακα τα οποία περιέχουν τις δραστικές ουσίες anakinra ή abatacept</w:t>
      </w:r>
      <w:r>
        <w:rPr>
          <w:rStyle w:val="shorttext"/>
          <w:rFonts w:ascii="Arial" w:hAnsi="Arial" w:cs="Arial"/>
          <w:color w:val="222222"/>
          <w:sz w:val="22"/>
          <w:lang w:val="el-GR"/>
        </w:rPr>
        <w:t xml:space="preserve"> </w:t>
      </w:r>
      <w:r>
        <w:rPr>
          <w:sz w:val="22"/>
          <w:szCs w:val="22"/>
          <w:lang w:val="el-GR"/>
        </w:rPr>
        <w:t>εξαιτίας υψηλού κινδύνου εκδήλωσης σοβαρής λοίμωξης. Εάν έχετε ερωτήσεις, παρακαλείσθε να απευθυνθείτε στον γιατρό σας.</w:t>
      </w:r>
    </w:p>
    <w:p w14:paraId="07C1E36E" w14:textId="77777777" w:rsidR="00171824" w:rsidRDefault="00171824">
      <w:pPr>
        <w:widowControl/>
        <w:kinsoku w:val="0"/>
        <w:overflowPunct w:val="0"/>
        <w:rPr>
          <w:sz w:val="22"/>
          <w:szCs w:val="22"/>
          <w:lang w:val="el-GR"/>
        </w:rPr>
      </w:pPr>
    </w:p>
    <w:p w14:paraId="343EAD68" w14:textId="77777777" w:rsidR="00171824" w:rsidRDefault="006D258C">
      <w:pPr>
        <w:widowControl/>
        <w:kinsoku w:val="0"/>
        <w:overflowPunct w:val="0"/>
        <w:outlineLvl w:val="0"/>
        <w:rPr>
          <w:sz w:val="22"/>
          <w:szCs w:val="22"/>
          <w:lang w:val="el-GR"/>
        </w:rPr>
      </w:pPr>
      <w:r>
        <w:rPr>
          <w:b/>
          <w:bCs/>
          <w:sz w:val="22"/>
          <w:szCs w:val="22"/>
          <w:lang w:val="el-GR"/>
        </w:rPr>
        <w:t>Κύηση και θηλασμός</w:t>
      </w:r>
    </w:p>
    <w:p w14:paraId="638F3C55" w14:textId="77777777" w:rsidR="00171824" w:rsidRDefault="00171824">
      <w:pPr>
        <w:numPr>
          <w:ilvl w:val="12"/>
          <w:numId w:val="0"/>
        </w:numPr>
        <w:tabs>
          <w:tab w:val="left" w:pos="567"/>
        </w:tabs>
        <w:ind w:right="-2"/>
        <w:rPr>
          <w:sz w:val="22"/>
          <w:lang w:val="el-GR"/>
        </w:rPr>
      </w:pPr>
    </w:p>
    <w:p w14:paraId="090A62A6"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 xml:space="preserve">Θα πρέπει να εξετάζετε την χρήση κατάλληλης αντισύλληψης για την πρόληψη της εγκυμοσύνης και να συνεχίσετε την χρήση της για τουλάχιστον 5 μήνες μετά την τελευταία θεραπεία με AMGEVITA. </w:t>
      </w:r>
    </w:p>
    <w:p w14:paraId="6E771EA4"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Εάν είστε έγκυος, νομίζετε ότι μπορεί να είστε έγκυος ή σχεδιάζετε να αποκτήσετε παιδί, ζητήστε τη συμβουλή του γιατρού σας προτού χρησιμοποιήσετε αυτό το φάρμακο.</w:t>
      </w:r>
    </w:p>
    <w:p w14:paraId="6ADF7D73" w14:textId="77777777" w:rsidR="00171824" w:rsidRDefault="006D258C">
      <w:pPr>
        <w:keepNext/>
        <w:widowControl/>
        <w:numPr>
          <w:ilvl w:val="0"/>
          <w:numId w:val="32"/>
        </w:numPr>
        <w:autoSpaceDE/>
        <w:autoSpaceDN/>
        <w:adjustRightInd/>
        <w:ind w:left="567" w:hanging="567"/>
        <w:rPr>
          <w:sz w:val="22"/>
          <w:szCs w:val="22"/>
          <w:lang w:val="el-GR"/>
        </w:rPr>
      </w:pPr>
      <w:r>
        <w:rPr>
          <w:sz w:val="22"/>
          <w:szCs w:val="22"/>
          <w:lang w:val="el-GR"/>
        </w:rPr>
        <w:t>Το AMGEVITA πρέπει να χρησιμοποιείται κατά την διάρκεια της εγκυμοσύνης μόνο εφόσον χρειάζεται.</w:t>
      </w:r>
    </w:p>
    <w:p w14:paraId="1ADC98FE"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Σύμφωνα με μια μελέτη για την εγκυμοσύνη, δεν υπήρχε μεγαλύτερος κίνδυνος για συγγενείς δυσπλασίες όταν η μητέρα είχε λάβει AMGEVITA κατά την εγκυμοσύνη σε σύγκριση με τις μητέρες που έπασχαν από την ίδια νόσο και οι οποίες δεν έλαβαν AMGEVITA.</w:t>
      </w:r>
    </w:p>
    <w:p w14:paraId="1BE617A0"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Το AMGEVITA μπορεί να χρησιμοποιηθεί κατά την διάρκεια του θηλασμού.</w:t>
      </w:r>
    </w:p>
    <w:p w14:paraId="65251650"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 xml:space="preserve">Εάν λαμβάνετε AMGEVITA κατά την εγκυμοσύνη σας, το μωρό σας μπορεί να διατρέχει μεγαλύτερο κίνδυνο εμφάνισης λοίμωξης. </w:t>
      </w:r>
    </w:p>
    <w:p w14:paraId="5AD5D5F3" w14:textId="77777777" w:rsidR="00171824" w:rsidRDefault="006D258C">
      <w:pPr>
        <w:numPr>
          <w:ilvl w:val="0"/>
          <w:numId w:val="32"/>
        </w:numPr>
        <w:autoSpaceDE/>
        <w:autoSpaceDN/>
        <w:adjustRightInd/>
        <w:ind w:left="567" w:right="-2" w:hanging="567"/>
        <w:rPr>
          <w:sz w:val="22"/>
          <w:szCs w:val="22"/>
          <w:lang w:val="el-GR"/>
        </w:rPr>
      </w:pPr>
      <w:r>
        <w:rPr>
          <w:sz w:val="22"/>
          <w:szCs w:val="22"/>
          <w:lang w:val="el-GR"/>
        </w:rPr>
        <w:t>Είναι σημαντικό να ενημερώσετε τους γιατρούς του μωρού σας και άλλους επαγγελματίες υγείας σχετικά με τη χρήση AMGEVITA κατά τη διάρκεια της εγκυμοσύνης σας, πριν το μωρό σας λάβει κάποιο εμβόλιο. Για περισσότερες πληροφορίες σχετικά με τον εμβολιασμό βλέπε παράγραφο «Προειδοποιήσεις και προφυλάξεις».</w:t>
      </w:r>
    </w:p>
    <w:p w14:paraId="587DB1C7" w14:textId="77777777" w:rsidR="00171824" w:rsidRDefault="00171824">
      <w:pPr>
        <w:widowControl/>
        <w:kinsoku w:val="0"/>
        <w:overflowPunct w:val="0"/>
        <w:rPr>
          <w:sz w:val="22"/>
          <w:szCs w:val="22"/>
          <w:lang w:val="el-GR"/>
        </w:rPr>
      </w:pPr>
    </w:p>
    <w:p w14:paraId="691A0BB6" w14:textId="77777777" w:rsidR="00171824" w:rsidRDefault="006D258C">
      <w:pPr>
        <w:widowControl/>
        <w:kinsoku w:val="0"/>
        <w:overflowPunct w:val="0"/>
        <w:outlineLvl w:val="0"/>
        <w:rPr>
          <w:sz w:val="22"/>
          <w:szCs w:val="22"/>
          <w:lang w:val="el-GR"/>
        </w:rPr>
      </w:pPr>
      <w:r>
        <w:rPr>
          <w:b/>
          <w:bCs/>
          <w:sz w:val="22"/>
          <w:szCs w:val="22"/>
          <w:lang w:val="el-GR"/>
        </w:rPr>
        <w:t>Οδήγηση και χειρισμός μηχανημάτων</w:t>
      </w:r>
    </w:p>
    <w:p w14:paraId="27403EF4" w14:textId="77777777" w:rsidR="00171824" w:rsidRDefault="00171824">
      <w:pPr>
        <w:widowControl/>
        <w:kinsoku w:val="0"/>
        <w:overflowPunct w:val="0"/>
        <w:rPr>
          <w:sz w:val="22"/>
          <w:szCs w:val="22"/>
          <w:lang w:val="el-GR"/>
        </w:rPr>
      </w:pPr>
    </w:p>
    <w:p w14:paraId="66BBD774" w14:textId="77777777" w:rsidR="00171824" w:rsidRDefault="006D258C">
      <w:pPr>
        <w:widowControl/>
        <w:kinsoku w:val="0"/>
        <w:overflowPunct w:val="0"/>
        <w:rPr>
          <w:sz w:val="22"/>
          <w:szCs w:val="22"/>
          <w:lang w:val="el-GR"/>
        </w:rPr>
      </w:pPr>
      <w:r>
        <w:rPr>
          <w:sz w:val="22"/>
          <w:szCs w:val="22"/>
          <w:lang w:val="el-GR"/>
        </w:rPr>
        <w:t>Το AMGEVITA μπορεί να έχει μικρή επίδραση στην ικανότητά σας για οδήγηση, ποδηλασία ή χειρισμού μηχανημάτων. Αίσθηση στροβιλισμού του δωματίου (ίλιγγος) και διαταραχές της όρασης μπορεί να προκύψουν μετά τη λήψη του AMGEVITA.</w:t>
      </w:r>
    </w:p>
    <w:p w14:paraId="4F455B8D" w14:textId="77777777" w:rsidR="00171824" w:rsidRDefault="00171824">
      <w:pPr>
        <w:widowControl/>
        <w:kinsoku w:val="0"/>
        <w:overflowPunct w:val="0"/>
        <w:rPr>
          <w:sz w:val="22"/>
          <w:szCs w:val="22"/>
          <w:lang w:val="el-GR"/>
        </w:rPr>
      </w:pPr>
    </w:p>
    <w:p w14:paraId="32D604F8" w14:textId="77777777" w:rsidR="00171824" w:rsidRDefault="006D258C">
      <w:pPr>
        <w:keepNext/>
        <w:keepLines/>
        <w:widowControl/>
        <w:numPr>
          <w:ilvl w:val="12"/>
          <w:numId w:val="0"/>
        </w:numPr>
        <w:ind w:right="-2"/>
        <w:outlineLvl w:val="0"/>
        <w:rPr>
          <w:b/>
          <w:sz w:val="22"/>
          <w:szCs w:val="22"/>
          <w:lang w:val="el-GR"/>
        </w:rPr>
      </w:pPr>
      <w:r>
        <w:rPr>
          <w:b/>
          <w:sz w:val="22"/>
          <w:szCs w:val="22"/>
          <w:lang w:val="el-GR"/>
        </w:rPr>
        <w:t>Το AMGEVITA περιέχει νάτριο</w:t>
      </w:r>
    </w:p>
    <w:p w14:paraId="57896247" w14:textId="77777777" w:rsidR="00171824" w:rsidRDefault="00171824">
      <w:pPr>
        <w:keepNext/>
        <w:keepLines/>
        <w:widowControl/>
        <w:numPr>
          <w:ilvl w:val="12"/>
          <w:numId w:val="0"/>
        </w:numPr>
        <w:rPr>
          <w:sz w:val="22"/>
          <w:szCs w:val="22"/>
          <w:lang w:val="el-GR"/>
        </w:rPr>
      </w:pPr>
    </w:p>
    <w:p w14:paraId="4C8C22DF" w14:textId="77777777" w:rsidR="00171824" w:rsidRDefault="006D258C">
      <w:pPr>
        <w:widowControl/>
        <w:numPr>
          <w:ilvl w:val="12"/>
          <w:numId w:val="0"/>
        </w:numPr>
        <w:rPr>
          <w:sz w:val="22"/>
          <w:szCs w:val="22"/>
          <w:lang w:val="el-GR"/>
        </w:rPr>
      </w:pPr>
      <w:r>
        <w:rPr>
          <w:sz w:val="22"/>
          <w:szCs w:val="22"/>
          <w:lang w:val="el-GR"/>
        </w:rPr>
        <w:t>Αυτό το φάρμακο περιέχει λιγότερο από 1 mmol νατρίου (23 mg) ανά δόση των 0,8 ml, είναι αυτό που ονομάζουμε «ελεύθερο νατρίου».</w:t>
      </w:r>
    </w:p>
    <w:p w14:paraId="3722A020" w14:textId="77777777" w:rsidR="00171824" w:rsidRDefault="00171824">
      <w:pPr>
        <w:widowControl/>
        <w:kinsoku w:val="0"/>
        <w:overflowPunct w:val="0"/>
        <w:rPr>
          <w:sz w:val="22"/>
          <w:szCs w:val="22"/>
          <w:lang w:val="el-GR"/>
        </w:rPr>
      </w:pPr>
    </w:p>
    <w:p w14:paraId="4665C0AB" w14:textId="77777777" w:rsidR="00171824" w:rsidRDefault="00171824">
      <w:pPr>
        <w:widowControl/>
        <w:kinsoku w:val="0"/>
        <w:overflowPunct w:val="0"/>
        <w:rPr>
          <w:sz w:val="22"/>
          <w:szCs w:val="22"/>
          <w:lang w:val="el-GR"/>
        </w:rPr>
      </w:pPr>
    </w:p>
    <w:p w14:paraId="489D402E" w14:textId="77777777" w:rsidR="00171824" w:rsidRDefault="006D258C">
      <w:pPr>
        <w:keepNext/>
        <w:widowControl/>
        <w:tabs>
          <w:tab w:val="left" w:pos="567"/>
        </w:tabs>
        <w:kinsoku w:val="0"/>
        <w:overflowPunct w:val="0"/>
        <w:autoSpaceDE/>
        <w:autoSpaceDN/>
        <w:adjustRightInd/>
        <w:ind w:left="567" w:hanging="567"/>
        <w:outlineLvl w:val="0"/>
        <w:rPr>
          <w:sz w:val="22"/>
          <w:szCs w:val="22"/>
          <w:lang w:val="el-GR"/>
        </w:rPr>
      </w:pPr>
      <w:r>
        <w:rPr>
          <w:b/>
          <w:bCs/>
          <w:sz w:val="22"/>
          <w:szCs w:val="22"/>
          <w:lang w:val="el-GR"/>
        </w:rPr>
        <w:lastRenderedPageBreak/>
        <w:t>3.</w:t>
      </w:r>
      <w:r>
        <w:rPr>
          <w:b/>
          <w:bCs/>
          <w:sz w:val="22"/>
          <w:szCs w:val="22"/>
          <w:lang w:val="el-GR"/>
        </w:rPr>
        <w:tab/>
        <w:t>Πώς να χρησιμοποιήσετε το AMGEVITA</w:t>
      </w:r>
    </w:p>
    <w:p w14:paraId="53B3F94E" w14:textId="77777777" w:rsidR="00171824" w:rsidRDefault="00171824">
      <w:pPr>
        <w:keepNext/>
        <w:widowControl/>
        <w:kinsoku w:val="0"/>
        <w:overflowPunct w:val="0"/>
        <w:rPr>
          <w:sz w:val="22"/>
          <w:szCs w:val="22"/>
          <w:lang w:val="el-GR"/>
        </w:rPr>
      </w:pPr>
    </w:p>
    <w:p w14:paraId="3A7001F3" w14:textId="77777777" w:rsidR="00171824" w:rsidRDefault="006D258C">
      <w:pPr>
        <w:keepNext/>
        <w:widowControl/>
        <w:kinsoku w:val="0"/>
        <w:overflowPunct w:val="0"/>
        <w:rPr>
          <w:sz w:val="22"/>
          <w:szCs w:val="22"/>
          <w:lang w:val="el-GR"/>
        </w:rPr>
      </w:pPr>
      <w:r>
        <w:rPr>
          <w:sz w:val="22"/>
          <w:szCs w:val="22"/>
          <w:lang w:val="el-GR"/>
        </w:rPr>
        <w:t xml:space="preserve">Πάντοτε να χρησιμοποιείτε το φάρμακο αυτό αυστηρά σύμφωνα με τις οδηγίες του γιατρού ή του φαρμακοποιού σας. Εάν έχετε αμφιβολίες, ρωτήστε τον γιατρό ή τον φαρμακοποιό σας. </w:t>
      </w:r>
    </w:p>
    <w:p w14:paraId="76078E3B" w14:textId="77777777" w:rsidR="00171824" w:rsidRDefault="00171824">
      <w:pPr>
        <w:widowControl/>
        <w:kinsoku w:val="0"/>
        <w:overflowPunct w:val="0"/>
        <w:rPr>
          <w:sz w:val="22"/>
          <w:szCs w:val="22"/>
          <w:lang w:val="el-GR"/>
        </w:rPr>
      </w:pPr>
    </w:p>
    <w:p w14:paraId="1AE86E2A" w14:textId="77777777" w:rsidR="00171824" w:rsidRDefault="006D258C">
      <w:pPr>
        <w:widowControl/>
        <w:kinsoku w:val="0"/>
        <w:overflowPunct w:val="0"/>
        <w:rPr>
          <w:sz w:val="22"/>
          <w:szCs w:val="22"/>
          <w:lang w:val="el-GR"/>
        </w:rPr>
      </w:pPr>
      <w:r>
        <w:rPr>
          <w:sz w:val="22"/>
          <w:szCs w:val="22"/>
          <w:u w:val="single"/>
          <w:lang w:val="el-GR"/>
        </w:rPr>
        <w:t>Ενήλικες με ρευματοειδή αρθρίτιδα, ψωριασική αρθρίτιδα, αγκυλοποιητική σπονδυλίτιδα ή αξονική</w:t>
      </w:r>
      <w:r>
        <w:rPr>
          <w:sz w:val="22"/>
          <w:szCs w:val="22"/>
          <w:lang w:val="el-GR"/>
        </w:rPr>
        <w:t xml:space="preserve"> </w:t>
      </w:r>
      <w:r>
        <w:rPr>
          <w:sz w:val="22"/>
          <w:szCs w:val="22"/>
          <w:u w:val="single"/>
          <w:lang w:val="el-GR"/>
        </w:rPr>
        <w:t>σπονδυλαρθρίτιδα χωρίς ακτινολογικά ευρήματα αγκυλοποιητικής σπονδυλίτιδας</w:t>
      </w:r>
    </w:p>
    <w:p w14:paraId="61D6F721" w14:textId="77777777" w:rsidR="00171824" w:rsidRDefault="00171824">
      <w:pPr>
        <w:widowControl/>
        <w:kinsoku w:val="0"/>
        <w:overflowPunct w:val="0"/>
        <w:rPr>
          <w:sz w:val="22"/>
          <w:szCs w:val="22"/>
          <w:lang w:val="el-GR"/>
        </w:rPr>
      </w:pPr>
    </w:p>
    <w:p w14:paraId="0ED39DD5" w14:textId="77777777" w:rsidR="00171824" w:rsidRDefault="006D258C">
      <w:pPr>
        <w:widowControl/>
        <w:kinsoku w:val="0"/>
        <w:overflowPunct w:val="0"/>
        <w:rPr>
          <w:sz w:val="22"/>
          <w:szCs w:val="22"/>
          <w:lang w:val="el-GR"/>
        </w:rPr>
      </w:pPr>
      <w:r>
        <w:rPr>
          <w:sz w:val="22"/>
          <w:szCs w:val="22"/>
          <w:lang w:val="el-GR"/>
        </w:rPr>
        <w:t>Το AMGEVITA ενίεται κάτω από το δέρμα (υποδόρια χρήση). Η συνηθισμένη δοσολογία για ενήλικες με ρευματοειδή αρθρίτιδα, αγκυλοποιητική σπονδυλίτιδα, αξονική σπονδυλαρθρίτιδα χωρίς ακτινολογικά ευρήματα αγκυλοποιητικής σπονδυλίτιδας και για ασθενείς με ψωριασική αρθρίτιδα είναι 40 mg ανά δεύτερη εβδομάδα ως εφάπαξ δόση.</w:t>
      </w:r>
    </w:p>
    <w:p w14:paraId="675ABCFB" w14:textId="77777777" w:rsidR="00171824" w:rsidRDefault="00171824">
      <w:pPr>
        <w:widowControl/>
        <w:kinsoku w:val="0"/>
        <w:overflowPunct w:val="0"/>
        <w:rPr>
          <w:sz w:val="22"/>
          <w:szCs w:val="22"/>
          <w:lang w:val="el-GR"/>
        </w:rPr>
      </w:pPr>
    </w:p>
    <w:p w14:paraId="1F10E9C3" w14:textId="77777777" w:rsidR="00171824" w:rsidRDefault="006D258C">
      <w:pPr>
        <w:widowControl/>
        <w:kinsoku w:val="0"/>
        <w:overflowPunct w:val="0"/>
        <w:jc w:val="both"/>
        <w:rPr>
          <w:sz w:val="22"/>
          <w:szCs w:val="22"/>
          <w:lang w:val="el-GR"/>
        </w:rPr>
      </w:pPr>
      <w:r>
        <w:rPr>
          <w:sz w:val="22"/>
          <w:szCs w:val="22"/>
          <w:lang w:val="el-GR"/>
        </w:rPr>
        <w:t>Στη ρευματοειδή αρθρίτιδα η χορήγηση της μεθοτρεξάτης συνεχίζεται όσο χορηγείται το AMGEVITA. Eάν ο γιατρός σας καθορίσει ότι η χορήγηση της μεθοτρεξάτης είναι ακατάλληλη, τότε το AMGEVITA μπορεί να χορηγηθεί μόνο του.</w:t>
      </w:r>
    </w:p>
    <w:p w14:paraId="66E4ABFD" w14:textId="77777777" w:rsidR="00171824" w:rsidRDefault="00171824">
      <w:pPr>
        <w:widowControl/>
        <w:kinsoku w:val="0"/>
        <w:overflowPunct w:val="0"/>
        <w:rPr>
          <w:sz w:val="22"/>
          <w:szCs w:val="22"/>
          <w:lang w:val="el-GR"/>
        </w:rPr>
      </w:pPr>
    </w:p>
    <w:p w14:paraId="6DA6F40E" w14:textId="77777777" w:rsidR="00171824" w:rsidRDefault="006D258C">
      <w:pPr>
        <w:widowControl/>
        <w:kinsoku w:val="0"/>
        <w:overflowPunct w:val="0"/>
        <w:rPr>
          <w:sz w:val="22"/>
          <w:szCs w:val="22"/>
          <w:lang w:val="el-GR"/>
        </w:rPr>
      </w:pPr>
      <w:r>
        <w:rPr>
          <w:sz w:val="22"/>
          <w:szCs w:val="22"/>
          <w:lang w:val="el-GR"/>
        </w:rPr>
        <w:t>Εάν πάσχετε από ρευματοειδή αρθρίτιδα και δε λαμβάνετε μεθοτρεξάτη μαζί με το AMGEVITA, o γιατρός σας μπορεί να αποφασίσει να σας χορηγήσει 40 mg κάθε εβδομάδα ή 80 mg κάθε δεύτερη εβδομάδα.</w:t>
      </w:r>
    </w:p>
    <w:p w14:paraId="38EDB38C" w14:textId="77777777" w:rsidR="00171824" w:rsidRDefault="00171824">
      <w:pPr>
        <w:widowControl/>
        <w:kinsoku w:val="0"/>
        <w:overflowPunct w:val="0"/>
        <w:rPr>
          <w:sz w:val="22"/>
          <w:szCs w:val="22"/>
          <w:lang w:val="el-GR"/>
        </w:rPr>
      </w:pPr>
    </w:p>
    <w:p w14:paraId="120DE272" w14:textId="77777777" w:rsidR="00171824" w:rsidRDefault="006D258C">
      <w:pPr>
        <w:keepNext/>
        <w:widowControl/>
        <w:kinsoku w:val="0"/>
        <w:overflowPunct w:val="0"/>
        <w:rPr>
          <w:sz w:val="22"/>
          <w:szCs w:val="22"/>
          <w:lang w:val="el-GR"/>
        </w:rPr>
      </w:pPr>
      <w:r>
        <w:rPr>
          <w:sz w:val="22"/>
          <w:szCs w:val="22"/>
          <w:u w:val="single"/>
          <w:lang w:val="el-GR"/>
        </w:rPr>
        <w:t>Ενήλικες με ψωρίαση κατά πλάκας</w:t>
      </w:r>
    </w:p>
    <w:p w14:paraId="39B4E810" w14:textId="77777777" w:rsidR="00171824" w:rsidRDefault="00171824">
      <w:pPr>
        <w:keepNext/>
        <w:widowControl/>
        <w:kinsoku w:val="0"/>
        <w:overflowPunct w:val="0"/>
        <w:rPr>
          <w:sz w:val="22"/>
          <w:szCs w:val="22"/>
          <w:lang w:val="el-GR"/>
        </w:rPr>
      </w:pPr>
    </w:p>
    <w:p w14:paraId="6C376D93" w14:textId="77777777" w:rsidR="00171824" w:rsidRDefault="006D258C">
      <w:pPr>
        <w:widowControl/>
        <w:kinsoku w:val="0"/>
        <w:overflowPunct w:val="0"/>
        <w:rPr>
          <w:sz w:val="22"/>
          <w:szCs w:val="22"/>
          <w:lang w:val="el-GR"/>
        </w:rPr>
      </w:pPr>
      <w:r>
        <w:rPr>
          <w:sz w:val="22"/>
          <w:szCs w:val="22"/>
          <w:lang w:val="el-GR"/>
        </w:rPr>
        <w:t>Η συνήθης δόση για τους ενήλικες με ψωρίαση κατά πλάκας είναι αρχική δόση 80 mg, η οποία ακολουθείται από 40 mg χορηγούμενη κάθε δεύτερη εβδομάδα ξεκινώντας μια εβδομάδα μετά την αρχική δόση. Θα πρέπει να συνεχίσετε τις ενέσεις AMGEVITA για όσο χρόνο σας υποδείξει ο γιατρός σας. Ανάλογα με την ανταπόκρισή σας, ο γιατρός σας μπορεί να αυξήσει τη δόση σε 40 mg κάθε εβδομάδα ή 80 mg κάθε δεύτερη εβδομάδα.</w:t>
      </w:r>
    </w:p>
    <w:p w14:paraId="25739059" w14:textId="77777777" w:rsidR="00171824" w:rsidRDefault="00171824">
      <w:pPr>
        <w:widowControl/>
        <w:kinsoku w:val="0"/>
        <w:overflowPunct w:val="0"/>
        <w:rPr>
          <w:sz w:val="22"/>
          <w:szCs w:val="22"/>
          <w:lang w:val="el-GR"/>
        </w:rPr>
      </w:pPr>
    </w:p>
    <w:p w14:paraId="5D756831" w14:textId="77777777" w:rsidR="00171824" w:rsidRDefault="006D258C">
      <w:pPr>
        <w:keepNext/>
        <w:widowControl/>
        <w:kinsoku w:val="0"/>
        <w:overflowPunct w:val="0"/>
        <w:rPr>
          <w:sz w:val="22"/>
          <w:szCs w:val="22"/>
          <w:lang w:val="el-GR"/>
        </w:rPr>
      </w:pPr>
      <w:r>
        <w:rPr>
          <w:sz w:val="22"/>
          <w:szCs w:val="22"/>
          <w:u w:val="single"/>
          <w:lang w:val="el-GR"/>
        </w:rPr>
        <w:t>Ενήλικες με διαπυητική ιδρωταδενίτιδα</w:t>
      </w:r>
    </w:p>
    <w:p w14:paraId="7C2B130A" w14:textId="77777777" w:rsidR="00171824" w:rsidRDefault="00171824">
      <w:pPr>
        <w:keepNext/>
        <w:widowControl/>
        <w:kinsoku w:val="0"/>
        <w:overflowPunct w:val="0"/>
        <w:rPr>
          <w:sz w:val="22"/>
          <w:szCs w:val="22"/>
          <w:lang w:val="el-GR"/>
        </w:rPr>
      </w:pPr>
    </w:p>
    <w:p w14:paraId="1B864E69" w14:textId="77777777" w:rsidR="00171824" w:rsidRDefault="006D258C">
      <w:pPr>
        <w:widowControl/>
        <w:kinsoku w:val="0"/>
        <w:overflowPunct w:val="0"/>
        <w:jc w:val="both"/>
        <w:rPr>
          <w:sz w:val="22"/>
          <w:szCs w:val="22"/>
          <w:lang w:val="el-GR"/>
        </w:rPr>
      </w:pPr>
      <w:r>
        <w:rPr>
          <w:sz w:val="22"/>
          <w:szCs w:val="22"/>
          <w:lang w:val="el-GR"/>
        </w:rPr>
        <w:t>Το σύνηθες δοσολογικό σχήμα για τη διαπυητική ιδρωταδενίτιδα είναι μια αρχική δόση 160 mg (δηλ δύο ενέσεις 80 mg σε μία ημέρα ή μία ένεση 80 mg ημερησίως για δύο συνεχόμενες ημέρες), ακολουθούμενη από μία δόση 80 mg (δηλ μία ένεση 80 mg σε μία ημέρα) δύο εβδομάδες αργότερα. Μετά από δύο επιπλέον εβδομάδες, συνεχίστε με μια δόση 40 mg κάθε εβδομάδα</w:t>
      </w:r>
      <w:r>
        <w:rPr>
          <w:sz w:val="22"/>
          <w:lang w:val="el-GR"/>
        </w:rPr>
        <w:t xml:space="preserve"> </w:t>
      </w:r>
      <w:r>
        <w:rPr>
          <w:sz w:val="22"/>
          <w:szCs w:val="22"/>
          <w:lang w:val="el-GR"/>
        </w:rPr>
        <w:t>ή 80 mg κάθε δεύτερη εβδομάδα, όπως σας έχει συνταγογραφήσει ο γιατρός σας. Συνιστάται η καθημερινή χρήση αντισηπτικού σαπουνιού στις προσβεβλημένες περιοχές.</w:t>
      </w:r>
    </w:p>
    <w:p w14:paraId="0A7ADBA7" w14:textId="77777777" w:rsidR="00171824" w:rsidRDefault="00171824">
      <w:pPr>
        <w:widowControl/>
        <w:kinsoku w:val="0"/>
        <w:overflowPunct w:val="0"/>
        <w:rPr>
          <w:sz w:val="22"/>
          <w:szCs w:val="22"/>
          <w:lang w:val="el-GR"/>
        </w:rPr>
      </w:pPr>
    </w:p>
    <w:p w14:paraId="2649506A" w14:textId="77777777" w:rsidR="00171824" w:rsidRDefault="006D258C">
      <w:pPr>
        <w:rPr>
          <w:sz w:val="22"/>
          <w:szCs w:val="22"/>
          <w:u w:val="single"/>
          <w:lang w:val="el-GR"/>
        </w:rPr>
      </w:pPr>
      <w:r>
        <w:rPr>
          <w:sz w:val="22"/>
          <w:szCs w:val="22"/>
          <w:u w:val="single"/>
          <w:lang w:val="el-GR"/>
        </w:rPr>
        <w:t>Έφηβοι με διαπυητική ιδρωταδενίτιδα από 12 έως 17 ετών βάρους 30 kg και άνω</w:t>
      </w:r>
    </w:p>
    <w:p w14:paraId="659EB591" w14:textId="77777777" w:rsidR="00171824" w:rsidRDefault="00171824">
      <w:pPr>
        <w:rPr>
          <w:sz w:val="22"/>
          <w:szCs w:val="22"/>
          <w:lang w:val="el-GR"/>
        </w:rPr>
      </w:pPr>
    </w:p>
    <w:p w14:paraId="14A86B52" w14:textId="77777777" w:rsidR="00171824" w:rsidRDefault="006D258C">
      <w:pPr>
        <w:rPr>
          <w:sz w:val="22"/>
          <w:szCs w:val="22"/>
          <w:lang w:val="el-GR"/>
        </w:rPr>
      </w:pPr>
      <w:r>
        <w:rPr>
          <w:sz w:val="22"/>
          <w:szCs w:val="22"/>
          <w:lang w:val="el-GR"/>
        </w:rPr>
        <w:t>Η συνιστώμενη δόση του AMGEVITA είναι μία αρχική δόση 80 mg, ακολουθούμενη από 40 mg κάθε δεύτερη εβδομάδα, ξεκινώντας μια εβδομάδα αργότερα. Εάν έχετε ανεπαρκή ανταπόκριση στο AMGEVITA 40 mg κάθε δεύτερη εβδομάδα, ο γιατρός σας μπορεί να αυξήσει τη δόση σας σε 40 mg κάθε εβδομάδα ή 80 mg κάθε δεύτερη εβδομάδα.</w:t>
      </w:r>
    </w:p>
    <w:p w14:paraId="1C29F4FE" w14:textId="77777777" w:rsidR="00171824" w:rsidRDefault="00171824">
      <w:pPr>
        <w:rPr>
          <w:sz w:val="22"/>
          <w:szCs w:val="22"/>
          <w:lang w:val="el-GR"/>
        </w:rPr>
      </w:pPr>
    </w:p>
    <w:p w14:paraId="10A883B3" w14:textId="77777777" w:rsidR="00171824" w:rsidRDefault="006D258C">
      <w:pPr>
        <w:rPr>
          <w:sz w:val="22"/>
          <w:szCs w:val="22"/>
          <w:lang w:val="el-GR"/>
        </w:rPr>
      </w:pPr>
      <w:r>
        <w:rPr>
          <w:sz w:val="22"/>
          <w:szCs w:val="22"/>
          <w:lang w:val="el-GR"/>
        </w:rPr>
        <w:t>Συνιστάται η καθημερινή χρήση αντισηπτικού σαπουνιού στις προσβεβλημένες περιοχές.</w:t>
      </w:r>
    </w:p>
    <w:p w14:paraId="2BD1322F" w14:textId="77777777" w:rsidR="00171824" w:rsidRDefault="00171824">
      <w:pPr>
        <w:widowControl/>
        <w:kinsoku w:val="0"/>
        <w:overflowPunct w:val="0"/>
        <w:rPr>
          <w:sz w:val="22"/>
          <w:szCs w:val="22"/>
          <w:lang w:val="el-GR"/>
        </w:rPr>
      </w:pPr>
    </w:p>
    <w:p w14:paraId="137F0BD8" w14:textId="77777777" w:rsidR="00171824" w:rsidRDefault="006D258C">
      <w:pPr>
        <w:widowControl/>
        <w:kinsoku w:val="0"/>
        <w:overflowPunct w:val="0"/>
        <w:rPr>
          <w:sz w:val="22"/>
          <w:szCs w:val="22"/>
          <w:lang w:val="el-GR"/>
        </w:rPr>
      </w:pPr>
      <w:r>
        <w:rPr>
          <w:sz w:val="22"/>
          <w:szCs w:val="22"/>
          <w:u w:val="single"/>
          <w:lang w:val="el-GR"/>
        </w:rPr>
        <w:t>Ενήλικες με νόσο του Crohn</w:t>
      </w:r>
    </w:p>
    <w:p w14:paraId="0BF61DFC" w14:textId="77777777" w:rsidR="00171824" w:rsidRDefault="00171824">
      <w:pPr>
        <w:widowControl/>
        <w:kinsoku w:val="0"/>
        <w:overflowPunct w:val="0"/>
        <w:rPr>
          <w:sz w:val="22"/>
          <w:szCs w:val="22"/>
          <w:lang w:val="el-GR"/>
        </w:rPr>
      </w:pPr>
    </w:p>
    <w:p w14:paraId="7BE90F14" w14:textId="77777777" w:rsidR="00171824" w:rsidRDefault="006D258C">
      <w:pPr>
        <w:widowControl/>
        <w:kinsoku w:val="0"/>
        <w:overflowPunct w:val="0"/>
        <w:rPr>
          <w:sz w:val="22"/>
          <w:szCs w:val="22"/>
          <w:lang w:val="el-GR"/>
        </w:rPr>
      </w:pPr>
      <w:r>
        <w:rPr>
          <w:sz w:val="22"/>
          <w:szCs w:val="22"/>
          <w:lang w:val="el-GR"/>
        </w:rPr>
        <w:t>Το σύνηθες δοσολογικό σχήμα για τη νόσο του Crohn είναι 80 mg αρχικά ακολουθούμενο από 40 mg κάθε δεύτερη εβδομάδα, δύο εβδομάδες αργότερα. Εάν απαιτείται πιο γρήγορη ανταπόκριση στη θεραπεία, ο γιατρός σας μπορεί να σας συνταγογραφήσει μία αρχική δόση των 160 mg (η δόση μπορεί να χορηγηθεί ως δύο ενέσεις 80 mg σε μία ημέρα ή ως μία ένεση 80 mg ημερησίως για δύο συνεχόμενες ημέρες), ακολουθούμενη από 80 mg δύο εβδομάδες αργότερα, και ακολούθως 40 mg κάθε δεύτερη εβδομάδα. Ανάλογα με την ανταπόκρισή σας στη θεραπεία, ο γιατρός σας είναι πιθανό να αυξήσει τη δόση σε 40 mg κάθε εβδομάδα ή 80 mg κάθε δεύτερη εβδομάδα.</w:t>
      </w:r>
    </w:p>
    <w:p w14:paraId="36F47DDC" w14:textId="77777777" w:rsidR="00171824" w:rsidRDefault="00171824">
      <w:pPr>
        <w:keepNext/>
        <w:widowControl/>
        <w:kinsoku w:val="0"/>
        <w:overflowPunct w:val="0"/>
        <w:rPr>
          <w:sz w:val="22"/>
          <w:szCs w:val="22"/>
          <w:lang w:val="el-GR"/>
        </w:rPr>
      </w:pPr>
    </w:p>
    <w:p w14:paraId="5C8D23AE" w14:textId="77777777" w:rsidR="00171824" w:rsidRDefault="006D258C">
      <w:pPr>
        <w:keepNext/>
        <w:widowControl/>
        <w:kinsoku w:val="0"/>
        <w:overflowPunct w:val="0"/>
        <w:rPr>
          <w:sz w:val="22"/>
          <w:szCs w:val="22"/>
          <w:lang w:val="el-GR"/>
        </w:rPr>
      </w:pPr>
      <w:r>
        <w:rPr>
          <w:sz w:val="22"/>
          <w:szCs w:val="22"/>
          <w:u w:val="single"/>
          <w:lang w:val="el-GR"/>
        </w:rPr>
        <w:t>Παιδιά και έφηβοι με νόσο του Crohn</w:t>
      </w:r>
    </w:p>
    <w:p w14:paraId="2D9EC458" w14:textId="77777777" w:rsidR="00171824" w:rsidRDefault="00171824">
      <w:pPr>
        <w:keepNext/>
        <w:widowControl/>
        <w:kinsoku w:val="0"/>
        <w:overflowPunct w:val="0"/>
        <w:rPr>
          <w:sz w:val="22"/>
          <w:szCs w:val="22"/>
          <w:lang w:val="el-GR"/>
        </w:rPr>
      </w:pPr>
    </w:p>
    <w:p w14:paraId="3EDF40A8" w14:textId="77777777" w:rsidR="00171824" w:rsidRDefault="006D258C">
      <w:pPr>
        <w:widowControl/>
        <w:kinsoku w:val="0"/>
        <w:overflowPunct w:val="0"/>
        <w:rPr>
          <w:i/>
          <w:sz w:val="22"/>
          <w:szCs w:val="22"/>
          <w:lang w:val="el-GR"/>
        </w:rPr>
      </w:pPr>
      <w:r>
        <w:rPr>
          <w:i/>
          <w:sz w:val="22"/>
          <w:szCs w:val="22"/>
          <w:lang w:val="el-GR"/>
        </w:rPr>
        <w:t>Παιδιά και έφηβοι με βάρος από την ηλικία των 6 έως 17 ετών με βάρος λιγότερο λιγότερο από 40 kg</w:t>
      </w:r>
    </w:p>
    <w:p w14:paraId="15C03AF6" w14:textId="77777777" w:rsidR="00171824" w:rsidRDefault="00171824">
      <w:pPr>
        <w:widowControl/>
        <w:kinsoku w:val="0"/>
        <w:overflowPunct w:val="0"/>
        <w:rPr>
          <w:sz w:val="22"/>
          <w:szCs w:val="22"/>
          <w:lang w:val="el-GR"/>
        </w:rPr>
      </w:pPr>
    </w:p>
    <w:p w14:paraId="0AA29F40" w14:textId="77777777" w:rsidR="00171824" w:rsidRDefault="006D258C">
      <w:pPr>
        <w:widowControl/>
        <w:kinsoku w:val="0"/>
        <w:overflowPunct w:val="0"/>
        <w:rPr>
          <w:sz w:val="22"/>
          <w:szCs w:val="22"/>
          <w:lang w:val="el-GR"/>
        </w:rPr>
      </w:pPr>
      <w:r>
        <w:rPr>
          <w:sz w:val="22"/>
          <w:szCs w:val="22"/>
          <w:lang w:val="el-GR"/>
        </w:rPr>
        <w:t>Το συνιστώμενο δοσολογικό σχήμα είναι αρχικά 40 mg, ακολουθούμενο από 20 mg δύο εβδομάδες αργότερα. Εάν απαιτείται πιο γρήγορη ανταπόκριση, ο γιατρός του παιδιού σας μπορεί να συνταγογραφήσει μία αρχική δόση των 80 mg, ακολουθούμενη από 40 mg δύο εβδομάδες αργότερα.</w:t>
      </w:r>
    </w:p>
    <w:p w14:paraId="1BC4105A" w14:textId="77777777" w:rsidR="00171824" w:rsidRDefault="00171824">
      <w:pPr>
        <w:widowControl/>
        <w:kinsoku w:val="0"/>
        <w:overflowPunct w:val="0"/>
        <w:rPr>
          <w:sz w:val="22"/>
          <w:szCs w:val="22"/>
          <w:lang w:val="el-GR"/>
        </w:rPr>
      </w:pPr>
    </w:p>
    <w:p w14:paraId="4BB405B7" w14:textId="77777777" w:rsidR="00171824" w:rsidRDefault="006D258C">
      <w:pPr>
        <w:widowControl/>
        <w:kinsoku w:val="0"/>
        <w:overflowPunct w:val="0"/>
        <w:jc w:val="both"/>
        <w:rPr>
          <w:sz w:val="22"/>
          <w:szCs w:val="22"/>
          <w:lang w:val="el-GR"/>
        </w:rPr>
      </w:pPr>
      <w:r>
        <w:rPr>
          <w:sz w:val="22"/>
          <w:szCs w:val="22"/>
          <w:lang w:val="el-GR"/>
        </w:rPr>
        <w:t>Κατόπιν, η συνήθης δόση είναι 20 mg κάθε δεύτερη εβδομάδα. Ανάλογα με την ανταπόκριση του παιδιού σας, ο γιατρός του παιδιού σας μπορεί να αυξήσει τη συχνότητα της δόσης σε 20 mg κάθε εβδομάδα.</w:t>
      </w:r>
    </w:p>
    <w:p w14:paraId="544C2016" w14:textId="77777777" w:rsidR="00171824" w:rsidRDefault="00171824">
      <w:pPr>
        <w:widowControl/>
        <w:kinsoku w:val="0"/>
        <w:overflowPunct w:val="0"/>
        <w:rPr>
          <w:sz w:val="22"/>
          <w:szCs w:val="22"/>
          <w:lang w:val="el-GR"/>
        </w:rPr>
      </w:pPr>
    </w:p>
    <w:p w14:paraId="0777C755" w14:textId="77777777" w:rsidR="00171824" w:rsidRDefault="006D258C">
      <w:pPr>
        <w:widowControl/>
        <w:kinsoku w:val="0"/>
        <w:overflowPunct w:val="0"/>
        <w:rPr>
          <w:sz w:val="22"/>
          <w:szCs w:val="22"/>
          <w:lang w:val="el-GR"/>
        </w:rPr>
      </w:pPr>
      <w:r>
        <w:rPr>
          <w:sz w:val="22"/>
          <w:szCs w:val="22"/>
          <w:lang w:val="el-GR"/>
        </w:rPr>
        <w:t xml:space="preserve">Η προγεμισμένη συσκευή τύπου πένας των 40 mg δεν μπορεί να χρησιμοποιηθεί για τη δόση των 20 mg. Ωστόσο, μια προγεμισμένη </w:t>
      </w:r>
      <w:r>
        <w:rPr>
          <w:iCs/>
          <w:sz w:val="22"/>
          <w:szCs w:val="22"/>
          <w:lang w:val="el-GR"/>
        </w:rPr>
        <w:t>σύριγγα</w:t>
      </w:r>
      <w:r>
        <w:rPr>
          <w:sz w:val="22"/>
          <w:szCs w:val="22"/>
          <w:lang w:val="el-GR"/>
        </w:rPr>
        <w:t xml:space="preserve"> AMGEVITA των 20 mg είναι διαθέσιμη για τη δόση των 20 mg.</w:t>
      </w:r>
    </w:p>
    <w:p w14:paraId="1926CB78" w14:textId="77777777" w:rsidR="00171824" w:rsidRDefault="00171824">
      <w:pPr>
        <w:widowControl/>
        <w:kinsoku w:val="0"/>
        <w:overflowPunct w:val="0"/>
        <w:rPr>
          <w:sz w:val="22"/>
          <w:szCs w:val="22"/>
          <w:lang w:val="el-GR"/>
        </w:rPr>
      </w:pPr>
    </w:p>
    <w:p w14:paraId="005867EE" w14:textId="77777777" w:rsidR="00171824" w:rsidRDefault="006D258C">
      <w:pPr>
        <w:keepNext/>
        <w:widowControl/>
        <w:kinsoku w:val="0"/>
        <w:overflowPunct w:val="0"/>
        <w:rPr>
          <w:i/>
          <w:sz w:val="22"/>
          <w:szCs w:val="22"/>
          <w:lang w:val="el-GR"/>
        </w:rPr>
      </w:pPr>
      <w:r>
        <w:rPr>
          <w:i/>
          <w:sz w:val="22"/>
          <w:szCs w:val="22"/>
          <w:lang w:val="el-GR"/>
        </w:rPr>
        <w:t>Παιδιά και έφηβοι από την ηλικία των 6 έως 17 ετών με βάρος 40 kg ή περισσότερο:</w:t>
      </w:r>
    </w:p>
    <w:p w14:paraId="5A97C4D0" w14:textId="77777777" w:rsidR="00171824" w:rsidRDefault="00171824">
      <w:pPr>
        <w:keepNext/>
        <w:widowControl/>
        <w:kinsoku w:val="0"/>
        <w:overflowPunct w:val="0"/>
        <w:rPr>
          <w:sz w:val="22"/>
          <w:szCs w:val="22"/>
          <w:lang w:val="el-GR"/>
        </w:rPr>
      </w:pPr>
    </w:p>
    <w:p w14:paraId="0B6657FA" w14:textId="77777777" w:rsidR="00171824" w:rsidRDefault="006D258C">
      <w:pPr>
        <w:widowControl/>
        <w:kinsoku w:val="0"/>
        <w:overflowPunct w:val="0"/>
        <w:rPr>
          <w:sz w:val="22"/>
          <w:szCs w:val="22"/>
          <w:lang w:val="el-GR"/>
        </w:rPr>
      </w:pPr>
      <w:r>
        <w:rPr>
          <w:sz w:val="22"/>
          <w:szCs w:val="22"/>
          <w:lang w:val="el-GR"/>
        </w:rPr>
        <w:t>Το συνιστώμενο δοσολογικό σχήμα είναι αρχικά 80 mg ακολουθούμενο από 40 mg δύο εβδομάδες αργότερα. Εάν απαιτείται πιο γρήγορη ανταπόκριση, ο γιατρός του παιδιού σας μπορεί να συνταγογραφήσει μία αρχική δόση των 160 mg (ως δύο ενέσεις 80 mg σε μια μέρα ή ως μία ένεση 80 mg την ημέρα για δύο συνεχείς ημέρες), ακολουθούμενη από 80 mg δύο εβδομάδες αργότερα.</w:t>
      </w:r>
    </w:p>
    <w:p w14:paraId="7049CFB5" w14:textId="77777777" w:rsidR="00171824" w:rsidRDefault="00171824">
      <w:pPr>
        <w:widowControl/>
        <w:kinsoku w:val="0"/>
        <w:overflowPunct w:val="0"/>
        <w:rPr>
          <w:sz w:val="22"/>
          <w:szCs w:val="22"/>
          <w:lang w:val="el-GR"/>
        </w:rPr>
      </w:pPr>
    </w:p>
    <w:p w14:paraId="5AB2544E" w14:textId="77777777" w:rsidR="00171824" w:rsidRDefault="006D258C">
      <w:pPr>
        <w:widowControl/>
        <w:kinsoku w:val="0"/>
        <w:overflowPunct w:val="0"/>
        <w:jc w:val="both"/>
        <w:rPr>
          <w:sz w:val="22"/>
          <w:szCs w:val="22"/>
          <w:lang w:val="el-GR"/>
        </w:rPr>
      </w:pPr>
      <w:r>
        <w:rPr>
          <w:sz w:val="22"/>
          <w:szCs w:val="22"/>
          <w:lang w:val="el-GR"/>
        </w:rPr>
        <w:t>Κατόπιν, η συνήθης δόση είναι 40 mg κάθε δεύτερη εβδομάδα. Ανάλογα με την ανταπόκριση του παιδιού σας, ο γιατρός του παιδιού σας μπορεί να αυξήσει τη δόση σε 40 mg κάθε εβδομάδα ή 80 mg κάθε δεύτερη εβδομάδα.</w:t>
      </w:r>
    </w:p>
    <w:p w14:paraId="0659106D" w14:textId="77777777" w:rsidR="00171824" w:rsidRDefault="00171824">
      <w:pPr>
        <w:widowControl/>
        <w:kinsoku w:val="0"/>
        <w:overflowPunct w:val="0"/>
        <w:rPr>
          <w:sz w:val="22"/>
          <w:szCs w:val="22"/>
          <w:lang w:val="el-GR"/>
        </w:rPr>
      </w:pPr>
    </w:p>
    <w:p w14:paraId="21D7E224" w14:textId="77777777" w:rsidR="00171824" w:rsidRDefault="006D258C">
      <w:pPr>
        <w:widowControl/>
        <w:kinsoku w:val="0"/>
        <w:overflowPunct w:val="0"/>
        <w:rPr>
          <w:sz w:val="22"/>
          <w:szCs w:val="22"/>
          <w:lang w:val="el-GR"/>
        </w:rPr>
      </w:pPr>
      <w:r>
        <w:rPr>
          <w:sz w:val="22"/>
          <w:szCs w:val="22"/>
          <w:u w:val="single"/>
          <w:lang w:val="el-GR"/>
        </w:rPr>
        <w:t>Ενήλικες με ελκώδη κολίτιδα</w:t>
      </w:r>
    </w:p>
    <w:p w14:paraId="720B4FEC" w14:textId="77777777" w:rsidR="00171824" w:rsidRDefault="00171824">
      <w:pPr>
        <w:widowControl/>
        <w:kinsoku w:val="0"/>
        <w:overflowPunct w:val="0"/>
        <w:rPr>
          <w:sz w:val="22"/>
          <w:szCs w:val="22"/>
          <w:lang w:val="el-GR"/>
        </w:rPr>
      </w:pPr>
    </w:p>
    <w:p w14:paraId="37061090" w14:textId="77777777" w:rsidR="00171824" w:rsidRDefault="006D258C">
      <w:pPr>
        <w:widowControl/>
        <w:kinsoku w:val="0"/>
        <w:overflowPunct w:val="0"/>
        <w:rPr>
          <w:sz w:val="22"/>
          <w:szCs w:val="22"/>
          <w:lang w:val="el-GR"/>
        </w:rPr>
      </w:pPr>
      <w:r>
        <w:rPr>
          <w:sz w:val="22"/>
          <w:szCs w:val="22"/>
          <w:lang w:val="el-GR"/>
        </w:rPr>
        <w:t>Η συνήθης δόση AMGEVITA για ενήλικες με ελκώδη κολίτιδα είναι 160 mg αρχικά (ως δύο ενέσεις των 80 mg σε μία μέρα ή ως μία ένεση 80 mg ημερησίως για δύο συνεχόμενες ημέρες) ακολουθούμενη από 80 mg δύο εβδομάδες αργότερα και στη συνέχεια 40 mg κάθε δεύτερη εβδομάδα. Ανάλογα με την ανταπόκρισή σας, ο γιατρός σας μπορεί να αυξήσει τη δόση σε 40 mg κάθε εβδομάδα ή 80 mg κάθε δεύτερη εβδομάδα.</w:t>
      </w:r>
    </w:p>
    <w:p w14:paraId="7EB639A7" w14:textId="77777777" w:rsidR="00171824" w:rsidRDefault="00171824">
      <w:pPr>
        <w:widowControl/>
        <w:kinsoku w:val="0"/>
        <w:overflowPunct w:val="0"/>
        <w:rPr>
          <w:sz w:val="22"/>
          <w:szCs w:val="22"/>
          <w:lang w:val="el-GR"/>
        </w:rPr>
      </w:pPr>
    </w:p>
    <w:p w14:paraId="2FCEB79A" w14:textId="77777777" w:rsidR="00171824" w:rsidRDefault="006D258C">
      <w:pPr>
        <w:widowControl/>
        <w:rPr>
          <w:color w:val="000000"/>
          <w:sz w:val="22"/>
          <w:szCs w:val="22"/>
          <w:u w:val="single"/>
          <w:lang w:val="el-GR" w:eastAsia="ja-JP"/>
        </w:rPr>
      </w:pPr>
      <w:r>
        <w:rPr>
          <w:color w:val="000000"/>
          <w:sz w:val="22"/>
          <w:szCs w:val="22"/>
          <w:u w:val="single"/>
          <w:lang w:val="el-GR" w:eastAsia="ja-JP"/>
        </w:rPr>
        <w:t xml:space="preserve">Παιδιά και έφηβοι με ελκώδη κολίτιδα </w:t>
      </w:r>
    </w:p>
    <w:p w14:paraId="28665335" w14:textId="77777777" w:rsidR="00171824" w:rsidRDefault="00171824">
      <w:pPr>
        <w:widowControl/>
        <w:rPr>
          <w:color w:val="000000"/>
          <w:sz w:val="22"/>
          <w:szCs w:val="22"/>
          <w:lang w:val="el-GR" w:eastAsia="ja-JP"/>
        </w:rPr>
      </w:pPr>
    </w:p>
    <w:p w14:paraId="7892DDEF" w14:textId="77777777" w:rsidR="00171824" w:rsidRDefault="006D258C">
      <w:pPr>
        <w:widowControl/>
        <w:rPr>
          <w:color w:val="000000"/>
          <w:sz w:val="22"/>
          <w:szCs w:val="22"/>
          <w:lang w:val="el-GR" w:eastAsia="ja-JP"/>
        </w:rPr>
      </w:pPr>
      <w:r>
        <w:rPr>
          <w:i/>
          <w:iCs/>
          <w:color w:val="000000"/>
          <w:sz w:val="22"/>
          <w:szCs w:val="22"/>
          <w:lang w:val="el-GR" w:eastAsia="ja-JP"/>
        </w:rPr>
        <w:t>Παιδιά και έφηβοι από την ηλικία των 6 ετών με βάρος λιγότερο από 40</w:t>
      </w:r>
      <w:r>
        <w:rPr>
          <w:color w:val="000000"/>
          <w:sz w:val="22"/>
          <w:szCs w:val="22"/>
          <w:lang w:val="el-GR" w:eastAsia="ja-JP"/>
        </w:rPr>
        <w:t> </w:t>
      </w:r>
      <w:r>
        <w:rPr>
          <w:i/>
          <w:iCs/>
          <w:color w:val="000000"/>
          <w:sz w:val="22"/>
          <w:szCs w:val="22"/>
          <w:lang w:val="el-GR" w:eastAsia="ja-JP"/>
        </w:rPr>
        <w:t xml:space="preserve">kg </w:t>
      </w:r>
    </w:p>
    <w:p w14:paraId="3559172E" w14:textId="77777777" w:rsidR="00171824" w:rsidRDefault="00171824">
      <w:pPr>
        <w:widowControl/>
        <w:rPr>
          <w:color w:val="000000"/>
          <w:sz w:val="22"/>
          <w:szCs w:val="22"/>
          <w:lang w:val="el-GR" w:eastAsia="ja-JP"/>
        </w:rPr>
      </w:pPr>
    </w:p>
    <w:p w14:paraId="35DB1534"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80</w:t>
      </w:r>
      <w:r>
        <w:rPr>
          <w:sz w:val="22"/>
          <w:szCs w:val="22"/>
          <w:lang w:val="el-GR"/>
        </w:rPr>
        <w:t> </w:t>
      </w:r>
      <w:r>
        <w:rPr>
          <w:color w:val="000000"/>
          <w:sz w:val="22"/>
          <w:szCs w:val="22"/>
          <w:lang w:val="el-GR" w:eastAsia="ja-JP"/>
        </w:rPr>
        <w:t>mg αρχικά, ακολουθούμενη από 40</w:t>
      </w:r>
      <w:r>
        <w:rPr>
          <w:sz w:val="22"/>
          <w:szCs w:val="22"/>
          <w:lang w:val="el-GR"/>
        </w:rPr>
        <w:t> </w:t>
      </w:r>
      <w:r>
        <w:rPr>
          <w:color w:val="000000"/>
          <w:sz w:val="22"/>
          <w:szCs w:val="22"/>
          <w:lang w:val="el-GR" w:eastAsia="ja-JP"/>
        </w:rPr>
        <w:t>mg (ως μία ένεση των 40</w:t>
      </w:r>
      <w:r>
        <w:rPr>
          <w:sz w:val="22"/>
          <w:szCs w:val="22"/>
          <w:lang w:val="el-GR"/>
        </w:rPr>
        <w:t> </w:t>
      </w:r>
      <w:r>
        <w:rPr>
          <w:color w:val="000000"/>
          <w:sz w:val="22"/>
          <w:szCs w:val="22"/>
          <w:lang w:val="el-GR" w:eastAsia="ja-JP"/>
        </w:rPr>
        <w:t>mg) δύο εβδομάδες μετά. Στη συνέχεια, η συνήθης δόση είναι 40</w:t>
      </w:r>
      <w:r>
        <w:rPr>
          <w:sz w:val="22"/>
          <w:szCs w:val="22"/>
          <w:lang w:val="el-GR"/>
        </w:rPr>
        <w:t> </w:t>
      </w:r>
      <w:r>
        <w:rPr>
          <w:color w:val="000000"/>
          <w:sz w:val="22"/>
          <w:szCs w:val="22"/>
          <w:lang w:val="el-GR" w:eastAsia="ja-JP"/>
        </w:rPr>
        <w:t xml:space="preserve">mg κάθε δεύτερη εβδομάδα. </w:t>
      </w:r>
    </w:p>
    <w:p w14:paraId="30C94F66" w14:textId="77777777" w:rsidR="00171824" w:rsidRDefault="00171824">
      <w:pPr>
        <w:widowControl/>
        <w:rPr>
          <w:color w:val="000000"/>
          <w:sz w:val="22"/>
          <w:szCs w:val="22"/>
          <w:lang w:val="el-GR" w:eastAsia="ja-JP"/>
        </w:rPr>
      </w:pPr>
    </w:p>
    <w:p w14:paraId="35F7B7EC" w14:textId="77777777" w:rsidR="00171824" w:rsidRDefault="006D258C">
      <w:pPr>
        <w:widowControl/>
        <w:rPr>
          <w:color w:val="000000"/>
          <w:sz w:val="22"/>
          <w:szCs w:val="22"/>
          <w:lang w:val="el-GR" w:eastAsia="ja-JP"/>
        </w:rPr>
      </w:pPr>
      <w:r>
        <w:rPr>
          <w:color w:val="000000"/>
          <w:sz w:val="22"/>
          <w:szCs w:val="22"/>
          <w:lang w:val="el-GR" w:eastAsia="ja-JP"/>
        </w:rPr>
        <w:t>Οι ασθενείς που γίνονται 18 ετών ενώ λαμβάνουν 40</w:t>
      </w:r>
      <w:r>
        <w:rPr>
          <w:sz w:val="22"/>
          <w:szCs w:val="22"/>
          <w:lang w:val="el-GR"/>
        </w:rPr>
        <w:t> </w:t>
      </w:r>
      <w:r>
        <w:rPr>
          <w:color w:val="000000"/>
          <w:sz w:val="22"/>
          <w:szCs w:val="22"/>
          <w:lang w:val="el-GR" w:eastAsia="ja-JP"/>
        </w:rPr>
        <w:t xml:space="preserve">mg κάθε δεύτερη εβδομάδα θα πρέπει να συνεχίζουν τη συνιστώμενη δόση τους. </w:t>
      </w:r>
    </w:p>
    <w:p w14:paraId="7B57B797" w14:textId="77777777" w:rsidR="00171824" w:rsidRDefault="00171824">
      <w:pPr>
        <w:widowControl/>
        <w:rPr>
          <w:i/>
          <w:iCs/>
          <w:color w:val="000000"/>
          <w:sz w:val="22"/>
          <w:szCs w:val="22"/>
          <w:lang w:val="el-GR" w:eastAsia="ja-JP"/>
        </w:rPr>
      </w:pPr>
    </w:p>
    <w:p w14:paraId="6F2B1A68" w14:textId="77777777" w:rsidR="00171824" w:rsidRDefault="006D258C">
      <w:pPr>
        <w:widowControl/>
        <w:rPr>
          <w:color w:val="000000"/>
          <w:sz w:val="22"/>
          <w:szCs w:val="22"/>
          <w:lang w:val="el-GR" w:eastAsia="ja-JP"/>
        </w:rPr>
      </w:pPr>
      <w:r>
        <w:rPr>
          <w:i/>
          <w:iCs/>
          <w:color w:val="000000"/>
          <w:sz w:val="22"/>
          <w:szCs w:val="22"/>
          <w:lang w:val="el-GR" w:eastAsia="ja-JP"/>
        </w:rPr>
        <w:t>Παιδιά και έφηβοι από την ηλικία των 6 ετών με βάρος 40</w:t>
      </w:r>
      <w:r>
        <w:rPr>
          <w:color w:val="000000"/>
          <w:sz w:val="22"/>
          <w:szCs w:val="22"/>
          <w:lang w:val="el-GR" w:eastAsia="ja-JP"/>
        </w:rPr>
        <w:t> </w:t>
      </w:r>
      <w:r>
        <w:rPr>
          <w:i/>
          <w:iCs/>
          <w:color w:val="000000"/>
          <w:sz w:val="22"/>
          <w:szCs w:val="22"/>
          <w:lang w:val="el-GR" w:eastAsia="ja-JP"/>
        </w:rPr>
        <w:t xml:space="preserve">kg ή περισσότερο </w:t>
      </w:r>
    </w:p>
    <w:p w14:paraId="63A1000A" w14:textId="77777777" w:rsidR="00171824" w:rsidRDefault="00171824">
      <w:pPr>
        <w:widowControl/>
        <w:rPr>
          <w:color w:val="000000"/>
          <w:sz w:val="22"/>
          <w:szCs w:val="22"/>
          <w:lang w:val="el-GR" w:eastAsia="ja-JP"/>
        </w:rPr>
      </w:pPr>
    </w:p>
    <w:p w14:paraId="328B6E01" w14:textId="77777777" w:rsidR="00171824" w:rsidRDefault="006D258C">
      <w:pPr>
        <w:widowControl/>
        <w:rPr>
          <w:color w:val="000000"/>
          <w:sz w:val="22"/>
          <w:szCs w:val="22"/>
          <w:lang w:val="el-GR" w:eastAsia="ja-JP"/>
        </w:rPr>
      </w:pPr>
      <w:r>
        <w:rPr>
          <w:color w:val="000000"/>
          <w:sz w:val="22"/>
          <w:szCs w:val="22"/>
          <w:lang w:val="el-GR" w:eastAsia="ja-JP"/>
        </w:rPr>
        <w:t xml:space="preserve">Η συνήθης δόση </w:t>
      </w:r>
      <w:r>
        <w:rPr>
          <w:sz w:val="22"/>
          <w:szCs w:val="22"/>
          <w:lang w:val="el-GR"/>
        </w:rPr>
        <w:t>AMGEVITA</w:t>
      </w:r>
      <w:r>
        <w:rPr>
          <w:color w:val="000000"/>
          <w:sz w:val="22"/>
          <w:szCs w:val="22"/>
          <w:lang w:val="el-GR" w:eastAsia="ja-JP"/>
        </w:rPr>
        <w:t xml:space="preserve"> είναι 160</w:t>
      </w:r>
      <w:r>
        <w:rPr>
          <w:sz w:val="22"/>
          <w:szCs w:val="22"/>
          <w:lang w:val="el-GR"/>
        </w:rPr>
        <w:t> </w:t>
      </w:r>
      <w:r>
        <w:rPr>
          <w:color w:val="000000"/>
          <w:sz w:val="22"/>
          <w:szCs w:val="22"/>
          <w:lang w:val="el-GR" w:eastAsia="ja-JP"/>
        </w:rPr>
        <w:t>mg (ως δύο ενέσεις των 80</w:t>
      </w:r>
      <w:r>
        <w:rPr>
          <w:sz w:val="22"/>
          <w:szCs w:val="22"/>
          <w:lang w:val="el-GR"/>
        </w:rPr>
        <w:t> </w:t>
      </w:r>
      <w:r>
        <w:rPr>
          <w:color w:val="000000"/>
          <w:sz w:val="22"/>
          <w:szCs w:val="22"/>
          <w:lang w:val="el-GR" w:eastAsia="ja-JP"/>
        </w:rPr>
        <w:t>mg σε μία ημέρα ή μία ένεση των 80</w:t>
      </w:r>
      <w:r>
        <w:rPr>
          <w:sz w:val="22"/>
          <w:szCs w:val="22"/>
          <w:lang w:val="el-GR"/>
        </w:rPr>
        <w:t> </w:t>
      </w:r>
      <w:r>
        <w:rPr>
          <w:color w:val="000000"/>
          <w:sz w:val="22"/>
          <w:szCs w:val="22"/>
          <w:lang w:val="el-GR" w:eastAsia="ja-JP"/>
        </w:rPr>
        <w:t>mg ανά ημέρα για δύο διαδοχικές ημέρες) αρχικά, ακολουθούμενη από 80</w:t>
      </w:r>
      <w:r>
        <w:rPr>
          <w:sz w:val="22"/>
          <w:szCs w:val="22"/>
          <w:lang w:val="el-GR"/>
        </w:rPr>
        <w:t> </w:t>
      </w:r>
      <w:r>
        <w:rPr>
          <w:color w:val="000000"/>
          <w:sz w:val="22"/>
          <w:szCs w:val="22"/>
          <w:lang w:val="el-GR" w:eastAsia="ja-JP"/>
        </w:rPr>
        <w:t>mg, δύο εβδομάδες μετά. Στη συνέχεια, η συνήθης δόση είναι 80</w:t>
      </w:r>
      <w:r>
        <w:rPr>
          <w:sz w:val="22"/>
          <w:szCs w:val="22"/>
          <w:lang w:val="el-GR"/>
        </w:rPr>
        <w:t> </w:t>
      </w:r>
      <w:r>
        <w:rPr>
          <w:color w:val="000000"/>
          <w:sz w:val="22"/>
          <w:szCs w:val="22"/>
          <w:lang w:val="el-GR" w:eastAsia="ja-JP"/>
        </w:rPr>
        <w:t xml:space="preserve">mg κάθε δεύτερη εβδομάδα. </w:t>
      </w:r>
    </w:p>
    <w:p w14:paraId="2A07E532" w14:textId="77777777" w:rsidR="00171824" w:rsidRDefault="00171824">
      <w:pPr>
        <w:widowControl/>
        <w:kinsoku w:val="0"/>
        <w:overflowPunct w:val="0"/>
        <w:rPr>
          <w:color w:val="000000"/>
          <w:sz w:val="22"/>
          <w:szCs w:val="22"/>
          <w:lang w:val="el-GR" w:eastAsia="ja-JP"/>
        </w:rPr>
      </w:pPr>
    </w:p>
    <w:p w14:paraId="0BF077EC" w14:textId="77777777" w:rsidR="00171824" w:rsidRDefault="006D258C">
      <w:pPr>
        <w:widowControl/>
        <w:tabs>
          <w:tab w:val="left" w:pos="1701"/>
        </w:tabs>
        <w:kinsoku w:val="0"/>
        <w:overflowPunct w:val="0"/>
        <w:rPr>
          <w:sz w:val="22"/>
          <w:szCs w:val="22"/>
          <w:lang w:val="el-GR"/>
        </w:rPr>
      </w:pPr>
      <w:r>
        <w:rPr>
          <w:color w:val="000000"/>
          <w:sz w:val="22"/>
          <w:szCs w:val="22"/>
          <w:lang w:val="el-GR" w:eastAsia="ja-JP"/>
        </w:rPr>
        <w:t>Οι ασθενείς που γίνονται 18 ετών ενώ λαμβάνουν 80 mg κάθε δεύτερη εβδομάδα θα πρέπει να συνεχίζουν τη συνιστώμενη δόση τους.</w:t>
      </w:r>
    </w:p>
    <w:p w14:paraId="23355A86" w14:textId="77777777" w:rsidR="00171824" w:rsidRDefault="00171824">
      <w:pPr>
        <w:widowControl/>
        <w:kinsoku w:val="0"/>
        <w:overflowPunct w:val="0"/>
        <w:rPr>
          <w:sz w:val="22"/>
          <w:szCs w:val="22"/>
          <w:lang w:val="el-GR"/>
        </w:rPr>
      </w:pPr>
    </w:p>
    <w:p w14:paraId="50DE8C96" w14:textId="77777777" w:rsidR="00171824" w:rsidRDefault="006D258C">
      <w:pPr>
        <w:pStyle w:val="BodyText"/>
        <w:keepNext/>
        <w:keepLines/>
        <w:widowControl/>
        <w:kinsoku w:val="0"/>
        <w:overflowPunct w:val="0"/>
        <w:ind w:left="0"/>
        <w:rPr>
          <w:lang w:val="el-GR"/>
        </w:rPr>
      </w:pPr>
      <w:r>
        <w:rPr>
          <w:u w:val="single"/>
          <w:lang w:val="el-GR"/>
        </w:rPr>
        <w:lastRenderedPageBreak/>
        <w:t>Ενήλικες με μη-λοιμώδη ραγοειδίτιδα</w:t>
      </w:r>
    </w:p>
    <w:p w14:paraId="04C44265" w14:textId="77777777" w:rsidR="00171824" w:rsidRDefault="00171824">
      <w:pPr>
        <w:keepNext/>
        <w:keepLines/>
        <w:widowControl/>
        <w:kinsoku w:val="0"/>
        <w:overflowPunct w:val="0"/>
        <w:rPr>
          <w:sz w:val="22"/>
          <w:szCs w:val="22"/>
          <w:lang w:val="el-GR"/>
        </w:rPr>
      </w:pPr>
    </w:p>
    <w:p w14:paraId="7833BF61" w14:textId="77777777" w:rsidR="00171824" w:rsidRDefault="006D258C">
      <w:pPr>
        <w:pStyle w:val="BodyText"/>
        <w:keepNext/>
        <w:keepLines/>
        <w:widowControl/>
        <w:kinsoku w:val="0"/>
        <w:overflowPunct w:val="0"/>
        <w:ind w:left="0"/>
        <w:rPr>
          <w:lang w:val="el-GR"/>
        </w:rPr>
      </w:pPr>
      <w:r>
        <w:rPr>
          <w:lang w:val="el-GR"/>
        </w:rPr>
        <w:t>Η συνήθης δόση για ενήλικες με μη-λοιμώδη ραγοειδίτιδα είναι μία αρχική δόση 80 mg, ακολουθούμενη από 40 mg κάθε δεύτερη εβδομάδα, αρχίζοντας μία εβδομάδα μετά την αρχική δόση. Πρέπει να συνεχίσετε τις ενέσεις AMGEVITA για όσο διάστημα σας έχει υποδείξει ο γιατρός σας.</w:t>
      </w:r>
    </w:p>
    <w:p w14:paraId="7441F042" w14:textId="77777777" w:rsidR="00171824" w:rsidRDefault="00171824">
      <w:pPr>
        <w:widowControl/>
        <w:kinsoku w:val="0"/>
        <w:overflowPunct w:val="0"/>
        <w:rPr>
          <w:sz w:val="22"/>
          <w:szCs w:val="22"/>
          <w:lang w:val="el-GR"/>
        </w:rPr>
      </w:pPr>
    </w:p>
    <w:p w14:paraId="20AB1647" w14:textId="77777777" w:rsidR="00171824" w:rsidRDefault="006D258C">
      <w:pPr>
        <w:pStyle w:val="BodyText"/>
        <w:widowControl/>
        <w:kinsoku w:val="0"/>
        <w:overflowPunct w:val="0"/>
        <w:ind w:left="0"/>
        <w:rPr>
          <w:lang w:val="el-GR"/>
        </w:rPr>
      </w:pPr>
      <w:r>
        <w:rPr>
          <w:lang w:val="el-GR"/>
        </w:rPr>
        <w:t>Στη μη-λοιμώδη ραγοειδίτιδα, τα κορτικοστεροειδή ή άλλα φάρμακα που επηρεάζουν το ανοσοποιητικό σύστημα μπορεί να συνεχίζονται όταν λαμβάνετε AMGEVITA. Το AMGEVITA μπορεί επίσης να χορηγηθεί μόνο του.</w:t>
      </w:r>
    </w:p>
    <w:p w14:paraId="5E8276D6" w14:textId="77777777" w:rsidR="00171824" w:rsidRDefault="00171824">
      <w:pPr>
        <w:widowControl/>
        <w:kinsoku w:val="0"/>
        <w:overflowPunct w:val="0"/>
        <w:outlineLvl w:val="0"/>
        <w:rPr>
          <w:b/>
          <w:bCs/>
          <w:sz w:val="22"/>
          <w:szCs w:val="22"/>
          <w:lang w:val="el-GR"/>
        </w:rPr>
      </w:pPr>
    </w:p>
    <w:p w14:paraId="4E15CFCD" w14:textId="77777777" w:rsidR="00171824" w:rsidRDefault="006D258C">
      <w:pPr>
        <w:numPr>
          <w:ilvl w:val="12"/>
          <w:numId w:val="0"/>
        </w:numPr>
        <w:tabs>
          <w:tab w:val="left" w:pos="708"/>
        </w:tabs>
        <w:ind w:right="-2"/>
        <w:rPr>
          <w:sz w:val="22"/>
          <w:szCs w:val="22"/>
          <w:u w:val="single"/>
          <w:lang w:val="el-GR"/>
        </w:rPr>
      </w:pPr>
      <w:r>
        <w:rPr>
          <w:sz w:val="22"/>
          <w:szCs w:val="22"/>
          <w:u w:val="single"/>
          <w:lang w:val="el-GR"/>
        </w:rPr>
        <w:t>Παιδιά και έφηβοι με χρόνια μη-λοιμώδη ραγοειδίτιδα από την ηλικία των 2 ετών</w:t>
      </w:r>
    </w:p>
    <w:p w14:paraId="35D1C011" w14:textId="77777777" w:rsidR="00171824" w:rsidRDefault="00171824">
      <w:pPr>
        <w:numPr>
          <w:ilvl w:val="12"/>
          <w:numId w:val="0"/>
        </w:numPr>
        <w:tabs>
          <w:tab w:val="left" w:pos="708"/>
        </w:tabs>
        <w:ind w:right="-2"/>
        <w:rPr>
          <w:sz w:val="22"/>
          <w:szCs w:val="22"/>
          <w:lang w:val="el-GR"/>
        </w:rPr>
      </w:pPr>
    </w:p>
    <w:p w14:paraId="4AC228C9" w14:textId="77777777" w:rsidR="00171824" w:rsidRDefault="006D258C">
      <w:pPr>
        <w:numPr>
          <w:ilvl w:val="12"/>
          <w:numId w:val="0"/>
        </w:numPr>
        <w:tabs>
          <w:tab w:val="left" w:pos="708"/>
        </w:tabs>
        <w:ind w:right="-2"/>
        <w:rPr>
          <w:i/>
          <w:sz w:val="22"/>
          <w:szCs w:val="22"/>
          <w:lang w:val="el-GR"/>
        </w:rPr>
      </w:pPr>
      <w:r>
        <w:rPr>
          <w:i/>
          <w:sz w:val="22"/>
          <w:szCs w:val="22"/>
          <w:lang w:val="el-GR"/>
        </w:rPr>
        <w:t>Παιδιά και έφηβοι 2 ετών και άνω με βάρος λιγότερο από 30 kg:</w:t>
      </w:r>
    </w:p>
    <w:p w14:paraId="15A39458" w14:textId="77777777" w:rsidR="00171824" w:rsidRDefault="00171824">
      <w:pPr>
        <w:numPr>
          <w:ilvl w:val="12"/>
          <w:numId w:val="0"/>
        </w:numPr>
        <w:tabs>
          <w:tab w:val="left" w:pos="708"/>
        </w:tabs>
        <w:ind w:right="-2"/>
        <w:rPr>
          <w:sz w:val="22"/>
          <w:szCs w:val="22"/>
          <w:lang w:val="el-GR"/>
        </w:rPr>
      </w:pPr>
    </w:p>
    <w:p w14:paraId="3F7EA7F8"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20 mg κάθε δεύτερη βδομάδα με μεθοτρεξάτη.</w:t>
      </w:r>
    </w:p>
    <w:p w14:paraId="78FEB12D" w14:textId="77777777" w:rsidR="00171824" w:rsidRDefault="00171824">
      <w:pPr>
        <w:rPr>
          <w:sz w:val="22"/>
          <w:szCs w:val="22"/>
          <w:lang w:val="el-GR"/>
        </w:rPr>
      </w:pPr>
    </w:p>
    <w:p w14:paraId="5DE0149D" w14:textId="77777777" w:rsidR="00171824" w:rsidRDefault="006D258C">
      <w:pPr>
        <w:rPr>
          <w:sz w:val="22"/>
          <w:szCs w:val="22"/>
          <w:lang w:val="el-GR"/>
        </w:rPr>
      </w:pPr>
      <w:r>
        <w:rPr>
          <w:sz w:val="22"/>
          <w:szCs w:val="22"/>
          <w:lang w:val="el-GR"/>
        </w:rPr>
        <w:t>Ο γιατρός του παιδιού σας μπορεί επίσης να συνταγογραφήσει μία αρχική δόση των 40 mg η οποία μπορεί να χορηγηθεί μία εβδομάδα πριν την έναρξη της συνήθους δόσης.</w:t>
      </w:r>
    </w:p>
    <w:p w14:paraId="7883C23E" w14:textId="77777777" w:rsidR="00171824" w:rsidRDefault="00171824">
      <w:pPr>
        <w:rPr>
          <w:rFonts w:ascii="Arial" w:hAnsi="Arial" w:cs="Arial"/>
          <w:color w:val="222222"/>
          <w:sz w:val="22"/>
          <w:lang w:val="el-GR"/>
        </w:rPr>
      </w:pPr>
    </w:p>
    <w:p w14:paraId="71BFC459" w14:textId="77777777" w:rsidR="00171824" w:rsidRDefault="006D258C">
      <w:pPr>
        <w:widowControl/>
        <w:kinsoku w:val="0"/>
        <w:overflowPunct w:val="0"/>
        <w:rPr>
          <w:sz w:val="22"/>
          <w:szCs w:val="22"/>
          <w:lang w:val="el-GR"/>
        </w:rPr>
      </w:pPr>
      <w:r>
        <w:rPr>
          <w:sz w:val="22"/>
          <w:szCs w:val="22"/>
          <w:lang w:val="el-GR"/>
        </w:rPr>
        <w:t xml:space="preserve">Η προγεμισμένη συσκευή τύπου πένας των 40 mg δεν μπορεί να χρησιμοποιηθεί για τη δόση των 20 mg. Ωστόσο, μια προγεμισμένη </w:t>
      </w:r>
      <w:r>
        <w:rPr>
          <w:i/>
          <w:sz w:val="22"/>
          <w:szCs w:val="22"/>
          <w:lang w:val="el-GR"/>
        </w:rPr>
        <w:t>σύριγγα</w:t>
      </w:r>
      <w:r>
        <w:rPr>
          <w:sz w:val="22"/>
          <w:szCs w:val="22"/>
          <w:lang w:val="el-GR"/>
        </w:rPr>
        <w:t xml:space="preserve"> AMGEVITA των 20 mg είναι διαθέσιμη για τη δόση των 20 mg.</w:t>
      </w:r>
    </w:p>
    <w:p w14:paraId="64DC8609" w14:textId="77777777" w:rsidR="00171824" w:rsidRDefault="00171824">
      <w:pPr>
        <w:rPr>
          <w:i/>
          <w:sz w:val="22"/>
          <w:szCs w:val="22"/>
          <w:lang w:val="el-GR"/>
        </w:rPr>
      </w:pPr>
    </w:p>
    <w:p w14:paraId="7B0F0346" w14:textId="77777777" w:rsidR="00171824" w:rsidRDefault="006D258C">
      <w:pPr>
        <w:rPr>
          <w:i/>
          <w:sz w:val="22"/>
          <w:szCs w:val="22"/>
          <w:lang w:val="el-GR"/>
        </w:rPr>
      </w:pPr>
      <w:r>
        <w:rPr>
          <w:i/>
          <w:sz w:val="22"/>
          <w:szCs w:val="22"/>
          <w:lang w:val="el-GR"/>
        </w:rPr>
        <w:t>Παιδιά και έφηβοι 2 ετών και άνω με βάρος 30 kg ή περισσότερο:</w:t>
      </w:r>
    </w:p>
    <w:p w14:paraId="09FD85E0" w14:textId="77777777" w:rsidR="00171824" w:rsidRDefault="00171824">
      <w:pPr>
        <w:rPr>
          <w:sz w:val="22"/>
          <w:szCs w:val="22"/>
          <w:lang w:val="el-GR"/>
        </w:rPr>
      </w:pPr>
    </w:p>
    <w:p w14:paraId="5E059626" w14:textId="77777777" w:rsidR="00171824" w:rsidRDefault="006D258C">
      <w:pPr>
        <w:rPr>
          <w:sz w:val="22"/>
          <w:szCs w:val="22"/>
          <w:lang w:val="el-GR"/>
        </w:rPr>
      </w:pPr>
      <w:r>
        <w:rPr>
          <w:sz w:val="22"/>
          <w:szCs w:val="22"/>
          <w:lang w:val="el-GR"/>
        </w:rPr>
        <w:t xml:space="preserve">Η συνήθης δόση του </w:t>
      </w:r>
      <w:r>
        <w:rPr>
          <w:sz w:val="22"/>
          <w:lang w:val="el-GR"/>
        </w:rPr>
        <w:t>AMGEVITA</w:t>
      </w:r>
      <w:r>
        <w:rPr>
          <w:sz w:val="22"/>
          <w:szCs w:val="22"/>
          <w:lang w:val="el-GR"/>
        </w:rPr>
        <w:t xml:space="preserve"> είναι 40 mg κάθε δεύτερη βδομάδα με μεθοτρεξάτη.</w:t>
      </w:r>
    </w:p>
    <w:p w14:paraId="175E1D5A" w14:textId="77777777" w:rsidR="00171824" w:rsidRDefault="00171824">
      <w:pPr>
        <w:rPr>
          <w:sz w:val="22"/>
          <w:szCs w:val="22"/>
          <w:lang w:val="el-GR"/>
        </w:rPr>
      </w:pPr>
    </w:p>
    <w:p w14:paraId="1098CE9B" w14:textId="77777777" w:rsidR="00171824" w:rsidRDefault="006D258C">
      <w:pPr>
        <w:rPr>
          <w:sz w:val="22"/>
          <w:szCs w:val="22"/>
          <w:lang w:val="el-GR"/>
        </w:rPr>
      </w:pPr>
      <w:r>
        <w:rPr>
          <w:sz w:val="22"/>
          <w:szCs w:val="22"/>
          <w:lang w:val="el-GR"/>
        </w:rPr>
        <w:t>Ο γιατρός του παιδιού σας μπορεί επίσης να συνταγογραφήσει μία αρχική δόση των 80 mg η οποία μπορεί να χορηγηθεί μία εβδομάδα πριν την έναρξη της συνήθους δόσης.</w:t>
      </w:r>
    </w:p>
    <w:p w14:paraId="513AB9AB" w14:textId="77777777" w:rsidR="00171824" w:rsidRDefault="00171824">
      <w:pPr>
        <w:widowControl/>
        <w:kinsoku w:val="0"/>
        <w:overflowPunct w:val="0"/>
        <w:outlineLvl w:val="0"/>
        <w:rPr>
          <w:b/>
          <w:bCs/>
          <w:sz w:val="22"/>
          <w:szCs w:val="22"/>
          <w:lang w:val="el-GR"/>
        </w:rPr>
      </w:pPr>
    </w:p>
    <w:p w14:paraId="54F1B926" w14:textId="77777777" w:rsidR="00171824" w:rsidRDefault="006D258C">
      <w:pPr>
        <w:keepNext/>
        <w:widowControl/>
        <w:kinsoku w:val="0"/>
        <w:overflowPunct w:val="0"/>
        <w:outlineLvl w:val="0"/>
        <w:rPr>
          <w:sz w:val="22"/>
          <w:szCs w:val="22"/>
          <w:lang w:val="el-GR"/>
        </w:rPr>
      </w:pPr>
      <w:r>
        <w:rPr>
          <w:b/>
          <w:bCs/>
          <w:sz w:val="22"/>
          <w:szCs w:val="22"/>
          <w:lang w:val="el-GR"/>
        </w:rPr>
        <w:t>Τρόπος και οδός χορήγησης</w:t>
      </w:r>
    </w:p>
    <w:p w14:paraId="5858D373" w14:textId="77777777" w:rsidR="00171824" w:rsidRDefault="00171824">
      <w:pPr>
        <w:keepNext/>
        <w:widowControl/>
        <w:kinsoku w:val="0"/>
        <w:overflowPunct w:val="0"/>
        <w:rPr>
          <w:sz w:val="22"/>
          <w:szCs w:val="22"/>
          <w:lang w:val="el-GR"/>
        </w:rPr>
      </w:pPr>
    </w:p>
    <w:p w14:paraId="62B4CB27" w14:textId="77777777" w:rsidR="00171824" w:rsidRDefault="006D258C">
      <w:pPr>
        <w:widowControl/>
        <w:kinsoku w:val="0"/>
        <w:overflowPunct w:val="0"/>
        <w:rPr>
          <w:sz w:val="22"/>
          <w:szCs w:val="22"/>
          <w:lang w:val="el-GR"/>
        </w:rPr>
      </w:pPr>
      <w:r>
        <w:rPr>
          <w:sz w:val="22"/>
          <w:szCs w:val="22"/>
          <w:lang w:val="el-GR"/>
        </w:rPr>
        <w:t>Το AMGEVITA χορηγείται με ένεση κάτω από το δέρμα (υποδόρια ένεση).</w:t>
      </w:r>
    </w:p>
    <w:p w14:paraId="4CE271FB" w14:textId="77777777" w:rsidR="00171824" w:rsidRDefault="00171824">
      <w:pPr>
        <w:widowControl/>
        <w:kinsoku w:val="0"/>
        <w:overflowPunct w:val="0"/>
        <w:rPr>
          <w:sz w:val="22"/>
          <w:szCs w:val="22"/>
          <w:lang w:val="el-GR"/>
        </w:rPr>
      </w:pPr>
    </w:p>
    <w:p w14:paraId="263B89B8" w14:textId="77777777" w:rsidR="00171824" w:rsidRDefault="006D258C">
      <w:pPr>
        <w:widowControl/>
        <w:kinsoku w:val="0"/>
        <w:overflowPunct w:val="0"/>
        <w:rPr>
          <w:sz w:val="22"/>
          <w:szCs w:val="22"/>
          <w:lang w:val="el-GR"/>
        </w:rPr>
      </w:pPr>
      <w:r>
        <w:rPr>
          <w:sz w:val="22"/>
          <w:szCs w:val="22"/>
          <w:lang w:val="el-GR"/>
        </w:rPr>
        <w:t>Λεπτομερείς οδηγίες σχετικά με τον τρόπο που πρέπει να κάνετε την ένεση του AMGEVITA παρέχονται στην παράγραφο «Οδηγίες χρήσης».</w:t>
      </w:r>
    </w:p>
    <w:p w14:paraId="551F2206" w14:textId="77777777" w:rsidR="00171824" w:rsidRDefault="00171824">
      <w:pPr>
        <w:widowControl/>
        <w:kinsoku w:val="0"/>
        <w:overflowPunct w:val="0"/>
        <w:rPr>
          <w:sz w:val="22"/>
          <w:szCs w:val="22"/>
          <w:lang w:val="el-GR"/>
        </w:rPr>
      </w:pPr>
    </w:p>
    <w:p w14:paraId="26691347" w14:textId="77777777" w:rsidR="00171824" w:rsidRDefault="006D258C">
      <w:pPr>
        <w:keepNext/>
        <w:widowControl/>
        <w:kinsoku w:val="0"/>
        <w:overflowPunct w:val="0"/>
        <w:outlineLvl w:val="0"/>
        <w:rPr>
          <w:sz w:val="22"/>
          <w:szCs w:val="22"/>
          <w:lang w:val="el-GR"/>
        </w:rPr>
      </w:pPr>
      <w:r>
        <w:rPr>
          <w:b/>
          <w:bCs/>
          <w:sz w:val="22"/>
          <w:szCs w:val="22"/>
          <w:lang w:val="el-GR"/>
        </w:rPr>
        <w:t>Εάν χρησιμοποιήσετε μεγαλύτερη δόση AMGEVITA από την κανονική:</w:t>
      </w:r>
    </w:p>
    <w:p w14:paraId="28154F21" w14:textId="77777777" w:rsidR="00171824" w:rsidRDefault="00171824">
      <w:pPr>
        <w:widowControl/>
        <w:kinsoku w:val="0"/>
        <w:overflowPunct w:val="0"/>
        <w:rPr>
          <w:sz w:val="22"/>
          <w:szCs w:val="22"/>
          <w:lang w:val="el-GR"/>
        </w:rPr>
      </w:pPr>
    </w:p>
    <w:p w14:paraId="548971A4" w14:textId="77777777" w:rsidR="00171824" w:rsidRDefault="006D258C">
      <w:pPr>
        <w:widowControl/>
        <w:kinsoku w:val="0"/>
        <w:overflowPunct w:val="0"/>
        <w:rPr>
          <w:sz w:val="22"/>
          <w:szCs w:val="22"/>
          <w:lang w:val="el-GR"/>
        </w:rPr>
      </w:pPr>
      <w:r>
        <w:rPr>
          <w:sz w:val="22"/>
          <w:szCs w:val="22"/>
          <w:lang w:val="el-GR"/>
        </w:rPr>
        <w:t>Εάν κατά λάθος κάνετε την ένεση του AMGEVITA πιο συχνά από ό,τι σας είπε ο/η γιατρός ή ο φαρμακοποιός σας, καλέσετε τον γιατρό ή τον φαρμακοποιός σας και να του/της πείτε ότι πήρατε μεγαλύτερη δόση. Θα πρέπει να έχετε πάντοτε την εξωτερική συσκευασία αυτού του φαρμάκου μαζί σας, ακόμη και όταν είναι άδεια.</w:t>
      </w:r>
    </w:p>
    <w:p w14:paraId="37D97373" w14:textId="77777777" w:rsidR="00171824" w:rsidRDefault="00171824">
      <w:pPr>
        <w:widowControl/>
        <w:kinsoku w:val="0"/>
        <w:overflowPunct w:val="0"/>
        <w:rPr>
          <w:sz w:val="22"/>
          <w:szCs w:val="22"/>
          <w:lang w:val="el-GR"/>
        </w:rPr>
      </w:pPr>
    </w:p>
    <w:p w14:paraId="2C2ED892" w14:textId="77777777" w:rsidR="00171824" w:rsidRDefault="006D258C">
      <w:pPr>
        <w:widowControl/>
        <w:kinsoku w:val="0"/>
        <w:overflowPunct w:val="0"/>
        <w:outlineLvl w:val="0"/>
        <w:rPr>
          <w:sz w:val="22"/>
          <w:szCs w:val="22"/>
          <w:lang w:val="el-GR"/>
        </w:rPr>
      </w:pPr>
      <w:r>
        <w:rPr>
          <w:b/>
          <w:bCs/>
          <w:sz w:val="22"/>
          <w:szCs w:val="22"/>
          <w:lang w:val="el-GR"/>
        </w:rPr>
        <w:t>Εάν ξεχάσετε να χρησιμοποιήσετε το AMGEVITA:</w:t>
      </w:r>
    </w:p>
    <w:p w14:paraId="1C37320E" w14:textId="77777777" w:rsidR="00171824" w:rsidRDefault="00171824">
      <w:pPr>
        <w:widowControl/>
        <w:kinsoku w:val="0"/>
        <w:overflowPunct w:val="0"/>
        <w:rPr>
          <w:sz w:val="22"/>
          <w:szCs w:val="22"/>
          <w:lang w:val="el-GR"/>
        </w:rPr>
      </w:pPr>
    </w:p>
    <w:p w14:paraId="0C8814D6" w14:textId="77777777" w:rsidR="00171824" w:rsidRDefault="006D258C">
      <w:pPr>
        <w:widowControl/>
        <w:kinsoku w:val="0"/>
        <w:overflowPunct w:val="0"/>
        <w:rPr>
          <w:sz w:val="22"/>
          <w:szCs w:val="22"/>
          <w:lang w:val="el-GR"/>
        </w:rPr>
      </w:pPr>
      <w:r>
        <w:rPr>
          <w:sz w:val="22"/>
          <w:szCs w:val="22"/>
          <w:lang w:val="el-GR"/>
        </w:rPr>
        <w:t xml:space="preserve">Εάν ξεχάσετε να κάνετε την ένεση, θα πρέπει να κάνετε την επόμενη δόση της ένεσης του </w:t>
      </w:r>
      <w:r>
        <w:rPr>
          <w:sz w:val="22"/>
          <w:lang w:val="el-GR"/>
        </w:rPr>
        <w:t>AMGEVITA</w:t>
      </w:r>
      <w:r>
        <w:rPr>
          <w:sz w:val="22"/>
          <w:szCs w:val="22"/>
          <w:lang w:val="el-GR"/>
        </w:rPr>
        <w:t xml:space="preserve"> αμέσως μόλις το θυμηθείτε. Κατόπιν θα συνεχίσετε την επόμενη δόση την ημέρα που είχε αρχικά προγραμματισθεί, εάν δεν είχατε ξεχάσει τη δόση.</w:t>
      </w:r>
    </w:p>
    <w:p w14:paraId="5B940FBC" w14:textId="77777777" w:rsidR="00171824" w:rsidRDefault="00171824">
      <w:pPr>
        <w:widowControl/>
        <w:kinsoku w:val="0"/>
        <w:overflowPunct w:val="0"/>
        <w:rPr>
          <w:sz w:val="22"/>
          <w:szCs w:val="22"/>
          <w:lang w:val="el-GR"/>
        </w:rPr>
      </w:pPr>
    </w:p>
    <w:p w14:paraId="5A2C8FC3" w14:textId="77777777" w:rsidR="00171824" w:rsidRDefault="006D258C">
      <w:pPr>
        <w:widowControl/>
        <w:kinsoku w:val="0"/>
        <w:overflowPunct w:val="0"/>
        <w:outlineLvl w:val="0"/>
        <w:rPr>
          <w:sz w:val="22"/>
          <w:szCs w:val="22"/>
          <w:lang w:val="el-GR"/>
        </w:rPr>
      </w:pPr>
      <w:r>
        <w:rPr>
          <w:b/>
          <w:bCs/>
          <w:sz w:val="22"/>
          <w:szCs w:val="22"/>
          <w:lang w:val="el-GR"/>
        </w:rPr>
        <w:t>Εάν σταματήσετε να χρησιμοποιείτε το AMGEVITA:</w:t>
      </w:r>
    </w:p>
    <w:p w14:paraId="7A941E54" w14:textId="77777777" w:rsidR="00171824" w:rsidRDefault="00171824">
      <w:pPr>
        <w:widowControl/>
        <w:kinsoku w:val="0"/>
        <w:overflowPunct w:val="0"/>
        <w:rPr>
          <w:sz w:val="22"/>
          <w:szCs w:val="22"/>
          <w:lang w:val="el-GR"/>
        </w:rPr>
      </w:pPr>
    </w:p>
    <w:p w14:paraId="1F5C6B56" w14:textId="77777777" w:rsidR="00171824" w:rsidRDefault="006D258C">
      <w:pPr>
        <w:widowControl/>
        <w:kinsoku w:val="0"/>
        <w:overflowPunct w:val="0"/>
        <w:rPr>
          <w:sz w:val="22"/>
          <w:szCs w:val="22"/>
          <w:lang w:val="el-GR"/>
        </w:rPr>
      </w:pPr>
      <w:r>
        <w:rPr>
          <w:sz w:val="22"/>
          <w:szCs w:val="22"/>
          <w:lang w:val="el-GR"/>
        </w:rPr>
        <w:t>Η απόφαση να σταματήσετε να χρησιμοποιείτε το AMGEVITA θα πρέπει να συζητηθεί με τον γιατρό σας. Τα συμπτώματά σας μπορεί να επανέλθουν μετά την διακοπή.</w:t>
      </w:r>
    </w:p>
    <w:p w14:paraId="378E8E98" w14:textId="77777777" w:rsidR="00171824" w:rsidRDefault="00171824">
      <w:pPr>
        <w:widowControl/>
        <w:kinsoku w:val="0"/>
        <w:overflowPunct w:val="0"/>
        <w:rPr>
          <w:sz w:val="22"/>
          <w:szCs w:val="22"/>
          <w:lang w:val="el-GR"/>
        </w:rPr>
      </w:pPr>
    </w:p>
    <w:p w14:paraId="73013A94" w14:textId="77777777" w:rsidR="00171824" w:rsidRDefault="006D258C">
      <w:pPr>
        <w:widowControl/>
        <w:kinsoku w:val="0"/>
        <w:overflowPunct w:val="0"/>
        <w:rPr>
          <w:sz w:val="22"/>
          <w:szCs w:val="22"/>
          <w:lang w:val="el-GR"/>
        </w:rPr>
      </w:pPr>
      <w:r>
        <w:rPr>
          <w:sz w:val="22"/>
          <w:szCs w:val="22"/>
          <w:lang w:val="el-GR"/>
        </w:rPr>
        <w:t>Εάν έχετε περισσότερες ερωτήσεις σχετικά με τη χρήση αυτού του φαρμάκου ρωτήστε τον γιατρό ή τον φαρμακοποιό σας.</w:t>
      </w:r>
    </w:p>
    <w:p w14:paraId="1131260C" w14:textId="77777777" w:rsidR="00171824" w:rsidRDefault="00171824">
      <w:pPr>
        <w:widowControl/>
        <w:kinsoku w:val="0"/>
        <w:overflowPunct w:val="0"/>
        <w:rPr>
          <w:sz w:val="22"/>
          <w:szCs w:val="22"/>
          <w:lang w:val="el-GR"/>
        </w:rPr>
      </w:pPr>
    </w:p>
    <w:p w14:paraId="258D4B97" w14:textId="77777777" w:rsidR="00171824" w:rsidRDefault="00171824">
      <w:pPr>
        <w:widowControl/>
        <w:kinsoku w:val="0"/>
        <w:overflowPunct w:val="0"/>
        <w:rPr>
          <w:sz w:val="22"/>
          <w:szCs w:val="22"/>
          <w:lang w:val="el-GR"/>
        </w:rPr>
      </w:pPr>
    </w:p>
    <w:p w14:paraId="3899A04B" w14:textId="77777777" w:rsidR="00171824" w:rsidRDefault="006D258C">
      <w:pPr>
        <w:widowControl/>
        <w:kinsoku w:val="0"/>
        <w:overflowPunct w:val="0"/>
        <w:autoSpaceDE/>
        <w:autoSpaceDN/>
        <w:adjustRightInd/>
        <w:ind w:left="567" w:hanging="567"/>
        <w:outlineLvl w:val="0"/>
        <w:rPr>
          <w:sz w:val="22"/>
          <w:szCs w:val="22"/>
          <w:lang w:val="el-GR"/>
        </w:rPr>
      </w:pPr>
      <w:r>
        <w:rPr>
          <w:b/>
          <w:bCs/>
          <w:sz w:val="22"/>
          <w:szCs w:val="22"/>
          <w:lang w:val="el-GR"/>
        </w:rPr>
        <w:t>4.</w:t>
      </w:r>
      <w:r>
        <w:rPr>
          <w:b/>
          <w:bCs/>
          <w:sz w:val="22"/>
          <w:szCs w:val="22"/>
          <w:lang w:val="el-GR"/>
        </w:rPr>
        <w:tab/>
        <w:t>Πιθανές ανεπιθύμητες ενέργειες</w:t>
      </w:r>
    </w:p>
    <w:p w14:paraId="78A73F2D" w14:textId="77777777" w:rsidR="00171824" w:rsidRDefault="00171824">
      <w:pPr>
        <w:widowControl/>
        <w:kinsoku w:val="0"/>
        <w:overflowPunct w:val="0"/>
        <w:rPr>
          <w:sz w:val="22"/>
          <w:szCs w:val="22"/>
          <w:lang w:val="el-GR"/>
        </w:rPr>
      </w:pPr>
    </w:p>
    <w:p w14:paraId="432F8AB2" w14:textId="77777777" w:rsidR="00171824" w:rsidRDefault="006D258C">
      <w:pPr>
        <w:widowControl/>
        <w:kinsoku w:val="0"/>
        <w:overflowPunct w:val="0"/>
        <w:rPr>
          <w:sz w:val="22"/>
          <w:szCs w:val="22"/>
          <w:lang w:val="el-GR"/>
        </w:rPr>
      </w:pPr>
      <w:r>
        <w:rPr>
          <w:sz w:val="22"/>
          <w:szCs w:val="22"/>
          <w:lang w:val="el-GR"/>
        </w:rPr>
        <w:t>Όπως όλα τα φάρμακα, έτσι και αυτό το φάρμακο μπορεί να προκαλέσει ανεπιθύμητες ενέργειες, αν και δεν παρουσιάζονται σε όλους τους ανθρώπους. Οι περισσότερες ανεπιθύμητες ενέργειες είναι ελαφρές έως μέτριες. Όμως κάποιες μπορεί να είναι σοβαρές και να απαιτούν θεραπεία. Ανεπιθύμητες ενέργειες μπορεί να εμφανιστούν το λιγότερο μέσα σε διάστημα 4 μηνών μετά την τελευταία ένεση AMGEVITA.</w:t>
      </w:r>
    </w:p>
    <w:p w14:paraId="11E8B77E" w14:textId="77777777" w:rsidR="00171824" w:rsidRDefault="00171824">
      <w:pPr>
        <w:widowControl/>
        <w:kinsoku w:val="0"/>
        <w:overflowPunct w:val="0"/>
        <w:rPr>
          <w:sz w:val="22"/>
          <w:szCs w:val="22"/>
          <w:lang w:val="el-GR"/>
        </w:rPr>
      </w:pPr>
    </w:p>
    <w:p w14:paraId="27D414AC" w14:textId="77777777" w:rsidR="00171824" w:rsidRDefault="006D258C">
      <w:pPr>
        <w:widowControl/>
        <w:kinsoku w:val="0"/>
        <w:overflowPunct w:val="0"/>
        <w:rPr>
          <w:sz w:val="22"/>
          <w:szCs w:val="22"/>
          <w:lang w:val="el-GR"/>
        </w:rPr>
      </w:pPr>
      <w:r>
        <w:rPr>
          <w:sz w:val="22"/>
          <w:szCs w:val="22"/>
          <w:lang w:val="el-GR"/>
        </w:rPr>
        <w:t>Ενημερώστε αμέσως τον γιατρό σας εάν παρατηρήσετε κάποιο από τα ακόλουθα</w:t>
      </w:r>
      <w:r>
        <w:rPr>
          <w:lang w:val="el-GR"/>
        </w:rPr>
        <w:t xml:space="preserve"> </w:t>
      </w:r>
      <w:r>
        <w:rPr>
          <w:sz w:val="22"/>
          <w:szCs w:val="22"/>
          <w:lang w:val="el-GR"/>
        </w:rPr>
        <w:t>σημεία αλλεργικής αντίδρασης ή καρδιακής ανεπάρκειας:</w:t>
      </w:r>
    </w:p>
    <w:p w14:paraId="0E29D14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Σοβαρό εξάνθημα, κνίδωση ή άλλα σημεία αλλεργικής αντίδρασης,</w:t>
      </w:r>
    </w:p>
    <w:p w14:paraId="754EF6A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 χεριών και ποδιών,</w:t>
      </w:r>
    </w:p>
    <w:p w14:paraId="715A08D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Αναπνευστικό πρόβλημα, δυσκολία κατάποσης,</w:t>
      </w:r>
    </w:p>
    <w:p w14:paraId="2610F5C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Δυσκολία αναπνοής κατά την προσπάθεια ή κατά την κατάκλιση ή οίδημα στα πόδια.</w:t>
      </w:r>
    </w:p>
    <w:p w14:paraId="73B24BAD" w14:textId="77777777" w:rsidR="00171824" w:rsidRDefault="00171824">
      <w:pPr>
        <w:widowControl/>
        <w:kinsoku w:val="0"/>
        <w:overflowPunct w:val="0"/>
        <w:rPr>
          <w:sz w:val="22"/>
          <w:szCs w:val="22"/>
          <w:lang w:val="el-GR"/>
        </w:rPr>
      </w:pPr>
    </w:p>
    <w:p w14:paraId="1A0E315F" w14:textId="77777777" w:rsidR="00171824" w:rsidRDefault="006D258C">
      <w:pPr>
        <w:widowControl/>
        <w:kinsoku w:val="0"/>
        <w:overflowPunct w:val="0"/>
        <w:rPr>
          <w:sz w:val="22"/>
          <w:szCs w:val="22"/>
          <w:lang w:val="el-GR"/>
        </w:rPr>
      </w:pPr>
      <w:r>
        <w:rPr>
          <w:sz w:val="22"/>
          <w:szCs w:val="22"/>
          <w:lang w:val="el-GR"/>
        </w:rPr>
        <w:t>Ενημερώστε αμέσως τον γιατρό σας εάν παρατηρήσετε κάποιο από τα ακόλουθα:</w:t>
      </w:r>
    </w:p>
    <w:p w14:paraId="2D88D75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λοίμωξης, όπως πυρετός, αίσθημα ασθένειας, πληγές, οδοντικά προβλήματα, αίσθηση καύσου κατά την ούρηση,</w:t>
      </w:r>
    </w:p>
    <w:p w14:paraId="75BADA0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αδυναμίας ή κόπωσης,</w:t>
      </w:r>
    </w:p>
    <w:p w14:paraId="1C4C520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Βήχα,</w:t>
      </w:r>
    </w:p>
    <w:p w14:paraId="36F3DBF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Κνησμό,</w:t>
      </w:r>
    </w:p>
    <w:p w14:paraId="444B660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Μούδιασμα,</w:t>
      </w:r>
    </w:p>
    <w:p w14:paraId="1B95203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Διπλή όραση,</w:t>
      </w:r>
    </w:p>
    <w:p w14:paraId="4300938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Αδυναμία χεριών ή ποδιών,</w:t>
      </w:r>
    </w:p>
    <w:p w14:paraId="08285D7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καρκίνου του δέρματος όπως τοπικό πρήξιμο, ή ανοιχτό έλκος το οποίο δε θεραπεύεται,</w:t>
      </w:r>
    </w:p>
    <w:p w14:paraId="0F96534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Σημεία και συμπτώματα ύποπτα για αιματολογικές διαταραχές, όπως παρατεινόμενος πυρετός, μώλωπες, αιμορραγία, ωχρότητα.</w:t>
      </w:r>
    </w:p>
    <w:p w14:paraId="1505BBB6" w14:textId="77777777" w:rsidR="00171824" w:rsidRDefault="00171824">
      <w:pPr>
        <w:widowControl/>
        <w:kinsoku w:val="0"/>
        <w:overflowPunct w:val="0"/>
        <w:rPr>
          <w:sz w:val="22"/>
          <w:szCs w:val="22"/>
          <w:lang w:val="el-GR"/>
        </w:rPr>
      </w:pPr>
    </w:p>
    <w:p w14:paraId="17FF04B2" w14:textId="77777777" w:rsidR="00171824" w:rsidRDefault="006D258C">
      <w:pPr>
        <w:widowControl/>
        <w:kinsoku w:val="0"/>
        <w:overflowPunct w:val="0"/>
        <w:rPr>
          <w:sz w:val="22"/>
          <w:szCs w:val="22"/>
          <w:lang w:val="el-GR"/>
        </w:rPr>
      </w:pPr>
      <w:r>
        <w:rPr>
          <w:sz w:val="22"/>
          <w:szCs w:val="22"/>
          <w:lang w:val="el-GR"/>
        </w:rPr>
        <w:t>Τα παραπάνω συμπτώματα μπορεί να αποτελούν ένδειξη για τις ακόλουθες ανεπιθύμητες ενέργειες, οι οποίες έχουν παρατηρηθεί με το adalimumab.</w:t>
      </w:r>
    </w:p>
    <w:p w14:paraId="2D63D065" w14:textId="77777777" w:rsidR="00171824" w:rsidRDefault="00171824">
      <w:pPr>
        <w:widowControl/>
        <w:kinsoku w:val="0"/>
        <w:overflowPunct w:val="0"/>
        <w:rPr>
          <w:sz w:val="22"/>
          <w:szCs w:val="22"/>
          <w:lang w:val="el-GR"/>
        </w:rPr>
      </w:pPr>
    </w:p>
    <w:p w14:paraId="693E8137" w14:textId="77777777" w:rsidR="00171824" w:rsidRDefault="006D258C">
      <w:pPr>
        <w:keepNext/>
        <w:widowControl/>
        <w:kinsoku w:val="0"/>
        <w:overflowPunct w:val="0"/>
        <w:rPr>
          <w:sz w:val="22"/>
          <w:szCs w:val="22"/>
          <w:lang w:val="el-GR"/>
        </w:rPr>
      </w:pPr>
      <w:r>
        <w:rPr>
          <w:sz w:val="22"/>
          <w:szCs w:val="22"/>
          <w:lang w:val="el-GR"/>
        </w:rPr>
        <w:t>Πολύ συχνές (μπορεί να επηρεάσουν περισσότερους από 1 στους 10 ανθρώπους)</w:t>
      </w:r>
    </w:p>
    <w:p w14:paraId="1DF0029C" w14:textId="77777777" w:rsidR="00171824" w:rsidRDefault="006D258C">
      <w:pPr>
        <w:keepNext/>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αντιδράσεις της θέσης ένεσης (που συμπεριλαμβάνουν άλγος, οίδημα, ερυθρότητα ή κνησμό),</w:t>
      </w:r>
    </w:p>
    <w:p w14:paraId="1BA0D62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αναπνευστικού συστήματος (συμπεριλαμβάνεται κρυολόγημα, καταρροή, ιγμορίτιδα, πνευμονία),</w:t>
      </w:r>
    </w:p>
    <w:p w14:paraId="0444EBA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πονοκέφαλος,</w:t>
      </w:r>
    </w:p>
    <w:p w14:paraId="6310B90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πόνος στην κοιλιά,</w:t>
      </w:r>
    </w:p>
    <w:p w14:paraId="1396780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ναυτία και έμετος,</w:t>
      </w:r>
    </w:p>
    <w:p w14:paraId="0E87EA3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εξάνθημα,</w:t>
      </w:r>
    </w:p>
    <w:p w14:paraId="0F30AD2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μυοσκελετικός πόνος.</w:t>
      </w:r>
    </w:p>
    <w:p w14:paraId="59705A7B" w14:textId="77777777" w:rsidR="00171824" w:rsidRDefault="00171824">
      <w:pPr>
        <w:widowControl/>
        <w:kinsoku w:val="0"/>
        <w:overflowPunct w:val="0"/>
        <w:rPr>
          <w:sz w:val="22"/>
          <w:szCs w:val="22"/>
          <w:lang w:val="el-GR"/>
        </w:rPr>
      </w:pPr>
    </w:p>
    <w:p w14:paraId="464C174C" w14:textId="77777777" w:rsidR="00171824" w:rsidRDefault="006D258C">
      <w:pPr>
        <w:widowControl/>
        <w:kinsoku w:val="0"/>
        <w:overflowPunct w:val="0"/>
        <w:rPr>
          <w:sz w:val="22"/>
          <w:szCs w:val="22"/>
          <w:lang w:val="el-GR"/>
        </w:rPr>
      </w:pPr>
      <w:r>
        <w:rPr>
          <w:sz w:val="22"/>
          <w:szCs w:val="22"/>
          <w:lang w:val="el-GR"/>
        </w:rPr>
        <w:t>Συχνές</w:t>
      </w:r>
      <w:r>
        <w:rPr>
          <w:b/>
          <w:sz w:val="22"/>
          <w:szCs w:val="22"/>
          <w:lang w:val="el-GR"/>
        </w:rPr>
        <w:t xml:space="preserve"> </w:t>
      </w:r>
      <w:r>
        <w:rPr>
          <w:sz w:val="22"/>
          <w:szCs w:val="22"/>
          <w:lang w:val="el-GR"/>
        </w:rPr>
        <w:t>(μπορεί να επηρεάσουν έως 1 στους 10 ανθρώπους)</w:t>
      </w:r>
    </w:p>
    <w:p w14:paraId="702686B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σοβαρές λοιμώξεις (συμπεριλαμβάνεται σηψαιμία και γρίπη),</w:t>
      </w:r>
    </w:p>
    <w:p w14:paraId="110A041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εντερικές λοιμώξεις (συμπεριλαμβάνεται γαστρεντερίτιδα),</w:t>
      </w:r>
    </w:p>
    <w:p w14:paraId="484C1E2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δέρματος (συμπεριλαμβάνεται κυτταρίτιδα και έρπης),</w:t>
      </w:r>
    </w:p>
    <w:p w14:paraId="2B2DADA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αυτιού,</w:t>
      </w:r>
    </w:p>
    <w:p w14:paraId="126C110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στοματικές λοιμώξεις (συμπεριλαμβάνονται λοιμώξεις των δοντιών και πόνοι από κρυολόγημα),</w:t>
      </w:r>
    </w:p>
    <w:p w14:paraId="56D5EAD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αναπαραγωγικού συστήματος,</w:t>
      </w:r>
    </w:p>
    <w:p w14:paraId="679F4E3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του ουροποιητικού συστήματος,</w:t>
      </w:r>
    </w:p>
    <w:p w14:paraId="658957F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μυκητιασικές λοιμώξεις,</w:t>
      </w:r>
    </w:p>
    <w:p w14:paraId="6100AED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λοιμώξεις των αρθρώσεων,</w:t>
      </w:r>
    </w:p>
    <w:p w14:paraId="723F6D1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καλοήθεις όγκοι,</w:t>
      </w:r>
    </w:p>
    <w:p w14:paraId="06487A5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καρκίνος δέρματος,</w:t>
      </w:r>
    </w:p>
    <w:p w14:paraId="258A795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αλλεργικές αντιδράσεις (συμπεριλαμβάνεται εποχική αλλεργία),</w:t>
      </w:r>
    </w:p>
    <w:p w14:paraId="4C5D72E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αφυδάτωση,</w:t>
      </w:r>
    </w:p>
    <w:p w14:paraId="380E6E5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αλλαγές της διάθεσης (συμπεριλαμβάνεται κατάθλιψη),</w:t>
      </w:r>
    </w:p>
    <w:p w14:paraId="1CAB2E8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άγχος,</w:t>
      </w:r>
    </w:p>
    <w:p w14:paraId="6E25031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δυσκολίες στον ύπνο,</w:t>
      </w:r>
    </w:p>
    <w:p w14:paraId="1CF3F0C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της αίσθησης όπως μυρμήγκιασμα, αίσθημα τσιμπήματος ή μούδιασμα,</w:t>
      </w:r>
    </w:p>
    <w:p w14:paraId="5568EC5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ημικρανία,</w:t>
      </w:r>
    </w:p>
    <w:p w14:paraId="353EBA1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συμπίεση νευρικής ρίζας (συμπεριλαμβάνεται πόνος χαμηλά στη μέση και πόνος στο πόδι),</w:t>
      </w:r>
    </w:p>
    <w:p w14:paraId="4275D5F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όρασης,</w:t>
      </w:r>
    </w:p>
    <w:p w14:paraId="3D9DC41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οφθαλμική φλεγμονή,</w:t>
      </w:r>
    </w:p>
    <w:p w14:paraId="68776C2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των βλεφάρων και πρήξιμο του ματιού,</w:t>
      </w:r>
    </w:p>
    <w:p w14:paraId="487D2C4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ίλιγγος (αίσθηση ζάλης ή στροβιλισμού του δωματίου),</w:t>
      </w:r>
    </w:p>
    <w:p w14:paraId="051848E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γρήγορου καρδιακού παλμού,</w:t>
      </w:r>
    </w:p>
    <w:p w14:paraId="0FB2A19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υψηλή αρτηριακή πίεση,</w:t>
      </w:r>
    </w:p>
    <w:p w14:paraId="52EDCA2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κοκκίνισμα,</w:t>
      </w:r>
    </w:p>
    <w:p w14:paraId="077087F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αιμάτωμα,</w:t>
      </w:r>
    </w:p>
    <w:p w14:paraId="031CF41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βήχας,</w:t>
      </w:r>
    </w:p>
    <w:p w14:paraId="08CDA6C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άσθμα,</w:t>
      </w:r>
    </w:p>
    <w:p w14:paraId="5484A4A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κόψιμο της αναπνοής (δύσπνοια),</w:t>
      </w:r>
    </w:p>
    <w:p w14:paraId="7FAE2CA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γαστρεντερική αιμορραγία,</w:t>
      </w:r>
    </w:p>
    <w:p w14:paraId="57F4970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δυσπεψία (δυσπεψία, φούσκωμα, καούρα),</w:t>
      </w:r>
    </w:p>
    <w:p w14:paraId="5D51D70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παλινδρόμηση,</w:t>
      </w:r>
    </w:p>
    <w:p w14:paraId="27B232C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ξηρότητας (συμπεριλαμβάνονται ξηρότητα στα μάτια και ξηροστομία),</w:t>
      </w:r>
    </w:p>
    <w:p w14:paraId="7A53E2D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κνησμός,</w:t>
      </w:r>
    </w:p>
    <w:p w14:paraId="7F31984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εξάνθημα με φαγούρα,</w:t>
      </w:r>
    </w:p>
    <w:p w14:paraId="2CAB137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μώλωπες,</w:t>
      </w:r>
    </w:p>
    <w:p w14:paraId="3A17717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του δέρματος (όπως έκζεμα),</w:t>
      </w:r>
    </w:p>
    <w:p w14:paraId="3068878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σπάσιμο των νυχιών του χεριού και του ποδιού,</w:t>
      </w:r>
    </w:p>
    <w:p w14:paraId="3524CAD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αυξημένη εφίδρωση,</w:t>
      </w:r>
    </w:p>
    <w:p w14:paraId="5F878BA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απώλεια τριχών (αλωπεκία),</w:t>
      </w:r>
    </w:p>
    <w:p w14:paraId="6E0559C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πρόσφατη έναρξη ή επιδείνωση των συμπτωμάτων ψωρίασης,</w:t>
      </w:r>
    </w:p>
    <w:p w14:paraId="5E5359B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μυϊκοί σπασμοί,</w:t>
      </w:r>
    </w:p>
    <w:p w14:paraId="3EA6146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αιματουρία,</w:t>
      </w:r>
    </w:p>
    <w:p w14:paraId="0469997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προβλήματα στους νεφρούς,</w:t>
      </w:r>
    </w:p>
    <w:p w14:paraId="6231799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πόνος στο στήθος,</w:t>
      </w:r>
    </w:p>
    <w:p w14:paraId="1F119BE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w:t>
      </w:r>
    </w:p>
    <w:p w14:paraId="01959EF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πυρετός,</w:t>
      </w:r>
    </w:p>
    <w:p w14:paraId="63FF50B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μείωση των αιμοπεταλίων του αίματος που αυξάνει τον κίνδυνο αιμορραγίας ή εμφάνισης μωλώπων,</w:t>
      </w:r>
    </w:p>
    <w:p w14:paraId="54C8CCD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δυσχερής επούλωση.</w:t>
      </w:r>
    </w:p>
    <w:p w14:paraId="3667D855" w14:textId="77777777" w:rsidR="00171824" w:rsidRDefault="00171824">
      <w:pPr>
        <w:widowControl/>
        <w:kinsoku w:val="0"/>
        <w:overflowPunct w:val="0"/>
        <w:rPr>
          <w:sz w:val="22"/>
          <w:szCs w:val="22"/>
          <w:lang w:val="el-GR"/>
        </w:rPr>
      </w:pPr>
    </w:p>
    <w:p w14:paraId="48E30880" w14:textId="77777777" w:rsidR="00171824" w:rsidRDefault="006D258C">
      <w:pPr>
        <w:widowControl/>
        <w:kinsoku w:val="0"/>
        <w:overflowPunct w:val="0"/>
        <w:rPr>
          <w:sz w:val="22"/>
          <w:szCs w:val="22"/>
          <w:lang w:val="el-GR"/>
        </w:rPr>
      </w:pPr>
      <w:r>
        <w:rPr>
          <w:sz w:val="22"/>
          <w:szCs w:val="22"/>
          <w:lang w:val="el-GR"/>
        </w:rPr>
        <w:t>Όχι συχνές (μπορεί να επηρεάσουν έως 1 στους 100 ανθρώπους)</w:t>
      </w:r>
    </w:p>
    <w:p w14:paraId="48C9E54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ευκαιριακές λοιμώξεις (που συμπεριλαμβάνουν φυματίωση και άλλες λοιμώξεις που προκύπτουν όταν μειώνεται η αντίσταση στη νόσο),</w:t>
      </w:r>
    </w:p>
    <w:p w14:paraId="046C9E6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νευρολογικές λοιμώξεις (συμπεριλαμβάνεται ιογενής μηνιγγίτιδα),</w:t>
      </w:r>
    </w:p>
    <w:p w14:paraId="5606445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οφθαλμικές λοιμώξεις,</w:t>
      </w:r>
    </w:p>
    <w:p w14:paraId="4979874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βακτηριακές λοιμώξεις,</w:t>
      </w:r>
    </w:p>
    <w:p w14:paraId="5648041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εκκολπωματίτιδα (φλεγμονή και λοίμωξη του παχέος εντέρου),</w:t>
      </w:r>
    </w:p>
    <w:p w14:paraId="23D2AB6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καρκίνος, συμπεριλαμβανομένου του καρκίνου που επηρεάζει το λεμφικό σύστημα (λέμφωμα) και του μελανώματος (καρκίνος του δέρματος),</w:t>
      </w:r>
    </w:p>
    <w:p w14:paraId="640619E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του ανοσοποιητικού συστήματος που μπορεί να επηρεάσουν τους πνεύμονες, το δέρμα και τους λεμφαδένες (παρουσιάζονται συνηθέστερα ως σαρκοείδωση),</w:t>
      </w:r>
    </w:p>
    <w:p w14:paraId="591BC4E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αγγειίτιδα (φλεγμονή αιμοφόρων αγγείων),</w:t>
      </w:r>
    </w:p>
    <w:p w14:paraId="195E7910"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τρόμος,</w:t>
      </w:r>
    </w:p>
    <w:p w14:paraId="585720C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νευροπάθεια,</w:t>
      </w:r>
    </w:p>
    <w:p w14:paraId="2191FE9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εγκεφαλικό επεισόδιο,</w:t>
      </w:r>
    </w:p>
    <w:p w14:paraId="78E191F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απώλεια ακοής, βουητό,</w:t>
      </w:r>
    </w:p>
    <w:p w14:paraId="00A9B52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αίσθημα ανώμαλου καρδιακού ρυθμού όπως παράλειψη καρδιακών παλμών,</w:t>
      </w:r>
    </w:p>
    <w:p w14:paraId="09968B5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καρδιολογικά προβλήματα που μπορεί να προκαλέσουν κόψιμο της αναπνοής (δύσπνοια) ή πρήξιμο των αστραγάλων,</w:t>
      </w:r>
    </w:p>
    <w:p w14:paraId="6F6BF54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καρδιακή προσβολή,</w:t>
      </w:r>
    </w:p>
    <w:p w14:paraId="1BAD690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ένα σάκο στο τοίχωμα μιας μεγάλης αρτηρίας (ανεύρυσμα), φλεγμονή και θρόμβωση μίας φλέβας, απόφραξη ενός αιμοφόρου αγγείου,</w:t>
      </w:r>
    </w:p>
    <w:p w14:paraId="66A293F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πνευμονικές νόσοι που προκαλούν κόψιμο της αναπνοής (δύσπνοια) (συμπεριλαμβάνεται φλεγμονή),</w:t>
      </w:r>
    </w:p>
    <w:p w14:paraId="06128E6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πνευμονική εμβολή (απόφραξη μίας αρτηρίας των πνευμόνων),</w:t>
      </w:r>
    </w:p>
    <w:p w14:paraId="10EE811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υπεζωκοτική συλλογή (μη φυσιολογική συλλογή υγρού στη περιοχή των πλευρών),</w:t>
      </w:r>
    </w:p>
    <w:p w14:paraId="28DBA14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του παγκρέατος που προκαλεί σοβαρό πόνο στην κοιλιά και την πλάτη,</w:t>
      </w:r>
    </w:p>
    <w:p w14:paraId="0CC8058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δυσκολία στην κατάποση,</w:t>
      </w:r>
    </w:p>
    <w:p w14:paraId="7088DDD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w:t>
      </w:r>
    </w:p>
    <w:p w14:paraId="4DB44E9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φλεγμονή της χοληδόχου κύστης, πέτρες στη χολή,</w:t>
      </w:r>
    </w:p>
    <w:p w14:paraId="1938A31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λιπώδες ήπαρ,</w:t>
      </w:r>
    </w:p>
    <w:p w14:paraId="2CD5A33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νυκτερινοί ιδρώτες,</w:t>
      </w:r>
    </w:p>
    <w:p w14:paraId="1AE24F9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ουλή,</w:t>
      </w:r>
    </w:p>
    <w:p w14:paraId="7715187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ανώμαλη μυϊκή κατάπτωση,</w:t>
      </w:r>
    </w:p>
    <w:p w14:paraId="7F57A22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συστηματικός ερυθηματώδης λύκος (συμπεριλαμβάνονται φλεγμονές του δέρματος, της καρδιάς, του πνεύμονα, των αρθρώσεων και άλλων οργανικών συστημάτων),</w:t>
      </w:r>
    </w:p>
    <w:p w14:paraId="5FF4C32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διαταραχές του ύπνου,</w:t>
      </w:r>
    </w:p>
    <w:p w14:paraId="4BEF9B4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ανικανότητα,</w:t>
      </w:r>
    </w:p>
    <w:p w14:paraId="422543D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φλεγμονές.</w:t>
      </w:r>
    </w:p>
    <w:p w14:paraId="2AA886C4" w14:textId="77777777" w:rsidR="00171824" w:rsidRDefault="00171824">
      <w:pPr>
        <w:widowControl/>
        <w:kinsoku w:val="0"/>
        <w:overflowPunct w:val="0"/>
        <w:rPr>
          <w:sz w:val="22"/>
          <w:szCs w:val="22"/>
          <w:lang w:val="el-GR"/>
        </w:rPr>
      </w:pPr>
    </w:p>
    <w:p w14:paraId="1E46EA1E" w14:textId="77777777" w:rsidR="00171824" w:rsidRDefault="006D258C">
      <w:pPr>
        <w:widowControl/>
        <w:kinsoku w:val="0"/>
        <w:overflowPunct w:val="0"/>
        <w:rPr>
          <w:sz w:val="22"/>
          <w:szCs w:val="22"/>
          <w:lang w:val="el-GR"/>
        </w:rPr>
      </w:pPr>
      <w:r>
        <w:rPr>
          <w:sz w:val="22"/>
          <w:szCs w:val="22"/>
          <w:lang w:val="el-GR"/>
        </w:rPr>
        <w:t>Σπάνιες (μπορεί να επηρεάσουν έως 1 στους 1 000 ανθρώπους)</w:t>
      </w:r>
    </w:p>
    <w:p w14:paraId="21903D5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λευχαιμία (καρκίνος που επηρεάζει το αίμα και το μυελό των οστών),</w:t>
      </w:r>
    </w:p>
    <w:p w14:paraId="358F090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σοβαρή αλλεργική αντίδραση με καταπληξία,</w:t>
      </w:r>
    </w:p>
    <w:p w14:paraId="4B5A2F21"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σκλήρυνση κατά πλάκας,</w:t>
      </w:r>
    </w:p>
    <w:p w14:paraId="5DCED9C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νευρολογικές διαταραχές (όπως φλεγμονή του οφθαλμικού νεύρου και σύνδρομο Guillain</w:t>
      </w:r>
      <w:r>
        <w:rPr>
          <w:sz w:val="22"/>
          <w:szCs w:val="22"/>
          <w:lang w:val="el-GR"/>
        </w:rPr>
        <w:noBreakHyphen/>
        <w:t>Barré που μπορεί να προκαλέσει μυϊκή αδυναμία, παθολογική αίσθηση (αισθητικότητα)), μυρμηκίαση στους βραχίονες και στο άνω μέρος του σώματος,</w:t>
      </w:r>
    </w:p>
    <w:p w14:paraId="6386A55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καρδιακή ανακοπή,</w:t>
      </w:r>
    </w:p>
    <w:p w14:paraId="3F824EA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πνευμονική ίνωση (ουλές στον πνεύμονα),</w:t>
      </w:r>
    </w:p>
    <w:p w14:paraId="0510382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διάτρηση του εντέρου</w:t>
      </w:r>
      <w:r>
        <w:rPr>
          <w:lang w:val="el-GR"/>
        </w:rPr>
        <w:t xml:space="preserve"> (</w:t>
      </w:r>
      <w:r>
        <w:rPr>
          <w:sz w:val="22"/>
          <w:szCs w:val="22"/>
          <w:lang w:val="el-GR"/>
        </w:rPr>
        <w:t>τρύπα στο τοίχωμα του εντέρου),</w:t>
      </w:r>
    </w:p>
    <w:p w14:paraId="5A47280D"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ηπατίτιδα (φλεγμονή του ήπατος),</w:t>
      </w:r>
    </w:p>
    <w:p w14:paraId="76D86C8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επανενεργοποίηση της ηπατίτιδας B,</w:t>
      </w:r>
    </w:p>
    <w:p w14:paraId="67C8C09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αυτοάνοση ηπατίτιδα (φλεγμονή του ήπατος που προκαλείται από το ανοσοποιητικό σας σύστημα),</w:t>
      </w:r>
    </w:p>
    <w:p w14:paraId="1B919F1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δερματική αγγειίτιδα (φλεγμονή των αιμοφόρων αγγείων του δέρματος),</w:t>
      </w:r>
    </w:p>
    <w:p w14:paraId="3C91630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Stevens-Johnson (αντίδραση απειλητική για τη ζωή με γριποειδή συμπτώματα και φυσαλιδώδες εξάνθημα),</w:t>
      </w:r>
    </w:p>
    <w:p w14:paraId="3091521F"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οίδημα προσώπου που συνοδεύεται από αλλεργικές αντιδράσεις,</w:t>
      </w:r>
    </w:p>
    <w:p w14:paraId="520840C8"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πολύμορφο ερύθημα (φλεγμονώδες εξάνθημα δέρματος),</w:t>
      </w:r>
    </w:p>
    <w:p w14:paraId="21AA2A7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σύνδρομο προσομοιάζον με λύκο,</w:t>
      </w:r>
    </w:p>
    <w:p w14:paraId="182C3A6D" w14:textId="77777777" w:rsidR="00171824" w:rsidRDefault="006D258C">
      <w:pPr>
        <w:widowControl/>
        <w:numPr>
          <w:ilvl w:val="0"/>
          <w:numId w:val="26"/>
        </w:numPr>
        <w:tabs>
          <w:tab w:val="left" w:pos="567"/>
        </w:tabs>
        <w:kinsoku w:val="0"/>
        <w:overflowPunct w:val="0"/>
        <w:autoSpaceDE/>
        <w:autoSpaceDN/>
        <w:adjustRightInd/>
        <w:ind w:left="567" w:hanging="567"/>
        <w:rPr>
          <w:lang w:val="el-GR"/>
        </w:rPr>
      </w:pPr>
      <w:r>
        <w:rPr>
          <w:sz w:val="22"/>
          <w:szCs w:val="22"/>
          <w:lang w:val="el-GR"/>
        </w:rPr>
        <w:t>αγγειοοίδημα</w:t>
      </w:r>
      <w:r>
        <w:rPr>
          <w:lang w:val="el-GR"/>
        </w:rPr>
        <w:t xml:space="preserve"> (τοπικό πρήξιμο δέρματος),</w:t>
      </w:r>
    </w:p>
    <w:p w14:paraId="73CA3299" w14:textId="77777777" w:rsidR="00171824" w:rsidRDefault="006D258C">
      <w:pPr>
        <w:widowControl/>
        <w:numPr>
          <w:ilvl w:val="0"/>
          <w:numId w:val="26"/>
        </w:numPr>
        <w:tabs>
          <w:tab w:val="left" w:pos="567"/>
        </w:tabs>
        <w:kinsoku w:val="0"/>
        <w:overflowPunct w:val="0"/>
        <w:autoSpaceDE/>
        <w:autoSpaceDN/>
        <w:adjustRightInd/>
        <w:ind w:left="567" w:hanging="567"/>
        <w:rPr>
          <w:sz w:val="22"/>
          <w:lang w:val="el-GR"/>
        </w:rPr>
      </w:pPr>
      <w:r>
        <w:rPr>
          <w:sz w:val="22"/>
          <w:szCs w:val="22"/>
          <w:lang w:val="el-GR"/>
        </w:rPr>
        <w:t>λειχηνοειδής</w:t>
      </w:r>
      <w:r>
        <w:rPr>
          <w:sz w:val="22"/>
          <w:lang w:val="el-GR"/>
        </w:rPr>
        <w:t xml:space="preserve"> αντίδραση δέρματος (κνησμώδες ερυθρό-μωβ εξάνθημα στο δέρμα).</w:t>
      </w:r>
    </w:p>
    <w:p w14:paraId="2F0410F8" w14:textId="77777777" w:rsidR="00171824" w:rsidRDefault="00171824">
      <w:pPr>
        <w:widowControl/>
        <w:kinsoku w:val="0"/>
        <w:overflowPunct w:val="0"/>
        <w:rPr>
          <w:sz w:val="22"/>
          <w:szCs w:val="22"/>
          <w:lang w:val="el-GR"/>
        </w:rPr>
      </w:pPr>
    </w:p>
    <w:p w14:paraId="4A0BB776" w14:textId="77777777" w:rsidR="00171824" w:rsidRDefault="006D258C">
      <w:pPr>
        <w:keepNext/>
        <w:widowControl/>
        <w:kinsoku w:val="0"/>
        <w:overflowPunct w:val="0"/>
        <w:rPr>
          <w:sz w:val="22"/>
          <w:szCs w:val="22"/>
          <w:lang w:val="el-GR"/>
        </w:rPr>
      </w:pPr>
      <w:r>
        <w:rPr>
          <w:sz w:val="22"/>
          <w:szCs w:val="22"/>
          <w:lang w:val="el-GR"/>
        </w:rPr>
        <w:t>Mη γνωστές (η συχνότητα δεν μπορεί να εκτιμηθεί με βάση τα διαθέσιμα δεδομένα)</w:t>
      </w:r>
    </w:p>
    <w:p w14:paraId="3E89FAA4"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ηπατοσπληνικό λέμφωμα εκ Τ-κυττάρων (ένα σπάνιο είδος καρκίνου του αίματος που συχνά είναι θανατηφόρο),</w:t>
      </w:r>
    </w:p>
    <w:p w14:paraId="4E61381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lastRenderedPageBreak/>
        <w:t>καρκίνωμα εκ κυττάρων Merkel (τύπος καρκίνου του δέρματος),</w:t>
      </w:r>
    </w:p>
    <w:p w14:paraId="02B10A3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color w:val="000000"/>
          <w:sz w:val="22"/>
          <w:szCs w:val="22"/>
          <w:lang w:val="el-GR" w:eastAsia="ja-JP"/>
        </w:rPr>
        <w:t>Σάρκωμα Kaposi, μια σπάνια μορφή καρκίνου που σχετίζεται με λοίμωξη από τον ιό του ανθρώπινου έρπητα τύπου 8. Το σάρκωμα Kaposi εμφανίζεται συχνότερα με τη μορφή πορφυρών βλαβών του δέρματος,</w:t>
      </w:r>
    </w:p>
    <w:p w14:paraId="5CE1CD99"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ηπατική ανεπάρκεια,</w:t>
      </w:r>
    </w:p>
    <w:p w14:paraId="5D995CD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επιδείνωση μίας κατάστασης η οποία ονομάζεται δερματομυοσίτιδα (εμφανίζεται ως δερματικό εξάνθημα συνοδευόμενο από μυϊκή αδυναμία)</w:t>
      </w:r>
    </w:p>
    <w:p w14:paraId="5F8AC6E5"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αύξηση βάρους (για τους περισσότερους ασθενείς, η αύξηση βάρους ήταν μικρή).</w:t>
      </w:r>
    </w:p>
    <w:p w14:paraId="69FD1A87" w14:textId="77777777" w:rsidR="00171824" w:rsidRDefault="00171824">
      <w:pPr>
        <w:widowControl/>
        <w:kinsoku w:val="0"/>
        <w:overflowPunct w:val="0"/>
        <w:rPr>
          <w:sz w:val="22"/>
          <w:szCs w:val="22"/>
          <w:lang w:val="el-GR"/>
        </w:rPr>
      </w:pPr>
    </w:p>
    <w:p w14:paraId="2DEF96FE" w14:textId="77777777" w:rsidR="00171824" w:rsidRDefault="006D258C">
      <w:pPr>
        <w:keepNext/>
        <w:widowControl/>
        <w:kinsoku w:val="0"/>
        <w:overflowPunct w:val="0"/>
        <w:rPr>
          <w:sz w:val="22"/>
          <w:szCs w:val="22"/>
          <w:lang w:val="el-GR"/>
        </w:rPr>
      </w:pPr>
      <w:r>
        <w:rPr>
          <w:sz w:val="22"/>
          <w:szCs w:val="22"/>
          <w:lang w:val="el-GR"/>
        </w:rPr>
        <w:t>Κάποιες ανεπιθύμητες ενέργειες που παρουσιάστηκαν με το adalimumab μπορεί να μην έχουν συμπτώματα και μπορεί να ανακαλυφθούν μόνο με εξετάσεις αίματος. Αυτές συμπεριλαμβάνουν:</w:t>
      </w:r>
    </w:p>
    <w:p w14:paraId="5B8061F8" w14:textId="77777777" w:rsidR="00171824" w:rsidRDefault="00171824">
      <w:pPr>
        <w:keepNext/>
        <w:widowControl/>
        <w:kinsoku w:val="0"/>
        <w:overflowPunct w:val="0"/>
        <w:rPr>
          <w:sz w:val="22"/>
          <w:szCs w:val="22"/>
          <w:lang w:val="el-GR"/>
        </w:rPr>
      </w:pPr>
    </w:p>
    <w:p w14:paraId="673B3CCF" w14:textId="77777777" w:rsidR="00171824" w:rsidRDefault="006D258C">
      <w:pPr>
        <w:keepNext/>
        <w:widowControl/>
        <w:kinsoku w:val="0"/>
        <w:overflowPunct w:val="0"/>
        <w:rPr>
          <w:sz w:val="22"/>
          <w:szCs w:val="22"/>
          <w:lang w:val="el-GR"/>
        </w:rPr>
      </w:pPr>
      <w:r>
        <w:rPr>
          <w:sz w:val="22"/>
          <w:szCs w:val="22"/>
          <w:lang w:val="el-GR"/>
        </w:rPr>
        <w:t>Πολύ συχνές (μπορεί να επηρεάσουν περισσότερους από 1 στους 10 ανθρώπους)</w:t>
      </w:r>
    </w:p>
    <w:p w14:paraId="6698C99B" w14:textId="77777777" w:rsidR="00171824" w:rsidRDefault="006D258C">
      <w:pPr>
        <w:keepNext/>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λευκοκυττάρων,</w:t>
      </w:r>
    </w:p>
    <w:p w14:paraId="0E7B3B8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ερυθροκυττάρων,</w:t>
      </w:r>
    </w:p>
    <w:p w14:paraId="28A7FD1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αυξημένα λιπίδια αίματος,</w:t>
      </w:r>
    </w:p>
    <w:p w14:paraId="4FA6358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αυξημένα ηπατικά ένζυμα.</w:t>
      </w:r>
    </w:p>
    <w:p w14:paraId="3660366A" w14:textId="77777777" w:rsidR="00171824" w:rsidRDefault="00171824">
      <w:pPr>
        <w:widowControl/>
        <w:kinsoku w:val="0"/>
        <w:overflowPunct w:val="0"/>
        <w:rPr>
          <w:sz w:val="22"/>
          <w:szCs w:val="22"/>
          <w:lang w:val="el-GR"/>
        </w:rPr>
      </w:pPr>
    </w:p>
    <w:p w14:paraId="24144718" w14:textId="77777777" w:rsidR="00171824" w:rsidRDefault="006D258C">
      <w:pPr>
        <w:widowControl/>
        <w:kinsoku w:val="0"/>
        <w:overflowPunct w:val="0"/>
        <w:rPr>
          <w:sz w:val="22"/>
          <w:szCs w:val="22"/>
          <w:lang w:val="el-GR"/>
        </w:rPr>
      </w:pPr>
      <w:r>
        <w:rPr>
          <w:sz w:val="22"/>
          <w:szCs w:val="22"/>
          <w:lang w:val="el-GR"/>
        </w:rPr>
        <w:t>Συχνές (μπορεί να επηρεάσουν έως 1 στους 10 ανθρώπους)</w:t>
      </w:r>
    </w:p>
    <w:p w14:paraId="38F81B3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υψηλές τιμές των λευκοκυττάρων,</w:t>
      </w:r>
    </w:p>
    <w:p w14:paraId="2139E3DB"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των αιμοπεταλίων του αίματος</w:t>
      </w:r>
    </w:p>
    <w:p w14:paraId="44E7033A"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αυξημένο ουρικό οξύ αίματος,</w:t>
      </w:r>
    </w:p>
    <w:p w14:paraId="6D73AA86"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μη φυσιολογικές τιμές νατρίου του αίματος,</w:t>
      </w:r>
    </w:p>
    <w:p w14:paraId="0961CA73"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ασβεστίου αίματος,</w:t>
      </w:r>
    </w:p>
    <w:p w14:paraId="07A04352"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χαμηλές τιμές φωσφόρου του αίματος,</w:t>
      </w:r>
    </w:p>
    <w:p w14:paraId="2A43545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υψηλό σάκχαρο αίματος,</w:t>
      </w:r>
    </w:p>
    <w:p w14:paraId="7407663E"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υψηλές τιμές αίματος της γαλακτικής αφυδρογονάσης,</w:t>
      </w:r>
    </w:p>
    <w:p w14:paraId="5AEA542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παρουσία αυτοαντισωμάτων στο αίμα,</w:t>
      </w:r>
    </w:p>
    <w:p w14:paraId="6AAB5147"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χαμηλό κάλιο αίματος,</w:t>
      </w:r>
    </w:p>
    <w:p w14:paraId="495A0D53" w14:textId="77777777" w:rsidR="00171824" w:rsidRDefault="00171824">
      <w:pPr>
        <w:widowControl/>
        <w:kinsoku w:val="0"/>
        <w:overflowPunct w:val="0"/>
        <w:rPr>
          <w:sz w:val="22"/>
          <w:szCs w:val="22"/>
          <w:lang w:val="el-GR"/>
        </w:rPr>
      </w:pPr>
    </w:p>
    <w:p w14:paraId="1EBDFEA6" w14:textId="77777777" w:rsidR="00171824" w:rsidRDefault="006D258C">
      <w:pPr>
        <w:widowControl/>
        <w:kinsoku w:val="0"/>
        <w:overflowPunct w:val="0"/>
        <w:rPr>
          <w:sz w:val="22"/>
          <w:szCs w:val="22"/>
          <w:lang w:val="el-GR"/>
        </w:rPr>
      </w:pPr>
      <w:r>
        <w:rPr>
          <w:sz w:val="22"/>
          <w:szCs w:val="22"/>
          <w:lang w:val="el-GR"/>
        </w:rPr>
        <w:t>Όχι συχνές (μπορεί να επηρεάσουν έως 1 στους 100 ανθρώπους)</w:t>
      </w:r>
    </w:p>
    <w:p w14:paraId="79DEE371" w14:textId="77777777" w:rsidR="00171824" w:rsidRDefault="006D258C">
      <w:pPr>
        <w:pStyle w:val="ListParagraph"/>
        <w:widowControl/>
        <w:numPr>
          <w:ilvl w:val="0"/>
          <w:numId w:val="33"/>
        </w:numPr>
        <w:kinsoku w:val="0"/>
        <w:overflowPunct w:val="0"/>
        <w:ind w:left="567" w:hanging="567"/>
        <w:rPr>
          <w:sz w:val="22"/>
          <w:szCs w:val="22"/>
          <w:lang w:val="el-GR"/>
        </w:rPr>
      </w:pPr>
      <w:r>
        <w:rPr>
          <w:sz w:val="22"/>
          <w:szCs w:val="22"/>
          <w:lang w:val="el-GR"/>
        </w:rPr>
        <w:t>υψηλή μέτρηση της χολερυθρίνης (ηπατικές δοκιμασίες αίματος).</w:t>
      </w:r>
    </w:p>
    <w:p w14:paraId="76C86EA4" w14:textId="77777777" w:rsidR="00171824" w:rsidRDefault="00171824">
      <w:pPr>
        <w:widowControl/>
        <w:kinsoku w:val="0"/>
        <w:overflowPunct w:val="0"/>
        <w:rPr>
          <w:b/>
          <w:sz w:val="22"/>
          <w:szCs w:val="22"/>
          <w:lang w:val="el-GR"/>
        </w:rPr>
      </w:pPr>
    </w:p>
    <w:p w14:paraId="02498EE1" w14:textId="77777777" w:rsidR="00171824" w:rsidRDefault="006D258C">
      <w:pPr>
        <w:widowControl/>
        <w:kinsoku w:val="0"/>
        <w:overflowPunct w:val="0"/>
        <w:rPr>
          <w:sz w:val="22"/>
          <w:szCs w:val="22"/>
          <w:lang w:val="el-GR"/>
        </w:rPr>
      </w:pPr>
      <w:r>
        <w:rPr>
          <w:sz w:val="22"/>
          <w:szCs w:val="22"/>
          <w:lang w:val="el-GR"/>
        </w:rPr>
        <w:t>Σπάνιες (μπορεί να επηρεάσουν έως 1 στους 1 000 ανθρώπους)</w:t>
      </w:r>
    </w:p>
    <w:p w14:paraId="5AFB069C" w14:textId="77777777" w:rsidR="00171824" w:rsidRDefault="006D258C">
      <w:pPr>
        <w:widowControl/>
        <w:numPr>
          <w:ilvl w:val="0"/>
          <w:numId w:val="26"/>
        </w:numPr>
        <w:tabs>
          <w:tab w:val="left" w:pos="567"/>
        </w:tabs>
        <w:kinsoku w:val="0"/>
        <w:overflowPunct w:val="0"/>
        <w:autoSpaceDE/>
        <w:autoSpaceDN/>
        <w:adjustRightInd/>
        <w:ind w:left="567" w:hanging="567"/>
        <w:rPr>
          <w:sz w:val="22"/>
          <w:szCs w:val="22"/>
          <w:lang w:val="el-GR"/>
        </w:rPr>
      </w:pPr>
      <w:r>
        <w:rPr>
          <w:sz w:val="22"/>
          <w:szCs w:val="22"/>
          <w:lang w:val="el-GR"/>
        </w:rPr>
        <w:t xml:space="preserve">χαμηλές τιμές των λευκοκυττάρων, των ερυθροκυττάρων και των αιμοπεταλίων του αίματος. </w:t>
      </w:r>
    </w:p>
    <w:p w14:paraId="6B396357" w14:textId="77777777" w:rsidR="00171824" w:rsidRDefault="00171824">
      <w:pPr>
        <w:widowControl/>
        <w:tabs>
          <w:tab w:val="left" w:pos="567"/>
        </w:tabs>
        <w:kinsoku w:val="0"/>
        <w:overflowPunct w:val="0"/>
        <w:rPr>
          <w:sz w:val="22"/>
          <w:szCs w:val="22"/>
          <w:lang w:val="el-GR"/>
        </w:rPr>
      </w:pPr>
    </w:p>
    <w:p w14:paraId="13A4FB31" w14:textId="77777777" w:rsidR="00171824" w:rsidRDefault="006D258C">
      <w:pPr>
        <w:widowControl/>
        <w:tabs>
          <w:tab w:val="left" w:pos="567"/>
        </w:tabs>
        <w:kinsoku w:val="0"/>
        <w:overflowPunct w:val="0"/>
        <w:rPr>
          <w:b/>
          <w:sz w:val="22"/>
          <w:szCs w:val="22"/>
          <w:lang w:val="el-GR"/>
        </w:rPr>
      </w:pPr>
      <w:r>
        <w:rPr>
          <w:b/>
          <w:sz w:val="22"/>
          <w:szCs w:val="22"/>
          <w:lang w:val="el-GR"/>
        </w:rPr>
        <w:t>Αναφορά ανεπιθύμητων ενεργειών</w:t>
      </w:r>
    </w:p>
    <w:p w14:paraId="3B454092" w14:textId="77777777" w:rsidR="00171824" w:rsidRDefault="00171824">
      <w:pPr>
        <w:widowControl/>
        <w:tabs>
          <w:tab w:val="left" w:pos="567"/>
        </w:tabs>
        <w:kinsoku w:val="0"/>
        <w:overflowPunct w:val="0"/>
        <w:rPr>
          <w:sz w:val="22"/>
          <w:szCs w:val="22"/>
          <w:lang w:val="el-GR"/>
        </w:rPr>
      </w:pPr>
    </w:p>
    <w:p w14:paraId="6ACAFC99" w14:textId="77777777" w:rsidR="00171824" w:rsidRDefault="006D258C">
      <w:pPr>
        <w:widowControl/>
        <w:rPr>
          <w:sz w:val="22"/>
          <w:szCs w:val="22"/>
          <w:lang w:val="el-GR"/>
        </w:rPr>
      </w:pPr>
      <w:r>
        <w:rPr>
          <w:sz w:val="22"/>
          <w:szCs w:val="22"/>
          <w:lang w:val="el-GR"/>
        </w:rPr>
        <w:t xml:space="preserve">Εάν παρατηρήσετε κάποια ανεπιθύμητη ενέργεια, ενημερώστε τον γιατρό ή τον φαρμακοποιό σας. Αυτό ισχύει και για κάθε πιθανή ανεπιθύμητη ενέργεια που δεν αναφέρεται στο παρόν φύλλο οδηγιών χρήσης. Μπορείτε επίσης να αναφέρετε ανεπιθύμητες ενέργειες απευθείας, μέσω </w:t>
      </w:r>
      <w:r>
        <w:rPr>
          <w:sz w:val="22"/>
          <w:szCs w:val="22"/>
          <w:highlight w:val="lightGray"/>
          <w:lang w:val="el-GR"/>
        </w:rPr>
        <w:t xml:space="preserve">του εθνικού συστήματος αναφοράς που αναγράφεται στο </w:t>
      </w:r>
      <w:hyperlink r:id="rId89" w:history="1">
        <w:r>
          <w:rPr>
            <w:rStyle w:val="Hyperlink"/>
            <w:color w:val="0000FF"/>
            <w:sz w:val="22"/>
            <w:szCs w:val="22"/>
            <w:highlight w:val="lightGray"/>
            <w:lang w:val="el-GR"/>
          </w:rPr>
          <w:t>Παράρτημα V</w:t>
        </w:r>
      </w:hyperlink>
      <w:r>
        <w:rPr>
          <w:sz w:val="22"/>
          <w:szCs w:val="22"/>
          <w:lang w:val="el-GR"/>
        </w:rPr>
        <w:t>. Μέσω της αναφοράς ανεπιθύμητων ενεργειών, μπορείτε να βοηθήσετε στη συλλογή περισσότερων πληροφοριών σχετικά με την ασφάλεια του παρόντος φαρμάκου.</w:t>
      </w:r>
    </w:p>
    <w:p w14:paraId="08497870" w14:textId="77777777" w:rsidR="00171824" w:rsidRDefault="00171824">
      <w:pPr>
        <w:widowControl/>
        <w:rPr>
          <w:sz w:val="22"/>
          <w:szCs w:val="22"/>
          <w:lang w:val="el-GR"/>
        </w:rPr>
      </w:pPr>
    </w:p>
    <w:p w14:paraId="059E2819" w14:textId="77777777" w:rsidR="00171824" w:rsidRDefault="00171824">
      <w:pPr>
        <w:widowControl/>
        <w:rPr>
          <w:sz w:val="22"/>
          <w:szCs w:val="22"/>
          <w:lang w:val="el-GR"/>
        </w:rPr>
      </w:pPr>
    </w:p>
    <w:p w14:paraId="1F74FE88" w14:textId="77777777" w:rsidR="00171824" w:rsidRDefault="006D258C">
      <w:pPr>
        <w:widowControl/>
        <w:kinsoku w:val="0"/>
        <w:overflowPunct w:val="0"/>
        <w:autoSpaceDE/>
        <w:autoSpaceDN/>
        <w:adjustRightInd/>
        <w:ind w:left="567" w:hanging="567"/>
        <w:outlineLvl w:val="0"/>
        <w:rPr>
          <w:sz w:val="22"/>
          <w:szCs w:val="22"/>
          <w:lang w:val="el-GR"/>
        </w:rPr>
      </w:pPr>
      <w:r>
        <w:rPr>
          <w:b/>
          <w:bCs/>
          <w:sz w:val="22"/>
          <w:szCs w:val="22"/>
          <w:lang w:val="el-GR"/>
        </w:rPr>
        <w:t>5.</w:t>
      </w:r>
      <w:r>
        <w:rPr>
          <w:b/>
          <w:bCs/>
          <w:sz w:val="22"/>
          <w:szCs w:val="22"/>
          <w:lang w:val="el-GR"/>
        </w:rPr>
        <w:tab/>
        <w:t>Πώς να φυλάσσετε το AMGEVITA</w:t>
      </w:r>
    </w:p>
    <w:p w14:paraId="66556AC4" w14:textId="77777777" w:rsidR="00171824" w:rsidRDefault="00171824">
      <w:pPr>
        <w:widowControl/>
        <w:kinsoku w:val="0"/>
        <w:overflowPunct w:val="0"/>
        <w:rPr>
          <w:sz w:val="22"/>
          <w:szCs w:val="22"/>
          <w:lang w:val="el-GR"/>
        </w:rPr>
      </w:pPr>
    </w:p>
    <w:p w14:paraId="75EDC65A" w14:textId="77777777" w:rsidR="00171824" w:rsidRDefault="006D258C">
      <w:pPr>
        <w:widowControl/>
        <w:kinsoku w:val="0"/>
        <w:overflowPunct w:val="0"/>
        <w:rPr>
          <w:sz w:val="22"/>
          <w:szCs w:val="22"/>
          <w:lang w:val="el-GR"/>
        </w:rPr>
      </w:pPr>
      <w:r>
        <w:rPr>
          <w:sz w:val="22"/>
          <w:szCs w:val="22"/>
          <w:lang w:val="el-GR"/>
        </w:rPr>
        <w:t>Το φάρμακο αυτό πρέπει να φυλάσσεται σε μέρη που δεν το βλέπουν και δεν το φθάνουν τα παιδιά.</w:t>
      </w:r>
    </w:p>
    <w:p w14:paraId="3DDF7324" w14:textId="77777777" w:rsidR="00171824" w:rsidRDefault="00171824">
      <w:pPr>
        <w:widowControl/>
        <w:kinsoku w:val="0"/>
        <w:overflowPunct w:val="0"/>
        <w:rPr>
          <w:sz w:val="22"/>
          <w:szCs w:val="22"/>
          <w:lang w:val="el-GR"/>
        </w:rPr>
      </w:pPr>
    </w:p>
    <w:p w14:paraId="4050FD13" w14:textId="77777777" w:rsidR="00171824" w:rsidRDefault="006D258C">
      <w:pPr>
        <w:widowControl/>
        <w:kinsoku w:val="0"/>
        <w:overflowPunct w:val="0"/>
        <w:rPr>
          <w:sz w:val="22"/>
          <w:szCs w:val="22"/>
          <w:lang w:val="el-GR"/>
        </w:rPr>
      </w:pPr>
      <w:r>
        <w:rPr>
          <w:sz w:val="22"/>
          <w:szCs w:val="22"/>
          <w:lang w:val="el-GR"/>
        </w:rPr>
        <w:t>Να μη χρησιμοποιείτε αυτό το φάρμακο μετά την ημερομηνία λήξης που αναφέρεται στην επισήμανση και στο κουτί μετά τη ΛΗΞΗ. H ημερομηνία λήξης είναι η τελευταία ημέρα του μήνα που αναφέρεται εκεί.</w:t>
      </w:r>
    </w:p>
    <w:p w14:paraId="7E09A94D" w14:textId="77777777" w:rsidR="00171824" w:rsidRDefault="00171824">
      <w:pPr>
        <w:widowControl/>
        <w:kinsoku w:val="0"/>
        <w:overflowPunct w:val="0"/>
        <w:rPr>
          <w:sz w:val="22"/>
          <w:szCs w:val="22"/>
          <w:lang w:val="el-GR"/>
        </w:rPr>
      </w:pPr>
    </w:p>
    <w:p w14:paraId="53B0E249" w14:textId="77777777" w:rsidR="00171824" w:rsidRDefault="006D258C">
      <w:pPr>
        <w:widowControl/>
        <w:kinsoku w:val="0"/>
        <w:overflowPunct w:val="0"/>
        <w:rPr>
          <w:sz w:val="22"/>
          <w:szCs w:val="22"/>
          <w:lang w:val="el-GR"/>
        </w:rPr>
      </w:pPr>
      <w:r>
        <w:rPr>
          <w:sz w:val="22"/>
          <w:szCs w:val="22"/>
          <w:lang w:val="el-GR"/>
        </w:rPr>
        <w:t>Φυλάσσετε σε ψυγείο (2°C – 8°C). Μην καταψύχετε.</w:t>
      </w:r>
    </w:p>
    <w:p w14:paraId="43E5F957" w14:textId="77777777" w:rsidR="00171824" w:rsidRDefault="00171824">
      <w:pPr>
        <w:keepNext/>
        <w:widowControl/>
        <w:kinsoku w:val="0"/>
        <w:overflowPunct w:val="0"/>
        <w:rPr>
          <w:sz w:val="22"/>
          <w:szCs w:val="22"/>
          <w:lang w:val="el-GR"/>
        </w:rPr>
      </w:pPr>
    </w:p>
    <w:p w14:paraId="689B4AE1" w14:textId="77777777" w:rsidR="00171824" w:rsidRDefault="006D258C">
      <w:pPr>
        <w:widowControl/>
        <w:kinsoku w:val="0"/>
        <w:overflowPunct w:val="0"/>
        <w:rPr>
          <w:sz w:val="22"/>
          <w:szCs w:val="22"/>
          <w:lang w:val="el-GR"/>
        </w:rPr>
      </w:pPr>
      <w:r>
        <w:rPr>
          <w:sz w:val="22"/>
          <w:szCs w:val="22"/>
          <w:lang w:val="el-GR"/>
        </w:rPr>
        <w:t>Φυλάσσετε το φάρμακο στο εξωτερικό κουτί για να προστατεύεται από το φως.</w:t>
      </w:r>
    </w:p>
    <w:p w14:paraId="2894967F" w14:textId="77777777" w:rsidR="00171824" w:rsidRDefault="00171824">
      <w:pPr>
        <w:widowControl/>
        <w:kinsoku w:val="0"/>
        <w:overflowPunct w:val="0"/>
        <w:rPr>
          <w:sz w:val="22"/>
          <w:szCs w:val="22"/>
          <w:lang w:val="el-GR"/>
        </w:rPr>
      </w:pPr>
    </w:p>
    <w:p w14:paraId="675E4A2B" w14:textId="77777777" w:rsidR="00171824" w:rsidRDefault="006D258C">
      <w:pPr>
        <w:widowControl/>
        <w:kinsoku w:val="0"/>
        <w:overflowPunct w:val="0"/>
        <w:rPr>
          <w:sz w:val="22"/>
          <w:szCs w:val="22"/>
          <w:lang w:val="el-GR"/>
        </w:rPr>
      </w:pPr>
      <w:r>
        <w:rPr>
          <w:sz w:val="22"/>
          <w:szCs w:val="22"/>
          <w:lang w:val="el-GR"/>
        </w:rPr>
        <w:t>Κάθε προγεμισμένη συσκευή τύπου πένας AMGEVITA μπορεί να φυλάσσεται σε θερμοκρασίες μέχρι 25 °C κατά μέγιστο για χρονικό διάστημα έως και 14 ημέρες. Η προγεμισμένη συσκευή τύπου πένας θα πρέπει να είναι προστατευμένη από το φως και να απορριφθεί εάν δεν</w:t>
      </w:r>
      <w:r>
        <w:rPr>
          <w:b/>
          <w:bCs/>
          <w:sz w:val="22"/>
          <w:szCs w:val="22"/>
          <w:lang w:val="el-GR"/>
        </w:rPr>
        <w:t xml:space="preserve"> </w:t>
      </w:r>
      <w:r>
        <w:rPr>
          <w:bCs/>
          <w:sz w:val="22"/>
          <w:szCs w:val="22"/>
          <w:lang w:val="el-GR"/>
        </w:rPr>
        <w:t>χρησιμοποιηθεί εντός της περιόδου 14 ημερών</w:t>
      </w:r>
      <w:r>
        <w:rPr>
          <w:sz w:val="22"/>
          <w:szCs w:val="22"/>
          <w:lang w:val="el-GR"/>
        </w:rPr>
        <w:t>.</w:t>
      </w:r>
    </w:p>
    <w:p w14:paraId="27505121" w14:textId="77777777" w:rsidR="00171824" w:rsidRDefault="00171824">
      <w:pPr>
        <w:widowControl/>
        <w:kinsoku w:val="0"/>
        <w:overflowPunct w:val="0"/>
        <w:rPr>
          <w:sz w:val="22"/>
          <w:szCs w:val="22"/>
          <w:lang w:val="el-GR"/>
        </w:rPr>
      </w:pPr>
    </w:p>
    <w:p w14:paraId="4F451BFB" w14:textId="77777777" w:rsidR="00171824" w:rsidRDefault="006D258C">
      <w:pPr>
        <w:widowControl/>
        <w:kinsoku w:val="0"/>
        <w:overflowPunct w:val="0"/>
        <w:rPr>
          <w:sz w:val="22"/>
          <w:szCs w:val="22"/>
          <w:lang w:val="el-GR"/>
        </w:rPr>
      </w:pPr>
      <w:r>
        <w:rPr>
          <w:sz w:val="22"/>
          <w:szCs w:val="22"/>
          <w:lang w:val="el-GR"/>
        </w:rPr>
        <w:t>Μην πετάτε φάρμακα στο νερό της αποχέτευσης ή στα οικιακά απορρίμματα. Ρωτήστε τον φαρμακοποιό σας για το πώς να πετάξετε τα φάρμακα που δεν χρησιμοποιείτε πια. Αυτά τα μέτρα θα βοηθήσουν στην προστασία του περιβάλλοντος.</w:t>
      </w:r>
    </w:p>
    <w:p w14:paraId="294F407B" w14:textId="77777777" w:rsidR="00171824" w:rsidRDefault="00171824">
      <w:pPr>
        <w:widowControl/>
        <w:kinsoku w:val="0"/>
        <w:overflowPunct w:val="0"/>
        <w:rPr>
          <w:sz w:val="22"/>
          <w:szCs w:val="22"/>
          <w:lang w:val="el-GR"/>
        </w:rPr>
      </w:pPr>
    </w:p>
    <w:p w14:paraId="60696F6C" w14:textId="77777777" w:rsidR="00171824" w:rsidRDefault="00171824">
      <w:pPr>
        <w:widowControl/>
        <w:kinsoku w:val="0"/>
        <w:overflowPunct w:val="0"/>
        <w:rPr>
          <w:sz w:val="22"/>
          <w:szCs w:val="22"/>
          <w:lang w:val="el-GR"/>
        </w:rPr>
      </w:pPr>
    </w:p>
    <w:p w14:paraId="47E459AD" w14:textId="77777777" w:rsidR="00171824" w:rsidRDefault="006D258C">
      <w:pPr>
        <w:widowControl/>
        <w:tabs>
          <w:tab w:val="left" w:pos="567"/>
        </w:tabs>
        <w:kinsoku w:val="0"/>
        <w:overflowPunct w:val="0"/>
        <w:autoSpaceDE/>
        <w:autoSpaceDN/>
        <w:adjustRightInd/>
        <w:ind w:left="567" w:hanging="567"/>
        <w:outlineLvl w:val="0"/>
        <w:rPr>
          <w:sz w:val="22"/>
          <w:szCs w:val="22"/>
          <w:lang w:val="el-GR"/>
        </w:rPr>
      </w:pPr>
      <w:r>
        <w:rPr>
          <w:b/>
          <w:bCs/>
          <w:sz w:val="22"/>
          <w:szCs w:val="22"/>
          <w:lang w:val="el-GR"/>
        </w:rPr>
        <w:t>6.</w:t>
      </w:r>
      <w:r>
        <w:rPr>
          <w:b/>
          <w:bCs/>
          <w:sz w:val="22"/>
          <w:szCs w:val="22"/>
          <w:lang w:val="el-GR"/>
        </w:rPr>
        <w:tab/>
        <w:t>Περιεχόμενα της συσκευασίας και λοιπές πληροφορίες</w:t>
      </w:r>
    </w:p>
    <w:p w14:paraId="1E511AB7" w14:textId="77777777" w:rsidR="00171824" w:rsidRDefault="00171824">
      <w:pPr>
        <w:widowControl/>
        <w:tabs>
          <w:tab w:val="left" w:pos="567"/>
        </w:tabs>
        <w:kinsoku w:val="0"/>
        <w:overflowPunct w:val="0"/>
        <w:outlineLvl w:val="0"/>
        <w:rPr>
          <w:bCs/>
          <w:sz w:val="22"/>
          <w:szCs w:val="22"/>
          <w:lang w:val="el-GR"/>
        </w:rPr>
      </w:pPr>
    </w:p>
    <w:p w14:paraId="287AA24B" w14:textId="77777777" w:rsidR="00171824" w:rsidRDefault="006D258C">
      <w:pPr>
        <w:widowControl/>
        <w:tabs>
          <w:tab w:val="left" w:pos="567"/>
        </w:tabs>
        <w:kinsoku w:val="0"/>
        <w:overflowPunct w:val="0"/>
        <w:outlineLvl w:val="0"/>
        <w:rPr>
          <w:b/>
          <w:bCs/>
          <w:sz w:val="22"/>
          <w:szCs w:val="22"/>
          <w:lang w:val="el-GR"/>
        </w:rPr>
      </w:pPr>
      <w:r>
        <w:rPr>
          <w:b/>
          <w:bCs/>
          <w:sz w:val="22"/>
          <w:szCs w:val="22"/>
          <w:lang w:val="el-GR"/>
        </w:rPr>
        <w:t xml:space="preserve">Tι περιέχει το AMGEVITA </w:t>
      </w:r>
    </w:p>
    <w:p w14:paraId="03B0D97D" w14:textId="77777777" w:rsidR="00171824" w:rsidRDefault="006D258C">
      <w:pPr>
        <w:pStyle w:val="ListParagraph"/>
        <w:widowControl/>
        <w:numPr>
          <w:ilvl w:val="0"/>
          <w:numId w:val="29"/>
        </w:numPr>
        <w:kinsoku w:val="0"/>
        <w:overflowPunct w:val="0"/>
        <w:ind w:left="567" w:hanging="567"/>
        <w:rPr>
          <w:sz w:val="22"/>
          <w:szCs w:val="22"/>
          <w:lang w:val="el-GR"/>
        </w:rPr>
      </w:pPr>
      <w:r>
        <w:rPr>
          <w:sz w:val="22"/>
          <w:szCs w:val="22"/>
          <w:lang w:val="el-GR"/>
        </w:rPr>
        <w:t>H δραστική ουσία είναι adalimumab. Κάθε προγεμισμένη συσκευή τύπου πένας περιέχει 80 mg adalimumab σε 0,8 ml διαλύματος.</w:t>
      </w:r>
    </w:p>
    <w:p w14:paraId="32943367" w14:textId="77777777" w:rsidR="00171824" w:rsidRDefault="006D258C">
      <w:pPr>
        <w:pStyle w:val="ListParagraph"/>
        <w:widowControl/>
        <w:numPr>
          <w:ilvl w:val="0"/>
          <w:numId w:val="29"/>
        </w:numPr>
        <w:kinsoku w:val="0"/>
        <w:overflowPunct w:val="0"/>
        <w:ind w:left="567" w:hanging="567"/>
        <w:rPr>
          <w:sz w:val="22"/>
          <w:szCs w:val="22"/>
          <w:lang w:val="el-GR"/>
        </w:rPr>
      </w:pPr>
      <w:r>
        <w:rPr>
          <w:sz w:val="22"/>
          <w:szCs w:val="22"/>
          <w:lang w:val="el-GR"/>
        </w:rPr>
        <w:t>Τα άλλα συστατικά είναι L-γαλακτικό οξύ, σακχαρόζη, πολυσορβικό 80, υδροξείδιο του νατρίου και ενέσιμο ύδωρ.</w:t>
      </w:r>
    </w:p>
    <w:p w14:paraId="7A84C996" w14:textId="77777777" w:rsidR="00171824" w:rsidRDefault="00171824">
      <w:pPr>
        <w:widowControl/>
        <w:kinsoku w:val="0"/>
        <w:overflowPunct w:val="0"/>
        <w:rPr>
          <w:sz w:val="22"/>
          <w:szCs w:val="22"/>
          <w:lang w:val="el-GR"/>
        </w:rPr>
      </w:pPr>
    </w:p>
    <w:p w14:paraId="53367128" w14:textId="77777777" w:rsidR="00171824" w:rsidRDefault="006D258C">
      <w:pPr>
        <w:widowControl/>
        <w:kinsoku w:val="0"/>
        <w:overflowPunct w:val="0"/>
        <w:outlineLvl w:val="0"/>
        <w:rPr>
          <w:sz w:val="22"/>
          <w:szCs w:val="22"/>
          <w:lang w:val="el-GR"/>
        </w:rPr>
      </w:pPr>
      <w:r>
        <w:rPr>
          <w:b/>
          <w:bCs/>
          <w:sz w:val="22"/>
          <w:szCs w:val="22"/>
          <w:lang w:val="el-GR"/>
        </w:rPr>
        <w:t>Εμφάνιση του AMGEVITA και περιεχόμενα της συσκευασίας</w:t>
      </w:r>
    </w:p>
    <w:p w14:paraId="6A9FFA7F" w14:textId="77777777" w:rsidR="00171824" w:rsidRDefault="00171824">
      <w:pPr>
        <w:widowControl/>
        <w:kinsoku w:val="0"/>
        <w:overflowPunct w:val="0"/>
        <w:rPr>
          <w:sz w:val="22"/>
          <w:szCs w:val="22"/>
          <w:lang w:val="el-GR"/>
        </w:rPr>
      </w:pPr>
    </w:p>
    <w:p w14:paraId="1659DAB7" w14:textId="77777777" w:rsidR="00171824" w:rsidRDefault="006D258C">
      <w:pPr>
        <w:widowControl/>
        <w:kinsoku w:val="0"/>
        <w:overflowPunct w:val="0"/>
        <w:rPr>
          <w:sz w:val="22"/>
          <w:szCs w:val="22"/>
          <w:lang w:val="el-GR"/>
        </w:rPr>
      </w:pPr>
      <w:r>
        <w:rPr>
          <w:sz w:val="22"/>
          <w:szCs w:val="22"/>
          <w:lang w:val="el-GR"/>
        </w:rPr>
        <w:t>Το AMGEVITA</w:t>
      </w:r>
      <w:r>
        <w:rPr>
          <w:bCs/>
          <w:sz w:val="22"/>
          <w:szCs w:val="22"/>
          <w:lang w:val="el-GR"/>
        </w:rPr>
        <w:t xml:space="preserve"> </w:t>
      </w:r>
      <w:r>
        <w:rPr>
          <w:sz w:val="22"/>
          <w:szCs w:val="22"/>
          <w:lang w:val="el-GR"/>
        </w:rPr>
        <w:t>είναι ένα διαυγές και άχρωμο έως ελαφρώς κίτρινο διάλυμα.</w:t>
      </w:r>
    </w:p>
    <w:p w14:paraId="10286CA2" w14:textId="77777777" w:rsidR="00171824" w:rsidRDefault="00171824">
      <w:pPr>
        <w:widowControl/>
        <w:kinsoku w:val="0"/>
        <w:overflowPunct w:val="0"/>
        <w:rPr>
          <w:sz w:val="22"/>
          <w:szCs w:val="22"/>
          <w:lang w:val="el-GR"/>
        </w:rPr>
      </w:pPr>
    </w:p>
    <w:p w14:paraId="79DC47A2" w14:textId="77777777" w:rsidR="00171824" w:rsidRDefault="006D258C">
      <w:pPr>
        <w:widowControl/>
        <w:kinsoku w:val="0"/>
        <w:overflowPunct w:val="0"/>
        <w:rPr>
          <w:sz w:val="22"/>
          <w:szCs w:val="22"/>
          <w:lang w:val="el-GR"/>
        </w:rPr>
      </w:pPr>
      <w:r>
        <w:rPr>
          <w:sz w:val="22"/>
          <w:szCs w:val="22"/>
          <w:lang w:val="el-GR"/>
        </w:rPr>
        <w:t>Κάθε συσκευασία περιέχει 1, 2 ή 3 προγεμισμένες συσκευές τύπου πένας 80 mg μίας χρήσης SureClick.</w:t>
      </w:r>
    </w:p>
    <w:p w14:paraId="12B50851" w14:textId="77777777" w:rsidR="00171824" w:rsidRDefault="00171824">
      <w:pPr>
        <w:keepNext/>
        <w:widowControl/>
        <w:kinsoku w:val="0"/>
        <w:overflowPunct w:val="0"/>
        <w:rPr>
          <w:sz w:val="22"/>
          <w:szCs w:val="22"/>
          <w:lang w:val="el-GR"/>
        </w:rPr>
      </w:pPr>
    </w:p>
    <w:p w14:paraId="460CC5A5" w14:textId="77777777" w:rsidR="00171824" w:rsidRDefault="006D258C">
      <w:pPr>
        <w:keepNext/>
        <w:widowControl/>
        <w:kinsoku w:val="0"/>
        <w:overflowPunct w:val="0"/>
        <w:outlineLvl w:val="0"/>
        <w:rPr>
          <w:sz w:val="22"/>
          <w:szCs w:val="22"/>
          <w:lang w:val="el-GR"/>
        </w:rPr>
      </w:pPr>
      <w:r>
        <w:rPr>
          <w:b/>
          <w:bCs/>
          <w:sz w:val="22"/>
          <w:szCs w:val="22"/>
          <w:lang w:val="el-GR"/>
        </w:rPr>
        <w:t>Κάτοχος Άδειας Κυκλοφορίας και Παρασκευαστής</w:t>
      </w:r>
    </w:p>
    <w:p w14:paraId="730729F3" w14:textId="77777777" w:rsidR="00171824" w:rsidRDefault="006D258C">
      <w:pPr>
        <w:widowControl/>
        <w:tabs>
          <w:tab w:val="left" w:pos="567"/>
        </w:tabs>
        <w:autoSpaceDE/>
        <w:autoSpaceDN/>
        <w:adjustRightInd/>
        <w:rPr>
          <w:rFonts w:eastAsia="PMingLiU"/>
          <w:sz w:val="22"/>
          <w:szCs w:val="20"/>
          <w:lang w:val="el-GR"/>
        </w:rPr>
      </w:pPr>
      <w:r>
        <w:rPr>
          <w:rFonts w:eastAsia="PMingLiU"/>
          <w:sz w:val="22"/>
          <w:szCs w:val="20"/>
          <w:lang w:val="el-GR"/>
        </w:rPr>
        <w:t xml:space="preserve">Amgen Europe B.V. </w:t>
      </w:r>
      <w:r>
        <w:rPr>
          <w:rFonts w:eastAsia="PMingLiU"/>
          <w:sz w:val="22"/>
          <w:szCs w:val="20"/>
          <w:lang w:val="el-GR"/>
        </w:rPr>
        <w:br/>
        <w:t xml:space="preserve">Minervum 7061 </w:t>
      </w:r>
      <w:r>
        <w:rPr>
          <w:rFonts w:eastAsia="PMingLiU"/>
          <w:sz w:val="22"/>
          <w:szCs w:val="20"/>
          <w:lang w:val="el-GR"/>
        </w:rPr>
        <w:br/>
        <w:t xml:space="preserve">4817 ZK Breda </w:t>
      </w:r>
      <w:r>
        <w:rPr>
          <w:rFonts w:eastAsia="PMingLiU"/>
          <w:sz w:val="22"/>
          <w:szCs w:val="20"/>
          <w:lang w:val="el-GR"/>
        </w:rPr>
        <w:br/>
        <w:t>Ολλανδία</w:t>
      </w:r>
    </w:p>
    <w:p w14:paraId="74E13567" w14:textId="77777777" w:rsidR="00171824" w:rsidRDefault="00171824">
      <w:pPr>
        <w:widowControl/>
        <w:kinsoku w:val="0"/>
        <w:overflowPunct w:val="0"/>
        <w:rPr>
          <w:sz w:val="22"/>
          <w:szCs w:val="22"/>
          <w:lang w:val="el-GR"/>
        </w:rPr>
      </w:pPr>
    </w:p>
    <w:p w14:paraId="7ECAA06F" w14:textId="77777777" w:rsidR="00171824" w:rsidRDefault="006D258C">
      <w:pPr>
        <w:keepNext/>
        <w:keepLines/>
        <w:widowControl/>
        <w:tabs>
          <w:tab w:val="left" w:pos="567"/>
        </w:tabs>
        <w:autoSpaceDE/>
        <w:autoSpaceDN/>
        <w:adjustRightInd/>
        <w:rPr>
          <w:rFonts w:eastAsia="PMingLiU"/>
          <w:b/>
          <w:bCs/>
          <w:sz w:val="22"/>
          <w:szCs w:val="20"/>
          <w:highlight w:val="lightGray"/>
          <w:lang w:val="el-GR"/>
        </w:rPr>
      </w:pPr>
      <w:r>
        <w:rPr>
          <w:rFonts w:eastAsia="PMingLiU"/>
          <w:b/>
          <w:bCs/>
          <w:sz w:val="22"/>
          <w:szCs w:val="20"/>
          <w:highlight w:val="lightGray"/>
          <w:lang w:val="el-GR"/>
        </w:rPr>
        <w:t>Κάτοχος Άδειας Κυκλοφορίας</w:t>
      </w:r>
    </w:p>
    <w:p w14:paraId="3E79B171" w14:textId="77777777" w:rsidR="00171824" w:rsidRPr="00422380" w:rsidRDefault="006D258C">
      <w:pPr>
        <w:keepNext/>
        <w:keepLines/>
        <w:widowControl/>
        <w:tabs>
          <w:tab w:val="left" w:pos="567"/>
        </w:tabs>
        <w:autoSpaceDE/>
        <w:autoSpaceDN/>
        <w:adjustRightInd/>
        <w:rPr>
          <w:rFonts w:eastAsia="PMingLiU"/>
          <w:sz w:val="22"/>
          <w:szCs w:val="20"/>
          <w:highlight w:val="lightGray"/>
          <w:lang w:val="el-GR"/>
        </w:rPr>
      </w:pPr>
      <w:r w:rsidRPr="00422380">
        <w:rPr>
          <w:rFonts w:eastAsia="PMingLiU"/>
          <w:sz w:val="22"/>
          <w:szCs w:val="20"/>
          <w:highlight w:val="lightGray"/>
        </w:rPr>
        <w:t>Amgen</w:t>
      </w:r>
      <w:r w:rsidRPr="00422380">
        <w:rPr>
          <w:rFonts w:eastAsia="PMingLiU"/>
          <w:sz w:val="22"/>
          <w:szCs w:val="20"/>
          <w:highlight w:val="lightGray"/>
          <w:lang w:val="el-GR"/>
        </w:rPr>
        <w:t xml:space="preserve"> </w:t>
      </w:r>
      <w:r w:rsidRPr="00422380">
        <w:rPr>
          <w:rFonts w:eastAsia="PMingLiU"/>
          <w:sz w:val="22"/>
          <w:szCs w:val="20"/>
          <w:highlight w:val="lightGray"/>
        </w:rPr>
        <w:t>Europe</w:t>
      </w:r>
      <w:r w:rsidRPr="00422380">
        <w:rPr>
          <w:rFonts w:eastAsia="PMingLiU"/>
          <w:sz w:val="22"/>
          <w:szCs w:val="20"/>
          <w:highlight w:val="lightGray"/>
          <w:lang w:val="el-GR"/>
        </w:rPr>
        <w:t xml:space="preserve"> </w:t>
      </w:r>
      <w:r w:rsidRPr="00422380">
        <w:rPr>
          <w:rFonts w:eastAsia="PMingLiU"/>
          <w:sz w:val="22"/>
          <w:szCs w:val="20"/>
          <w:highlight w:val="lightGray"/>
        </w:rPr>
        <w:t>B</w:t>
      </w:r>
      <w:r w:rsidRPr="00422380">
        <w:rPr>
          <w:rFonts w:eastAsia="PMingLiU"/>
          <w:sz w:val="22"/>
          <w:szCs w:val="20"/>
          <w:highlight w:val="lightGray"/>
          <w:lang w:val="el-GR"/>
        </w:rPr>
        <w:t>.</w:t>
      </w:r>
      <w:r w:rsidRPr="00422380">
        <w:rPr>
          <w:rFonts w:eastAsia="PMingLiU"/>
          <w:sz w:val="22"/>
          <w:szCs w:val="20"/>
          <w:highlight w:val="lightGray"/>
        </w:rPr>
        <w:t>V</w:t>
      </w:r>
      <w:r w:rsidRPr="00422380">
        <w:rPr>
          <w:rFonts w:eastAsia="PMingLiU"/>
          <w:sz w:val="22"/>
          <w:szCs w:val="20"/>
          <w:highlight w:val="lightGray"/>
          <w:lang w:val="el-GR"/>
        </w:rPr>
        <w:t xml:space="preserve">. </w:t>
      </w:r>
      <w:r w:rsidRPr="00422380">
        <w:rPr>
          <w:rFonts w:eastAsia="PMingLiU"/>
          <w:sz w:val="22"/>
          <w:szCs w:val="20"/>
          <w:highlight w:val="lightGray"/>
          <w:lang w:val="el-GR"/>
        </w:rPr>
        <w:br/>
      </w:r>
      <w:r w:rsidRPr="00422380">
        <w:rPr>
          <w:rFonts w:eastAsia="PMingLiU"/>
          <w:sz w:val="22"/>
          <w:szCs w:val="20"/>
          <w:highlight w:val="lightGray"/>
        </w:rPr>
        <w:t>Minervum</w:t>
      </w:r>
      <w:r w:rsidRPr="00422380">
        <w:rPr>
          <w:rFonts w:eastAsia="PMingLiU"/>
          <w:sz w:val="22"/>
          <w:szCs w:val="20"/>
          <w:highlight w:val="lightGray"/>
          <w:lang w:val="el-GR"/>
        </w:rPr>
        <w:t xml:space="preserve"> 7061 </w:t>
      </w:r>
      <w:r w:rsidRPr="00422380">
        <w:rPr>
          <w:rFonts w:eastAsia="PMingLiU"/>
          <w:sz w:val="22"/>
          <w:szCs w:val="20"/>
          <w:highlight w:val="lightGray"/>
          <w:lang w:val="el-GR"/>
        </w:rPr>
        <w:br/>
        <w:t xml:space="preserve">4817 </w:t>
      </w:r>
      <w:r w:rsidRPr="00422380">
        <w:rPr>
          <w:rFonts w:eastAsia="PMingLiU"/>
          <w:sz w:val="22"/>
          <w:szCs w:val="20"/>
          <w:highlight w:val="lightGray"/>
        </w:rPr>
        <w:t>ZK</w:t>
      </w:r>
      <w:r w:rsidRPr="00422380">
        <w:rPr>
          <w:rFonts w:eastAsia="PMingLiU"/>
          <w:sz w:val="22"/>
          <w:szCs w:val="20"/>
          <w:highlight w:val="lightGray"/>
          <w:lang w:val="el-GR"/>
        </w:rPr>
        <w:t xml:space="preserve"> </w:t>
      </w:r>
      <w:r w:rsidRPr="00422380">
        <w:rPr>
          <w:rFonts w:eastAsia="PMingLiU"/>
          <w:sz w:val="22"/>
          <w:szCs w:val="20"/>
          <w:highlight w:val="lightGray"/>
        </w:rPr>
        <w:t>Breda</w:t>
      </w:r>
      <w:r w:rsidRPr="00422380">
        <w:rPr>
          <w:rFonts w:eastAsia="PMingLiU"/>
          <w:sz w:val="22"/>
          <w:szCs w:val="20"/>
          <w:highlight w:val="lightGray"/>
          <w:lang w:val="el-GR"/>
        </w:rPr>
        <w:t xml:space="preserve"> </w:t>
      </w:r>
      <w:r w:rsidRPr="00422380">
        <w:rPr>
          <w:rFonts w:eastAsia="PMingLiU"/>
          <w:sz w:val="22"/>
          <w:szCs w:val="20"/>
          <w:highlight w:val="lightGray"/>
          <w:lang w:val="el-GR"/>
        </w:rPr>
        <w:br/>
      </w:r>
      <w:r>
        <w:rPr>
          <w:rFonts w:eastAsia="PMingLiU"/>
          <w:sz w:val="22"/>
          <w:szCs w:val="20"/>
          <w:highlight w:val="lightGray"/>
          <w:lang w:val="el-GR"/>
        </w:rPr>
        <w:t>Ολλανδία</w:t>
      </w:r>
    </w:p>
    <w:p w14:paraId="5D992446" w14:textId="77777777" w:rsidR="00171824" w:rsidRPr="00422380" w:rsidRDefault="00171824">
      <w:pPr>
        <w:widowControl/>
        <w:tabs>
          <w:tab w:val="left" w:pos="567"/>
        </w:tabs>
        <w:autoSpaceDE/>
        <w:autoSpaceDN/>
        <w:adjustRightInd/>
        <w:rPr>
          <w:rFonts w:eastAsia="PMingLiU"/>
          <w:sz w:val="22"/>
          <w:szCs w:val="20"/>
          <w:highlight w:val="lightGray"/>
          <w:lang w:val="el-GR"/>
        </w:rPr>
      </w:pPr>
    </w:p>
    <w:p w14:paraId="571184AB" w14:textId="77777777" w:rsidR="00171824" w:rsidRDefault="006D258C">
      <w:pPr>
        <w:keepNext/>
        <w:widowControl/>
        <w:tabs>
          <w:tab w:val="left" w:pos="567"/>
        </w:tabs>
        <w:autoSpaceDE/>
        <w:autoSpaceDN/>
        <w:adjustRightInd/>
        <w:rPr>
          <w:rFonts w:eastAsia="PMingLiU"/>
          <w:b/>
          <w:sz w:val="22"/>
          <w:szCs w:val="20"/>
          <w:highlight w:val="lightGray"/>
        </w:rPr>
      </w:pPr>
      <w:r>
        <w:rPr>
          <w:rFonts w:eastAsia="PMingLiU"/>
          <w:b/>
          <w:sz w:val="22"/>
          <w:szCs w:val="20"/>
          <w:highlight w:val="lightGray"/>
          <w:lang w:val="el-GR"/>
        </w:rPr>
        <w:t>Παρασκευαστής</w:t>
      </w:r>
    </w:p>
    <w:p w14:paraId="561B7BE5" w14:textId="77777777" w:rsidR="00171824"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Amgen</w:t>
      </w:r>
      <w:r>
        <w:rPr>
          <w:rFonts w:eastAsia="PMingLiU"/>
          <w:sz w:val="22"/>
          <w:szCs w:val="20"/>
          <w:highlight w:val="lightGray"/>
        </w:rPr>
        <w:t xml:space="preserve"> </w:t>
      </w:r>
      <w:r w:rsidRPr="00422380">
        <w:rPr>
          <w:rFonts w:eastAsia="PMingLiU"/>
          <w:sz w:val="22"/>
          <w:szCs w:val="20"/>
          <w:highlight w:val="lightGray"/>
        </w:rPr>
        <w:t>Technology</w:t>
      </w:r>
      <w:r>
        <w:rPr>
          <w:rFonts w:eastAsia="PMingLiU"/>
          <w:sz w:val="22"/>
          <w:szCs w:val="20"/>
          <w:highlight w:val="lightGray"/>
        </w:rPr>
        <w:t xml:space="preserve"> </w:t>
      </w:r>
      <w:r w:rsidRPr="00422380">
        <w:rPr>
          <w:rFonts w:eastAsia="PMingLiU"/>
          <w:sz w:val="22"/>
          <w:szCs w:val="20"/>
          <w:highlight w:val="lightGray"/>
        </w:rPr>
        <w:t>Ireland</w:t>
      </w:r>
      <w:r>
        <w:rPr>
          <w:rFonts w:eastAsia="PMingLiU"/>
          <w:sz w:val="22"/>
          <w:szCs w:val="20"/>
          <w:highlight w:val="lightGray"/>
        </w:rPr>
        <w:t xml:space="preserve"> </w:t>
      </w:r>
      <w:r w:rsidRPr="00422380">
        <w:rPr>
          <w:rFonts w:eastAsia="PMingLiU"/>
          <w:sz w:val="22"/>
          <w:szCs w:val="20"/>
          <w:highlight w:val="lightGray"/>
        </w:rPr>
        <w:t>UC</w:t>
      </w:r>
      <w:r>
        <w:rPr>
          <w:rFonts w:eastAsia="PMingLiU"/>
          <w:sz w:val="22"/>
          <w:szCs w:val="20"/>
          <w:highlight w:val="lightGray"/>
        </w:rPr>
        <w:t xml:space="preserve"> </w:t>
      </w:r>
    </w:p>
    <w:p w14:paraId="776CEFFB" w14:textId="77777777" w:rsidR="00171824"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Pottery</w:t>
      </w:r>
      <w:r>
        <w:rPr>
          <w:rFonts w:eastAsia="PMingLiU"/>
          <w:sz w:val="22"/>
          <w:szCs w:val="20"/>
          <w:highlight w:val="lightGray"/>
        </w:rPr>
        <w:t xml:space="preserve"> </w:t>
      </w:r>
      <w:r w:rsidRPr="00422380">
        <w:rPr>
          <w:rFonts w:eastAsia="PMingLiU"/>
          <w:sz w:val="22"/>
          <w:szCs w:val="20"/>
          <w:highlight w:val="lightGray"/>
        </w:rPr>
        <w:t>Road</w:t>
      </w:r>
    </w:p>
    <w:p w14:paraId="293F70B0" w14:textId="77777777" w:rsidR="00171824"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Dun</w:t>
      </w:r>
      <w:r>
        <w:rPr>
          <w:rFonts w:eastAsia="PMingLiU"/>
          <w:sz w:val="22"/>
          <w:szCs w:val="20"/>
          <w:highlight w:val="lightGray"/>
        </w:rPr>
        <w:t xml:space="preserve"> </w:t>
      </w:r>
      <w:r w:rsidRPr="00422380">
        <w:rPr>
          <w:rFonts w:eastAsia="PMingLiU"/>
          <w:sz w:val="22"/>
          <w:szCs w:val="20"/>
          <w:highlight w:val="lightGray"/>
        </w:rPr>
        <w:t>Laoghaire</w:t>
      </w:r>
    </w:p>
    <w:p w14:paraId="01D2D733" w14:textId="77777777" w:rsidR="00171824" w:rsidRDefault="006D258C">
      <w:pPr>
        <w:keepNext/>
        <w:widowControl/>
        <w:tabs>
          <w:tab w:val="left" w:pos="567"/>
        </w:tabs>
        <w:autoSpaceDE/>
        <w:autoSpaceDN/>
        <w:adjustRightInd/>
        <w:rPr>
          <w:rFonts w:eastAsia="PMingLiU"/>
          <w:sz w:val="22"/>
          <w:szCs w:val="20"/>
          <w:highlight w:val="lightGray"/>
        </w:rPr>
      </w:pPr>
      <w:r w:rsidRPr="00422380">
        <w:rPr>
          <w:rFonts w:eastAsia="PMingLiU"/>
          <w:sz w:val="22"/>
          <w:szCs w:val="20"/>
          <w:highlight w:val="lightGray"/>
        </w:rPr>
        <w:t>Co</w:t>
      </w:r>
      <w:r>
        <w:rPr>
          <w:rFonts w:eastAsia="PMingLiU"/>
          <w:sz w:val="22"/>
          <w:szCs w:val="20"/>
          <w:highlight w:val="lightGray"/>
        </w:rPr>
        <w:t xml:space="preserve"> </w:t>
      </w:r>
      <w:r w:rsidRPr="00422380">
        <w:rPr>
          <w:rFonts w:eastAsia="PMingLiU"/>
          <w:sz w:val="22"/>
          <w:szCs w:val="20"/>
          <w:highlight w:val="lightGray"/>
        </w:rPr>
        <w:t>Dublin</w:t>
      </w:r>
    </w:p>
    <w:p w14:paraId="1096690A" w14:textId="77777777" w:rsidR="00171824" w:rsidRDefault="006D258C">
      <w:pPr>
        <w:widowControl/>
        <w:tabs>
          <w:tab w:val="left" w:pos="567"/>
        </w:tabs>
        <w:autoSpaceDE/>
        <w:autoSpaceDN/>
        <w:adjustRightInd/>
        <w:rPr>
          <w:rFonts w:eastAsia="PMingLiU"/>
          <w:sz w:val="22"/>
          <w:szCs w:val="20"/>
          <w:highlight w:val="lightGray"/>
        </w:rPr>
      </w:pPr>
      <w:r>
        <w:rPr>
          <w:rFonts w:eastAsia="PMingLiU"/>
          <w:sz w:val="22"/>
          <w:szCs w:val="20"/>
          <w:highlight w:val="lightGray"/>
          <w:lang w:val="el-GR"/>
        </w:rPr>
        <w:t>Ιρλανδία</w:t>
      </w:r>
    </w:p>
    <w:p w14:paraId="7548703C" w14:textId="77777777" w:rsidR="00171824" w:rsidRPr="00B72AB5" w:rsidRDefault="00171824">
      <w:pPr>
        <w:widowControl/>
        <w:kinsoku w:val="0"/>
        <w:overflowPunct w:val="0"/>
        <w:rPr>
          <w:sz w:val="22"/>
          <w:szCs w:val="22"/>
        </w:rPr>
      </w:pPr>
    </w:p>
    <w:p w14:paraId="7706A933" w14:textId="77777777" w:rsidR="00171824" w:rsidRDefault="006D258C">
      <w:pPr>
        <w:widowControl/>
        <w:tabs>
          <w:tab w:val="left" w:pos="567"/>
        </w:tabs>
        <w:autoSpaceDE/>
        <w:autoSpaceDN/>
        <w:adjustRightInd/>
        <w:rPr>
          <w:rFonts w:eastAsia="PMingLiU"/>
          <w:b/>
          <w:sz w:val="22"/>
          <w:szCs w:val="20"/>
          <w:highlight w:val="lightGray"/>
        </w:rPr>
      </w:pPr>
      <w:r>
        <w:rPr>
          <w:rFonts w:eastAsia="PMingLiU"/>
          <w:b/>
          <w:sz w:val="22"/>
          <w:szCs w:val="20"/>
          <w:highlight w:val="lightGray"/>
          <w:lang w:val="el-GR"/>
        </w:rPr>
        <w:t>Παρασκευαστής</w:t>
      </w:r>
    </w:p>
    <w:p w14:paraId="55961006" w14:textId="77777777" w:rsidR="00171824" w:rsidRPr="00422380" w:rsidRDefault="006D258C">
      <w:pPr>
        <w:rPr>
          <w:sz w:val="22"/>
          <w:szCs w:val="22"/>
          <w:highlight w:val="lightGray"/>
          <w:lang w:val="el-GR" w:eastAsia="ja-JP"/>
        </w:rPr>
      </w:pPr>
      <w:r w:rsidRPr="00422380">
        <w:rPr>
          <w:sz w:val="22"/>
          <w:szCs w:val="22"/>
          <w:highlight w:val="lightGray"/>
          <w:lang w:eastAsia="ja-JP"/>
        </w:rPr>
        <w:t>Amgen</w:t>
      </w:r>
      <w:r w:rsidRPr="00422380">
        <w:rPr>
          <w:sz w:val="22"/>
          <w:szCs w:val="22"/>
          <w:highlight w:val="lightGray"/>
          <w:lang w:val="el-GR" w:eastAsia="ja-JP"/>
        </w:rPr>
        <w:t xml:space="preserve"> </w:t>
      </w:r>
      <w:r w:rsidRPr="00422380">
        <w:rPr>
          <w:sz w:val="22"/>
          <w:szCs w:val="22"/>
          <w:highlight w:val="lightGray"/>
          <w:lang w:eastAsia="ja-JP"/>
        </w:rPr>
        <w:t>NV</w:t>
      </w:r>
    </w:p>
    <w:p w14:paraId="78F191D0" w14:textId="77777777" w:rsidR="00171824" w:rsidRDefault="006D258C">
      <w:pPr>
        <w:rPr>
          <w:sz w:val="22"/>
          <w:szCs w:val="22"/>
          <w:highlight w:val="lightGray"/>
          <w:lang w:val="el-GR" w:eastAsia="ja-JP"/>
        </w:rPr>
      </w:pPr>
      <w:r>
        <w:rPr>
          <w:sz w:val="22"/>
          <w:szCs w:val="22"/>
          <w:highlight w:val="lightGray"/>
          <w:lang w:val="el-GR" w:eastAsia="ja-JP"/>
        </w:rPr>
        <w:t>Telecomlaan 5-7</w:t>
      </w:r>
    </w:p>
    <w:p w14:paraId="6673DE62" w14:textId="77777777" w:rsidR="00171824" w:rsidRDefault="006D258C">
      <w:pPr>
        <w:rPr>
          <w:sz w:val="22"/>
          <w:szCs w:val="22"/>
          <w:highlight w:val="lightGray"/>
          <w:lang w:val="el-GR" w:eastAsia="ja-JP"/>
        </w:rPr>
      </w:pPr>
      <w:r>
        <w:rPr>
          <w:sz w:val="22"/>
          <w:szCs w:val="22"/>
          <w:highlight w:val="lightGray"/>
          <w:lang w:val="el-GR" w:eastAsia="ja-JP"/>
        </w:rPr>
        <w:t>1831 Diegem</w:t>
      </w:r>
    </w:p>
    <w:p w14:paraId="06273F54" w14:textId="77777777" w:rsidR="00171824" w:rsidRDefault="006D258C">
      <w:pPr>
        <w:rPr>
          <w:sz w:val="22"/>
          <w:szCs w:val="22"/>
          <w:highlight w:val="lightGray"/>
          <w:lang w:val="el-GR" w:eastAsia="ja-JP"/>
        </w:rPr>
      </w:pPr>
      <w:r>
        <w:rPr>
          <w:sz w:val="22"/>
          <w:szCs w:val="22"/>
          <w:highlight w:val="lightGray"/>
          <w:lang w:val="el-GR" w:eastAsia="ja-JP"/>
        </w:rPr>
        <w:t>Βέλγιο</w:t>
      </w:r>
    </w:p>
    <w:p w14:paraId="2AB5384F" w14:textId="77777777" w:rsidR="00171824" w:rsidRDefault="00171824">
      <w:pPr>
        <w:widowControl/>
        <w:kinsoku w:val="0"/>
        <w:overflowPunct w:val="0"/>
        <w:rPr>
          <w:sz w:val="22"/>
          <w:szCs w:val="22"/>
          <w:lang w:val="el-GR"/>
        </w:rPr>
      </w:pPr>
    </w:p>
    <w:p w14:paraId="053DEA6C" w14:textId="77777777" w:rsidR="00171824" w:rsidRDefault="006D258C">
      <w:pPr>
        <w:keepNext/>
        <w:widowControl/>
        <w:kinsoku w:val="0"/>
        <w:overflowPunct w:val="0"/>
        <w:rPr>
          <w:sz w:val="22"/>
          <w:szCs w:val="22"/>
          <w:lang w:val="el-GR"/>
        </w:rPr>
      </w:pPr>
      <w:r>
        <w:rPr>
          <w:sz w:val="22"/>
          <w:szCs w:val="22"/>
          <w:lang w:val="el-GR"/>
        </w:rPr>
        <w:lastRenderedPageBreak/>
        <w:t>Για οποιαδήποτε πληροφορία σχετικά με το παρόν φαρμακευτικό προϊόν, παρακαλείστε να απευθυνθείτε στον τοπικό αντιπρόσωπο του Κατόχου της Άδειας Κυκλοφορίας:</w:t>
      </w:r>
    </w:p>
    <w:p w14:paraId="3356DBCB" w14:textId="77777777" w:rsidR="00171824" w:rsidRDefault="00171824">
      <w:pPr>
        <w:keepNext/>
        <w:widowControl/>
        <w:kinsoku w:val="0"/>
        <w:overflowPunct w:val="0"/>
        <w:rPr>
          <w:sz w:val="22"/>
          <w:szCs w:val="22"/>
          <w:lang w:val="el-GR"/>
        </w:rPr>
      </w:pPr>
    </w:p>
    <w:tbl>
      <w:tblPr>
        <w:tblW w:w="9356" w:type="dxa"/>
        <w:tblLook w:val="04A0" w:firstRow="1" w:lastRow="0" w:firstColumn="1" w:lastColumn="0" w:noHBand="0" w:noVBand="1"/>
      </w:tblPr>
      <w:tblGrid>
        <w:gridCol w:w="4677"/>
        <w:gridCol w:w="4679"/>
      </w:tblGrid>
      <w:tr w:rsidR="00171824" w14:paraId="11D014FE" w14:textId="77777777">
        <w:trPr>
          <w:cantSplit/>
        </w:trPr>
        <w:tc>
          <w:tcPr>
            <w:tcW w:w="4677" w:type="dxa"/>
          </w:tcPr>
          <w:p w14:paraId="263ADB2E"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b/>
                <w:sz w:val="22"/>
                <w:szCs w:val="22"/>
                <w:lang w:val="fr-FR"/>
              </w:rPr>
              <w:t>België/Belgique/Belgien</w:t>
            </w:r>
          </w:p>
          <w:p w14:paraId="3AF744C9"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s.a. Amgen n.v.</w:t>
            </w:r>
          </w:p>
          <w:p w14:paraId="3B169B07"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Tél/Tel: +32 (0)2 7752711</w:t>
            </w:r>
          </w:p>
          <w:p w14:paraId="6D46245F"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6EE3FA2" w14:textId="77777777" w:rsidR="00171824" w:rsidRPr="00422380" w:rsidRDefault="006D258C">
            <w:pPr>
              <w:widowControl/>
              <w:tabs>
                <w:tab w:val="left" w:pos="567"/>
              </w:tabs>
              <w:autoSpaceDE/>
              <w:autoSpaceDN/>
              <w:adjustRightInd/>
              <w:rPr>
                <w:rFonts w:eastAsia="PMingLiU"/>
                <w:b/>
                <w:sz w:val="22"/>
                <w:szCs w:val="22"/>
                <w:lang w:val="el-GR"/>
              </w:rPr>
            </w:pPr>
            <w:r w:rsidRPr="00422380">
              <w:rPr>
                <w:rFonts w:eastAsia="PMingLiU"/>
                <w:b/>
                <w:sz w:val="22"/>
                <w:szCs w:val="22"/>
              </w:rPr>
              <w:t>Lietuva</w:t>
            </w:r>
          </w:p>
          <w:p w14:paraId="6D0BEBB6" w14:textId="77777777" w:rsidR="00171824" w:rsidRPr="00422380" w:rsidRDefault="006D258C">
            <w:pPr>
              <w:widowControl/>
              <w:tabs>
                <w:tab w:val="left" w:pos="567"/>
              </w:tabs>
              <w:autoSpaceDE/>
              <w:autoSpaceDN/>
              <w:adjustRightInd/>
              <w:rPr>
                <w:rFonts w:eastAsia="PMingLiU"/>
                <w:bCs/>
                <w:sz w:val="22"/>
                <w:szCs w:val="22"/>
                <w:lang w:val="el-GR"/>
              </w:rPr>
            </w:pPr>
            <w:r w:rsidRPr="00422380">
              <w:rPr>
                <w:rFonts w:eastAsia="PMingLiU"/>
                <w:sz w:val="22"/>
                <w:szCs w:val="22"/>
              </w:rPr>
              <w:t>Amgen</w:t>
            </w:r>
            <w:r w:rsidRPr="00422380">
              <w:rPr>
                <w:rFonts w:eastAsia="PMingLiU"/>
                <w:sz w:val="22"/>
                <w:szCs w:val="22"/>
                <w:lang w:val="el-GR"/>
              </w:rPr>
              <w:t xml:space="preserve"> </w:t>
            </w:r>
            <w:r w:rsidRPr="00422380">
              <w:rPr>
                <w:rFonts w:eastAsia="PMingLiU"/>
                <w:sz w:val="22"/>
                <w:szCs w:val="22"/>
              </w:rPr>
              <w:t>Switzerland</w:t>
            </w:r>
            <w:r w:rsidRPr="00422380">
              <w:rPr>
                <w:rFonts w:eastAsia="PMingLiU"/>
                <w:sz w:val="22"/>
                <w:szCs w:val="22"/>
                <w:lang w:val="el-GR"/>
              </w:rPr>
              <w:t xml:space="preserve"> </w:t>
            </w:r>
            <w:r w:rsidRPr="00422380">
              <w:rPr>
                <w:rFonts w:eastAsia="PMingLiU"/>
                <w:sz w:val="22"/>
                <w:szCs w:val="22"/>
              </w:rPr>
              <w:t>AG</w:t>
            </w:r>
            <w:r w:rsidRPr="00422380">
              <w:rPr>
                <w:rFonts w:eastAsia="PMingLiU"/>
                <w:sz w:val="22"/>
                <w:szCs w:val="22"/>
                <w:lang w:val="el-GR"/>
              </w:rPr>
              <w:t xml:space="preserve"> </w:t>
            </w:r>
            <w:r w:rsidRPr="00422380">
              <w:rPr>
                <w:rFonts w:eastAsia="PMingLiU"/>
                <w:sz w:val="22"/>
                <w:szCs w:val="22"/>
              </w:rPr>
              <w:t>Vilniaus</w:t>
            </w:r>
            <w:r w:rsidRPr="00422380">
              <w:rPr>
                <w:rFonts w:eastAsia="PMingLiU"/>
                <w:sz w:val="22"/>
                <w:szCs w:val="22"/>
                <w:lang w:val="el-GR"/>
              </w:rPr>
              <w:t xml:space="preserve"> </w:t>
            </w:r>
            <w:r w:rsidRPr="00422380">
              <w:rPr>
                <w:rFonts w:eastAsia="PMingLiU"/>
                <w:sz w:val="22"/>
                <w:szCs w:val="22"/>
              </w:rPr>
              <w:t>filialas</w:t>
            </w:r>
          </w:p>
          <w:p w14:paraId="7D5E985A"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w:t>
            </w:r>
            <w:del w:id="321" w:author="Author">
              <w:r>
                <w:rPr>
                  <w:rFonts w:eastAsia="PMingLiU"/>
                  <w:bCs/>
                  <w:sz w:val="22"/>
                  <w:szCs w:val="22"/>
                  <w:lang w:val="el-GR"/>
                </w:rPr>
                <w:delText xml:space="preserve">: </w:delText>
              </w:r>
            </w:del>
            <w:ins w:id="322" w:author="Author">
              <w:r>
                <w:rPr>
                  <w:rFonts w:eastAsia="PMingLiU"/>
                  <w:bCs/>
                  <w:sz w:val="22"/>
                  <w:szCs w:val="22"/>
                  <w:lang w:val="el-GR"/>
                </w:rPr>
                <w:t xml:space="preserve">. </w:t>
              </w:r>
            </w:ins>
            <w:r>
              <w:rPr>
                <w:rFonts w:eastAsia="PMingLiU"/>
                <w:bCs/>
                <w:sz w:val="22"/>
                <w:szCs w:val="22"/>
                <w:lang w:val="el-GR"/>
              </w:rPr>
              <w:t>+370 5 219 7474</w:t>
            </w:r>
          </w:p>
          <w:p w14:paraId="3107C2FC" w14:textId="77777777" w:rsidR="00171824" w:rsidRDefault="00171824">
            <w:pPr>
              <w:widowControl/>
              <w:tabs>
                <w:tab w:val="left" w:pos="567"/>
              </w:tabs>
              <w:autoSpaceDE/>
              <w:autoSpaceDN/>
              <w:adjustRightInd/>
              <w:rPr>
                <w:rFonts w:eastAsia="PMingLiU"/>
                <w:sz w:val="22"/>
                <w:szCs w:val="22"/>
                <w:lang w:val="el-GR"/>
              </w:rPr>
            </w:pPr>
          </w:p>
        </w:tc>
      </w:tr>
      <w:tr w:rsidR="00171824" w:rsidRPr="00AA11B3" w14:paraId="443D3F8A" w14:textId="77777777">
        <w:trPr>
          <w:cantSplit/>
        </w:trPr>
        <w:tc>
          <w:tcPr>
            <w:tcW w:w="4677" w:type="dxa"/>
          </w:tcPr>
          <w:p w14:paraId="76C206C6" w14:textId="77777777" w:rsidR="00171824" w:rsidRPr="00422380" w:rsidRDefault="006D258C">
            <w:pPr>
              <w:widowControl/>
              <w:tabs>
                <w:tab w:val="left" w:pos="567"/>
              </w:tabs>
              <w:rPr>
                <w:rFonts w:eastAsia="PMingLiU"/>
                <w:b/>
                <w:sz w:val="22"/>
                <w:szCs w:val="22"/>
                <w:lang w:val="ru-RU"/>
              </w:rPr>
            </w:pPr>
            <w:r>
              <w:rPr>
                <w:rFonts w:eastAsia="PMingLiU"/>
                <w:b/>
                <w:sz w:val="22"/>
                <w:szCs w:val="22"/>
                <w:lang w:val="ru-RU"/>
              </w:rPr>
              <w:t>България</w:t>
            </w:r>
          </w:p>
          <w:p w14:paraId="0C8AC41B" w14:textId="77777777" w:rsidR="00171824" w:rsidRPr="00422380" w:rsidRDefault="006D258C">
            <w:pPr>
              <w:widowControl/>
              <w:tabs>
                <w:tab w:val="left" w:pos="567"/>
              </w:tabs>
              <w:autoSpaceDE/>
              <w:autoSpaceDN/>
              <w:adjustRightInd/>
              <w:rPr>
                <w:rFonts w:eastAsia="PMingLiU"/>
                <w:sz w:val="22"/>
                <w:szCs w:val="22"/>
                <w:lang w:val="ru-RU"/>
              </w:rPr>
            </w:pPr>
            <w:r>
              <w:rPr>
                <w:rFonts w:eastAsia="Arial Unicode MS"/>
                <w:sz w:val="22"/>
                <w:szCs w:val="22"/>
                <w:lang w:val="ru-RU" w:eastAsia="en-GB"/>
              </w:rPr>
              <w:t>Амджен</w:t>
            </w:r>
            <w:r w:rsidRPr="00422380">
              <w:rPr>
                <w:rFonts w:eastAsia="Arial Unicode MS"/>
                <w:sz w:val="22"/>
                <w:szCs w:val="22"/>
                <w:lang w:val="ru-RU" w:eastAsia="en-GB"/>
              </w:rPr>
              <w:t xml:space="preserve"> </w:t>
            </w:r>
            <w:r>
              <w:rPr>
                <w:rFonts w:eastAsia="Arial Unicode MS"/>
                <w:sz w:val="22"/>
                <w:szCs w:val="22"/>
                <w:lang w:val="ru-RU" w:eastAsia="en-GB"/>
              </w:rPr>
              <w:t>България</w:t>
            </w:r>
            <w:r w:rsidRPr="00422380">
              <w:rPr>
                <w:rFonts w:eastAsia="PMingLiU"/>
                <w:sz w:val="22"/>
                <w:szCs w:val="22"/>
                <w:lang w:val="ru-RU"/>
              </w:rPr>
              <w:t xml:space="preserve"> </w:t>
            </w:r>
            <w:r>
              <w:rPr>
                <w:rFonts w:eastAsia="PMingLiU"/>
                <w:sz w:val="22"/>
                <w:szCs w:val="22"/>
                <w:lang w:val="ru-RU"/>
              </w:rPr>
              <w:t>ЕООД</w:t>
            </w:r>
          </w:p>
          <w:p w14:paraId="4292021F" w14:textId="77777777" w:rsidR="00171824" w:rsidRPr="00422380" w:rsidRDefault="006D258C">
            <w:pPr>
              <w:widowControl/>
              <w:tabs>
                <w:tab w:val="left" w:pos="567"/>
              </w:tabs>
              <w:autoSpaceDE/>
              <w:autoSpaceDN/>
              <w:adjustRightInd/>
              <w:rPr>
                <w:rFonts w:eastAsia="Arial Unicode MS"/>
                <w:bCs/>
                <w:sz w:val="22"/>
                <w:szCs w:val="22"/>
                <w:lang w:val="ru-RU"/>
              </w:rPr>
            </w:pPr>
            <w:r>
              <w:rPr>
                <w:rFonts w:eastAsia="PMingLiU"/>
                <w:sz w:val="22"/>
                <w:szCs w:val="22"/>
                <w:lang w:val="ru-RU"/>
              </w:rPr>
              <w:t>Тел</w:t>
            </w:r>
            <w:r w:rsidRPr="00422380">
              <w:rPr>
                <w:rFonts w:eastAsia="Arial Unicode MS"/>
                <w:sz w:val="22"/>
                <w:szCs w:val="22"/>
                <w:lang w:val="ru-RU" w:eastAsia="en-GB"/>
              </w:rPr>
              <w:t>.: +</w:t>
            </w:r>
            <w:r w:rsidRPr="00422380">
              <w:rPr>
                <w:rFonts w:eastAsia="PMingLiU"/>
                <w:sz w:val="22"/>
                <w:szCs w:val="22"/>
                <w:lang w:val="ru-RU"/>
              </w:rPr>
              <w:t xml:space="preserve">359 </w:t>
            </w:r>
            <w:r w:rsidRPr="00422380">
              <w:rPr>
                <w:rFonts w:eastAsia="Arial Unicode MS"/>
                <w:bCs/>
                <w:sz w:val="22"/>
                <w:szCs w:val="22"/>
                <w:lang w:val="ru-RU"/>
              </w:rPr>
              <w:t>(0)</w:t>
            </w:r>
            <w:r w:rsidRPr="00422380">
              <w:rPr>
                <w:rFonts w:eastAsia="PMingLiU"/>
                <w:sz w:val="22"/>
                <w:szCs w:val="22"/>
                <w:lang w:val="ru-RU"/>
              </w:rPr>
              <w:t>2</w:t>
            </w:r>
            <w:r w:rsidRPr="00422380">
              <w:rPr>
                <w:rFonts w:eastAsia="Arial Unicode MS"/>
                <w:bCs/>
                <w:sz w:val="22"/>
                <w:szCs w:val="22"/>
              </w:rPr>
              <w:t> </w:t>
            </w:r>
            <w:r w:rsidRPr="00422380">
              <w:rPr>
                <w:rFonts w:eastAsia="Arial Unicode MS"/>
                <w:bCs/>
                <w:sz w:val="22"/>
                <w:szCs w:val="22"/>
                <w:lang w:val="ru-RU"/>
              </w:rPr>
              <w:t>424 7440</w:t>
            </w:r>
          </w:p>
          <w:p w14:paraId="76682F95" w14:textId="77777777" w:rsidR="00171824" w:rsidRPr="00422380" w:rsidRDefault="00171824">
            <w:pPr>
              <w:widowControl/>
              <w:tabs>
                <w:tab w:val="left" w:pos="567"/>
              </w:tabs>
              <w:autoSpaceDE/>
              <w:autoSpaceDN/>
              <w:adjustRightInd/>
              <w:rPr>
                <w:rFonts w:eastAsia="PMingLiU"/>
                <w:sz w:val="22"/>
                <w:szCs w:val="22"/>
                <w:lang w:val="ru-RU"/>
              </w:rPr>
            </w:pPr>
          </w:p>
        </w:tc>
        <w:tc>
          <w:tcPr>
            <w:tcW w:w="4679" w:type="dxa"/>
          </w:tcPr>
          <w:p w14:paraId="15F65C8B"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b/>
                <w:sz w:val="22"/>
                <w:szCs w:val="22"/>
                <w:lang w:val="de-DE"/>
              </w:rPr>
              <w:t>Luxembourg/Luxemburg</w:t>
            </w:r>
          </w:p>
          <w:p w14:paraId="27490C40"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 xml:space="preserve">s.a. Amgen </w:t>
            </w:r>
          </w:p>
          <w:p w14:paraId="3867BF3A" w14:textId="77777777" w:rsidR="00171824" w:rsidRPr="00422380" w:rsidRDefault="006D258C">
            <w:pPr>
              <w:widowControl/>
              <w:tabs>
                <w:tab w:val="left" w:pos="567"/>
              </w:tabs>
              <w:autoSpaceDE/>
              <w:autoSpaceDN/>
              <w:adjustRightInd/>
              <w:rPr>
                <w:rFonts w:eastAsia="PMingLiU"/>
                <w:sz w:val="22"/>
                <w:szCs w:val="22"/>
                <w:lang w:val="de-DE"/>
              </w:rPr>
            </w:pPr>
            <w:r w:rsidRPr="00422380">
              <w:rPr>
                <w:rFonts w:eastAsia="PMingLiU"/>
                <w:sz w:val="22"/>
                <w:szCs w:val="22"/>
                <w:lang w:val="de-DE"/>
              </w:rPr>
              <w:t>Belgique/Belgien</w:t>
            </w:r>
          </w:p>
          <w:p w14:paraId="7F1FF4F3" w14:textId="77777777" w:rsidR="00171824" w:rsidRPr="00422380" w:rsidRDefault="006D258C">
            <w:pPr>
              <w:widowControl/>
              <w:tabs>
                <w:tab w:val="left" w:pos="567"/>
              </w:tabs>
              <w:autoSpaceDE/>
              <w:autoSpaceDN/>
              <w:adjustRightInd/>
              <w:rPr>
                <w:rFonts w:eastAsia="PMingLiU"/>
                <w:sz w:val="22"/>
                <w:szCs w:val="22"/>
                <w:lang w:val="fr-FR"/>
              </w:rPr>
            </w:pPr>
            <w:r w:rsidRPr="00422380">
              <w:rPr>
                <w:rFonts w:eastAsia="PMingLiU"/>
                <w:sz w:val="22"/>
                <w:szCs w:val="22"/>
                <w:lang w:val="fr-FR"/>
              </w:rPr>
              <w:t>Tél/Tel: +32 (0)2 7752711</w:t>
            </w:r>
          </w:p>
          <w:p w14:paraId="0805092A" w14:textId="77777777" w:rsidR="00171824" w:rsidRPr="00422380" w:rsidRDefault="00171824">
            <w:pPr>
              <w:widowControl/>
              <w:tabs>
                <w:tab w:val="left" w:pos="567"/>
              </w:tabs>
              <w:autoSpaceDE/>
              <w:autoSpaceDN/>
              <w:adjustRightInd/>
              <w:rPr>
                <w:rFonts w:eastAsia="PMingLiU"/>
                <w:sz w:val="22"/>
                <w:szCs w:val="22"/>
                <w:lang w:val="fr-FR"/>
              </w:rPr>
            </w:pPr>
          </w:p>
        </w:tc>
      </w:tr>
      <w:tr w:rsidR="00171824" w14:paraId="18A05D49" w14:textId="77777777">
        <w:trPr>
          <w:cantSplit/>
        </w:trPr>
        <w:tc>
          <w:tcPr>
            <w:tcW w:w="4677" w:type="dxa"/>
          </w:tcPr>
          <w:p w14:paraId="7CBB5C35" w14:textId="77777777" w:rsidR="00171824" w:rsidRPr="00422380" w:rsidRDefault="006D258C">
            <w:pPr>
              <w:keepNext/>
              <w:widowControl/>
              <w:tabs>
                <w:tab w:val="left" w:pos="567"/>
              </w:tabs>
              <w:autoSpaceDE/>
              <w:autoSpaceDN/>
              <w:adjustRightInd/>
              <w:rPr>
                <w:rFonts w:eastAsia="PMingLiU"/>
                <w:b/>
                <w:sz w:val="22"/>
                <w:szCs w:val="22"/>
                <w:lang w:val="sv-SE"/>
              </w:rPr>
            </w:pPr>
            <w:r w:rsidRPr="00422380">
              <w:rPr>
                <w:rFonts w:eastAsia="PMingLiU"/>
                <w:b/>
                <w:sz w:val="22"/>
                <w:szCs w:val="22"/>
                <w:lang w:val="sv-SE"/>
              </w:rPr>
              <w:t>Česká republika</w:t>
            </w:r>
          </w:p>
          <w:p w14:paraId="3ACD5D9B" w14:textId="77777777" w:rsidR="00171824" w:rsidRPr="00422380" w:rsidRDefault="006D258C">
            <w:pPr>
              <w:keepNext/>
              <w:widowControl/>
              <w:tabs>
                <w:tab w:val="left" w:pos="567"/>
              </w:tabs>
              <w:autoSpaceDE/>
              <w:autoSpaceDN/>
              <w:adjustRightInd/>
              <w:rPr>
                <w:rFonts w:eastAsia="PMingLiU"/>
                <w:sz w:val="22"/>
                <w:szCs w:val="22"/>
                <w:lang w:val="sv-SE"/>
              </w:rPr>
            </w:pPr>
            <w:r w:rsidRPr="00422380">
              <w:rPr>
                <w:rFonts w:eastAsia="PMingLiU"/>
                <w:bCs/>
                <w:sz w:val="22"/>
                <w:szCs w:val="22"/>
                <w:lang w:val="sv-SE"/>
              </w:rPr>
              <w:t>Amgen</w:t>
            </w:r>
            <w:r w:rsidRPr="00422380">
              <w:rPr>
                <w:rFonts w:eastAsia="PMingLiU"/>
                <w:sz w:val="22"/>
                <w:szCs w:val="22"/>
                <w:lang w:val="sv-SE"/>
              </w:rPr>
              <w:t xml:space="preserve"> s.r.o.</w:t>
            </w:r>
          </w:p>
          <w:p w14:paraId="738CE2FD"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+420 </w:t>
            </w:r>
            <w:r>
              <w:rPr>
                <w:rFonts w:eastAsia="PMingLiU"/>
                <w:bCs/>
                <w:sz w:val="22"/>
                <w:szCs w:val="22"/>
                <w:lang w:val="el-GR"/>
              </w:rPr>
              <w:t>221 773 500</w:t>
            </w:r>
          </w:p>
          <w:p w14:paraId="7EED0263"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6581812E"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Magyarország</w:t>
            </w:r>
          </w:p>
          <w:p w14:paraId="3445AD3C" w14:textId="77777777" w:rsidR="00171824" w:rsidRDefault="006D258C">
            <w:pPr>
              <w:widowControl/>
              <w:tabs>
                <w:tab w:val="left" w:pos="567"/>
              </w:tabs>
              <w:autoSpaceDE/>
              <w:autoSpaceDN/>
              <w:adjustRightInd/>
              <w:rPr>
                <w:rFonts w:eastAsia="PMingLiU"/>
                <w:sz w:val="22"/>
                <w:szCs w:val="22"/>
                <w:lang w:val="el-GR"/>
              </w:rPr>
            </w:pPr>
            <w:r>
              <w:rPr>
                <w:rFonts w:eastAsia="PMingLiU"/>
                <w:bCs/>
                <w:sz w:val="22"/>
                <w:szCs w:val="22"/>
                <w:lang w:val="el-GR"/>
              </w:rPr>
              <w:t>Amgen</w:t>
            </w:r>
            <w:r>
              <w:rPr>
                <w:rFonts w:eastAsia="PMingLiU"/>
                <w:sz w:val="22"/>
                <w:szCs w:val="22"/>
                <w:lang w:val="el-GR"/>
              </w:rPr>
              <w:t xml:space="preserve"> Kft.</w:t>
            </w:r>
          </w:p>
          <w:p w14:paraId="7013A35F"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Tel</w:t>
            </w:r>
            <w:r>
              <w:rPr>
                <w:rFonts w:eastAsia="PMingLiU"/>
                <w:bCs/>
                <w:sz w:val="22"/>
                <w:szCs w:val="22"/>
                <w:lang w:val="el-GR"/>
              </w:rPr>
              <w:t>.: +</w:t>
            </w:r>
            <w:r>
              <w:rPr>
                <w:rFonts w:eastAsia="PMingLiU"/>
                <w:sz w:val="22"/>
                <w:szCs w:val="22"/>
                <w:lang w:val="el-GR"/>
              </w:rPr>
              <w:t xml:space="preserve">36 1 </w:t>
            </w:r>
            <w:r>
              <w:rPr>
                <w:rFonts w:eastAsia="PMingLiU"/>
                <w:bCs/>
                <w:sz w:val="22"/>
                <w:szCs w:val="22"/>
                <w:lang w:val="el-GR"/>
              </w:rPr>
              <w:t>35 44 700</w:t>
            </w:r>
          </w:p>
          <w:p w14:paraId="3C6F65C7" w14:textId="77777777" w:rsidR="00171824" w:rsidRDefault="00171824">
            <w:pPr>
              <w:widowControl/>
              <w:tabs>
                <w:tab w:val="left" w:pos="567"/>
              </w:tabs>
              <w:autoSpaceDE/>
              <w:autoSpaceDN/>
              <w:adjustRightInd/>
              <w:rPr>
                <w:rFonts w:eastAsia="PMingLiU"/>
                <w:sz w:val="22"/>
                <w:szCs w:val="22"/>
                <w:lang w:val="el-GR"/>
              </w:rPr>
            </w:pPr>
          </w:p>
        </w:tc>
      </w:tr>
      <w:tr w:rsidR="00171824" w14:paraId="5FCDB8C6" w14:textId="77777777">
        <w:trPr>
          <w:cantSplit/>
        </w:trPr>
        <w:tc>
          <w:tcPr>
            <w:tcW w:w="4677" w:type="dxa"/>
          </w:tcPr>
          <w:p w14:paraId="5B2772C3"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Danmark</w:t>
            </w:r>
          </w:p>
          <w:p w14:paraId="136A9A5A"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filial af Amgen AB, Sverige</w:t>
            </w:r>
          </w:p>
          <w:p w14:paraId="7BB03DA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w:t>
            </w:r>
            <w:ins w:id="323" w:author="Author">
              <w:r>
                <w:rPr>
                  <w:rFonts w:eastAsia="PMingLiU"/>
                  <w:sz w:val="22"/>
                  <w:szCs w:val="22"/>
                  <w:lang w:val="el-GR"/>
                </w:rPr>
                <w:t>.</w:t>
              </w:r>
            </w:ins>
            <w:r>
              <w:rPr>
                <w:rFonts w:eastAsia="PMingLiU"/>
                <w:sz w:val="22"/>
                <w:szCs w:val="22"/>
                <w:lang w:val="el-GR"/>
              </w:rPr>
              <w:t>: +45 39617500</w:t>
            </w:r>
          </w:p>
          <w:p w14:paraId="333AB432"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6E1FAB5E"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Malta</w:t>
            </w:r>
          </w:p>
          <w:p w14:paraId="4FFE20BF" w14:textId="77777777" w:rsidR="00171824" w:rsidRPr="00422380" w:rsidRDefault="006D258C">
            <w:pPr>
              <w:widowControl/>
              <w:tabs>
                <w:tab w:val="left" w:pos="567"/>
              </w:tabs>
              <w:autoSpaceDE/>
              <w:autoSpaceDN/>
              <w:adjustRightInd/>
              <w:rPr>
                <w:rFonts w:eastAsia="PMingLiU"/>
                <w:bCs/>
                <w:sz w:val="22"/>
                <w:szCs w:val="22"/>
              </w:rPr>
            </w:pPr>
            <w:r w:rsidRPr="00422380">
              <w:rPr>
                <w:rFonts w:eastAsia="PMingLiU"/>
                <w:bCs/>
                <w:sz w:val="22"/>
                <w:szCs w:val="22"/>
              </w:rPr>
              <w:t>Amgen S.r.l.</w:t>
            </w:r>
          </w:p>
          <w:p w14:paraId="633B12EE"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Italy</w:t>
            </w:r>
          </w:p>
          <w:p w14:paraId="6C52229A" w14:textId="77777777" w:rsidR="00171824" w:rsidRDefault="006D258C">
            <w:pPr>
              <w:widowControl/>
              <w:tabs>
                <w:tab w:val="left" w:pos="567"/>
              </w:tabs>
              <w:autoSpaceDE/>
              <w:autoSpaceDN/>
              <w:adjustRightInd/>
              <w:rPr>
                <w:rFonts w:eastAsia="PMingLiU"/>
                <w:bCs/>
                <w:sz w:val="22"/>
                <w:szCs w:val="22"/>
                <w:lang w:val="el-GR"/>
              </w:rPr>
            </w:pPr>
            <w:r>
              <w:rPr>
                <w:rFonts w:eastAsia="PMingLiU"/>
                <w:bCs/>
                <w:sz w:val="22"/>
                <w:szCs w:val="22"/>
                <w:lang w:val="el-GR"/>
              </w:rPr>
              <w:t>Tel: +39 02 6241121</w:t>
            </w:r>
          </w:p>
          <w:p w14:paraId="26066E99" w14:textId="77777777" w:rsidR="00171824" w:rsidRDefault="00171824">
            <w:pPr>
              <w:widowControl/>
              <w:tabs>
                <w:tab w:val="left" w:pos="567"/>
              </w:tabs>
              <w:autoSpaceDE/>
              <w:autoSpaceDN/>
              <w:adjustRightInd/>
              <w:rPr>
                <w:rFonts w:eastAsia="PMingLiU"/>
                <w:sz w:val="22"/>
                <w:szCs w:val="22"/>
                <w:lang w:val="el-GR"/>
              </w:rPr>
            </w:pPr>
          </w:p>
        </w:tc>
      </w:tr>
      <w:tr w:rsidR="00171824" w:rsidRPr="00A07F46" w14:paraId="2A892D17" w14:textId="77777777">
        <w:trPr>
          <w:cantSplit/>
        </w:trPr>
        <w:tc>
          <w:tcPr>
            <w:tcW w:w="4677" w:type="dxa"/>
          </w:tcPr>
          <w:p w14:paraId="723671EC"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Deutschland</w:t>
            </w:r>
          </w:p>
          <w:p w14:paraId="2DBD5D7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GmbH</w:t>
            </w:r>
          </w:p>
          <w:p w14:paraId="54B6E236"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+49 89 1490960</w:t>
            </w:r>
          </w:p>
          <w:p w14:paraId="07111EDE"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6D9D7AE"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b/>
                <w:sz w:val="22"/>
                <w:szCs w:val="22"/>
                <w:lang w:val="da-DK"/>
              </w:rPr>
              <w:t>Nederland</w:t>
            </w:r>
          </w:p>
          <w:p w14:paraId="5E340E6B" w14:textId="77777777" w:rsidR="00171824" w:rsidRPr="00422380" w:rsidRDefault="006D258C">
            <w:pPr>
              <w:widowControl/>
              <w:tabs>
                <w:tab w:val="left" w:pos="567"/>
              </w:tabs>
              <w:autoSpaceDE/>
              <w:autoSpaceDN/>
              <w:adjustRightInd/>
              <w:rPr>
                <w:rFonts w:eastAsia="PMingLiU"/>
                <w:sz w:val="22"/>
                <w:szCs w:val="22"/>
                <w:lang w:val="da-DK"/>
              </w:rPr>
            </w:pPr>
            <w:r w:rsidRPr="00422380">
              <w:rPr>
                <w:rFonts w:eastAsia="PMingLiU"/>
                <w:sz w:val="22"/>
                <w:szCs w:val="22"/>
                <w:lang w:val="da-DK"/>
              </w:rPr>
              <w:t>Amgen B.V.</w:t>
            </w:r>
          </w:p>
          <w:p w14:paraId="0E1A0168"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sz w:val="22"/>
                <w:szCs w:val="22"/>
                <w:lang w:val="da-DK"/>
              </w:rPr>
              <w:t>Tel: +31 (0)76 5732500</w:t>
            </w:r>
          </w:p>
          <w:p w14:paraId="16B4A0CA" w14:textId="77777777" w:rsidR="00171824" w:rsidRPr="00422380" w:rsidRDefault="00171824">
            <w:pPr>
              <w:widowControl/>
              <w:tabs>
                <w:tab w:val="left" w:pos="567"/>
              </w:tabs>
              <w:autoSpaceDE/>
              <w:autoSpaceDN/>
              <w:adjustRightInd/>
              <w:rPr>
                <w:rFonts w:eastAsia="PMingLiU"/>
                <w:sz w:val="22"/>
                <w:szCs w:val="22"/>
                <w:lang w:val="da-DK"/>
              </w:rPr>
            </w:pPr>
          </w:p>
        </w:tc>
      </w:tr>
      <w:tr w:rsidR="00171824" w14:paraId="592C809D" w14:textId="77777777">
        <w:trPr>
          <w:cantSplit/>
        </w:trPr>
        <w:tc>
          <w:tcPr>
            <w:tcW w:w="4677" w:type="dxa"/>
          </w:tcPr>
          <w:p w14:paraId="6B939EAC" w14:textId="77777777" w:rsidR="00171824" w:rsidRPr="00422380" w:rsidRDefault="006D258C">
            <w:pPr>
              <w:widowControl/>
              <w:tabs>
                <w:tab w:val="left" w:pos="567"/>
              </w:tabs>
              <w:autoSpaceDE/>
              <w:autoSpaceDN/>
              <w:adjustRightInd/>
              <w:rPr>
                <w:rFonts w:eastAsia="PMingLiU"/>
                <w:b/>
                <w:sz w:val="22"/>
                <w:szCs w:val="22"/>
                <w:lang w:val="da-DK"/>
              </w:rPr>
            </w:pPr>
            <w:r w:rsidRPr="00422380">
              <w:rPr>
                <w:rFonts w:eastAsia="PMingLiU"/>
                <w:b/>
                <w:sz w:val="22"/>
                <w:szCs w:val="22"/>
                <w:lang w:val="da-DK"/>
              </w:rPr>
              <w:t>Eesti</w:t>
            </w:r>
          </w:p>
          <w:p w14:paraId="193B2C17" w14:textId="77777777" w:rsidR="00171824" w:rsidRPr="00422380" w:rsidRDefault="006D258C">
            <w:pPr>
              <w:widowControl/>
              <w:tabs>
                <w:tab w:val="left" w:pos="567"/>
              </w:tabs>
              <w:autoSpaceDE/>
              <w:autoSpaceDN/>
              <w:adjustRightInd/>
              <w:rPr>
                <w:rFonts w:eastAsia="PMingLiU"/>
                <w:bCs/>
                <w:sz w:val="22"/>
                <w:szCs w:val="22"/>
                <w:lang w:val="da-DK"/>
              </w:rPr>
            </w:pPr>
            <w:r w:rsidRPr="00422380">
              <w:rPr>
                <w:rFonts w:eastAsia="PMingLiU"/>
                <w:bCs/>
                <w:sz w:val="22"/>
                <w:szCs w:val="22"/>
                <w:lang w:val="da-DK"/>
              </w:rPr>
              <w:t xml:space="preserve">Amgen Switzerland AG </w:t>
            </w:r>
            <w:r w:rsidRPr="00422380">
              <w:rPr>
                <w:rFonts w:eastAsia="PMingLiU"/>
                <w:sz w:val="22"/>
                <w:szCs w:val="22"/>
                <w:lang w:val="da-DK"/>
              </w:rPr>
              <w:t>Vilniaus filialas</w:t>
            </w:r>
          </w:p>
          <w:p w14:paraId="0E172EB9"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+372 586 09553</w:t>
            </w:r>
          </w:p>
          <w:p w14:paraId="2A6823CF"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7832834E"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Norge</w:t>
            </w:r>
          </w:p>
          <w:p w14:paraId="44E42FA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Amgen AB</w:t>
            </w:r>
          </w:p>
          <w:p w14:paraId="0104541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Tlf: +47 23308000</w:t>
            </w:r>
          </w:p>
          <w:p w14:paraId="1E19A71B" w14:textId="77777777" w:rsidR="00171824" w:rsidRDefault="00171824">
            <w:pPr>
              <w:widowControl/>
              <w:tabs>
                <w:tab w:val="left" w:pos="567"/>
              </w:tabs>
              <w:autoSpaceDE/>
              <w:autoSpaceDN/>
              <w:adjustRightInd/>
              <w:rPr>
                <w:rFonts w:eastAsia="PMingLiU"/>
                <w:sz w:val="22"/>
                <w:szCs w:val="22"/>
                <w:lang w:val="el-GR"/>
              </w:rPr>
            </w:pPr>
          </w:p>
        </w:tc>
      </w:tr>
      <w:tr w:rsidR="00171824" w14:paraId="14D48B80" w14:textId="77777777">
        <w:trPr>
          <w:cantSplit/>
        </w:trPr>
        <w:tc>
          <w:tcPr>
            <w:tcW w:w="4677" w:type="dxa"/>
          </w:tcPr>
          <w:p w14:paraId="1B4EE928"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Ελλάδα</w:t>
            </w:r>
          </w:p>
          <w:p w14:paraId="3D5364B8"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Ελλάς Φαρμακευτικά Ε.Π.Ε. </w:t>
            </w:r>
          </w:p>
          <w:p w14:paraId="434BC1B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Τηλ: +30 210 3447000</w:t>
            </w:r>
          </w:p>
          <w:p w14:paraId="4C54096F"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4EFAD3BF"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Österreich</w:t>
            </w:r>
          </w:p>
          <w:p w14:paraId="079A19D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GmbH </w:t>
            </w:r>
          </w:p>
          <w:p w14:paraId="3DDECDB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+43 (0)1 50 217</w:t>
            </w:r>
          </w:p>
          <w:p w14:paraId="278783B5" w14:textId="77777777" w:rsidR="00171824" w:rsidRDefault="00171824">
            <w:pPr>
              <w:widowControl/>
              <w:tabs>
                <w:tab w:val="left" w:pos="567"/>
              </w:tabs>
              <w:autoSpaceDE/>
              <w:autoSpaceDN/>
              <w:adjustRightInd/>
              <w:rPr>
                <w:rFonts w:eastAsia="PMingLiU"/>
                <w:sz w:val="22"/>
                <w:szCs w:val="22"/>
                <w:lang w:val="el-GR"/>
              </w:rPr>
            </w:pPr>
          </w:p>
        </w:tc>
      </w:tr>
      <w:tr w:rsidR="00171824" w14:paraId="09E8DE92" w14:textId="77777777">
        <w:trPr>
          <w:cantSplit/>
        </w:trPr>
        <w:tc>
          <w:tcPr>
            <w:tcW w:w="4677" w:type="dxa"/>
          </w:tcPr>
          <w:p w14:paraId="38F871AF"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b/>
                <w:sz w:val="22"/>
                <w:szCs w:val="22"/>
                <w:lang w:val="es-ES"/>
              </w:rPr>
              <w:t>España</w:t>
            </w:r>
          </w:p>
          <w:p w14:paraId="2E2E2BA7"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Amgen S.A.</w:t>
            </w:r>
          </w:p>
          <w:p w14:paraId="3C4D80C8" w14:textId="77777777" w:rsidR="00171824" w:rsidRPr="00422380" w:rsidRDefault="006D258C">
            <w:pPr>
              <w:keepNext/>
              <w:widowControl/>
              <w:tabs>
                <w:tab w:val="left" w:pos="567"/>
              </w:tabs>
              <w:autoSpaceDE/>
              <w:autoSpaceDN/>
              <w:adjustRightInd/>
              <w:rPr>
                <w:rFonts w:eastAsia="PMingLiU"/>
                <w:sz w:val="22"/>
                <w:szCs w:val="22"/>
                <w:lang w:val="es-ES"/>
              </w:rPr>
            </w:pPr>
            <w:r w:rsidRPr="00422380">
              <w:rPr>
                <w:rFonts w:eastAsia="PMingLiU"/>
                <w:sz w:val="22"/>
                <w:szCs w:val="22"/>
                <w:lang w:val="es-ES"/>
              </w:rPr>
              <w:t xml:space="preserve">Tel: +34 93 600 18 60 </w:t>
            </w:r>
          </w:p>
          <w:p w14:paraId="04524DB4" w14:textId="77777777" w:rsidR="00171824" w:rsidRPr="00422380" w:rsidRDefault="00171824">
            <w:pPr>
              <w:keepNext/>
              <w:widowControl/>
              <w:tabs>
                <w:tab w:val="left" w:pos="567"/>
              </w:tabs>
              <w:autoSpaceDE/>
              <w:autoSpaceDN/>
              <w:adjustRightInd/>
              <w:rPr>
                <w:rFonts w:eastAsia="PMingLiU"/>
                <w:sz w:val="22"/>
                <w:szCs w:val="22"/>
                <w:lang w:val="es-ES"/>
              </w:rPr>
            </w:pPr>
          </w:p>
        </w:tc>
        <w:tc>
          <w:tcPr>
            <w:tcW w:w="4679" w:type="dxa"/>
          </w:tcPr>
          <w:p w14:paraId="647BAC15" w14:textId="77777777" w:rsidR="00171824" w:rsidRPr="00422380" w:rsidRDefault="006D258C">
            <w:pPr>
              <w:keepNext/>
              <w:widowControl/>
              <w:tabs>
                <w:tab w:val="left" w:pos="567"/>
              </w:tabs>
              <w:autoSpaceDE/>
              <w:autoSpaceDN/>
              <w:adjustRightInd/>
              <w:rPr>
                <w:rFonts w:eastAsia="PMingLiU"/>
                <w:b/>
                <w:sz w:val="22"/>
                <w:szCs w:val="22"/>
                <w:lang w:val="pl-PL"/>
              </w:rPr>
            </w:pPr>
            <w:r w:rsidRPr="00422380">
              <w:rPr>
                <w:rFonts w:eastAsia="PMingLiU"/>
                <w:b/>
                <w:sz w:val="22"/>
                <w:szCs w:val="22"/>
                <w:lang w:val="pl-PL"/>
              </w:rPr>
              <w:t>Polska</w:t>
            </w:r>
          </w:p>
          <w:p w14:paraId="77859C95" w14:textId="77777777" w:rsidR="00171824" w:rsidRPr="00422380" w:rsidRDefault="006D258C">
            <w:pPr>
              <w:keepNext/>
              <w:widowControl/>
              <w:tabs>
                <w:tab w:val="left" w:pos="567"/>
              </w:tabs>
              <w:autoSpaceDE/>
              <w:autoSpaceDN/>
              <w:adjustRightInd/>
              <w:rPr>
                <w:rFonts w:eastAsia="PMingLiU"/>
                <w:sz w:val="22"/>
                <w:szCs w:val="22"/>
                <w:lang w:val="pl-PL"/>
              </w:rPr>
            </w:pPr>
            <w:r w:rsidRPr="00422380">
              <w:rPr>
                <w:rFonts w:eastAsia="PMingLiU"/>
                <w:sz w:val="22"/>
                <w:szCs w:val="22"/>
                <w:lang w:val="pl-PL"/>
              </w:rPr>
              <w:t xml:space="preserve">Amgen </w:t>
            </w:r>
            <w:r w:rsidRPr="00422380">
              <w:rPr>
                <w:rFonts w:eastAsia="PMingLiU"/>
                <w:color w:val="000000"/>
                <w:sz w:val="22"/>
                <w:szCs w:val="22"/>
                <w:lang w:val="pl-PL" w:eastAsia="en-GB"/>
              </w:rPr>
              <w:t>Biotechnologia</w:t>
            </w:r>
            <w:r w:rsidRPr="00422380">
              <w:rPr>
                <w:rFonts w:eastAsia="PMingLiU"/>
                <w:sz w:val="22"/>
                <w:szCs w:val="22"/>
                <w:lang w:val="pl-PL"/>
              </w:rPr>
              <w:t xml:space="preserve"> Sp. z o.o.</w:t>
            </w:r>
          </w:p>
          <w:p w14:paraId="5BD5031A" w14:textId="77777777" w:rsidR="00171824" w:rsidRDefault="006D258C">
            <w:pPr>
              <w:keepNext/>
              <w:widowControl/>
              <w:tabs>
                <w:tab w:val="left" w:pos="567"/>
              </w:tabs>
              <w:autoSpaceDE/>
              <w:autoSpaceDN/>
              <w:adjustRightInd/>
              <w:rPr>
                <w:rFonts w:eastAsia="PMingLiU"/>
                <w:bCs/>
                <w:sz w:val="22"/>
                <w:szCs w:val="22"/>
                <w:lang w:val="el-GR"/>
              </w:rPr>
            </w:pPr>
            <w:r>
              <w:rPr>
                <w:rFonts w:eastAsia="PMingLiU"/>
                <w:sz w:val="22"/>
                <w:szCs w:val="22"/>
                <w:lang w:val="el-GR"/>
              </w:rPr>
              <w:t xml:space="preserve">Tel.: +48 22 </w:t>
            </w:r>
            <w:r>
              <w:rPr>
                <w:rFonts w:eastAsia="PMingLiU"/>
                <w:bCs/>
                <w:sz w:val="22"/>
                <w:szCs w:val="22"/>
                <w:lang w:val="el-GR"/>
              </w:rPr>
              <w:t>581 3000</w:t>
            </w:r>
          </w:p>
          <w:p w14:paraId="15E4E9C5" w14:textId="77777777" w:rsidR="00171824" w:rsidRDefault="00171824">
            <w:pPr>
              <w:keepNext/>
              <w:widowControl/>
              <w:tabs>
                <w:tab w:val="left" w:pos="567"/>
              </w:tabs>
              <w:autoSpaceDE/>
              <w:autoSpaceDN/>
              <w:adjustRightInd/>
              <w:rPr>
                <w:rFonts w:eastAsia="PMingLiU"/>
                <w:sz w:val="22"/>
                <w:szCs w:val="22"/>
                <w:lang w:val="el-GR"/>
              </w:rPr>
            </w:pPr>
          </w:p>
        </w:tc>
      </w:tr>
      <w:tr w:rsidR="00171824" w14:paraId="11CB2249" w14:textId="77777777">
        <w:trPr>
          <w:cantSplit/>
        </w:trPr>
        <w:tc>
          <w:tcPr>
            <w:tcW w:w="4677" w:type="dxa"/>
          </w:tcPr>
          <w:p w14:paraId="45AF3CC3"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b/>
                <w:sz w:val="22"/>
                <w:szCs w:val="22"/>
                <w:lang w:val="fr-CA"/>
              </w:rPr>
              <w:t>France</w:t>
            </w:r>
          </w:p>
          <w:p w14:paraId="6EBAE7BE" w14:textId="77777777" w:rsidR="00171824" w:rsidRPr="00422380" w:rsidRDefault="006D258C">
            <w:pPr>
              <w:widowControl/>
              <w:tabs>
                <w:tab w:val="left" w:pos="567"/>
              </w:tabs>
              <w:autoSpaceDE/>
              <w:autoSpaceDN/>
              <w:adjustRightInd/>
              <w:rPr>
                <w:rFonts w:eastAsia="PMingLiU"/>
                <w:sz w:val="22"/>
                <w:szCs w:val="22"/>
                <w:lang w:val="fr-CA"/>
              </w:rPr>
            </w:pPr>
            <w:r w:rsidRPr="00422380">
              <w:rPr>
                <w:rFonts w:eastAsia="PMingLiU"/>
                <w:sz w:val="22"/>
                <w:szCs w:val="22"/>
                <w:lang w:val="fr-CA"/>
              </w:rPr>
              <w:t>Amgen S.A.S.</w:t>
            </w:r>
          </w:p>
          <w:p w14:paraId="13595B3D" w14:textId="77777777" w:rsidR="00171824" w:rsidRDefault="006D258C">
            <w:pPr>
              <w:widowControl/>
              <w:tabs>
                <w:tab w:val="left" w:pos="567"/>
              </w:tabs>
              <w:autoSpaceDE/>
              <w:autoSpaceDN/>
              <w:adjustRightInd/>
              <w:rPr>
                <w:rFonts w:eastAsia="MS Mincho"/>
                <w:sz w:val="22"/>
                <w:szCs w:val="22"/>
                <w:lang w:val="el-GR" w:eastAsia="en-IN"/>
              </w:rPr>
            </w:pPr>
            <w:r>
              <w:rPr>
                <w:rFonts w:eastAsia="PMingLiU"/>
                <w:sz w:val="22"/>
                <w:szCs w:val="22"/>
                <w:lang w:val="el-GR"/>
              </w:rPr>
              <w:t>Tél: +33 (0)9 69 363 363</w:t>
            </w:r>
          </w:p>
          <w:p w14:paraId="660DE656"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E4A4D68"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b/>
                <w:sz w:val="22"/>
                <w:szCs w:val="22"/>
              </w:rPr>
              <w:t>Portugal</w:t>
            </w:r>
          </w:p>
          <w:p w14:paraId="4388524B"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Biofarmacêutica, Lda.</w:t>
            </w:r>
          </w:p>
          <w:p w14:paraId="5FC9D3F9"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Tel: +351 21 4220606</w:t>
            </w:r>
          </w:p>
          <w:p w14:paraId="5CD5D14B" w14:textId="77777777" w:rsidR="00171824" w:rsidRPr="00422380" w:rsidRDefault="00171824">
            <w:pPr>
              <w:widowControl/>
              <w:tabs>
                <w:tab w:val="left" w:pos="567"/>
              </w:tabs>
              <w:autoSpaceDE/>
              <w:autoSpaceDN/>
              <w:adjustRightInd/>
              <w:rPr>
                <w:rFonts w:eastAsia="PMingLiU"/>
                <w:sz w:val="22"/>
                <w:szCs w:val="22"/>
              </w:rPr>
            </w:pPr>
          </w:p>
        </w:tc>
      </w:tr>
      <w:tr w:rsidR="00171824" w14:paraId="7F214701" w14:textId="77777777">
        <w:trPr>
          <w:cantSplit/>
        </w:trPr>
        <w:tc>
          <w:tcPr>
            <w:tcW w:w="4677" w:type="dxa"/>
          </w:tcPr>
          <w:p w14:paraId="38EEFD8C"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b/>
                <w:sz w:val="22"/>
                <w:szCs w:val="22"/>
                <w:lang w:val="sv-SE"/>
              </w:rPr>
              <w:t>Hrvatska</w:t>
            </w:r>
          </w:p>
          <w:p w14:paraId="4381B216" w14:textId="77777777" w:rsidR="00171824" w:rsidRPr="00422380" w:rsidRDefault="006D258C">
            <w:pPr>
              <w:keepNext/>
              <w:keepLines/>
              <w:widowControl/>
              <w:tabs>
                <w:tab w:val="left" w:pos="567"/>
              </w:tabs>
              <w:autoSpaceDE/>
              <w:autoSpaceDN/>
              <w:adjustRightInd/>
              <w:rPr>
                <w:rFonts w:eastAsia="PMingLiU"/>
                <w:sz w:val="22"/>
                <w:szCs w:val="22"/>
                <w:lang w:val="sv-SE"/>
              </w:rPr>
            </w:pPr>
            <w:r w:rsidRPr="00422380">
              <w:rPr>
                <w:rFonts w:eastAsia="PMingLiU"/>
                <w:sz w:val="22"/>
                <w:szCs w:val="22"/>
                <w:lang w:val="sv-SE"/>
              </w:rPr>
              <w:t>Amgen d.o.o.</w:t>
            </w:r>
          </w:p>
          <w:p w14:paraId="6199C1BE" w14:textId="77777777" w:rsidR="00171824" w:rsidRDefault="006D258C">
            <w:pPr>
              <w:keepNext/>
              <w:keepLines/>
              <w:widowControl/>
              <w:tabs>
                <w:tab w:val="left" w:pos="567"/>
              </w:tabs>
              <w:autoSpaceDE/>
              <w:autoSpaceDN/>
              <w:adjustRightInd/>
              <w:rPr>
                <w:rFonts w:eastAsia="MS Mincho"/>
                <w:sz w:val="22"/>
                <w:szCs w:val="22"/>
                <w:lang w:val="el-GR" w:eastAsia="en-IN"/>
              </w:rPr>
            </w:pPr>
            <w:r>
              <w:rPr>
                <w:rFonts w:eastAsia="PMingLiU"/>
                <w:sz w:val="22"/>
                <w:szCs w:val="22"/>
                <w:lang w:val="el-GR"/>
              </w:rPr>
              <w:t>Tel: +385 (0)1 562 57 20</w:t>
            </w:r>
          </w:p>
          <w:p w14:paraId="62AA885D" w14:textId="77777777" w:rsidR="00171824" w:rsidRDefault="00171824">
            <w:pPr>
              <w:keepNext/>
              <w:keepLines/>
              <w:widowControl/>
              <w:tabs>
                <w:tab w:val="left" w:pos="567"/>
              </w:tabs>
              <w:autoSpaceDE/>
              <w:autoSpaceDN/>
              <w:adjustRightInd/>
              <w:rPr>
                <w:rFonts w:eastAsia="PMingLiU"/>
                <w:sz w:val="22"/>
                <w:szCs w:val="22"/>
                <w:lang w:val="el-GR"/>
              </w:rPr>
            </w:pPr>
          </w:p>
        </w:tc>
        <w:tc>
          <w:tcPr>
            <w:tcW w:w="4679" w:type="dxa"/>
          </w:tcPr>
          <w:p w14:paraId="433E38AB" w14:textId="77777777" w:rsidR="00171824" w:rsidRPr="00422380" w:rsidRDefault="006D258C">
            <w:pPr>
              <w:keepNext/>
              <w:keepLines/>
              <w:widowControl/>
              <w:tabs>
                <w:tab w:val="left" w:pos="567"/>
              </w:tabs>
              <w:suppressAutoHyphens/>
              <w:autoSpaceDE/>
              <w:autoSpaceDN/>
              <w:adjustRightInd/>
              <w:rPr>
                <w:rFonts w:eastAsia="PMingLiU"/>
                <w:b/>
                <w:sz w:val="22"/>
                <w:szCs w:val="22"/>
              </w:rPr>
            </w:pPr>
            <w:r w:rsidRPr="00422380">
              <w:rPr>
                <w:rFonts w:eastAsia="PMingLiU"/>
                <w:b/>
                <w:sz w:val="22"/>
                <w:szCs w:val="22"/>
              </w:rPr>
              <w:t>România</w:t>
            </w:r>
          </w:p>
          <w:p w14:paraId="4510CCA4" w14:textId="77777777" w:rsidR="00171824" w:rsidRPr="00422380" w:rsidRDefault="006D258C">
            <w:pPr>
              <w:keepNext/>
              <w:keepLines/>
              <w:widowControl/>
              <w:tabs>
                <w:tab w:val="left" w:pos="567"/>
              </w:tabs>
              <w:autoSpaceDE/>
              <w:autoSpaceDN/>
              <w:adjustRightInd/>
              <w:rPr>
                <w:rFonts w:eastAsia="PMingLiU"/>
                <w:color w:val="000000"/>
                <w:sz w:val="22"/>
                <w:szCs w:val="22"/>
              </w:rPr>
            </w:pPr>
            <w:r w:rsidRPr="00422380">
              <w:rPr>
                <w:rFonts w:eastAsia="PMingLiU"/>
                <w:color w:val="000000"/>
                <w:sz w:val="22"/>
                <w:szCs w:val="22"/>
              </w:rPr>
              <w:t>Amgen România SRL</w:t>
            </w:r>
          </w:p>
          <w:p w14:paraId="30878539" w14:textId="77777777" w:rsidR="00171824" w:rsidRPr="00422380" w:rsidRDefault="006D258C">
            <w:pPr>
              <w:keepNext/>
              <w:keepLines/>
              <w:widowControl/>
              <w:tabs>
                <w:tab w:val="left" w:pos="567"/>
              </w:tabs>
              <w:autoSpaceDE/>
              <w:autoSpaceDN/>
              <w:adjustRightInd/>
              <w:rPr>
                <w:rFonts w:eastAsia="PMingLiU"/>
                <w:sz w:val="22"/>
                <w:szCs w:val="22"/>
              </w:rPr>
            </w:pPr>
            <w:r w:rsidRPr="00422380">
              <w:rPr>
                <w:rFonts w:eastAsia="PMingLiU"/>
                <w:sz w:val="22"/>
                <w:szCs w:val="22"/>
              </w:rPr>
              <w:t>Tel: +4021 527 3000</w:t>
            </w:r>
          </w:p>
          <w:p w14:paraId="5A0EA6C9" w14:textId="77777777" w:rsidR="00171824" w:rsidRPr="00422380" w:rsidRDefault="00171824">
            <w:pPr>
              <w:keepNext/>
              <w:keepLines/>
              <w:widowControl/>
              <w:tabs>
                <w:tab w:val="left" w:pos="567"/>
              </w:tabs>
              <w:autoSpaceDE/>
              <w:autoSpaceDN/>
              <w:adjustRightInd/>
              <w:rPr>
                <w:rFonts w:eastAsia="PMingLiU"/>
                <w:sz w:val="22"/>
                <w:szCs w:val="22"/>
              </w:rPr>
            </w:pPr>
          </w:p>
        </w:tc>
      </w:tr>
      <w:tr w:rsidR="00171824" w14:paraId="779C270C" w14:textId="77777777">
        <w:trPr>
          <w:cantSplit/>
        </w:trPr>
        <w:tc>
          <w:tcPr>
            <w:tcW w:w="4677" w:type="dxa"/>
          </w:tcPr>
          <w:p w14:paraId="3AADF756"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Ireland</w:t>
            </w:r>
          </w:p>
          <w:p w14:paraId="3EF66F64" w14:textId="77777777" w:rsidR="00171824" w:rsidRPr="00422380" w:rsidRDefault="006D258C">
            <w:pPr>
              <w:widowControl/>
              <w:tabs>
                <w:tab w:val="left" w:pos="567"/>
              </w:tabs>
              <w:autoSpaceDE/>
              <w:autoSpaceDN/>
              <w:adjustRightInd/>
              <w:rPr>
                <w:rFonts w:eastAsia="PMingLiU"/>
                <w:sz w:val="22"/>
                <w:szCs w:val="22"/>
              </w:rPr>
            </w:pPr>
            <w:r w:rsidRPr="00422380">
              <w:rPr>
                <w:rFonts w:eastAsia="Arial Unicode MS"/>
                <w:bCs/>
                <w:sz w:val="22"/>
                <w:szCs w:val="22"/>
              </w:rPr>
              <w:t>Amgen</w:t>
            </w:r>
            <w:r w:rsidRPr="00422380">
              <w:rPr>
                <w:rFonts w:eastAsia="PMingLiU"/>
                <w:sz w:val="22"/>
                <w:szCs w:val="22"/>
              </w:rPr>
              <w:t xml:space="preserve"> Ireland Limited</w:t>
            </w:r>
          </w:p>
          <w:p w14:paraId="0F1C1E4E" w14:textId="77777777" w:rsidR="00171824" w:rsidRPr="00422380" w:rsidRDefault="006D258C">
            <w:pPr>
              <w:widowControl/>
              <w:tabs>
                <w:tab w:val="left" w:pos="567"/>
              </w:tabs>
              <w:autoSpaceDE/>
              <w:autoSpaceDN/>
              <w:adjustRightInd/>
              <w:rPr>
                <w:rFonts w:eastAsia="Arial Unicode MS"/>
                <w:bCs/>
                <w:sz w:val="22"/>
                <w:szCs w:val="22"/>
              </w:rPr>
            </w:pPr>
            <w:r w:rsidRPr="00422380">
              <w:rPr>
                <w:rFonts w:eastAsia="PMingLiU"/>
                <w:sz w:val="22"/>
                <w:szCs w:val="22"/>
              </w:rPr>
              <w:t>Tel: +</w:t>
            </w:r>
            <w:r w:rsidRPr="00422380">
              <w:rPr>
                <w:rFonts w:eastAsia="Arial Unicode MS"/>
                <w:bCs/>
                <w:sz w:val="22"/>
                <w:szCs w:val="22"/>
              </w:rPr>
              <w:t>353 1 8527400</w:t>
            </w:r>
          </w:p>
          <w:p w14:paraId="44C35B0C"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1588A47E"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Slovenija</w:t>
            </w:r>
          </w:p>
          <w:p w14:paraId="361B340A"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zdravila d.o.o.</w:t>
            </w:r>
          </w:p>
          <w:p w14:paraId="4CA83B4C" w14:textId="77777777" w:rsidR="00171824" w:rsidRDefault="006D258C">
            <w:pPr>
              <w:widowControl/>
              <w:tabs>
                <w:tab w:val="left" w:pos="567"/>
              </w:tabs>
              <w:autoSpaceDE/>
              <w:autoSpaceDN/>
              <w:adjustRightInd/>
              <w:rPr>
                <w:rFonts w:eastAsia="PMingLiU"/>
                <w:bCs/>
                <w:sz w:val="22"/>
                <w:szCs w:val="22"/>
              </w:rPr>
            </w:pPr>
            <w:r>
              <w:rPr>
                <w:rFonts w:eastAsia="PMingLiU"/>
                <w:sz w:val="22"/>
                <w:szCs w:val="22"/>
              </w:rPr>
              <w:t>Tel: +386 (</w:t>
            </w:r>
            <w:r>
              <w:rPr>
                <w:rFonts w:eastAsia="PMingLiU"/>
                <w:bCs/>
                <w:sz w:val="22"/>
                <w:szCs w:val="22"/>
              </w:rPr>
              <w:t>0)</w:t>
            </w:r>
            <w:r>
              <w:rPr>
                <w:rFonts w:eastAsia="PMingLiU"/>
                <w:sz w:val="22"/>
                <w:szCs w:val="22"/>
              </w:rPr>
              <w:t>1</w:t>
            </w:r>
            <w:r>
              <w:rPr>
                <w:rFonts w:eastAsia="PMingLiU"/>
                <w:bCs/>
                <w:sz w:val="22"/>
                <w:szCs w:val="22"/>
              </w:rPr>
              <w:t xml:space="preserve"> 585 1767</w:t>
            </w:r>
          </w:p>
          <w:p w14:paraId="6CF7C060" w14:textId="77777777" w:rsidR="00171824" w:rsidRDefault="00171824">
            <w:pPr>
              <w:widowControl/>
              <w:tabs>
                <w:tab w:val="left" w:pos="567"/>
              </w:tabs>
              <w:autoSpaceDE/>
              <w:autoSpaceDN/>
              <w:adjustRightInd/>
              <w:rPr>
                <w:rFonts w:eastAsia="PMingLiU"/>
                <w:sz w:val="22"/>
                <w:szCs w:val="22"/>
              </w:rPr>
            </w:pPr>
          </w:p>
        </w:tc>
      </w:tr>
      <w:tr w:rsidR="00171824" w14:paraId="469C5790" w14:textId="77777777">
        <w:trPr>
          <w:cantSplit/>
        </w:trPr>
        <w:tc>
          <w:tcPr>
            <w:tcW w:w="4677" w:type="dxa"/>
          </w:tcPr>
          <w:p w14:paraId="3C92E115" w14:textId="77777777" w:rsidR="00171824" w:rsidRDefault="006D258C">
            <w:pPr>
              <w:widowControl/>
              <w:tabs>
                <w:tab w:val="left" w:pos="567"/>
              </w:tabs>
              <w:autoSpaceDE/>
              <w:autoSpaceDN/>
              <w:adjustRightInd/>
              <w:rPr>
                <w:rFonts w:eastAsia="PMingLiU"/>
                <w:b/>
                <w:sz w:val="22"/>
                <w:szCs w:val="22"/>
                <w:lang w:val="el-GR"/>
              </w:rPr>
            </w:pPr>
            <w:r>
              <w:rPr>
                <w:rFonts w:eastAsia="PMingLiU"/>
                <w:b/>
                <w:sz w:val="22"/>
                <w:szCs w:val="22"/>
                <w:lang w:val="el-GR"/>
              </w:rPr>
              <w:t>Ísland</w:t>
            </w:r>
          </w:p>
          <w:p w14:paraId="69D1C7DB"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Vistor</w:t>
            </w:r>
            <w:del w:id="324" w:author="Author">
              <w:r>
                <w:rPr>
                  <w:rFonts w:eastAsia="PMingLiU"/>
                  <w:sz w:val="22"/>
                  <w:szCs w:val="22"/>
                  <w:lang w:val="el-GR"/>
                </w:rPr>
                <w:delText xml:space="preserve"> hf.</w:delText>
              </w:r>
            </w:del>
          </w:p>
          <w:p w14:paraId="2FED059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Sími: +354 535 7000</w:t>
            </w:r>
          </w:p>
          <w:p w14:paraId="32FCFE79"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2EBB48C4" w14:textId="77777777" w:rsidR="00171824" w:rsidRPr="00422380" w:rsidRDefault="006D258C">
            <w:pPr>
              <w:widowControl/>
              <w:tabs>
                <w:tab w:val="left" w:pos="567"/>
              </w:tabs>
              <w:autoSpaceDE/>
              <w:autoSpaceDN/>
              <w:adjustRightInd/>
              <w:rPr>
                <w:rFonts w:eastAsia="PMingLiU"/>
                <w:b/>
                <w:sz w:val="22"/>
                <w:szCs w:val="22"/>
                <w:lang w:val="sv-SE"/>
              </w:rPr>
            </w:pPr>
            <w:r w:rsidRPr="00422380">
              <w:rPr>
                <w:rFonts w:eastAsia="PMingLiU"/>
                <w:b/>
                <w:sz w:val="22"/>
                <w:szCs w:val="22"/>
                <w:lang w:val="sv-SE"/>
              </w:rPr>
              <w:t>Slovenská republika</w:t>
            </w:r>
          </w:p>
          <w:p w14:paraId="61E354C1" w14:textId="77777777" w:rsidR="00171824" w:rsidRPr="00422380" w:rsidRDefault="006D258C">
            <w:pPr>
              <w:widowControl/>
              <w:tabs>
                <w:tab w:val="left" w:pos="567"/>
              </w:tabs>
              <w:autoSpaceDE/>
              <w:autoSpaceDN/>
              <w:adjustRightInd/>
              <w:rPr>
                <w:rFonts w:eastAsia="PMingLiU"/>
                <w:sz w:val="22"/>
                <w:szCs w:val="22"/>
                <w:lang w:val="sv-SE"/>
              </w:rPr>
            </w:pPr>
            <w:r w:rsidRPr="00422380">
              <w:rPr>
                <w:rFonts w:eastAsia="PMingLiU"/>
                <w:bCs/>
                <w:sz w:val="22"/>
                <w:szCs w:val="22"/>
                <w:lang w:val="sv-SE"/>
              </w:rPr>
              <w:t>Amgen Slovakia</w:t>
            </w:r>
            <w:r w:rsidRPr="00422380">
              <w:rPr>
                <w:rFonts w:eastAsia="PMingLiU"/>
                <w:sz w:val="22"/>
                <w:szCs w:val="22"/>
                <w:lang w:val="sv-SE"/>
              </w:rPr>
              <w:t xml:space="preserve"> s.r.o.</w:t>
            </w:r>
          </w:p>
          <w:p w14:paraId="693749E0" w14:textId="77777777" w:rsidR="00171824" w:rsidRDefault="006D258C">
            <w:pPr>
              <w:widowControl/>
              <w:tabs>
                <w:tab w:val="left" w:pos="567"/>
              </w:tabs>
              <w:autoSpaceDE/>
              <w:autoSpaceDN/>
              <w:adjustRightInd/>
              <w:rPr>
                <w:rFonts w:eastAsia="PMingLiU"/>
                <w:bCs/>
                <w:sz w:val="22"/>
                <w:szCs w:val="22"/>
                <w:lang w:val="el-GR"/>
              </w:rPr>
            </w:pPr>
            <w:r>
              <w:rPr>
                <w:rFonts w:eastAsia="PMingLiU"/>
                <w:sz w:val="22"/>
                <w:szCs w:val="22"/>
                <w:lang w:val="el-GR"/>
              </w:rPr>
              <w:t xml:space="preserve">Tel: +421 </w:t>
            </w:r>
            <w:r>
              <w:rPr>
                <w:rFonts w:eastAsia="PMingLiU"/>
                <w:bCs/>
                <w:sz w:val="22"/>
                <w:szCs w:val="22"/>
                <w:lang w:val="el-GR"/>
              </w:rPr>
              <w:t>2 321 114 49</w:t>
            </w:r>
          </w:p>
          <w:p w14:paraId="091A0772" w14:textId="77777777" w:rsidR="00171824" w:rsidRDefault="00171824">
            <w:pPr>
              <w:widowControl/>
              <w:tabs>
                <w:tab w:val="left" w:pos="567"/>
              </w:tabs>
              <w:autoSpaceDE/>
              <w:autoSpaceDN/>
              <w:adjustRightInd/>
              <w:rPr>
                <w:rFonts w:eastAsia="PMingLiU"/>
                <w:sz w:val="22"/>
                <w:szCs w:val="22"/>
                <w:lang w:val="el-GR"/>
              </w:rPr>
            </w:pPr>
          </w:p>
        </w:tc>
      </w:tr>
      <w:tr w:rsidR="00171824" w14:paraId="3DFC68CC" w14:textId="77777777">
        <w:trPr>
          <w:cantSplit/>
        </w:trPr>
        <w:tc>
          <w:tcPr>
            <w:tcW w:w="4677" w:type="dxa"/>
          </w:tcPr>
          <w:p w14:paraId="76D7FD29"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b/>
                <w:sz w:val="22"/>
                <w:szCs w:val="22"/>
                <w:lang w:val="es-ES"/>
              </w:rPr>
              <w:t>Italia</w:t>
            </w:r>
          </w:p>
          <w:p w14:paraId="57180388" w14:textId="77777777" w:rsidR="00171824" w:rsidRPr="00422380" w:rsidRDefault="006D258C">
            <w:pPr>
              <w:widowControl/>
              <w:tabs>
                <w:tab w:val="left" w:pos="567"/>
              </w:tabs>
              <w:autoSpaceDE/>
              <w:autoSpaceDN/>
              <w:adjustRightInd/>
              <w:rPr>
                <w:rFonts w:eastAsia="PMingLiU"/>
                <w:sz w:val="22"/>
                <w:szCs w:val="22"/>
                <w:lang w:val="es-ES"/>
              </w:rPr>
            </w:pPr>
            <w:r w:rsidRPr="00422380">
              <w:rPr>
                <w:rFonts w:eastAsia="PMingLiU"/>
                <w:sz w:val="22"/>
                <w:szCs w:val="22"/>
                <w:lang w:val="es-ES"/>
              </w:rPr>
              <w:t>Amgen S.r.l.</w:t>
            </w:r>
          </w:p>
          <w:p w14:paraId="4F4C5923"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+39 02 6241121</w:t>
            </w:r>
          </w:p>
          <w:p w14:paraId="3F0480A9"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2AC8B148" w14:textId="77777777" w:rsidR="00171824" w:rsidRPr="00422380" w:rsidRDefault="006D258C">
            <w:pPr>
              <w:widowControl/>
              <w:tabs>
                <w:tab w:val="left" w:pos="567"/>
              </w:tabs>
              <w:autoSpaceDE/>
              <w:autoSpaceDN/>
              <w:adjustRightInd/>
              <w:rPr>
                <w:rFonts w:eastAsia="PMingLiU"/>
                <w:sz w:val="22"/>
                <w:szCs w:val="22"/>
                <w:lang w:val="el-GR"/>
              </w:rPr>
            </w:pPr>
            <w:r w:rsidRPr="00422380">
              <w:rPr>
                <w:rFonts w:eastAsia="PMingLiU"/>
                <w:b/>
                <w:sz w:val="22"/>
                <w:szCs w:val="22"/>
              </w:rPr>
              <w:t>Suomi</w:t>
            </w:r>
            <w:r w:rsidRPr="00422380">
              <w:rPr>
                <w:rFonts w:eastAsia="PMingLiU"/>
                <w:b/>
                <w:sz w:val="22"/>
                <w:szCs w:val="22"/>
                <w:lang w:val="el-GR"/>
              </w:rPr>
              <w:t>/</w:t>
            </w:r>
            <w:r w:rsidRPr="00422380">
              <w:rPr>
                <w:rFonts w:eastAsia="PMingLiU"/>
                <w:b/>
                <w:sz w:val="22"/>
                <w:szCs w:val="22"/>
              </w:rPr>
              <w:t>Finland</w:t>
            </w:r>
          </w:p>
          <w:p w14:paraId="7045E17C" w14:textId="77777777" w:rsidR="00171824" w:rsidRPr="00422380" w:rsidRDefault="006D258C">
            <w:pPr>
              <w:pStyle w:val="lbltxt"/>
              <w:rPr>
                <w:szCs w:val="22"/>
                <w:lang w:val="el-GR"/>
              </w:rPr>
            </w:pPr>
            <w:r w:rsidRPr="00422380">
              <w:rPr>
                <w:szCs w:val="22"/>
                <w:lang w:val="en-US"/>
              </w:rPr>
              <w:t>Amgen</w:t>
            </w:r>
            <w:r w:rsidRPr="00422380">
              <w:rPr>
                <w:szCs w:val="22"/>
                <w:lang w:val="el-GR"/>
              </w:rPr>
              <w:t xml:space="preserve"> </w:t>
            </w:r>
            <w:r w:rsidRPr="00422380">
              <w:rPr>
                <w:szCs w:val="22"/>
                <w:lang w:val="en-US"/>
              </w:rPr>
              <w:t>AB</w:t>
            </w:r>
            <w:r w:rsidRPr="00422380">
              <w:rPr>
                <w:szCs w:val="22"/>
                <w:lang w:val="el-GR"/>
              </w:rPr>
              <w:t xml:space="preserve">, </w:t>
            </w:r>
            <w:r w:rsidRPr="00422380">
              <w:rPr>
                <w:szCs w:val="22"/>
                <w:lang w:val="en-US"/>
              </w:rPr>
              <w:t>sivuliike</w:t>
            </w:r>
            <w:r w:rsidRPr="00422380">
              <w:rPr>
                <w:szCs w:val="22"/>
                <w:lang w:val="el-GR"/>
              </w:rPr>
              <w:t xml:space="preserve"> </w:t>
            </w:r>
            <w:r w:rsidRPr="00422380">
              <w:rPr>
                <w:szCs w:val="22"/>
                <w:lang w:val="en-US"/>
              </w:rPr>
              <w:t>Suomessa</w:t>
            </w:r>
            <w:r w:rsidRPr="00422380">
              <w:rPr>
                <w:szCs w:val="22"/>
                <w:lang w:val="el-GR"/>
              </w:rPr>
              <w:t>/</w:t>
            </w:r>
            <w:r w:rsidRPr="00422380">
              <w:rPr>
                <w:szCs w:val="22"/>
                <w:lang w:val="en-US"/>
              </w:rPr>
              <w:t>Amgen</w:t>
            </w:r>
            <w:r w:rsidRPr="00422380">
              <w:rPr>
                <w:szCs w:val="22"/>
                <w:lang w:val="el-GR"/>
              </w:rPr>
              <w:t xml:space="preserve"> </w:t>
            </w:r>
            <w:r w:rsidRPr="00422380">
              <w:rPr>
                <w:szCs w:val="22"/>
                <w:lang w:val="en-US"/>
              </w:rPr>
              <w:t>AB</w:t>
            </w:r>
            <w:r w:rsidRPr="00422380">
              <w:rPr>
                <w:szCs w:val="22"/>
                <w:lang w:val="el-GR"/>
              </w:rPr>
              <w:t xml:space="preserve">, </w:t>
            </w:r>
            <w:r w:rsidRPr="00422380">
              <w:rPr>
                <w:szCs w:val="22"/>
                <w:lang w:val="en-US"/>
              </w:rPr>
              <w:t>filial</w:t>
            </w:r>
            <w:r w:rsidRPr="00422380">
              <w:rPr>
                <w:szCs w:val="22"/>
                <w:lang w:val="el-GR"/>
              </w:rPr>
              <w:t xml:space="preserve"> </w:t>
            </w:r>
            <w:r w:rsidRPr="00422380">
              <w:rPr>
                <w:szCs w:val="22"/>
                <w:lang w:val="en-US"/>
              </w:rPr>
              <w:t>i</w:t>
            </w:r>
            <w:r w:rsidRPr="00422380">
              <w:rPr>
                <w:szCs w:val="22"/>
                <w:lang w:val="el-GR"/>
              </w:rPr>
              <w:t xml:space="preserve"> </w:t>
            </w:r>
            <w:r w:rsidRPr="00422380">
              <w:rPr>
                <w:szCs w:val="22"/>
                <w:lang w:val="en-US"/>
              </w:rPr>
              <w:t>Finland</w:t>
            </w:r>
          </w:p>
          <w:p w14:paraId="43E83314"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Puh/Tel: +358 (0)9 54900500</w:t>
            </w:r>
          </w:p>
        </w:tc>
      </w:tr>
      <w:tr w:rsidR="00171824" w14:paraId="436AF102" w14:textId="77777777">
        <w:trPr>
          <w:cantSplit/>
        </w:trPr>
        <w:tc>
          <w:tcPr>
            <w:tcW w:w="4677" w:type="dxa"/>
          </w:tcPr>
          <w:p w14:paraId="174D2E7B"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lastRenderedPageBreak/>
              <w:t>K</w:t>
            </w:r>
            <w:r>
              <w:rPr>
                <w:rFonts w:eastAsia="PMingLiU"/>
                <w:b/>
                <w:sz w:val="22"/>
                <w:szCs w:val="22"/>
                <w:lang w:val="el-GR"/>
              </w:rPr>
              <w:t>ύπρος</w:t>
            </w:r>
          </w:p>
          <w:p w14:paraId="06FCEC65"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C.A. Papaellinas Ltd</w:t>
            </w:r>
          </w:p>
          <w:p w14:paraId="30058BA6" w14:textId="77777777" w:rsidR="00171824" w:rsidRPr="00422380" w:rsidRDefault="006D258C">
            <w:pPr>
              <w:widowControl/>
              <w:tabs>
                <w:tab w:val="left" w:pos="567"/>
              </w:tabs>
              <w:autoSpaceDE/>
              <w:autoSpaceDN/>
              <w:adjustRightInd/>
              <w:rPr>
                <w:rFonts w:eastAsia="PMingLiU"/>
                <w:sz w:val="22"/>
                <w:szCs w:val="22"/>
              </w:rPr>
            </w:pPr>
            <w:r>
              <w:rPr>
                <w:rFonts w:eastAsia="PMingLiU"/>
                <w:sz w:val="22"/>
                <w:szCs w:val="22"/>
                <w:lang w:val="el-GR"/>
              </w:rPr>
              <w:t>Τηλ</w:t>
            </w:r>
            <w:r w:rsidRPr="00422380">
              <w:rPr>
                <w:rFonts w:eastAsia="PMingLiU"/>
                <w:sz w:val="22"/>
                <w:szCs w:val="22"/>
              </w:rPr>
              <w:t>: +357 22741 741</w:t>
            </w:r>
          </w:p>
          <w:p w14:paraId="5FCB388B" w14:textId="77777777" w:rsidR="00171824" w:rsidRPr="00422380" w:rsidRDefault="00171824">
            <w:pPr>
              <w:widowControl/>
              <w:tabs>
                <w:tab w:val="left" w:pos="567"/>
              </w:tabs>
              <w:autoSpaceDE/>
              <w:autoSpaceDN/>
              <w:adjustRightInd/>
              <w:rPr>
                <w:rFonts w:eastAsia="PMingLiU"/>
                <w:sz w:val="22"/>
                <w:szCs w:val="22"/>
              </w:rPr>
            </w:pPr>
          </w:p>
        </w:tc>
        <w:tc>
          <w:tcPr>
            <w:tcW w:w="4679" w:type="dxa"/>
          </w:tcPr>
          <w:p w14:paraId="12451327" w14:textId="77777777" w:rsidR="00171824" w:rsidRDefault="006D258C">
            <w:pPr>
              <w:widowControl/>
              <w:tabs>
                <w:tab w:val="left" w:pos="567"/>
              </w:tabs>
              <w:autoSpaceDE/>
              <w:autoSpaceDN/>
              <w:adjustRightInd/>
              <w:rPr>
                <w:rFonts w:eastAsia="PMingLiU"/>
                <w:sz w:val="22"/>
                <w:szCs w:val="22"/>
                <w:lang w:val="el-GR"/>
              </w:rPr>
            </w:pPr>
            <w:r>
              <w:rPr>
                <w:rFonts w:eastAsia="PMingLiU"/>
                <w:b/>
                <w:sz w:val="22"/>
                <w:szCs w:val="22"/>
                <w:lang w:val="el-GR"/>
              </w:rPr>
              <w:t>Sverige</w:t>
            </w:r>
          </w:p>
          <w:p w14:paraId="7EFC6CCC"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 xml:space="preserve">Amgen AB </w:t>
            </w:r>
          </w:p>
          <w:p w14:paraId="34E6BFB4"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+46 (0)8 6951100</w:t>
            </w:r>
          </w:p>
          <w:p w14:paraId="13551DF5" w14:textId="77777777" w:rsidR="00171824" w:rsidRDefault="00171824">
            <w:pPr>
              <w:widowControl/>
              <w:tabs>
                <w:tab w:val="left" w:pos="567"/>
              </w:tabs>
              <w:autoSpaceDE/>
              <w:autoSpaceDN/>
              <w:adjustRightInd/>
              <w:rPr>
                <w:rFonts w:eastAsia="PMingLiU"/>
                <w:sz w:val="22"/>
                <w:szCs w:val="22"/>
                <w:lang w:val="el-GR"/>
              </w:rPr>
            </w:pPr>
          </w:p>
        </w:tc>
      </w:tr>
      <w:tr w:rsidR="00171824" w14:paraId="4C52FA29" w14:textId="77777777">
        <w:trPr>
          <w:cantSplit/>
        </w:trPr>
        <w:tc>
          <w:tcPr>
            <w:tcW w:w="4677" w:type="dxa"/>
          </w:tcPr>
          <w:p w14:paraId="78ACAB9F" w14:textId="77777777" w:rsidR="00171824" w:rsidRPr="00422380" w:rsidRDefault="006D258C">
            <w:pPr>
              <w:widowControl/>
              <w:tabs>
                <w:tab w:val="left" w:pos="567"/>
              </w:tabs>
              <w:autoSpaceDE/>
              <w:autoSpaceDN/>
              <w:adjustRightInd/>
              <w:rPr>
                <w:rFonts w:eastAsia="PMingLiU"/>
                <w:b/>
                <w:sz w:val="22"/>
                <w:szCs w:val="22"/>
              </w:rPr>
            </w:pPr>
            <w:r w:rsidRPr="00422380">
              <w:rPr>
                <w:rFonts w:eastAsia="PMingLiU"/>
                <w:b/>
                <w:sz w:val="22"/>
                <w:szCs w:val="22"/>
              </w:rPr>
              <w:t>Latvija</w:t>
            </w:r>
          </w:p>
          <w:p w14:paraId="1340E10F" w14:textId="77777777" w:rsidR="00171824" w:rsidRPr="00422380" w:rsidRDefault="006D258C">
            <w:pPr>
              <w:widowControl/>
              <w:tabs>
                <w:tab w:val="left" w:pos="567"/>
              </w:tabs>
              <w:autoSpaceDE/>
              <w:autoSpaceDN/>
              <w:adjustRightInd/>
              <w:rPr>
                <w:rFonts w:eastAsia="PMingLiU"/>
                <w:sz w:val="22"/>
                <w:szCs w:val="22"/>
              </w:rPr>
            </w:pPr>
            <w:r w:rsidRPr="00422380">
              <w:rPr>
                <w:rFonts w:eastAsia="PMingLiU"/>
                <w:sz w:val="22"/>
                <w:szCs w:val="22"/>
              </w:rPr>
              <w:t>Amgen Switzerland AG Rīgas filiāle</w:t>
            </w:r>
          </w:p>
          <w:p w14:paraId="3B06BE50" w14:textId="77777777" w:rsidR="00171824" w:rsidRDefault="006D258C">
            <w:pPr>
              <w:widowControl/>
              <w:tabs>
                <w:tab w:val="left" w:pos="567"/>
              </w:tabs>
              <w:autoSpaceDE/>
              <w:autoSpaceDN/>
              <w:adjustRightInd/>
              <w:rPr>
                <w:rFonts w:eastAsia="PMingLiU"/>
                <w:sz w:val="22"/>
                <w:szCs w:val="22"/>
                <w:lang w:val="el-GR"/>
              </w:rPr>
            </w:pPr>
            <w:r>
              <w:rPr>
                <w:rFonts w:eastAsia="PMingLiU"/>
                <w:sz w:val="22"/>
                <w:szCs w:val="22"/>
                <w:lang w:val="el-GR"/>
              </w:rPr>
              <w:t>Tel: +371 257 25888</w:t>
            </w:r>
          </w:p>
          <w:p w14:paraId="0CBFCFF1" w14:textId="77777777" w:rsidR="00171824" w:rsidRDefault="00171824">
            <w:pPr>
              <w:widowControl/>
              <w:tabs>
                <w:tab w:val="left" w:pos="567"/>
              </w:tabs>
              <w:autoSpaceDE/>
              <w:autoSpaceDN/>
              <w:adjustRightInd/>
              <w:rPr>
                <w:rFonts w:eastAsia="PMingLiU"/>
                <w:sz w:val="22"/>
                <w:szCs w:val="22"/>
                <w:lang w:val="el-GR"/>
              </w:rPr>
            </w:pPr>
          </w:p>
        </w:tc>
        <w:tc>
          <w:tcPr>
            <w:tcW w:w="4679" w:type="dxa"/>
          </w:tcPr>
          <w:p w14:paraId="359911F7" w14:textId="77777777" w:rsidR="00171824" w:rsidRDefault="00171824">
            <w:pPr>
              <w:widowControl/>
              <w:tabs>
                <w:tab w:val="left" w:pos="567"/>
              </w:tabs>
              <w:autoSpaceDE/>
              <w:autoSpaceDN/>
              <w:adjustRightInd/>
              <w:rPr>
                <w:rFonts w:eastAsia="PMingLiU"/>
                <w:sz w:val="22"/>
                <w:szCs w:val="22"/>
                <w:lang w:val="el-GR"/>
              </w:rPr>
            </w:pPr>
          </w:p>
        </w:tc>
      </w:tr>
    </w:tbl>
    <w:p w14:paraId="2653D109" w14:textId="77777777" w:rsidR="00171824" w:rsidRDefault="00171824">
      <w:pPr>
        <w:widowControl/>
        <w:kinsoku w:val="0"/>
        <w:overflowPunct w:val="0"/>
        <w:rPr>
          <w:sz w:val="22"/>
          <w:szCs w:val="22"/>
          <w:lang w:val="el-GR"/>
        </w:rPr>
      </w:pPr>
    </w:p>
    <w:p w14:paraId="78870D73" w14:textId="77777777" w:rsidR="00171824" w:rsidRDefault="006D258C">
      <w:pPr>
        <w:keepNext/>
        <w:widowControl/>
        <w:kinsoku w:val="0"/>
        <w:overflowPunct w:val="0"/>
        <w:outlineLvl w:val="0"/>
        <w:rPr>
          <w:sz w:val="22"/>
          <w:szCs w:val="22"/>
          <w:lang w:val="el-GR"/>
        </w:rPr>
      </w:pPr>
      <w:r>
        <w:rPr>
          <w:b/>
          <w:bCs/>
          <w:sz w:val="22"/>
          <w:szCs w:val="22"/>
          <w:lang w:val="el-GR"/>
        </w:rPr>
        <w:t>Το παρόν φύλλο οδηγιών χρήσης αναθεωρήθηκε για τελευταία φορά στις</w:t>
      </w:r>
    </w:p>
    <w:p w14:paraId="701BE40B" w14:textId="77777777" w:rsidR="00171824" w:rsidRDefault="00171824">
      <w:pPr>
        <w:keepNext/>
        <w:widowControl/>
        <w:kinsoku w:val="0"/>
        <w:overflowPunct w:val="0"/>
        <w:rPr>
          <w:sz w:val="22"/>
          <w:szCs w:val="22"/>
          <w:lang w:val="el-GR"/>
        </w:rPr>
      </w:pPr>
    </w:p>
    <w:p w14:paraId="79087028" w14:textId="77777777" w:rsidR="00171824" w:rsidRDefault="006D258C">
      <w:pPr>
        <w:keepNext/>
        <w:widowControl/>
        <w:numPr>
          <w:ilvl w:val="12"/>
          <w:numId w:val="0"/>
        </w:numPr>
        <w:ind w:right="-2"/>
        <w:rPr>
          <w:b/>
          <w:sz w:val="22"/>
          <w:lang w:val="el-GR"/>
        </w:rPr>
      </w:pPr>
      <w:r>
        <w:rPr>
          <w:b/>
          <w:sz w:val="22"/>
          <w:lang w:val="el-GR"/>
        </w:rPr>
        <w:t>Άλλες πηγές πληροφοριών</w:t>
      </w:r>
    </w:p>
    <w:p w14:paraId="53C3999A" w14:textId="77777777" w:rsidR="00171824" w:rsidRDefault="00171824">
      <w:pPr>
        <w:widowControl/>
        <w:kinsoku w:val="0"/>
        <w:overflowPunct w:val="0"/>
        <w:rPr>
          <w:sz w:val="22"/>
          <w:szCs w:val="22"/>
          <w:lang w:val="el-GR"/>
        </w:rPr>
      </w:pPr>
    </w:p>
    <w:p w14:paraId="11E89884" w14:textId="77777777" w:rsidR="00171824" w:rsidRDefault="006D258C">
      <w:pPr>
        <w:widowControl/>
        <w:kinsoku w:val="0"/>
        <w:overflowPunct w:val="0"/>
        <w:rPr>
          <w:sz w:val="22"/>
          <w:szCs w:val="22"/>
          <w:lang w:val="el-GR"/>
        </w:rPr>
      </w:pPr>
      <w:r>
        <w:rPr>
          <w:sz w:val="22"/>
          <w:szCs w:val="22"/>
          <w:lang w:val="el-GR"/>
        </w:rPr>
        <w:t xml:space="preserve">Λεπτομερείς πληροφορίες για το φάρμακο αυτό είναι διαθέσιμες στο δικτυακό τόπο του Ευρωπαϊκού Οργανισμού Φαρμάκων: </w:t>
      </w:r>
      <w:hyperlink r:id="rId90" w:history="1">
        <w:r>
          <w:rPr>
            <w:rStyle w:val="Hyperlink"/>
            <w:color w:val="0000FF"/>
            <w:sz w:val="22"/>
            <w:szCs w:val="22"/>
            <w:lang w:val="el-GR"/>
          </w:rPr>
          <w:t>http://www.ema.europa.eu</w:t>
        </w:r>
      </w:hyperlink>
      <w:r>
        <w:rPr>
          <w:sz w:val="22"/>
          <w:szCs w:val="22"/>
          <w:lang w:val="el-GR"/>
        </w:rPr>
        <w:t>.</w:t>
      </w:r>
    </w:p>
    <w:p w14:paraId="232FC530" w14:textId="77777777" w:rsidR="00171824" w:rsidRDefault="00171824">
      <w:pPr>
        <w:widowControl/>
        <w:autoSpaceDE/>
        <w:autoSpaceDN/>
        <w:adjustRightInd/>
        <w:rPr>
          <w:rFonts w:eastAsia="Arial Unicode MS"/>
          <w:color w:val="000000"/>
          <w:sz w:val="22"/>
          <w:lang w:val="el-GR" w:bidi="en-US"/>
        </w:rPr>
      </w:pPr>
    </w:p>
    <w:p w14:paraId="7AAC95FB" w14:textId="77777777" w:rsidR="00171824" w:rsidRDefault="00171824">
      <w:pPr>
        <w:widowControl/>
        <w:autoSpaceDE/>
        <w:autoSpaceDN/>
        <w:adjustRightInd/>
        <w:rPr>
          <w:rFonts w:eastAsia="Arial Unicode MS"/>
          <w:color w:val="000000"/>
          <w:sz w:val="22"/>
          <w:lang w:val="el-GR" w:bidi="en-US"/>
        </w:rPr>
      </w:pPr>
    </w:p>
    <w:p w14:paraId="4A02AC54" w14:textId="77777777" w:rsidR="00171824" w:rsidRDefault="006D258C">
      <w:pPr>
        <w:suppressAutoHyphens/>
        <w:ind w:left="72"/>
        <w:contextualSpacing/>
        <w:textAlignment w:val="center"/>
        <w:rPr>
          <w:sz w:val="22"/>
          <w:szCs w:val="22"/>
          <w:highlight w:val="lightGray"/>
          <w:lang w:val="el-GR"/>
        </w:rPr>
      </w:pPr>
      <w:r>
        <w:rPr>
          <w:sz w:val="22"/>
          <w:lang w:val="el-GR"/>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171824" w14:paraId="23242FB3" w14:textId="77777777">
        <w:trPr>
          <w:cantSplit/>
          <w:trHeight w:val="57"/>
        </w:trPr>
        <w:tc>
          <w:tcPr>
            <w:tcW w:w="5000" w:type="pct"/>
            <w:gridSpan w:val="3"/>
            <w:tcBorders>
              <w:bottom w:val="single" w:sz="4" w:space="0" w:color="auto"/>
            </w:tcBorders>
          </w:tcPr>
          <w:p w14:paraId="6399ECF4" w14:textId="77777777" w:rsidR="00171824" w:rsidRDefault="006D258C">
            <w:pPr>
              <w:keepNext/>
              <w:keepLines/>
              <w:jc w:val="center"/>
              <w:rPr>
                <w:b/>
                <w:bCs/>
                <w:sz w:val="22"/>
                <w:szCs w:val="22"/>
                <w:lang w:val="el-GR"/>
              </w:rPr>
            </w:pPr>
            <w:r>
              <w:rPr>
                <w:b/>
                <w:sz w:val="22"/>
                <w:szCs w:val="22"/>
                <w:lang w:val="el-GR"/>
              </w:rPr>
              <w:lastRenderedPageBreak/>
              <w:t>ΟΔΗΓΙΕΣ ΧΡΗΣΗΣ 80 mg / 0,8 ml</w:t>
            </w:r>
          </w:p>
        </w:tc>
      </w:tr>
      <w:tr w:rsidR="00171824" w14:paraId="36397300" w14:textId="77777777">
        <w:trPr>
          <w:cantSplit/>
          <w:trHeight w:val="57"/>
        </w:trPr>
        <w:tc>
          <w:tcPr>
            <w:tcW w:w="5000" w:type="pct"/>
            <w:gridSpan w:val="3"/>
            <w:tcBorders>
              <w:top w:val="single" w:sz="4" w:space="0" w:color="auto"/>
              <w:left w:val="nil"/>
              <w:bottom w:val="single" w:sz="4" w:space="0" w:color="auto"/>
              <w:right w:val="nil"/>
            </w:tcBorders>
          </w:tcPr>
          <w:p w14:paraId="3E469E73" w14:textId="77777777" w:rsidR="00171824" w:rsidRDefault="00171824">
            <w:pPr>
              <w:keepNext/>
              <w:keepLines/>
              <w:jc w:val="center"/>
              <w:rPr>
                <w:bCs/>
                <w:sz w:val="22"/>
                <w:szCs w:val="22"/>
                <w:lang w:val="el-GR"/>
              </w:rPr>
            </w:pPr>
          </w:p>
        </w:tc>
      </w:tr>
      <w:tr w:rsidR="00171824" w:rsidRPr="00A07F46" w14:paraId="207AB081" w14:textId="77777777">
        <w:trPr>
          <w:cantSplit/>
          <w:trHeight w:val="57"/>
        </w:trPr>
        <w:tc>
          <w:tcPr>
            <w:tcW w:w="5000" w:type="pct"/>
            <w:gridSpan w:val="3"/>
            <w:tcBorders>
              <w:top w:val="single" w:sz="4" w:space="0" w:color="auto"/>
            </w:tcBorders>
          </w:tcPr>
          <w:p w14:paraId="54FD9CF1" w14:textId="77777777" w:rsidR="00171824" w:rsidRDefault="006D258C">
            <w:pPr>
              <w:keepNext/>
              <w:keepLines/>
              <w:rPr>
                <w:sz w:val="22"/>
                <w:szCs w:val="22"/>
                <w:lang w:val="el-GR"/>
              </w:rPr>
            </w:pPr>
            <w:r>
              <w:rPr>
                <w:sz w:val="22"/>
                <w:szCs w:val="22"/>
                <w:lang w:val="el-GR"/>
              </w:rPr>
              <w:t>Εξοικειωθείτε με την προγεμισμένη συσκευή σας τύπου πένας SureClick</w:t>
            </w:r>
          </w:p>
        </w:tc>
      </w:tr>
      <w:tr w:rsidR="00171824" w14:paraId="7E9A822D"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171824" w:rsidRPr="00A07F46" w14:paraId="1E7E0D42" w14:textId="77777777">
              <w:trPr>
                <w:trHeight w:val="483"/>
              </w:trPr>
              <w:tc>
                <w:tcPr>
                  <w:tcW w:w="1763" w:type="dxa"/>
                </w:tcPr>
                <w:p w14:paraId="1DD20E5F" w14:textId="77777777" w:rsidR="00171824" w:rsidRDefault="00171824">
                  <w:pPr>
                    <w:framePr w:hSpace="141" w:wrap="around" w:vAnchor="text" w:hAnchor="text" w:x="108" w:y="1"/>
                    <w:suppressOverlap/>
                    <w:jc w:val="center"/>
                    <w:rPr>
                      <w:sz w:val="22"/>
                      <w:szCs w:val="22"/>
                      <w:lang w:val="el-GR"/>
                    </w:rPr>
                  </w:pPr>
                </w:p>
              </w:tc>
            </w:tr>
            <w:tr w:rsidR="00171824" w14:paraId="02A428EB" w14:textId="77777777">
              <w:trPr>
                <w:trHeight w:val="990"/>
              </w:trPr>
              <w:tc>
                <w:tcPr>
                  <w:tcW w:w="1763" w:type="dxa"/>
                </w:tcPr>
                <w:p w14:paraId="64CF6009" w14:textId="77777777" w:rsidR="00171824" w:rsidRDefault="006D258C">
                  <w:pPr>
                    <w:framePr w:hSpace="141" w:wrap="around" w:vAnchor="text" w:hAnchor="text" w:x="108" w:y="1"/>
                    <w:suppressOverlap/>
                    <w:jc w:val="right"/>
                    <w:rPr>
                      <w:sz w:val="22"/>
                      <w:szCs w:val="22"/>
                      <w:lang w:val="el-GR"/>
                    </w:rPr>
                  </w:pPr>
                  <w:r>
                    <w:rPr>
                      <w:sz w:val="22"/>
                      <w:szCs w:val="22"/>
                      <w:lang w:val="el-GR"/>
                    </w:rPr>
                    <w:t>Ημερομηνία λήξης</w:t>
                  </w:r>
                </w:p>
              </w:tc>
            </w:tr>
            <w:tr w:rsidR="00171824" w14:paraId="32B1980B" w14:textId="77777777">
              <w:trPr>
                <w:trHeight w:val="580"/>
              </w:trPr>
              <w:tc>
                <w:tcPr>
                  <w:tcW w:w="1763" w:type="dxa"/>
                </w:tcPr>
                <w:p w14:paraId="6EC26535" w14:textId="77777777" w:rsidR="00171824" w:rsidRDefault="00171824">
                  <w:pPr>
                    <w:framePr w:hSpace="141" w:wrap="around" w:vAnchor="text" w:hAnchor="text" w:x="108" w:y="1"/>
                    <w:suppressOverlap/>
                    <w:jc w:val="right"/>
                    <w:rPr>
                      <w:sz w:val="22"/>
                      <w:szCs w:val="22"/>
                      <w:lang w:val="el-GR"/>
                    </w:rPr>
                  </w:pPr>
                </w:p>
              </w:tc>
            </w:tr>
            <w:tr w:rsidR="00171824" w14:paraId="69C2551A" w14:textId="77777777">
              <w:trPr>
                <w:trHeight w:val="1126"/>
              </w:trPr>
              <w:tc>
                <w:tcPr>
                  <w:tcW w:w="1763" w:type="dxa"/>
                </w:tcPr>
                <w:p w14:paraId="6222BD3A" w14:textId="77777777" w:rsidR="00171824" w:rsidRDefault="00171824">
                  <w:pPr>
                    <w:framePr w:hSpace="141" w:wrap="around" w:vAnchor="text" w:hAnchor="text" w:x="108" w:y="1"/>
                    <w:suppressOverlap/>
                    <w:jc w:val="right"/>
                    <w:rPr>
                      <w:sz w:val="22"/>
                      <w:szCs w:val="22"/>
                      <w:lang w:val="el-GR"/>
                    </w:rPr>
                  </w:pPr>
                </w:p>
              </w:tc>
            </w:tr>
            <w:tr w:rsidR="00171824" w14:paraId="5B529161" w14:textId="77777777">
              <w:trPr>
                <w:trHeight w:val="972"/>
              </w:trPr>
              <w:tc>
                <w:tcPr>
                  <w:tcW w:w="1763" w:type="dxa"/>
                </w:tcPr>
                <w:p w14:paraId="5F47AA06" w14:textId="77777777" w:rsidR="00171824" w:rsidRDefault="006D258C">
                  <w:pPr>
                    <w:framePr w:hSpace="141" w:wrap="around" w:vAnchor="text" w:hAnchor="text" w:x="108" w:y="1"/>
                    <w:suppressOverlap/>
                    <w:jc w:val="right"/>
                    <w:rPr>
                      <w:sz w:val="22"/>
                      <w:szCs w:val="22"/>
                      <w:lang w:val="el-GR"/>
                    </w:rPr>
                  </w:pPr>
                  <w:r>
                    <w:rPr>
                      <w:sz w:val="22"/>
                      <w:szCs w:val="22"/>
                      <w:lang w:val="el-GR"/>
                    </w:rPr>
                    <w:t>Παράθυρο</w:t>
                  </w:r>
                </w:p>
              </w:tc>
            </w:tr>
            <w:tr w:rsidR="00171824" w:rsidRPr="00A07F46" w14:paraId="1E98E744" w14:textId="77777777">
              <w:trPr>
                <w:trHeight w:val="1128"/>
              </w:trPr>
              <w:tc>
                <w:tcPr>
                  <w:tcW w:w="1763" w:type="dxa"/>
                </w:tcPr>
                <w:p w14:paraId="09A010FB" w14:textId="77777777" w:rsidR="00171824" w:rsidRDefault="006D258C">
                  <w:pPr>
                    <w:framePr w:hSpace="141" w:wrap="around" w:vAnchor="text" w:hAnchor="text" w:x="108" w:y="1"/>
                    <w:suppressOverlap/>
                    <w:jc w:val="right"/>
                    <w:rPr>
                      <w:sz w:val="22"/>
                      <w:szCs w:val="22"/>
                      <w:lang w:val="el-GR"/>
                    </w:rPr>
                  </w:pPr>
                  <w:r>
                    <w:rPr>
                      <w:sz w:val="22"/>
                      <w:szCs w:val="22"/>
                      <w:lang w:val="el-GR"/>
                    </w:rPr>
                    <w:t>Κρεμ προστατευτικό κάλυμμα ασφαλείας</w:t>
                  </w:r>
                </w:p>
                <w:p w14:paraId="5CB81F62" w14:textId="77777777" w:rsidR="00171824" w:rsidRDefault="006D258C">
                  <w:pPr>
                    <w:framePr w:hSpace="141" w:wrap="around" w:vAnchor="text" w:hAnchor="text" w:x="108" w:y="1"/>
                    <w:suppressOverlap/>
                    <w:jc w:val="right"/>
                    <w:rPr>
                      <w:sz w:val="22"/>
                      <w:szCs w:val="22"/>
                      <w:lang w:val="el-GR"/>
                    </w:rPr>
                  </w:pPr>
                  <w:r>
                    <w:rPr>
                      <w:sz w:val="22"/>
                      <w:szCs w:val="22"/>
                      <w:lang w:val="el-GR"/>
                    </w:rPr>
                    <w:t xml:space="preserve"> (η βελόνα είναι στο εσωτερικό)</w:t>
                  </w:r>
                </w:p>
              </w:tc>
            </w:tr>
          </w:tbl>
          <w:p w14:paraId="6AECEE6C" w14:textId="77777777" w:rsidR="00171824" w:rsidRDefault="00171824">
            <w:pPr>
              <w:keepNext/>
              <w:jc w:val="right"/>
              <w:rPr>
                <w:sz w:val="22"/>
                <w:szCs w:val="22"/>
                <w:lang w:val="el-GR"/>
              </w:rPr>
            </w:pPr>
          </w:p>
        </w:tc>
        <w:tc>
          <w:tcPr>
            <w:tcW w:w="1447" w:type="pct"/>
            <w:tcBorders>
              <w:top w:val="nil"/>
              <w:left w:val="nil"/>
              <w:bottom w:val="single" w:sz="4" w:space="0" w:color="auto"/>
              <w:right w:val="nil"/>
            </w:tcBorders>
          </w:tcPr>
          <w:p w14:paraId="1E839375" w14:textId="3FB91861" w:rsidR="00171824" w:rsidRDefault="009039B7">
            <w:pPr>
              <w:jc w:val="center"/>
              <w:rPr>
                <w:sz w:val="22"/>
                <w:szCs w:val="22"/>
                <w:lang w:val="el-GR"/>
              </w:rPr>
            </w:pPr>
            <w:r>
              <w:rPr>
                <w:noProof/>
                <w:sz w:val="22"/>
                <w:szCs w:val="22"/>
                <w:lang w:val="el-GR"/>
              </w:rPr>
              <w:drawing>
                <wp:inline distT="0" distB="0" distL="0" distR="0" wp14:anchorId="41F868E8" wp14:editId="74D237F1">
                  <wp:extent cx="1097280" cy="3200400"/>
                  <wp:effectExtent l="0" t="0" r="0" b="0"/>
                  <wp:docPr id="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97280" cy="3200400"/>
                          </a:xfrm>
                          <a:prstGeom prst="rect">
                            <a:avLst/>
                          </a:prstGeom>
                          <a:noFill/>
                          <a:ln>
                            <a:noFill/>
                          </a:ln>
                        </pic:spPr>
                      </pic:pic>
                    </a:graphicData>
                  </a:graphic>
                </wp:inline>
              </w:drawing>
            </w:r>
          </w:p>
          <w:p w14:paraId="38BCAA79" w14:textId="77777777" w:rsidR="00171824" w:rsidRDefault="00171824">
            <w:pPr>
              <w:jc w:val="center"/>
              <w:rPr>
                <w:sz w:val="22"/>
                <w:szCs w:val="22"/>
                <w:lang w:val="el-GR"/>
              </w:rPr>
            </w:pPr>
          </w:p>
          <w:p w14:paraId="38E4BBEC" w14:textId="77777777" w:rsidR="00171824" w:rsidRDefault="00171824">
            <w:pPr>
              <w:jc w:val="center"/>
              <w:rPr>
                <w:sz w:val="22"/>
                <w:szCs w:val="22"/>
                <w:lang w:val="el-GR"/>
              </w:rPr>
            </w:pPr>
          </w:p>
          <w:p w14:paraId="3A0A3004" w14:textId="77777777" w:rsidR="00171824" w:rsidRDefault="006D258C">
            <w:pPr>
              <w:jc w:val="center"/>
              <w:rPr>
                <w:sz w:val="22"/>
                <w:szCs w:val="22"/>
                <w:lang w:val="el-GR"/>
              </w:rPr>
            </w:pPr>
            <w:r>
              <w:rPr>
                <w:sz w:val="22"/>
                <w:szCs w:val="22"/>
                <w:lang w:val="el-GR"/>
              </w:rPr>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171824" w14:paraId="539C7B84" w14:textId="77777777">
              <w:trPr>
                <w:trHeight w:val="461"/>
              </w:trPr>
              <w:tc>
                <w:tcPr>
                  <w:tcW w:w="1852" w:type="dxa"/>
                </w:tcPr>
                <w:p w14:paraId="33E0D6C8" w14:textId="77777777" w:rsidR="00171824" w:rsidRDefault="006D258C">
                  <w:pPr>
                    <w:framePr w:hSpace="141" w:wrap="around" w:vAnchor="text" w:hAnchor="text" w:x="108" w:y="1"/>
                    <w:suppressOverlap/>
                    <w:rPr>
                      <w:sz w:val="22"/>
                      <w:szCs w:val="22"/>
                      <w:lang w:val="el-GR"/>
                    </w:rPr>
                  </w:pPr>
                  <w:r>
                    <w:rPr>
                      <w:sz w:val="22"/>
                      <w:szCs w:val="22"/>
                      <w:lang w:val="el-GR"/>
                    </w:rPr>
                    <w:t>Γαλάζιο κουμπί έναρξης</w:t>
                  </w:r>
                </w:p>
              </w:tc>
            </w:tr>
            <w:tr w:rsidR="00171824" w14:paraId="58BDD010" w14:textId="77777777">
              <w:trPr>
                <w:trHeight w:val="963"/>
              </w:trPr>
              <w:tc>
                <w:tcPr>
                  <w:tcW w:w="1852" w:type="dxa"/>
                </w:tcPr>
                <w:p w14:paraId="353B4E05" w14:textId="77777777" w:rsidR="00171824" w:rsidRDefault="00171824">
                  <w:pPr>
                    <w:framePr w:hSpace="141" w:wrap="around" w:vAnchor="text" w:hAnchor="text" w:x="108" w:y="1"/>
                    <w:suppressOverlap/>
                    <w:rPr>
                      <w:sz w:val="22"/>
                      <w:szCs w:val="22"/>
                      <w:lang w:val="el-GR"/>
                    </w:rPr>
                  </w:pPr>
                </w:p>
                <w:p w14:paraId="3F2CF234" w14:textId="77777777" w:rsidR="00171824" w:rsidRDefault="00171824">
                  <w:pPr>
                    <w:framePr w:hSpace="141" w:wrap="around" w:vAnchor="text" w:hAnchor="text" w:x="108" w:y="1"/>
                    <w:suppressOverlap/>
                    <w:rPr>
                      <w:sz w:val="22"/>
                      <w:szCs w:val="22"/>
                      <w:lang w:val="el-GR"/>
                    </w:rPr>
                  </w:pPr>
                </w:p>
                <w:p w14:paraId="3A548D4F" w14:textId="77777777" w:rsidR="00171824" w:rsidRDefault="00171824">
                  <w:pPr>
                    <w:framePr w:hSpace="141" w:wrap="around" w:vAnchor="text" w:hAnchor="text" w:x="108" w:y="1"/>
                    <w:suppressOverlap/>
                    <w:rPr>
                      <w:sz w:val="22"/>
                      <w:szCs w:val="22"/>
                      <w:lang w:val="el-GR"/>
                    </w:rPr>
                  </w:pPr>
                </w:p>
              </w:tc>
            </w:tr>
            <w:tr w:rsidR="00171824" w:rsidRPr="00A07F46" w14:paraId="32CD2967" w14:textId="77777777">
              <w:trPr>
                <w:trHeight w:val="725"/>
              </w:trPr>
              <w:tc>
                <w:tcPr>
                  <w:tcW w:w="1852" w:type="dxa"/>
                </w:tcPr>
                <w:p w14:paraId="04E3D0C8" w14:textId="77777777" w:rsidR="00171824" w:rsidRDefault="006D258C">
                  <w:pPr>
                    <w:framePr w:hSpace="141" w:wrap="around" w:vAnchor="text" w:hAnchor="text" w:x="108" w:y="1"/>
                    <w:suppressOverlap/>
                    <w:rPr>
                      <w:sz w:val="22"/>
                      <w:szCs w:val="22"/>
                      <w:lang w:val="el-GR"/>
                    </w:rPr>
                  </w:pPr>
                  <w:r>
                    <w:rPr>
                      <w:sz w:val="22"/>
                      <w:szCs w:val="22"/>
                      <w:lang w:val="el-GR"/>
                    </w:rPr>
                    <w:t>Έμβολο (μπορεί να είναι ορατό στο παράθυρο, η θέση μπορεί να διαφέρει)</w:t>
                  </w:r>
                </w:p>
              </w:tc>
            </w:tr>
            <w:tr w:rsidR="00171824" w:rsidRPr="00A07F46" w14:paraId="7941C234" w14:textId="77777777">
              <w:trPr>
                <w:trHeight w:val="598"/>
              </w:trPr>
              <w:tc>
                <w:tcPr>
                  <w:tcW w:w="1852" w:type="dxa"/>
                </w:tcPr>
                <w:p w14:paraId="03BA165C" w14:textId="77777777" w:rsidR="00171824" w:rsidRDefault="00171824">
                  <w:pPr>
                    <w:framePr w:hSpace="141" w:wrap="around" w:vAnchor="text" w:hAnchor="text" w:x="108" w:y="1"/>
                    <w:suppressOverlap/>
                    <w:rPr>
                      <w:sz w:val="22"/>
                      <w:szCs w:val="22"/>
                      <w:lang w:val="el-GR"/>
                    </w:rPr>
                  </w:pPr>
                </w:p>
                <w:p w14:paraId="14F874E8" w14:textId="77777777" w:rsidR="00171824" w:rsidRDefault="00171824">
                  <w:pPr>
                    <w:framePr w:hSpace="141" w:wrap="around" w:vAnchor="text" w:hAnchor="text" w:x="108" w:y="1"/>
                    <w:suppressOverlap/>
                    <w:rPr>
                      <w:sz w:val="22"/>
                      <w:szCs w:val="22"/>
                      <w:lang w:val="el-GR"/>
                    </w:rPr>
                  </w:pPr>
                </w:p>
                <w:p w14:paraId="1AA9A593" w14:textId="77777777" w:rsidR="00171824" w:rsidRDefault="00171824">
                  <w:pPr>
                    <w:framePr w:hSpace="141" w:wrap="around" w:vAnchor="text" w:hAnchor="text" w:x="108" w:y="1"/>
                    <w:suppressOverlap/>
                    <w:rPr>
                      <w:sz w:val="22"/>
                      <w:szCs w:val="22"/>
                      <w:lang w:val="el-GR"/>
                    </w:rPr>
                  </w:pPr>
                </w:p>
              </w:tc>
            </w:tr>
            <w:tr w:rsidR="00171824" w14:paraId="403C9F73" w14:textId="77777777" w:rsidTr="00F031F8">
              <w:trPr>
                <w:trHeight w:val="1094"/>
              </w:trPr>
              <w:tc>
                <w:tcPr>
                  <w:tcW w:w="1852" w:type="dxa"/>
                </w:tcPr>
                <w:p w14:paraId="6AC441DE" w14:textId="77777777" w:rsidR="00171824" w:rsidRDefault="006D258C">
                  <w:pPr>
                    <w:framePr w:hSpace="141" w:wrap="around" w:vAnchor="text" w:hAnchor="text" w:x="108" w:y="1"/>
                    <w:suppressOverlap/>
                    <w:rPr>
                      <w:sz w:val="22"/>
                      <w:szCs w:val="22"/>
                      <w:lang w:val="el-GR"/>
                    </w:rPr>
                  </w:pPr>
                  <w:r>
                    <w:rPr>
                      <w:sz w:val="22"/>
                      <w:szCs w:val="22"/>
                      <w:lang w:val="el-GR"/>
                    </w:rPr>
                    <w:t>Φάρμακο</w:t>
                  </w:r>
                </w:p>
                <w:p w14:paraId="061FE0F5" w14:textId="77777777" w:rsidR="00171824" w:rsidRDefault="00171824">
                  <w:pPr>
                    <w:framePr w:hSpace="141" w:wrap="around" w:vAnchor="text" w:hAnchor="text" w:x="108" w:y="1"/>
                    <w:suppressOverlap/>
                    <w:rPr>
                      <w:sz w:val="22"/>
                      <w:szCs w:val="22"/>
                      <w:lang w:val="el-GR"/>
                    </w:rPr>
                  </w:pPr>
                </w:p>
                <w:p w14:paraId="1005BB7F" w14:textId="77777777" w:rsidR="00171824" w:rsidRDefault="00171824">
                  <w:pPr>
                    <w:framePr w:hSpace="141" w:wrap="around" w:vAnchor="text" w:hAnchor="text" w:x="108" w:y="1"/>
                    <w:suppressOverlap/>
                    <w:rPr>
                      <w:sz w:val="22"/>
                      <w:szCs w:val="22"/>
                      <w:lang w:val="el-GR"/>
                    </w:rPr>
                  </w:pPr>
                </w:p>
                <w:p w14:paraId="46F6BC38" w14:textId="77777777" w:rsidR="00171824" w:rsidRDefault="00171824">
                  <w:pPr>
                    <w:framePr w:hSpace="141" w:wrap="around" w:vAnchor="text" w:hAnchor="text" w:x="108" w:y="1"/>
                    <w:suppressOverlap/>
                    <w:rPr>
                      <w:sz w:val="22"/>
                      <w:szCs w:val="22"/>
                      <w:lang w:val="el-GR"/>
                    </w:rPr>
                  </w:pPr>
                </w:p>
                <w:p w14:paraId="029F9C52" w14:textId="77777777" w:rsidR="00171824" w:rsidRDefault="00171824">
                  <w:pPr>
                    <w:framePr w:hSpace="141" w:wrap="around" w:vAnchor="text" w:hAnchor="text" w:x="108" w:y="1"/>
                    <w:suppressOverlap/>
                    <w:rPr>
                      <w:sz w:val="22"/>
                      <w:szCs w:val="22"/>
                      <w:lang w:val="el-GR"/>
                    </w:rPr>
                  </w:pPr>
                </w:p>
              </w:tc>
            </w:tr>
            <w:tr w:rsidR="00171824" w14:paraId="3E208E97" w14:textId="77777777">
              <w:trPr>
                <w:trHeight w:val="568"/>
              </w:trPr>
              <w:tc>
                <w:tcPr>
                  <w:tcW w:w="1852" w:type="dxa"/>
                </w:tcPr>
                <w:p w14:paraId="70BDD851" w14:textId="77777777" w:rsidR="00171824" w:rsidRDefault="006D258C">
                  <w:pPr>
                    <w:framePr w:hSpace="141" w:wrap="around" w:vAnchor="text" w:hAnchor="text" w:x="108" w:y="1"/>
                    <w:suppressOverlap/>
                    <w:rPr>
                      <w:sz w:val="22"/>
                      <w:szCs w:val="22"/>
                      <w:lang w:val="el-GR"/>
                    </w:rPr>
                  </w:pPr>
                  <w:r>
                    <w:rPr>
                      <w:sz w:val="22"/>
                      <w:szCs w:val="22"/>
                      <w:lang w:val="el-GR"/>
                    </w:rPr>
                    <w:t>Κίτρινο κάλυμμα</w:t>
                  </w:r>
                </w:p>
              </w:tc>
            </w:tr>
          </w:tbl>
          <w:p w14:paraId="020B17BE" w14:textId="77777777" w:rsidR="00171824" w:rsidRDefault="00171824">
            <w:pPr>
              <w:rPr>
                <w:sz w:val="22"/>
                <w:szCs w:val="22"/>
                <w:lang w:val="el-GR"/>
              </w:rPr>
            </w:pPr>
          </w:p>
        </w:tc>
      </w:tr>
    </w:tbl>
    <w:p w14:paraId="0880F45C" w14:textId="77777777" w:rsidR="00171824" w:rsidRDefault="00171824">
      <w:pPr>
        <w:rPr>
          <w:b/>
          <w:bCs/>
          <w:sz w:val="22"/>
          <w:szCs w:val="22"/>
          <w:lang w:val="el-GR"/>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171824" w:rsidRPr="00A07F46" w14:paraId="40D6AF6F"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562B2924" w14:textId="77777777" w:rsidR="00171824" w:rsidRDefault="006D258C">
            <w:pPr>
              <w:keepNext/>
              <w:rPr>
                <w:b/>
                <w:bCs/>
                <w:sz w:val="22"/>
                <w:szCs w:val="22"/>
                <w:lang w:val="el-GR"/>
              </w:rPr>
            </w:pPr>
            <w:r>
              <w:rPr>
                <w:b/>
                <w:sz w:val="22"/>
                <w:szCs w:val="22"/>
                <w:lang w:val="el-GR"/>
              </w:rPr>
              <w:t>1</w:t>
            </w:r>
          </w:p>
        </w:tc>
        <w:tc>
          <w:tcPr>
            <w:tcW w:w="4688" w:type="pct"/>
            <w:tcBorders>
              <w:left w:val="single" w:sz="4" w:space="0" w:color="auto"/>
              <w:bottom w:val="single" w:sz="4" w:space="0" w:color="auto"/>
            </w:tcBorders>
          </w:tcPr>
          <w:p w14:paraId="50D61B00" w14:textId="77777777" w:rsidR="00171824" w:rsidRDefault="006D258C">
            <w:pPr>
              <w:keepNext/>
              <w:rPr>
                <w:b/>
                <w:bCs/>
                <w:sz w:val="22"/>
                <w:szCs w:val="22"/>
                <w:lang w:val="el-GR"/>
              </w:rPr>
            </w:pPr>
            <w:r>
              <w:rPr>
                <w:b/>
                <w:sz w:val="22"/>
                <w:szCs w:val="22"/>
                <w:lang w:val="el-GR"/>
              </w:rPr>
              <w:t>Σημαντικές πληροφορίες που πρέπει να γνωρίζετε προτού κάνετε την ένεση AMGEVITA</w:t>
            </w:r>
          </w:p>
        </w:tc>
      </w:tr>
      <w:tr w:rsidR="00171824" w:rsidRPr="00A07F46" w14:paraId="4CA33F0F" w14:textId="77777777">
        <w:trPr>
          <w:cantSplit/>
          <w:trHeight w:val="57"/>
          <w:del w:id="325" w:author="Author"/>
        </w:trPr>
        <w:tc>
          <w:tcPr>
            <w:tcW w:w="5000" w:type="pct"/>
            <w:gridSpan w:val="2"/>
            <w:tcBorders>
              <w:bottom w:val="nil"/>
            </w:tcBorders>
            <w:tcMar>
              <w:top w:w="57" w:type="dxa"/>
              <w:left w:w="57" w:type="dxa"/>
              <w:bottom w:w="57" w:type="dxa"/>
              <w:right w:w="57" w:type="dxa"/>
            </w:tcMar>
          </w:tcPr>
          <w:p w14:paraId="07150667" w14:textId="77777777" w:rsidR="00171824" w:rsidRDefault="006D258C">
            <w:pPr>
              <w:keepNext/>
              <w:rPr>
                <w:del w:id="326" w:author="Author"/>
                <w:b/>
                <w:bCs/>
                <w:sz w:val="22"/>
                <w:szCs w:val="22"/>
                <w:lang w:val="el-GR"/>
              </w:rPr>
            </w:pPr>
            <w:del w:id="327" w:author="Author">
              <w:r>
                <w:rPr>
                  <w:b/>
                  <w:sz w:val="22"/>
                  <w:szCs w:val="22"/>
                  <w:lang w:val="el-GR"/>
                </w:rPr>
                <w:delText>Πώς να χρησιμοποιείτε την προγεμισμένη συσκευή σας τύπου πένας AMGEVITA SureClick:</w:delText>
              </w:r>
            </w:del>
          </w:p>
        </w:tc>
      </w:tr>
      <w:tr w:rsidR="00171824" w:rsidRPr="00A07F46" w14:paraId="445D27D0" w14:textId="77777777">
        <w:trPr>
          <w:cantSplit/>
          <w:trHeight w:val="57"/>
        </w:trPr>
        <w:tc>
          <w:tcPr>
            <w:tcW w:w="312" w:type="pct"/>
            <w:tcBorders>
              <w:top w:val="nil"/>
              <w:bottom w:val="nil"/>
              <w:right w:val="nil"/>
            </w:tcBorders>
          </w:tcPr>
          <w:p w14:paraId="2DB711A5" w14:textId="77777777" w:rsidR="00171824" w:rsidRDefault="00171824">
            <w:pPr>
              <w:keepNext/>
              <w:widowControl/>
              <w:numPr>
                <w:ilvl w:val="0"/>
                <w:numId w:val="36"/>
              </w:numPr>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632CAFB2" w14:textId="77777777" w:rsidR="00171824" w:rsidRDefault="006D258C">
            <w:pPr>
              <w:keepNext/>
              <w:rPr>
                <w:b/>
                <w:bCs/>
                <w:sz w:val="22"/>
                <w:szCs w:val="22"/>
                <w:lang w:val="el-GR"/>
              </w:rPr>
            </w:pPr>
            <w:r>
              <w:rPr>
                <w:sz w:val="22"/>
                <w:szCs w:val="22"/>
                <w:lang w:val="el-GR"/>
              </w:rPr>
              <w:t>Είναι σημαντικό να μην επιχειρήσετε να κάνετε μόνοι σας την ένεση προτού διαβάσετε και κατανοήσετε πλήρως αυτές τις οδηγίες χρήσης και παρά μόνο εάν έχετε λάβει εκπαίδευση από τον γιατρό ή τον πάροχο υγειονομικής περίθαλψης.</w:t>
            </w:r>
          </w:p>
        </w:tc>
      </w:tr>
      <w:tr w:rsidR="00171824" w:rsidRPr="00A07F46" w14:paraId="6F2E59D8" w14:textId="77777777">
        <w:trPr>
          <w:cantSplit/>
          <w:trHeight w:val="57"/>
        </w:trPr>
        <w:tc>
          <w:tcPr>
            <w:tcW w:w="312" w:type="pct"/>
            <w:tcBorders>
              <w:top w:val="nil"/>
              <w:bottom w:val="nil"/>
              <w:right w:val="nil"/>
            </w:tcBorders>
          </w:tcPr>
          <w:p w14:paraId="44CD42D5" w14:textId="77777777" w:rsidR="00171824" w:rsidRDefault="00171824">
            <w:pPr>
              <w:keepNext/>
              <w:widowControl/>
              <w:numPr>
                <w:ilvl w:val="0"/>
                <w:numId w:val="36"/>
              </w:numPr>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1189D147"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χρησιμοποιείτε την προγεμισμένη συσκευή τύπου πένας εάν το κουτί είναι κατεστραμμένο ή έχει παραβιαστεί η σφράγιση.</w:t>
            </w:r>
          </w:p>
        </w:tc>
      </w:tr>
      <w:tr w:rsidR="00171824" w:rsidRPr="00A07F46" w14:paraId="5E297316" w14:textId="77777777">
        <w:trPr>
          <w:cantSplit/>
          <w:trHeight w:val="57"/>
        </w:trPr>
        <w:tc>
          <w:tcPr>
            <w:tcW w:w="312" w:type="pct"/>
            <w:tcBorders>
              <w:top w:val="nil"/>
              <w:bottom w:val="nil"/>
              <w:right w:val="nil"/>
            </w:tcBorders>
          </w:tcPr>
          <w:p w14:paraId="6039B77E" w14:textId="77777777" w:rsidR="00171824" w:rsidRDefault="00171824">
            <w:pPr>
              <w:pStyle w:val="ListParagraph"/>
              <w:keepNext/>
              <w:widowControl/>
              <w:numPr>
                <w:ilvl w:val="0"/>
                <w:numId w:val="37"/>
              </w:numPr>
              <w:tabs>
                <w:tab w:val="left" w:pos="474"/>
                <w:tab w:val="left" w:pos="529"/>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214138B6"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χρησιμοποιείτε την προγεμισμένη συσκευή τύπου πένας μετά την ημερομηνία λήξης που αναγράφεται στην ετικέτα.</w:t>
            </w:r>
          </w:p>
        </w:tc>
      </w:tr>
      <w:tr w:rsidR="00171824" w:rsidRPr="00A07F46" w14:paraId="17429E35" w14:textId="77777777">
        <w:trPr>
          <w:cantSplit/>
          <w:trHeight w:val="57"/>
        </w:trPr>
        <w:tc>
          <w:tcPr>
            <w:tcW w:w="312" w:type="pct"/>
            <w:tcBorders>
              <w:top w:val="nil"/>
              <w:bottom w:val="nil"/>
              <w:right w:val="nil"/>
            </w:tcBorders>
          </w:tcPr>
          <w:p w14:paraId="7730EC14" w14:textId="77777777" w:rsidR="00171824" w:rsidRDefault="00171824">
            <w:pPr>
              <w:pStyle w:val="ListParagraph"/>
              <w:keepNext/>
              <w:widowControl/>
              <w:numPr>
                <w:ilvl w:val="0"/>
                <w:numId w:val="37"/>
              </w:numPr>
              <w:tabs>
                <w:tab w:val="left" w:pos="567"/>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2ADDBA58" w14:textId="77777777" w:rsidR="00171824" w:rsidRDefault="006D258C">
            <w:pPr>
              <w:rPr>
                <w:b/>
                <w:bCs/>
                <w:sz w:val="22"/>
                <w:szCs w:val="22"/>
                <w:lang w:val="el-GR"/>
              </w:rPr>
            </w:pPr>
            <w:r>
              <w:rPr>
                <w:b/>
                <w:bCs/>
                <w:sz w:val="22"/>
                <w:szCs w:val="22"/>
                <w:lang w:val="el-GR"/>
              </w:rPr>
              <w:t>Μην</w:t>
            </w:r>
            <w:r>
              <w:rPr>
                <w:sz w:val="22"/>
                <w:szCs w:val="22"/>
                <w:lang w:val="el-GR"/>
              </w:rPr>
              <w:t xml:space="preserve"> ανακινείτε την προγεμισμένη συσκευή τύπου πένας.</w:t>
            </w:r>
          </w:p>
        </w:tc>
      </w:tr>
      <w:tr w:rsidR="00171824" w:rsidRPr="00A07F46" w14:paraId="5D5B0535" w14:textId="77777777">
        <w:trPr>
          <w:cantSplit/>
          <w:trHeight w:val="57"/>
        </w:trPr>
        <w:tc>
          <w:tcPr>
            <w:tcW w:w="312" w:type="pct"/>
            <w:tcBorders>
              <w:top w:val="nil"/>
              <w:bottom w:val="nil"/>
              <w:right w:val="nil"/>
            </w:tcBorders>
          </w:tcPr>
          <w:p w14:paraId="71BC21BB" w14:textId="77777777" w:rsidR="00171824" w:rsidRDefault="00171824">
            <w:pPr>
              <w:pStyle w:val="ListParagraph"/>
              <w:keepNext/>
              <w:widowControl/>
              <w:numPr>
                <w:ilvl w:val="0"/>
                <w:numId w:val="38"/>
              </w:numPr>
              <w:tabs>
                <w:tab w:val="left" w:pos="567"/>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5966F1E7" w14:textId="77777777" w:rsidR="00171824" w:rsidRDefault="006D258C">
            <w:pPr>
              <w:rPr>
                <w:sz w:val="22"/>
                <w:szCs w:val="22"/>
                <w:lang w:val="el-GR"/>
              </w:rPr>
            </w:pPr>
            <w:r>
              <w:rPr>
                <w:b/>
                <w:bCs/>
                <w:sz w:val="22"/>
                <w:szCs w:val="22"/>
                <w:lang w:val="el-GR"/>
              </w:rPr>
              <w:t>Μην</w:t>
            </w:r>
            <w:r>
              <w:rPr>
                <w:sz w:val="22"/>
                <w:szCs w:val="22"/>
                <w:lang w:val="el-GR"/>
              </w:rPr>
              <w:t xml:space="preserve"> αφαιρείτε το κίτρινο κάλυμμα από την προγεμισμένη συσκευή τύπου πένας παρά μόνο όταν θα είστε έτοιμοι για την ένεση.</w:t>
            </w:r>
          </w:p>
        </w:tc>
      </w:tr>
      <w:tr w:rsidR="00171824" w:rsidRPr="00A07F46" w14:paraId="5C5BC49B" w14:textId="77777777">
        <w:trPr>
          <w:cantSplit/>
          <w:trHeight w:val="57"/>
        </w:trPr>
        <w:tc>
          <w:tcPr>
            <w:tcW w:w="312" w:type="pct"/>
            <w:tcBorders>
              <w:top w:val="nil"/>
              <w:bottom w:val="nil"/>
              <w:right w:val="nil"/>
            </w:tcBorders>
          </w:tcPr>
          <w:p w14:paraId="07E39760" w14:textId="77777777" w:rsidR="00171824" w:rsidRDefault="00171824">
            <w:pPr>
              <w:pStyle w:val="ListParagraph"/>
              <w:keepNext/>
              <w:widowControl/>
              <w:numPr>
                <w:ilvl w:val="0"/>
                <w:numId w:val="38"/>
              </w:numPr>
              <w:tabs>
                <w:tab w:val="left" w:pos="567"/>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4132FE8A" w14:textId="77777777" w:rsidR="00171824" w:rsidRDefault="006D258C">
            <w:pPr>
              <w:rPr>
                <w:sz w:val="22"/>
                <w:szCs w:val="22"/>
                <w:lang w:val="el-GR"/>
              </w:rPr>
            </w:pPr>
            <w:r>
              <w:rPr>
                <w:b/>
                <w:bCs/>
                <w:sz w:val="22"/>
                <w:szCs w:val="22"/>
                <w:lang w:val="el-GR"/>
              </w:rPr>
              <w:t>Μη</w:t>
            </w:r>
            <w:r>
              <w:rPr>
                <w:sz w:val="22"/>
                <w:szCs w:val="22"/>
                <w:lang w:val="el-GR"/>
              </w:rPr>
              <w:t xml:space="preserve"> χρησιμοποιείτε την προγεμισμένη συσκευή τύπου πένας εάν έχει καταψυχθεί.</w:t>
            </w:r>
          </w:p>
        </w:tc>
      </w:tr>
      <w:tr w:rsidR="00171824" w:rsidRPr="00A07F46" w14:paraId="30DAA01E" w14:textId="77777777">
        <w:trPr>
          <w:cantSplit/>
          <w:trHeight w:val="57"/>
        </w:trPr>
        <w:tc>
          <w:tcPr>
            <w:tcW w:w="312" w:type="pct"/>
            <w:tcBorders>
              <w:top w:val="nil"/>
              <w:bottom w:val="nil"/>
              <w:right w:val="nil"/>
            </w:tcBorders>
          </w:tcPr>
          <w:p w14:paraId="47924B4B" w14:textId="77777777" w:rsidR="00171824" w:rsidRDefault="00171824">
            <w:pPr>
              <w:pStyle w:val="ListParagraph"/>
              <w:keepNext/>
              <w:widowControl/>
              <w:numPr>
                <w:ilvl w:val="0"/>
                <w:numId w:val="38"/>
              </w:numPr>
              <w:tabs>
                <w:tab w:val="left" w:pos="567"/>
              </w:tabs>
              <w:autoSpaceDE/>
              <w:autoSpaceDN/>
              <w:adjustRightInd/>
              <w:ind w:left="567" w:hanging="567"/>
              <w:rPr>
                <w:sz w:val="22"/>
                <w:szCs w:val="22"/>
                <w:lang w:val="el-GR"/>
              </w:rPr>
            </w:pPr>
          </w:p>
        </w:tc>
        <w:tc>
          <w:tcPr>
            <w:tcW w:w="4688" w:type="pct"/>
            <w:tcBorders>
              <w:top w:val="nil"/>
              <w:left w:val="nil"/>
              <w:bottom w:val="nil"/>
            </w:tcBorders>
            <w:tcMar>
              <w:top w:w="57" w:type="dxa"/>
              <w:left w:w="0" w:type="dxa"/>
              <w:bottom w:w="57" w:type="dxa"/>
              <w:right w:w="57" w:type="dxa"/>
            </w:tcMar>
          </w:tcPr>
          <w:p w14:paraId="525F660B" w14:textId="77777777" w:rsidR="00171824" w:rsidRDefault="006D258C">
            <w:pPr>
              <w:rPr>
                <w:sz w:val="22"/>
                <w:szCs w:val="22"/>
                <w:lang w:val="el-GR"/>
              </w:rPr>
            </w:pPr>
            <w:r>
              <w:rPr>
                <w:b/>
                <w:color w:val="000000"/>
                <w:sz w:val="22"/>
                <w:szCs w:val="22"/>
                <w:lang w:val="el-GR"/>
              </w:rPr>
              <w:t xml:space="preserve">Μη </w:t>
            </w:r>
            <w:r>
              <w:rPr>
                <w:color w:val="000000"/>
                <w:sz w:val="22"/>
                <w:szCs w:val="22"/>
                <w:lang w:val="el-GR"/>
              </w:rPr>
              <w:t>χρησιμοποιείτε την προγεμισμένη συσκευή τύπου πένας εάν έχει πέσει επάνω σε μια σκληρή επιφάνεια. Κάποιο μέρος της προγεμισμένης συσκευής τύπου πένας μπορεί να έχει σπάσει, ακόμη και εάν το σπάσιμο δεν είναι ορατό. Χρησιμοποιήστε μια νέα προγεμισμένη συσκευή τύπου πένας και καλέστε τον γιατρό σας ή τον πάροχο υγειονομικής περίθαλψης.</w:t>
            </w:r>
          </w:p>
        </w:tc>
      </w:tr>
      <w:tr w:rsidR="00171824" w:rsidRPr="00A07F46" w14:paraId="27EBD539" w14:textId="77777777">
        <w:trPr>
          <w:cantSplit/>
          <w:trHeight w:val="57"/>
        </w:trPr>
        <w:tc>
          <w:tcPr>
            <w:tcW w:w="5000" w:type="pct"/>
            <w:gridSpan w:val="2"/>
            <w:tcBorders>
              <w:top w:val="nil"/>
              <w:bottom w:val="single" w:sz="4" w:space="0" w:color="auto"/>
            </w:tcBorders>
          </w:tcPr>
          <w:p w14:paraId="4E3D7CDC" w14:textId="0ED38BFC" w:rsidR="00171824" w:rsidRDefault="009039B7">
            <w:pPr>
              <w:rPr>
                <w:b/>
                <w:bCs/>
                <w:sz w:val="22"/>
                <w:szCs w:val="22"/>
                <w:lang w:val="el-GR"/>
              </w:rPr>
            </w:pPr>
            <w:r>
              <w:rPr>
                <w:noProof/>
              </w:rPr>
              <mc:AlternateContent>
                <mc:Choice Requires="wps">
                  <w:drawing>
                    <wp:anchor distT="45720" distB="45720" distL="114300" distR="114300" simplePos="0" relativeHeight="251664384" behindDoc="0" locked="0" layoutInCell="1" allowOverlap="1" wp14:anchorId="2A543345" wp14:editId="0C9D6FB8">
                      <wp:simplePos x="0" y="0"/>
                      <wp:positionH relativeFrom="margin">
                        <wp:posOffset>43815</wp:posOffset>
                      </wp:positionH>
                      <wp:positionV relativeFrom="paragraph">
                        <wp:posOffset>63500</wp:posOffset>
                      </wp:positionV>
                      <wp:extent cx="5576570" cy="431800"/>
                      <wp:effectExtent l="0" t="0" r="5080" b="6350"/>
                      <wp:wrapSquare wrapText="bothSides"/>
                      <wp:docPr id="207675199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7C1D7F59" w14:textId="77777777" w:rsidR="00171824" w:rsidRDefault="006D258C">
                                  <w:pPr>
                                    <w:rPr>
                                      <w:sz w:val="22"/>
                                      <w:szCs w:val="22"/>
                                      <w:lang w:val="el-GR"/>
                                    </w:rPr>
                                  </w:pPr>
                                  <w:r>
                                    <w:rPr>
                                      <w:b/>
                                      <w:sz w:val="22"/>
                                      <w:szCs w:val="22"/>
                                      <w:lang w:val="el-GR"/>
                                    </w:rPr>
                                    <w:t>Σημαντικό:</w:t>
                                  </w:r>
                                  <w:r>
                                    <w:rPr>
                                      <w:sz w:val="22"/>
                                      <w:szCs w:val="22"/>
                                      <w:lang w:val="el-GR"/>
                                    </w:rPr>
                                    <w:t xml:space="preserve"> Φυλάσσετε την προγεμισμένη συσκευή τύπου πένας και το δοχείο απόρριψης αιχμηρών αντικειμένων σε μέρη που δεν βλέπουν και δεν προσεγγίζουν τα παιδιά.</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A543345" id="Text Box 31" o:spid="_x0000_s1044" type="#_x0000_t202" style="position:absolute;margin-left:3.45pt;margin-top:5pt;width:439.1pt;height:34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" strokecolor="red" strokeweight="1.5pt">
                      <v:textbox style="mso-fit-shape-to-text:t">
                        <w:txbxContent>
                          <w:p w14:paraId="7C1D7F59" w14:textId="77777777" w:rsidR="00171824" w:rsidRDefault="006D258C">
                            <w:pPr>
                              <w:rPr>
                                <w:sz w:val="22"/>
                                <w:szCs w:val="22"/>
                                <w:lang w:val="el-GR"/>
                              </w:rPr>
                            </w:pPr>
                            <w:r>
                              <w:rPr>
                                <w:b/>
                                <w:sz w:val="22"/>
                                <w:szCs w:val="22"/>
                                <w:lang w:val="el-GR"/>
                              </w:rPr>
                              <w:t>Σημαντικό:</w:t>
                            </w:r>
                            <w:r>
                              <w:rPr>
                                <w:sz w:val="22"/>
                                <w:szCs w:val="22"/>
                                <w:lang w:val="el-GR"/>
                              </w:rPr>
                              <w:t xml:space="preserve"> Φυλάσσετε την προγεμισμένη συσκευή τύπου πένας και το δοχείο απόρριψης αιχμηρών αντικειμένων σε μέρη που δεν βλέπουν και δεν προσεγγίζουν τα παιδιά.</w:t>
                            </w:r>
                          </w:p>
                        </w:txbxContent>
                      </v:textbox>
                      <w10:wrap type="square" anchorx="margin"/>
                    </v:shape>
                  </w:pict>
                </mc:Fallback>
              </mc:AlternateContent>
            </w:r>
          </w:p>
        </w:tc>
      </w:tr>
    </w:tbl>
    <w:p w14:paraId="1D5FA242" w14:textId="77777777" w:rsidR="00171824" w:rsidRDefault="00171824">
      <w:pPr>
        <w:rPr>
          <w:sz w:val="22"/>
          <w:szCs w:val="22"/>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171824" w:rsidRPr="00A07F46" w14:paraId="0C5DE7FC" w14:textId="77777777">
        <w:trPr>
          <w:cantSplit/>
          <w:trHeight w:val="57"/>
        </w:trPr>
        <w:tc>
          <w:tcPr>
            <w:tcW w:w="305" w:type="pct"/>
            <w:tcBorders>
              <w:top w:val="single" w:sz="4" w:space="0" w:color="auto"/>
            </w:tcBorders>
            <w:tcMar>
              <w:top w:w="28" w:type="dxa"/>
              <w:left w:w="57" w:type="dxa"/>
              <w:bottom w:w="28" w:type="dxa"/>
              <w:right w:w="57" w:type="dxa"/>
            </w:tcMar>
          </w:tcPr>
          <w:p w14:paraId="78E07A71" w14:textId="77777777" w:rsidR="00171824" w:rsidRDefault="006D258C">
            <w:pPr>
              <w:keepNext/>
              <w:rPr>
                <w:sz w:val="22"/>
                <w:szCs w:val="22"/>
                <w:lang w:val="el-GR"/>
              </w:rPr>
            </w:pPr>
            <w:r>
              <w:rPr>
                <w:b/>
                <w:sz w:val="22"/>
                <w:szCs w:val="22"/>
                <w:lang w:val="el-GR"/>
              </w:rPr>
              <w:lastRenderedPageBreak/>
              <w:t>2</w:t>
            </w:r>
          </w:p>
        </w:tc>
        <w:tc>
          <w:tcPr>
            <w:tcW w:w="4695" w:type="pct"/>
            <w:tcBorders>
              <w:top w:val="single" w:sz="4" w:space="0" w:color="auto"/>
            </w:tcBorders>
          </w:tcPr>
          <w:p w14:paraId="56C6314B" w14:textId="77777777" w:rsidR="00171824" w:rsidRDefault="006D258C">
            <w:pPr>
              <w:keepNext/>
              <w:rPr>
                <w:sz w:val="22"/>
                <w:szCs w:val="22"/>
                <w:lang w:val="el-GR"/>
              </w:rPr>
            </w:pPr>
            <w:r>
              <w:rPr>
                <w:b/>
                <w:sz w:val="22"/>
                <w:szCs w:val="22"/>
                <w:lang w:val="el-GR"/>
              </w:rPr>
              <w:t>Πώς να προετοιμαστείτε για να κάνετε την ένεση AMGEVITA</w:t>
            </w:r>
          </w:p>
        </w:tc>
      </w:tr>
    </w:tbl>
    <w:p w14:paraId="09996AF1" w14:textId="77777777" w:rsidR="00171824" w:rsidRDefault="00171824">
      <w:pPr>
        <w:keepNext/>
        <w:rPr>
          <w:sz w:val="22"/>
          <w:szCs w:val="22"/>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7"/>
        <w:gridCol w:w="8268"/>
      </w:tblGrid>
      <w:tr w:rsidR="00171824" w:rsidRPr="00A07F46" w14:paraId="762C1DD8" w14:textId="77777777">
        <w:trPr>
          <w:cantSplit/>
          <w:trHeight w:val="57"/>
        </w:trPr>
        <w:tc>
          <w:tcPr>
            <w:tcW w:w="305" w:type="pct"/>
            <w:tcBorders>
              <w:bottom w:val="single" w:sz="4" w:space="0" w:color="auto"/>
            </w:tcBorders>
            <w:tcMar>
              <w:top w:w="28" w:type="dxa"/>
              <w:left w:w="57" w:type="dxa"/>
              <w:bottom w:w="28" w:type="dxa"/>
              <w:right w:w="57" w:type="dxa"/>
            </w:tcMar>
          </w:tcPr>
          <w:p w14:paraId="5DA86276" w14:textId="77777777" w:rsidR="00171824" w:rsidRDefault="006D258C">
            <w:pPr>
              <w:keepNext/>
              <w:rPr>
                <w:sz w:val="22"/>
                <w:szCs w:val="22"/>
                <w:lang w:val="el-GR"/>
              </w:rPr>
            </w:pPr>
            <w:r>
              <w:rPr>
                <w:b/>
                <w:sz w:val="22"/>
                <w:szCs w:val="22"/>
                <w:lang w:val="el-GR"/>
              </w:rPr>
              <w:t>2α</w:t>
            </w:r>
          </w:p>
        </w:tc>
        <w:tc>
          <w:tcPr>
            <w:tcW w:w="4695" w:type="pct"/>
            <w:gridSpan w:val="2"/>
            <w:tcBorders>
              <w:bottom w:val="single" w:sz="4" w:space="0" w:color="auto"/>
            </w:tcBorders>
          </w:tcPr>
          <w:p w14:paraId="1FD62A93" w14:textId="77777777" w:rsidR="00171824" w:rsidRDefault="006D258C">
            <w:pPr>
              <w:keepNext/>
              <w:ind w:left="41"/>
              <w:rPr>
                <w:sz w:val="22"/>
                <w:szCs w:val="22"/>
                <w:lang w:val="el-GR"/>
              </w:rPr>
            </w:pPr>
            <w:r>
              <w:rPr>
                <w:b/>
                <w:sz w:val="22"/>
                <w:szCs w:val="22"/>
                <w:lang w:val="el-GR"/>
              </w:rPr>
              <w:t xml:space="preserve">Περιμένετε </w:t>
            </w:r>
            <w:ins w:id="328" w:author="Author">
              <w:r>
                <w:rPr>
                  <w:b/>
                  <w:sz w:val="22"/>
                  <w:szCs w:val="22"/>
                  <w:lang w:val="el-GR"/>
                </w:rPr>
                <w:t xml:space="preserve">15 με </w:t>
              </w:r>
            </w:ins>
            <w:r>
              <w:rPr>
                <w:b/>
                <w:sz w:val="22"/>
                <w:szCs w:val="22"/>
                <w:lang w:val="el-GR"/>
              </w:rPr>
              <w:t>30 λεπτά για να φτάσει η προγεμισμένη συσκευή τύπου πένας σε θερμοκρασία δωματίου.</w:t>
            </w:r>
          </w:p>
        </w:tc>
      </w:tr>
      <w:tr w:rsidR="00171824" w14:paraId="39667CEB"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1581DC82" w14:textId="77777777" w:rsidR="00171824" w:rsidRDefault="00171824">
            <w:pPr>
              <w:jc w:val="center"/>
              <w:rPr>
                <w:b/>
                <w:bCs/>
                <w:sz w:val="36"/>
                <w:szCs w:val="36"/>
                <w:lang w:val="el-GR"/>
              </w:rPr>
            </w:pPr>
          </w:p>
          <w:p w14:paraId="31F53694" w14:textId="77777777" w:rsidR="00171824" w:rsidRDefault="006D258C">
            <w:pPr>
              <w:jc w:val="center"/>
              <w:rPr>
                <w:b/>
                <w:bCs/>
                <w:sz w:val="36"/>
                <w:szCs w:val="36"/>
                <w:lang w:val="el-GR"/>
              </w:rPr>
            </w:pPr>
            <w:r>
              <w:rPr>
                <w:b/>
                <w:sz w:val="36"/>
                <w:szCs w:val="36"/>
                <w:lang w:val="el-GR"/>
              </w:rPr>
              <w:t>ΠΕΡΙΜΕΝΕΤΕ</w:t>
            </w:r>
          </w:p>
          <w:p w14:paraId="273B8CF5" w14:textId="77777777" w:rsidR="00171824" w:rsidRDefault="006D258C">
            <w:pPr>
              <w:jc w:val="center"/>
              <w:rPr>
                <w:b/>
                <w:bCs/>
                <w:sz w:val="36"/>
                <w:szCs w:val="36"/>
                <w:lang w:val="el-GR"/>
              </w:rPr>
            </w:pPr>
            <w:ins w:id="329" w:author="Author">
              <w:r>
                <w:rPr>
                  <w:b/>
                  <w:sz w:val="36"/>
                  <w:szCs w:val="36"/>
                  <w:lang w:val="el-GR"/>
                </w:rPr>
                <w:t xml:space="preserve">15 με </w:t>
              </w:r>
            </w:ins>
            <w:r>
              <w:rPr>
                <w:b/>
                <w:sz w:val="36"/>
                <w:szCs w:val="36"/>
                <w:lang w:val="el-GR"/>
              </w:rPr>
              <w:t>30</w:t>
            </w:r>
          </w:p>
          <w:p w14:paraId="329B4788" w14:textId="77777777" w:rsidR="00171824" w:rsidRDefault="006D258C">
            <w:pPr>
              <w:jc w:val="center"/>
              <w:rPr>
                <w:b/>
                <w:bCs/>
                <w:sz w:val="22"/>
                <w:szCs w:val="22"/>
                <w:lang w:val="el-GR"/>
              </w:rPr>
            </w:pPr>
            <w:r>
              <w:rPr>
                <w:b/>
                <w:sz w:val="36"/>
                <w:szCs w:val="36"/>
                <w:lang w:val="el-GR"/>
              </w:rPr>
              <w:t>λεπτά</w:t>
            </w:r>
          </w:p>
          <w:p w14:paraId="0A13EC8C" w14:textId="77777777" w:rsidR="00171824" w:rsidRDefault="00171824">
            <w:pPr>
              <w:pStyle w:val="ListParagraph"/>
              <w:ind w:left="567" w:hanging="567"/>
              <w:rPr>
                <w:b/>
                <w:bCs/>
                <w:sz w:val="22"/>
                <w:szCs w:val="22"/>
                <w:lang w:val="el-GR"/>
              </w:rPr>
            </w:pPr>
          </w:p>
        </w:tc>
      </w:tr>
      <w:tr w:rsidR="00171824" w:rsidRPr="00A07F46" w14:paraId="57103191"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2BD316D8"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5C201D48" w14:textId="77777777" w:rsidR="00171824" w:rsidRDefault="006D258C">
            <w:pPr>
              <w:pStyle w:val="ListBullets"/>
              <w:numPr>
                <w:ilvl w:val="0"/>
                <w:numId w:val="0"/>
              </w:numPr>
              <w:spacing w:after="0"/>
              <w:contextualSpacing w:val="0"/>
              <w:rPr>
                <w:sz w:val="22"/>
                <w:szCs w:val="22"/>
              </w:rPr>
            </w:pPr>
            <w:r>
              <w:rPr>
                <w:rFonts w:ascii="Times New Roman" w:hAnsi="Times New Roman"/>
                <w:sz w:val="22"/>
                <w:szCs w:val="22"/>
              </w:rPr>
              <w:t>Αφαιρέστε τον αριθμό των προγεμισμένων συσκευών τύπου πένας που χρειάζεστε για την ένεσή σας και τοποθετήστε τυχόν αχρησιμοποίητες προγεμισμένες συσκευές τύπου πένας και πάλι στο ψυγείο.</w:t>
            </w:r>
          </w:p>
        </w:tc>
      </w:tr>
      <w:tr w:rsidR="00171824" w:rsidRPr="00A07F46" w14:paraId="000170F4"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34A5C6C"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76C85F6B" w14:textId="77777777" w:rsidR="00171824" w:rsidRDefault="006D258C">
            <w:pPr>
              <w:rPr>
                <w:b/>
                <w:bCs/>
                <w:sz w:val="22"/>
                <w:szCs w:val="22"/>
                <w:lang w:val="el-GR"/>
              </w:rPr>
            </w:pPr>
            <w:r>
              <w:rPr>
                <w:sz w:val="22"/>
                <w:szCs w:val="22"/>
                <w:lang w:val="el-GR"/>
              </w:rPr>
              <w:t>Αφήστε την προγεμισμένη συσκευή τύπου πένας να ζεσταθεί φυσικά.</w:t>
            </w:r>
          </w:p>
        </w:tc>
      </w:tr>
      <w:tr w:rsidR="00171824" w:rsidRPr="00A07F46" w14:paraId="27A9DE53"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5256F577"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6D13B23E" w14:textId="77777777" w:rsidR="00171824" w:rsidRDefault="006D258C">
            <w:pPr>
              <w:rPr>
                <w:sz w:val="22"/>
                <w:szCs w:val="22"/>
                <w:lang w:val="el-GR"/>
              </w:rPr>
            </w:pPr>
            <w:r>
              <w:rPr>
                <w:b/>
                <w:bCs/>
                <w:sz w:val="22"/>
                <w:szCs w:val="22"/>
                <w:lang w:val="el-GR"/>
              </w:rPr>
              <w:t>Μην</w:t>
            </w:r>
            <w:r>
              <w:rPr>
                <w:sz w:val="22"/>
                <w:szCs w:val="22"/>
                <w:lang w:val="el-GR"/>
              </w:rPr>
              <w:t xml:space="preserve"> θερμαίνετε </w:t>
            </w:r>
            <w:ins w:id="330" w:author="Author">
              <w:r>
                <w:rPr>
                  <w:sz w:val="22"/>
                  <w:szCs w:val="22"/>
                  <w:lang w:val="el-GR"/>
                </w:rPr>
                <w:t xml:space="preserve">την προγεμισμένη συσκευή τύπου πένας </w:t>
              </w:r>
            </w:ins>
            <w:r>
              <w:rPr>
                <w:sz w:val="22"/>
                <w:szCs w:val="22"/>
                <w:lang w:val="el-GR"/>
              </w:rPr>
              <w:t>με ζεστό νερό, φούρνο μικροκυμάτων ή άμεσο ηλιακό φως.</w:t>
            </w:r>
          </w:p>
        </w:tc>
      </w:tr>
      <w:tr w:rsidR="00171824" w:rsidRPr="00A07F46" w14:paraId="76DCA69A"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3AC2DBE9"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607B579A" w14:textId="77777777" w:rsidR="00171824" w:rsidRDefault="006D258C">
            <w:pPr>
              <w:rPr>
                <w:sz w:val="22"/>
                <w:szCs w:val="22"/>
                <w:lang w:val="el-GR"/>
              </w:rPr>
            </w:pPr>
            <w:r>
              <w:rPr>
                <w:b/>
                <w:bCs/>
                <w:sz w:val="22"/>
                <w:szCs w:val="22"/>
                <w:lang w:val="el-GR"/>
              </w:rPr>
              <w:t>Μην</w:t>
            </w:r>
            <w:r>
              <w:rPr>
                <w:sz w:val="22"/>
                <w:szCs w:val="22"/>
                <w:lang w:val="el-GR"/>
              </w:rPr>
              <w:t xml:space="preserve"> ανακινείτε την προγεμισμένη συσκευή τύπου πένας σε καμία στιγμή.</w:t>
            </w:r>
          </w:p>
        </w:tc>
      </w:tr>
      <w:tr w:rsidR="00171824" w:rsidRPr="00A07F46" w14:paraId="3DA8A03A"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09F06539"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6667F82C" w14:textId="77777777" w:rsidR="00171824" w:rsidRDefault="006D258C">
            <w:pPr>
              <w:rPr>
                <w:b/>
                <w:bCs/>
                <w:sz w:val="22"/>
                <w:szCs w:val="22"/>
                <w:lang w:val="el-GR"/>
              </w:rPr>
            </w:pPr>
            <w:r>
              <w:rPr>
                <w:b/>
                <w:bCs/>
                <w:sz w:val="22"/>
                <w:szCs w:val="22"/>
                <w:lang w:val="el-GR"/>
              </w:rPr>
              <w:t>Μην</w:t>
            </w:r>
            <w:r>
              <w:rPr>
                <w:sz w:val="22"/>
                <w:szCs w:val="22"/>
                <w:lang w:val="el-GR"/>
              </w:rPr>
              <w:t xml:space="preserve"> τοποθετήσετε την προγεμισμένη συσκευή τύπου πένας και πάλι στο ψυγείο αφού φτάσει σε θερμοκρασία δωματίου.</w:t>
            </w:r>
          </w:p>
        </w:tc>
      </w:tr>
      <w:tr w:rsidR="00171824" w:rsidRPr="00A07F46" w14:paraId="0D2F715A"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0917AEA9"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single" w:sz="4" w:space="0" w:color="auto"/>
            </w:tcBorders>
            <w:tcMar>
              <w:left w:w="0" w:type="dxa"/>
            </w:tcMar>
          </w:tcPr>
          <w:p w14:paraId="6C9437D9" w14:textId="77777777" w:rsidR="00171824" w:rsidRDefault="006D258C">
            <w:pPr>
              <w:pStyle w:val="ListParagraph"/>
              <w:rPr>
                <w:sz w:val="22"/>
                <w:szCs w:val="22"/>
                <w:lang w:val="el-GR"/>
              </w:rPr>
            </w:pPr>
            <w:r>
              <w:rPr>
                <w:sz w:val="22"/>
                <w:szCs w:val="22"/>
                <w:lang w:val="el-GR"/>
              </w:rPr>
              <w:t xml:space="preserve">Χρησιμοποιώντας την προγεμισμένη συσκευή τύπου πένας σε θερμοκρασία δωματίου, </w:t>
            </w:r>
            <w:ins w:id="331" w:author="Author">
              <w:r>
                <w:rPr>
                  <w:sz w:val="22"/>
                  <w:szCs w:val="22"/>
                  <w:lang w:val="el-GR"/>
                </w:rPr>
                <w:t xml:space="preserve">εξασφαλίζετε ότι θα χορηγηθεί ολόκληρη η δόση και ότι </w:t>
              </w:r>
            </w:ins>
            <w:r>
              <w:rPr>
                <w:sz w:val="22"/>
                <w:szCs w:val="22"/>
                <w:lang w:val="el-GR"/>
              </w:rPr>
              <w:t xml:space="preserve">η ένεση </w:t>
            </w:r>
            <w:ins w:id="332" w:author="Author">
              <w:r>
                <w:rPr>
                  <w:sz w:val="22"/>
                  <w:szCs w:val="22"/>
                  <w:lang w:val="el-GR"/>
                </w:rPr>
                <w:t xml:space="preserve">θα </w:t>
              </w:r>
            </w:ins>
            <w:r>
              <w:rPr>
                <w:sz w:val="22"/>
                <w:szCs w:val="22"/>
                <w:lang w:val="el-GR"/>
              </w:rPr>
              <w:t>είναι πιο άνετη</w:t>
            </w:r>
            <w:r w:rsidRPr="00422380">
              <w:rPr>
                <w:bCs/>
                <w:sz w:val="22"/>
                <w:szCs w:val="22"/>
                <w:lang w:val="el-GR"/>
              </w:rPr>
              <w:t>.</w:t>
            </w:r>
            <w:r>
              <w:rPr>
                <w:b/>
                <w:sz w:val="22"/>
                <w:szCs w:val="22"/>
                <w:lang w:val="el-GR"/>
              </w:rPr>
              <w:t xml:space="preserve"> </w:t>
            </w:r>
          </w:p>
        </w:tc>
      </w:tr>
    </w:tbl>
    <w:p w14:paraId="701C445D" w14:textId="77777777" w:rsidR="00171824" w:rsidRDefault="00171824">
      <w:pPr>
        <w:rPr>
          <w:b/>
          <w:bCs/>
          <w:sz w:val="22"/>
          <w:szCs w:val="22"/>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171824" w:rsidRPr="00A07F46" w14:paraId="4E6CA0AA" w14:textId="77777777">
        <w:trPr>
          <w:cantSplit/>
          <w:trHeight w:val="382"/>
        </w:trPr>
        <w:tc>
          <w:tcPr>
            <w:tcW w:w="355" w:type="pct"/>
            <w:tcBorders>
              <w:bottom w:val="nil"/>
            </w:tcBorders>
            <w:tcMar>
              <w:top w:w="28" w:type="dxa"/>
              <w:left w:w="57" w:type="dxa"/>
              <w:bottom w:w="28" w:type="dxa"/>
              <w:right w:w="57" w:type="dxa"/>
            </w:tcMar>
          </w:tcPr>
          <w:p w14:paraId="0777863F" w14:textId="77777777" w:rsidR="00171824" w:rsidRDefault="006D258C">
            <w:pPr>
              <w:keepNext/>
              <w:rPr>
                <w:sz w:val="22"/>
                <w:szCs w:val="22"/>
                <w:lang w:val="el-GR"/>
              </w:rPr>
            </w:pPr>
            <w:r>
              <w:rPr>
                <w:b/>
                <w:sz w:val="22"/>
                <w:szCs w:val="22"/>
                <w:lang w:val="el-GR"/>
              </w:rPr>
              <w:t>2β</w:t>
            </w:r>
          </w:p>
        </w:tc>
        <w:tc>
          <w:tcPr>
            <w:tcW w:w="4645" w:type="pct"/>
            <w:gridSpan w:val="2"/>
            <w:tcBorders>
              <w:bottom w:val="nil"/>
            </w:tcBorders>
          </w:tcPr>
          <w:p w14:paraId="0F65C614" w14:textId="77777777" w:rsidR="00171824" w:rsidRDefault="006D258C">
            <w:pPr>
              <w:keepNext/>
              <w:rPr>
                <w:sz w:val="22"/>
                <w:szCs w:val="22"/>
                <w:lang w:val="el-GR"/>
              </w:rPr>
            </w:pPr>
            <w:r>
              <w:rPr>
                <w:b/>
                <w:sz w:val="22"/>
                <w:szCs w:val="22"/>
                <w:lang w:val="el-GR"/>
              </w:rPr>
              <w:t>Επιθεωρήστε οπτικά το φάρμακο. Θα πρέπει να είναι διαυγές και άχρωμο προς ελαφρώς κίτρινο.</w:t>
            </w:r>
          </w:p>
        </w:tc>
      </w:tr>
      <w:tr w:rsidR="00171824" w14:paraId="1967D4FA" w14:textId="77777777">
        <w:trPr>
          <w:cantSplit/>
          <w:trHeight w:val="2460"/>
        </w:trPr>
        <w:tc>
          <w:tcPr>
            <w:tcW w:w="355" w:type="pct"/>
            <w:tcBorders>
              <w:bottom w:val="nil"/>
              <w:right w:val="nil"/>
            </w:tcBorders>
            <w:tcMar>
              <w:top w:w="28" w:type="dxa"/>
              <w:left w:w="57" w:type="dxa"/>
              <w:bottom w:w="28" w:type="dxa"/>
              <w:right w:w="57" w:type="dxa"/>
            </w:tcMar>
          </w:tcPr>
          <w:p w14:paraId="385C8AD3" w14:textId="77777777" w:rsidR="00171824" w:rsidRDefault="00171824">
            <w:pPr>
              <w:keepNext/>
              <w:rPr>
                <w:b/>
                <w:bCs/>
                <w:sz w:val="22"/>
                <w:szCs w:val="22"/>
                <w:lang w:val="el-GR"/>
              </w:rPr>
            </w:pPr>
          </w:p>
        </w:tc>
        <w:tc>
          <w:tcPr>
            <w:tcW w:w="2216" w:type="pct"/>
            <w:tcBorders>
              <w:top w:val="single" w:sz="4" w:space="0" w:color="auto"/>
              <w:left w:val="nil"/>
              <w:bottom w:val="nil"/>
              <w:right w:val="nil"/>
            </w:tcBorders>
            <w:tcMar>
              <w:top w:w="28" w:type="dxa"/>
              <w:left w:w="57" w:type="dxa"/>
              <w:bottom w:w="28" w:type="dxa"/>
              <w:right w:w="57" w:type="dxa"/>
            </w:tcMar>
          </w:tcPr>
          <w:p w14:paraId="51469E2A" w14:textId="47FEBE9A" w:rsidR="00171824" w:rsidRDefault="009039B7">
            <w:pPr>
              <w:pStyle w:val="ListParagraph"/>
              <w:ind w:left="567" w:hanging="567"/>
              <w:rPr>
                <w:b/>
                <w:bCs/>
                <w:sz w:val="22"/>
                <w:szCs w:val="22"/>
                <w:lang w:val="el-GR"/>
              </w:rPr>
            </w:pPr>
            <w:r>
              <w:rPr>
                <w:b/>
                <w:noProof/>
                <w:sz w:val="22"/>
                <w:szCs w:val="22"/>
                <w:lang w:val="el-GR" w:eastAsia="zh-CN"/>
              </w:rPr>
              <w:drawing>
                <wp:inline distT="0" distB="0" distL="0" distR="0" wp14:anchorId="0C1ADC79" wp14:editId="0D6071E9">
                  <wp:extent cx="2468880" cy="1468755"/>
                  <wp:effectExtent l="0" t="0" r="0" b="0"/>
                  <wp:docPr id="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68880" cy="1468755"/>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1D2E7F1C" w14:textId="77777777" w:rsidR="00171824" w:rsidRDefault="00171824">
            <w:pPr>
              <w:pStyle w:val="ListParagraph"/>
              <w:ind w:left="567" w:hanging="567"/>
              <w:rPr>
                <w:b/>
                <w:bCs/>
                <w:sz w:val="22"/>
                <w:szCs w:val="22"/>
                <w:lang w:val="el-GR"/>
              </w:rPr>
            </w:pPr>
          </w:p>
          <w:p w14:paraId="1BCF2473" w14:textId="77777777" w:rsidR="00171824" w:rsidRDefault="00171824">
            <w:pPr>
              <w:pStyle w:val="ListParagraph"/>
              <w:ind w:left="567" w:hanging="567"/>
              <w:rPr>
                <w:b/>
                <w:bCs/>
                <w:sz w:val="22"/>
                <w:szCs w:val="22"/>
                <w:lang w:val="el-GR"/>
              </w:rPr>
            </w:pPr>
          </w:p>
          <w:p w14:paraId="74B609FE" w14:textId="77777777" w:rsidR="00171824" w:rsidRDefault="00171824">
            <w:pPr>
              <w:pStyle w:val="ListParagraph"/>
              <w:ind w:left="567" w:hanging="567"/>
              <w:rPr>
                <w:b/>
                <w:bCs/>
                <w:sz w:val="22"/>
                <w:szCs w:val="22"/>
                <w:lang w:val="el-GR"/>
              </w:rPr>
            </w:pPr>
          </w:p>
          <w:p w14:paraId="06AA5AA6" w14:textId="77777777" w:rsidR="00171824" w:rsidRDefault="00171824">
            <w:pPr>
              <w:pStyle w:val="ListParagraph"/>
              <w:ind w:left="567" w:hanging="567"/>
              <w:rPr>
                <w:b/>
                <w:bCs/>
                <w:sz w:val="22"/>
                <w:szCs w:val="22"/>
                <w:lang w:val="el-GR"/>
              </w:rPr>
            </w:pPr>
          </w:p>
          <w:p w14:paraId="50645211" w14:textId="77777777" w:rsidR="00171824" w:rsidRDefault="00171824">
            <w:pPr>
              <w:pStyle w:val="ListParagraph"/>
              <w:ind w:left="567" w:hanging="567"/>
              <w:rPr>
                <w:sz w:val="22"/>
                <w:szCs w:val="22"/>
                <w:lang w:val="el-GR"/>
              </w:rPr>
            </w:pPr>
          </w:p>
          <w:p w14:paraId="33AD461F" w14:textId="77777777" w:rsidR="00171824" w:rsidRDefault="006D258C">
            <w:pPr>
              <w:pStyle w:val="ListParagraph"/>
              <w:ind w:left="567" w:hanging="567"/>
              <w:rPr>
                <w:sz w:val="22"/>
                <w:szCs w:val="22"/>
                <w:lang w:val="el-GR"/>
              </w:rPr>
            </w:pPr>
            <w:r>
              <w:rPr>
                <w:sz w:val="22"/>
                <w:szCs w:val="22"/>
                <w:lang w:val="el-GR"/>
              </w:rPr>
              <w:t>Φάρμακο</w:t>
            </w:r>
          </w:p>
        </w:tc>
      </w:tr>
      <w:tr w:rsidR="00171824" w:rsidRPr="00A07F46" w14:paraId="04E24BD2" w14:textId="77777777">
        <w:trPr>
          <w:cantSplit/>
          <w:trHeight w:val="57"/>
        </w:trPr>
        <w:tc>
          <w:tcPr>
            <w:tcW w:w="355" w:type="pct"/>
            <w:tcBorders>
              <w:top w:val="nil"/>
              <w:bottom w:val="nil"/>
              <w:right w:val="nil"/>
            </w:tcBorders>
            <w:tcMar>
              <w:top w:w="28" w:type="dxa"/>
              <w:left w:w="57" w:type="dxa"/>
              <w:bottom w:w="28" w:type="dxa"/>
              <w:right w:w="57" w:type="dxa"/>
            </w:tcMar>
          </w:tcPr>
          <w:p w14:paraId="3F6239C3"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364EB77F" w14:textId="77777777" w:rsidR="00171824" w:rsidRDefault="006D258C">
            <w:pPr>
              <w:pStyle w:val="ListBullets"/>
              <w:numPr>
                <w:ilvl w:val="0"/>
                <w:numId w:val="0"/>
              </w:numPr>
              <w:spacing w:after="0"/>
              <w:rPr>
                <w:b/>
                <w:bCs/>
                <w:sz w:val="22"/>
                <w:szCs w:val="22"/>
              </w:rPr>
            </w:pPr>
            <w:r>
              <w:rPr>
                <w:rFonts w:ascii="Times New Roman" w:hAnsi="Times New Roman"/>
                <w:sz w:val="22"/>
                <w:szCs w:val="22"/>
              </w:rPr>
              <w:t>Δεν πειράζει αν δείτε φυσαλίδες αέρα</w:t>
            </w:r>
            <w:ins w:id="333" w:author="Author">
              <w:r>
                <w:rPr>
                  <w:rFonts w:ascii="Times New Roman" w:hAnsi="Times New Roman"/>
                  <w:sz w:val="22"/>
                  <w:szCs w:val="22"/>
                </w:rPr>
                <w:t xml:space="preserve"> μέσα στην προγεμισμένη συσκευή τύπου πένας</w:t>
              </w:r>
            </w:ins>
            <w:r>
              <w:rPr>
                <w:rFonts w:ascii="Times New Roman" w:hAnsi="Times New Roman"/>
                <w:sz w:val="22"/>
                <w:szCs w:val="22"/>
              </w:rPr>
              <w:t>.</w:t>
            </w:r>
          </w:p>
        </w:tc>
      </w:tr>
      <w:tr w:rsidR="00171824" w:rsidRPr="00A07F46" w14:paraId="4EEA254C" w14:textId="77777777" w:rsidTr="00422380">
        <w:trPr>
          <w:cantSplit/>
          <w:trHeight w:val="57"/>
        </w:trPr>
        <w:tc>
          <w:tcPr>
            <w:tcW w:w="355" w:type="pct"/>
            <w:tcBorders>
              <w:top w:val="nil"/>
              <w:bottom w:val="nil"/>
              <w:right w:val="nil"/>
            </w:tcBorders>
            <w:tcMar>
              <w:top w:w="28" w:type="dxa"/>
              <w:left w:w="57" w:type="dxa"/>
              <w:bottom w:w="28" w:type="dxa"/>
              <w:right w:w="57" w:type="dxa"/>
            </w:tcMar>
          </w:tcPr>
          <w:p w14:paraId="7883721B"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65BD6633" w14:textId="643E4908" w:rsidR="00171824" w:rsidDel="00187EA0" w:rsidRDefault="006D258C">
            <w:pPr>
              <w:rPr>
                <w:ins w:id="334" w:author="Author"/>
                <w:del w:id="335" w:author="Author"/>
                <w:sz w:val="22"/>
                <w:szCs w:val="22"/>
                <w:lang w:val="el-GR"/>
              </w:rPr>
            </w:pPr>
            <w:r>
              <w:rPr>
                <w:b/>
                <w:bCs/>
                <w:sz w:val="22"/>
                <w:szCs w:val="22"/>
                <w:lang w:val="el-GR"/>
              </w:rPr>
              <w:t>Μη</w:t>
            </w:r>
            <w:r>
              <w:rPr>
                <w:sz w:val="22"/>
                <w:szCs w:val="22"/>
                <w:lang w:val="el-GR"/>
              </w:rPr>
              <w:t xml:space="preserve"> χρησιμοποιήσετε το φάρμακο εάν είναι θολό, αποχρωματισμένο ή έχει νιφάδες</w:t>
            </w:r>
            <w:ins w:id="336" w:author="Author">
              <w:r>
                <w:rPr>
                  <w:sz w:val="22"/>
                  <w:szCs w:val="22"/>
                  <w:lang w:val="el-GR"/>
                </w:rPr>
                <w:t xml:space="preserve"> ή σωματίδια</w:t>
              </w:r>
            </w:ins>
            <w:r>
              <w:rPr>
                <w:sz w:val="22"/>
                <w:szCs w:val="22"/>
                <w:lang w:val="el-GR"/>
              </w:rPr>
              <w:t>.</w:t>
            </w:r>
            <w:del w:id="337" w:author="Author">
              <w:r w:rsidDel="00187EA0">
                <w:rPr>
                  <w:sz w:val="22"/>
                  <w:szCs w:val="22"/>
                  <w:lang w:val="el-GR"/>
                </w:rPr>
                <w:delText xml:space="preserve"> </w:delText>
              </w:r>
            </w:del>
          </w:p>
          <w:p w14:paraId="2E069E0D" w14:textId="37C185B0" w:rsidR="00171824" w:rsidRDefault="006D258C" w:rsidP="00187EA0">
            <w:pPr>
              <w:rPr>
                <w:sz w:val="22"/>
                <w:szCs w:val="22"/>
                <w:lang w:val="el-GR"/>
              </w:rPr>
            </w:pPr>
            <w:r>
              <w:rPr>
                <w:sz w:val="22"/>
                <w:szCs w:val="22"/>
                <w:lang w:val="el-GR"/>
              </w:rPr>
              <w:t xml:space="preserve">  </w:t>
            </w:r>
          </w:p>
        </w:tc>
      </w:tr>
      <w:tr w:rsidR="00187EA0" w:rsidRPr="00A07F46" w14:paraId="0A2B1F3B" w14:textId="77777777" w:rsidTr="00422380">
        <w:trPr>
          <w:cantSplit/>
          <w:trHeight w:val="1212"/>
          <w:ins w:id="338" w:author="Author"/>
        </w:trPr>
        <w:tc>
          <w:tcPr>
            <w:tcW w:w="5000" w:type="pct"/>
            <w:gridSpan w:val="3"/>
            <w:tcBorders>
              <w:top w:val="nil"/>
              <w:bottom w:val="single" w:sz="4" w:space="0" w:color="auto"/>
            </w:tcBorders>
            <w:tcMar>
              <w:top w:w="28" w:type="dxa"/>
              <w:left w:w="57" w:type="dxa"/>
              <w:bottom w:w="28" w:type="dxa"/>
              <w:right w:w="57" w:type="dxa"/>
            </w:tcMar>
          </w:tcPr>
          <w:p w14:paraId="20C6EAD1" w14:textId="3C012160" w:rsidR="00187EA0" w:rsidRDefault="009039B7">
            <w:pPr>
              <w:rPr>
                <w:ins w:id="339" w:author="Author"/>
                <w:b/>
                <w:bCs/>
                <w:sz w:val="22"/>
                <w:szCs w:val="22"/>
                <w:lang w:val="el-GR"/>
              </w:rPr>
            </w:pPr>
            <w:ins w:id="340" w:author="Author">
              <w:r>
                <w:rPr>
                  <w:noProof/>
                </w:rPr>
                <mc:AlternateContent>
                  <mc:Choice Requires="wps">
                    <w:drawing>
                      <wp:anchor distT="45720" distB="45720" distL="114300" distR="114300" simplePos="0" relativeHeight="251670528" behindDoc="0" locked="0" layoutInCell="1" allowOverlap="1" wp14:anchorId="06BCB0E0" wp14:editId="29339C55">
                        <wp:simplePos x="0" y="0"/>
                        <wp:positionH relativeFrom="margin">
                          <wp:posOffset>16510</wp:posOffset>
                        </wp:positionH>
                        <wp:positionV relativeFrom="paragraph">
                          <wp:posOffset>64135</wp:posOffset>
                        </wp:positionV>
                        <wp:extent cx="5582285" cy="592455"/>
                        <wp:effectExtent l="0" t="0" r="0" b="0"/>
                        <wp:wrapSquare wrapText="bothSides"/>
                        <wp:docPr id="19059457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5" cy="592455"/>
                                </a:xfrm>
                                <a:prstGeom prst="rect">
                                  <a:avLst/>
                                </a:prstGeom>
                                <a:solidFill>
                                  <a:srgbClr val="FFFFFF"/>
                                </a:solidFill>
                                <a:ln w="19050">
                                  <a:solidFill>
                                    <a:srgbClr val="FF0000"/>
                                  </a:solidFill>
                                  <a:miter lim="800000"/>
                                </a:ln>
                              </wps:spPr>
                              <wps:txbx>
                                <w:txbxContent>
                                  <w:p w14:paraId="54AD8DC2" w14:textId="77777777" w:rsidR="00171824" w:rsidRDefault="006D258C">
                                    <w:pPr>
                                      <w:rPr>
                                        <w:sz w:val="22"/>
                                        <w:szCs w:val="22"/>
                                        <w:lang w:val="el-GR"/>
                                      </w:rPr>
                                    </w:pPr>
                                    <w:r>
                                      <w:rPr>
                                        <w:b/>
                                        <w:sz w:val="22"/>
                                        <w:szCs w:val="22"/>
                                        <w:lang w:val="el-GR"/>
                                      </w:rPr>
                                      <w:t xml:space="preserve">Σημαντικό: </w:t>
                                    </w:r>
                                    <w:r>
                                      <w:rPr>
                                        <w:sz w:val="22"/>
                                        <w:szCs w:val="22"/>
                                        <w:lang w:val="el-GR"/>
                                      </w:rPr>
                                      <w:t>Εάν το φάρμακο είναι θολό, αποχρωματισμένο ή περιέχει νιφάδες</w:t>
                                    </w:r>
                                    <w:ins w:id="341" w:author="Author">
                                      <w:r>
                                        <w:rPr>
                                          <w:sz w:val="22"/>
                                          <w:szCs w:val="22"/>
                                          <w:lang w:val="el-GR"/>
                                        </w:rPr>
                                        <w:t xml:space="preserve"> ή σωματίδια</w:t>
                                      </w:r>
                                    </w:ins>
                                    <w:del w:id="342" w:author="Author">
                                      <w:r>
                                        <w:rPr>
                                          <w:sz w:val="22"/>
                                          <w:szCs w:val="22"/>
                                          <w:lang w:val="el-GR"/>
                                        </w:rPr>
                                        <w:delText>,</w:delText>
                                      </w:r>
                                    </w:del>
                                    <w:r>
                                      <w:rPr>
                                        <w:sz w:val="22"/>
                                        <w:szCs w:val="22"/>
                                        <w:lang w:val="el-GR"/>
                                      </w:rPr>
                                      <w:t xml:space="preserve"> </w:t>
                                    </w:r>
                                    <w:ins w:id="343" w:author="Author">
                                      <w:r>
                                        <w:rPr>
                                          <w:sz w:val="22"/>
                                          <w:szCs w:val="22"/>
                                          <w:lang w:val="el-GR"/>
                                        </w:rPr>
                                        <w:t xml:space="preserve">ή εάν η προγεμισμένη συσκευή τύπου πένας έχει υποστεί ζημιά ή έχει λήξει, </w:t>
                                      </w:r>
                                    </w:ins>
                                    <w:r>
                                      <w:rPr>
                                        <w:sz w:val="22"/>
                                        <w:szCs w:val="22"/>
                                        <w:lang w:val="el-GR"/>
                                      </w:rPr>
                                      <w:t>καλέστε τον γιατρό σας ή τον πάροχο υγειονομικής περίθαλψης.</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6BCB0E0" id="Text Box 30" o:spid="_x0000_s1045" type="#_x0000_t202" style="position:absolute;margin-left:1.3pt;margin-top:5.05pt;width:439.55pt;height:46.65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" strokecolor="red" strokeweight="1.5pt">
                        <v:textbox style="mso-fit-shape-to-text:t">
                          <w:txbxContent>
                            <w:p w14:paraId="54AD8DC2" w14:textId="77777777" w:rsidR="00171824" w:rsidRDefault="006D258C">
                              <w:pPr>
                                <w:rPr>
                                  <w:sz w:val="22"/>
                                  <w:szCs w:val="22"/>
                                  <w:lang w:val="el-GR"/>
                                </w:rPr>
                              </w:pPr>
                              <w:r>
                                <w:rPr>
                                  <w:b/>
                                  <w:sz w:val="22"/>
                                  <w:szCs w:val="22"/>
                                  <w:lang w:val="el-GR"/>
                                </w:rPr>
                                <w:t xml:space="preserve">Σημαντικό: </w:t>
                              </w:r>
                              <w:r>
                                <w:rPr>
                                  <w:sz w:val="22"/>
                                  <w:szCs w:val="22"/>
                                  <w:lang w:val="el-GR"/>
                                </w:rPr>
                                <w:t>Εάν το φάρμακο είναι θολό, αποχρωματισμένο ή περιέχει νιφάδες</w:t>
                              </w:r>
                              <w:ins w:id="1982" w:author="Author">
                                <w:r>
                                  <w:rPr>
                                    <w:sz w:val="22"/>
                                    <w:szCs w:val="22"/>
                                    <w:lang w:val="el-GR"/>
                                  </w:rPr>
                                  <w:t xml:space="preserve"> ή σωματίδια</w:t>
                                </w:r>
                              </w:ins>
                              <w:del w:id="1983" w:author="Author">
                                <w:r>
                                  <w:rPr>
                                    <w:sz w:val="22"/>
                                    <w:szCs w:val="22"/>
                                    <w:lang w:val="el-GR"/>
                                  </w:rPr>
                                  <w:delText>,</w:delText>
                                </w:r>
                              </w:del>
                              <w:r>
                                <w:rPr>
                                  <w:sz w:val="22"/>
                                  <w:szCs w:val="22"/>
                                  <w:lang w:val="el-GR"/>
                                </w:rPr>
                                <w:t xml:space="preserve"> </w:t>
                              </w:r>
                              <w:ins w:id="1984" w:author="Author">
                                <w:r>
                                  <w:rPr>
                                    <w:sz w:val="22"/>
                                    <w:szCs w:val="22"/>
                                    <w:lang w:val="el-GR"/>
                                  </w:rPr>
                                  <w:t xml:space="preserve">ή εάν η προγεμισμένη συσκευή τύπου πένας έχει υποστεί ζημιά ή έχει λήξει, </w:t>
                                </w:r>
                              </w:ins>
                              <w:r>
                                <w:rPr>
                                  <w:sz w:val="22"/>
                                  <w:szCs w:val="22"/>
                                  <w:lang w:val="el-GR"/>
                                </w:rPr>
                                <w:t>καλέστε τον γιατρό σας ή τον πάροχο υγειονομικής περίθαλψης.</w:t>
                              </w:r>
                            </w:p>
                          </w:txbxContent>
                        </v:textbox>
                        <w10:wrap type="square" anchorx="margin"/>
                      </v:shape>
                    </w:pict>
                  </mc:Fallback>
                </mc:AlternateContent>
              </w:r>
            </w:ins>
          </w:p>
        </w:tc>
      </w:tr>
    </w:tbl>
    <w:p w14:paraId="07A5C6E1" w14:textId="77777777" w:rsidR="00171824" w:rsidRDefault="00171824">
      <w:pPr>
        <w:rPr>
          <w:b/>
          <w:bCs/>
          <w:sz w:val="22"/>
          <w:szCs w:val="22"/>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479"/>
        <w:gridCol w:w="4737"/>
      </w:tblGrid>
      <w:tr w:rsidR="00171824" w:rsidRPr="00A07F46" w14:paraId="4CAA9E06" w14:textId="77777777">
        <w:trPr>
          <w:cantSplit/>
          <w:trHeight w:val="335"/>
        </w:trPr>
        <w:tc>
          <w:tcPr>
            <w:tcW w:w="383" w:type="pct"/>
            <w:gridSpan w:val="2"/>
            <w:tcBorders>
              <w:bottom w:val="nil"/>
            </w:tcBorders>
            <w:tcMar>
              <w:top w:w="28" w:type="dxa"/>
              <w:left w:w="57" w:type="dxa"/>
              <w:bottom w:w="28" w:type="dxa"/>
              <w:right w:w="57" w:type="dxa"/>
            </w:tcMar>
          </w:tcPr>
          <w:p w14:paraId="7DCB5949" w14:textId="77777777" w:rsidR="00171824" w:rsidRDefault="006D258C">
            <w:pPr>
              <w:keepNext/>
              <w:rPr>
                <w:sz w:val="22"/>
                <w:szCs w:val="22"/>
                <w:lang w:val="el-GR"/>
              </w:rPr>
            </w:pPr>
            <w:r>
              <w:rPr>
                <w:b/>
                <w:sz w:val="22"/>
                <w:szCs w:val="22"/>
                <w:lang w:val="el-GR"/>
              </w:rPr>
              <w:lastRenderedPageBreak/>
              <w:t>2γ</w:t>
            </w:r>
          </w:p>
        </w:tc>
        <w:tc>
          <w:tcPr>
            <w:tcW w:w="4617" w:type="pct"/>
            <w:gridSpan w:val="2"/>
            <w:tcBorders>
              <w:bottom w:val="nil"/>
            </w:tcBorders>
          </w:tcPr>
          <w:p w14:paraId="7D2D4485" w14:textId="77777777" w:rsidR="00171824" w:rsidRDefault="006D258C">
            <w:pPr>
              <w:keepNext/>
              <w:rPr>
                <w:sz w:val="22"/>
                <w:szCs w:val="22"/>
                <w:lang w:val="el-GR"/>
              </w:rPr>
            </w:pPr>
            <w:r>
              <w:rPr>
                <w:b/>
                <w:sz w:val="22"/>
                <w:szCs w:val="22"/>
                <w:lang w:val="el-GR"/>
              </w:rPr>
              <w:t xml:space="preserve">Ελέγξτε την ημερομηνία λήξης (EXP.) και επιθεωρήστε οπτικά την προγεμισμένη συσκευή τύπου πένας για ζημιά. </w:t>
            </w:r>
          </w:p>
        </w:tc>
      </w:tr>
      <w:tr w:rsidR="00171824" w14:paraId="4F07C2DD" w14:textId="77777777">
        <w:trPr>
          <w:cantSplit/>
          <w:trHeight w:val="1612"/>
        </w:trPr>
        <w:tc>
          <w:tcPr>
            <w:tcW w:w="355" w:type="pct"/>
            <w:tcBorders>
              <w:bottom w:val="nil"/>
              <w:right w:val="nil"/>
            </w:tcBorders>
            <w:tcMar>
              <w:top w:w="28" w:type="dxa"/>
              <w:left w:w="57" w:type="dxa"/>
              <w:bottom w:w="28" w:type="dxa"/>
              <w:right w:w="57" w:type="dxa"/>
            </w:tcMar>
          </w:tcPr>
          <w:p w14:paraId="487D21D3" w14:textId="77777777" w:rsidR="00171824" w:rsidRDefault="00171824">
            <w:pPr>
              <w:keepNext/>
              <w:rPr>
                <w:b/>
                <w:bCs/>
                <w:sz w:val="22"/>
                <w:szCs w:val="22"/>
                <w:lang w:val="el-GR"/>
              </w:rPr>
            </w:pPr>
          </w:p>
        </w:tc>
        <w:tc>
          <w:tcPr>
            <w:tcW w:w="1983" w:type="pct"/>
            <w:gridSpan w:val="2"/>
            <w:tcBorders>
              <w:top w:val="single" w:sz="4" w:space="0" w:color="auto"/>
              <w:left w:val="nil"/>
              <w:bottom w:val="nil"/>
              <w:right w:val="nil"/>
            </w:tcBorders>
            <w:tcMar>
              <w:top w:w="28" w:type="dxa"/>
              <w:left w:w="57" w:type="dxa"/>
              <w:bottom w:w="28" w:type="dxa"/>
              <w:right w:w="57" w:type="dxa"/>
            </w:tcMar>
          </w:tcPr>
          <w:p w14:paraId="038766BC" w14:textId="581356BF" w:rsidR="00171824" w:rsidRDefault="009039B7">
            <w:pPr>
              <w:suppressAutoHyphens/>
              <w:textAlignment w:val="center"/>
              <w:rPr>
                <w:b/>
                <w:bCs/>
                <w:sz w:val="22"/>
                <w:szCs w:val="22"/>
                <w:lang w:val="el-GR"/>
              </w:rPr>
            </w:pPr>
            <w:r>
              <w:rPr>
                <w:b/>
                <w:noProof/>
                <w:sz w:val="22"/>
                <w:szCs w:val="22"/>
                <w:lang w:val="el-GR" w:eastAsia="zh-CN"/>
              </w:rPr>
              <w:drawing>
                <wp:inline distT="0" distB="0" distL="0" distR="0" wp14:anchorId="77334D86" wp14:editId="6460290A">
                  <wp:extent cx="2188845" cy="1274445"/>
                  <wp:effectExtent l="0" t="0" r="0" b="0"/>
                  <wp:docPr id="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88845" cy="1274445"/>
                          </a:xfrm>
                          <a:prstGeom prst="rect">
                            <a:avLst/>
                          </a:prstGeom>
                          <a:noFill/>
                          <a:ln>
                            <a:noFill/>
                          </a:ln>
                        </pic:spPr>
                      </pic:pic>
                    </a:graphicData>
                  </a:graphic>
                </wp:inline>
              </w:drawing>
            </w:r>
          </w:p>
        </w:tc>
        <w:tc>
          <w:tcPr>
            <w:tcW w:w="2662" w:type="pct"/>
            <w:tcBorders>
              <w:top w:val="single" w:sz="4" w:space="0" w:color="auto"/>
              <w:left w:val="nil"/>
              <w:bottom w:val="nil"/>
              <w:right w:val="single" w:sz="4" w:space="0" w:color="auto"/>
            </w:tcBorders>
          </w:tcPr>
          <w:p w14:paraId="7C7CEDEB" w14:textId="77777777" w:rsidR="00171824" w:rsidRDefault="00171824">
            <w:pPr>
              <w:suppressAutoHyphens/>
              <w:textAlignment w:val="center"/>
              <w:rPr>
                <w:b/>
                <w:bCs/>
                <w:sz w:val="22"/>
                <w:szCs w:val="22"/>
                <w:lang w:val="el-GR"/>
              </w:rPr>
            </w:pPr>
          </w:p>
          <w:p w14:paraId="5FC05657" w14:textId="77777777" w:rsidR="00171824" w:rsidRDefault="00171824">
            <w:pPr>
              <w:suppressAutoHyphens/>
              <w:textAlignment w:val="center"/>
              <w:rPr>
                <w:b/>
                <w:bCs/>
                <w:sz w:val="22"/>
                <w:szCs w:val="22"/>
                <w:lang w:val="el-GR"/>
              </w:rPr>
            </w:pPr>
          </w:p>
          <w:p w14:paraId="70BD3F1D" w14:textId="77777777" w:rsidR="00171824" w:rsidRDefault="00171824">
            <w:pPr>
              <w:suppressAutoHyphens/>
              <w:textAlignment w:val="center"/>
              <w:rPr>
                <w:b/>
                <w:bCs/>
                <w:sz w:val="22"/>
                <w:szCs w:val="22"/>
                <w:lang w:val="el-GR"/>
              </w:rPr>
            </w:pPr>
          </w:p>
          <w:p w14:paraId="272B30E0" w14:textId="77777777" w:rsidR="00171824" w:rsidRDefault="00171824">
            <w:pPr>
              <w:suppressAutoHyphens/>
              <w:textAlignment w:val="center"/>
              <w:rPr>
                <w:b/>
                <w:bCs/>
                <w:sz w:val="22"/>
                <w:szCs w:val="22"/>
                <w:lang w:val="el-GR"/>
              </w:rPr>
            </w:pPr>
          </w:p>
          <w:p w14:paraId="3EFEC63C" w14:textId="77777777" w:rsidR="00171824" w:rsidRDefault="006D258C">
            <w:pPr>
              <w:suppressAutoHyphens/>
              <w:textAlignment w:val="center"/>
              <w:rPr>
                <w:sz w:val="22"/>
                <w:szCs w:val="22"/>
                <w:lang w:val="el-GR"/>
              </w:rPr>
            </w:pPr>
            <w:r>
              <w:rPr>
                <w:sz w:val="22"/>
                <w:szCs w:val="22"/>
                <w:lang w:val="el-GR"/>
              </w:rPr>
              <w:t>Ημερομηνία λήξης</w:t>
            </w:r>
          </w:p>
        </w:tc>
      </w:tr>
      <w:tr w:rsidR="00171824" w:rsidRPr="00A07F46" w14:paraId="030CD849" w14:textId="77777777">
        <w:trPr>
          <w:cantSplit/>
          <w:trHeight w:val="57"/>
        </w:trPr>
        <w:tc>
          <w:tcPr>
            <w:tcW w:w="355" w:type="pct"/>
            <w:tcBorders>
              <w:top w:val="nil"/>
              <w:bottom w:val="nil"/>
              <w:right w:val="nil"/>
            </w:tcBorders>
            <w:tcMar>
              <w:top w:w="28" w:type="dxa"/>
              <w:left w:w="57" w:type="dxa"/>
              <w:bottom w:w="28" w:type="dxa"/>
              <w:right w:w="57" w:type="dxa"/>
            </w:tcMar>
          </w:tcPr>
          <w:p w14:paraId="77CB74AB" w14:textId="77777777" w:rsidR="00171824" w:rsidRDefault="00171824">
            <w:pPr>
              <w:keepNext/>
              <w:widowControl/>
              <w:numPr>
                <w:ilvl w:val="0"/>
                <w:numId w:val="36"/>
              </w:numPr>
              <w:autoSpaceDE/>
              <w:autoSpaceDN/>
              <w:adjustRightInd/>
              <w:ind w:left="567" w:hanging="567"/>
              <w:rPr>
                <w:sz w:val="22"/>
                <w:szCs w:val="22"/>
                <w:lang w:val="el-GR"/>
              </w:rPr>
            </w:pPr>
          </w:p>
        </w:tc>
        <w:tc>
          <w:tcPr>
            <w:tcW w:w="4645" w:type="pct"/>
            <w:gridSpan w:val="3"/>
            <w:tcBorders>
              <w:top w:val="nil"/>
              <w:left w:val="nil"/>
              <w:bottom w:val="nil"/>
            </w:tcBorders>
            <w:tcMar>
              <w:left w:w="0" w:type="dxa"/>
            </w:tcMar>
          </w:tcPr>
          <w:p w14:paraId="5347C2E6" w14:textId="77777777" w:rsidR="00171824" w:rsidRDefault="006D258C">
            <w:pPr>
              <w:pStyle w:val="ListParagraph"/>
              <w:keepNext/>
              <w:suppressAutoHyphens/>
              <w:textAlignment w:val="center"/>
              <w:rPr>
                <w:b/>
                <w:bCs/>
                <w:sz w:val="22"/>
                <w:szCs w:val="22"/>
                <w:lang w:val="el-GR"/>
              </w:rPr>
            </w:pPr>
            <w:r>
              <w:rPr>
                <w:b/>
                <w:bCs/>
                <w:sz w:val="22"/>
                <w:szCs w:val="22"/>
                <w:lang w:val="el-GR"/>
              </w:rPr>
              <w:t>Μη</w:t>
            </w:r>
            <w:del w:id="344" w:author="Author">
              <w:r>
                <w:rPr>
                  <w:b/>
                  <w:bCs/>
                  <w:sz w:val="22"/>
                  <w:szCs w:val="22"/>
                  <w:lang w:val="el-GR"/>
                </w:rPr>
                <w:delText>ν</w:delText>
              </w:r>
            </w:del>
            <w:r>
              <w:rPr>
                <w:sz w:val="22"/>
                <w:szCs w:val="22"/>
                <w:lang w:val="el-GR"/>
              </w:rPr>
              <w:t xml:space="preserve"> </w:t>
            </w:r>
            <w:del w:id="345" w:author="Author">
              <w:r>
                <w:rPr>
                  <w:sz w:val="22"/>
                  <w:szCs w:val="22"/>
                  <w:lang w:val="el-GR"/>
                </w:rPr>
                <w:delText xml:space="preserve">τη </w:delText>
              </w:r>
            </w:del>
            <w:r>
              <w:rPr>
                <w:sz w:val="22"/>
                <w:szCs w:val="22"/>
                <w:lang w:val="el-GR"/>
              </w:rPr>
              <w:t xml:space="preserve">χρησιμοποιήσετε </w:t>
            </w:r>
            <w:ins w:id="346" w:author="Author">
              <w:r>
                <w:rPr>
                  <w:sz w:val="22"/>
                  <w:szCs w:val="22"/>
                  <w:lang w:val="el-GR"/>
                </w:rPr>
                <w:t xml:space="preserve">την προγεμισμένη συσκευή τύπου πένας </w:t>
              </w:r>
            </w:ins>
            <w:r>
              <w:rPr>
                <w:sz w:val="22"/>
                <w:szCs w:val="22"/>
                <w:lang w:val="el-GR"/>
              </w:rPr>
              <w:t xml:space="preserve">εάν η ημερομηνία λήξης έχει παρέλθει.  </w:t>
            </w:r>
          </w:p>
        </w:tc>
      </w:tr>
      <w:tr w:rsidR="00171824" w:rsidRPr="00A07F46" w14:paraId="198C87B0" w14:textId="77777777" w:rsidTr="00422380">
        <w:trPr>
          <w:cantSplit/>
          <w:trHeight w:val="57"/>
        </w:trPr>
        <w:tc>
          <w:tcPr>
            <w:tcW w:w="355" w:type="pct"/>
            <w:tcBorders>
              <w:top w:val="nil"/>
              <w:bottom w:val="nil"/>
              <w:right w:val="nil"/>
            </w:tcBorders>
            <w:tcMar>
              <w:top w:w="28" w:type="dxa"/>
              <w:left w:w="57" w:type="dxa"/>
              <w:bottom w:w="28" w:type="dxa"/>
              <w:right w:w="57" w:type="dxa"/>
            </w:tcMar>
          </w:tcPr>
          <w:p w14:paraId="1ED21D1F" w14:textId="77777777" w:rsidR="00171824" w:rsidRDefault="00171824">
            <w:pPr>
              <w:keepNext/>
              <w:widowControl/>
              <w:numPr>
                <w:ilvl w:val="0"/>
                <w:numId w:val="36"/>
              </w:numPr>
              <w:autoSpaceDE/>
              <w:autoSpaceDN/>
              <w:adjustRightInd/>
              <w:ind w:left="567" w:hanging="567"/>
              <w:rPr>
                <w:sz w:val="22"/>
                <w:szCs w:val="22"/>
                <w:lang w:val="el-GR"/>
              </w:rPr>
            </w:pPr>
          </w:p>
        </w:tc>
        <w:tc>
          <w:tcPr>
            <w:tcW w:w="4645" w:type="pct"/>
            <w:gridSpan w:val="3"/>
            <w:tcBorders>
              <w:top w:val="nil"/>
              <w:left w:val="nil"/>
              <w:bottom w:val="nil"/>
            </w:tcBorders>
            <w:tcMar>
              <w:left w:w="0" w:type="dxa"/>
            </w:tcMar>
          </w:tcPr>
          <w:p w14:paraId="7DB3F55E" w14:textId="77777777" w:rsidR="00171824" w:rsidRDefault="006D258C">
            <w:pPr>
              <w:pStyle w:val="ListParagraph"/>
              <w:keepNext/>
              <w:suppressAutoHyphens/>
              <w:textAlignment w:val="center"/>
              <w:rPr>
                <w:sz w:val="22"/>
                <w:szCs w:val="22"/>
                <w:lang w:val="el-GR"/>
              </w:rPr>
            </w:pPr>
            <w:r>
              <w:rPr>
                <w:b/>
                <w:bCs/>
                <w:sz w:val="22"/>
                <w:szCs w:val="22"/>
                <w:lang w:val="el-GR"/>
              </w:rPr>
              <w:t>Μη</w:t>
            </w:r>
            <w:r>
              <w:rPr>
                <w:sz w:val="22"/>
                <w:szCs w:val="22"/>
                <w:lang w:val="el-GR"/>
              </w:rPr>
              <w:t xml:space="preserve"> χρησιμοποιήσετε την προγεμισμένη συσκευή τύπου πένας εάν:</w:t>
            </w:r>
          </w:p>
          <w:p w14:paraId="7BD91673" w14:textId="77777777" w:rsidR="00171824" w:rsidRDefault="006D258C">
            <w:pPr>
              <w:pStyle w:val="ListParagraph"/>
              <w:keepNext/>
              <w:widowControl/>
              <w:numPr>
                <w:ilvl w:val="0"/>
                <w:numId w:val="43"/>
              </w:numPr>
              <w:suppressAutoHyphens/>
              <w:ind w:left="677" w:right="-464" w:hanging="357"/>
              <w:contextualSpacing/>
              <w:textAlignment w:val="center"/>
              <w:rPr>
                <w:sz w:val="22"/>
                <w:szCs w:val="22"/>
                <w:lang w:val="el-GR"/>
              </w:rPr>
            </w:pPr>
            <w:ins w:id="347" w:author="Author">
              <w:r>
                <w:rPr>
                  <w:sz w:val="22"/>
                  <w:szCs w:val="22"/>
                  <w:lang w:val="el-GR"/>
                </w:rPr>
                <w:t>τ</w:t>
              </w:r>
            </w:ins>
            <w:del w:id="348" w:author="Author">
              <w:r>
                <w:rPr>
                  <w:sz w:val="22"/>
                  <w:szCs w:val="22"/>
                  <w:lang w:val="el-GR"/>
                </w:rPr>
                <w:delText>Τ</w:delText>
              </w:r>
            </w:del>
            <w:r>
              <w:rPr>
                <w:sz w:val="22"/>
                <w:szCs w:val="22"/>
                <w:lang w:val="el-GR"/>
              </w:rPr>
              <w:t>ο κίτρινο κάλυμμα λείπει ή δεν είναι καλά τοποθετημένο.</w:t>
            </w:r>
          </w:p>
          <w:p w14:paraId="523F2AFE" w14:textId="77777777" w:rsidR="00171824" w:rsidRDefault="006D258C">
            <w:pPr>
              <w:pStyle w:val="ListParagraph"/>
              <w:keepNext/>
              <w:widowControl/>
              <w:numPr>
                <w:ilvl w:val="0"/>
                <w:numId w:val="43"/>
              </w:numPr>
              <w:suppressAutoHyphens/>
              <w:ind w:left="677" w:hanging="357"/>
              <w:contextualSpacing/>
              <w:textAlignment w:val="center"/>
              <w:rPr>
                <w:sz w:val="22"/>
                <w:szCs w:val="22"/>
                <w:lang w:val="el-GR"/>
              </w:rPr>
            </w:pPr>
            <w:ins w:id="349" w:author="Author">
              <w:r>
                <w:rPr>
                  <w:sz w:val="22"/>
                  <w:szCs w:val="22"/>
                  <w:lang w:val="el-GR"/>
                </w:rPr>
                <w:t>κ</w:t>
              </w:r>
            </w:ins>
            <w:del w:id="350" w:author="Author">
              <w:r>
                <w:rPr>
                  <w:sz w:val="22"/>
                  <w:szCs w:val="22"/>
                  <w:lang w:val="el-GR"/>
                </w:rPr>
                <w:delText>Κ</w:delText>
              </w:r>
            </w:del>
            <w:r>
              <w:rPr>
                <w:sz w:val="22"/>
                <w:szCs w:val="22"/>
                <w:lang w:val="el-GR"/>
              </w:rPr>
              <w:t>άποιο μέρος της φαίνεται να είναι ραγισμένο ή σπασμένο.</w:t>
            </w:r>
          </w:p>
          <w:p w14:paraId="5C613DCB" w14:textId="77777777" w:rsidR="00171824" w:rsidRDefault="006D258C">
            <w:pPr>
              <w:pStyle w:val="ListParagraph"/>
              <w:keepNext/>
              <w:widowControl/>
              <w:numPr>
                <w:ilvl w:val="0"/>
                <w:numId w:val="43"/>
              </w:numPr>
              <w:suppressAutoHyphens/>
              <w:ind w:left="677" w:hanging="357"/>
              <w:contextualSpacing/>
              <w:textAlignment w:val="center"/>
              <w:rPr>
                <w:sz w:val="22"/>
                <w:szCs w:val="22"/>
                <w:lang w:val="el-GR"/>
              </w:rPr>
            </w:pPr>
            <w:ins w:id="351" w:author="Author">
              <w:r>
                <w:rPr>
                  <w:sz w:val="22"/>
                  <w:szCs w:val="22"/>
                  <w:lang w:val="el-GR"/>
                </w:rPr>
                <w:t>έ</w:t>
              </w:r>
            </w:ins>
            <w:del w:id="352" w:author="Author">
              <w:r>
                <w:rPr>
                  <w:sz w:val="22"/>
                  <w:szCs w:val="22"/>
                  <w:lang w:val="el-GR"/>
                </w:rPr>
                <w:delText>Έ</w:delText>
              </w:r>
            </w:del>
            <w:r>
              <w:rPr>
                <w:sz w:val="22"/>
                <w:szCs w:val="22"/>
                <w:lang w:val="el-GR"/>
              </w:rPr>
              <w:t>χει πέσει επάνω σε μια σκληρή επιφάνεια.</w:t>
            </w:r>
          </w:p>
        </w:tc>
      </w:tr>
      <w:tr w:rsidR="00171824" w:rsidRPr="00A07F46" w14:paraId="0ACF8876" w14:textId="77777777" w:rsidTr="00422380">
        <w:trPr>
          <w:cantSplit/>
          <w:trHeight w:val="57"/>
        </w:trPr>
        <w:tc>
          <w:tcPr>
            <w:tcW w:w="355" w:type="pct"/>
            <w:tcBorders>
              <w:top w:val="nil"/>
              <w:bottom w:val="single" w:sz="4" w:space="0" w:color="auto"/>
              <w:right w:val="nil"/>
            </w:tcBorders>
            <w:tcMar>
              <w:top w:w="28" w:type="dxa"/>
              <w:left w:w="57" w:type="dxa"/>
              <w:bottom w:w="28" w:type="dxa"/>
              <w:right w:w="57" w:type="dxa"/>
            </w:tcMar>
          </w:tcPr>
          <w:p w14:paraId="3F3E36D7"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3"/>
            <w:tcBorders>
              <w:top w:val="nil"/>
              <w:left w:val="nil"/>
              <w:bottom w:val="single" w:sz="4" w:space="0" w:color="auto"/>
            </w:tcBorders>
            <w:tcMar>
              <w:left w:w="0" w:type="dxa"/>
            </w:tcMar>
          </w:tcPr>
          <w:p w14:paraId="50CAB005" w14:textId="77777777" w:rsidR="00171824" w:rsidRDefault="006D258C">
            <w:pPr>
              <w:rPr>
                <w:sz w:val="22"/>
                <w:szCs w:val="22"/>
                <w:lang w:val="el-GR"/>
              </w:rPr>
            </w:pPr>
            <w:r>
              <w:rPr>
                <w:sz w:val="22"/>
                <w:szCs w:val="22"/>
                <w:lang w:val="el-GR"/>
              </w:rPr>
              <w:t>Βεβαιωθείτε ότι έχετε το σωστό φάρμακο και δόση.</w:t>
            </w:r>
            <w:del w:id="353" w:author="Author">
              <w:r>
                <w:rPr>
                  <w:sz w:val="22"/>
                  <w:szCs w:val="22"/>
                  <w:lang w:val="el-GR"/>
                </w:rPr>
                <w:delText xml:space="preserve">                                                                                           </w:delText>
              </w:r>
            </w:del>
          </w:p>
        </w:tc>
      </w:tr>
      <w:tr w:rsidR="00171824" w:rsidRPr="00A07F46" w:rsidDel="00FC3745" w14:paraId="235A0B88" w14:textId="14428D20" w:rsidTr="00422380">
        <w:trPr>
          <w:cantSplit/>
          <w:trHeight w:val="57"/>
          <w:del w:id="354" w:author="Author"/>
        </w:trPr>
        <w:tc>
          <w:tcPr>
            <w:tcW w:w="5000" w:type="pct"/>
            <w:gridSpan w:val="4"/>
            <w:tcBorders>
              <w:top w:val="single" w:sz="4" w:space="0" w:color="auto"/>
              <w:bottom w:val="single" w:sz="4" w:space="0" w:color="auto"/>
            </w:tcBorders>
            <w:tcMar>
              <w:top w:w="28" w:type="dxa"/>
              <w:left w:w="57" w:type="dxa"/>
              <w:bottom w:w="28" w:type="dxa"/>
              <w:right w:w="57" w:type="dxa"/>
            </w:tcMar>
          </w:tcPr>
          <w:p w14:paraId="56B2C5C5" w14:textId="32B06EC7" w:rsidR="00171824" w:rsidDel="00FC3745" w:rsidRDefault="009039B7">
            <w:pPr>
              <w:rPr>
                <w:del w:id="355" w:author="Author"/>
                <w:sz w:val="22"/>
                <w:szCs w:val="22"/>
                <w:lang w:val="el-GR"/>
              </w:rPr>
            </w:pPr>
            <w:del w:id="356" w:author="Author">
              <w:r>
                <w:rPr>
                  <w:noProof/>
                </w:rPr>
                <mc:AlternateContent>
                  <mc:Choice Requires="wps">
                    <w:drawing>
                      <wp:anchor distT="45720" distB="45720" distL="114300" distR="114300" simplePos="0" relativeHeight="251666432" behindDoc="0" locked="0" layoutInCell="1" allowOverlap="1" wp14:anchorId="010B8CC7" wp14:editId="4BE531B3">
                        <wp:simplePos x="0" y="0"/>
                        <wp:positionH relativeFrom="margin">
                          <wp:posOffset>6985</wp:posOffset>
                        </wp:positionH>
                        <wp:positionV relativeFrom="paragraph">
                          <wp:posOffset>81280</wp:posOffset>
                        </wp:positionV>
                        <wp:extent cx="5575935" cy="440690"/>
                        <wp:effectExtent l="0" t="0" r="5715" b="6350"/>
                        <wp:wrapSquare wrapText="bothSides"/>
                        <wp:docPr id="71091928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40690"/>
                                </a:xfrm>
                                <a:prstGeom prst="rect">
                                  <a:avLst/>
                                </a:prstGeom>
                                <a:solidFill>
                                  <a:srgbClr val="FFFFFF"/>
                                </a:solidFill>
                                <a:ln w="19050">
                                  <a:solidFill>
                                    <a:srgbClr val="FF0000"/>
                                  </a:solidFill>
                                  <a:miter lim="800000"/>
                                </a:ln>
                              </wps:spPr>
                              <wps:txbx>
                                <w:txbxContent>
                                  <w:p w14:paraId="0419F632" w14:textId="77777777" w:rsidR="00171824" w:rsidRDefault="006D258C">
                                    <w:pPr>
                                      <w:rPr>
                                        <w:sz w:val="22"/>
                                        <w:szCs w:val="22"/>
                                        <w:lang w:val="el-GR"/>
                                      </w:rPr>
                                    </w:pPr>
                                    <w:del w:id="357" w:author="Author">
                                      <w:r>
                                        <w:rPr>
                                          <w:b/>
                                          <w:sz w:val="22"/>
                                          <w:szCs w:val="22"/>
                                          <w:lang w:val="el-GR"/>
                                        </w:rPr>
                                        <w:delText xml:space="preserve">Σημαντικό: </w:delText>
                                      </w:r>
                                      <w:r>
                                        <w:rPr>
                                          <w:sz w:val="22"/>
                                          <w:szCs w:val="22"/>
                                          <w:lang w:val="el-GR"/>
                                        </w:rPr>
                                        <w:delText>Εάν το φάρμακο είναι θολό, αποχρωματισμένο ή περιέχει νιφάδες, καλέστε τον γιατρό σας ή τον πάροχο υγειονομικής περίθαλψης.</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10B8CC7" id="Text Box 29" o:spid="_x0000_s1046" type="#_x0000_t202" style="position:absolute;margin-left:.55pt;margin-top:6.4pt;width:439.05pt;height:34.7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" strokecolor="red" strokeweight="1.5pt">
                        <v:textbox style="mso-fit-shape-to-text:t">
                          <w:txbxContent>
                            <w:p w14:paraId="0419F632" w14:textId="77777777" w:rsidR="00171824" w:rsidRDefault="006D258C">
                              <w:pPr>
                                <w:rPr>
                                  <w:sz w:val="22"/>
                                  <w:szCs w:val="22"/>
                                  <w:lang w:val="el-GR"/>
                                </w:rPr>
                              </w:pPr>
                              <w:del w:id="2011" w:author="Author">
                                <w:r>
                                  <w:rPr>
                                    <w:b/>
                                    <w:sz w:val="22"/>
                                    <w:szCs w:val="22"/>
                                    <w:lang w:val="el-GR"/>
                                  </w:rPr>
                                  <w:delText xml:space="preserve">Σημαντικό: </w:delText>
                                </w:r>
                                <w:r>
                                  <w:rPr>
                                    <w:sz w:val="22"/>
                                    <w:szCs w:val="22"/>
                                    <w:lang w:val="el-GR"/>
                                  </w:rPr>
                                  <w:delText>Εάν το φάρμακο είναι θολό, αποχρωματισμένο ή περιέχει νιφάδες, καλέστε τον γιατρό σας ή τον πάροχο υγειονομικής περίθαλψης.</w:delText>
                                </w:r>
                              </w:del>
                            </w:p>
                          </w:txbxContent>
                        </v:textbox>
                        <w10:wrap type="square" anchorx="margin"/>
                      </v:shape>
                    </w:pict>
                  </mc:Fallback>
                </mc:AlternateContent>
              </w:r>
            </w:del>
          </w:p>
        </w:tc>
      </w:tr>
    </w:tbl>
    <w:p w14:paraId="507928A3" w14:textId="77777777" w:rsidR="00171824" w:rsidRDefault="00171824">
      <w:pPr>
        <w:rPr>
          <w:b/>
          <w:bCs/>
          <w:sz w:val="22"/>
          <w:szCs w:val="22"/>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657"/>
        <w:gridCol w:w="3260"/>
        <w:gridCol w:w="4345"/>
      </w:tblGrid>
      <w:tr w:rsidR="00171824" w:rsidRPr="00A07F46" w14:paraId="0CEBF72F" w14:textId="77777777">
        <w:trPr>
          <w:cantSplit/>
          <w:trHeight w:val="57"/>
        </w:trPr>
        <w:tc>
          <w:tcPr>
            <w:tcW w:w="383" w:type="pct"/>
            <w:tcBorders>
              <w:bottom w:val="single" w:sz="4" w:space="0" w:color="auto"/>
            </w:tcBorders>
            <w:tcMar>
              <w:top w:w="28" w:type="dxa"/>
              <w:left w:w="57" w:type="dxa"/>
              <w:bottom w:w="28" w:type="dxa"/>
              <w:right w:w="57" w:type="dxa"/>
            </w:tcMar>
          </w:tcPr>
          <w:p w14:paraId="5318D2F3" w14:textId="77777777" w:rsidR="00171824" w:rsidRDefault="006D258C">
            <w:pPr>
              <w:keepNext/>
              <w:rPr>
                <w:b/>
                <w:bCs/>
                <w:sz w:val="22"/>
                <w:szCs w:val="22"/>
                <w:lang w:val="el-GR"/>
              </w:rPr>
            </w:pPr>
            <w:r>
              <w:rPr>
                <w:b/>
                <w:sz w:val="22"/>
                <w:szCs w:val="22"/>
                <w:lang w:val="el-GR"/>
              </w:rPr>
              <w:t>3</w:t>
            </w:r>
          </w:p>
        </w:tc>
        <w:tc>
          <w:tcPr>
            <w:tcW w:w="4617" w:type="pct"/>
            <w:gridSpan w:val="3"/>
            <w:tcBorders>
              <w:bottom w:val="single" w:sz="4" w:space="0" w:color="auto"/>
            </w:tcBorders>
            <w:tcMar>
              <w:top w:w="28" w:type="dxa"/>
              <w:left w:w="57" w:type="dxa"/>
              <w:bottom w:w="28" w:type="dxa"/>
              <w:right w:w="57" w:type="dxa"/>
            </w:tcMar>
          </w:tcPr>
          <w:p w14:paraId="7A619708" w14:textId="77777777" w:rsidR="00171824" w:rsidRDefault="006D258C">
            <w:pPr>
              <w:pStyle w:val="ListParagraph"/>
              <w:ind w:left="567" w:hanging="567"/>
              <w:rPr>
                <w:b/>
                <w:bCs/>
                <w:sz w:val="22"/>
                <w:szCs w:val="22"/>
                <w:lang w:val="el-GR"/>
              </w:rPr>
            </w:pPr>
            <w:r>
              <w:rPr>
                <w:b/>
                <w:sz w:val="22"/>
                <w:szCs w:val="22"/>
                <w:lang w:val="el-GR"/>
              </w:rPr>
              <w:t>Ετοιμαστείτε για την ένεσή σας</w:t>
            </w:r>
          </w:p>
        </w:tc>
      </w:tr>
      <w:tr w:rsidR="00171824" w:rsidRPr="00A07F46" w14:paraId="6FF1EDFD" w14:textId="77777777">
        <w:trPr>
          <w:cantSplit/>
          <w:trHeight w:val="57"/>
        </w:trPr>
        <w:tc>
          <w:tcPr>
            <w:tcW w:w="383" w:type="pct"/>
            <w:tcBorders>
              <w:bottom w:val="single" w:sz="4" w:space="0" w:color="auto"/>
            </w:tcBorders>
            <w:tcMar>
              <w:top w:w="28" w:type="dxa"/>
              <w:left w:w="57" w:type="dxa"/>
              <w:bottom w:w="28" w:type="dxa"/>
              <w:right w:w="57" w:type="dxa"/>
            </w:tcMar>
          </w:tcPr>
          <w:p w14:paraId="5376817E" w14:textId="77777777" w:rsidR="00171824" w:rsidRDefault="006D258C">
            <w:pPr>
              <w:keepNext/>
              <w:rPr>
                <w:b/>
                <w:bCs/>
                <w:sz w:val="22"/>
                <w:szCs w:val="22"/>
                <w:lang w:val="el-GR"/>
              </w:rPr>
            </w:pPr>
            <w:r>
              <w:rPr>
                <w:b/>
                <w:sz w:val="22"/>
                <w:szCs w:val="22"/>
                <w:lang w:val="el-GR"/>
              </w:rPr>
              <w:t>3α</w:t>
            </w:r>
          </w:p>
        </w:tc>
        <w:tc>
          <w:tcPr>
            <w:tcW w:w="4617" w:type="pct"/>
            <w:gridSpan w:val="3"/>
            <w:tcBorders>
              <w:bottom w:val="single" w:sz="4" w:space="0" w:color="auto"/>
            </w:tcBorders>
            <w:tcMar>
              <w:top w:w="28" w:type="dxa"/>
              <w:left w:w="57" w:type="dxa"/>
              <w:bottom w:w="28" w:type="dxa"/>
              <w:right w:w="57" w:type="dxa"/>
            </w:tcMar>
          </w:tcPr>
          <w:p w14:paraId="04529A31" w14:textId="77777777" w:rsidR="00171824" w:rsidRDefault="006D258C">
            <w:pPr>
              <w:pStyle w:val="ListParagraph"/>
              <w:rPr>
                <w:sz w:val="22"/>
                <w:szCs w:val="22"/>
                <w:lang w:val="el-GR"/>
              </w:rPr>
            </w:pPr>
            <w:r>
              <w:rPr>
                <w:b/>
                <w:sz w:val="22"/>
                <w:szCs w:val="22"/>
                <w:lang w:val="el-GR"/>
              </w:rPr>
              <w:t>Συγκεντρώστε και τοποθετήστε τα</w:t>
            </w:r>
            <w:ins w:id="358" w:author="Author">
              <w:r>
                <w:rPr>
                  <w:b/>
                  <w:sz w:val="22"/>
                  <w:szCs w:val="22"/>
                  <w:lang w:val="el-GR"/>
                </w:rPr>
                <w:t xml:space="preserve"> παρακάτω</w:t>
              </w:r>
            </w:ins>
            <w:r>
              <w:rPr>
                <w:b/>
                <w:sz w:val="22"/>
                <w:szCs w:val="22"/>
                <w:lang w:val="el-GR"/>
              </w:rPr>
              <w:t xml:space="preserve"> υλικά για την ένεσή σας σε μια καθαρή, </w:t>
            </w:r>
            <w:ins w:id="359" w:author="Author">
              <w:r>
                <w:rPr>
                  <w:b/>
                  <w:sz w:val="22"/>
                  <w:szCs w:val="22"/>
                  <w:lang w:val="el-GR"/>
                </w:rPr>
                <w:t xml:space="preserve">επίπεδη και </w:t>
              </w:r>
            </w:ins>
            <w:r>
              <w:rPr>
                <w:b/>
                <w:sz w:val="22"/>
                <w:szCs w:val="22"/>
                <w:lang w:val="el-GR"/>
              </w:rPr>
              <w:t>καλά φωτισμένη επιφάνεια.</w:t>
            </w:r>
          </w:p>
        </w:tc>
      </w:tr>
      <w:tr w:rsidR="00171824" w:rsidRPr="00A07F46" w14:paraId="5526D463" w14:textId="77777777">
        <w:trPr>
          <w:cantSplit/>
          <w:trHeight w:val="2070"/>
        </w:trPr>
        <w:tc>
          <w:tcPr>
            <w:tcW w:w="75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2F43F8D9" w14:textId="77777777" w:rsidR="00171824" w:rsidRDefault="00171824">
            <w:pPr>
              <w:pStyle w:val="ListParagraph"/>
              <w:keepNext/>
              <w:rPr>
                <w:sz w:val="22"/>
                <w:szCs w:val="22"/>
                <w:lang w:val="el-GR"/>
              </w:rPr>
            </w:pPr>
          </w:p>
          <w:p w14:paraId="5DAE7313" w14:textId="77777777" w:rsidR="00171824" w:rsidRDefault="00171824">
            <w:pPr>
              <w:pStyle w:val="ListParagraph"/>
              <w:keepNext/>
              <w:rPr>
                <w:sz w:val="22"/>
                <w:szCs w:val="22"/>
                <w:lang w:val="el-GR"/>
              </w:rPr>
            </w:pPr>
          </w:p>
          <w:p w14:paraId="08817C5E" w14:textId="77777777" w:rsidR="00171824" w:rsidRDefault="00171824">
            <w:pPr>
              <w:pStyle w:val="ListParagraph"/>
              <w:keepNext/>
              <w:rPr>
                <w:sz w:val="22"/>
                <w:szCs w:val="22"/>
                <w:lang w:val="el-GR"/>
              </w:rPr>
            </w:pPr>
          </w:p>
          <w:p w14:paraId="6A8CDB2B" w14:textId="77777777" w:rsidR="00171824" w:rsidRDefault="00171824">
            <w:pPr>
              <w:pStyle w:val="ListParagraph"/>
              <w:keepNext/>
              <w:rPr>
                <w:sz w:val="22"/>
                <w:szCs w:val="22"/>
                <w:lang w:val="el-GR"/>
              </w:rPr>
            </w:pPr>
          </w:p>
          <w:p w14:paraId="38C0E33A" w14:textId="77777777" w:rsidR="00171824" w:rsidRDefault="00171824">
            <w:pPr>
              <w:pStyle w:val="ListParagraph"/>
              <w:keepNext/>
              <w:rPr>
                <w:sz w:val="22"/>
                <w:szCs w:val="22"/>
                <w:lang w:val="el-GR"/>
              </w:rPr>
            </w:pPr>
          </w:p>
          <w:p w14:paraId="5ADA0368" w14:textId="77777777" w:rsidR="00171824" w:rsidRDefault="006D258C">
            <w:pPr>
              <w:pStyle w:val="ListParagraph"/>
              <w:keepNext/>
              <w:rPr>
                <w:sz w:val="22"/>
                <w:szCs w:val="22"/>
                <w:lang w:val="el-GR"/>
              </w:rPr>
            </w:pPr>
            <w:r>
              <w:rPr>
                <w:sz w:val="22"/>
                <w:szCs w:val="22"/>
                <w:lang w:val="el-GR"/>
              </w:rPr>
              <w:t>Δοχείο απόρριψης αιχμηρών αντικειμένων</w:t>
            </w:r>
          </w:p>
        </w:tc>
        <w:tc>
          <w:tcPr>
            <w:tcW w:w="1822" w:type="pct"/>
            <w:tcBorders>
              <w:top w:val="single" w:sz="4" w:space="0" w:color="auto"/>
              <w:left w:val="nil"/>
              <w:bottom w:val="single" w:sz="4" w:space="0" w:color="auto"/>
              <w:right w:val="nil"/>
            </w:tcBorders>
          </w:tcPr>
          <w:p w14:paraId="78C196BA" w14:textId="67E11DDD" w:rsidR="00171824" w:rsidRDefault="009039B7">
            <w:pPr>
              <w:pStyle w:val="ListParagraph"/>
              <w:keepNext/>
              <w:ind w:left="567" w:hanging="567"/>
              <w:rPr>
                <w:sz w:val="22"/>
                <w:szCs w:val="22"/>
                <w:lang w:val="el-GR"/>
              </w:rPr>
            </w:pPr>
            <w:r>
              <w:rPr>
                <w:noProof/>
                <w:sz w:val="22"/>
                <w:szCs w:val="22"/>
                <w:lang w:val="el-GR" w:eastAsia="zh-CN"/>
              </w:rPr>
              <w:drawing>
                <wp:inline distT="0" distB="0" distL="0" distR="0" wp14:anchorId="17DB06C2" wp14:editId="4DE1BB74">
                  <wp:extent cx="1828800" cy="1645920"/>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28800" cy="1645920"/>
                          </a:xfrm>
                          <a:prstGeom prst="rect">
                            <a:avLst/>
                          </a:prstGeom>
                          <a:noFill/>
                          <a:ln>
                            <a:noFill/>
                          </a:ln>
                        </pic:spPr>
                      </pic:pic>
                    </a:graphicData>
                  </a:graphic>
                </wp:inline>
              </w:drawing>
            </w:r>
          </w:p>
          <w:p w14:paraId="35C057A1" w14:textId="77777777" w:rsidR="00171824" w:rsidRDefault="00171824">
            <w:pPr>
              <w:pStyle w:val="ListParagraph"/>
              <w:keepNext/>
              <w:ind w:left="567" w:hanging="567"/>
              <w:rPr>
                <w:sz w:val="22"/>
                <w:szCs w:val="22"/>
                <w:lang w:val="el-GR"/>
              </w:rPr>
            </w:pPr>
          </w:p>
          <w:p w14:paraId="2EEE9148" w14:textId="77777777" w:rsidR="00171824" w:rsidRDefault="00171824">
            <w:pPr>
              <w:pStyle w:val="ListParagraph"/>
              <w:keepNext/>
              <w:ind w:left="567" w:hanging="567"/>
              <w:rPr>
                <w:sz w:val="22"/>
                <w:szCs w:val="22"/>
                <w:lang w:val="el-GR"/>
              </w:rPr>
            </w:pPr>
          </w:p>
        </w:tc>
        <w:tc>
          <w:tcPr>
            <w:tcW w:w="2428" w:type="pct"/>
            <w:tcBorders>
              <w:top w:val="single" w:sz="4" w:space="0" w:color="auto"/>
              <w:left w:val="nil"/>
              <w:bottom w:val="single" w:sz="4" w:space="0" w:color="auto"/>
              <w:right w:val="single" w:sz="4" w:space="0" w:color="auto"/>
            </w:tcBorders>
          </w:tcPr>
          <w:p w14:paraId="1148502D" w14:textId="77777777" w:rsidR="00171824" w:rsidRDefault="00171824">
            <w:pPr>
              <w:pStyle w:val="ListParagraph"/>
              <w:ind w:left="567" w:hanging="567"/>
              <w:rPr>
                <w:b/>
                <w:bCs/>
                <w:sz w:val="22"/>
                <w:szCs w:val="22"/>
                <w:lang w:val="el-GR"/>
              </w:rPr>
            </w:pPr>
          </w:p>
          <w:p w14:paraId="1E3879BC" w14:textId="77777777" w:rsidR="00171824" w:rsidRDefault="006D258C">
            <w:pPr>
              <w:pStyle w:val="ListParagraph"/>
              <w:ind w:left="567" w:hanging="567"/>
              <w:rPr>
                <w:sz w:val="22"/>
                <w:szCs w:val="22"/>
                <w:lang w:val="el-GR"/>
              </w:rPr>
            </w:pPr>
            <w:r>
              <w:rPr>
                <w:sz w:val="22"/>
                <w:szCs w:val="22"/>
                <w:lang w:val="el-GR"/>
              </w:rPr>
              <w:t>Μαντηλάκια οινοπνεύματος</w:t>
            </w:r>
          </w:p>
          <w:p w14:paraId="77A2DB4A" w14:textId="77777777" w:rsidR="00171824" w:rsidRDefault="00171824">
            <w:pPr>
              <w:pStyle w:val="ListParagraph"/>
              <w:ind w:left="567" w:hanging="567"/>
              <w:rPr>
                <w:b/>
                <w:bCs/>
                <w:sz w:val="22"/>
                <w:szCs w:val="22"/>
                <w:lang w:val="el-GR"/>
              </w:rPr>
            </w:pPr>
          </w:p>
          <w:p w14:paraId="3DC3965A" w14:textId="77777777" w:rsidR="00171824" w:rsidRDefault="00171824">
            <w:pPr>
              <w:pStyle w:val="ListParagraph"/>
              <w:ind w:left="567" w:hanging="567"/>
              <w:rPr>
                <w:b/>
                <w:bCs/>
                <w:sz w:val="22"/>
                <w:szCs w:val="22"/>
                <w:lang w:val="el-GR"/>
              </w:rPr>
            </w:pPr>
          </w:p>
          <w:p w14:paraId="136BC6E7" w14:textId="77777777" w:rsidR="00171824" w:rsidRDefault="006D258C">
            <w:pPr>
              <w:pStyle w:val="ListParagraph"/>
              <w:ind w:left="567" w:hanging="567"/>
              <w:rPr>
                <w:sz w:val="22"/>
                <w:szCs w:val="22"/>
                <w:lang w:val="el-GR"/>
              </w:rPr>
            </w:pPr>
            <w:r>
              <w:rPr>
                <w:sz w:val="22"/>
                <w:szCs w:val="22"/>
                <w:lang w:val="el-GR"/>
              </w:rPr>
              <w:t>Αυτοκόλλητος επίδεσμος</w:t>
            </w:r>
          </w:p>
          <w:p w14:paraId="28BA34FB" w14:textId="77777777" w:rsidR="00171824" w:rsidRDefault="00171824">
            <w:pPr>
              <w:pStyle w:val="ListParagraph"/>
              <w:ind w:left="567" w:hanging="567"/>
              <w:rPr>
                <w:sz w:val="22"/>
                <w:szCs w:val="22"/>
                <w:lang w:val="el-GR"/>
              </w:rPr>
            </w:pPr>
          </w:p>
          <w:p w14:paraId="0A8F4958" w14:textId="77777777" w:rsidR="00171824" w:rsidRDefault="00171824">
            <w:pPr>
              <w:pStyle w:val="ListParagraph"/>
              <w:ind w:left="567" w:hanging="567"/>
              <w:rPr>
                <w:sz w:val="22"/>
                <w:szCs w:val="22"/>
                <w:lang w:val="el-GR"/>
              </w:rPr>
            </w:pPr>
          </w:p>
          <w:p w14:paraId="35FD6560" w14:textId="77777777" w:rsidR="00171824" w:rsidRDefault="006D258C">
            <w:pPr>
              <w:pStyle w:val="ListParagraph"/>
              <w:ind w:left="567" w:hanging="567"/>
              <w:rPr>
                <w:sz w:val="22"/>
                <w:szCs w:val="22"/>
                <w:lang w:val="el-GR"/>
              </w:rPr>
            </w:pPr>
            <w:r>
              <w:rPr>
                <w:sz w:val="22"/>
                <w:szCs w:val="22"/>
                <w:lang w:val="el-GR"/>
              </w:rPr>
              <w:t>Κομμάτι βαμβάκι ή γάζα</w:t>
            </w:r>
          </w:p>
        </w:tc>
      </w:tr>
      <w:tr w:rsidR="00171824" w:rsidRPr="00A07F46" w14:paraId="10B9F3A4"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4DAEC2DD" w14:textId="77777777" w:rsidR="00171824" w:rsidRDefault="00171824">
            <w:pPr>
              <w:widowControl/>
              <w:numPr>
                <w:ilvl w:val="0"/>
                <w:numId w:val="36"/>
              </w:numPr>
              <w:autoSpaceDE/>
              <w:autoSpaceDN/>
              <w:adjustRightInd/>
              <w:ind w:left="567" w:hanging="567"/>
              <w:rPr>
                <w:sz w:val="22"/>
                <w:szCs w:val="22"/>
                <w:lang w:val="el-GR"/>
              </w:rPr>
            </w:pPr>
          </w:p>
        </w:tc>
        <w:tc>
          <w:tcPr>
            <w:tcW w:w="4617" w:type="pct"/>
            <w:gridSpan w:val="3"/>
            <w:tcBorders>
              <w:top w:val="nil"/>
              <w:left w:val="nil"/>
              <w:bottom w:val="nil"/>
            </w:tcBorders>
            <w:tcMar>
              <w:left w:w="0" w:type="dxa"/>
            </w:tcMar>
          </w:tcPr>
          <w:p w14:paraId="44767D83" w14:textId="77777777" w:rsidR="00171824" w:rsidRDefault="006D258C">
            <w:pPr>
              <w:pStyle w:val="ListParagraph"/>
              <w:keepNext/>
              <w:keepLines/>
              <w:suppressAutoHyphens/>
              <w:textAlignment w:val="center"/>
              <w:rPr>
                <w:sz w:val="22"/>
                <w:szCs w:val="22"/>
                <w:lang w:val="el-GR"/>
              </w:rPr>
            </w:pPr>
            <w:r>
              <w:rPr>
                <w:sz w:val="22"/>
                <w:szCs w:val="22"/>
                <w:lang w:val="el-GR"/>
              </w:rPr>
              <w:t>Προγεμισμένη συσκευή τύπου πένας AMGEVITA (σε θερμοκρασία δωματίου)</w:t>
            </w:r>
          </w:p>
        </w:tc>
      </w:tr>
      <w:tr w:rsidR="00171824" w14:paraId="70723AE8" w14:textId="77777777">
        <w:trPr>
          <w:cantSplit/>
          <w:trHeight w:val="57"/>
        </w:trPr>
        <w:tc>
          <w:tcPr>
            <w:tcW w:w="383" w:type="pct"/>
            <w:tcBorders>
              <w:top w:val="nil"/>
              <w:bottom w:val="nil"/>
              <w:right w:val="nil"/>
            </w:tcBorders>
            <w:tcMar>
              <w:top w:w="28" w:type="dxa"/>
              <w:left w:w="57" w:type="dxa"/>
              <w:bottom w:w="28" w:type="dxa"/>
              <w:right w:w="57" w:type="dxa"/>
            </w:tcMar>
          </w:tcPr>
          <w:p w14:paraId="48C4A761" w14:textId="77777777" w:rsidR="00171824" w:rsidRDefault="00171824">
            <w:pPr>
              <w:widowControl/>
              <w:numPr>
                <w:ilvl w:val="0"/>
                <w:numId w:val="36"/>
              </w:numPr>
              <w:autoSpaceDE/>
              <w:autoSpaceDN/>
              <w:adjustRightInd/>
              <w:ind w:left="567" w:hanging="567"/>
              <w:rPr>
                <w:sz w:val="22"/>
                <w:szCs w:val="22"/>
                <w:lang w:val="el-GR"/>
              </w:rPr>
            </w:pPr>
          </w:p>
        </w:tc>
        <w:tc>
          <w:tcPr>
            <w:tcW w:w="4617" w:type="pct"/>
            <w:gridSpan w:val="3"/>
            <w:tcBorders>
              <w:top w:val="nil"/>
              <w:left w:val="nil"/>
              <w:bottom w:val="nil"/>
            </w:tcBorders>
            <w:tcMar>
              <w:left w:w="0" w:type="dxa"/>
            </w:tcMar>
          </w:tcPr>
          <w:p w14:paraId="3B56150C" w14:textId="77777777" w:rsidR="00171824" w:rsidRDefault="006D258C">
            <w:pPr>
              <w:pStyle w:val="ListParagraph"/>
              <w:keepNext/>
              <w:keepLines/>
              <w:suppressAutoHyphens/>
              <w:textAlignment w:val="center"/>
              <w:rPr>
                <w:sz w:val="22"/>
                <w:szCs w:val="22"/>
                <w:lang w:val="el-GR"/>
              </w:rPr>
            </w:pPr>
            <w:r>
              <w:rPr>
                <w:sz w:val="22"/>
                <w:szCs w:val="22"/>
                <w:lang w:val="el-GR"/>
              </w:rPr>
              <w:t xml:space="preserve">Δοχείο απόρριψης αιχμηρών αντικειμένων </w:t>
            </w:r>
          </w:p>
        </w:tc>
      </w:tr>
      <w:tr w:rsidR="00171824" w14:paraId="4633D615" w14:textId="77777777">
        <w:trPr>
          <w:cantSplit/>
          <w:trHeight w:val="57"/>
        </w:trPr>
        <w:tc>
          <w:tcPr>
            <w:tcW w:w="383" w:type="pct"/>
            <w:tcBorders>
              <w:top w:val="nil"/>
              <w:bottom w:val="nil"/>
              <w:right w:val="nil"/>
            </w:tcBorders>
            <w:tcMar>
              <w:top w:w="28" w:type="dxa"/>
              <w:left w:w="57" w:type="dxa"/>
              <w:bottom w:w="28" w:type="dxa"/>
              <w:right w:w="57" w:type="dxa"/>
            </w:tcMar>
          </w:tcPr>
          <w:p w14:paraId="694AD668" w14:textId="77777777" w:rsidR="00171824" w:rsidRDefault="00171824">
            <w:pPr>
              <w:widowControl/>
              <w:numPr>
                <w:ilvl w:val="0"/>
                <w:numId w:val="36"/>
              </w:numPr>
              <w:autoSpaceDE/>
              <w:autoSpaceDN/>
              <w:adjustRightInd/>
              <w:ind w:left="567" w:hanging="567"/>
              <w:rPr>
                <w:sz w:val="22"/>
                <w:szCs w:val="22"/>
                <w:lang w:val="el-GR"/>
              </w:rPr>
            </w:pPr>
          </w:p>
        </w:tc>
        <w:tc>
          <w:tcPr>
            <w:tcW w:w="4617" w:type="pct"/>
            <w:gridSpan w:val="3"/>
            <w:tcBorders>
              <w:top w:val="nil"/>
              <w:left w:val="nil"/>
              <w:bottom w:val="nil"/>
            </w:tcBorders>
            <w:tcMar>
              <w:left w:w="0" w:type="dxa"/>
            </w:tcMar>
          </w:tcPr>
          <w:p w14:paraId="771044FF" w14:textId="77777777" w:rsidR="00171824" w:rsidRDefault="006D258C">
            <w:pPr>
              <w:rPr>
                <w:sz w:val="22"/>
                <w:szCs w:val="22"/>
                <w:lang w:val="el-GR"/>
              </w:rPr>
            </w:pPr>
            <w:r>
              <w:rPr>
                <w:sz w:val="22"/>
                <w:szCs w:val="22"/>
                <w:lang w:val="el-GR"/>
              </w:rPr>
              <w:t>Μαντηλάκια οινοπνεύματος</w:t>
            </w:r>
          </w:p>
        </w:tc>
      </w:tr>
      <w:tr w:rsidR="00171824" w14:paraId="32D7D56A" w14:textId="77777777">
        <w:trPr>
          <w:cantSplit/>
          <w:trHeight w:val="57"/>
        </w:trPr>
        <w:tc>
          <w:tcPr>
            <w:tcW w:w="383" w:type="pct"/>
            <w:tcBorders>
              <w:top w:val="nil"/>
              <w:bottom w:val="nil"/>
              <w:right w:val="nil"/>
            </w:tcBorders>
            <w:tcMar>
              <w:top w:w="28" w:type="dxa"/>
              <w:left w:w="57" w:type="dxa"/>
              <w:bottom w:w="28" w:type="dxa"/>
              <w:right w:w="57" w:type="dxa"/>
            </w:tcMar>
          </w:tcPr>
          <w:p w14:paraId="4DA8CFC0" w14:textId="77777777" w:rsidR="00171824" w:rsidRDefault="00171824">
            <w:pPr>
              <w:widowControl/>
              <w:numPr>
                <w:ilvl w:val="0"/>
                <w:numId w:val="36"/>
              </w:numPr>
              <w:autoSpaceDE/>
              <w:autoSpaceDN/>
              <w:adjustRightInd/>
              <w:ind w:left="567" w:hanging="567"/>
              <w:rPr>
                <w:sz w:val="22"/>
                <w:szCs w:val="22"/>
                <w:lang w:val="el-GR"/>
              </w:rPr>
            </w:pPr>
          </w:p>
        </w:tc>
        <w:tc>
          <w:tcPr>
            <w:tcW w:w="4617" w:type="pct"/>
            <w:gridSpan w:val="3"/>
            <w:tcBorders>
              <w:top w:val="nil"/>
              <w:left w:val="nil"/>
              <w:bottom w:val="nil"/>
            </w:tcBorders>
            <w:tcMar>
              <w:left w:w="0" w:type="dxa"/>
            </w:tcMar>
          </w:tcPr>
          <w:p w14:paraId="6036D6B5" w14:textId="77777777" w:rsidR="00171824" w:rsidRDefault="006D258C">
            <w:pPr>
              <w:rPr>
                <w:sz w:val="22"/>
                <w:szCs w:val="22"/>
                <w:lang w:val="el-GR"/>
              </w:rPr>
            </w:pPr>
            <w:r>
              <w:rPr>
                <w:sz w:val="22"/>
                <w:szCs w:val="22"/>
                <w:lang w:val="el-GR"/>
              </w:rPr>
              <w:t>Αυτοκόλλητος επίδεσμος</w:t>
            </w:r>
          </w:p>
        </w:tc>
      </w:tr>
      <w:tr w:rsidR="00171824" w14:paraId="6EBF4244"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1D23206C" w14:textId="77777777" w:rsidR="00171824" w:rsidRDefault="00171824">
            <w:pPr>
              <w:widowControl/>
              <w:numPr>
                <w:ilvl w:val="0"/>
                <w:numId w:val="36"/>
              </w:numPr>
              <w:autoSpaceDE/>
              <w:autoSpaceDN/>
              <w:adjustRightInd/>
              <w:ind w:left="567" w:hanging="567"/>
              <w:rPr>
                <w:sz w:val="22"/>
                <w:szCs w:val="22"/>
                <w:lang w:val="el-GR"/>
              </w:rPr>
            </w:pPr>
          </w:p>
        </w:tc>
        <w:tc>
          <w:tcPr>
            <w:tcW w:w="4617" w:type="pct"/>
            <w:gridSpan w:val="3"/>
            <w:tcBorders>
              <w:top w:val="nil"/>
              <w:left w:val="nil"/>
              <w:bottom w:val="single" w:sz="4" w:space="0" w:color="auto"/>
            </w:tcBorders>
            <w:tcMar>
              <w:left w:w="0" w:type="dxa"/>
            </w:tcMar>
          </w:tcPr>
          <w:p w14:paraId="679F8BB3" w14:textId="77777777" w:rsidR="00171824" w:rsidRDefault="006D258C">
            <w:pPr>
              <w:rPr>
                <w:b/>
                <w:bCs/>
                <w:sz w:val="22"/>
                <w:szCs w:val="22"/>
                <w:lang w:val="el-GR"/>
              </w:rPr>
            </w:pPr>
            <w:r>
              <w:rPr>
                <w:sz w:val="22"/>
                <w:szCs w:val="22"/>
                <w:lang w:val="el-GR"/>
              </w:rPr>
              <w:t>Κομμάτι βαμβάκι ή γάζα</w:t>
            </w:r>
          </w:p>
        </w:tc>
      </w:tr>
    </w:tbl>
    <w:p w14:paraId="3A5E2EA7" w14:textId="77777777" w:rsidR="00171824" w:rsidRDefault="00171824">
      <w:pPr>
        <w:rPr>
          <w:sz w:val="22"/>
          <w:szCs w:val="22"/>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171824" w:rsidRPr="00A07F46" w14:paraId="5BEF6629" w14:textId="77777777">
        <w:trPr>
          <w:cantSplit/>
          <w:trHeight w:val="57"/>
        </w:trPr>
        <w:tc>
          <w:tcPr>
            <w:tcW w:w="354" w:type="pct"/>
            <w:tcBorders>
              <w:bottom w:val="single" w:sz="4" w:space="0" w:color="auto"/>
            </w:tcBorders>
            <w:tcMar>
              <w:top w:w="28" w:type="dxa"/>
              <w:left w:w="57" w:type="dxa"/>
              <w:bottom w:w="28" w:type="dxa"/>
              <w:right w:w="57" w:type="dxa"/>
            </w:tcMar>
          </w:tcPr>
          <w:p w14:paraId="4A309190" w14:textId="77777777" w:rsidR="00171824" w:rsidRDefault="006D258C">
            <w:pPr>
              <w:keepNext/>
              <w:rPr>
                <w:b/>
                <w:bCs/>
                <w:sz w:val="22"/>
                <w:szCs w:val="22"/>
                <w:lang w:val="el-GR"/>
              </w:rPr>
            </w:pPr>
            <w:r>
              <w:rPr>
                <w:b/>
                <w:sz w:val="22"/>
                <w:szCs w:val="22"/>
                <w:lang w:val="el-GR"/>
              </w:rPr>
              <w:lastRenderedPageBreak/>
              <w:t>3β</w:t>
            </w:r>
          </w:p>
        </w:tc>
        <w:tc>
          <w:tcPr>
            <w:tcW w:w="4646" w:type="pct"/>
            <w:tcBorders>
              <w:bottom w:val="single" w:sz="4" w:space="0" w:color="auto"/>
            </w:tcBorders>
            <w:tcMar>
              <w:top w:w="28" w:type="dxa"/>
              <w:left w:w="57" w:type="dxa"/>
              <w:bottom w:w="28" w:type="dxa"/>
              <w:right w:w="57" w:type="dxa"/>
            </w:tcMar>
          </w:tcPr>
          <w:p w14:paraId="444D136F" w14:textId="77777777" w:rsidR="00171824" w:rsidRDefault="006D258C">
            <w:pPr>
              <w:pStyle w:val="ListParagraph"/>
              <w:keepNext/>
              <w:ind w:left="567" w:hanging="567"/>
              <w:rPr>
                <w:sz w:val="22"/>
                <w:szCs w:val="22"/>
                <w:lang w:val="el-GR"/>
              </w:rPr>
            </w:pPr>
            <w:r>
              <w:rPr>
                <w:b/>
                <w:sz w:val="22"/>
                <w:szCs w:val="22"/>
                <w:lang w:val="el-GR"/>
              </w:rPr>
              <w:t xml:space="preserve">Κάνετε την ένεση σε </w:t>
            </w:r>
            <w:del w:id="360" w:author="Author">
              <w:r>
                <w:rPr>
                  <w:b/>
                  <w:sz w:val="22"/>
                  <w:szCs w:val="22"/>
                  <w:lang w:val="el-GR"/>
                </w:rPr>
                <w:delText xml:space="preserve">μία </w:delText>
              </w:r>
            </w:del>
            <w:ins w:id="361" w:author="Author">
              <w:r>
                <w:rPr>
                  <w:b/>
                  <w:sz w:val="22"/>
                  <w:szCs w:val="22"/>
                  <w:lang w:val="el-GR"/>
                </w:rPr>
                <w:t xml:space="preserve">1 </w:t>
              </w:r>
            </w:ins>
            <w:r>
              <w:rPr>
                <w:b/>
                <w:sz w:val="22"/>
                <w:szCs w:val="22"/>
                <w:lang w:val="el-GR"/>
              </w:rPr>
              <w:t xml:space="preserve">από </w:t>
            </w:r>
            <w:del w:id="362" w:author="Author">
              <w:r>
                <w:rPr>
                  <w:b/>
                  <w:sz w:val="22"/>
                  <w:szCs w:val="22"/>
                  <w:lang w:val="el-GR"/>
                </w:rPr>
                <w:delText>αυτές τις θέσεις</w:delText>
              </w:r>
            </w:del>
            <w:ins w:id="363" w:author="Author">
              <w:r>
                <w:rPr>
                  <w:b/>
                  <w:sz w:val="22"/>
                  <w:szCs w:val="22"/>
                  <w:lang w:val="el-GR"/>
                </w:rPr>
                <w:t>αυτά τα σημεία</w:t>
              </w:r>
            </w:ins>
            <w:r>
              <w:rPr>
                <w:b/>
                <w:sz w:val="22"/>
                <w:szCs w:val="22"/>
                <w:lang w:val="el-GR"/>
              </w:rPr>
              <w:t>.</w:t>
            </w:r>
          </w:p>
        </w:tc>
      </w:tr>
      <w:tr w:rsidR="00171824" w14:paraId="4A55F67A"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0A2F0EC3" w14:textId="756F10A8" w:rsidR="00171824" w:rsidRDefault="009039B7">
            <w:pPr>
              <w:pStyle w:val="ListParagraph"/>
              <w:keepNext/>
              <w:ind w:left="567" w:hanging="567"/>
              <w:jc w:val="center"/>
              <w:rPr>
                <w:sz w:val="22"/>
                <w:szCs w:val="22"/>
                <w:lang w:val="el-GR"/>
              </w:rPr>
            </w:pPr>
            <w:del w:id="364" w:author="Author">
              <w:r>
                <w:rPr>
                  <w:noProof/>
                  <w:sz w:val="22"/>
                  <w:szCs w:val="22"/>
                  <w:lang w:val="el-GR" w:eastAsia="zh-CN"/>
                </w:rPr>
                <w:drawing>
                  <wp:inline distT="0" distB="0" distL="0" distR="0" wp14:anchorId="3AD2C1FD" wp14:editId="0DE3C0FB">
                    <wp:extent cx="3200400" cy="1925955"/>
                    <wp:effectExtent l="0" t="0" r="0" b="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del>
            <w:ins w:id="365" w:author="Author">
              <w:r>
                <w:rPr>
                  <w:noProof/>
                  <w:lang w:val="el-GR"/>
                </w:rPr>
                <w:drawing>
                  <wp:inline distT="0" distB="0" distL="0" distR="0" wp14:anchorId="480F6D79" wp14:editId="00EB4EEA">
                    <wp:extent cx="1371600" cy="1828800"/>
                    <wp:effectExtent l="0" t="0" r="0" b="0"/>
                    <wp:docPr id="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ins>
          </w:p>
        </w:tc>
      </w:tr>
      <w:tr w:rsidR="00171824" w:rsidRPr="00A07F46" w14:paraId="27540F26" w14:textId="77777777">
        <w:trPr>
          <w:cantSplit/>
          <w:trHeight w:val="57"/>
        </w:trPr>
        <w:tc>
          <w:tcPr>
            <w:tcW w:w="354" w:type="pct"/>
            <w:tcBorders>
              <w:top w:val="nil"/>
              <w:bottom w:val="nil"/>
              <w:right w:val="nil"/>
            </w:tcBorders>
            <w:tcMar>
              <w:top w:w="28" w:type="dxa"/>
              <w:left w:w="57" w:type="dxa"/>
              <w:bottom w:w="28" w:type="dxa"/>
              <w:right w:w="57" w:type="dxa"/>
            </w:tcMar>
          </w:tcPr>
          <w:p w14:paraId="5EDD8388" w14:textId="77777777" w:rsidR="00171824" w:rsidRDefault="00171824">
            <w:pPr>
              <w:keepNext/>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730BD0BE" w14:textId="77777777" w:rsidR="00171824" w:rsidRDefault="006D258C">
            <w:pPr>
              <w:keepNext/>
              <w:tabs>
                <w:tab w:val="left" w:pos="1134"/>
              </w:tabs>
              <w:rPr>
                <w:b/>
                <w:bCs/>
                <w:sz w:val="22"/>
                <w:szCs w:val="22"/>
                <w:lang w:val="el-GR"/>
              </w:rPr>
            </w:pPr>
            <w:r>
              <w:rPr>
                <w:sz w:val="22"/>
                <w:szCs w:val="22"/>
                <w:lang w:val="el-GR"/>
              </w:rPr>
              <w:t xml:space="preserve">Κάνετε την ένεση </w:t>
            </w:r>
            <w:del w:id="366" w:author="Author">
              <w:r>
                <w:rPr>
                  <w:sz w:val="22"/>
                  <w:szCs w:val="22"/>
                  <w:lang w:val="el-GR"/>
                </w:rPr>
                <w:delText>στον μηρό</w:delText>
              </w:r>
            </w:del>
            <w:ins w:id="367" w:author="Author">
              <w:r>
                <w:rPr>
                  <w:sz w:val="22"/>
                  <w:szCs w:val="22"/>
                  <w:lang w:val="el-GR"/>
                </w:rPr>
                <w:t>στο μπροστινό μέρος του μηρού σας</w:t>
              </w:r>
            </w:ins>
            <w:r>
              <w:rPr>
                <w:sz w:val="22"/>
                <w:szCs w:val="22"/>
                <w:lang w:val="el-GR"/>
              </w:rPr>
              <w:t xml:space="preserve"> ή στην κοιλιά σας (εκτός από μία περιοχή διαμέτρου 5 εκατοστών γύρω από τον ομφαλό σας).</w:t>
            </w:r>
          </w:p>
        </w:tc>
      </w:tr>
      <w:tr w:rsidR="00171824" w:rsidRPr="00A07F46" w14:paraId="75EE4D88" w14:textId="77777777">
        <w:trPr>
          <w:cantSplit/>
          <w:trHeight w:val="57"/>
        </w:trPr>
        <w:tc>
          <w:tcPr>
            <w:tcW w:w="354" w:type="pct"/>
            <w:tcBorders>
              <w:top w:val="nil"/>
              <w:bottom w:val="nil"/>
              <w:right w:val="nil"/>
            </w:tcBorders>
            <w:tcMar>
              <w:top w:w="28" w:type="dxa"/>
              <w:left w:w="57" w:type="dxa"/>
              <w:bottom w:w="28" w:type="dxa"/>
              <w:right w:w="57" w:type="dxa"/>
            </w:tcMar>
          </w:tcPr>
          <w:p w14:paraId="5ED5DDAC" w14:textId="77777777" w:rsidR="00171824" w:rsidRDefault="00171824">
            <w:pPr>
              <w:keepNext/>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4DA60A84" w14:textId="77777777" w:rsidR="00171824" w:rsidRDefault="006D258C">
            <w:pPr>
              <w:keepNext/>
              <w:tabs>
                <w:tab w:val="left" w:pos="1134"/>
              </w:tabs>
              <w:rPr>
                <w:sz w:val="22"/>
                <w:szCs w:val="22"/>
                <w:lang w:val="el-GR"/>
              </w:rPr>
            </w:pPr>
            <w:r>
              <w:rPr>
                <w:sz w:val="22"/>
                <w:szCs w:val="22"/>
                <w:lang w:val="el-GR"/>
              </w:rPr>
              <w:t>Επιλέγετε διαφορετικό σημείο για κάθε ένεση.</w:t>
            </w:r>
          </w:p>
        </w:tc>
      </w:tr>
      <w:tr w:rsidR="00171824" w:rsidRPr="00A07F46" w14:paraId="59DCE0EC" w14:textId="77777777">
        <w:trPr>
          <w:cantSplit/>
          <w:trHeight w:val="57"/>
        </w:trPr>
        <w:tc>
          <w:tcPr>
            <w:tcW w:w="354" w:type="pct"/>
            <w:tcBorders>
              <w:top w:val="nil"/>
              <w:bottom w:val="nil"/>
              <w:right w:val="nil"/>
            </w:tcBorders>
            <w:tcMar>
              <w:top w:w="28" w:type="dxa"/>
              <w:left w:w="57" w:type="dxa"/>
              <w:bottom w:w="28" w:type="dxa"/>
              <w:right w:w="57" w:type="dxa"/>
            </w:tcMar>
          </w:tcPr>
          <w:p w14:paraId="5221439B" w14:textId="77777777" w:rsidR="00171824" w:rsidRDefault="00171824">
            <w:pPr>
              <w:keepNext/>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612B6C0C" w14:textId="77777777" w:rsidR="00171824" w:rsidRDefault="006D258C">
            <w:pPr>
              <w:keepNext/>
              <w:tabs>
                <w:tab w:val="left" w:pos="1134"/>
              </w:tabs>
              <w:rPr>
                <w:sz w:val="22"/>
                <w:szCs w:val="22"/>
                <w:lang w:val="el-GR"/>
              </w:rPr>
            </w:pPr>
            <w:r>
              <w:rPr>
                <w:sz w:val="22"/>
                <w:szCs w:val="22"/>
                <w:lang w:val="el-GR"/>
              </w:rPr>
              <w:t>Πλύνετε σχολαστικά τα χέρια σας με σαπούνι και νερό.</w:t>
            </w:r>
          </w:p>
        </w:tc>
      </w:tr>
      <w:tr w:rsidR="00171824" w:rsidRPr="00A07F46" w14:paraId="442D2B26" w14:textId="77777777">
        <w:trPr>
          <w:cantSplit/>
          <w:trHeight w:val="57"/>
        </w:trPr>
        <w:tc>
          <w:tcPr>
            <w:tcW w:w="354" w:type="pct"/>
            <w:tcBorders>
              <w:top w:val="nil"/>
              <w:bottom w:val="nil"/>
              <w:right w:val="nil"/>
            </w:tcBorders>
            <w:tcMar>
              <w:top w:w="28" w:type="dxa"/>
              <w:left w:w="57" w:type="dxa"/>
              <w:bottom w:w="28" w:type="dxa"/>
              <w:right w:w="57" w:type="dxa"/>
            </w:tcMar>
          </w:tcPr>
          <w:p w14:paraId="09ADB267" w14:textId="77777777" w:rsidR="00171824" w:rsidRDefault="00171824">
            <w:pPr>
              <w:keepNext/>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67A1C5C6" w14:textId="77777777" w:rsidR="00171824" w:rsidRDefault="006D258C">
            <w:pPr>
              <w:keepNext/>
              <w:rPr>
                <w:sz w:val="22"/>
                <w:szCs w:val="22"/>
                <w:lang w:val="el-GR"/>
              </w:rPr>
            </w:pPr>
            <w:r>
              <w:rPr>
                <w:sz w:val="22"/>
                <w:szCs w:val="22"/>
                <w:lang w:val="el-GR"/>
              </w:rPr>
              <w:t>Καθαρίστε τη θέση της ένεσης με ένα μαντηλάκι οινοπνεύματος.</w:t>
            </w:r>
          </w:p>
        </w:tc>
      </w:tr>
      <w:tr w:rsidR="00171824" w:rsidRPr="00A07F46" w14:paraId="664CCC99" w14:textId="77777777">
        <w:trPr>
          <w:cantSplit/>
          <w:trHeight w:val="55"/>
        </w:trPr>
        <w:tc>
          <w:tcPr>
            <w:tcW w:w="354" w:type="pct"/>
            <w:tcBorders>
              <w:top w:val="nil"/>
              <w:bottom w:val="nil"/>
              <w:right w:val="nil"/>
            </w:tcBorders>
            <w:tcMar>
              <w:top w:w="28" w:type="dxa"/>
              <w:left w:w="57" w:type="dxa"/>
              <w:bottom w:w="28" w:type="dxa"/>
              <w:right w:w="57" w:type="dxa"/>
            </w:tcMar>
          </w:tcPr>
          <w:p w14:paraId="13DD3211"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27D660D0" w14:textId="77777777" w:rsidR="00171824" w:rsidRDefault="006D258C">
            <w:pPr>
              <w:tabs>
                <w:tab w:val="left" w:pos="1134"/>
              </w:tabs>
              <w:rPr>
                <w:sz w:val="22"/>
                <w:szCs w:val="22"/>
                <w:lang w:val="el-GR"/>
              </w:rPr>
            </w:pPr>
            <w:r>
              <w:rPr>
                <w:sz w:val="22"/>
                <w:szCs w:val="22"/>
                <w:lang w:val="el-GR"/>
              </w:rPr>
              <w:t xml:space="preserve">Αφήστε το δέρμα </w:t>
            </w:r>
            <w:del w:id="368" w:author="Author">
              <w:r>
                <w:rPr>
                  <w:sz w:val="22"/>
                  <w:szCs w:val="22"/>
                  <w:lang w:val="el-GR"/>
                </w:rPr>
                <w:delText xml:space="preserve">σας </w:delText>
              </w:r>
            </w:del>
            <w:r>
              <w:rPr>
                <w:sz w:val="22"/>
                <w:szCs w:val="22"/>
                <w:lang w:val="el-GR"/>
              </w:rPr>
              <w:t>να στεγνώσει.</w:t>
            </w:r>
          </w:p>
        </w:tc>
      </w:tr>
      <w:tr w:rsidR="00171824" w:rsidRPr="00A07F46" w14:paraId="0D1F7B80" w14:textId="77777777">
        <w:trPr>
          <w:cantSplit/>
          <w:trHeight w:val="55"/>
        </w:trPr>
        <w:tc>
          <w:tcPr>
            <w:tcW w:w="354" w:type="pct"/>
            <w:tcBorders>
              <w:top w:val="nil"/>
              <w:bottom w:val="nil"/>
              <w:right w:val="nil"/>
            </w:tcBorders>
            <w:tcMar>
              <w:top w:w="28" w:type="dxa"/>
              <w:left w:w="57" w:type="dxa"/>
              <w:bottom w:w="28" w:type="dxa"/>
              <w:right w:w="57" w:type="dxa"/>
            </w:tcMar>
          </w:tcPr>
          <w:p w14:paraId="2B51FCE6" w14:textId="77777777" w:rsidR="00171824" w:rsidRDefault="00171824">
            <w:pPr>
              <w:widowControl/>
              <w:numPr>
                <w:ilvl w:val="0"/>
                <w:numId w:val="36"/>
              </w:numPr>
              <w:autoSpaceDE/>
              <w:autoSpaceDN/>
              <w:adjustRightInd/>
              <w:ind w:left="567" w:hanging="567"/>
              <w:rPr>
                <w:sz w:val="22"/>
                <w:szCs w:val="22"/>
                <w:lang w:val="el-GR"/>
              </w:rPr>
            </w:pPr>
          </w:p>
        </w:tc>
        <w:tc>
          <w:tcPr>
            <w:tcW w:w="4646" w:type="pct"/>
            <w:tcBorders>
              <w:top w:val="nil"/>
              <w:left w:val="nil"/>
              <w:bottom w:val="nil"/>
            </w:tcBorders>
            <w:tcMar>
              <w:left w:w="0" w:type="dxa"/>
            </w:tcMar>
          </w:tcPr>
          <w:p w14:paraId="035FCBF0"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αγγίζετε αυτή την περιοχή ξανά πριν κάνετε την ένεση.</w:t>
            </w:r>
          </w:p>
        </w:tc>
      </w:tr>
      <w:tr w:rsidR="00171824" w:rsidRPr="00A07F46" w14:paraId="01CD7755"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0BD191A7" w14:textId="2D202D0D" w:rsidR="00171824" w:rsidRDefault="009039B7">
            <w:pPr>
              <w:tabs>
                <w:tab w:val="left" w:pos="1134"/>
              </w:tabs>
              <w:rPr>
                <w:b/>
                <w:bCs/>
                <w:sz w:val="22"/>
                <w:szCs w:val="22"/>
                <w:lang w:val="el-GR"/>
              </w:rPr>
            </w:pPr>
            <w:r>
              <w:rPr>
                <w:noProof/>
              </w:rPr>
              <mc:AlternateContent>
                <mc:Choice Requires="wps">
                  <w:drawing>
                    <wp:anchor distT="45720" distB="45720" distL="114300" distR="114300" simplePos="0" relativeHeight="251665408" behindDoc="0" locked="0" layoutInCell="1" allowOverlap="1" wp14:anchorId="0114EBC6" wp14:editId="0C2CC8CE">
                      <wp:simplePos x="0" y="0"/>
                      <wp:positionH relativeFrom="margin">
                        <wp:posOffset>-2540</wp:posOffset>
                      </wp:positionH>
                      <wp:positionV relativeFrom="paragraph">
                        <wp:posOffset>59055</wp:posOffset>
                      </wp:positionV>
                      <wp:extent cx="5605780" cy="431800"/>
                      <wp:effectExtent l="0" t="0" r="0" b="6350"/>
                      <wp:wrapSquare wrapText="bothSides"/>
                      <wp:docPr id="183063826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5C76C71F"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Αποφεύγετε να κάνετε ενέσεις σε περιοχές με ουλές, ραγάδες ή όπου το δέρμα είναι ευαίσθητο, έχει μώλωπες, είναι ερυθρό ή σκληρό.</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114EBC6" id="Text Box 28" o:spid="_x0000_s1047" type="#_x0000_t202" style="position:absolute;margin-left:-.2pt;margin-top:4.65pt;width:441.4pt;height:34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ZVCAIAABA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" strokecolor="red" strokeweight="1.5pt">
                      <v:textbox style="mso-fit-shape-to-text:t">
                        <w:txbxContent>
                          <w:p w14:paraId="5C76C71F" w14:textId="77777777" w:rsidR="00171824" w:rsidRDefault="006D258C">
                            <w:pPr>
                              <w:tabs>
                                <w:tab w:val="left" w:pos="1134"/>
                              </w:tabs>
                              <w:rPr>
                                <w:sz w:val="22"/>
                                <w:szCs w:val="22"/>
                                <w:lang w:val="el-GR"/>
                              </w:rPr>
                            </w:pPr>
                            <w:r>
                              <w:rPr>
                                <w:b/>
                                <w:sz w:val="22"/>
                                <w:szCs w:val="22"/>
                                <w:lang w:val="el-GR"/>
                              </w:rPr>
                              <w:t>Σημαντικό:</w:t>
                            </w:r>
                            <w:r>
                              <w:rPr>
                                <w:sz w:val="22"/>
                                <w:szCs w:val="22"/>
                                <w:lang w:val="el-GR"/>
                              </w:rPr>
                              <w:t xml:space="preserve"> Αποφεύγετε να κάνετε ενέσεις σε περιοχές με ουλές, ραγάδες ή όπου το δέρμα είναι ευαίσθητο, έχει μώλωπες, είναι ερυθρό ή σκληρό.</w:t>
                            </w:r>
                          </w:p>
                        </w:txbxContent>
                      </v:textbox>
                      <w10:wrap type="square" anchorx="margin"/>
                    </v:shape>
                  </w:pict>
                </mc:Fallback>
              </mc:AlternateContent>
            </w:r>
          </w:p>
        </w:tc>
      </w:tr>
    </w:tbl>
    <w:p w14:paraId="4267AC2E" w14:textId="77777777" w:rsidR="00171824" w:rsidRDefault="00171824">
      <w:pPr>
        <w:tabs>
          <w:tab w:val="left" w:pos="1134"/>
        </w:tabs>
        <w:rPr>
          <w:sz w:val="22"/>
          <w:szCs w:val="22"/>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171824" w:rsidRPr="00A07F46" w14:paraId="47CD96E8" w14:textId="77777777">
        <w:trPr>
          <w:cantSplit/>
          <w:trHeight w:val="57"/>
        </w:trPr>
        <w:tc>
          <w:tcPr>
            <w:tcW w:w="355" w:type="pct"/>
            <w:tcMar>
              <w:top w:w="28" w:type="dxa"/>
              <w:left w:w="57" w:type="dxa"/>
              <w:bottom w:w="28" w:type="dxa"/>
              <w:right w:w="57" w:type="dxa"/>
            </w:tcMar>
          </w:tcPr>
          <w:p w14:paraId="1E453250" w14:textId="77777777" w:rsidR="00171824" w:rsidRDefault="006D258C">
            <w:pPr>
              <w:keepNext/>
              <w:rPr>
                <w:b/>
                <w:bCs/>
                <w:sz w:val="22"/>
                <w:szCs w:val="22"/>
                <w:lang w:val="el-GR"/>
              </w:rPr>
            </w:pPr>
            <w:r>
              <w:rPr>
                <w:b/>
                <w:sz w:val="22"/>
                <w:szCs w:val="22"/>
                <w:lang w:val="el-GR"/>
              </w:rPr>
              <w:t>4</w:t>
            </w:r>
          </w:p>
        </w:tc>
        <w:tc>
          <w:tcPr>
            <w:tcW w:w="4645" w:type="pct"/>
            <w:gridSpan w:val="2"/>
            <w:tcMar>
              <w:top w:w="28" w:type="dxa"/>
              <w:left w:w="57" w:type="dxa"/>
              <w:bottom w:w="28" w:type="dxa"/>
              <w:right w:w="57" w:type="dxa"/>
            </w:tcMar>
          </w:tcPr>
          <w:p w14:paraId="5FA7EA1F" w14:textId="77777777" w:rsidR="00171824" w:rsidRDefault="006D258C">
            <w:pPr>
              <w:pStyle w:val="ListParagraph"/>
              <w:ind w:left="567" w:hanging="567"/>
              <w:rPr>
                <w:sz w:val="22"/>
                <w:szCs w:val="22"/>
                <w:lang w:val="el-GR"/>
              </w:rPr>
            </w:pPr>
            <w:r>
              <w:rPr>
                <w:b/>
                <w:sz w:val="22"/>
                <w:szCs w:val="22"/>
                <w:lang w:val="el-GR"/>
              </w:rPr>
              <w:t>Πώς να κάνετε την ένεση AMGEVITA</w:t>
            </w:r>
          </w:p>
        </w:tc>
      </w:tr>
      <w:tr w:rsidR="00171824" w:rsidRPr="00A07F46" w14:paraId="1CEF7A79"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5230E7C" w14:textId="1387647B" w:rsidR="00171824" w:rsidRDefault="009039B7">
            <w:pPr>
              <w:pStyle w:val="ListParagraph"/>
              <w:ind w:left="567" w:hanging="567"/>
              <w:rPr>
                <w:sz w:val="22"/>
                <w:szCs w:val="22"/>
                <w:lang w:val="el-GR"/>
              </w:rPr>
            </w:pPr>
            <w:r>
              <w:rPr>
                <w:noProof/>
              </w:rPr>
              <mc:AlternateContent>
                <mc:Choice Requires="wps">
                  <w:drawing>
                    <wp:anchor distT="45720" distB="45720" distL="114300" distR="114300" simplePos="0" relativeHeight="251662336" behindDoc="0" locked="0" layoutInCell="1" allowOverlap="1" wp14:anchorId="0B1BB723" wp14:editId="50457431">
                      <wp:simplePos x="0" y="0"/>
                      <wp:positionH relativeFrom="margin">
                        <wp:posOffset>-2540</wp:posOffset>
                      </wp:positionH>
                      <wp:positionV relativeFrom="paragraph">
                        <wp:posOffset>25400</wp:posOffset>
                      </wp:positionV>
                      <wp:extent cx="5606415" cy="431800"/>
                      <wp:effectExtent l="0" t="0" r="0" b="6350"/>
                      <wp:wrapSquare wrapText="bothSides"/>
                      <wp:docPr id="79374913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4E6D025B" w14:textId="77777777" w:rsidR="00171824" w:rsidRDefault="006D258C">
                                  <w:pPr>
                                    <w:rPr>
                                      <w:sz w:val="22"/>
                                      <w:szCs w:val="22"/>
                                      <w:lang w:val="el-GR"/>
                                    </w:rPr>
                                  </w:pPr>
                                  <w:r>
                                    <w:rPr>
                                      <w:b/>
                                      <w:sz w:val="22"/>
                                      <w:szCs w:val="22"/>
                                      <w:lang w:val="el-GR"/>
                                    </w:rPr>
                                    <w:t>Σημαντικό:</w:t>
                                  </w:r>
                                  <w:r>
                                    <w:rPr>
                                      <w:sz w:val="22"/>
                                      <w:szCs w:val="22"/>
                                      <w:lang w:val="el-GR"/>
                                    </w:rPr>
                                    <w:t xml:space="preserve"> Αφαιρέστε το κίτρινο κάλυμμα μόνο όταν μπορείτε να κάνετε την ένεση αμέσως (εντός 5</w:t>
                                  </w:r>
                                  <w:r>
                                    <w:rPr>
                                      <w:sz w:val="22"/>
                                      <w:szCs w:val="22"/>
                                    </w:rPr>
                                    <w:t> </w:t>
                                  </w:r>
                                  <w:r>
                                    <w:rPr>
                                      <w:sz w:val="22"/>
                                      <w:szCs w:val="22"/>
                                      <w:lang w:val="el-GR"/>
                                    </w:rPr>
                                    <w:t>λεπτών) επειδή το φάρμακο μπορεί να ξεραθεί.</w:t>
                                  </w:r>
                                  <w:ins w:id="369" w:author="Author">
                                    <w:r>
                                      <w:rPr>
                                        <w:sz w:val="22"/>
                                        <w:szCs w:val="22"/>
                                        <w:lang w:val="el-GR"/>
                                      </w:rPr>
                                      <w:t xml:space="preserve"> Μην τοποθετήσετε ξανά το κάλυμμα.</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B1BB723" id="Text Box 27" o:spid="_x0000_s1048" type="#_x0000_t202" style="position:absolute;left:0;text-align:left;margin-left:-.2pt;margin-top:2pt;width:441.45pt;height:34pt;z-index:251662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N/yCAIAABA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" strokecolor="red" strokeweight="1.5pt">
                      <v:textbox style="mso-fit-shape-to-text:t">
                        <w:txbxContent>
                          <w:p w14:paraId="4E6D025B" w14:textId="77777777" w:rsidR="00171824" w:rsidRDefault="006D258C">
                            <w:pPr>
                              <w:rPr>
                                <w:sz w:val="22"/>
                                <w:szCs w:val="22"/>
                                <w:lang w:val="el-GR"/>
                              </w:rPr>
                            </w:pPr>
                            <w:r>
                              <w:rPr>
                                <w:b/>
                                <w:sz w:val="22"/>
                                <w:szCs w:val="22"/>
                                <w:lang w:val="el-GR"/>
                              </w:rPr>
                              <w:t>Σημαντικό:</w:t>
                            </w:r>
                            <w:r>
                              <w:rPr>
                                <w:sz w:val="22"/>
                                <w:szCs w:val="22"/>
                                <w:lang w:val="el-GR"/>
                              </w:rPr>
                              <w:t xml:space="preserve"> Αφαιρέστε το κίτρινο κάλυμμα μόνο όταν μπορείτε να κάνετε την ένεση αμέσως (εντός 5</w:t>
                            </w:r>
                            <w:r>
                              <w:rPr>
                                <w:sz w:val="22"/>
                                <w:szCs w:val="22"/>
                              </w:rPr>
                              <w:t> </w:t>
                            </w:r>
                            <w:r>
                              <w:rPr>
                                <w:sz w:val="22"/>
                                <w:szCs w:val="22"/>
                                <w:lang w:val="el-GR"/>
                              </w:rPr>
                              <w:t>λεπτών) επειδή το φάρμακο μπορεί να ξεραθεί.</w:t>
                            </w:r>
                            <w:ins w:id="2024" w:author="Author">
                              <w:r>
                                <w:rPr>
                                  <w:sz w:val="22"/>
                                  <w:szCs w:val="22"/>
                                  <w:lang w:val="el-GR"/>
                                </w:rPr>
                                <w:t xml:space="preserve"> Μην τοποθετήσετε ξανά το κάλυμμα.</w:t>
                              </w:r>
                            </w:ins>
                          </w:p>
                        </w:txbxContent>
                      </v:textbox>
                      <w10:wrap type="square" anchorx="margin"/>
                    </v:shape>
                  </w:pict>
                </mc:Fallback>
              </mc:AlternateContent>
            </w:r>
          </w:p>
        </w:tc>
      </w:tr>
      <w:tr w:rsidR="00171824" w:rsidRPr="00A07F46" w14:paraId="5AE230BB" w14:textId="77777777">
        <w:trPr>
          <w:cantSplit/>
          <w:trHeight w:val="57"/>
        </w:trPr>
        <w:tc>
          <w:tcPr>
            <w:tcW w:w="355" w:type="pct"/>
            <w:tcBorders>
              <w:bottom w:val="single" w:sz="4" w:space="0" w:color="auto"/>
            </w:tcBorders>
            <w:tcMar>
              <w:top w:w="28" w:type="dxa"/>
              <w:left w:w="57" w:type="dxa"/>
              <w:bottom w:w="28" w:type="dxa"/>
              <w:right w:w="57" w:type="dxa"/>
            </w:tcMar>
          </w:tcPr>
          <w:p w14:paraId="2A3A3C1D" w14:textId="77777777" w:rsidR="00171824" w:rsidRDefault="006D258C">
            <w:pPr>
              <w:keepNext/>
              <w:rPr>
                <w:b/>
                <w:bCs/>
                <w:sz w:val="22"/>
                <w:szCs w:val="22"/>
                <w:lang w:val="el-GR"/>
              </w:rPr>
            </w:pPr>
            <w:r>
              <w:rPr>
                <w:b/>
                <w:sz w:val="22"/>
                <w:szCs w:val="22"/>
                <w:lang w:val="el-GR"/>
              </w:rPr>
              <w:t>4α</w:t>
            </w:r>
          </w:p>
        </w:tc>
        <w:tc>
          <w:tcPr>
            <w:tcW w:w="4645" w:type="pct"/>
            <w:gridSpan w:val="2"/>
            <w:tcBorders>
              <w:bottom w:val="single" w:sz="4" w:space="0" w:color="auto"/>
            </w:tcBorders>
            <w:tcMar>
              <w:top w:w="28" w:type="dxa"/>
              <w:left w:w="57" w:type="dxa"/>
              <w:bottom w:w="28" w:type="dxa"/>
              <w:right w:w="57" w:type="dxa"/>
            </w:tcMar>
          </w:tcPr>
          <w:p w14:paraId="1720FB4E" w14:textId="77777777" w:rsidR="00171824" w:rsidRDefault="006D258C">
            <w:pPr>
              <w:pStyle w:val="ListParagraph"/>
              <w:rPr>
                <w:b/>
                <w:bCs/>
                <w:sz w:val="22"/>
                <w:szCs w:val="22"/>
                <w:lang w:val="el-GR"/>
              </w:rPr>
            </w:pPr>
            <w:r>
              <w:rPr>
                <w:b/>
                <w:sz w:val="22"/>
                <w:szCs w:val="22"/>
                <w:lang w:val="el-GR"/>
              </w:rPr>
              <w:t xml:space="preserve">Κρατήστε την προγεμισμένη συσκευή τύπου πένας με τέτοιον τρόπο ώστε να μπορείτε να βλέπετε το παράθυρο. Τραβήξτε το κίτρινο κάλυμμα ευθεία προς τα έξω. </w:t>
            </w:r>
          </w:p>
          <w:p w14:paraId="67559FD9" w14:textId="77777777" w:rsidR="00171824" w:rsidRDefault="006D258C">
            <w:pPr>
              <w:pStyle w:val="ListParagraph"/>
              <w:rPr>
                <w:sz w:val="22"/>
                <w:szCs w:val="22"/>
                <w:lang w:val="el-GR"/>
              </w:rPr>
            </w:pPr>
            <w:r>
              <w:rPr>
                <w:b/>
                <w:sz w:val="22"/>
                <w:szCs w:val="22"/>
                <w:lang w:val="el-GR"/>
              </w:rPr>
              <w:t>Μπορεί να χρειαστεί να τραβήξετε δυνατά.</w:t>
            </w:r>
          </w:p>
        </w:tc>
      </w:tr>
      <w:tr w:rsidR="00171824" w14:paraId="682FCA35"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32745B2A" w14:textId="77777777" w:rsidR="00171824" w:rsidRDefault="00171824">
            <w:pPr>
              <w:pStyle w:val="ListParagraph"/>
              <w:ind w:left="567" w:hanging="567"/>
              <w:jc w:val="center"/>
              <w:rPr>
                <w:b/>
                <w:bCs/>
                <w:sz w:val="22"/>
                <w:szCs w:val="22"/>
                <w:lang w:val="el-GR"/>
              </w:rPr>
            </w:pPr>
          </w:p>
          <w:p w14:paraId="34DA1CF2" w14:textId="77777777" w:rsidR="00171824" w:rsidRDefault="00171824">
            <w:pPr>
              <w:pStyle w:val="ListParagraph"/>
              <w:ind w:left="567" w:hanging="567"/>
              <w:jc w:val="center"/>
              <w:rPr>
                <w:b/>
                <w:bCs/>
                <w:sz w:val="22"/>
                <w:szCs w:val="22"/>
                <w:lang w:val="el-GR"/>
              </w:rPr>
            </w:pPr>
          </w:p>
          <w:p w14:paraId="2E953CB8" w14:textId="77777777" w:rsidR="00171824" w:rsidRDefault="00171824">
            <w:pPr>
              <w:pStyle w:val="ListParagraph"/>
              <w:ind w:left="567" w:hanging="567"/>
              <w:jc w:val="center"/>
              <w:rPr>
                <w:b/>
                <w:bCs/>
                <w:sz w:val="22"/>
                <w:szCs w:val="22"/>
                <w:lang w:val="el-GR"/>
              </w:rPr>
            </w:pPr>
          </w:p>
          <w:p w14:paraId="2E47194A" w14:textId="77777777" w:rsidR="00171824" w:rsidRDefault="00171824">
            <w:pPr>
              <w:pStyle w:val="ListParagraph"/>
              <w:ind w:left="567" w:hanging="567"/>
              <w:jc w:val="center"/>
              <w:rPr>
                <w:b/>
                <w:bCs/>
                <w:sz w:val="22"/>
                <w:szCs w:val="22"/>
                <w:lang w:val="el-GR"/>
              </w:rPr>
            </w:pPr>
          </w:p>
          <w:p w14:paraId="78A1F96E" w14:textId="77777777" w:rsidR="00171824" w:rsidRDefault="006D258C">
            <w:pPr>
              <w:pStyle w:val="ListParagraph"/>
              <w:ind w:left="567" w:hanging="567"/>
              <w:jc w:val="center"/>
              <w:rPr>
                <w:sz w:val="22"/>
                <w:szCs w:val="22"/>
                <w:lang w:val="el-GR"/>
              </w:rPr>
            </w:pPr>
            <w:r>
              <w:rPr>
                <w:sz w:val="22"/>
                <w:szCs w:val="22"/>
                <w:lang w:val="el-GR"/>
              </w:rPr>
              <w:t>Το παράθυρο θα πρέπει να είναι ορατό.</w:t>
            </w:r>
          </w:p>
        </w:tc>
        <w:tc>
          <w:tcPr>
            <w:tcW w:w="3757" w:type="pct"/>
            <w:tcBorders>
              <w:left w:val="nil"/>
              <w:bottom w:val="single" w:sz="4" w:space="0" w:color="auto"/>
            </w:tcBorders>
          </w:tcPr>
          <w:p w14:paraId="78EAF116" w14:textId="090C738F" w:rsidR="00171824" w:rsidRDefault="009039B7">
            <w:pPr>
              <w:pStyle w:val="ListParagraph"/>
              <w:ind w:left="567" w:hanging="567"/>
              <w:jc w:val="center"/>
              <w:rPr>
                <w:b/>
                <w:bCs/>
                <w:sz w:val="22"/>
                <w:szCs w:val="22"/>
                <w:lang w:val="el-GR"/>
              </w:rPr>
            </w:pPr>
            <w:r>
              <w:rPr>
                <w:b/>
                <w:noProof/>
                <w:sz w:val="22"/>
                <w:szCs w:val="22"/>
                <w:lang w:val="el-GR" w:eastAsia="zh-CN"/>
              </w:rPr>
              <w:drawing>
                <wp:inline distT="0" distB="0" distL="0" distR="0" wp14:anchorId="3F059EA6" wp14:editId="741C9EFE">
                  <wp:extent cx="3200400" cy="1828800"/>
                  <wp:effectExtent l="0" t="0" r="0" b="0"/>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inline>
              </w:drawing>
            </w:r>
          </w:p>
        </w:tc>
      </w:tr>
      <w:tr w:rsidR="00171824" w:rsidRPr="00A07F46" w14:paraId="77A94AE9" w14:textId="77777777">
        <w:trPr>
          <w:cantSplit/>
          <w:trHeight w:val="57"/>
        </w:trPr>
        <w:tc>
          <w:tcPr>
            <w:tcW w:w="355" w:type="pct"/>
            <w:tcBorders>
              <w:top w:val="nil"/>
              <w:bottom w:val="nil"/>
              <w:right w:val="nil"/>
            </w:tcBorders>
            <w:tcMar>
              <w:top w:w="28" w:type="dxa"/>
              <w:left w:w="57" w:type="dxa"/>
              <w:bottom w:w="28" w:type="dxa"/>
              <w:right w:w="57" w:type="dxa"/>
            </w:tcMar>
          </w:tcPr>
          <w:p w14:paraId="0C6D3EC8"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560E24DE" w14:textId="77777777" w:rsidR="00171824" w:rsidRDefault="006D258C">
            <w:pPr>
              <w:tabs>
                <w:tab w:val="left" w:pos="1134"/>
              </w:tabs>
              <w:rPr>
                <w:b/>
                <w:bCs/>
                <w:sz w:val="22"/>
                <w:szCs w:val="22"/>
                <w:lang w:val="el-GR"/>
              </w:rPr>
            </w:pPr>
            <w:r>
              <w:rPr>
                <w:b/>
                <w:bCs/>
                <w:sz w:val="22"/>
                <w:szCs w:val="22"/>
                <w:lang w:val="el-GR"/>
              </w:rPr>
              <w:t>Μην</w:t>
            </w:r>
            <w:r>
              <w:rPr>
                <w:sz w:val="22"/>
                <w:szCs w:val="22"/>
                <w:lang w:val="el-GR"/>
              </w:rPr>
              <w:t xml:space="preserve"> περιστρέφετε, λυγίζετε ή κουνάτε το κίτρινο κάλυμμα για να το τραβήξετε.</w:t>
            </w:r>
          </w:p>
        </w:tc>
      </w:tr>
      <w:tr w:rsidR="00171824" w14:paraId="08220226" w14:textId="77777777">
        <w:trPr>
          <w:cantSplit/>
          <w:trHeight w:val="57"/>
        </w:trPr>
        <w:tc>
          <w:tcPr>
            <w:tcW w:w="355" w:type="pct"/>
            <w:tcBorders>
              <w:top w:val="nil"/>
              <w:bottom w:val="nil"/>
              <w:right w:val="nil"/>
            </w:tcBorders>
            <w:tcMar>
              <w:top w:w="28" w:type="dxa"/>
              <w:left w:w="57" w:type="dxa"/>
              <w:bottom w:w="28" w:type="dxa"/>
              <w:right w:w="57" w:type="dxa"/>
            </w:tcMar>
          </w:tcPr>
          <w:p w14:paraId="34ABCCEC"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3DE15260" w14:textId="77777777" w:rsidR="00171824" w:rsidRDefault="006D258C">
            <w:pPr>
              <w:tabs>
                <w:tab w:val="left" w:pos="1134"/>
              </w:tabs>
              <w:rPr>
                <w:sz w:val="22"/>
                <w:szCs w:val="22"/>
                <w:lang w:val="el-GR"/>
              </w:rPr>
            </w:pPr>
            <w:r>
              <w:rPr>
                <w:b/>
                <w:bCs/>
                <w:sz w:val="22"/>
                <w:szCs w:val="22"/>
                <w:lang w:val="el-GR"/>
              </w:rPr>
              <w:t>Μην</w:t>
            </w:r>
            <w:r>
              <w:rPr>
                <w:sz w:val="22"/>
                <w:szCs w:val="22"/>
                <w:lang w:val="el-GR"/>
              </w:rPr>
              <w:t xml:space="preserve"> τοποθετείτε </w:t>
            </w:r>
            <w:r>
              <w:rPr>
                <w:b/>
                <w:bCs/>
                <w:sz w:val="22"/>
                <w:szCs w:val="22"/>
                <w:lang w:val="el-GR"/>
              </w:rPr>
              <w:t>ποτέ</w:t>
            </w:r>
            <w:r>
              <w:rPr>
                <w:sz w:val="22"/>
                <w:szCs w:val="22"/>
                <w:lang w:val="el-GR"/>
              </w:rPr>
              <w:t xml:space="preserve"> το κάλυμμα της βελόνας και πάλι στη σύριγγα. Αυτό μπορεί να καταστρέψει τη βελόνα.</w:t>
            </w:r>
          </w:p>
        </w:tc>
      </w:tr>
      <w:tr w:rsidR="00171824" w:rsidRPr="00A07F46" w14:paraId="67BC38CE" w14:textId="77777777">
        <w:trPr>
          <w:cantSplit/>
          <w:trHeight w:val="57"/>
        </w:trPr>
        <w:tc>
          <w:tcPr>
            <w:tcW w:w="355" w:type="pct"/>
            <w:tcBorders>
              <w:top w:val="nil"/>
              <w:bottom w:val="nil"/>
              <w:right w:val="nil"/>
            </w:tcBorders>
            <w:tcMar>
              <w:top w:w="28" w:type="dxa"/>
              <w:left w:w="57" w:type="dxa"/>
              <w:bottom w:w="28" w:type="dxa"/>
              <w:right w:w="57" w:type="dxa"/>
            </w:tcMar>
          </w:tcPr>
          <w:p w14:paraId="1BB9140B"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nil"/>
            </w:tcBorders>
            <w:tcMar>
              <w:left w:w="0" w:type="dxa"/>
            </w:tcMar>
          </w:tcPr>
          <w:p w14:paraId="2642B23B" w14:textId="77777777" w:rsidR="00171824" w:rsidRDefault="006D258C">
            <w:pPr>
              <w:keepNext/>
              <w:keepLines/>
              <w:contextualSpacing/>
              <w:rPr>
                <w:b/>
                <w:bCs/>
                <w:sz w:val="22"/>
                <w:szCs w:val="22"/>
                <w:lang w:val="el-GR"/>
              </w:rPr>
            </w:pPr>
            <w:r>
              <w:rPr>
                <w:b/>
                <w:bCs/>
                <w:color w:val="000000"/>
                <w:sz w:val="22"/>
                <w:szCs w:val="22"/>
                <w:lang w:val="el-GR"/>
              </w:rPr>
              <w:t>Μη</w:t>
            </w:r>
            <w:r>
              <w:rPr>
                <w:color w:val="000000"/>
                <w:sz w:val="22"/>
                <w:szCs w:val="22"/>
                <w:lang w:val="el-GR"/>
              </w:rPr>
              <w:t xml:space="preserve"> βάζετε το δάκτυλό σας μέσα στο κρεμ προστατευτικό κάλυμμα ασφαλείας.</w:t>
            </w:r>
          </w:p>
        </w:tc>
      </w:tr>
      <w:tr w:rsidR="00171824" w:rsidRPr="00A07F46" w14:paraId="19BB96B3"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3ADC1998" w14:textId="77777777" w:rsidR="00171824" w:rsidRDefault="00171824">
            <w:pPr>
              <w:widowControl/>
              <w:numPr>
                <w:ilvl w:val="0"/>
                <w:numId w:val="36"/>
              </w:numPr>
              <w:autoSpaceDE/>
              <w:autoSpaceDN/>
              <w:adjustRightInd/>
              <w:ind w:left="567" w:hanging="567"/>
              <w:rPr>
                <w:sz w:val="22"/>
                <w:szCs w:val="22"/>
                <w:lang w:val="el-GR"/>
              </w:rPr>
            </w:pPr>
          </w:p>
        </w:tc>
        <w:tc>
          <w:tcPr>
            <w:tcW w:w="4645" w:type="pct"/>
            <w:gridSpan w:val="2"/>
            <w:tcBorders>
              <w:top w:val="nil"/>
              <w:left w:val="nil"/>
              <w:bottom w:val="single" w:sz="4" w:space="0" w:color="auto"/>
            </w:tcBorders>
            <w:tcMar>
              <w:left w:w="0" w:type="dxa"/>
            </w:tcMar>
          </w:tcPr>
          <w:p w14:paraId="28CE9F22" w14:textId="77777777" w:rsidR="00171824" w:rsidRDefault="006D258C">
            <w:pPr>
              <w:keepNext/>
              <w:keepLines/>
              <w:contextualSpacing/>
              <w:rPr>
                <w:b/>
                <w:bCs/>
                <w:color w:val="000000"/>
                <w:sz w:val="22"/>
                <w:szCs w:val="22"/>
                <w:lang w:val="el-GR"/>
              </w:rPr>
            </w:pPr>
            <w:r>
              <w:rPr>
                <w:color w:val="000000"/>
                <w:sz w:val="22"/>
                <w:szCs w:val="22"/>
                <w:lang w:val="el-GR"/>
              </w:rPr>
              <w:t>Είναι φυσιολογικό να δείτε μια σταγόνα φαρμάκου στο άκρο της βελόνας ή στο κρεμ προστατευτικό κάλυμμα ασφαλείας.</w:t>
            </w:r>
          </w:p>
        </w:tc>
      </w:tr>
    </w:tbl>
    <w:p w14:paraId="4C90FF1C" w14:textId="77777777" w:rsidR="00171824" w:rsidRDefault="00171824">
      <w:pPr>
        <w:tabs>
          <w:tab w:val="left" w:pos="1134"/>
        </w:tabs>
        <w:rPr>
          <w:sz w:val="22"/>
          <w:szCs w:val="22"/>
          <w:lang w:val="el-GR"/>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7"/>
        <w:gridCol w:w="1980"/>
        <w:gridCol w:w="6269"/>
      </w:tblGrid>
      <w:tr w:rsidR="00171824" w:rsidRPr="00A07F46" w14:paraId="75638B98" w14:textId="77777777">
        <w:trPr>
          <w:cantSplit/>
          <w:trHeight w:val="57"/>
        </w:trPr>
        <w:tc>
          <w:tcPr>
            <w:tcW w:w="384" w:type="pct"/>
            <w:tcBorders>
              <w:bottom w:val="single" w:sz="4" w:space="0" w:color="auto"/>
            </w:tcBorders>
            <w:tcMar>
              <w:top w:w="28" w:type="dxa"/>
              <w:left w:w="57" w:type="dxa"/>
              <w:bottom w:w="28" w:type="dxa"/>
              <w:right w:w="57" w:type="dxa"/>
            </w:tcMar>
          </w:tcPr>
          <w:p w14:paraId="7197A3D8" w14:textId="77777777" w:rsidR="00171824" w:rsidRDefault="006D258C">
            <w:pPr>
              <w:keepNext/>
              <w:rPr>
                <w:b/>
                <w:bCs/>
                <w:sz w:val="22"/>
                <w:szCs w:val="22"/>
                <w:lang w:val="el-GR"/>
              </w:rPr>
            </w:pPr>
            <w:r>
              <w:rPr>
                <w:b/>
                <w:sz w:val="22"/>
                <w:szCs w:val="22"/>
                <w:lang w:val="el-GR"/>
              </w:rPr>
              <w:lastRenderedPageBreak/>
              <w:t>4β</w:t>
            </w:r>
          </w:p>
        </w:tc>
        <w:tc>
          <w:tcPr>
            <w:tcW w:w="4616" w:type="pct"/>
            <w:gridSpan w:val="2"/>
            <w:tcBorders>
              <w:bottom w:val="single" w:sz="4" w:space="0" w:color="auto"/>
            </w:tcBorders>
            <w:tcMar>
              <w:top w:w="28" w:type="dxa"/>
              <w:left w:w="57" w:type="dxa"/>
              <w:bottom w:w="28" w:type="dxa"/>
              <w:right w:w="57" w:type="dxa"/>
            </w:tcMar>
          </w:tcPr>
          <w:p w14:paraId="61758B08" w14:textId="77777777" w:rsidR="00171824" w:rsidRDefault="006D258C">
            <w:pPr>
              <w:pStyle w:val="ListParagraph"/>
              <w:keepNext/>
              <w:rPr>
                <w:sz w:val="22"/>
                <w:szCs w:val="22"/>
                <w:lang w:val="el-GR"/>
              </w:rPr>
            </w:pPr>
            <w:r>
              <w:rPr>
                <w:b/>
                <w:sz w:val="22"/>
                <w:szCs w:val="22"/>
                <w:lang w:val="el-GR"/>
              </w:rPr>
              <w:t xml:space="preserve">Τσιμπήστε το δέρμα για να δημιουργήσετε μια σταθερή επιφάνεια στη θέση ένεσης. Τοποθετήστε το κρεμ προστατευτικό κάλυμμα ασφαλείας πάνω στο </w:t>
            </w:r>
            <w:ins w:id="370" w:author="Author">
              <w:r>
                <w:rPr>
                  <w:b/>
                  <w:sz w:val="22"/>
                  <w:szCs w:val="22"/>
                  <w:lang w:val="el-GR"/>
                </w:rPr>
                <w:t xml:space="preserve">τσιμπημένο </w:t>
              </w:r>
            </w:ins>
            <w:r>
              <w:rPr>
                <w:b/>
                <w:sz w:val="22"/>
                <w:szCs w:val="22"/>
                <w:lang w:val="el-GR"/>
              </w:rPr>
              <w:t xml:space="preserve">δέρμα.  </w:t>
            </w:r>
          </w:p>
        </w:tc>
      </w:tr>
      <w:tr w:rsidR="00171824" w:rsidRPr="00A07F46" w14:paraId="211D750F" w14:textId="77777777">
        <w:trPr>
          <w:cantSplit/>
          <w:trHeight w:val="57"/>
          <w:del w:id="371" w:author="Author"/>
        </w:trPr>
        <w:tc>
          <w:tcPr>
            <w:tcW w:w="5000" w:type="pct"/>
            <w:gridSpan w:val="3"/>
            <w:tcBorders>
              <w:bottom w:val="single" w:sz="4" w:space="0" w:color="auto"/>
            </w:tcBorders>
            <w:tcMar>
              <w:top w:w="28" w:type="dxa"/>
              <w:left w:w="57" w:type="dxa"/>
              <w:bottom w:w="28" w:type="dxa"/>
              <w:right w:w="57" w:type="dxa"/>
            </w:tcMar>
          </w:tcPr>
          <w:p w14:paraId="06EF3052" w14:textId="77777777" w:rsidR="00171824" w:rsidRDefault="006D258C">
            <w:pPr>
              <w:keepNext/>
              <w:tabs>
                <w:tab w:val="left" w:pos="1134"/>
              </w:tabs>
              <w:jc w:val="center"/>
              <w:rPr>
                <w:del w:id="372" w:author="Author"/>
                <w:sz w:val="22"/>
                <w:szCs w:val="22"/>
                <w:lang w:val="el-GR"/>
              </w:rPr>
            </w:pPr>
            <w:del w:id="373" w:author="Author">
              <w:r>
                <w:rPr>
                  <w:b/>
                  <w:sz w:val="22"/>
                  <w:szCs w:val="22"/>
                  <w:lang w:val="el-GR"/>
                </w:rPr>
                <w:delText>ΤΣΙΜΠΗΣΤΕ</w:delText>
              </w:r>
            </w:del>
          </w:p>
        </w:tc>
      </w:tr>
      <w:tr w:rsidR="00F031F8" w:rsidRPr="00F031F8" w14:paraId="27017D73" w14:textId="69926E57" w:rsidTr="0029090B">
        <w:trPr>
          <w:cantSplit/>
          <w:trHeight w:val="57"/>
        </w:trPr>
        <w:tc>
          <w:tcPr>
            <w:tcW w:w="1492" w:type="pct"/>
            <w:gridSpan w:val="2"/>
            <w:tcBorders>
              <w:bottom w:val="single" w:sz="4" w:space="0" w:color="auto"/>
              <w:right w:val="nil"/>
            </w:tcBorders>
            <w:tcMar>
              <w:top w:w="28" w:type="dxa"/>
              <w:left w:w="57" w:type="dxa"/>
              <w:bottom w:w="28" w:type="dxa"/>
              <w:right w:w="57" w:type="dxa"/>
            </w:tcMar>
          </w:tcPr>
          <w:p w14:paraId="367031D3" w14:textId="77777777" w:rsidR="00F031F8" w:rsidRDefault="00F031F8" w:rsidP="00F031F8">
            <w:pPr>
              <w:keepNext/>
              <w:tabs>
                <w:tab w:val="left" w:pos="1134"/>
              </w:tabs>
              <w:jc w:val="right"/>
              <w:rPr>
                <w:lang w:val="en-IN"/>
              </w:rPr>
            </w:pPr>
          </w:p>
          <w:p w14:paraId="3AB87FA5" w14:textId="77777777" w:rsidR="00F031F8" w:rsidRDefault="00F031F8" w:rsidP="00F031F8">
            <w:pPr>
              <w:keepNext/>
              <w:tabs>
                <w:tab w:val="left" w:pos="1134"/>
              </w:tabs>
              <w:jc w:val="right"/>
              <w:rPr>
                <w:lang w:val="en-IN"/>
              </w:rPr>
            </w:pPr>
          </w:p>
          <w:p w14:paraId="1C98D19F" w14:textId="77777777" w:rsidR="00F031F8" w:rsidRDefault="00F031F8" w:rsidP="00F031F8">
            <w:pPr>
              <w:keepNext/>
              <w:tabs>
                <w:tab w:val="left" w:pos="1134"/>
              </w:tabs>
              <w:jc w:val="right"/>
              <w:rPr>
                <w:lang w:val="en-IN"/>
              </w:rPr>
            </w:pPr>
          </w:p>
          <w:p w14:paraId="1EF48E3D" w14:textId="2DEA9D14" w:rsidR="00F031F8" w:rsidRDefault="00F031F8" w:rsidP="00F031F8">
            <w:pPr>
              <w:keepNext/>
              <w:tabs>
                <w:tab w:val="left" w:pos="1134"/>
              </w:tabs>
              <w:jc w:val="right"/>
              <w:rPr>
                <w:b/>
                <w:bCs/>
                <w:sz w:val="22"/>
                <w:szCs w:val="22"/>
                <w:lang w:val="el-GR"/>
              </w:rPr>
            </w:pPr>
            <w:ins w:id="374" w:author="Author">
              <w:r>
                <w:rPr>
                  <w:lang w:val="el-GR"/>
                </w:rPr>
                <w:t>ΤΣΙΜΠΗΣΤΕ το δέρμα στη θέση ένεσης</w:t>
              </w:r>
            </w:ins>
          </w:p>
        </w:tc>
        <w:tc>
          <w:tcPr>
            <w:tcW w:w="3508" w:type="pct"/>
            <w:tcBorders>
              <w:left w:val="nil"/>
              <w:bottom w:val="single" w:sz="4" w:space="0" w:color="auto"/>
            </w:tcBorders>
          </w:tcPr>
          <w:p w14:paraId="319FE882" w14:textId="459BB563" w:rsidR="00F031F8" w:rsidRDefault="009039B7" w:rsidP="00F031F8">
            <w:pPr>
              <w:keepNext/>
              <w:tabs>
                <w:tab w:val="left" w:pos="1134"/>
              </w:tabs>
              <w:jc w:val="both"/>
              <w:rPr>
                <w:b/>
                <w:bCs/>
                <w:sz w:val="22"/>
                <w:szCs w:val="22"/>
                <w:lang w:val="el-GR"/>
              </w:rPr>
            </w:pPr>
            <w:ins w:id="375" w:author="Author">
              <w:r>
                <w:rPr>
                  <w:b/>
                  <w:noProof/>
                </w:rPr>
                <w:drawing>
                  <wp:inline distT="0" distB="0" distL="0" distR="0" wp14:anchorId="6C6B8A95" wp14:editId="0B187DB8">
                    <wp:extent cx="3023235" cy="1828800"/>
                    <wp:effectExtent l="0" t="0" r="0" b="0"/>
                    <wp:docPr id="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23235" cy="1828800"/>
                            </a:xfrm>
                            <a:prstGeom prst="rect">
                              <a:avLst/>
                            </a:prstGeom>
                            <a:noFill/>
                            <a:ln>
                              <a:noFill/>
                            </a:ln>
                          </pic:spPr>
                        </pic:pic>
                      </a:graphicData>
                    </a:graphic>
                  </wp:inline>
                </w:drawing>
              </w:r>
            </w:ins>
            <w:del w:id="376" w:author="Author">
              <w:r>
                <w:rPr>
                  <w:b/>
                  <w:noProof/>
                  <w:sz w:val="22"/>
                  <w:szCs w:val="22"/>
                  <w:lang w:val="el-GR" w:eastAsia="zh-CN"/>
                </w:rPr>
                <w:drawing>
                  <wp:inline distT="0" distB="0" distL="0" distR="0" wp14:anchorId="4866197D" wp14:editId="47102248">
                    <wp:extent cx="3200400" cy="1925955"/>
                    <wp:effectExtent l="0" t="0" r="0" b="0"/>
                    <wp:docPr id="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del>
          </w:p>
        </w:tc>
      </w:tr>
      <w:tr w:rsidR="00171824" w:rsidRPr="00A07F46" w14:paraId="701AD291" w14:textId="77777777">
        <w:trPr>
          <w:cantSplit/>
          <w:trHeight w:val="57"/>
        </w:trPr>
        <w:tc>
          <w:tcPr>
            <w:tcW w:w="384" w:type="pct"/>
            <w:tcBorders>
              <w:top w:val="nil"/>
              <w:bottom w:val="nil"/>
              <w:right w:val="nil"/>
            </w:tcBorders>
            <w:tcMar>
              <w:top w:w="28" w:type="dxa"/>
              <w:left w:w="57" w:type="dxa"/>
              <w:bottom w:w="28" w:type="dxa"/>
              <w:right w:w="57" w:type="dxa"/>
            </w:tcMar>
          </w:tcPr>
          <w:p w14:paraId="7F365C98" w14:textId="77777777" w:rsidR="00171824" w:rsidRDefault="00171824">
            <w:pPr>
              <w:widowControl/>
              <w:numPr>
                <w:ilvl w:val="0"/>
                <w:numId w:val="36"/>
              </w:numPr>
              <w:autoSpaceDE/>
              <w:autoSpaceDN/>
              <w:adjustRightInd/>
              <w:ind w:left="567" w:hanging="567"/>
              <w:rPr>
                <w:sz w:val="22"/>
                <w:szCs w:val="22"/>
                <w:lang w:val="el-GR"/>
              </w:rPr>
            </w:pPr>
          </w:p>
        </w:tc>
        <w:tc>
          <w:tcPr>
            <w:tcW w:w="4616" w:type="pct"/>
            <w:gridSpan w:val="2"/>
            <w:tcBorders>
              <w:top w:val="nil"/>
              <w:left w:val="nil"/>
              <w:bottom w:val="nil"/>
            </w:tcBorders>
            <w:tcMar>
              <w:left w:w="0" w:type="dxa"/>
            </w:tcMar>
          </w:tcPr>
          <w:p w14:paraId="638B3FC8" w14:textId="77777777" w:rsidR="00171824" w:rsidRDefault="006D258C">
            <w:pPr>
              <w:tabs>
                <w:tab w:val="left" w:pos="1134"/>
              </w:tabs>
              <w:rPr>
                <w:b/>
                <w:bCs/>
                <w:sz w:val="22"/>
                <w:szCs w:val="22"/>
                <w:lang w:val="el-GR"/>
              </w:rPr>
            </w:pPr>
            <w:r>
              <w:rPr>
                <w:sz w:val="22"/>
                <w:szCs w:val="22"/>
                <w:lang w:val="el-GR"/>
              </w:rPr>
              <w:t xml:space="preserve">Κρατήστε το δέρμα </w:t>
            </w:r>
            <w:r>
              <w:rPr>
                <w:b/>
                <w:bCs/>
                <w:sz w:val="22"/>
                <w:szCs w:val="22"/>
                <w:lang w:val="el-GR"/>
              </w:rPr>
              <w:t>τσιμπημένο</w:t>
            </w:r>
            <w:r>
              <w:rPr>
                <w:sz w:val="22"/>
                <w:szCs w:val="22"/>
                <w:lang w:val="el-GR"/>
              </w:rPr>
              <w:t xml:space="preserve"> μέχρι να τελειώσει η ένεση.</w:t>
            </w:r>
          </w:p>
        </w:tc>
      </w:tr>
      <w:tr w:rsidR="00171824" w:rsidRPr="00A07F46" w14:paraId="6FDA4D7E" w14:textId="77777777">
        <w:trPr>
          <w:cantSplit/>
          <w:trHeight w:val="57"/>
        </w:trPr>
        <w:tc>
          <w:tcPr>
            <w:tcW w:w="384" w:type="pct"/>
            <w:tcBorders>
              <w:top w:val="nil"/>
              <w:bottom w:val="single" w:sz="4" w:space="0" w:color="auto"/>
              <w:right w:val="nil"/>
            </w:tcBorders>
            <w:tcMar>
              <w:top w:w="28" w:type="dxa"/>
              <w:left w:w="57" w:type="dxa"/>
              <w:bottom w:w="28" w:type="dxa"/>
              <w:right w:w="57" w:type="dxa"/>
            </w:tcMar>
          </w:tcPr>
          <w:p w14:paraId="500CE8A1" w14:textId="77777777" w:rsidR="00171824" w:rsidRDefault="00171824">
            <w:pPr>
              <w:widowControl/>
              <w:numPr>
                <w:ilvl w:val="0"/>
                <w:numId w:val="36"/>
              </w:numPr>
              <w:autoSpaceDE/>
              <w:autoSpaceDN/>
              <w:adjustRightInd/>
              <w:ind w:left="567" w:hanging="567"/>
              <w:rPr>
                <w:sz w:val="22"/>
                <w:szCs w:val="22"/>
                <w:lang w:val="el-GR"/>
              </w:rPr>
            </w:pPr>
          </w:p>
        </w:tc>
        <w:tc>
          <w:tcPr>
            <w:tcW w:w="4616" w:type="pct"/>
            <w:gridSpan w:val="2"/>
            <w:tcBorders>
              <w:top w:val="nil"/>
              <w:left w:val="nil"/>
              <w:bottom w:val="single" w:sz="4" w:space="0" w:color="auto"/>
            </w:tcBorders>
            <w:tcMar>
              <w:left w:w="0" w:type="dxa"/>
            </w:tcMar>
          </w:tcPr>
          <w:p w14:paraId="1A454E52" w14:textId="77777777" w:rsidR="00171824" w:rsidRDefault="006D258C">
            <w:pPr>
              <w:tabs>
                <w:tab w:val="left" w:pos="1134"/>
              </w:tabs>
              <w:rPr>
                <w:sz w:val="22"/>
                <w:szCs w:val="22"/>
                <w:lang w:val="el-GR"/>
              </w:rPr>
            </w:pPr>
            <w:r>
              <w:rPr>
                <w:sz w:val="22"/>
                <w:szCs w:val="22"/>
                <w:lang w:val="el-GR"/>
              </w:rPr>
              <w:t>Βεβαιωθείτε ότι το παράθυρο είναι ορατό.</w:t>
            </w:r>
          </w:p>
        </w:tc>
      </w:tr>
      <w:tr w:rsidR="00171824" w:rsidRPr="00A07F46" w14:paraId="6998BC2F" w14:textId="77777777">
        <w:trPr>
          <w:cantSplit/>
          <w:trHeight w:val="57"/>
        </w:trPr>
        <w:tc>
          <w:tcPr>
            <w:tcW w:w="384" w:type="pct"/>
            <w:tcBorders>
              <w:top w:val="nil"/>
              <w:bottom w:val="single" w:sz="4" w:space="0" w:color="auto"/>
              <w:right w:val="nil"/>
            </w:tcBorders>
            <w:tcMar>
              <w:top w:w="28" w:type="dxa"/>
              <w:left w:w="57" w:type="dxa"/>
              <w:bottom w:w="28" w:type="dxa"/>
              <w:right w:w="57" w:type="dxa"/>
            </w:tcMar>
          </w:tcPr>
          <w:p w14:paraId="24DBD356" w14:textId="77777777" w:rsidR="00171824" w:rsidRDefault="00171824">
            <w:pPr>
              <w:widowControl/>
              <w:numPr>
                <w:ilvl w:val="0"/>
                <w:numId w:val="36"/>
              </w:numPr>
              <w:autoSpaceDE/>
              <w:autoSpaceDN/>
              <w:adjustRightInd/>
              <w:ind w:left="567" w:hanging="567"/>
              <w:rPr>
                <w:sz w:val="22"/>
                <w:szCs w:val="22"/>
                <w:lang w:val="el-GR"/>
              </w:rPr>
            </w:pPr>
          </w:p>
        </w:tc>
        <w:tc>
          <w:tcPr>
            <w:tcW w:w="4616" w:type="pct"/>
            <w:gridSpan w:val="2"/>
            <w:tcBorders>
              <w:top w:val="nil"/>
              <w:left w:val="nil"/>
              <w:bottom w:val="single" w:sz="4" w:space="0" w:color="auto"/>
            </w:tcBorders>
            <w:tcMar>
              <w:left w:w="0" w:type="dxa"/>
            </w:tcMar>
          </w:tcPr>
          <w:p w14:paraId="204747C3" w14:textId="77777777" w:rsidR="00171824" w:rsidRDefault="006D258C">
            <w:pPr>
              <w:tabs>
                <w:tab w:val="left" w:pos="1134"/>
              </w:tabs>
              <w:rPr>
                <w:sz w:val="22"/>
                <w:szCs w:val="22"/>
                <w:lang w:val="el-GR"/>
              </w:rPr>
            </w:pPr>
            <w:r>
              <w:rPr>
                <w:sz w:val="22"/>
                <w:szCs w:val="22"/>
                <w:lang w:val="el-GR"/>
              </w:rPr>
              <w:t xml:space="preserve">Βεβαιωθείτε ότι η </w:t>
            </w:r>
            <w:ins w:id="377" w:author="Author">
              <w:r>
                <w:rPr>
                  <w:sz w:val="22"/>
                  <w:szCs w:val="22"/>
                  <w:lang w:val="el-GR"/>
                </w:rPr>
                <w:t>προγεμισμένη συσκευή τύπου πένας</w:t>
              </w:r>
            </w:ins>
            <w:del w:id="378" w:author="Author">
              <w:r>
                <w:rPr>
                  <w:sz w:val="22"/>
                  <w:szCs w:val="22"/>
                  <w:lang w:val="el-GR"/>
                </w:rPr>
                <w:delText>συσκευή αυτοχορήγησης ένεσης</w:delText>
              </w:r>
            </w:del>
            <w:r>
              <w:rPr>
                <w:sz w:val="22"/>
                <w:szCs w:val="22"/>
                <w:lang w:val="el-GR"/>
              </w:rPr>
              <w:t xml:space="preserve"> είναι τοποθετημένη κατακόρυφα στη θέση ένεσης (σε γωνία 90 μοιρών).</w:t>
            </w:r>
          </w:p>
        </w:tc>
      </w:tr>
      <w:tr w:rsidR="00171824" w:rsidRPr="00A07F46" w14:paraId="213A3DD0" w14:textId="77777777">
        <w:trPr>
          <w:cantSplit/>
          <w:trHeight w:val="57"/>
        </w:trPr>
        <w:tc>
          <w:tcPr>
            <w:tcW w:w="5000" w:type="pct"/>
            <w:gridSpan w:val="3"/>
            <w:tcBorders>
              <w:top w:val="nil"/>
              <w:bottom w:val="nil"/>
            </w:tcBorders>
            <w:tcMar>
              <w:top w:w="28" w:type="dxa"/>
              <w:left w:w="57" w:type="dxa"/>
              <w:bottom w:w="28" w:type="dxa"/>
              <w:right w:w="57" w:type="dxa"/>
            </w:tcMar>
            <w:vAlign w:val="center"/>
          </w:tcPr>
          <w:p w14:paraId="237847B2" w14:textId="77777777" w:rsidR="00171824" w:rsidRDefault="00171824">
            <w:pPr>
              <w:tabs>
                <w:tab w:val="left" w:pos="1134"/>
              </w:tabs>
              <w:jc w:val="center"/>
              <w:rPr>
                <w:b/>
                <w:bCs/>
                <w:sz w:val="22"/>
                <w:szCs w:val="22"/>
                <w:lang w:val="el-GR"/>
              </w:rPr>
            </w:pPr>
          </w:p>
          <w:p w14:paraId="58632B5D" w14:textId="77777777" w:rsidR="00171824" w:rsidRDefault="006D258C">
            <w:pPr>
              <w:tabs>
                <w:tab w:val="left" w:pos="1134"/>
              </w:tabs>
              <w:jc w:val="center"/>
              <w:rPr>
                <w:b/>
                <w:bCs/>
                <w:sz w:val="22"/>
                <w:szCs w:val="22"/>
                <w:lang w:val="el-GR"/>
              </w:rPr>
            </w:pPr>
            <w:r>
              <w:rPr>
                <w:b/>
                <w:sz w:val="22"/>
                <w:szCs w:val="22"/>
                <w:lang w:val="el-GR"/>
              </w:rPr>
              <w:t>ΣΠΡΩΞΤΕ</w:t>
            </w:r>
          </w:p>
          <w:p w14:paraId="6F83755C" w14:textId="77777777" w:rsidR="00171824" w:rsidRDefault="006D258C">
            <w:pPr>
              <w:tabs>
                <w:tab w:val="left" w:pos="1134"/>
              </w:tabs>
              <w:jc w:val="center"/>
              <w:rPr>
                <w:sz w:val="22"/>
                <w:szCs w:val="22"/>
                <w:lang w:val="el-GR"/>
              </w:rPr>
            </w:pPr>
            <w:r>
              <w:rPr>
                <w:b/>
                <w:sz w:val="22"/>
                <w:szCs w:val="22"/>
                <w:lang w:val="el-GR"/>
              </w:rPr>
              <w:t>και κρατήστε πάνω στο δέρμα</w:t>
            </w:r>
          </w:p>
        </w:tc>
      </w:tr>
      <w:tr w:rsidR="00171824" w14:paraId="1A088933" w14:textId="77777777">
        <w:trPr>
          <w:cantSplit/>
          <w:trHeight w:val="57"/>
        </w:trPr>
        <w:tc>
          <w:tcPr>
            <w:tcW w:w="5000" w:type="pct"/>
            <w:gridSpan w:val="3"/>
            <w:tcBorders>
              <w:top w:val="nil"/>
              <w:bottom w:val="single" w:sz="4" w:space="0" w:color="auto"/>
            </w:tcBorders>
            <w:tcMar>
              <w:top w:w="28" w:type="dxa"/>
              <w:left w:w="57" w:type="dxa"/>
              <w:bottom w:w="28" w:type="dxa"/>
              <w:right w:w="57" w:type="dxa"/>
            </w:tcMar>
            <w:vAlign w:val="center"/>
          </w:tcPr>
          <w:p w14:paraId="526223E9" w14:textId="617B4022" w:rsidR="00171824" w:rsidRDefault="009039B7">
            <w:pPr>
              <w:tabs>
                <w:tab w:val="left" w:pos="1134"/>
              </w:tabs>
              <w:jc w:val="center"/>
              <w:rPr>
                <w:sz w:val="22"/>
                <w:szCs w:val="22"/>
                <w:lang w:val="el-GR"/>
              </w:rPr>
            </w:pPr>
            <w:r>
              <w:rPr>
                <w:noProof/>
                <w:sz w:val="22"/>
                <w:szCs w:val="22"/>
                <w:lang w:val="el-GR" w:eastAsia="zh-CN"/>
              </w:rPr>
              <w:drawing>
                <wp:inline distT="0" distB="0" distL="0" distR="0" wp14:anchorId="224A1C7C" wp14:editId="48759252">
                  <wp:extent cx="3200400" cy="1925955"/>
                  <wp:effectExtent l="0" t="0" r="0" b="0"/>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p>
        </w:tc>
      </w:tr>
      <w:tr w:rsidR="00171824" w:rsidRPr="00A07F46" w14:paraId="6B91DA20" w14:textId="77777777">
        <w:trPr>
          <w:cantSplit/>
          <w:trHeight w:val="57"/>
        </w:trPr>
        <w:tc>
          <w:tcPr>
            <w:tcW w:w="384" w:type="pct"/>
            <w:tcBorders>
              <w:top w:val="single" w:sz="4" w:space="0" w:color="auto"/>
              <w:bottom w:val="single" w:sz="4" w:space="0" w:color="auto"/>
            </w:tcBorders>
            <w:tcMar>
              <w:top w:w="28" w:type="dxa"/>
              <w:left w:w="57" w:type="dxa"/>
              <w:bottom w:w="28" w:type="dxa"/>
              <w:right w:w="57" w:type="dxa"/>
            </w:tcMar>
            <w:vAlign w:val="center"/>
          </w:tcPr>
          <w:p w14:paraId="54841E0D" w14:textId="77777777" w:rsidR="00171824" w:rsidRDefault="006D258C">
            <w:pPr>
              <w:tabs>
                <w:tab w:val="left" w:pos="1134"/>
              </w:tabs>
              <w:rPr>
                <w:b/>
                <w:bCs/>
                <w:sz w:val="22"/>
                <w:szCs w:val="22"/>
                <w:lang w:val="el-GR"/>
              </w:rPr>
            </w:pPr>
            <w:r>
              <w:rPr>
                <w:b/>
                <w:sz w:val="22"/>
                <w:szCs w:val="22"/>
                <w:lang w:val="el-GR"/>
              </w:rPr>
              <w:t>4γ</w:t>
            </w:r>
          </w:p>
        </w:tc>
        <w:tc>
          <w:tcPr>
            <w:tcW w:w="4616" w:type="pct"/>
            <w:gridSpan w:val="2"/>
            <w:tcBorders>
              <w:top w:val="single" w:sz="4" w:space="0" w:color="auto"/>
              <w:bottom w:val="single" w:sz="4" w:space="0" w:color="auto"/>
            </w:tcBorders>
            <w:vAlign w:val="center"/>
          </w:tcPr>
          <w:p w14:paraId="6B81BF39" w14:textId="77777777" w:rsidR="00171824" w:rsidRDefault="006D258C">
            <w:pPr>
              <w:tabs>
                <w:tab w:val="left" w:pos="1134"/>
              </w:tabs>
              <w:rPr>
                <w:sz w:val="22"/>
                <w:szCs w:val="22"/>
                <w:lang w:val="el-GR"/>
              </w:rPr>
            </w:pPr>
            <w:r>
              <w:rPr>
                <w:b/>
                <w:sz w:val="22"/>
                <w:szCs w:val="22"/>
                <w:lang w:val="el-GR"/>
              </w:rPr>
              <w:t xml:space="preserve">Σπρώξτε </w:t>
            </w:r>
            <w:ins w:id="379" w:author="Author">
              <w:r>
                <w:rPr>
                  <w:b/>
                  <w:sz w:val="22"/>
                  <w:szCs w:val="22"/>
                  <w:lang w:val="el-GR"/>
                </w:rPr>
                <w:t xml:space="preserve">την προγεμισμένη συσκευή τύπου πένας </w:t>
              </w:r>
            </w:ins>
            <w:r>
              <w:rPr>
                <w:b/>
                <w:sz w:val="22"/>
                <w:szCs w:val="22"/>
                <w:lang w:val="el-GR"/>
              </w:rPr>
              <w:t xml:space="preserve">σταθερά προς τα κάτω μέχρι το κρεμ προστατευτικό κάλυμμα ασφαλείας να σταματήσει να κινείται. Κρατήστε </w:t>
            </w:r>
            <w:ins w:id="380" w:author="Author">
              <w:r>
                <w:rPr>
                  <w:b/>
                  <w:sz w:val="22"/>
                  <w:szCs w:val="22"/>
                  <w:lang w:val="el-GR"/>
                </w:rPr>
                <w:t xml:space="preserve">την προγεμισμένη συσκευή τύπου πένας </w:t>
              </w:r>
            </w:ins>
            <w:r>
              <w:rPr>
                <w:b/>
                <w:sz w:val="22"/>
                <w:szCs w:val="22"/>
                <w:lang w:val="el-GR"/>
              </w:rPr>
              <w:t>κάτω, μην</w:t>
            </w:r>
            <w:ins w:id="381" w:author="Author">
              <w:r>
                <w:rPr>
                  <w:b/>
                  <w:sz w:val="22"/>
                  <w:szCs w:val="22"/>
                  <w:lang w:val="el-GR"/>
                </w:rPr>
                <w:t xml:space="preserve"> την</w:t>
              </w:r>
            </w:ins>
            <w:r>
              <w:rPr>
                <w:b/>
                <w:sz w:val="22"/>
                <w:szCs w:val="22"/>
                <w:lang w:val="el-GR"/>
              </w:rPr>
              <w:t xml:space="preserve"> σηκώσετε.</w:t>
            </w:r>
          </w:p>
        </w:tc>
      </w:tr>
      <w:tr w:rsidR="00171824" w:rsidRPr="00A07F46" w14:paraId="7C867D61" w14:textId="77777777">
        <w:trPr>
          <w:cantSplit/>
          <w:trHeight w:val="57"/>
        </w:trPr>
        <w:tc>
          <w:tcPr>
            <w:tcW w:w="384" w:type="pct"/>
            <w:tcBorders>
              <w:top w:val="single" w:sz="4" w:space="0" w:color="auto"/>
              <w:bottom w:val="single" w:sz="4" w:space="0" w:color="auto"/>
              <w:right w:val="nil"/>
            </w:tcBorders>
            <w:tcMar>
              <w:top w:w="28" w:type="dxa"/>
              <w:left w:w="57" w:type="dxa"/>
              <w:bottom w:w="28" w:type="dxa"/>
              <w:right w:w="57" w:type="dxa"/>
            </w:tcMar>
            <w:vAlign w:val="center"/>
          </w:tcPr>
          <w:p w14:paraId="5569F788" w14:textId="77777777" w:rsidR="00171824" w:rsidRDefault="00171824">
            <w:pPr>
              <w:widowControl/>
              <w:numPr>
                <w:ilvl w:val="0"/>
                <w:numId w:val="36"/>
              </w:numPr>
              <w:tabs>
                <w:tab w:val="left" w:pos="578"/>
              </w:tabs>
              <w:autoSpaceDE/>
              <w:autoSpaceDN/>
              <w:adjustRightInd/>
              <w:ind w:left="642" w:hanging="642"/>
              <w:rPr>
                <w:sz w:val="22"/>
                <w:szCs w:val="22"/>
                <w:lang w:val="el-GR"/>
              </w:rPr>
            </w:pPr>
          </w:p>
        </w:tc>
        <w:tc>
          <w:tcPr>
            <w:tcW w:w="4616" w:type="pct"/>
            <w:gridSpan w:val="2"/>
            <w:tcBorders>
              <w:top w:val="single" w:sz="4" w:space="0" w:color="auto"/>
              <w:left w:val="nil"/>
              <w:bottom w:val="single" w:sz="4" w:space="0" w:color="auto"/>
            </w:tcBorders>
            <w:vAlign w:val="center"/>
          </w:tcPr>
          <w:p w14:paraId="5D4A0AA0" w14:textId="77777777" w:rsidR="00171824" w:rsidRDefault="006D258C">
            <w:pPr>
              <w:tabs>
                <w:tab w:val="left" w:pos="1134"/>
              </w:tabs>
              <w:rPr>
                <w:sz w:val="22"/>
                <w:szCs w:val="22"/>
                <w:lang w:val="el-GR"/>
              </w:rPr>
            </w:pPr>
            <w:r>
              <w:rPr>
                <w:sz w:val="22"/>
                <w:szCs w:val="22"/>
                <w:lang w:val="el-GR"/>
              </w:rPr>
              <w:t>Το κρεμ προστατευτικό κάλυμμα ασφαλείας σπρώχνεται προς τα μέσα και απασφαλίζει το γαλάζιο κουμπί έναρξης</w:t>
            </w:r>
            <w:ins w:id="382" w:author="Author">
              <w:r>
                <w:rPr>
                  <w:sz w:val="22"/>
                  <w:szCs w:val="22"/>
                  <w:lang w:val="el-GR"/>
                </w:rPr>
                <w:t>.</w:t>
              </w:r>
            </w:ins>
          </w:p>
        </w:tc>
      </w:tr>
    </w:tbl>
    <w:p w14:paraId="4E84E999" w14:textId="77777777" w:rsidR="00171824" w:rsidRDefault="00171824">
      <w:pPr>
        <w:tabs>
          <w:tab w:val="left" w:pos="1134"/>
        </w:tabs>
        <w:rPr>
          <w:sz w:val="22"/>
          <w:szCs w:val="22"/>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71824" w:rsidRPr="00A07F46" w14:paraId="446AB1C5" w14:textId="77777777">
        <w:trPr>
          <w:cantSplit/>
          <w:trHeight w:val="57"/>
        </w:trPr>
        <w:tc>
          <w:tcPr>
            <w:tcW w:w="5000" w:type="pct"/>
            <w:gridSpan w:val="2"/>
            <w:tcBorders>
              <w:bottom w:val="nil"/>
            </w:tcBorders>
            <w:tcMar>
              <w:top w:w="28" w:type="dxa"/>
              <w:left w:w="57" w:type="dxa"/>
              <w:bottom w:w="28" w:type="dxa"/>
              <w:right w:w="57" w:type="dxa"/>
            </w:tcMar>
          </w:tcPr>
          <w:p w14:paraId="5C027A0E" w14:textId="77777777" w:rsidR="00171824" w:rsidRDefault="006D258C">
            <w:pPr>
              <w:keepNext/>
              <w:tabs>
                <w:tab w:val="left" w:pos="1134"/>
              </w:tabs>
              <w:jc w:val="center"/>
              <w:rPr>
                <w:b/>
                <w:bCs/>
                <w:sz w:val="22"/>
                <w:szCs w:val="22"/>
                <w:lang w:val="el-GR"/>
              </w:rPr>
            </w:pPr>
            <w:r>
              <w:rPr>
                <w:b/>
                <w:sz w:val="22"/>
                <w:szCs w:val="22"/>
                <w:lang w:val="el-GR"/>
              </w:rPr>
              <w:lastRenderedPageBreak/>
              <w:t>ΠΙΕΣΤΕ</w:t>
            </w:r>
          </w:p>
          <w:p w14:paraId="6611655E" w14:textId="77777777" w:rsidR="00171824" w:rsidRDefault="006D258C">
            <w:pPr>
              <w:keepNext/>
              <w:tabs>
                <w:tab w:val="left" w:pos="1134"/>
              </w:tabs>
              <w:jc w:val="center"/>
              <w:rPr>
                <w:sz w:val="22"/>
                <w:szCs w:val="22"/>
                <w:lang w:val="el-GR"/>
              </w:rPr>
            </w:pPr>
            <w:r>
              <w:rPr>
                <w:b/>
                <w:sz w:val="22"/>
                <w:szCs w:val="22"/>
                <w:lang w:val="el-GR"/>
              </w:rPr>
              <w:t>το γαλάζιο κουμπί έναρξης</w:t>
            </w:r>
          </w:p>
        </w:tc>
      </w:tr>
      <w:tr w:rsidR="00171824" w14:paraId="51C76407"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4C32BE9D" w14:textId="377B0CF0" w:rsidR="00171824" w:rsidRDefault="009039B7">
            <w:pPr>
              <w:keepNext/>
              <w:tabs>
                <w:tab w:val="left" w:pos="1134"/>
              </w:tabs>
              <w:jc w:val="center"/>
              <w:rPr>
                <w:b/>
                <w:bCs/>
                <w:sz w:val="22"/>
                <w:szCs w:val="22"/>
                <w:lang w:val="el-GR"/>
              </w:rPr>
            </w:pPr>
            <w:r>
              <w:rPr>
                <w:noProof/>
                <w:sz w:val="22"/>
                <w:szCs w:val="22"/>
                <w:lang w:val="el-GR" w:eastAsia="zh-CN"/>
              </w:rPr>
              <w:drawing>
                <wp:inline distT="0" distB="0" distL="0" distR="0" wp14:anchorId="3775D50C" wp14:editId="0862203A">
                  <wp:extent cx="4572000" cy="2743200"/>
                  <wp:effectExtent l="0" t="0" r="0"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tc>
      </w:tr>
      <w:tr w:rsidR="00171824" w:rsidRPr="00A07F46" w14:paraId="04BD5646"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695535F6" w14:textId="77777777" w:rsidR="00171824" w:rsidRDefault="006D258C">
            <w:pPr>
              <w:ind w:left="217" w:hanging="217"/>
              <w:rPr>
                <w:b/>
                <w:bCs/>
                <w:sz w:val="22"/>
                <w:szCs w:val="22"/>
                <w:lang w:val="el-GR"/>
              </w:rPr>
            </w:pPr>
            <w:r>
              <w:rPr>
                <w:b/>
                <w:sz w:val="22"/>
                <w:szCs w:val="22"/>
                <w:lang w:val="el-GR"/>
              </w:rPr>
              <w:t>4δ</w:t>
            </w:r>
          </w:p>
        </w:tc>
        <w:tc>
          <w:tcPr>
            <w:tcW w:w="4617" w:type="pct"/>
            <w:tcBorders>
              <w:top w:val="single" w:sz="4" w:space="0" w:color="auto"/>
              <w:left w:val="single" w:sz="4" w:space="0" w:color="auto"/>
              <w:bottom w:val="single" w:sz="4" w:space="0" w:color="auto"/>
            </w:tcBorders>
            <w:tcMar>
              <w:left w:w="0" w:type="dxa"/>
            </w:tcMar>
          </w:tcPr>
          <w:p w14:paraId="0503FAE8" w14:textId="77777777" w:rsidR="00171824" w:rsidRDefault="006D258C">
            <w:pPr>
              <w:tabs>
                <w:tab w:val="left" w:pos="1134"/>
              </w:tabs>
              <w:rPr>
                <w:b/>
                <w:bCs/>
                <w:sz w:val="22"/>
                <w:szCs w:val="22"/>
                <w:lang w:val="el-GR"/>
              </w:rPr>
            </w:pPr>
            <w:r>
              <w:rPr>
                <w:b/>
                <w:sz w:val="22"/>
                <w:szCs w:val="22"/>
                <w:lang w:val="el-GR"/>
              </w:rPr>
              <w:t xml:space="preserve">Συνεχίστε να σπρώχνετε </w:t>
            </w:r>
            <w:ins w:id="383" w:author="Author">
              <w:r>
                <w:rPr>
                  <w:b/>
                  <w:sz w:val="22"/>
                  <w:szCs w:val="22"/>
                  <w:lang w:val="el-GR"/>
                </w:rPr>
                <w:t xml:space="preserve">την προγεμισμένη συσκευή τύπου πένας </w:t>
              </w:r>
            </w:ins>
            <w:r>
              <w:rPr>
                <w:b/>
                <w:sz w:val="22"/>
                <w:szCs w:val="22"/>
                <w:lang w:val="el-GR"/>
              </w:rPr>
              <w:t>προς τα κάτω</w:t>
            </w:r>
            <w:del w:id="384" w:author="Author">
              <w:r>
                <w:rPr>
                  <w:b/>
                  <w:sz w:val="22"/>
                  <w:szCs w:val="22"/>
                  <w:lang w:val="el-GR"/>
                </w:rPr>
                <w:delText xml:space="preserve"> σταθερά</w:delText>
              </w:r>
            </w:del>
            <w:r>
              <w:rPr>
                <w:b/>
                <w:sz w:val="22"/>
                <w:szCs w:val="22"/>
                <w:lang w:val="el-GR"/>
              </w:rPr>
              <w:t xml:space="preserve"> και πιέστε το γαλάζιο κουμπί έναρξης για να ξεκινήσει η ένεση.</w:t>
            </w:r>
          </w:p>
        </w:tc>
      </w:tr>
      <w:tr w:rsidR="00171824" w:rsidRPr="00A07F46" w14:paraId="592D8E40"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EA3738C"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single" w:sz="4" w:space="0" w:color="auto"/>
              <w:left w:val="nil"/>
              <w:bottom w:val="nil"/>
            </w:tcBorders>
            <w:tcMar>
              <w:left w:w="0" w:type="dxa"/>
            </w:tcMar>
          </w:tcPr>
          <w:p w14:paraId="0F94C3F0" w14:textId="77777777" w:rsidR="00171824" w:rsidRDefault="006D258C">
            <w:pPr>
              <w:tabs>
                <w:tab w:val="left" w:pos="1134"/>
              </w:tabs>
              <w:rPr>
                <w:sz w:val="22"/>
                <w:szCs w:val="22"/>
                <w:lang w:val="el-GR"/>
              </w:rPr>
            </w:pPr>
            <w:r>
              <w:rPr>
                <w:sz w:val="22"/>
                <w:szCs w:val="22"/>
                <w:lang w:val="el-GR"/>
              </w:rPr>
              <w:t>Μπορεί να ακούσετε ή να αισθανθείτε ένα κλικ.</w:t>
            </w:r>
          </w:p>
        </w:tc>
      </w:tr>
      <w:tr w:rsidR="00171824" w:rsidRPr="00A07F46" w14:paraId="229035FD" w14:textId="77777777">
        <w:trPr>
          <w:cantSplit/>
          <w:trHeight w:val="57"/>
        </w:trPr>
        <w:tc>
          <w:tcPr>
            <w:tcW w:w="383" w:type="pct"/>
            <w:tcBorders>
              <w:top w:val="nil"/>
              <w:bottom w:val="nil"/>
              <w:right w:val="nil"/>
            </w:tcBorders>
            <w:tcMar>
              <w:top w:w="28" w:type="dxa"/>
              <w:left w:w="57" w:type="dxa"/>
              <w:bottom w:w="28" w:type="dxa"/>
              <w:right w:w="57" w:type="dxa"/>
            </w:tcMar>
          </w:tcPr>
          <w:p w14:paraId="43B712B4"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nil"/>
            </w:tcBorders>
            <w:tcMar>
              <w:left w:w="0" w:type="dxa"/>
            </w:tcMar>
          </w:tcPr>
          <w:p w14:paraId="61555AFB" w14:textId="77777777" w:rsidR="00171824" w:rsidRDefault="006D258C">
            <w:pPr>
              <w:tabs>
                <w:tab w:val="left" w:pos="1134"/>
              </w:tabs>
              <w:rPr>
                <w:b/>
                <w:bCs/>
                <w:sz w:val="22"/>
                <w:szCs w:val="22"/>
                <w:lang w:val="el-GR"/>
              </w:rPr>
            </w:pPr>
            <w:r>
              <w:rPr>
                <w:sz w:val="22"/>
                <w:szCs w:val="22"/>
                <w:lang w:val="el-GR"/>
              </w:rPr>
              <w:t>Το παράθυρο αρχίζει να γίνεται κίτρινο.</w:t>
            </w:r>
          </w:p>
        </w:tc>
      </w:tr>
      <w:tr w:rsidR="00171824" w:rsidRPr="00A07F46" w14:paraId="758EEBCB"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1173E67B"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single" w:sz="4" w:space="0" w:color="auto"/>
            </w:tcBorders>
            <w:tcMar>
              <w:left w:w="0" w:type="dxa"/>
            </w:tcMar>
          </w:tcPr>
          <w:p w14:paraId="265DBFAC" w14:textId="77777777" w:rsidR="00171824" w:rsidRDefault="006D258C">
            <w:pPr>
              <w:tabs>
                <w:tab w:val="left" w:pos="1134"/>
              </w:tabs>
              <w:rPr>
                <w:b/>
                <w:bCs/>
                <w:sz w:val="22"/>
                <w:szCs w:val="22"/>
                <w:lang w:val="el-GR"/>
              </w:rPr>
            </w:pPr>
            <w:r>
              <w:rPr>
                <w:sz w:val="22"/>
                <w:szCs w:val="22"/>
                <w:lang w:val="el-GR"/>
              </w:rPr>
              <w:t>Μπορείτε να αφήσετε το γαλάζιο κουμπί έναρξης.</w:t>
            </w:r>
          </w:p>
        </w:tc>
      </w:tr>
    </w:tbl>
    <w:p w14:paraId="06F8C170" w14:textId="77777777" w:rsidR="00171824" w:rsidRDefault="00171824">
      <w:pPr>
        <w:tabs>
          <w:tab w:val="left" w:pos="1134"/>
        </w:tabs>
        <w:rPr>
          <w:sz w:val="22"/>
          <w:szCs w:val="22"/>
          <w:lang w:val="el-G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171824" w:rsidRPr="00A07F46" w14:paraId="5F04409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0218E60" w14:textId="77777777" w:rsidR="00171824" w:rsidRDefault="006D258C">
            <w:pPr>
              <w:keepNext/>
              <w:tabs>
                <w:tab w:val="left" w:pos="1134"/>
              </w:tabs>
              <w:jc w:val="center"/>
              <w:rPr>
                <w:b/>
                <w:bCs/>
                <w:sz w:val="22"/>
                <w:szCs w:val="22"/>
                <w:lang w:val="el-GR"/>
              </w:rPr>
            </w:pPr>
            <w:r>
              <w:rPr>
                <w:b/>
                <w:sz w:val="22"/>
                <w:szCs w:val="22"/>
                <w:lang w:val="el-GR"/>
              </w:rPr>
              <w:t xml:space="preserve">ΠΑΡΑΚΟΛΟΥΘΕΙΤΕ </w:t>
            </w:r>
            <w:ins w:id="385" w:author="Author">
              <w:r>
                <w:rPr>
                  <w:b/>
                  <w:sz w:val="22"/>
                  <w:szCs w:val="22"/>
                  <w:lang w:val="el-GR"/>
                </w:rPr>
                <w:t>και</w:t>
              </w:r>
            </w:ins>
            <w:del w:id="386" w:author="Author">
              <w:r>
                <w:rPr>
                  <w:b/>
                  <w:sz w:val="22"/>
                  <w:szCs w:val="22"/>
                  <w:lang w:val="el-GR"/>
                </w:rPr>
                <w:delText>ΚΑΙ</w:delText>
              </w:r>
            </w:del>
            <w:r>
              <w:rPr>
                <w:b/>
                <w:sz w:val="22"/>
                <w:szCs w:val="22"/>
                <w:lang w:val="el-GR"/>
              </w:rPr>
              <w:t xml:space="preserve"> ΕΠΙΒΕΒΑΙΩΣΤΕ</w:t>
            </w:r>
          </w:p>
          <w:p w14:paraId="725FC48D" w14:textId="77777777" w:rsidR="00171824" w:rsidRDefault="006D258C">
            <w:pPr>
              <w:keepNext/>
              <w:tabs>
                <w:tab w:val="left" w:pos="1134"/>
              </w:tabs>
              <w:jc w:val="center"/>
              <w:rPr>
                <w:b/>
                <w:bCs/>
                <w:sz w:val="22"/>
                <w:szCs w:val="22"/>
                <w:lang w:val="el-GR"/>
              </w:rPr>
            </w:pPr>
            <w:ins w:id="387" w:author="Author">
              <w:r>
                <w:rPr>
                  <w:b/>
                  <w:sz w:val="22"/>
                  <w:szCs w:val="22"/>
                  <w:lang w:val="el-GR"/>
                </w:rPr>
                <w:t xml:space="preserve">ότι </w:t>
              </w:r>
            </w:ins>
            <w:r>
              <w:rPr>
                <w:b/>
                <w:sz w:val="22"/>
                <w:szCs w:val="22"/>
                <w:lang w:val="el-GR"/>
              </w:rPr>
              <w:t xml:space="preserve">το παράθυρο </w:t>
            </w:r>
            <w:del w:id="388" w:author="Author">
              <w:r>
                <w:rPr>
                  <w:b/>
                  <w:sz w:val="22"/>
                  <w:szCs w:val="22"/>
                  <w:lang w:val="el-GR"/>
                </w:rPr>
                <w:delText xml:space="preserve">θα </w:delText>
              </w:r>
            </w:del>
            <w:ins w:id="389" w:author="Author">
              <w:r>
                <w:rPr>
                  <w:b/>
                  <w:sz w:val="22"/>
                  <w:szCs w:val="22"/>
                  <w:lang w:val="el-GR"/>
                </w:rPr>
                <w:t xml:space="preserve">έχει </w:t>
              </w:r>
            </w:ins>
            <w:r>
              <w:rPr>
                <w:b/>
                <w:sz w:val="22"/>
                <w:szCs w:val="22"/>
                <w:lang w:val="el-GR"/>
              </w:rPr>
              <w:t>κιτρινίσει τελείως</w:t>
            </w:r>
          </w:p>
        </w:tc>
      </w:tr>
      <w:tr w:rsidR="00171824" w14:paraId="723E603F"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12EEC4C" w14:textId="4C97E9ED" w:rsidR="00171824" w:rsidRDefault="009039B7">
            <w:pPr>
              <w:tabs>
                <w:tab w:val="left" w:pos="1134"/>
              </w:tabs>
              <w:jc w:val="center"/>
              <w:rPr>
                <w:b/>
                <w:bCs/>
                <w:sz w:val="22"/>
                <w:szCs w:val="22"/>
                <w:lang w:val="el-GR"/>
              </w:rPr>
            </w:pPr>
            <w:r>
              <w:rPr>
                <w:b/>
                <w:noProof/>
                <w:sz w:val="22"/>
                <w:szCs w:val="22"/>
                <w:lang w:val="el-GR" w:eastAsia="zh-CN"/>
              </w:rPr>
              <w:drawing>
                <wp:inline distT="0" distB="0" distL="0" distR="0" wp14:anchorId="01B757E1" wp14:editId="3EBF511F">
                  <wp:extent cx="3200400" cy="1925955"/>
                  <wp:effectExtent l="0" t="0" r="0" b="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00400" cy="1925955"/>
                          </a:xfrm>
                          <a:prstGeom prst="rect">
                            <a:avLst/>
                          </a:prstGeom>
                          <a:noFill/>
                          <a:ln>
                            <a:noFill/>
                          </a:ln>
                        </pic:spPr>
                      </pic:pic>
                    </a:graphicData>
                  </a:graphic>
                </wp:inline>
              </w:drawing>
            </w:r>
          </w:p>
          <w:p w14:paraId="402BFAB9" w14:textId="77777777" w:rsidR="00171824" w:rsidRDefault="00171824">
            <w:pPr>
              <w:tabs>
                <w:tab w:val="left" w:pos="1134"/>
              </w:tabs>
              <w:jc w:val="center"/>
              <w:rPr>
                <w:b/>
                <w:bCs/>
                <w:sz w:val="22"/>
                <w:szCs w:val="22"/>
                <w:lang w:val="el-GR"/>
              </w:rPr>
            </w:pPr>
          </w:p>
        </w:tc>
      </w:tr>
      <w:tr w:rsidR="00171824" w14:paraId="562C4799"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5DFF574E" w14:textId="77777777" w:rsidR="00171824" w:rsidRDefault="006D258C">
            <w:pPr>
              <w:rPr>
                <w:b/>
                <w:bCs/>
                <w:sz w:val="22"/>
                <w:szCs w:val="22"/>
                <w:lang w:val="el-GR"/>
              </w:rPr>
            </w:pPr>
            <w:r>
              <w:rPr>
                <w:b/>
                <w:sz w:val="22"/>
                <w:szCs w:val="22"/>
                <w:lang w:val="el-GR"/>
              </w:rPr>
              <w:t>4ε</w:t>
            </w:r>
          </w:p>
        </w:tc>
        <w:tc>
          <w:tcPr>
            <w:tcW w:w="4617" w:type="pct"/>
            <w:tcBorders>
              <w:top w:val="single" w:sz="4" w:space="0" w:color="auto"/>
              <w:left w:val="single" w:sz="4" w:space="0" w:color="auto"/>
              <w:bottom w:val="single" w:sz="4" w:space="0" w:color="auto"/>
            </w:tcBorders>
            <w:tcMar>
              <w:left w:w="0" w:type="dxa"/>
            </w:tcMar>
          </w:tcPr>
          <w:p w14:paraId="27C54672" w14:textId="77777777" w:rsidR="00171824" w:rsidRDefault="006D258C">
            <w:pPr>
              <w:rPr>
                <w:sz w:val="22"/>
                <w:szCs w:val="22"/>
                <w:lang w:val="el-GR"/>
              </w:rPr>
            </w:pPr>
            <w:r>
              <w:rPr>
                <w:b/>
                <w:sz w:val="22"/>
                <w:szCs w:val="22"/>
                <w:lang w:val="el-GR"/>
              </w:rPr>
              <w:t xml:space="preserve">Συνεχίστε να σπρώχνετε </w:t>
            </w:r>
            <w:ins w:id="390" w:author="Author">
              <w:r>
                <w:rPr>
                  <w:b/>
                  <w:sz w:val="22"/>
                  <w:szCs w:val="22"/>
                  <w:lang w:val="el-GR"/>
                </w:rPr>
                <w:t xml:space="preserve">την προγεμισμένη συσκευή τύπου πένας </w:t>
              </w:r>
            </w:ins>
            <w:r>
              <w:rPr>
                <w:b/>
                <w:sz w:val="22"/>
                <w:szCs w:val="22"/>
                <w:lang w:val="el-GR"/>
              </w:rPr>
              <w:t>προς τα κάτω. Όταν το παράθυρο κιτρινίσει τελείως, η ένεση έχει ολοκληρωθεί.</w:t>
            </w:r>
          </w:p>
        </w:tc>
      </w:tr>
      <w:tr w:rsidR="00171824" w:rsidRPr="00A07F46" w14:paraId="5D524B45"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BC39DA8"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single" w:sz="4" w:space="0" w:color="auto"/>
              <w:left w:val="nil"/>
              <w:bottom w:val="nil"/>
            </w:tcBorders>
            <w:tcMar>
              <w:left w:w="0" w:type="dxa"/>
            </w:tcMar>
          </w:tcPr>
          <w:p w14:paraId="1A843783" w14:textId="77777777" w:rsidR="00171824" w:rsidRDefault="006D258C">
            <w:pPr>
              <w:rPr>
                <w:b/>
                <w:bCs/>
                <w:sz w:val="22"/>
                <w:szCs w:val="22"/>
                <w:lang w:val="el-GR"/>
              </w:rPr>
            </w:pPr>
            <w:r>
              <w:rPr>
                <w:sz w:val="22"/>
                <w:szCs w:val="22"/>
                <w:lang w:val="el-GR"/>
              </w:rPr>
              <w:t xml:space="preserve">Μπορεί να χρειαστούν έως και </w:t>
            </w:r>
            <w:r>
              <w:rPr>
                <w:b/>
                <w:bCs/>
                <w:sz w:val="22"/>
                <w:szCs w:val="22"/>
                <w:lang w:val="el-GR"/>
              </w:rPr>
              <w:t>15</w:t>
            </w:r>
            <w:r>
              <w:rPr>
                <w:sz w:val="22"/>
                <w:szCs w:val="22"/>
                <w:lang w:val="el-GR"/>
              </w:rPr>
              <w:t xml:space="preserve"> δευτερόλεπτα για να ολοκληρωθεί η ένεση. </w:t>
            </w:r>
          </w:p>
        </w:tc>
      </w:tr>
      <w:tr w:rsidR="00171824" w:rsidRPr="00A07F46" w14:paraId="6E4506F4" w14:textId="77777777">
        <w:trPr>
          <w:cantSplit/>
          <w:trHeight w:val="57"/>
        </w:trPr>
        <w:tc>
          <w:tcPr>
            <w:tcW w:w="383" w:type="pct"/>
            <w:tcBorders>
              <w:top w:val="nil"/>
              <w:bottom w:val="nil"/>
              <w:right w:val="nil"/>
            </w:tcBorders>
            <w:tcMar>
              <w:top w:w="28" w:type="dxa"/>
              <w:left w:w="57" w:type="dxa"/>
              <w:bottom w:w="28" w:type="dxa"/>
              <w:right w:w="57" w:type="dxa"/>
            </w:tcMar>
          </w:tcPr>
          <w:p w14:paraId="391E7620"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nil"/>
            </w:tcBorders>
            <w:tcMar>
              <w:left w:w="0" w:type="dxa"/>
            </w:tcMar>
          </w:tcPr>
          <w:p w14:paraId="60A67E38" w14:textId="77777777" w:rsidR="00171824" w:rsidRDefault="006D258C">
            <w:pPr>
              <w:rPr>
                <w:b/>
                <w:bCs/>
                <w:sz w:val="22"/>
                <w:szCs w:val="22"/>
                <w:lang w:val="el-GR"/>
              </w:rPr>
            </w:pPr>
            <w:r>
              <w:rPr>
                <w:sz w:val="22"/>
                <w:szCs w:val="22"/>
                <w:lang w:val="el-GR"/>
              </w:rPr>
              <w:t xml:space="preserve">Μπορεί να ακούσετε ή να αισθανθείτε ένα κλικ.  </w:t>
            </w:r>
          </w:p>
        </w:tc>
      </w:tr>
      <w:tr w:rsidR="00171824" w:rsidRPr="00A07F46" w14:paraId="09927FE5" w14:textId="77777777">
        <w:trPr>
          <w:cantSplit/>
          <w:trHeight w:val="57"/>
        </w:trPr>
        <w:tc>
          <w:tcPr>
            <w:tcW w:w="383" w:type="pct"/>
            <w:tcBorders>
              <w:top w:val="nil"/>
              <w:bottom w:val="nil"/>
              <w:right w:val="nil"/>
            </w:tcBorders>
            <w:tcMar>
              <w:top w:w="28" w:type="dxa"/>
              <w:left w:w="57" w:type="dxa"/>
              <w:bottom w:w="28" w:type="dxa"/>
              <w:right w:w="57" w:type="dxa"/>
            </w:tcMar>
          </w:tcPr>
          <w:p w14:paraId="6928ABF5"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nil"/>
            </w:tcBorders>
            <w:tcMar>
              <w:left w:w="0" w:type="dxa"/>
            </w:tcMar>
          </w:tcPr>
          <w:p w14:paraId="5859D6CE" w14:textId="77777777" w:rsidR="00171824" w:rsidRDefault="006D258C">
            <w:pPr>
              <w:rPr>
                <w:b/>
                <w:bCs/>
                <w:sz w:val="22"/>
                <w:szCs w:val="22"/>
                <w:lang w:val="el-GR"/>
              </w:rPr>
            </w:pPr>
            <w:r>
              <w:rPr>
                <w:sz w:val="22"/>
                <w:szCs w:val="22"/>
                <w:lang w:val="el-GR"/>
              </w:rPr>
              <w:t>Σηκώστε την προγεμισμένη συσκευή τύπου πένας μακριά από το δέρμα σας.</w:t>
            </w:r>
          </w:p>
        </w:tc>
      </w:tr>
      <w:tr w:rsidR="00171824" w:rsidRPr="00A07F46" w14:paraId="75023DEB" w14:textId="77777777">
        <w:trPr>
          <w:cantSplit/>
          <w:trHeight w:val="57"/>
        </w:trPr>
        <w:tc>
          <w:tcPr>
            <w:tcW w:w="383" w:type="pct"/>
            <w:tcBorders>
              <w:top w:val="nil"/>
              <w:bottom w:val="nil"/>
              <w:right w:val="nil"/>
            </w:tcBorders>
            <w:tcMar>
              <w:top w:w="28" w:type="dxa"/>
              <w:left w:w="57" w:type="dxa"/>
              <w:bottom w:w="28" w:type="dxa"/>
              <w:right w:w="57" w:type="dxa"/>
            </w:tcMar>
          </w:tcPr>
          <w:p w14:paraId="54412C9D"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nil"/>
            </w:tcBorders>
            <w:tcMar>
              <w:left w:w="0" w:type="dxa"/>
            </w:tcMar>
          </w:tcPr>
          <w:p w14:paraId="63595441" w14:textId="77777777" w:rsidR="00171824" w:rsidRDefault="006D258C">
            <w:pPr>
              <w:tabs>
                <w:tab w:val="left" w:pos="1134"/>
              </w:tabs>
              <w:rPr>
                <w:sz w:val="22"/>
                <w:szCs w:val="22"/>
                <w:lang w:val="el-GR"/>
              </w:rPr>
            </w:pPr>
            <w:r>
              <w:rPr>
                <w:sz w:val="22"/>
                <w:szCs w:val="22"/>
                <w:lang w:val="el-GR"/>
              </w:rPr>
              <w:t>Το κρεμ προστατευτικό κάλυμμα ασφαλείας ασφαλίζει γύρω από τη βελόνα.</w:t>
            </w:r>
          </w:p>
        </w:tc>
      </w:tr>
      <w:tr w:rsidR="00171824" w:rsidRPr="00A07F46" w14:paraId="28D304CF"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20E4752" w14:textId="3CC1065A" w:rsidR="00171824" w:rsidRDefault="009039B7">
            <w:pPr>
              <w:tabs>
                <w:tab w:val="left" w:pos="1134"/>
              </w:tabs>
              <w:rPr>
                <w:sz w:val="22"/>
                <w:szCs w:val="22"/>
                <w:lang w:val="el-GR"/>
              </w:rPr>
            </w:pPr>
            <w:r>
              <w:rPr>
                <w:noProof/>
              </w:rPr>
              <mc:AlternateContent>
                <mc:Choice Requires="wps">
                  <w:drawing>
                    <wp:anchor distT="45720" distB="45720" distL="114300" distR="114300" simplePos="0" relativeHeight="251667456" behindDoc="0" locked="0" layoutInCell="1" allowOverlap="1" wp14:anchorId="7CA2530E" wp14:editId="3DF00A1E">
                      <wp:simplePos x="0" y="0"/>
                      <wp:positionH relativeFrom="column">
                        <wp:posOffset>74295</wp:posOffset>
                      </wp:positionH>
                      <wp:positionV relativeFrom="paragraph">
                        <wp:posOffset>41910</wp:posOffset>
                      </wp:positionV>
                      <wp:extent cx="5491480" cy="678815"/>
                      <wp:effectExtent l="0" t="0" r="0" b="6985"/>
                      <wp:wrapSquare wrapText="bothSides"/>
                      <wp:docPr id="106740724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78815"/>
                              </a:xfrm>
                              <a:prstGeom prst="rect">
                                <a:avLst/>
                              </a:prstGeom>
                              <a:solidFill>
                                <a:srgbClr val="FFFFFF"/>
                              </a:solidFill>
                              <a:ln w="19050">
                                <a:solidFill>
                                  <a:srgbClr val="FF0000"/>
                                </a:solidFill>
                                <a:miter lim="800000"/>
                              </a:ln>
                            </wps:spPr>
                            <wps:txbx>
                              <w:txbxContent>
                                <w:p w14:paraId="6EBFA1CB" w14:textId="77777777" w:rsidR="00171824" w:rsidRDefault="006D258C">
                                  <w:pPr>
                                    <w:rPr>
                                      <w:sz w:val="22"/>
                                      <w:szCs w:val="22"/>
                                      <w:lang w:val="el-GR"/>
                                    </w:rPr>
                                  </w:pPr>
                                  <w:r>
                                    <w:rPr>
                                      <w:b/>
                                      <w:sz w:val="22"/>
                                      <w:szCs w:val="22"/>
                                      <w:lang w:val="el-GR"/>
                                    </w:rPr>
                                    <w:t>Σημαντικό:</w:t>
                                  </w:r>
                                  <w:r>
                                    <w:rPr>
                                      <w:sz w:val="22"/>
                                      <w:szCs w:val="22"/>
                                      <w:lang w:val="el-GR"/>
                                    </w:rPr>
                                    <w:t xml:space="preserve"> Εάν το παράθυρο δεν γίνει </w:t>
                                  </w:r>
                                  <w:ins w:id="391" w:author="Author">
                                    <w:r>
                                      <w:rPr>
                                        <w:sz w:val="22"/>
                                        <w:szCs w:val="22"/>
                                        <w:lang w:val="el-GR"/>
                                      </w:rPr>
                                      <w:t xml:space="preserve">εντελώς </w:t>
                                    </w:r>
                                  </w:ins>
                                  <w:r>
                                    <w:rPr>
                                      <w:sz w:val="22"/>
                                      <w:szCs w:val="22"/>
                                      <w:lang w:val="el-GR"/>
                                    </w:rPr>
                                    <w:t xml:space="preserve">κίτρινο ή φαίνεται ότι το φάρμακο εξακολουθεί να βγαίνει, δεν λάβατε μια πλήρη δόση. </w:t>
                                  </w:r>
                                  <w:del w:id="392" w:author="Author">
                                    <w:r>
                                      <w:rPr>
                                        <w:sz w:val="22"/>
                                        <w:szCs w:val="22"/>
                                        <w:lang w:val="el-GR"/>
                                      </w:rPr>
                                      <w:delText xml:space="preserve"> </w:delText>
                                    </w:r>
                                  </w:del>
                                  <w:r>
                                    <w:rPr>
                                      <w:sz w:val="22"/>
                                      <w:szCs w:val="22"/>
                                      <w:lang w:val="el-GR"/>
                                    </w:rPr>
                                    <w:t>Καλέστε αμέσως τον γιατρό σας ή τον πάροχο υγειονομικής περίθαλψης.</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CA2530E" id="Text Box 26" o:spid="_x0000_s1049" type="#_x0000_t202" style="position:absolute;margin-left:5.85pt;margin-top:3.3pt;width:432.4pt;height:53.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" strokecolor="red" strokeweight="1.5pt">
                      <v:textbox>
                        <w:txbxContent>
                          <w:p w14:paraId="6EBFA1CB" w14:textId="77777777" w:rsidR="00171824" w:rsidRDefault="006D258C">
                            <w:pPr>
                              <w:rPr>
                                <w:sz w:val="22"/>
                                <w:szCs w:val="22"/>
                                <w:lang w:val="el-GR"/>
                              </w:rPr>
                            </w:pPr>
                            <w:r>
                              <w:rPr>
                                <w:b/>
                                <w:sz w:val="22"/>
                                <w:szCs w:val="22"/>
                                <w:lang w:val="el-GR"/>
                              </w:rPr>
                              <w:t>Σημαντικό:</w:t>
                            </w:r>
                            <w:r>
                              <w:rPr>
                                <w:sz w:val="22"/>
                                <w:szCs w:val="22"/>
                                <w:lang w:val="el-GR"/>
                              </w:rPr>
                              <w:t xml:space="preserve"> Εάν το παράθυρο δεν γίνει </w:t>
                            </w:r>
                            <w:ins w:id="2048" w:author="Author">
                              <w:r>
                                <w:rPr>
                                  <w:sz w:val="22"/>
                                  <w:szCs w:val="22"/>
                                  <w:lang w:val="el-GR"/>
                                </w:rPr>
                                <w:t xml:space="preserve">εντελώς </w:t>
                              </w:r>
                            </w:ins>
                            <w:r>
                              <w:rPr>
                                <w:sz w:val="22"/>
                                <w:szCs w:val="22"/>
                                <w:lang w:val="el-GR"/>
                              </w:rPr>
                              <w:t xml:space="preserve">κίτρινο ή φαίνεται ότι το φάρμακο εξακολουθεί να βγαίνει, δεν λάβατε μια πλήρη δόση. </w:t>
                            </w:r>
                            <w:del w:id="2049" w:author="Author">
                              <w:r>
                                <w:rPr>
                                  <w:sz w:val="22"/>
                                  <w:szCs w:val="22"/>
                                  <w:lang w:val="el-GR"/>
                                </w:rPr>
                                <w:delText xml:space="preserve"> </w:delText>
                              </w:r>
                            </w:del>
                            <w:r>
                              <w:rPr>
                                <w:sz w:val="22"/>
                                <w:szCs w:val="22"/>
                                <w:lang w:val="el-GR"/>
                              </w:rPr>
                              <w:t>Καλέστε αμέσως τον γιατρό σας ή τον πάροχο υγειονομικής περίθαλψης.</w:t>
                            </w:r>
                          </w:p>
                        </w:txbxContent>
                      </v:textbox>
                      <w10:wrap type="square"/>
                    </v:shape>
                  </w:pict>
                </mc:Fallback>
              </mc:AlternateContent>
            </w:r>
          </w:p>
        </w:tc>
      </w:tr>
    </w:tbl>
    <w:p w14:paraId="426C41F4" w14:textId="77777777" w:rsidR="00171824" w:rsidRDefault="00171824">
      <w:pPr>
        <w:tabs>
          <w:tab w:val="left" w:pos="1134"/>
        </w:tabs>
        <w:rPr>
          <w:sz w:val="22"/>
          <w:szCs w:val="22"/>
          <w:lang w:val="el-GR"/>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171824" w:rsidRPr="00A07F46" w14:paraId="3C713C91" w14:textId="77777777">
        <w:trPr>
          <w:cantSplit/>
          <w:trHeight w:val="57"/>
        </w:trPr>
        <w:tc>
          <w:tcPr>
            <w:tcW w:w="383" w:type="pct"/>
            <w:tcBorders>
              <w:bottom w:val="single" w:sz="4" w:space="0" w:color="auto"/>
            </w:tcBorders>
            <w:tcMar>
              <w:top w:w="28" w:type="dxa"/>
              <w:left w:w="57" w:type="dxa"/>
              <w:bottom w:w="28" w:type="dxa"/>
              <w:right w:w="57" w:type="dxa"/>
            </w:tcMar>
          </w:tcPr>
          <w:p w14:paraId="4E2B15CA" w14:textId="77777777" w:rsidR="00171824" w:rsidRDefault="006D258C">
            <w:pPr>
              <w:keepNext/>
              <w:tabs>
                <w:tab w:val="left" w:pos="546"/>
              </w:tabs>
              <w:rPr>
                <w:sz w:val="22"/>
                <w:szCs w:val="22"/>
                <w:lang w:val="el-GR"/>
              </w:rPr>
            </w:pPr>
            <w:r>
              <w:rPr>
                <w:b/>
                <w:sz w:val="22"/>
                <w:szCs w:val="22"/>
                <w:lang w:val="el-GR"/>
              </w:rPr>
              <w:lastRenderedPageBreak/>
              <w:t>5</w:t>
            </w:r>
          </w:p>
        </w:tc>
        <w:tc>
          <w:tcPr>
            <w:tcW w:w="4617" w:type="pct"/>
            <w:tcBorders>
              <w:bottom w:val="single" w:sz="4" w:space="0" w:color="auto"/>
            </w:tcBorders>
          </w:tcPr>
          <w:p w14:paraId="65EFD2A7" w14:textId="77777777" w:rsidR="00171824" w:rsidRDefault="006D258C">
            <w:pPr>
              <w:keepNext/>
              <w:tabs>
                <w:tab w:val="left" w:pos="546"/>
              </w:tabs>
              <w:rPr>
                <w:sz w:val="22"/>
                <w:szCs w:val="22"/>
                <w:lang w:val="el-GR"/>
              </w:rPr>
            </w:pPr>
            <w:r>
              <w:rPr>
                <w:b/>
                <w:sz w:val="22"/>
                <w:szCs w:val="22"/>
                <w:lang w:val="el-GR"/>
              </w:rPr>
              <w:t xml:space="preserve">Πώς να </w:t>
            </w:r>
            <w:del w:id="393" w:author="Author">
              <w:r>
                <w:rPr>
                  <w:b/>
                  <w:sz w:val="22"/>
                  <w:szCs w:val="22"/>
                  <w:lang w:val="el-GR"/>
                </w:rPr>
                <w:delText xml:space="preserve">ολοκληρώσετε τη διαδικασία και να </w:delText>
              </w:r>
            </w:del>
            <w:r>
              <w:rPr>
                <w:b/>
                <w:sz w:val="22"/>
                <w:szCs w:val="22"/>
                <w:lang w:val="el-GR"/>
              </w:rPr>
              <w:t>απορρίψετε το AMGEVITA</w:t>
            </w:r>
            <w:ins w:id="394" w:author="Author">
              <w:r>
                <w:rPr>
                  <w:b/>
                  <w:sz w:val="22"/>
                  <w:szCs w:val="22"/>
                  <w:lang w:val="el-GR"/>
                </w:rPr>
                <w:t xml:space="preserve"> και να ελέγξετε τη θέση της ένεσης</w:t>
              </w:r>
            </w:ins>
          </w:p>
        </w:tc>
      </w:tr>
      <w:tr w:rsidR="00171824" w14:paraId="6858969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F2D4FBB" w14:textId="3FD2A569" w:rsidR="00171824" w:rsidRDefault="009039B7">
            <w:pPr>
              <w:pStyle w:val="ListParagraph"/>
              <w:tabs>
                <w:tab w:val="left" w:pos="0"/>
              </w:tabs>
              <w:jc w:val="center"/>
              <w:rPr>
                <w:b/>
                <w:bCs/>
                <w:sz w:val="22"/>
                <w:szCs w:val="22"/>
                <w:lang w:val="el-GR"/>
              </w:rPr>
            </w:pPr>
            <w:r>
              <w:rPr>
                <w:noProof/>
                <w:sz w:val="22"/>
                <w:szCs w:val="22"/>
                <w:lang w:val="el-GR" w:eastAsia="zh-CN"/>
              </w:rPr>
              <w:drawing>
                <wp:inline distT="0" distB="0" distL="0" distR="0" wp14:anchorId="6FAB9D35" wp14:editId="4174FB1F">
                  <wp:extent cx="2743200" cy="1731645"/>
                  <wp:effectExtent l="0" t="0" r="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43200" cy="1731645"/>
                          </a:xfrm>
                          <a:prstGeom prst="rect">
                            <a:avLst/>
                          </a:prstGeom>
                          <a:noFill/>
                          <a:ln>
                            <a:noFill/>
                          </a:ln>
                        </pic:spPr>
                      </pic:pic>
                    </a:graphicData>
                  </a:graphic>
                </wp:inline>
              </w:drawing>
            </w:r>
          </w:p>
        </w:tc>
      </w:tr>
      <w:tr w:rsidR="00171824" w14:paraId="7F7D10C1"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29962102" w14:textId="2908EE66" w:rsidR="00171824" w:rsidRDefault="009039B7">
            <w:pPr>
              <w:rPr>
                <w:sz w:val="22"/>
                <w:szCs w:val="22"/>
                <w:lang w:val="el-GR"/>
              </w:rPr>
            </w:pPr>
            <w:r>
              <w:rPr>
                <w:noProof/>
              </w:rPr>
              <mc:AlternateContent>
                <mc:Choice Requires="wps">
                  <w:drawing>
                    <wp:anchor distT="45720" distB="45720" distL="114300" distR="114300" simplePos="0" relativeHeight="251663360" behindDoc="0" locked="0" layoutInCell="1" allowOverlap="1" wp14:anchorId="7861B211" wp14:editId="0404038D">
                      <wp:simplePos x="0" y="0"/>
                      <wp:positionH relativeFrom="margin">
                        <wp:posOffset>-2540</wp:posOffset>
                      </wp:positionH>
                      <wp:positionV relativeFrom="paragraph">
                        <wp:posOffset>18415</wp:posOffset>
                      </wp:positionV>
                      <wp:extent cx="5566410" cy="271145"/>
                      <wp:effectExtent l="0" t="0" r="0" b="0"/>
                      <wp:wrapSquare wrapText="bothSides"/>
                      <wp:docPr id="57860232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762926AE" w14:textId="77777777" w:rsidR="00171824" w:rsidRDefault="006D258C">
                                  <w:pPr>
                                    <w:tabs>
                                      <w:tab w:val="left" w:pos="1134"/>
                                    </w:tabs>
                                    <w:rPr>
                                      <w:sz w:val="22"/>
                                      <w:szCs w:val="22"/>
                                      <w:lang w:val="el-GR"/>
                                    </w:rPr>
                                  </w:pPr>
                                  <w:r>
                                    <w:rPr>
                                      <w:b/>
                                      <w:sz w:val="22"/>
                                      <w:szCs w:val="22"/>
                                      <w:lang w:val="el-GR"/>
                                    </w:rPr>
                                    <w:t xml:space="preserve">Σημαντικό: </w:t>
                                  </w:r>
                                  <w:r>
                                    <w:rPr>
                                      <w:sz w:val="22"/>
                                      <w:szCs w:val="22"/>
                                      <w:lang w:val="el-GR"/>
                                    </w:rPr>
                                    <w:t>Μην πετάτε την προγεμισμένη συσκευή τύπου πένας στα οικιακά απορρίμματα.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861B211" id="Text Box 25" o:spid="_x0000_s1050" type="#_x0000_t202" style="position:absolute;margin-left:-.2pt;margin-top:1.45pt;width:438.3pt;height:21.35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YZffWAgCAAAQBAAADgAA&#10;AAAAAAAAAAAAAAAuAgAAZHJzL2Uyb0RvYy54bWxQSwECLQAUAAYACAAAACEAYnhH1tsAAAAGAQAA&#10;DwAAAAAAAAAAAAAAAABiBAAAZHJzL2Rvd25yZXYueG1sUEsFBgAAAAAEAAQA8wAAAGoFAAAAAA==&#10;" strokecolor="red" strokeweight="1.5pt">
                      <v:textbox style="mso-fit-shape-to-text:t">
                        <w:txbxContent>
                          <w:p w14:paraId="762926AE" w14:textId="77777777" w:rsidR="00171824" w:rsidRDefault="006D258C">
                            <w:pPr>
                              <w:tabs>
                                <w:tab w:val="left" w:pos="1134"/>
                              </w:tabs>
                              <w:rPr>
                                <w:sz w:val="22"/>
                                <w:szCs w:val="22"/>
                                <w:lang w:val="el-GR"/>
                              </w:rPr>
                            </w:pPr>
                            <w:r>
                              <w:rPr>
                                <w:b/>
                                <w:sz w:val="22"/>
                                <w:szCs w:val="22"/>
                                <w:lang w:val="el-GR"/>
                              </w:rPr>
                              <w:t xml:space="preserve">Σημαντικό: </w:t>
                            </w:r>
                            <w:r>
                              <w:rPr>
                                <w:sz w:val="22"/>
                                <w:szCs w:val="22"/>
                                <w:lang w:val="el-GR"/>
                              </w:rPr>
                              <w:t>Μην πετάτε την προγεμισμένη συσκευή τύπου πένας στα οικιακά απορρίμματα.</w:t>
                            </w:r>
                          </w:p>
                        </w:txbxContent>
                      </v:textbox>
                      <w10:wrap type="square" anchorx="margin"/>
                    </v:shape>
                  </w:pict>
                </mc:Fallback>
              </mc:AlternateContent>
            </w:r>
          </w:p>
        </w:tc>
      </w:tr>
      <w:tr w:rsidR="00171824" w:rsidRPr="00A07F46" w14:paraId="781B727B"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BF8C3CE" w14:textId="77777777" w:rsidR="00171824" w:rsidRDefault="006D258C">
            <w:pPr>
              <w:rPr>
                <w:b/>
                <w:bCs/>
                <w:sz w:val="22"/>
                <w:szCs w:val="22"/>
                <w:lang w:val="el-GR"/>
              </w:rPr>
            </w:pPr>
            <w:r>
              <w:rPr>
                <w:b/>
                <w:sz w:val="22"/>
                <w:szCs w:val="22"/>
                <w:lang w:val="el-GR"/>
              </w:rPr>
              <w:t>5α</w:t>
            </w:r>
          </w:p>
        </w:tc>
        <w:tc>
          <w:tcPr>
            <w:tcW w:w="4617" w:type="pct"/>
            <w:tcBorders>
              <w:top w:val="single" w:sz="4" w:space="0" w:color="auto"/>
              <w:left w:val="single" w:sz="4" w:space="0" w:color="auto"/>
              <w:bottom w:val="single" w:sz="4" w:space="0" w:color="auto"/>
            </w:tcBorders>
            <w:tcMar>
              <w:left w:w="0" w:type="dxa"/>
            </w:tcMar>
          </w:tcPr>
          <w:p w14:paraId="117CB43E" w14:textId="77777777" w:rsidR="00171824" w:rsidRDefault="006D258C">
            <w:pPr>
              <w:rPr>
                <w:b/>
                <w:bCs/>
                <w:sz w:val="22"/>
                <w:szCs w:val="22"/>
                <w:lang w:val="el-GR"/>
              </w:rPr>
            </w:pPr>
            <w:r>
              <w:rPr>
                <w:b/>
                <w:sz w:val="22"/>
                <w:szCs w:val="22"/>
                <w:lang w:val="el-GR"/>
              </w:rPr>
              <w:t xml:space="preserve">Τοποθετήστε τη χρησιμοποιημένη προγεμισμένη συσκευή τύπου πένας και το κίτρινο κάλυμμα </w:t>
            </w:r>
            <w:del w:id="395" w:author="Author">
              <w:r>
                <w:rPr>
                  <w:b/>
                  <w:sz w:val="22"/>
                  <w:szCs w:val="22"/>
                  <w:lang w:val="el-GR"/>
                </w:rPr>
                <w:delText xml:space="preserve">στο </w:delText>
              </w:r>
            </w:del>
            <w:ins w:id="396" w:author="Author">
              <w:r>
                <w:rPr>
                  <w:b/>
                  <w:sz w:val="22"/>
                  <w:szCs w:val="22"/>
                  <w:lang w:val="el-GR"/>
                </w:rPr>
                <w:t xml:space="preserve">σε ένα </w:t>
              </w:r>
            </w:ins>
            <w:r>
              <w:rPr>
                <w:b/>
                <w:sz w:val="22"/>
                <w:szCs w:val="22"/>
                <w:lang w:val="el-GR"/>
              </w:rPr>
              <w:t>δοχείο απόρριψης αιχμηρών αντικειμένων</w:t>
            </w:r>
            <w:ins w:id="397" w:author="Author">
              <w:r>
                <w:rPr>
                  <w:b/>
                  <w:sz w:val="22"/>
                  <w:szCs w:val="22"/>
                  <w:lang w:val="el-GR"/>
                </w:rPr>
                <w:t xml:space="preserve"> αμέσως μετά τη χρήση</w:t>
              </w:r>
            </w:ins>
            <w:r>
              <w:rPr>
                <w:b/>
                <w:sz w:val="22"/>
                <w:szCs w:val="22"/>
                <w:lang w:val="el-GR"/>
              </w:rPr>
              <w:t>.</w:t>
            </w:r>
          </w:p>
        </w:tc>
      </w:tr>
      <w:tr w:rsidR="00171824" w:rsidRPr="00A07F46" w14:paraId="2EE0D1F4"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5003CF38"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single" w:sz="4" w:space="0" w:color="auto"/>
              <w:left w:val="nil"/>
              <w:bottom w:val="nil"/>
            </w:tcBorders>
            <w:tcMar>
              <w:left w:w="0" w:type="dxa"/>
            </w:tcMar>
          </w:tcPr>
          <w:p w14:paraId="3D317EF8" w14:textId="77777777" w:rsidR="00171824" w:rsidRDefault="006D258C">
            <w:pPr>
              <w:rPr>
                <w:b/>
                <w:bCs/>
                <w:sz w:val="22"/>
                <w:szCs w:val="22"/>
                <w:lang w:val="el-GR"/>
              </w:rPr>
            </w:pPr>
            <w:r>
              <w:rPr>
                <w:b/>
                <w:bCs/>
                <w:sz w:val="22"/>
                <w:szCs w:val="22"/>
                <w:lang w:val="el-GR"/>
              </w:rPr>
              <w:t>Μη</w:t>
            </w:r>
            <w:r>
              <w:rPr>
                <w:sz w:val="22"/>
                <w:szCs w:val="22"/>
                <w:lang w:val="el-GR"/>
              </w:rPr>
              <w:t xml:space="preserve"> χρησιμοποιήσετε ξανά την προγεμισμένη συσκευή τύπου πένας.</w:t>
            </w:r>
          </w:p>
        </w:tc>
      </w:tr>
      <w:tr w:rsidR="00171824" w:rsidRPr="00A07F46" w14:paraId="63366AF7" w14:textId="77777777" w:rsidTr="00422380">
        <w:trPr>
          <w:cantSplit/>
          <w:trHeight w:val="57"/>
        </w:trPr>
        <w:tc>
          <w:tcPr>
            <w:tcW w:w="383" w:type="pct"/>
            <w:tcBorders>
              <w:top w:val="nil"/>
              <w:bottom w:val="single" w:sz="4" w:space="0" w:color="auto"/>
              <w:right w:val="nil"/>
            </w:tcBorders>
            <w:tcMar>
              <w:top w:w="28" w:type="dxa"/>
              <w:left w:w="57" w:type="dxa"/>
              <w:bottom w:w="28" w:type="dxa"/>
              <w:right w:w="57" w:type="dxa"/>
            </w:tcMar>
          </w:tcPr>
          <w:p w14:paraId="01E339AA"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single" w:sz="4" w:space="0" w:color="auto"/>
            </w:tcBorders>
            <w:tcMar>
              <w:left w:w="0" w:type="dxa"/>
            </w:tcMar>
          </w:tcPr>
          <w:p w14:paraId="0527CED5" w14:textId="77777777" w:rsidR="00171824" w:rsidRDefault="006D258C">
            <w:pPr>
              <w:rPr>
                <w:b/>
                <w:bCs/>
                <w:sz w:val="22"/>
                <w:szCs w:val="22"/>
                <w:lang w:val="el-GR"/>
              </w:rPr>
            </w:pPr>
            <w:r>
              <w:rPr>
                <w:b/>
                <w:bCs/>
                <w:sz w:val="22"/>
                <w:szCs w:val="22"/>
                <w:lang w:val="el-GR"/>
              </w:rPr>
              <w:t>Μην</w:t>
            </w:r>
            <w:r>
              <w:rPr>
                <w:sz w:val="22"/>
                <w:szCs w:val="22"/>
                <w:lang w:val="el-GR"/>
              </w:rPr>
              <w:t xml:space="preserve"> αγγίζετε το κρεμ προστατευτικό κάλυμμα ασφαλείας.</w:t>
            </w:r>
          </w:p>
        </w:tc>
      </w:tr>
      <w:tr w:rsidR="00171824" w:rsidRPr="00A07F46" w14:paraId="63575C5B" w14:textId="77777777" w:rsidTr="00422380">
        <w:trPr>
          <w:cantSplit/>
          <w:trHeight w:val="57"/>
          <w:ins w:id="398" w:author="Author"/>
        </w:trPr>
        <w:tc>
          <w:tcPr>
            <w:tcW w:w="383" w:type="pct"/>
            <w:tcBorders>
              <w:top w:val="single" w:sz="4" w:space="0" w:color="auto"/>
              <w:left w:val="nil"/>
              <w:bottom w:val="single" w:sz="4" w:space="0" w:color="auto"/>
              <w:right w:val="nil"/>
            </w:tcBorders>
            <w:tcMar>
              <w:top w:w="28" w:type="dxa"/>
              <w:left w:w="57" w:type="dxa"/>
              <w:bottom w:w="28" w:type="dxa"/>
              <w:right w:w="57" w:type="dxa"/>
            </w:tcMar>
          </w:tcPr>
          <w:p w14:paraId="39B26F4C" w14:textId="77777777" w:rsidR="00171824" w:rsidRDefault="00171824" w:rsidP="00422380">
            <w:pPr>
              <w:widowControl/>
              <w:autoSpaceDE/>
              <w:autoSpaceDN/>
              <w:adjustRightInd/>
              <w:rPr>
                <w:ins w:id="399" w:author="Author"/>
                <w:sz w:val="22"/>
                <w:szCs w:val="22"/>
                <w:lang w:val="el-GR"/>
              </w:rPr>
            </w:pPr>
          </w:p>
        </w:tc>
        <w:tc>
          <w:tcPr>
            <w:tcW w:w="4617" w:type="pct"/>
            <w:tcBorders>
              <w:top w:val="single" w:sz="4" w:space="0" w:color="auto"/>
              <w:left w:val="nil"/>
              <w:bottom w:val="single" w:sz="4" w:space="0" w:color="auto"/>
              <w:right w:val="nil"/>
            </w:tcBorders>
            <w:tcMar>
              <w:left w:w="0" w:type="dxa"/>
            </w:tcMar>
          </w:tcPr>
          <w:p w14:paraId="0D647E8B" w14:textId="77777777" w:rsidR="00171824" w:rsidRDefault="00171824">
            <w:pPr>
              <w:rPr>
                <w:ins w:id="400" w:author="Author"/>
                <w:b/>
                <w:bCs/>
                <w:sz w:val="22"/>
                <w:szCs w:val="22"/>
                <w:lang w:val="el-GR"/>
              </w:rPr>
            </w:pPr>
          </w:p>
        </w:tc>
      </w:tr>
      <w:tr w:rsidR="00171824" w:rsidRPr="00A07F46" w14:paraId="65437065" w14:textId="77777777" w:rsidTr="00422380">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297F024D" w14:textId="77777777" w:rsidR="00171824" w:rsidRDefault="006D258C">
            <w:pPr>
              <w:rPr>
                <w:sz w:val="22"/>
                <w:szCs w:val="22"/>
                <w:lang w:val="el-GR"/>
              </w:rPr>
            </w:pPr>
            <w:r>
              <w:rPr>
                <w:b/>
                <w:sz w:val="22"/>
                <w:szCs w:val="22"/>
                <w:lang w:val="el-GR"/>
              </w:rPr>
              <w:t>5β</w:t>
            </w:r>
          </w:p>
        </w:tc>
        <w:tc>
          <w:tcPr>
            <w:tcW w:w="4617" w:type="pct"/>
            <w:tcBorders>
              <w:top w:val="single" w:sz="4" w:space="0" w:color="auto"/>
              <w:left w:val="single" w:sz="4" w:space="0" w:color="auto"/>
              <w:bottom w:val="single" w:sz="4" w:space="0" w:color="auto"/>
            </w:tcBorders>
            <w:tcMar>
              <w:left w:w="0" w:type="dxa"/>
            </w:tcMar>
          </w:tcPr>
          <w:p w14:paraId="08880564" w14:textId="77777777" w:rsidR="00171824" w:rsidRDefault="006D258C">
            <w:pPr>
              <w:rPr>
                <w:b/>
                <w:bCs/>
                <w:sz w:val="22"/>
                <w:szCs w:val="22"/>
                <w:lang w:val="el-GR"/>
              </w:rPr>
            </w:pPr>
            <w:r>
              <w:rPr>
                <w:b/>
                <w:sz w:val="22"/>
                <w:szCs w:val="22"/>
                <w:lang w:val="el-GR"/>
              </w:rPr>
              <w:t>Ελέγξτε τη θέση της ένεσης.</w:t>
            </w:r>
          </w:p>
        </w:tc>
      </w:tr>
      <w:tr w:rsidR="00171824" w:rsidRPr="00A07F46" w14:paraId="0CA11339"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73BACD4"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single" w:sz="4" w:space="0" w:color="auto"/>
              <w:left w:val="nil"/>
              <w:bottom w:val="nil"/>
            </w:tcBorders>
            <w:tcMar>
              <w:left w:w="0" w:type="dxa"/>
            </w:tcMar>
          </w:tcPr>
          <w:p w14:paraId="77622E8F" w14:textId="77777777" w:rsidR="00171824" w:rsidRDefault="006D258C">
            <w:pPr>
              <w:rPr>
                <w:b/>
                <w:bCs/>
                <w:sz w:val="22"/>
                <w:szCs w:val="22"/>
                <w:lang w:val="el-GR"/>
              </w:rPr>
            </w:pPr>
            <w:r>
              <w:rPr>
                <w:b/>
                <w:bCs/>
                <w:sz w:val="22"/>
                <w:szCs w:val="22"/>
                <w:lang w:val="el-GR"/>
              </w:rPr>
              <w:t>Μην</w:t>
            </w:r>
            <w:r>
              <w:rPr>
                <w:sz w:val="22"/>
                <w:szCs w:val="22"/>
                <w:lang w:val="el-GR"/>
              </w:rPr>
              <w:t xml:space="preserve"> τρίβετε τη θέση της ένεσης. </w:t>
            </w:r>
          </w:p>
        </w:tc>
      </w:tr>
      <w:tr w:rsidR="00171824" w14:paraId="1E9E046E"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1A6B1B25" w14:textId="77777777" w:rsidR="00171824" w:rsidRDefault="00171824">
            <w:pPr>
              <w:widowControl/>
              <w:numPr>
                <w:ilvl w:val="0"/>
                <w:numId w:val="36"/>
              </w:numPr>
              <w:autoSpaceDE/>
              <w:autoSpaceDN/>
              <w:adjustRightInd/>
              <w:ind w:left="567" w:hanging="567"/>
              <w:rPr>
                <w:sz w:val="22"/>
                <w:szCs w:val="22"/>
                <w:lang w:val="el-GR"/>
              </w:rPr>
            </w:pPr>
          </w:p>
        </w:tc>
        <w:tc>
          <w:tcPr>
            <w:tcW w:w="4617" w:type="pct"/>
            <w:tcBorders>
              <w:top w:val="nil"/>
              <w:left w:val="nil"/>
              <w:bottom w:val="single" w:sz="4" w:space="0" w:color="auto"/>
            </w:tcBorders>
            <w:tcMar>
              <w:left w:w="0" w:type="dxa"/>
            </w:tcMar>
          </w:tcPr>
          <w:p w14:paraId="19FD1F14" w14:textId="77777777" w:rsidR="00171824" w:rsidRDefault="006D258C">
            <w:pPr>
              <w:rPr>
                <w:b/>
                <w:bCs/>
                <w:sz w:val="22"/>
                <w:szCs w:val="22"/>
                <w:lang w:val="el-GR"/>
              </w:rPr>
            </w:pPr>
            <w:r>
              <w:rPr>
                <w:sz w:val="22"/>
                <w:szCs w:val="22"/>
                <w:lang w:val="el-GR"/>
              </w:rPr>
              <w:t>Εάν υπάρχει αίμα, πιέστε ένα κομμάτι βαμβακιού ή γάζας επάνω στη θέση της ένεσης. Εάν χρειαστεί, τοποθετήστε έναν αυτοκόλλητο επίδεσμο.</w:t>
            </w:r>
          </w:p>
        </w:tc>
      </w:tr>
    </w:tbl>
    <w:p w14:paraId="2F1CB259" w14:textId="77777777" w:rsidR="00171824" w:rsidRDefault="00171824">
      <w:pPr>
        <w:widowControl/>
        <w:rPr>
          <w:sz w:val="22"/>
          <w:szCs w:val="22"/>
          <w:lang w:val="el-GR"/>
        </w:rPr>
      </w:pPr>
    </w:p>
    <w:p w14:paraId="7E66720A" w14:textId="77777777" w:rsidR="00B72AB5" w:rsidRDefault="00B72AB5">
      <w:pPr>
        <w:widowControl/>
        <w:rPr>
          <w:sz w:val="22"/>
          <w:szCs w:val="22"/>
          <w:lang w:val="el-GR"/>
        </w:rPr>
      </w:pPr>
    </w:p>
    <w:sectPr w:rsidR="00B72AB5">
      <w:footerReference w:type="even" r:id="rId97"/>
      <w:footerReference w:type="default" r:id="rId98"/>
      <w:footerReference w:type="first" r:id="rId99"/>
      <w:type w:val="continuous"/>
      <w:pgSz w:w="11907" w:h="16840"/>
      <w:pgMar w:top="1134" w:right="1418" w:bottom="1134" w:left="1418" w:header="737" w:footer="73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8D81B2" w14:textId="77777777" w:rsidR="00D947E7" w:rsidRDefault="00D947E7">
      <w:r>
        <w:separator/>
      </w:r>
    </w:p>
  </w:endnote>
  <w:endnote w:type="continuationSeparator" w:id="0">
    <w:p w14:paraId="060F209D" w14:textId="77777777" w:rsidR="00D947E7" w:rsidRDefault="00D94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default"/>
    <w:sig w:usb0="00000000"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mesNewRomanPSMT">
    <w:altName w:val="MS Mincho"/>
    <w:charset w:val="80"/>
    <w:family w:val="auto"/>
    <w:pitch w:val="default"/>
    <w:sig w:usb0="00000000" w:usb1="0000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C0473" w14:textId="77777777" w:rsidR="009039B7" w:rsidRDefault="009039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39181" w14:textId="77777777" w:rsidR="00171824" w:rsidRDefault="006D258C">
    <w:pPr>
      <w:pStyle w:val="Footer"/>
      <w:tabs>
        <w:tab w:val="clear" w:pos="4680"/>
        <w:tab w:val="clear" w:pos="9360"/>
      </w:tabs>
      <w:jc w:val="center"/>
      <w:rPr>
        <w:rFonts w:ascii="Arial" w:hAnsi="Arial" w:cs="Arial"/>
        <w:caps/>
        <w:color w:val="000000"/>
        <w:sz w:val="16"/>
        <w:szCs w:val="16"/>
      </w:rPr>
    </w:pPr>
    <w:r>
      <w:rPr>
        <w:rFonts w:ascii="Arial" w:hAnsi="Arial" w:cs="Arial"/>
        <w:caps/>
        <w:color w:val="000000"/>
        <w:sz w:val="16"/>
        <w:szCs w:val="16"/>
      </w:rPr>
      <w:fldChar w:fldCharType="begin"/>
    </w:r>
    <w:r>
      <w:rPr>
        <w:rFonts w:ascii="Arial" w:hAnsi="Arial" w:cs="Arial"/>
        <w:caps/>
        <w:color w:val="000000"/>
        <w:sz w:val="16"/>
        <w:szCs w:val="16"/>
      </w:rPr>
      <w:instrText xml:space="preserve"> PAGE   \* MERGEFORMAT </w:instrText>
    </w:r>
    <w:r>
      <w:rPr>
        <w:rFonts w:ascii="Arial" w:hAnsi="Arial" w:cs="Arial"/>
        <w:caps/>
        <w:color w:val="000000"/>
        <w:sz w:val="16"/>
        <w:szCs w:val="16"/>
      </w:rPr>
      <w:fldChar w:fldCharType="separate"/>
    </w:r>
    <w:r>
      <w:rPr>
        <w:rFonts w:ascii="Arial" w:hAnsi="Arial" w:cs="Arial"/>
        <w:caps/>
        <w:color w:val="000000"/>
        <w:sz w:val="16"/>
        <w:szCs w:val="16"/>
      </w:rPr>
      <w:t>62</w:t>
    </w:r>
    <w:r>
      <w:rPr>
        <w:rFonts w:ascii="Arial" w:hAnsi="Arial" w:cs="Arial"/>
        <w:caps/>
        <w:color w:val="00000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53A2E" w14:textId="77777777" w:rsidR="009039B7" w:rsidRDefault="009039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D7B16A" w14:textId="77777777" w:rsidR="00D947E7" w:rsidRDefault="00D947E7">
      <w:r>
        <w:separator/>
      </w:r>
    </w:p>
  </w:footnote>
  <w:footnote w:type="continuationSeparator" w:id="0">
    <w:p w14:paraId="00AAA1D4" w14:textId="77777777" w:rsidR="00D947E7" w:rsidRDefault="00D947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402"/>
    <w:lvl w:ilvl="0">
      <w:start w:val="1"/>
      <w:numFmt w:val="decimal"/>
      <w:lvlText w:val="%1."/>
      <w:lvlJc w:val="left"/>
      <w:pPr>
        <w:ind w:hanging="567"/>
      </w:pPr>
      <w:rPr>
        <w:rFonts w:ascii="Times New Roman" w:hAnsi="Times New Roman" w:cs="Times New Roman"/>
        <w:b/>
        <w:bCs/>
        <w:sz w:val="22"/>
        <w:szCs w:val="22"/>
      </w:rPr>
    </w:lvl>
    <w:lvl w:ilvl="1">
      <w:start w:val="1"/>
      <w:numFmt w:val="decimal"/>
      <w:lvlText w:val="%1.%2"/>
      <w:lvlJc w:val="left"/>
      <w:pPr>
        <w:ind w:hanging="567"/>
      </w:pPr>
      <w:rPr>
        <w:rFonts w:ascii="Times New Roman" w:hAnsi="Times New Roman" w:cs="Times New Roman"/>
        <w:b/>
        <w:bCs/>
        <w:sz w:val="22"/>
        <w:szCs w:val="22"/>
      </w:rPr>
    </w:lvl>
    <w:lvl w:ilvl="2">
      <w:start w:val="1"/>
      <w:numFmt w:val="decimal"/>
      <w:lvlText w:val="%3)"/>
      <w:lvlJc w:val="left"/>
      <w:pPr>
        <w:ind w:hanging="171"/>
      </w:pPr>
      <w:rPr>
        <w:rFonts w:ascii="Times New Roman" w:hAnsi="Times New Roman" w:cs="Times New Roman"/>
        <w:b w:val="0"/>
        <w:bCs w:val="0"/>
        <w:w w:val="99"/>
        <w:position w:val="10"/>
        <w:sz w:val="14"/>
        <w:szCs w:val="1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4"/>
    <w:multiLevelType w:val="multilevel"/>
    <w:tmpl w:val="00000404"/>
    <w:lvl w:ilvl="0">
      <w:start w:val="1"/>
      <w:numFmt w:val="lowerLetter"/>
      <w:lvlText w:val="%1"/>
      <w:lvlJc w:val="left"/>
      <w:pPr>
        <w:ind w:hanging="425"/>
      </w:pPr>
      <w:rPr>
        <w:rFonts w:ascii="Times New Roman" w:hAnsi="Times New Roman" w:cs="Times New Roman"/>
        <w:b w:val="0"/>
        <w:bCs w:val="0"/>
        <w:w w:val="99"/>
        <w:position w:val="10"/>
        <w:sz w:val="14"/>
        <w:szCs w:val="1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5"/>
    <w:multiLevelType w:val="multilevel"/>
    <w:tmpl w:val="00000405"/>
    <w:lvl w:ilvl="0">
      <w:start w:val="1"/>
      <w:numFmt w:val="lowerLetter"/>
      <w:lvlText w:val="%1"/>
      <w:lvlJc w:val="left"/>
      <w:pPr>
        <w:ind w:hanging="250"/>
      </w:pPr>
      <w:rPr>
        <w:rFonts w:ascii="Times New Roman" w:hAnsi="Times New Roman" w:cs="Times New Roman"/>
        <w:b w:val="0"/>
        <w:bCs w:val="0"/>
        <w:w w:val="99"/>
        <w:position w:val="10"/>
        <w:sz w:val="14"/>
        <w:szCs w:val="1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6"/>
    <w:multiLevelType w:val="multilevel"/>
    <w:tmpl w:val="00000406"/>
    <w:lvl w:ilvl="0">
      <w:start w:val="1"/>
      <w:numFmt w:val="lowerLetter"/>
      <w:lvlText w:val="%1"/>
      <w:lvlJc w:val="left"/>
      <w:pPr>
        <w:ind w:hanging="284"/>
      </w:pPr>
      <w:rPr>
        <w:rFonts w:ascii="Times New Roman" w:hAnsi="Times New Roman" w:cs="Times New Roman"/>
        <w:b w:val="0"/>
        <w:bCs w:val="0"/>
        <w:w w:val="99"/>
        <w:position w:val="10"/>
        <w:sz w:val="14"/>
        <w:szCs w:val="1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09"/>
    <w:multiLevelType w:val="multilevel"/>
    <w:tmpl w:val="00000409"/>
    <w:lvl w:ilvl="0">
      <w:start w:val="1"/>
      <w:numFmt w:val="lowerLetter"/>
      <w:lvlText w:val="%1"/>
      <w:lvlJc w:val="left"/>
      <w:pPr>
        <w:ind w:hanging="360"/>
      </w:pPr>
      <w:rPr>
        <w:rFonts w:ascii="Times New Roman" w:hAnsi="Times New Roman" w:cs="Times New Roman"/>
        <w:b w:val="0"/>
        <w:bCs w:val="0"/>
        <w:position w:val="7"/>
        <w:sz w:val="11"/>
        <w:szCs w:val="11"/>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000040A"/>
    <w:multiLevelType w:val="multilevel"/>
    <w:tmpl w:val="0000040A"/>
    <w:lvl w:ilvl="0">
      <w:start w:val="1"/>
      <w:numFmt w:val="lowerLetter"/>
      <w:lvlText w:val="%1."/>
      <w:lvlJc w:val="left"/>
      <w:pPr>
        <w:ind w:hanging="260"/>
      </w:pPr>
      <w:rPr>
        <w:rFonts w:ascii="Times New Roman" w:hAnsi="Times New Roman" w:cs="Times New Roman"/>
        <w:b w:val="0"/>
        <w:bCs w:val="0"/>
        <w:w w:val="99"/>
        <w:position w:val="10"/>
        <w:sz w:val="14"/>
        <w:szCs w:val="1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0000040D"/>
    <w:multiLevelType w:val="multilevel"/>
    <w:tmpl w:val="0000040D"/>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15:restartNumberingAfterBreak="0">
    <w:nsid w:val="0000040E"/>
    <w:multiLevelType w:val="multilevel"/>
    <w:tmpl w:val="0000040E"/>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 w15:restartNumberingAfterBreak="0">
    <w:nsid w:val="00000410"/>
    <w:multiLevelType w:val="multilevel"/>
    <w:tmpl w:val="00000410"/>
    <w:lvl w:ilvl="0">
      <w:start w:val="1"/>
      <w:numFmt w:val="lowerLetter"/>
      <w:lvlText w:val="%1"/>
      <w:lvlJc w:val="left"/>
      <w:pPr>
        <w:ind w:hanging="284"/>
      </w:pPr>
      <w:rPr>
        <w:rFonts w:ascii="Times New Roman" w:hAnsi="Times New Roman" w:cs="Times New Roman"/>
        <w:b w:val="0"/>
        <w:bCs w:val="0"/>
        <w:w w:val="99"/>
        <w:position w:val="10"/>
        <w:sz w:val="14"/>
        <w:szCs w:val="1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9"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070C1232"/>
    <w:multiLevelType w:val="multilevel"/>
    <w:tmpl w:val="070C123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0D581BCE"/>
    <w:multiLevelType w:val="multilevel"/>
    <w:tmpl w:val="0D581BCE"/>
    <w:lvl w:ilvl="0">
      <w:start w:val="1"/>
      <w:numFmt w:val="bullet"/>
      <w:lvlText w:val=""/>
      <w:lvlJc w:val="left"/>
      <w:pPr>
        <w:ind w:left="927" w:hanging="360"/>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3" w15:restartNumberingAfterBreak="0">
    <w:nsid w:val="0E312C9F"/>
    <w:multiLevelType w:val="multilevel"/>
    <w:tmpl w:val="0E312C9F"/>
    <w:lvl w:ilvl="0">
      <w:start w:val="1"/>
      <w:numFmt w:val="bullet"/>
      <w:lvlText w:val=""/>
      <w:lvlJc w:val="left"/>
      <w:pPr>
        <w:ind w:left="720" w:hanging="360"/>
      </w:pPr>
      <w:rPr>
        <w:rFonts w:ascii="Symbol" w:hAnsi="Symbol" w:hint="default"/>
        <w:b w:val="0"/>
        <w:i w:val="0"/>
        <w:color w:val="auto"/>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4" w15:restartNumberingAfterBreak="0">
    <w:nsid w:val="1BC7595F"/>
    <w:multiLevelType w:val="multilevel"/>
    <w:tmpl w:val="1BC7595F"/>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C010A95"/>
    <w:multiLevelType w:val="multilevel"/>
    <w:tmpl w:val="1C010A95"/>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6" w15:restartNumberingAfterBreak="0">
    <w:nsid w:val="1DF915B0"/>
    <w:multiLevelType w:val="multilevel"/>
    <w:tmpl w:val="1DF915B0"/>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7" w15:restartNumberingAfterBreak="0">
    <w:nsid w:val="243A0870"/>
    <w:multiLevelType w:val="multilevel"/>
    <w:tmpl w:val="243A087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8"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6C75935"/>
    <w:multiLevelType w:val="multilevel"/>
    <w:tmpl w:val="26C7593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C4F210F"/>
    <w:multiLevelType w:val="multilevel"/>
    <w:tmpl w:val="2C4F210F"/>
    <w:lvl w:ilvl="0">
      <w:start w:val="1"/>
      <w:numFmt w:val="bullet"/>
      <w:lvlText w:val=""/>
      <w:lvlJc w:val="left"/>
      <w:pPr>
        <w:ind w:left="928"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CC83541"/>
    <w:multiLevelType w:val="multilevel"/>
    <w:tmpl w:val="2CC83541"/>
    <w:lvl w:ilvl="0">
      <w:start w:val="1"/>
      <w:numFmt w:val="bullet"/>
      <w:lvlText w:val="-"/>
      <w:lvlJc w:val="left"/>
      <w:pPr>
        <w:ind w:left="360" w:hanging="360"/>
      </w:pPr>
      <w:rPr>
        <w:rFonts w:ascii="Times New Roman" w:hAnsi="Times New Roman" w:cs="Times New Roman" w:hint="default"/>
        <w:color w:val="auto"/>
        <w:sz w:val="24"/>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2" w15:restartNumberingAfterBreak="0">
    <w:nsid w:val="30253C25"/>
    <w:multiLevelType w:val="multilevel"/>
    <w:tmpl w:val="30253C2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9955ADF"/>
    <w:multiLevelType w:val="multilevel"/>
    <w:tmpl w:val="39955ADF"/>
    <w:lvl w:ilvl="0">
      <w:start w:val="1"/>
      <w:numFmt w:val="bullet"/>
      <w:lvlText w:val="–"/>
      <w:lvlJc w:val="left"/>
      <w:pPr>
        <w:ind w:left="720" w:hanging="360"/>
      </w:pPr>
      <w:rPr>
        <w:rFonts w:ascii="Times New Roman" w:hAnsi="Times New Roman" w:hint="default"/>
        <w:color w:val="auto"/>
        <w:sz w:val="24"/>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3BC77894"/>
    <w:multiLevelType w:val="multilevel"/>
    <w:tmpl w:val="3BC77894"/>
    <w:lvl w:ilvl="0">
      <w:start w:val="1"/>
      <w:numFmt w:val="bullet"/>
      <w:lvlText w:val=""/>
      <w:lvlJc w:val="left"/>
      <w:pPr>
        <w:ind w:left="1350" w:hanging="360"/>
      </w:pPr>
      <w:rPr>
        <w:rFonts w:ascii="Symbol" w:hAnsi="Symbol"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26" w15:restartNumberingAfterBreak="0">
    <w:nsid w:val="3C6239E2"/>
    <w:multiLevelType w:val="multilevel"/>
    <w:tmpl w:val="3C6239E2"/>
    <w:lvl w:ilvl="0">
      <w:start w:val="1"/>
      <w:numFmt w:val="bullet"/>
      <w:lvlText w:val=""/>
      <w:lvlJc w:val="left"/>
      <w:pPr>
        <w:ind w:left="768" w:hanging="360"/>
      </w:pPr>
      <w:rPr>
        <w:rFonts w:ascii="Symbol" w:hAnsi="Symbol" w:hint="default"/>
      </w:rPr>
    </w:lvl>
    <w:lvl w:ilvl="1">
      <w:start w:val="1"/>
      <w:numFmt w:val="bullet"/>
      <w:lvlText w:val="o"/>
      <w:lvlJc w:val="left"/>
      <w:pPr>
        <w:ind w:left="1488" w:hanging="360"/>
      </w:pPr>
      <w:rPr>
        <w:rFonts w:ascii="Courier New" w:hAnsi="Courier New" w:cs="Courier New" w:hint="default"/>
      </w:rPr>
    </w:lvl>
    <w:lvl w:ilvl="2">
      <w:start w:val="1"/>
      <w:numFmt w:val="bullet"/>
      <w:lvlText w:val=""/>
      <w:lvlJc w:val="left"/>
      <w:pPr>
        <w:ind w:left="2208" w:hanging="360"/>
      </w:pPr>
      <w:rPr>
        <w:rFonts w:ascii="Wingdings" w:hAnsi="Wingdings" w:hint="default"/>
      </w:rPr>
    </w:lvl>
    <w:lvl w:ilvl="3">
      <w:start w:val="1"/>
      <w:numFmt w:val="bullet"/>
      <w:lvlText w:val=""/>
      <w:lvlJc w:val="left"/>
      <w:pPr>
        <w:ind w:left="2928" w:hanging="360"/>
      </w:pPr>
      <w:rPr>
        <w:rFonts w:ascii="Symbol" w:hAnsi="Symbol" w:hint="default"/>
      </w:rPr>
    </w:lvl>
    <w:lvl w:ilvl="4">
      <w:start w:val="1"/>
      <w:numFmt w:val="bullet"/>
      <w:lvlText w:val="o"/>
      <w:lvlJc w:val="left"/>
      <w:pPr>
        <w:ind w:left="3648" w:hanging="360"/>
      </w:pPr>
      <w:rPr>
        <w:rFonts w:ascii="Courier New" w:hAnsi="Courier New" w:cs="Courier New" w:hint="default"/>
      </w:rPr>
    </w:lvl>
    <w:lvl w:ilvl="5">
      <w:start w:val="1"/>
      <w:numFmt w:val="bullet"/>
      <w:lvlText w:val=""/>
      <w:lvlJc w:val="left"/>
      <w:pPr>
        <w:ind w:left="4368" w:hanging="360"/>
      </w:pPr>
      <w:rPr>
        <w:rFonts w:ascii="Wingdings" w:hAnsi="Wingdings" w:hint="default"/>
      </w:rPr>
    </w:lvl>
    <w:lvl w:ilvl="6">
      <w:start w:val="1"/>
      <w:numFmt w:val="bullet"/>
      <w:lvlText w:val=""/>
      <w:lvlJc w:val="left"/>
      <w:pPr>
        <w:ind w:left="5088" w:hanging="360"/>
      </w:pPr>
      <w:rPr>
        <w:rFonts w:ascii="Symbol" w:hAnsi="Symbol" w:hint="default"/>
      </w:rPr>
    </w:lvl>
    <w:lvl w:ilvl="7">
      <w:start w:val="1"/>
      <w:numFmt w:val="bullet"/>
      <w:lvlText w:val="o"/>
      <w:lvlJc w:val="left"/>
      <w:pPr>
        <w:ind w:left="5808" w:hanging="360"/>
      </w:pPr>
      <w:rPr>
        <w:rFonts w:ascii="Courier New" w:hAnsi="Courier New" w:cs="Courier New" w:hint="default"/>
      </w:rPr>
    </w:lvl>
    <w:lvl w:ilvl="8">
      <w:start w:val="1"/>
      <w:numFmt w:val="bullet"/>
      <w:lvlText w:val=""/>
      <w:lvlJc w:val="left"/>
      <w:pPr>
        <w:ind w:left="6528" w:hanging="360"/>
      </w:pPr>
      <w:rPr>
        <w:rFonts w:ascii="Wingdings" w:hAnsi="Wingdings" w:hint="default"/>
      </w:rPr>
    </w:lvl>
  </w:abstractNum>
  <w:abstractNum w:abstractNumId="27"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3E9E71FD"/>
    <w:multiLevelType w:val="multilevel"/>
    <w:tmpl w:val="3E9E71FD"/>
    <w:lvl w:ilvl="0">
      <w:start w:val="1"/>
      <w:numFmt w:val="bullet"/>
      <w:lvlText w:val=""/>
      <w:lvlJc w:val="left"/>
      <w:pPr>
        <w:ind w:left="780" w:hanging="360"/>
      </w:pPr>
      <w:rPr>
        <w:rFonts w:ascii="Symbol" w:hAnsi="Symbol"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29" w15:restartNumberingAfterBreak="0">
    <w:nsid w:val="419B217F"/>
    <w:multiLevelType w:val="multilevel"/>
    <w:tmpl w:val="419B217F"/>
    <w:lvl w:ilvl="0">
      <w:start w:val="1"/>
      <w:numFmt w:val="bullet"/>
      <w:lvlText w:val=""/>
      <w:lvlJc w:val="left"/>
      <w:pPr>
        <w:ind w:left="360" w:hanging="360"/>
      </w:pPr>
      <w:rPr>
        <w:rFonts w:ascii="Symbol" w:hAnsi="Symbol" w:hint="default"/>
        <w:sz w:val="22"/>
        <w:szCs w:val="22"/>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0" w15:restartNumberingAfterBreak="0">
    <w:nsid w:val="426850CF"/>
    <w:multiLevelType w:val="multilevel"/>
    <w:tmpl w:val="426850CF"/>
    <w:lvl w:ilvl="0">
      <w:start w:val="1"/>
      <w:numFmt w:val="bullet"/>
      <w:lvlText w:val=""/>
      <w:lvlJc w:val="left"/>
      <w:pPr>
        <w:ind w:left="927" w:hanging="360"/>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31" w15:restartNumberingAfterBreak="0">
    <w:nsid w:val="430D0E95"/>
    <w:multiLevelType w:val="multilevel"/>
    <w:tmpl w:val="430D0E95"/>
    <w:lvl w:ilvl="0">
      <w:start w:val="1"/>
      <w:numFmt w:val="bullet"/>
      <w:lvlText w:val=""/>
      <w:lvlJc w:val="left"/>
      <w:pPr>
        <w:ind w:left="2061" w:hanging="360"/>
      </w:pPr>
      <w:rPr>
        <w:rFonts w:ascii="Symbol" w:hAnsi="Symbol" w:hint="default"/>
        <w:b w:val="0"/>
        <w:i w:val="0"/>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32" w15:restartNumberingAfterBreak="0">
    <w:nsid w:val="481E5ACF"/>
    <w:multiLevelType w:val="multilevel"/>
    <w:tmpl w:val="481E5ACF"/>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3" w15:restartNumberingAfterBreak="0">
    <w:nsid w:val="52C8174D"/>
    <w:multiLevelType w:val="multilevel"/>
    <w:tmpl w:val="52C8174D"/>
    <w:lvl w:ilvl="0">
      <w:start w:val="1"/>
      <w:numFmt w:val="bullet"/>
      <w:lvlText w:val="•"/>
      <w:lvlJc w:val="left"/>
      <w:pPr>
        <w:ind w:left="720"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34"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35" w15:restartNumberingAfterBreak="0">
    <w:nsid w:val="5C932CB9"/>
    <w:multiLevelType w:val="multilevel"/>
    <w:tmpl w:val="5C932CB9"/>
    <w:lvl w:ilvl="0">
      <w:start w:val="1"/>
      <w:numFmt w:val="bullet"/>
      <w:lvlText w:val="-"/>
      <w:lvlJc w:val="left"/>
      <w:pPr>
        <w:ind w:left="360" w:hanging="360"/>
      </w:pPr>
      <w:rPr>
        <w:rFonts w:hint="default"/>
        <w:color w:val="auto"/>
        <w:sz w:val="24"/>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6"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7"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15:restartNumberingAfterBreak="0">
    <w:nsid w:val="6CC46741"/>
    <w:multiLevelType w:val="multilevel"/>
    <w:tmpl w:val="6CC46741"/>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9" w15:restartNumberingAfterBreak="0">
    <w:nsid w:val="6E1D1B98"/>
    <w:multiLevelType w:val="multilevel"/>
    <w:tmpl w:val="6E1D1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73357CAB"/>
    <w:multiLevelType w:val="multilevel"/>
    <w:tmpl w:val="73357CAB"/>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abstractNum w:abstractNumId="41" w15:restartNumberingAfterBreak="0">
    <w:nsid w:val="776D58FA"/>
    <w:multiLevelType w:val="multilevel"/>
    <w:tmpl w:val="776D58FA"/>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2" w15:restartNumberingAfterBreak="0">
    <w:nsid w:val="79CD7F37"/>
    <w:multiLevelType w:val="multilevel"/>
    <w:tmpl w:val="79CD7F37"/>
    <w:lvl w:ilvl="0">
      <w:start w:val="1"/>
      <w:numFmt w:val="bullet"/>
      <w:lvlText w:val="•"/>
      <w:lvlJc w:val="left"/>
      <w:pPr>
        <w:ind w:left="643" w:hanging="360"/>
      </w:pPr>
      <w:rPr>
        <w:rFonts w:ascii="Times New Roman" w:hAnsi="Times New Roman" w:cs="Times New Roman" w:hint="default"/>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43"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254093480">
    <w:abstractNumId w:val="24"/>
  </w:num>
  <w:num w:numId="2" w16cid:durableId="1238588467">
    <w:abstractNumId w:val="10"/>
  </w:num>
  <w:num w:numId="3" w16cid:durableId="374547525">
    <w:abstractNumId w:val="0"/>
  </w:num>
  <w:num w:numId="4" w16cid:durableId="1782415021">
    <w:abstractNumId w:val="11"/>
  </w:num>
  <w:num w:numId="5" w16cid:durableId="1331131669">
    <w:abstractNumId w:val="31"/>
  </w:num>
  <w:num w:numId="6" w16cid:durableId="966398989">
    <w:abstractNumId w:val="40"/>
  </w:num>
  <w:num w:numId="7" w16cid:durableId="740831755">
    <w:abstractNumId w:val="13"/>
  </w:num>
  <w:num w:numId="8" w16cid:durableId="198007248">
    <w:abstractNumId w:val="25"/>
  </w:num>
  <w:num w:numId="9" w16cid:durableId="1319572879">
    <w:abstractNumId w:val="26"/>
  </w:num>
  <w:num w:numId="10" w16cid:durableId="1309435504">
    <w:abstractNumId w:val="33"/>
  </w:num>
  <w:num w:numId="11" w16cid:durableId="811674584">
    <w:abstractNumId w:val="42"/>
  </w:num>
  <w:num w:numId="12" w16cid:durableId="143087579">
    <w:abstractNumId w:val="1"/>
  </w:num>
  <w:num w:numId="13" w16cid:durableId="1737821975">
    <w:abstractNumId w:val="8"/>
  </w:num>
  <w:num w:numId="14" w16cid:durableId="442309856">
    <w:abstractNumId w:val="2"/>
  </w:num>
  <w:num w:numId="15" w16cid:durableId="856962421">
    <w:abstractNumId w:val="3"/>
  </w:num>
  <w:num w:numId="16" w16cid:durableId="1376656603">
    <w:abstractNumId w:val="4"/>
  </w:num>
  <w:num w:numId="17" w16cid:durableId="829950589">
    <w:abstractNumId w:val="5"/>
  </w:num>
  <w:num w:numId="18" w16cid:durableId="1370958025">
    <w:abstractNumId w:val="17"/>
  </w:num>
  <w:num w:numId="19" w16cid:durableId="1438790560">
    <w:abstractNumId w:val="39"/>
  </w:num>
  <w:num w:numId="20" w16cid:durableId="2093890627">
    <w:abstractNumId w:val="23"/>
  </w:num>
  <w:num w:numId="21" w16cid:durableId="1656496823">
    <w:abstractNumId w:val="6"/>
  </w:num>
  <w:num w:numId="22" w16cid:durableId="1004354763">
    <w:abstractNumId w:val="7"/>
  </w:num>
  <w:num w:numId="23" w16cid:durableId="1062098083">
    <w:abstractNumId w:val="22"/>
  </w:num>
  <w:num w:numId="24" w16cid:durableId="536620653">
    <w:abstractNumId w:val="35"/>
  </w:num>
  <w:num w:numId="25" w16cid:durableId="45568712">
    <w:abstractNumId w:val="12"/>
  </w:num>
  <w:num w:numId="26" w16cid:durableId="347678287">
    <w:abstractNumId w:val="29"/>
  </w:num>
  <w:num w:numId="27" w16cid:durableId="379942901">
    <w:abstractNumId w:val="14"/>
  </w:num>
  <w:num w:numId="28" w16cid:durableId="1057239514">
    <w:abstractNumId w:val="36"/>
  </w:num>
  <w:num w:numId="29" w16cid:durableId="111752911">
    <w:abstractNumId w:val="41"/>
  </w:num>
  <w:num w:numId="30" w16cid:durableId="1580750544">
    <w:abstractNumId w:val="16"/>
  </w:num>
  <w:num w:numId="31" w16cid:durableId="1033535299">
    <w:abstractNumId w:val="32"/>
  </w:num>
  <w:num w:numId="32" w16cid:durableId="569074117">
    <w:abstractNumId w:val="30"/>
  </w:num>
  <w:num w:numId="33" w16cid:durableId="1501501173">
    <w:abstractNumId w:val="28"/>
  </w:num>
  <w:num w:numId="34" w16cid:durableId="490215209">
    <w:abstractNumId w:val="38"/>
  </w:num>
  <w:num w:numId="35" w16cid:durableId="284771624">
    <w:abstractNumId w:val="37"/>
  </w:num>
  <w:num w:numId="36" w16cid:durableId="1716663861">
    <w:abstractNumId w:val="20"/>
  </w:num>
  <w:num w:numId="37" w16cid:durableId="244457653">
    <w:abstractNumId w:val="27"/>
  </w:num>
  <w:num w:numId="38" w16cid:durableId="1786390680">
    <w:abstractNumId w:val="43"/>
  </w:num>
  <w:num w:numId="39" w16cid:durableId="904681315">
    <w:abstractNumId w:val="18"/>
  </w:num>
  <w:num w:numId="40" w16cid:durableId="721178422">
    <w:abstractNumId w:val="34"/>
  </w:num>
  <w:num w:numId="41" w16cid:durableId="64424241">
    <w:abstractNumId w:val="9"/>
  </w:num>
  <w:num w:numId="42" w16cid:durableId="1931115048">
    <w:abstractNumId w:val="15"/>
  </w:num>
  <w:num w:numId="43" w16cid:durableId="193932870">
    <w:abstractNumId w:val="19"/>
  </w:num>
  <w:num w:numId="44" w16cid:durableId="243148313">
    <w:abstractNumId w:val="2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bordersDoNotSurroundHeader/>
  <w:bordersDoNotSurroundFooter/>
  <w:hideSpellingErrors/>
  <w:hideGrammaticalErrors/>
  <w:documentProtection w:edit="trackedChanges" w:enforcement="0"/>
  <w:defaultTabStop w:val="720"/>
  <w:hyphenationZone w:val="425"/>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7C5"/>
    <w:rsid w:val="000011DF"/>
    <w:rsid w:val="00003188"/>
    <w:rsid w:val="00004DE5"/>
    <w:rsid w:val="0000530C"/>
    <w:rsid w:val="000055B6"/>
    <w:rsid w:val="00005A39"/>
    <w:rsid w:val="00005FB9"/>
    <w:rsid w:val="00006308"/>
    <w:rsid w:val="00006B39"/>
    <w:rsid w:val="00006D20"/>
    <w:rsid w:val="00006D3D"/>
    <w:rsid w:val="0001007B"/>
    <w:rsid w:val="000108F2"/>
    <w:rsid w:val="00010C67"/>
    <w:rsid w:val="00011258"/>
    <w:rsid w:val="00011695"/>
    <w:rsid w:val="00011A20"/>
    <w:rsid w:val="00015348"/>
    <w:rsid w:val="00015412"/>
    <w:rsid w:val="00015760"/>
    <w:rsid w:val="00015A32"/>
    <w:rsid w:val="00015F36"/>
    <w:rsid w:val="000165F7"/>
    <w:rsid w:val="0001722C"/>
    <w:rsid w:val="00020509"/>
    <w:rsid w:val="0002109E"/>
    <w:rsid w:val="000218F3"/>
    <w:rsid w:val="000234DF"/>
    <w:rsid w:val="000235E6"/>
    <w:rsid w:val="00023ADD"/>
    <w:rsid w:val="00024440"/>
    <w:rsid w:val="0002654B"/>
    <w:rsid w:val="000268E0"/>
    <w:rsid w:val="00027835"/>
    <w:rsid w:val="00027C59"/>
    <w:rsid w:val="000312B0"/>
    <w:rsid w:val="00032067"/>
    <w:rsid w:val="00032CED"/>
    <w:rsid w:val="000330BE"/>
    <w:rsid w:val="0003312C"/>
    <w:rsid w:val="00034145"/>
    <w:rsid w:val="00034851"/>
    <w:rsid w:val="000348B7"/>
    <w:rsid w:val="00035B60"/>
    <w:rsid w:val="00036F7F"/>
    <w:rsid w:val="00041B01"/>
    <w:rsid w:val="00041EDA"/>
    <w:rsid w:val="00042036"/>
    <w:rsid w:val="00043221"/>
    <w:rsid w:val="0004325E"/>
    <w:rsid w:val="0004468C"/>
    <w:rsid w:val="000455E0"/>
    <w:rsid w:val="000459ED"/>
    <w:rsid w:val="00045F9D"/>
    <w:rsid w:val="0005037D"/>
    <w:rsid w:val="00052367"/>
    <w:rsid w:val="000527DC"/>
    <w:rsid w:val="000534DC"/>
    <w:rsid w:val="00053651"/>
    <w:rsid w:val="000536DF"/>
    <w:rsid w:val="00053A04"/>
    <w:rsid w:val="0005459B"/>
    <w:rsid w:val="00055201"/>
    <w:rsid w:val="00056F48"/>
    <w:rsid w:val="0005780E"/>
    <w:rsid w:val="0006079D"/>
    <w:rsid w:val="00060B5E"/>
    <w:rsid w:val="00062EDC"/>
    <w:rsid w:val="0006319F"/>
    <w:rsid w:val="00063840"/>
    <w:rsid w:val="000638AC"/>
    <w:rsid w:val="000641A4"/>
    <w:rsid w:val="0006428A"/>
    <w:rsid w:val="00064FFE"/>
    <w:rsid w:val="0006539E"/>
    <w:rsid w:val="0006639A"/>
    <w:rsid w:val="00066A79"/>
    <w:rsid w:val="00070305"/>
    <w:rsid w:val="00070769"/>
    <w:rsid w:val="0007087E"/>
    <w:rsid w:val="00070F68"/>
    <w:rsid w:val="000711DD"/>
    <w:rsid w:val="00071433"/>
    <w:rsid w:val="00071995"/>
    <w:rsid w:val="00071E2A"/>
    <w:rsid w:val="00072456"/>
    <w:rsid w:val="0007389A"/>
    <w:rsid w:val="00074208"/>
    <w:rsid w:val="00074AF7"/>
    <w:rsid w:val="00074E52"/>
    <w:rsid w:val="000750E4"/>
    <w:rsid w:val="000752BC"/>
    <w:rsid w:val="0007567F"/>
    <w:rsid w:val="0007631D"/>
    <w:rsid w:val="00076815"/>
    <w:rsid w:val="000769A6"/>
    <w:rsid w:val="000815FA"/>
    <w:rsid w:val="00081645"/>
    <w:rsid w:val="00081A11"/>
    <w:rsid w:val="00081C62"/>
    <w:rsid w:val="00082B32"/>
    <w:rsid w:val="00083494"/>
    <w:rsid w:val="00084085"/>
    <w:rsid w:val="00084BCF"/>
    <w:rsid w:val="00084CBC"/>
    <w:rsid w:val="0008535E"/>
    <w:rsid w:val="000854BA"/>
    <w:rsid w:val="0008610B"/>
    <w:rsid w:val="00086A79"/>
    <w:rsid w:val="00090848"/>
    <w:rsid w:val="00090F4F"/>
    <w:rsid w:val="00091AE6"/>
    <w:rsid w:val="00091B96"/>
    <w:rsid w:val="000934C6"/>
    <w:rsid w:val="000938E4"/>
    <w:rsid w:val="00094D56"/>
    <w:rsid w:val="000954BB"/>
    <w:rsid w:val="00095BF8"/>
    <w:rsid w:val="000960DF"/>
    <w:rsid w:val="00097AE2"/>
    <w:rsid w:val="00097C0F"/>
    <w:rsid w:val="000A05EB"/>
    <w:rsid w:val="000A0C4F"/>
    <w:rsid w:val="000A1DE6"/>
    <w:rsid w:val="000A206C"/>
    <w:rsid w:val="000A21C0"/>
    <w:rsid w:val="000A26C0"/>
    <w:rsid w:val="000A354B"/>
    <w:rsid w:val="000A36A7"/>
    <w:rsid w:val="000A3CCA"/>
    <w:rsid w:val="000A4828"/>
    <w:rsid w:val="000A4B03"/>
    <w:rsid w:val="000A662B"/>
    <w:rsid w:val="000A68A0"/>
    <w:rsid w:val="000A72E7"/>
    <w:rsid w:val="000A758A"/>
    <w:rsid w:val="000A78DF"/>
    <w:rsid w:val="000A79AE"/>
    <w:rsid w:val="000B0245"/>
    <w:rsid w:val="000B03A3"/>
    <w:rsid w:val="000B04F9"/>
    <w:rsid w:val="000B05E0"/>
    <w:rsid w:val="000B145D"/>
    <w:rsid w:val="000B2C08"/>
    <w:rsid w:val="000B2F9F"/>
    <w:rsid w:val="000B2FBF"/>
    <w:rsid w:val="000B34B2"/>
    <w:rsid w:val="000B390B"/>
    <w:rsid w:val="000B3F90"/>
    <w:rsid w:val="000B4648"/>
    <w:rsid w:val="000B49B1"/>
    <w:rsid w:val="000B4B1B"/>
    <w:rsid w:val="000B4BB7"/>
    <w:rsid w:val="000B5467"/>
    <w:rsid w:val="000B6B9D"/>
    <w:rsid w:val="000B6D0A"/>
    <w:rsid w:val="000B7AA1"/>
    <w:rsid w:val="000B7F16"/>
    <w:rsid w:val="000C03A5"/>
    <w:rsid w:val="000C2005"/>
    <w:rsid w:val="000C217F"/>
    <w:rsid w:val="000C2289"/>
    <w:rsid w:val="000C296D"/>
    <w:rsid w:val="000C2E57"/>
    <w:rsid w:val="000C3179"/>
    <w:rsid w:val="000C3F99"/>
    <w:rsid w:val="000C4853"/>
    <w:rsid w:val="000C4F75"/>
    <w:rsid w:val="000C5FF8"/>
    <w:rsid w:val="000C662B"/>
    <w:rsid w:val="000C696B"/>
    <w:rsid w:val="000C793F"/>
    <w:rsid w:val="000D0C7D"/>
    <w:rsid w:val="000D0F3A"/>
    <w:rsid w:val="000D1005"/>
    <w:rsid w:val="000D1163"/>
    <w:rsid w:val="000D12FC"/>
    <w:rsid w:val="000D1C9F"/>
    <w:rsid w:val="000D250C"/>
    <w:rsid w:val="000D25D9"/>
    <w:rsid w:val="000D30B5"/>
    <w:rsid w:val="000D3E1F"/>
    <w:rsid w:val="000D41C7"/>
    <w:rsid w:val="000D44B5"/>
    <w:rsid w:val="000D551D"/>
    <w:rsid w:val="000D5D3E"/>
    <w:rsid w:val="000D5E5E"/>
    <w:rsid w:val="000D5E7D"/>
    <w:rsid w:val="000D7324"/>
    <w:rsid w:val="000D7D30"/>
    <w:rsid w:val="000E04D5"/>
    <w:rsid w:val="000E0738"/>
    <w:rsid w:val="000E11CC"/>
    <w:rsid w:val="000E1B7E"/>
    <w:rsid w:val="000E1E77"/>
    <w:rsid w:val="000E3637"/>
    <w:rsid w:val="000E4A52"/>
    <w:rsid w:val="000E631C"/>
    <w:rsid w:val="000E6783"/>
    <w:rsid w:val="000E6945"/>
    <w:rsid w:val="000E6D9C"/>
    <w:rsid w:val="000E6E26"/>
    <w:rsid w:val="000E6F10"/>
    <w:rsid w:val="000E719A"/>
    <w:rsid w:val="000F1046"/>
    <w:rsid w:val="000F1354"/>
    <w:rsid w:val="000F154C"/>
    <w:rsid w:val="000F16A2"/>
    <w:rsid w:val="000F189B"/>
    <w:rsid w:val="000F1E37"/>
    <w:rsid w:val="000F2BE5"/>
    <w:rsid w:val="000F52FF"/>
    <w:rsid w:val="000F58AC"/>
    <w:rsid w:val="000F6569"/>
    <w:rsid w:val="000F7F7D"/>
    <w:rsid w:val="00100706"/>
    <w:rsid w:val="001010D8"/>
    <w:rsid w:val="00101DE8"/>
    <w:rsid w:val="0010222C"/>
    <w:rsid w:val="00102700"/>
    <w:rsid w:val="0010271B"/>
    <w:rsid w:val="001027B2"/>
    <w:rsid w:val="00102856"/>
    <w:rsid w:val="00102FE0"/>
    <w:rsid w:val="001038AC"/>
    <w:rsid w:val="00103E3D"/>
    <w:rsid w:val="00103F27"/>
    <w:rsid w:val="001041F2"/>
    <w:rsid w:val="0010428E"/>
    <w:rsid w:val="00104B24"/>
    <w:rsid w:val="0010543A"/>
    <w:rsid w:val="0010576E"/>
    <w:rsid w:val="0010599F"/>
    <w:rsid w:val="001060C6"/>
    <w:rsid w:val="00106187"/>
    <w:rsid w:val="001061B3"/>
    <w:rsid w:val="00106305"/>
    <w:rsid w:val="00106AC1"/>
    <w:rsid w:val="0010733C"/>
    <w:rsid w:val="0010748C"/>
    <w:rsid w:val="00107B8E"/>
    <w:rsid w:val="00107CF4"/>
    <w:rsid w:val="00110115"/>
    <w:rsid w:val="00110582"/>
    <w:rsid w:val="001110E0"/>
    <w:rsid w:val="001118A9"/>
    <w:rsid w:val="00111A3D"/>
    <w:rsid w:val="00111D8F"/>
    <w:rsid w:val="001123FD"/>
    <w:rsid w:val="0011354E"/>
    <w:rsid w:val="00113E48"/>
    <w:rsid w:val="00114049"/>
    <w:rsid w:val="0011438F"/>
    <w:rsid w:val="00115E31"/>
    <w:rsid w:val="00116A40"/>
    <w:rsid w:val="00117F74"/>
    <w:rsid w:val="00121E24"/>
    <w:rsid w:val="00122395"/>
    <w:rsid w:val="00125B9B"/>
    <w:rsid w:val="00125BF7"/>
    <w:rsid w:val="00125FC2"/>
    <w:rsid w:val="00126266"/>
    <w:rsid w:val="001262BD"/>
    <w:rsid w:val="00126554"/>
    <w:rsid w:val="0013013C"/>
    <w:rsid w:val="00131D3C"/>
    <w:rsid w:val="00132268"/>
    <w:rsid w:val="001327A0"/>
    <w:rsid w:val="001328B3"/>
    <w:rsid w:val="00132AD0"/>
    <w:rsid w:val="001348EF"/>
    <w:rsid w:val="00134DD8"/>
    <w:rsid w:val="001358AF"/>
    <w:rsid w:val="0014043C"/>
    <w:rsid w:val="001413C9"/>
    <w:rsid w:val="001415A3"/>
    <w:rsid w:val="00141D9B"/>
    <w:rsid w:val="00142221"/>
    <w:rsid w:val="00142B2A"/>
    <w:rsid w:val="00142C1E"/>
    <w:rsid w:val="00143E33"/>
    <w:rsid w:val="00145330"/>
    <w:rsid w:val="00145CE2"/>
    <w:rsid w:val="00146F82"/>
    <w:rsid w:val="00147307"/>
    <w:rsid w:val="00147BD7"/>
    <w:rsid w:val="00147F01"/>
    <w:rsid w:val="00150473"/>
    <w:rsid w:val="00150AEA"/>
    <w:rsid w:val="0015112D"/>
    <w:rsid w:val="00151192"/>
    <w:rsid w:val="001534DF"/>
    <w:rsid w:val="00153676"/>
    <w:rsid w:val="00153E9E"/>
    <w:rsid w:val="00154404"/>
    <w:rsid w:val="001548D9"/>
    <w:rsid w:val="001550AC"/>
    <w:rsid w:val="0015522D"/>
    <w:rsid w:val="001555E5"/>
    <w:rsid w:val="00155C7D"/>
    <w:rsid w:val="00155F4A"/>
    <w:rsid w:val="00157B27"/>
    <w:rsid w:val="00157B9D"/>
    <w:rsid w:val="00160202"/>
    <w:rsid w:val="001615BE"/>
    <w:rsid w:val="00161FBD"/>
    <w:rsid w:val="00162F58"/>
    <w:rsid w:val="00163913"/>
    <w:rsid w:val="00163DA5"/>
    <w:rsid w:val="00164155"/>
    <w:rsid w:val="00165245"/>
    <w:rsid w:val="0016557E"/>
    <w:rsid w:val="00165A7E"/>
    <w:rsid w:val="001671D1"/>
    <w:rsid w:val="001673BB"/>
    <w:rsid w:val="00170548"/>
    <w:rsid w:val="00170CF2"/>
    <w:rsid w:val="00170EEB"/>
    <w:rsid w:val="00171824"/>
    <w:rsid w:val="00172475"/>
    <w:rsid w:val="00172BAF"/>
    <w:rsid w:val="001736D5"/>
    <w:rsid w:val="00173734"/>
    <w:rsid w:val="00174823"/>
    <w:rsid w:val="00174C45"/>
    <w:rsid w:val="001752B4"/>
    <w:rsid w:val="00175807"/>
    <w:rsid w:val="0017616A"/>
    <w:rsid w:val="001774F8"/>
    <w:rsid w:val="00180709"/>
    <w:rsid w:val="00180711"/>
    <w:rsid w:val="001812D7"/>
    <w:rsid w:val="00181D8E"/>
    <w:rsid w:val="00182B91"/>
    <w:rsid w:val="00182F00"/>
    <w:rsid w:val="00183ED7"/>
    <w:rsid w:val="00184934"/>
    <w:rsid w:val="0018594A"/>
    <w:rsid w:val="001868B2"/>
    <w:rsid w:val="0018700C"/>
    <w:rsid w:val="00187EA0"/>
    <w:rsid w:val="0019085E"/>
    <w:rsid w:val="00190990"/>
    <w:rsid w:val="0019123F"/>
    <w:rsid w:val="00191AA1"/>
    <w:rsid w:val="00191C2C"/>
    <w:rsid w:val="001923DD"/>
    <w:rsid w:val="00192401"/>
    <w:rsid w:val="0019369B"/>
    <w:rsid w:val="001944AC"/>
    <w:rsid w:val="00194780"/>
    <w:rsid w:val="00194C31"/>
    <w:rsid w:val="00194F8C"/>
    <w:rsid w:val="00195200"/>
    <w:rsid w:val="0019553F"/>
    <w:rsid w:val="00195CBA"/>
    <w:rsid w:val="00195D9E"/>
    <w:rsid w:val="0019615C"/>
    <w:rsid w:val="00196BFF"/>
    <w:rsid w:val="00196D3B"/>
    <w:rsid w:val="001975E3"/>
    <w:rsid w:val="001A06C8"/>
    <w:rsid w:val="001A0BD2"/>
    <w:rsid w:val="001A1430"/>
    <w:rsid w:val="001A1C4D"/>
    <w:rsid w:val="001A2855"/>
    <w:rsid w:val="001A3973"/>
    <w:rsid w:val="001A5F43"/>
    <w:rsid w:val="001A6709"/>
    <w:rsid w:val="001A6D28"/>
    <w:rsid w:val="001A6FD4"/>
    <w:rsid w:val="001A7A19"/>
    <w:rsid w:val="001B0375"/>
    <w:rsid w:val="001B079C"/>
    <w:rsid w:val="001B1E1C"/>
    <w:rsid w:val="001B2570"/>
    <w:rsid w:val="001B2E70"/>
    <w:rsid w:val="001B36C5"/>
    <w:rsid w:val="001B3BCC"/>
    <w:rsid w:val="001B3FF8"/>
    <w:rsid w:val="001B4703"/>
    <w:rsid w:val="001B4B54"/>
    <w:rsid w:val="001B5672"/>
    <w:rsid w:val="001B5847"/>
    <w:rsid w:val="001B5A94"/>
    <w:rsid w:val="001B6A89"/>
    <w:rsid w:val="001B6B39"/>
    <w:rsid w:val="001B6D32"/>
    <w:rsid w:val="001C0399"/>
    <w:rsid w:val="001C05C7"/>
    <w:rsid w:val="001C08C9"/>
    <w:rsid w:val="001C0A5B"/>
    <w:rsid w:val="001C1595"/>
    <w:rsid w:val="001C1F0F"/>
    <w:rsid w:val="001C203B"/>
    <w:rsid w:val="001C2CC6"/>
    <w:rsid w:val="001C3EE7"/>
    <w:rsid w:val="001C405F"/>
    <w:rsid w:val="001C6BA3"/>
    <w:rsid w:val="001C71E7"/>
    <w:rsid w:val="001C79C7"/>
    <w:rsid w:val="001D0020"/>
    <w:rsid w:val="001D0E96"/>
    <w:rsid w:val="001D1364"/>
    <w:rsid w:val="001D187F"/>
    <w:rsid w:val="001D1A0D"/>
    <w:rsid w:val="001D1AE7"/>
    <w:rsid w:val="001D1C35"/>
    <w:rsid w:val="001D21D3"/>
    <w:rsid w:val="001D354F"/>
    <w:rsid w:val="001D391A"/>
    <w:rsid w:val="001D53E9"/>
    <w:rsid w:val="001D55B0"/>
    <w:rsid w:val="001D571A"/>
    <w:rsid w:val="001D5930"/>
    <w:rsid w:val="001D5EF6"/>
    <w:rsid w:val="001D5FF5"/>
    <w:rsid w:val="001D6B2E"/>
    <w:rsid w:val="001D7809"/>
    <w:rsid w:val="001D7C73"/>
    <w:rsid w:val="001E0224"/>
    <w:rsid w:val="001E0601"/>
    <w:rsid w:val="001E1516"/>
    <w:rsid w:val="001E386E"/>
    <w:rsid w:val="001E4B5E"/>
    <w:rsid w:val="001E5046"/>
    <w:rsid w:val="001E515D"/>
    <w:rsid w:val="001E6576"/>
    <w:rsid w:val="001E7771"/>
    <w:rsid w:val="001F05AB"/>
    <w:rsid w:val="001F0B10"/>
    <w:rsid w:val="001F1BA6"/>
    <w:rsid w:val="001F1D77"/>
    <w:rsid w:val="001F3CA4"/>
    <w:rsid w:val="001F3EB3"/>
    <w:rsid w:val="001F4AE8"/>
    <w:rsid w:val="001F5318"/>
    <w:rsid w:val="001F6F00"/>
    <w:rsid w:val="001F7840"/>
    <w:rsid w:val="001F7D91"/>
    <w:rsid w:val="0020103F"/>
    <w:rsid w:val="00202349"/>
    <w:rsid w:val="00202839"/>
    <w:rsid w:val="00202B9E"/>
    <w:rsid w:val="002033CC"/>
    <w:rsid w:val="00203401"/>
    <w:rsid w:val="002045CC"/>
    <w:rsid w:val="00205C87"/>
    <w:rsid w:val="00206409"/>
    <w:rsid w:val="002068DB"/>
    <w:rsid w:val="002075C5"/>
    <w:rsid w:val="002077C4"/>
    <w:rsid w:val="00210AD5"/>
    <w:rsid w:val="002113B7"/>
    <w:rsid w:val="002116A1"/>
    <w:rsid w:val="002119C9"/>
    <w:rsid w:val="00211DF0"/>
    <w:rsid w:val="0021202B"/>
    <w:rsid w:val="00213369"/>
    <w:rsid w:val="00213BAE"/>
    <w:rsid w:val="00214F87"/>
    <w:rsid w:val="00215BF1"/>
    <w:rsid w:val="00220AA7"/>
    <w:rsid w:val="00220E8D"/>
    <w:rsid w:val="0022192F"/>
    <w:rsid w:val="00221935"/>
    <w:rsid w:val="00222EFC"/>
    <w:rsid w:val="00223F39"/>
    <w:rsid w:val="00224CF3"/>
    <w:rsid w:val="0022513C"/>
    <w:rsid w:val="002260ED"/>
    <w:rsid w:val="00226114"/>
    <w:rsid w:val="0022676B"/>
    <w:rsid w:val="002304C3"/>
    <w:rsid w:val="00230F69"/>
    <w:rsid w:val="00231CC5"/>
    <w:rsid w:val="00231DB7"/>
    <w:rsid w:val="00232307"/>
    <w:rsid w:val="00233570"/>
    <w:rsid w:val="00234857"/>
    <w:rsid w:val="002360BF"/>
    <w:rsid w:val="00237145"/>
    <w:rsid w:val="002373A6"/>
    <w:rsid w:val="002409F5"/>
    <w:rsid w:val="0024107E"/>
    <w:rsid w:val="00241370"/>
    <w:rsid w:val="002421C9"/>
    <w:rsid w:val="002424A4"/>
    <w:rsid w:val="002424FF"/>
    <w:rsid w:val="00243500"/>
    <w:rsid w:val="00243678"/>
    <w:rsid w:val="00243CF3"/>
    <w:rsid w:val="002447C7"/>
    <w:rsid w:val="00244B5B"/>
    <w:rsid w:val="00245878"/>
    <w:rsid w:val="00245CF7"/>
    <w:rsid w:val="00245E82"/>
    <w:rsid w:val="002461B1"/>
    <w:rsid w:val="00246B62"/>
    <w:rsid w:val="00247C10"/>
    <w:rsid w:val="00252228"/>
    <w:rsid w:val="00253285"/>
    <w:rsid w:val="00253378"/>
    <w:rsid w:val="00253A7E"/>
    <w:rsid w:val="0025432A"/>
    <w:rsid w:val="00255860"/>
    <w:rsid w:val="00255BA5"/>
    <w:rsid w:val="002560DF"/>
    <w:rsid w:val="00256E06"/>
    <w:rsid w:val="002573D1"/>
    <w:rsid w:val="00257514"/>
    <w:rsid w:val="002601B5"/>
    <w:rsid w:val="00262AE2"/>
    <w:rsid w:val="002666E8"/>
    <w:rsid w:val="00266C8C"/>
    <w:rsid w:val="00266F25"/>
    <w:rsid w:val="00270345"/>
    <w:rsid w:val="00272A48"/>
    <w:rsid w:val="002740CC"/>
    <w:rsid w:val="00274307"/>
    <w:rsid w:val="002750D7"/>
    <w:rsid w:val="002759E2"/>
    <w:rsid w:val="0027611A"/>
    <w:rsid w:val="00276552"/>
    <w:rsid w:val="00276611"/>
    <w:rsid w:val="00277EC9"/>
    <w:rsid w:val="00280241"/>
    <w:rsid w:val="00281B0E"/>
    <w:rsid w:val="00282457"/>
    <w:rsid w:val="00283096"/>
    <w:rsid w:val="002834D0"/>
    <w:rsid w:val="00284AF0"/>
    <w:rsid w:val="002856C5"/>
    <w:rsid w:val="002859A2"/>
    <w:rsid w:val="00285A6E"/>
    <w:rsid w:val="0028677E"/>
    <w:rsid w:val="00286E96"/>
    <w:rsid w:val="0028789E"/>
    <w:rsid w:val="00290006"/>
    <w:rsid w:val="00290291"/>
    <w:rsid w:val="0029030D"/>
    <w:rsid w:val="0029090B"/>
    <w:rsid w:val="002910F4"/>
    <w:rsid w:val="00291F20"/>
    <w:rsid w:val="002920B2"/>
    <w:rsid w:val="002930AC"/>
    <w:rsid w:val="00293203"/>
    <w:rsid w:val="00293829"/>
    <w:rsid w:val="00293D77"/>
    <w:rsid w:val="0029450D"/>
    <w:rsid w:val="0029515F"/>
    <w:rsid w:val="002951D3"/>
    <w:rsid w:val="00295A89"/>
    <w:rsid w:val="00295AE1"/>
    <w:rsid w:val="00295D25"/>
    <w:rsid w:val="002961B8"/>
    <w:rsid w:val="00296C7B"/>
    <w:rsid w:val="0029793D"/>
    <w:rsid w:val="002A1AE8"/>
    <w:rsid w:val="002A1BF7"/>
    <w:rsid w:val="002A27E1"/>
    <w:rsid w:val="002A3D14"/>
    <w:rsid w:val="002A409F"/>
    <w:rsid w:val="002A48A9"/>
    <w:rsid w:val="002A6339"/>
    <w:rsid w:val="002A6E0B"/>
    <w:rsid w:val="002B0B9B"/>
    <w:rsid w:val="002B10EE"/>
    <w:rsid w:val="002B1AB4"/>
    <w:rsid w:val="002B4941"/>
    <w:rsid w:val="002B5181"/>
    <w:rsid w:val="002B5F57"/>
    <w:rsid w:val="002B7170"/>
    <w:rsid w:val="002C070D"/>
    <w:rsid w:val="002C1241"/>
    <w:rsid w:val="002C1D4B"/>
    <w:rsid w:val="002C2374"/>
    <w:rsid w:val="002C30C4"/>
    <w:rsid w:val="002C3CBB"/>
    <w:rsid w:val="002C4D58"/>
    <w:rsid w:val="002C50FC"/>
    <w:rsid w:val="002C5999"/>
    <w:rsid w:val="002C6021"/>
    <w:rsid w:val="002C7EFA"/>
    <w:rsid w:val="002D0CCD"/>
    <w:rsid w:val="002D1112"/>
    <w:rsid w:val="002D1617"/>
    <w:rsid w:val="002D2205"/>
    <w:rsid w:val="002D2265"/>
    <w:rsid w:val="002D29CA"/>
    <w:rsid w:val="002D3658"/>
    <w:rsid w:val="002D50C4"/>
    <w:rsid w:val="002D603F"/>
    <w:rsid w:val="002D62DD"/>
    <w:rsid w:val="002D68A0"/>
    <w:rsid w:val="002D6C19"/>
    <w:rsid w:val="002E01F7"/>
    <w:rsid w:val="002E0E5C"/>
    <w:rsid w:val="002E3EC3"/>
    <w:rsid w:val="002E4A64"/>
    <w:rsid w:val="002E5073"/>
    <w:rsid w:val="002E556E"/>
    <w:rsid w:val="002E63F0"/>
    <w:rsid w:val="002E694B"/>
    <w:rsid w:val="002F0E79"/>
    <w:rsid w:val="002F14C9"/>
    <w:rsid w:val="002F288A"/>
    <w:rsid w:val="002F298A"/>
    <w:rsid w:val="002F2C13"/>
    <w:rsid w:val="002F37C3"/>
    <w:rsid w:val="002F42CA"/>
    <w:rsid w:val="002F50CB"/>
    <w:rsid w:val="002F5E2F"/>
    <w:rsid w:val="002F6B8F"/>
    <w:rsid w:val="003010F4"/>
    <w:rsid w:val="00302574"/>
    <w:rsid w:val="00302926"/>
    <w:rsid w:val="003030E0"/>
    <w:rsid w:val="00303121"/>
    <w:rsid w:val="003035D6"/>
    <w:rsid w:val="003037BE"/>
    <w:rsid w:val="00303D4A"/>
    <w:rsid w:val="0030416B"/>
    <w:rsid w:val="00305D47"/>
    <w:rsid w:val="00305FD3"/>
    <w:rsid w:val="0030608D"/>
    <w:rsid w:val="0030611E"/>
    <w:rsid w:val="00306E3F"/>
    <w:rsid w:val="00306F95"/>
    <w:rsid w:val="003105A1"/>
    <w:rsid w:val="00310A8B"/>
    <w:rsid w:val="00310E03"/>
    <w:rsid w:val="003110C1"/>
    <w:rsid w:val="00311232"/>
    <w:rsid w:val="0031154C"/>
    <w:rsid w:val="0031279C"/>
    <w:rsid w:val="00312F21"/>
    <w:rsid w:val="003133D1"/>
    <w:rsid w:val="00313A6C"/>
    <w:rsid w:val="00314F2D"/>
    <w:rsid w:val="003151CB"/>
    <w:rsid w:val="003163DC"/>
    <w:rsid w:val="00316B9A"/>
    <w:rsid w:val="00316D19"/>
    <w:rsid w:val="00317575"/>
    <w:rsid w:val="00317907"/>
    <w:rsid w:val="0032022C"/>
    <w:rsid w:val="0032030A"/>
    <w:rsid w:val="003207BC"/>
    <w:rsid w:val="00322ED5"/>
    <w:rsid w:val="00323788"/>
    <w:rsid w:val="00323C53"/>
    <w:rsid w:val="00323F20"/>
    <w:rsid w:val="003253CE"/>
    <w:rsid w:val="00325E4B"/>
    <w:rsid w:val="003261E3"/>
    <w:rsid w:val="003261FE"/>
    <w:rsid w:val="0033032A"/>
    <w:rsid w:val="00330661"/>
    <w:rsid w:val="003313A8"/>
    <w:rsid w:val="00333ED6"/>
    <w:rsid w:val="00334F51"/>
    <w:rsid w:val="00335059"/>
    <w:rsid w:val="00335555"/>
    <w:rsid w:val="00335E47"/>
    <w:rsid w:val="00336593"/>
    <w:rsid w:val="0033706B"/>
    <w:rsid w:val="00337349"/>
    <w:rsid w:val="003374BD"/>
    <w:rsid w:val="0034073E"/>
    <w:rsid w:val="00341103"/>
    <w:rsid w:val="003418C1"/>
    <w:rsid w:val="00341F18"/>
    <w:rsid w:val="00343241"/>
    <w:rsid w:val="00343576"/>
    <w:rsid w:val="00343EBD"/>
    <w:rsid w:val="0034443A"/>
    <w:rsid w:val="0034552E"/>
    <w:rsid w:val="00345C05"/>
    <w:rsid w:val="00345E29"/>
    <w:rsid w:val="00345EC9"/>
    <w:rsid w:val="00346669"/>
    <w:rsid w:val="00346B00"/>
    <w:rsid w:val="00346B8B"/>
    <w:rsid w:val="00346C66"/>
    <w:rsid w:val="003472F4"/>
    <w:rsid w:val="003474AF"/>
    <w:rsid w:val="00347550"/>
    <w:rsid w:val="00347792"/>
    <w:rsid w:val="003478CE"/>
    <w:rsid w:val="00347A9D"/>
    <w:rsid w:val="0035216B"/>
    <w:rsid w:val="00352503"/>
    <w:rsid w:val="00352960"/>
    <w:rsid w:val="00352E38"/>
    <w:rsid w:val="003533ED"/>
    <w:rsid w:val="00353AFD"/>
    <w:rsid w:val="00355348"/>
    <w:rsid w:val="003553F1"/>
    <w:rsid w:val="00355E15"/>
    <w:rsid w:val="00356294"/>
    <w:rsid w:val="003576F4"/>
    <w:rsid w:val="0035770B"/>
    <w:rsid w:val="003577EB"/>
    <w:rsid w:val="00360FAF"/>
    <w:rsid w:val="00361BF3"/>
    <w:rsid w:val="00361D08"/>
    <w:rsid w:val="0036217F"/>
    <w:rsid w:val="003623F5"/>
    <w:rsid w:val="00363F63"/>
    <w:rsid w:val="003644BD"/>
    <w:rsid w:val="00364E7F"/>
    <w:rsid w:val="00365397"/>
    <w:rsid w:val="0036540A"/>
    <w:rsid w:val="00365603"/>
    <w:rsid w:val="003656F8"/>
    <w:rsid w:val="003663C7"/>
    <w:rsid w:val="003700E3"/>
    <w:rsid w:val="00370A92"/>
    <w:rsid w:val="00370C03"/>
    <w:rsid w:val="00371B75"/>
    <w:rsid w:val="00371D07"/>
    <w:rsid w:val="003724DD"/>
    <w:rsid w:val="003738AE"/>
    <w:rsid w:val="003745FF"/>
    <w:rsid w:val="00374C5E"/>
    <w:rsid w:val="0037540E"/>
    <w:rsid w:val="00375A87"/>
    <w:rsid w:val="00375F41"/>
    <w:rsid w:val="003763C2"/>
    <w:rsid w:val="00376417"/>
    <w:rsid w:val="00376448"/>
    <w:rsid w:val="00376B51"/>
    <w:rsid w:val="0037764C"/>
    <w:rsid w:val="003778EB"/>
    <w:rsid w:val="00377CDD"/>
    <w:rsid w:val="00377D9D"/>
    <w:rsid w:val="003810F8"/>
    <w:rsid w:val="0038114D"/>
    <w:rsid w:val="00381ABC"/>
    <w:rsid w:val="0038339C"/>
    <w:rsid w:val="00383912"/>
    <w:rsid w:val="00384905"/>
    <w:rsid w:val="00384A3C"/>
    <w:rsid w:val="00384A9D"/>
    <w:rsid w:val="00386758"/>
    <w:rsid w:val="00386938"/>
    <w:rsid w:val="00387243"/>
    <w:rsid w:val="00390199"/>
    <w:rsid w:val="00390D2C"/>
    <w:rsid w:val="00391C6B"/>
    <w:rsid w:val="00391CD6"/>
    <w:rsid w:val="00391D7B"/>
    <w:rsid w:val="00393312"/>
    <w:rsid w:val="0039363D"/>
    <w:rsid w:val="00393F22"/>
    <w:rsid w:val="003946F9"/>
    <w:rsid w:val="00394B9A"/>
    <w:rsid w:val="00394EDA"/>
    <w:rsid w:val="00395658"/>
    <w:rsid w:val="00397C01"/>
    <w:rsid w:val="003A1363"/>
    <w:rsid w:val="003A16CE"/>
    <w:rsid w:val="003A2504"/>
    <w:rsid w:val="003A2897"/>
    <w:rsid w:val="003A29E8"/>
    <w:rsid w:val="003A2C8C"/>
    <w:rsid w:val="003A2D0F"/>
    <w:rsid w:val="003A2EC8"/>
    <w:rsid w:val="003A34BA"/>
    <w:rsid w:val="003A424E"/>
    <w:rsid w:val="003A427C"/>
    <w:rsid w:val="003A59F1"/>
    <w:rsid w:val="003A5CAA"/>
    <w:rsid w:val="003A6433"/>
    <w:rsid w:val="003A64B7"/>
    <w:rsid w:val="003A676A"/>
    <w:rsid w:val="003A78E6"/>
    <w:rsid w:val="003A7DE4"/>
    <w:rsid w:val="003A7FA9"/>
    <w:rsid w:val="003B00CC"/>
    <w:rsid w:val="003B0A86"/>
    <w:rsid w:val="003B0AD0"/>
    <w:rsid w:val="003B10D3"/>
    <w:rsid w:val="003B18C1"/>
    <w:rsid w:val="003B19D0"/>
    <w:rsid w:val="003B1EC4"/>
    <w:rsid w:val="003B2024"/>
    <w:rsid w:val="003B267B"/>
    <w:rsid w:val="003B29C1"/>
    <w:rsid w:val="003B36D6"/>
    <w:rsid w:val="003B6B8D"/>
    <w:rsid w:val="003B6D3C"/>
    <w:rsid w:val="003C0134"/>
    <w:rsid w:val="003C05CE"/>
    <w:rsid w:val="003C0C1A"/>
    <w:rsid w:val="003C11E0"/>
    <w:rsid w:val="003C1254"/>
    <w:rsid w:val="003C2908"/>
    <w:rsid w:val="003C32A3"/>
    <w:rsid w:val="003C45C8"/>
    <w:rsid w:val="003C500A"/>
    <w:rsid w:val="003C5291"/>
    <w:rsid w:val="003C53C8"/>
    <w:rsid w:val="003C5CC3"/>
    <w:rsid w:val="003C5CEB"/>
    <w:rsid w:val="003C5F07"/>
    <w:rsid w:val="003C664A"/>
    <w:rsid w:val="003D049B"/>
    <w:rsid w:val="003D04CE"/>
    <w:rsid w:val="003D1D89"/>
    <w:rsid w:val="003D2437"/>
    <w:rsid w:val="003D3966"/>
    <w:rsid w:val="003D432E"/>
    <w:rsid w:val="003D4F80"/>
    <w:rsid w:val="003D51E9"/>
    <w:rsid w:val="003D557D"/>
    <w:rsid w:val="003D5A91"/>
    <w:rsid w:val="003D69D0"/>
    <w:rsid w:val="003D6B51"/>
    <w:rsid w:val="003D6F87"/>
    <w:rsid w:val="003D774F"/>
    <w:rsid w:val="003E0089"/>
    <w:rsid w:val="003E1016"/>
    <w:rsid w:val="003E15A2"/>
    <w:rsid w:val="003E2A36"/>
    <w:rsid w:val="003E2AF3"/>
    <w:rsid w:val="003E2F3C"/>
    <w:rsid w:val="003E2F74"/>
    <w:rsid w:val="003E6BA2"/>
    <w:rsid w:val="003E6FA4"/>
    <w:rsid w:val="003E7027"/>
    <w:rsid w:val="003E76A5"/>
    <w:rsid w:val="003E79BD"/>
    <w:rsid w:val="003F1369"/>
    <w:rsid w:val="003F2328"/>
    <w:rsid w:val="003F240D"/>
    <w:rsid w:val="003F2F53"/>
    <w:rsid w:val="003F394A"/>
    <w:rsid w:val="003F3BC7"/>
    <w:rsid w:val="003F3CE5"/>
    <w:rsid w:val="003F3FC7"/>
    <w:rsid w:val="003F4678"/>
    <w:rsid w:val="003F49F8"/>
    <w:rsid w:val="003F5520"/>
    <w:rsid w:val="003F7948"/>
    <w:rsid w:val="00401211"/>
    <w:rsid w:val="00401C04"/>
    <w:rsid w:val="004034E1"/>
    <w:rsid w:val="00404BC3"/>
    <w:rsid w:val="0040534D"/>
    <w:rsid w:val="00406E6D"/>
    <w:rsid w:val="00407362"/>
    <w:rsid w:val="00410337"/>
    <w:rsid w:val="00410766"/>
    <w:rsid w:val="00410EDF"/>
    <w:rsid w:val="00411134"/>
    <w:rsid w:val="00411B09"/>
    <w:rsid w:val="004122A2"/>
    <w:rsid w:val="00412C49"/>
    <w:rsid w:val="00413C6D"/>
    <w:rsid w:val="0041420F"/>
    <w:rsid w:val="0041430E"/>
    <w:rsid w:val="00414FC0"/>
    <w:rsid w:val="00416FEA"/>
    <w:rsid w:val="004209AB"/>
    <w:rsid w:val="00420B72"/>
    <w:rsid w:val="0042154B"/>
    <w:rsid w:val="00421CEB"/>
    <w:rsid w:val="00421E4F"/>
    <w:rsid w:val="0042216C"/>
    <w:rsid w:val="00422380"/>
    <w:rsid w:val="00422C1A"/>
    <w:rsid w:val="00422DD0"/>
    <w:rsid w:val="00423708"/>
    <w:rsid w:val="004238F4"/>
    <w:rsid w:val="004243A8"/>
    <w:rsid w:val="00424C3F"/>
    <w:rsid w:val="00425136"/>
    <w:rsid w:val="00425C82"/>
    <w:rsid w:val="00426C66"/>
    <w:rsid w:val="0042770E"/>
    <w:rsid w:val="00427C38"/>
    <w:rsid w:val="00427CEF"/>
    <w:rsid w:val="00430C51"/>
    <w:rsid w:val="00430F37"/>
    <w:rsid w:val="004313A9"/>
    <w:rsid w:val="00432249"/>
    <w:rsid w:val="00432E73"/>
    <w:rsid w:val="0043391B"/>
    <w:rsid w:val="00433A08"/>
    <w:rsid w:val="00433BE8"/>
    <w:rsid w:val="0043474F"/>
    <w:rsid w:val="004353FB"/>
    <w:rsid w:val="00436601"/>
    <w:rsid w:val="004366CD"/>
    <w:rsid w:val="00436A76"/>
    <w:rsid w:val="0043752B"/>
    <w:rsid w:val="00437813"/>
    <w:rsid w:val="00437E3F"/>
    <w:rsid w:val="00441464"/>
    <w:rsid w:val="0044266F"/>
    <w:rsid w:val="004426F5"/>
    <w:rsid w:val="0044276A"/>
    <w:rsid w:val="004430EF"/>
    <w:rsid w:val="004434F9"/>
    <w:rsid w:val="0044432C"/>
    <w:rsid w:val="00444792"/>
    <w:rsid w:val="00444840"/>
    <w:rsid w:val="00445340"/>
    <w:rsid w:val="004455EF"/>
    <w:rsid w:val="004455F8"/>
    <w:rsid w:val="00446233"/>
    <w:rsid w:val="0044736B"/>
    <w:rsid w:val="00447794"/>
    <w:rsid w:val="00450A09"/>
    <w:rsid w:val="0045111B"/>
    <w:rsid w:val="00451193"/>
    <w:rsid w:val="004512EA"/>
    <w:rsid w:val="0045174E"/>
    <w:rsid w:val="00451C4A"/>
    <w:rsid w:val="004520FC"/>
    <w:rsid w:val="00452FDA"/>
    <w:rsid w:val="00453498"/>
    <w:rsid w:val="004536C8"/>
    <w:rsid w:val="00453AEB"/>
    <w:rsid w:val="00454A22"/>
    <w:rsid w:val="00454FEC"/>
    <w:rsid w:val="00456233"/>
    <w:rsid w:val="00456E5F"/>
    <w:rsid w:val="00457600"/>
    <w:rsid w:val="0045786D"/>
    <w:rsid w:val="004609AA"/>
    <w:rsid w:val="004621C3"/>
    <w:rsid w:val="00463FAC"/>
    <w:rsid w:val="00464988"/>
    <w:rsid w:val="004649C2"/>
    <w:rsid w:val="00464C17"/>
    <w:rsid w:val="0046634B"/>
    <w:rsid w:val="00466740"/>
    <w:rsid w:val="00470126"/>
    <w:rsid w:val="0047108B"/>
    <w:rsid w:val="004714A2"/>
    <w:rsid w:val="004714CE"/>
    <w:rsid w:val="00472096"/>
    <w:rsid w:val="00472137"/>
    <w:rsid w:val="0047252F"/>
    <w:rsid w:val="00472539"/>
    <w:rsid w:val="004740E0"/>
    <w:rsid w:val="00474B0C"/>
    <w:rsid w:val="00475311"/>
    <w:rsid w:val="004757BE"/>
    <w:rsid w:val="00475F7C"/>
    <w:rsid w:val="0047609C"/>
    <w:rsid w:val="00476C75"/>
    <w:rsid w:val="00476C98"/>
    <w:rsid w:val="00476F1A"/>
    <w:rsid w:val="00480415"/>
    <w:rsid w:val="00480B0A"/>
    <w:rsid w:val="00481197"/>
    <w:rsid w:val="00482F82"/>
    <w:rsid w:val="00483422"/>
    <w:rsid w:val="00483AA5"/>
    <w:rsid w:val="004847E5"/>
    <w:rsid w:val="004849B5"/>
    <w:rsid w:val="00485A52"/>
    <w:rsid w:val="004863E4"/>
    <w:rsid w:val="004868A7"/>
    <w:rsid w:val="00486ADF"/>
    <w:rsid w:val="00486F8D"/>
    <w:rsid w:val="004870E2"/>
    <w:rsid w:val="00487272"/>
    <w:rsid w:val="00490131"/>
    <w:rsid w:val="0049047F"/>
    <w:rsid w:val="00490B21"/>
    <w:rsid w:val="00490D68"/>
    <w:rsid w:val="00491B32"/>
    <w:rsid w:val="00492CC9"/>
    <w:rsid w:val="00493E99"/>
    <w:rsid w:val="00494221"/>
    <w:rsid w:val="00495A7D"/>
    <w:rsid w:val="00495E30"/>
    <w:rsid w:val="004960E4"/>
    <w:rsid w:val="004968CB"/>
    <w:rsid w:val="00496CA3"/>
    <w:rsid w:val="00496D57"/>
    <w:rsid w:val="00497547"/>
    <w:rsid w:val="004979DE"/>
    <w:rsid w:val="004A0D80"/>
    <w:rsid w:val="004A0DDF"/>
    <w:rsid w:val="004A0FF5"/>
    <w:rsid w:val="004A1574"/>
    <w:rsid w:val="004A15A9"/>
    <w:rsid w:val="004A17AC"/>
    <w:rsid w:val="004A252B"/>
    <w:rsid w:val="004A2DA2"/>
    <w:rsid w:val="004A2E98"/>
    <w:rsid w:val="004A2FAF"/>
    <w:rsid w:val="004A38B5"/>
    <w:rsid w:val="004A3F3F"/>
    <w:rsid w:val="004A4DFE"/>
    <w:rsid w:val="004A549C"/>
    <w:rsid w:val="004A5EBC"/>
    <w:rsid w:val="004A6649"/>
    <w:rsid w:val="004A75F0"/>
    <w:rsid w:val="004A7B09"/>
    <w:rsid w:val="004A7B45"/>
    <w:rsid w:val="004B0471"/>
    <w:rsid w:val="004B07DC"/>
    <w:rsid w:val="004B0978"/>
    <w:rsid w:val="004B0D97"/>
    <w:rsid w:val="004B130D"/>
    <w:rsid w:val="004B1448"/>
    <w:rsid w:val="004B1642"/>
    <w:rsid w:val="004B1FFD"/>
    <w:rsid w:val="004B2910"/>
    <w:rsid w:val="004B2A00"/>
    <w:rsid w:val="004B2FB9"/>
    <w:rsid w:val="004B306F"/>
    <w:rsid w:val="004B3176"/>
    <w:rsid w:val="004B3D5D"/>
    <w:rsid w:val="004B4146"/>
    <w:rsid w:val="004B5A26"/>
    <w:rsid w:val="004B5F8C"/>
    <w:rsid w:val="004B61DA"/>
    <w:rsid w:val="004B6492"/>
    <w:rsid w:val="004B67C3"/>
    <w:rsid w:val="004B6873"/>
    <w:rsid w:val="004B7527"/>
    <w:rsid w:val="004B7B43"/>
    <w:rsid w:val="004B7CF0"/>
    <w:rsid w:val="004C01FE"/>
    <w:rsid w:val="004C0A59"/>
    <w:rsid w:val="004C0F38"/>
    <w:rsid w:val="004C1962"/>
    <w:rsid w:val="004C2188"/>
    <w:rsid w:val="004C2E8A"/>
    <w:rsid w:val="004C38AE"/>
    <w:rsid w:val="004C427E"/>
    <w:rsid w:val="004C46BF"/>
    <w:rsid w:val="004C46F3"/>
    <w:rsid w:val="004C485F"/>
    <w:rsid w:val="004C4DF7"/>
    <w:rsid w:val="004C5518"/>
    <w:rsid w:val="004C66E8"/>
    <w:rsid w:val="004C72FF"/>
    <w:rsid w:val="004C73CB"/>
    <w:rsid w:val="004D025B"/>
    <w:rsid w:val="004D09B1"/>
    <w:rsid w:val="004D0CEA"/>
    <w:rsid w:val="004D0F4D"/>
    <w:rsid w:val="004D10D9"/>
    <w:rsid w:val="004D1583"/>
    <w:rsid w:val="004D15CE"/>
    <w:rsid w:val="004D316B"/>
    <w:rsid w:val="004D39E2"/>
    <w:rsid w:val="004D47C7"/>
    <w:rsid w:val="004D67FF"/>
    <w:rsid w:val="004D6F54"/>
    <w:rsid w:val="004D73F3"/>
    <w:rsid w:val="004D776D"/>
    <w:rsid w:val="004E0BBC"/>
    <w:rsid w:val="004E16FA"/>
    <w:rsid w:val="004E3388"/>
    <w:rsid w:val="004E42B9"/>
    <w:rsid w:val="004E438D"/>
    <w:rsid w:val="004E47CE"/>
    <w:rsid w:val="004E4DB7"/>
    <w:rsid w:val="004E5503"/>
    <w:rsid w:val="004E6AE0"/>
    <w:rsid w:val="004E772B"/>
    <w:rsid w:val="004E782B"/>
    <w:rsid w:val="004F03C7"/>
    <w:rsid w:val="004F09D4"/>
    <w:rsid w:val="004F10DC"/>
    <w:rsid w:val="004F168B"/>
    <w:rsid w:val="004F1882"/>
    <w:rsid w:val="004F1E9C"/>
    <w:rsid w:val="004F3165"/>
    <w:rsid w:val="004F45C3"/>
    <w:rsid w:val="004F5D0D"/>
    <w:rsid w:val="004F76B5"/>
    <w:rsid w:val="00500104"/>
    <w:rsid w:val="00501369"/>
    <w:rsid w:val="005024B3"/>
    <w:rsid w:val="00503815"/>
    <w:rsid w:val="0050399A"/>
    <w:rsid w:val="00503EF3"/>
    <w:rsid w:val="00504070"/>
    <w:rsid w:val="00504E17"/>
    <w:rsid w:val="0050611F"/>
    <w:rsid w:val="00506412"/>
    <w:rsid w:val="00510F4E"/>
    <w:rsid w:val="00512F8C"/>
    <w:rsid w:val="0051370B"/>
    <w:rsid w:val="00514C04"/>
    <w:rsid w:val="00515213"/>
    <w:rsid w:val="005154B9"/>
    <w:rsid w:val="00515F55"/>
    <w:rsid w:val="00516692"/>
    <w:rsid w:val="00516E43"/>
    <w:rsid w:val="00517862"/>
    <w:rsid w:val="00517A8E"/>
    <w:rsid w:val="00520AE1"/>
    <w:rsid w:val="00520EDE"/>
    <w:rsid w:val="00521274"/>
    <w:rsid w:val="00522780"/>
    <w:rsid w:val="00522876"/>
    <w:rsid w:val="0052410F"/>
    <w:rsid w:val="00525C2A"/>
    <w:rsid w:val="005264E4"/>
    <w:rsid w:val="0052690E"/>
    <w:rsid w:val="00526C81"/>
    <w:rsid w:val="00526E7F"/>
    <w:rsid w:val="005275A7"/>
    <w:rsid w:val="00527BB2"/>
    <w:rsid w:val="00527E2E"/>
    <w:rsid w:val="00530595"/>
    <w:rsid w:val="00530E18"/>
    <w:rsid w:val="005323B9"/>
    <w:rsid w:val="00532A62"/>
    <w:rsid w:val="00532C88"/>
    <w:rsid w:val="00532FD5"/>
    <w:rsid w:val="00533126"/>
    <w:rsid w:val="0053323A"/>
    <w:rsid w:val="00534202"/>
    <w:rsid w:val="005373FF"/>
    <w:rsid w:val="00537686"/>
    <w:rsid w:val="00537FB7"/>
    <w:rsid w:val="005402C5"/>
    <w:rsid w:val="0054060D"/>
    <w:rsid w:val="00541D5E"/>
    <w:rsid w:val="00542257"/>
    <w:rsid w:val="005430F9"/>
    <w:rsid w:val="0054385D"/>
    <w:rsid w:val="005451E4"/>
    <w:rsid w:val="00545342"/>
    <w:rsid w:val="00545F01"/>
    <w:rsid w:val="00546C23"/>
    <w:rsid w:val="0055078D"/>
    <w:rsid w:val="00550968"/>
    <w:rsid w:val="00552352"/>
    <w:rsid w:val="0055281E"/>
    <w:rsid w:val="00553933"/>
    <w:rsid w:val="00553A79"/>
    <w:rsid w:val="00553CA2"/>
    <w:rsid w:val="005541F5"/>
    <w:rsid w:val="00554531"/>
    <w:rsid w:val="005545B6"/>
    <w:rsid w:val="00554C1B"/>
    <w:rsid w:val="0055631E"/>
    <w:rsid w:val="00557C9C"/>
    <w:rsid w:val="0056079B"/>
    <w:rsid w:val="005616C4"/>
    <w:rsid w:val="00561D53"/>
    <w:rsid w:val="00561E3F"/>
    <w:rsid w:val="00562470"/>
    <w:rsid w:val="00562713"/>
    <w:rsid w:val="00562C82"/>
    <w:rsid w:val="00565EE0"/>
    <w:rsid w:val="0056645D"/>
    <w:rsid w:val="00566817"/>
    <w:rsid w:val="00570312"/>
    <w:rsid w:val="00570785"/>
    <w:rsid w:val="00570AB1"/>
    <w:rsid w:val="00570BD4"/>
    <w:rsid w:val="00570C79"/>
    <w:rsid w:val="00571417"/>
    <w:rsid w:val="00571542"/>
    <w:rsid w:val="0057234A"/>
    <w:rsid w:val="005724B6"/>
    <w:rsid w:val="0057296D"/>
    <w:rsid w:val="00572C9A"/>
    <w:rsid w:val="00573450"/>
    <w:rsid w:val="005736FD"/>
    <w:rsid w:val="00574433"/>
    <w:rsid w:val="00575789"/>
    <w:rsid w:val="005758B2"/>
    <w:rsid w:val="00577B90"/>
    <w:rsid w:val="005806C5"/>
    <w:rsid w:val="0058077B"/>
    <w:rsid w:val="00580B3C"/>
    <w:rsid w:val="005814E0"/>
    <w:rsid w:val="0058256C"/>
    <w:rsid w:val="00583C3A"/>
    <w:rsid w:val="0058434E"/>
    <w:rsid w:val="00584897"/>
    <w:rsid w:val="005854A2"/>
    <w:rsid w:val="0058610F"/>
    <w:rsid w:val="00586CEA"/>
    <w:rsid w:val="00587985"/>
    <w:rsid w:val="005900C5"/>
    <w:rsid w:val="00590554"/>
    <w:rsid w:val="00591319"/>
    <w:rsid w:val="00591B58"/>
    <w:rsid w:val="00591CD9"/>
    <w:rsid w:val="0059256F"/>
    <w:rsid w:val="00592B84"/>
    <w:rsid w:val="00592D10"/>
    <w:rsid w:val="005944F1"/>
    <w:rsid w:val="00596244"/>
    <w:rsid w:val="005963BF"/>
    <w:rsid w:val="00596DDF"/>
    <w:rsid w:val="00596E17"/>
    <w:rsid w:val="005A05EE"/>
    <w:rsid w:val="005A1197"/>
    <w:rsid w:val="005A11EB"/>
    <w:rsid w:val="005A2369"/>
    <w:rsid w:val="005A2792"/>
    <w:rsid w:val="005A3883"/>
    <w:rsid w:val="005A3986"/>
    <w:rsid w:val="005A3CEA"/>
    <w:rsid w:val="005A42ED"/>
    <w:rsid w:val="005A50B9"/>
    <w:rsid w:val="005A5700"/>
    <w:rsid w:val="005A6346"/>
    <w:rsid w:val="005A7E97"/>
    <w:rsid w:val="005B01BD"/>
    <w:rsid w:val="005B06FC"/>
    <w:rsid w:val="005B0B22"/>
    <w:rsid w:val="005B2347"/>
    <w:rsid w:val="005B342E"/>
    <w:rsid w:val="005B34C9"/>
    <w:rsid w:val="005B3B9B"/>
    <w:rsid w:val="005B43BA"/>
    <w:rsid w:val="005B4560"/>
    <w:rsid w:val="005B4953"/>
    <w:rsid w:val="005B4B14"/>
    <w:rsid w:val="005B512E"/>
    <w:rsid w:val="005B5358"/>
    <w:rsid w:val="005B5E27"/>
    <w:rsid w:val="005B66AA"/>
    <w:rsid w:val="005B7586"/>
    <w:rsid w:val="005B7824"/>
    <w:rsid w:val="005B7AC9"/>
    <w:rsid w:val="005C0000"/>
    <w:rsid w:val="005C23A8"/>
    <w:rsid w:val="005C2B5A"/>
    <w:rsid w:val="005C2EC8"/>
    <w:rsid w:val="005C38ED"/>
    <w:rsid w:val="005C3EFD"/>
    <w:rsid w:val="005C4557"/>
    <w:rsid w:val="005C4654"/>
    <w:rsid w:val="005C4BA5"/>
    <w:rsid w:val="005C4BF1"/>
    <w:rsid w:val="005C56B0"/>
    <w:rsid w:val="005C56C9"/>
    <w:rsid w:val="005C67F8"/>
    <w:rsid w:val="005C692F"/>
    <w:rsid w:val="005C746D"/>
    <w:rsid w:val="005C7808"/>
    <w:rsid w:val="005C79E5"/>
    <w:rsid w:val="005D03AB"/>
    <w:rsid w:val="005D0B36"/>
    <w:rsid w:val="005D31EB"/>
    <w:rsid w:val="005D3427"/>
    <w:rsid w:val="005D35FC"/>
    <w:rsid w:val="005D4394"/>
    <w:rsid w:val="005D461D"/>
    <w:rsid w:val="005D65A3"/>
    <w:rsid w:val="005D710E"/>
    <w:rsid w:val="005D7D68"/>
    <w:rsid w:val="005E06CA"/>
    <w:rsid w:val="005E0B2D"/>
    <w:rsid w:val="005E0B53"/>
    <w:rsid w:val="005E24F0"/>
    <w:rsid w:val="005E393F"/>
    <w:rsid w:val="005E3B5E"/>
    <w:rsid w:val="005E3B8D"/>
    <w:rsid w:val="005E3D86"/>
    <w:rsid w:val="005E6150"/>
    <w:rsid w:val="005E6F12"/>
    <w:rsid w:val="005E7AA7"/>
    <w:rsid w:val="005F0036"/>
    <w:rsid w:val="005F0CCA"/>
    <w:rsid w:val="005F117E"/>
    <w:rsid w:val="005F14C5"/>
    <w:rsid w:val="005F1695"/>
    <w:rsid w:val="005F1773"/>
    <w:rsid w:val="005F38E9"/>
    <w:rsid w:val="005F50C8"/>
    <w:rsid w:val="005F5F03"/>
    <w:rsid w:val="005F6EE5"/>
    <w:rsid w:val="005F6FF6"/>
    <w:rsid w:val="005F73D2"/>
    <w:rsid w:val="005F7886"/>
    <w:rsid w:val="00600BCA"/>
    <w:rsid w:val="00601ADA"/>
    <w:rsid w:val="00602254"/>
    <w:rsid w:val="006053A8"/>
    <w:rsid w:val="00605DA6"/>
    <w:rsid w:val="00605F35"/>
    <w:rsid w:val="0060632C"/>
    <w:rsid w:val="00607177"/>
    <w:rsid w:val="0060764D"/>
    <w:rsid w:val="00607B99"/>
    <w:rsid w:val="00610470"/>
    <w:rsid w:val="00610B32"/>
    <w:rsid w:val="0061183E"/>
    <w:rsid w:val="0061231F"/>
    <w:rsid w:val="00612CE0"/>
    <w:rsid w:val="0061472B"/>
    <w:rsid w:val="00614A9D"/>
    <w:rsid w:val="00614F5F"/>
    <w:rsid w:val="00615B3D"/>
    <w:rsid w:val="00615E92"/>
    <w:rsid w:val="00617078"/>
    <w:rsid w:val="00620D35"/>
    <w:rsid w:val="00622166"/>
    <w:rsid w:val="006225DB"/>
    <w:rsid w:val="006236B3"/>
    <w:rsid w:val="00624C2A"/>
    <w:rsid w:val="006251AB"/>
    <w:rsid w:val="00625C98"/>
    <w:rsid w:val="00626167"/>
    <w:rsid w:val="006273F2"/>
    <w:rsid w:val="00627837"/>
    <w:rsid w:val="00627A11"/>
    <w:rsid w:val="00627F1F"/>
    <w:rsid w:val="00627F90"/>
    <w:rsid w:val="006306BF"/>
    <w:rsid w:val="00630D59"/>
    <w:rsid w:val="0063137F"/>
    <w:rsid w:val="006318BF"/>
    <w:rsid w:val="0063192B"/>
    <w:rsid w:val="00632DDF"/>
    <w:rsid w:val="00632EC6"/>
    <w:rsid w:val="00633424"/>
    <w:rsid w:val="006336AB"/>
    <w:rsid w:val="00633757"/>
    <w:rsid w:val="00633B89"/>
    <w:rsid w:val="00633D79"/>
    <w:rsid w:val="00634BF8"/>
    <w:rsid w:val="006354B2"/>
    <w:rsid w:val="00635BCE"/>
    <w:rsid w:val="0063602E"/>
    <w:rsid w:val="00636574"/>
    <w:rsid w:val="00636A06"/>
    <w:rsid w:val="006410D0"/>
    <w:rsid w:val="0064116F"/>
    <w:rsid w:val="00642C80"/>
    <w:rsid w:val="0064339B"/>
    <w:rsid w:val="00643DC2"/>
    <w:rsid w:val="00644807"/>
    <w:rsid w:val="006465EB"/>
    <w:rsid w:val="006515C8"/>
    <w:rsid w:val="00651FDD"/>
    <w:rsid w:val="00652C2E"/>
    <w:rsid w:val="0065308E"/>
    <w:rsid w:val="006530CF"/>
    <w:rsid w:val="006535D0"/>
    <w:rsid w:val="0065382A"/>
    <w:rsid w:val="00653DBD"/>
    <w:rsid w:val="00654B41"/>
    <w:rsid w:val="00655041"/>
    <w:rsid w:val="0065509E"/>
    <w:rsid w:val="006553D6"/>
    <w:rsid w:val="0065693D"/>
    <w:rsid w:val="00656A07"/>
    <w:rsid w:val="00656BD8"/>
    <w:rsid w:val="00656F62"/>
    <w:rsid w:val="006570C0"/>
    <w:rsid w:val="006577ED"/>
    <w:rsid w:val="006577FC"/>
    <w:rsid w:val="0065796A"/>
    <w:rsid w:val="00657B48"/>
    <w:rsid w:val="00657F66"/>
    <w:rsid w:val="00657FFE"/>
    <w:rsid w:val="00660555"/>
    <w:rsid w:val="00660AE1"/>
    <w:rsid w:val="00660E87"/>
    <w:rsid w:val="0066190C"/>
    <w:rsid w:val="0066194F"/>
    <w:rsid w:val="006620D0"/>
    <w:rsid w:val="00663759"/>
    <w:rsid w:val="00664985"/>
    <w:rsid w:val="00664991"/>
    <w:rsid w:val="006653CF"/>
    <w:rsid w:val="006659DC"/>
    <w:rsid w:val="00665E78"/>
    <w:rsid w:val="006669F8"/>
    <w:rsid w:val="00667B80"/>
    <w:rsid w:val="006706E1"/>
    <w:rsid w:val="00670717"/>
    <w:rsid w:val="00670F10"/>
    <w:rsid w:val="00671036"/>
    <w:rsid w:val="00671299"/>
    <w:rsid w:val="006722B1"/>
    <w:rsid w:val="00672E1D"/>
    <w:rsid w:val="00673453"/>
    <w:rsid w:val="00673503"/>
    <w:rsid w:val="00673E87"/>
    <w:rsid w:val="00674044"/>
    <w:rsid w:val="00675D84"/>
    <w:rsid w:val="00676644"/>
    <w:rsid w:val="00677265"/>
    <w:rsid w:val="006773BE"/>
    <w:rsid w:val="006774D0"/>
    <w:rsid w:val="00677D97"/>
    <w:rsid w:val="00680C25"/>
    <w:rsid w:val="00682464"/>
    <w:rsid w:val="00684260"/>
    <w:rsid w:val="00684D69"/>
    <w:rsid w:val="00685313"/>
    <w:rsid w:val="006862A5"/>
    <w:rsid w:val="006867E0"/>
    <w:rsid w:val="006906CC"/>
    <w:rsid w:val="00691556"/>
    <w:rsid w:val="0069156C"/>
    <w:rsid w:val="00691CE9"/>
    <w:rsid w:val="006922F3"/>
    <w:rsid w:val="00693014"/>
    <w:rsid w:val="00693825"/>
    <w:rsid w:val="00697020"/>
    <w:rsid w:val="00697492"/>
    <w:rsid w:val="00697EF8"/>
    <w:rsid w:val="006A065D"/>
    <w:rsid w:val="006A1087"/>
    <w:rsid w:val="006A10AE"/>
    <w:rsid w:val="006A170D"/>
    <w:rsid w:val="006A26E1"/>
    <w:rsid w:val="006A2A2F"/>
    <w:rsid w:val="006A3295"/>
    <w:rsid w:val="006A38D3"/>
    <w:rsid w:val="006A4106"/>
    <w:rsid w:val="006A449F"/>
    <w:rsid w:val="006A467C"/>
    <w:rsid w:val="006A52A7"/>
    <w:rsid w:val="006A5319"/>
    <w:rsid w:val="006A5FD0"/>
    <w:rsid w:val="006A6DBA"/>
    <w:rsid w:val="006A78EA"/>
    <w:rsid w:val="006B0D54"/>
    <w:rsid w:val="006B0EF7"/>
    <w:rsid w:val="006B2A44"/>
    <w:rsid w:val="006B3C38"/>
    <w:rsid w:val="006B512F"/>
    <w:rsid w:val="006B52E1"/>
    <w:rsid w:val="006B6935"/>
    <w:rsid w:val="006B6DD0"/>
    <w:rsid w:val="006B7918"/>
    <w:rsid w:val="006C0823"/>
    <w:rsid w:val="006C2696"/>
    <w:rsid w:val="006C38F5"/>
    <w:rsid w:val="006C395D"/>
    <w:rsid w:val="006C408D"/>
    <w:rsid w:val="006C487A"/>
    <w:rsid w:val="006C5C96"/>
    <w:rsid w:val="006C5F3B"/>
    <w:rsid w:val="006C60A0"/>
    <w:rsid w:val="006C61C5"/>
    <w:rsid w:val="006C69D8"/>
    <w:rsid w:val="006C72F3"/>
    <w:rsid w:val="006D036C"/>
    <w:rsid w:val="006D0553"/>
    <w:rsid w:val="006D1095"/>
    <w:rsid w:val="006D258C"/>
    <w:rsid w:val="006D3C72"/>
    <w:rsid w:val="006D5A04"/>
    <w:rsid w:val="006D5C72"/>
    <w:rsid w:val="006D6147"/>
    <w:rsid w:val="006D6904"/>
    <w:rsid w:val="006D723A"/>
    <w:rsid w:val="006D7D0C"/>
    <w:rsid w:val="006D7DC1"/>
    <w:rsid w:val="006E05CF"/>
    <w:rsid w:val="006E0EFF"/>
    <w:rsid w:val="006E1063"/>
    <w:rsid w:val="006E16FC"/>
    <w:rsid w:val="006E276C"/>
    <w:rsid w:val="006E36AB"/>
    <w:rsid w:val="006E37D6"/>
    <w:rsid w:val="006E3BFE"/>
    <w:rsid w:val="006E445B"/>
    <w:rsid w:val="006E481E"/>
    <w:rsid w:val="006E4F03"/>
    <w:rsid w:val="006E6B86"/>
    <w:rsid w:val="006E7792"/>
    <w:rsid w:val="006F01F2"/>
    <w:rsid w:val="006F0475"/>
    <w:rsid w:val="006F0621"/>
    <w:rsid w:val="006F153F"/>
    <w:rsid w:val="006F1633"/>
    <w:rsid w:val="006F1679"/>
    <w:rsid w:val="006F1869"/>
    <w:rsid w:val="006F1A77"/>
    <w:rsid w:val="006F1DCC"/>
    <w:rsid w:val="006F201E"/>
    <w:rsid w:val="006F2859"/>
    <w:rsid w:val="006F2C1F"/>
    <w:rsid w:val="006F3102"/>
    <w:rsid w:val="006F4BA0"/>
    <w:rsid w:val="006F5286"/>
    <w:rsid w:val="006F531A"/>
    <w:rsid w:val="006F5A81"/>
    <w:rsid w:val="006F782C"/>
    <w:rsid w:val="006F7AC2"/>
    <w:rsid w:val="0070153C"/>
    <w:rsid w:val="00701990"/>
    <w:rsid w:val="00701D78"/>
    <w:rsid w:val="00702308"/>
    <w:rsid w:val="0070239F"/>
    <w:rsid w:val="007028B6"/>
    <w:rsid w:val="00704CB0"/>
    <w:rsid w:val="00704E93"/>
    <w:rsid w:val="00705B28"/>
    <w:rsid w:val="00705DAA"/>
    <w:rsid w:val="00706C05"/>
    <w:rsid w:val="00707058"/>
    <w:rsid w:val="00707123"/>
    <w:rsid w:val="0070742F"/>
    <w:rsid w:val="007078AF"/>
    <w:rsid w:val="00707E48"/>
    <w:rsid w:val="0071178C"/>
    <w:rsid w:val="007117E6"/>
    <w:rsid w:val="00712846"/>
    <w:rsid w:val="007133C6"/>
    <w:rsid w:val="0071340A"/>
    <w:rsid w:val="007139B9"/>
    <w:rsid w:val="007139CE"/>
    <w:rsid w:val="007139F2"/>
    <w:rsid w:val="0071594A"/>
    <w:rsid w:val="00716242"/>
    <w:rsid w:val="00717647"/>
    <w:rsid w:val="00717840"/>
    <w:rsid w:val="00717F72"/>
    <w:rsid w:val="007208D2"/>
    <w:rsid w:val="00720B3F"/>
    <w:rsid w:val="00720B98"/>
    <w:rsid w:val="00721C42"/>
    <w:rsid w:val="007228E2"/>
    <w:rsid w:val="00723877"/>
    <w:rsid w:val="00723BF6"/>
    <w:rsid w:val="00724AEC"/>
    <w:rsid w:val="00725362"/>
    <w:rsid w:val="00725A43"/>
    <w:rsid w:val="00726626"/>
    <w:rsid w:val="00727205"/>
    <w:rsid w:val="0073073D"/>
    <w:rsid w:val="00730A53"/>
    <w:rsid w:val="00730AA1"/>
    <w:rsid w:val="0073112C"/>
    <w:rsid w:val="00731A5B"/>
    <w:rsid w:val="00731CE7"/>
    <w:rsid w:val="007332C1"/>
    <w:rsid w:val="0073347A"/>
    <w:rsid w:val="00733653"/>
    <w:rsid w:val="00733AFD"/>
    <w:rsid w:val="00733F63"/>
    <w:rsid w:val="007343F6"/>
    <w:rsid w:val="0073448C"/>
    <w:rsid w:val="007344A4"/>
    <w:rsid w:val="007344F3"/>
    <w:rsid w:val="00734903"/>
    <w:rsid w:val="00734907"/>
    <w:rsid w:val="0073498D"/>
    <w:rsid w:val="00734CF1"/>
    <w:rsid w:val="00734D83"/>
    <w:rsid w:val="00735F5C"/>
    <w:rsid w:val="00736D07"/>
    <w:rsid w:val="00737725"/>
    <w:rsid w:val="007378C5"/>
    <w:rsid w:val="00742043"/>
    <w:rsid w:val="00742164"/>
    <w:rsid w:val="0074243D"/>
    <w:rsid w:val="0074272F"/>
    <w:rsid w:val="007433CC"/>
    <w:rsid w:val="00743E3E"/>
    <w:rsid w:val="0074434D"/>
    <w:rsid w:val="00744AFE"/>
    <w:rsid w:val="00744D82"/>
    <w:rsid w:val="00745573"/>
    <w:rsid w:val="00745E8E"/>
    <w:rsid w:val="00746051"/>
    <w:rsid w:val="0074624C"/>
    <w:rsid w:val="0074638A"/>
    <w:rsid w:val="00747044"/>
    <w:rsid w:val="00747429"/>
    <w:rsid w:val="00747791"/>
    <w:rsid w:val="0075018F"/>
    <w:rsid w:val="00750D6A"/>
    <w:rsid w:val="0075141A"/>
    <w:rsid w:val="00752716"/>
    <w:rsid w:val="00752C2F"/>
    <w:rsid w:val="00752F93"/>
    <w:rsid w:val="00752FC1"/>
    <w:rsid w:val="00753819"/>
    <w:rsid w:val="00753BD2"/>
    <w:rsid w:val="00753EB6"/>
    <w:rsid w:val="00754191"/>
    <w:rsid w:val="00754AC1"/>
    <w:rsid w:val="00754B47"/>
    <w:rsid w:val="0075522C"/>
    <w:rsid w:val="00755943"/>
    <w:rsid w:val="00755A57"/>
    <w:rsid w:val="00756BDE"/>
    <w:rsid w:val="0076038E"/>
    <w:rsid w:val="00760D89"/>
    <w:rsid w:val="00761D70"/>
    <w:rsid w:val="0076223C"/>
    <w:rsid w:val="007622C5"/>
    <w:rsid w:val="0076239A"/>
    <w:rsid w:val="0076348A"/>
    <w:rsid w:val="00763B3B"/>
    <w:rsid w:val="00763BE4"/>
    <w:rsid w:val="0076410D"/>
    <w:rsid w:val="007649B3"/>
    <w:rsid w:val="007666C3"/>
    <w:rsid w:val="00766C2C"/>
    <w:rsid w:val="007673D2"/>
    <w:rsid w:val="007705CF"/>
    <w:rsid w:val="00770D93"/>
    <w:rsid w:val="007722EF"/>
    <w:rsid w:val="00772656"/>
    <w:rsid w:val="00773A0D"/>
    <w:rsid w:val="00773E53"/>
    <w:rsid w:val="007747DB"/>
    <w:rsid w:val="00774837"/>
    <w:rsid w:val="0077550A"/>
    <w:rsid w:val="007765D6"/>
    <w:rsid w:val="00776D45"/>
    <w:rsid w:val="00776FEA"/>
    <w:rsid w:val="007772F0"/>
    <w:rsid w:val="00780557"/>
    <w:rsid w:val="00781955"/>
    <w:rsid w:val="007826A3"/>
    <w:rsid w:val="00782CED"/>
    <w:rsid w:val="00783ECD"/>
    <w:rsid w:val="0078423F"/>
    <w:rsid w:val="0078448B"/>
    <w:rsid w:val="0078467D"/>
    <w:rsid w:val="00785579"/>
    <w:rsid w:val="00785F33"/>
    <w:rsid w:val="00786A9D"/>
    <w:rsid w:val="00786AE3"/>
    <w:rsid w:val="00790414"/>
    <w:rsid w:val="00790824"/>
    <w:rsid w:val="0079246C"/>
    <w:rsid w:val="007933EC"/>
    <w:rsid w:val="007938AD"/>
    <w:rsid w:val="00793C93"/>
    <w:rsid w:val="00794E2A"/>
    <w:rsid w:val="00795C05"/>
    <w:rsid w:val="0079665B"/>
    <w:rsid w:val="00796982"/>
    <w:rsid w:val="00796DCC"/>
    <w:rsid w:val="007A009D"/>
    <w:rsid w:val="007A08A5"/>
    <w:rsid w:val="007A0B27"/>
    <w:rsid w:val="007A202A"/>
    <w:rsid w:val="007A3278"/>
    <w:rsid w:val="007A3447"/>
    <w:rsid w:val="007A39AC"/>
    <w:rsid w:val="007A55BD"/>
    <w:rsid w:val="007A729A"/>
    <w:rsid w:val="007A7743"/>
    <w:rsid w:val="007B20D7"/>
    <w:rsid w:val="007B3BFD"/>
    <w:rsid w:val="007B3C56"/>
    <w:rsid w:val="007B4AE7"/>
    <w:rsid w:val="007B53D4"/>
    <w:rsid w:val="007B5515"/>
    <w:rsid w:val="007B590B"/>
    <w:rsid w:val="007B5936"/>
    <w:rsid w:val="007B5E43"/>
    <w:rsid w:val="007B60DC"/>
    <w:rsid w:val="007B6C6D"/>
    <w:rsid w:val="007B7AA7"/>
    <w:rsid w:val="007B7BEF"/>
    <w:rsid w:val="007C08C0"/>
    <w:rsid w:val="007C1438"/>
    <w:rsid w:val="007C1475"/>
    <w:rsid w:val="007C1565"/>
    <w:rsid w:val="007C1F99"/>
    <w:rsid w:val="007C2864"/>
    <w:rsid w:val="007C28AF"/>
    <w:rsid w:val="007C3CC2"/>
    <w:rsid w:val="007C3DA5"/>
    <w:rsid w:val="007C4DEE"/>
    <w:rsid w:val="007C5634"/>
    <w:rsid w:val="007C6BEC"/>
    <w:rsid w:val="007C6D0C"/>
    <w:rsid w:val="007C7559"/>
    <w:rsid w:val="007C75DF"/>
    <w:rsid w:val="007D0A96"/>
    <w:rsid w:val="007D1730"/>
    <w:rsid w:val="007D230C"/>
    <w:rsid w:val="007D23B1"/>
    <w:rsid w:val="007D428E"/>
    <w:rsid w:val="007D4F62"/>
    <w:rsid w:val="007D53DC"/>
    <w:rsid w:val="007D573B"/>
    <w:rsid w:val="007D5B6D"/>
    <w:rsid w:val="007D605B"/>
    <w:rsid w:val="007D65B7"/>
    <w:rsid w:val="007D73BD"/>
    <w:rsid w:val="007D76B6"/>
    <w:rsid w:val="007E0098"/>
    <w:rsid w:val="007E0C81"/>
    <w:rsid w:val="007E0F8E"/>
    <w:rsid w:val="007E156F"/>
    <w:rsid w:val="007E21AD"/>
    <w:rsid w:val="007E2492"/>
    <w:rsid w:val="007E2DD0"/>
    <w:rsid w:val="007E3224"/>
    <w:rsid w:val="007E445A"/>
    <w:rsid w:val="007E449A"/>
    <w:rsid w:val="007E4A3A"/>
    <w:rsid w:val="007E55C8"/>
    <w:rsid w:val="007E587E"/>
    <w:rsid w:val="007E5B49"/>
    <w:rsid w:val="007F0518"/>
    <w:rsid w:val="007F0BBD"/>
    <w:rsid w:val="007F1786"/>
    <w:rsid w:val="007F18F4"/>
    <w:rsid w:val="007F2411"/>
    <w:rsid w:val="007F33BE"/>
    <w:rsid w:val="007F33E1"/>
    <w:rsid w:val="007F3682"/>
    <w:rsid w:val="007F3736"/>
    <w:rsid w:val="007F49EF"/>
    <w:rsid w:val="007F4BE1"/>
    <w:rsid w:val="007F4D34"/>
    <w:rsid w:val="007F61B2"/>
    <w:rsid w:val="007F6762"/>
    <w:rsid w:val="007F683B"/>
    <w:rsid w:val="007F6DB9"/>
    <w:rsid w:val="007F706F"/>
    <w:rsid w:val="007F71E0"/>
    <w:rsid w:val="007F7FF7"/>
    <w:rsid w:val="00800F43"/>
    <w:rsid w:val="00801512"/>
    <w:rsid w:val="008018F0"/>
    <w:rsid w:val="00801BC8"/>
    <w:rsid w:val="008021E2"/>
    <w:rsid w:val="008025AB"/>
    <w:rsid w:val="00803951"/>
    <w:rsid w:val="00803A68"/>
    <w:rsid w:val="00804F92"/>
    <w:rsid w:val="008057B8"/>
    <w:rsid w:val="008065CC"/>
    <w:rsid w:val="0080739E"/>
    <w:rsid w:val="0080765A"/>
    <w:rsid w:val="00807E16"/>
    <w:rsid w:val="00807FF7"/>
    <w:rsid w:val="00810191"/>
    <w:rsid w:val="008107C5"/>
    <w:rsid w:val="00810BAF"/>
    <w:rsid w:val="00811AAC"/>
    <w:rsid w:val="00811E83"/>
    <w:rsid w:val="0081324C"/>
    <w:rsid w:val="00813A52"/>
    <w:rsid w:val="00813D2E"/>
    <w:rsid w:val="00813FBD"/>
    <w:rsid w:val="00815422"/>
    <w:rsid w:val="00816298"/>
    <w:rsid w:val="008164B3"/>
    <w:rsid w:val="008204FF"/>
    <w:rsid w:val="00820927"/>
    <w:rsid w:val="00820D91"/>
    <w:rsid w:val="00821CB1"/>
    <w:rsid w:val="00821DC9"/>
    <w:rsid w:val="008220EB"/>
    <w:rsid w:val="00822F41"/>
    <w:rsid w:val="00823F04"/>
    <w:rsid w:val="0082582A"/>
    <w:rsid w:val="00825C59"/>
    <w:rsid w:val="00825E1F"/>
    <w:rsid w:val="00826B15"/>
    <w:rsid w:val="00826DE9"/>
    <w:rsid w:val="00826FC2"/>
    <w:rsid w:val="00827A2F"/>
    <w:rsid w:val="008300D4"/>
    <w:rsid w:val="00830D77"/>
    <w:rsid w:val="008313F8"/>
    <w:rsid w:val="00831B00"/>
    <w:rsid w:val="00832269"/>
    <w:rsid w:val="00832B48"/>
    <w:rsid w:val="00833BB0"/>
    <w:rsid w:val="00835B27"/>
    <w:rsid w:val="00835CB5"/>
    <w:rsid w:val="008373E6"/>
    <w:rsid w:val="008375A9"/>
    <w:rsid w:val="00837B18"/>
    <w:rsid w:val="00837E1B"/>
    <w:rsid w:val="00837E90"/>
    <w:rsid w:val="0084018B"/>
    <w:rsid w:val="00841128"/>
    <w:rsid w:val="00842033"/>
    <w:rsid w:val="00844828"/>
    <w:rsid w:val="00844E82"/>
    <w:rsid w:val="00844E97"/>
    <w:rsid w:val="0084574E"/>
    <w:rsid w:val="00845FDC"/>
    <w:rsid w:val="00846184"/>
    <w:rsid w:val="00846E1A"/>
    <w:rsid w:val="00846E53"/>
    <w:rsid w:val="008479F2"/>
    <w:rsid w:val="00847E7F"/>
    <w:rsid w:val="00850419"/>
    <w:rsid w:val="00850437"/>
    <w:rsid w:val="0085047A"/>
    <w:rsid w:val="00850CBE"/>
    <w:rsid w:val="00851D30"/>
    <w:rsid w:val="00852309"/>
    <w:rsid w:val="00852327"/>
    <w:rsid w:val="008524D7"/>
    <w:rsid w:val="008530F0"/>
    <w:rsid w:val="0085382C"/>
    <w:rsid w:val="00853F53"/>
    <w:rsid w:val="00853F9E"/>
    <w:rsid w:val="008550EB"/>
    <w:rsid w:val="00855CD8"/>
    <w:rsid w:val="00855F3B"/>
    <w:rsid w:val="00856B2F"/>
    <w:rsid w:val="008575D2"/>
    <w:rsid w:val="0085782D"/>
    <w:rsid w:val="00857B2E"/>
    <w:rsid w:val="00862F59"/>
    <w:rsid w:val="00863355"/>
    <w:rsid w:val="0086336B"/>
    <w:rsid w:val="00863A9E"/>
    <w:rsid w:val="00864E97"/>
    <w:rsid w:val="00864FF0"/>
    <w:rsid w:val="00865E11"/>
    <w:rsid w:val="00865FB0"/>
    <w:rsid w:val="008660AD"/>
    <w:rsid w:val="008675F8"/>
    <w:rsid w:val="0086768A"/>
    <w:rsid w:val="0087002E"/>
    <w:rsid w:val="00870C1A"/>
    <w:rsid w:val="00870C37"/>
    <w:rsid w:val="008720BE"/>
    <w:rsid w:val="00874069"/>
    <w:rsid w:val="00874902"/>
    <w:rsid w:val="00874CD1"/>
    <w:rsid w:val="008750F0"/>
    <w:rsid w:val="00875E48"/>
    <w:rsid w:val="00876A2E"/>
    <w:rsid w:val="00876D60"/>
    <w:rsid w:val="008770B2"/>
    <w:rsid w:val="0088027A"/>
    <w:rsid w:val="0088119A"/>
    <w:rsid w:val="00881C22"/>
    <w:rsid w:val="00881FE0"/>
    <w:rsid w:val="0088209B"/>
    <w:rsid w:val="00882761"/>
    <w:rsid w:val="00882F77"/>
    <w:rsid w:val="00884244"/>
    <w:rsid w:val="00884325"/>
    <w:rsid w:val="008847DF"/>
    <w:rsid w:val="00884D56"/>
    <w:rsid w:val="00885B99"/>
    <w:rsid w:val="00886C43"/>
    <w:rsid w:val="008901C5"/>
    <w:rsid w:val="008906F8"/>
    <w:rsid w:val="00891771"/>
    <w:rsid w:val="0089177F"/>
    <w:rsid w:val="0089184C"/>
    <w:rsid w:val="00891AFE"/>
    <w:rsid w:val="00891DF1"/>
    <w:rsid w:val="00892049"/>
    <w:rsid w:val="00893309"/>
    <w:rsid w:val="00893C31"/>
    <w:rsid w:val="00893D04"/>
    <w:rsid w:val="00893E5F"/>
    <w:rsid w:val="00895CB3"/>
    <w:rsid w:val="00895CC2"/>
    <w:rsid w:val="00895F49"/>
    <w:rsid w:val="00896A92"/>
    <w:rsid w:val="00896C7B"/>
    <w:rsid w:val="00896F54"/>
    <w:rsid w:val="008A0ACB"/>
    <w:rsid w:val="008A0BA6"/>
    <w:rsid w:val="008A197A"/>
    <w:rsid w:val="008A2F4F"/>
    <w:rsid w:val="008A2F7D"/>
    <w:rsid w:val="008A2FFC"/>
    <w:rsid w:val="008A3212"/>
    <w:rsid w:val="008A3E1D"/>
    <w:rsid w:val="008A4938"/>
    <w:rsid w:val="008A583C"/>
    <w:rsid w:val="008A657A"/>
    <w:rsid w:val="008A6A94"/>
    <w:rsid w:val="008A6DD1"/>
    <w:rsid w:val="008A7C85"/>
    <w:rsid w:val="008A7CBE"/>
    <w:rsid w:val="008A7DFB"/>
    <w:rsid w:val="008B0A1A"/>
    <w:rsid w:val="008B0F13"/>
    <w:rsid w:val="008B2277"/>
    <w:rsid w:val="008B2679"/>
    <w:rsid w:val="008B27F0"/>
    <w:rsid w:val="008B354A"/>
    <w:rsid w:val="008B45CA"/>
    <w:rsid w:val="008B5186"/>
    <w:rsid w:val="008B5515"/>
    <w:rsid w:val="008B56B3"/>
    <w:rsid w:val="008B5A4A"/>
    <w:rsid w:val="008B5E21"/>
    <w:rsid w:val="008B6881"/>
    <w:rsid w:val="008C164E"/>
    <w:rsid w:val="008C4A12"/>
    <w:rsid w:val="008C4A1F"/>
    <w:rsid w:val="008C4C74"/>
    <w:rsid w:val="008C5EC6"/>
    <w:rsid w:val="008C6ABB"/>
    <w:rsid w:val="008C6B2E"/>
    <w:rsid w:val="008C710E"/>
    <w:rsid w:val="008C7549"/>
    <w:rsid w:val="008C78C3"/>
    <w:rsid w:val="008D0402"/>
    <w:rsid w:val="008D0701"/>
    <w:rsid w:val="008D0B5E"/>
    <w:rsid w:val="008D0FB2"/>
    <w:rsid w:val="008D195D"/>
    <w:rsid w:val="008D20FA"/>
    <w:rsid w:val="008D2AED"/>
    <w:rsid w:val="008D2BCE"/>
    <w:rsid w:val="008D2C7A"/>
    <w:rsid w:val="008D3238"/>
    <w:rsid w:val="008D356D"/>
    <w:rsid w:val="008D35B7"/>
    <w:rsid w:val="008D3682"/>
    <w:rsid w:val="008D5973"/>
    <w:rsid w:val="008D5B80"/>
    <w:rsid w:val="008D6498"/>
    <w:rsid w:val="008D68AC"/>
    <w:rsid w:val="008E1008"/>
    <w:rsid w:val="008E1F0F"/>
    <w:rsid w:val="008E2246"/>
    <w:rsid w:val="008E3CCA"/>
    <w:rsid w:val="008E568B"/>
    <w:rsid w:val="008E65BA"/>
    <w:rsid w:val="008E6C21"/>
    <w:rsid w:val="008E706A"/>
    <w:rsid w:val="008E7722"/>
    <w:rsid w:val="008F0EF0"/>
    <w:rsid w:val="008F105E"/>
    <w:rsid w:val="008F123B"/>
    <w:rsid w:val="008F12B8"/>
    <w:rsid w:val="008F2075"/>
    <w:rsid w:val="008F208C"/>
    <w:rsid w:val="008F40BE"/>
    <w:rsid w:val="008F47AC"/>
    <w:rsid w:val="008F49E7"/>
    <w:rsid w:val="008F5EEB"/>
    <w:rsid w:val="00900271"/>
    <w:rsid w:val="00900B4F"/>
    <w:rsid w:val="00901134"/>
    <w:rsid w:val="00901828"/>
    <w:rsid w:val="00902DB5"/>
    <w:rsid w:val="00902E63"/>
    <w:rsid w:val="009038BA"/>
    <w:rsid w:val="009039B7"/>
    <w:rsid w:val="009043E7"/>
    <w:rsid w:val="0090486D"/>
    <w:rsid w:val="00904EE1"/>
    <w:rsid w:val="00905132"/>
    <w:rsid w:val="0090572F"/>
    <w:rsid w:val="00905739"/>
    <w:rsid w:val="00910B13"/>
    <w:rsid w:val="00911023"/>
    <w:rsid w:val="00911F24"/>
    <w:rsid w:val="00912074"/>
    <w:rsid w:val="009122FB"/>
    <w:rsid w:val="009123D2"/>
    <w:rsid w:val="009125A1"/>
    <w:rsid w:val="009146B7"/>
    <w:rsid w:val="00915026"/>
    <w:rsid w:val="00916091"/>
    <w:rsid w:val="009161ED"/>
    <w:rsid w:val="009166C0"/>
    <w:rsid w:val="00916737"/>
    <w:rsid w:val="00917098"/>
    <w:rsid w:val="00917F9F"/>
    <w:rsid w:val="00920485"/>
    <w:rsid w:val="00920D01"/>
    <w:rsid w:val="00921721"/>
    <w:rsid w:val="009218E4"/>
    <w:rsid w:val="00921F38"/>
    <w:rsid w:val="009224E0"/>
    <w:rsid w:val="0092316D"/>
    <w:rsid w:val="0092424B"/>
    <w:rsid w:val="009249C7"/>
    <w:rsid w:val="009253E9"/>
    <w:rsid w:val="009255F5"/>
    <w:rsid w:val="0092562F"/>
    <w:rsid w:val="00926416"/>
    <w:rsid w:val="00926C9A"/>
    <w:rsid w:val="00926D7D"/>
    <w:rsid w:val="0092702B"/>
    <w:rsid w:val="00927C0A"/>
    <w:rsid w:val="0093004F"/>
    <w:rsid w:val="009301CA"/>
    <w:rsid w:val="00930B74"/>
    <w:rsid w:val="009313A5"/>
    <w:rsid w:val="009317B0"/>
    <w:rsid w:val="009318C8"/>
    <w:rsid w:val="00932444"/>
    <w:rsid w:val="00932720"/>
    <w:rsid w:val="009333CE"/>
    <w:rsid w:val="00934787"/>
    <w:rsid w:val="00935F15"/>
    <w:rsid w:val="009370E8"/>
    <w:rsid w:val="009374CE"/>
    <w:rsid w:val="00937DA0"/>
    <w:rsid w:val="00937FB2"/>
    <w:rsid w:val="009409FA"/>
    <w:rsid w:val="00942F28"/>
    <w:rsid w:val="00943053"/>
    <w:rsid w:val="00943CF2"/>
    <w:rsid w:val="00943F50"/>
    <w:rsid w:val="009440E0"/>
    <w:rsid w:val="00944B45"/>
    <w:rsid w:val="009463DA"/>
    <w:rsid w:val="00946B17"/>
    <w:rsid w:val="00946DE1"/>
    <w:rsid w:val="00946FAB"/>
    <w:rsid w:val="00947A39"/>
    <w:rsid w:val="00950212"/>
    <w:rsid w:val="00950674"/>
    <w:rsid w:val="00950A74"/>
    <w:rsid w:val="00950DE6"/>
    <w:rsid w:val="00950FAF"/>
    <w:rsid w:val="00951048"/>
    <w:rsid w:val="00953215"/>
    <w:rsid w:val="00953FE9"/>
    <w:rsid w:val="009543E4"/>
    <w:rsid w:val="009566CE"/>
    <w:rsid w:val="00956CDF"/>
    <w:rsid w:val="0095759A"/>
    <w:rsid w:val="00960376"/>
    <w:rsid w:val="00960BFC"/>
    <w:rsid w:val="00960DC7"/>
    <w:rsid w:val="009613F1"/>
    <w:rsid w:val="00962CA4"/>
    <w:rsid w:val="009638CD"/>
    <w:rsid w:val="00963C0B"/>
    <w:rsid w:val="00965CEC"/>
    <w:rsid w:val="0097084A"/>
    <w:rsid w:val="009718F4"/>
    <w:rsid w:val="00972E36"/>
    <w:rsid w:val="00973154"/>
    <w:rsid w:val="00974181"/>
    <w:rsid w:val="009741F8"/>
    <w:rsid w:val="009747C8"/>
    <w:rsid w:val="00974891"/>
    <w:rsid w:val="0097494F"/>
    <w:rsid w:val="009749A1"/>
    <w:rsid w:val="0097515D"/>
    <w:rsid w:val="009756DB"/>
    <w:rsid w:val="009756E3"/>
    <w:rsid w:val="009758ED"/>
    <w:rsid w:val="009759F2"/>
    <w:rsid w:val="00975AE0"/>
    <w:rsid w:val="00976C84"/>
    <w:rsid w:val="00977BA0"/>
    <w:rsid w:val="009806DB"/>
    <w:rsid w:val="009807FE"/>
    <w:rsid w:val="00980A39"/>
    <w:rsid w:val="009812C0"/>
    <w:rsid w:val="00982ADE"/>
    <w:rsid w:val="00984C1D"/>
    <w:rsid w:val="00984F12"/>
    <w:rsid w:val="00985B97"/>
    <w:rsid w:val="00985F5B"/>
    <w:rsid w:val="00986021"/>
    <w:rsid w:val="009860B8"/>
    <w:rsid w:val="009863B7"/>
    <w:rsid w:val="009866C5"/>
    <w:rsid w:val="00986895"/>
    <w:rsid w:val="00986D3D"/>
    <w:rsid w:val="00986F79"/>
    <w:rsid w:val="00987165"/>
    <w:rsid w:val="009872EC"/>
    <w:rsid w:val="00987B37"/>
    <w:rsid w:val="009902A4"/>
    <w:rsid w:val="00990FF9"/>
    <w:rsid w:val="0099169C"/>
    <w:rsid w:val="009928B4"/>
    <w:rsid w:val="0099429D"/>
    <w:rsid w:val="009943A6"/>
    <w:rsid w:val="00994785"/>
    <w:rsid w:val="009954C4"/>
    <w:rsid w:val="00995D61"/>
    <w:rsid w:val="00995FC6"/>
    <w:rsid w:val="00996798"/>
    <w:rsid w:val="00996DF8"/>
    <w:rsid w:val="0099754B"/>
    <w:rsid w:val="009A0362"/>
    <w:rsid w:val="009A06DF"/>
    <w:rsid w:val="009A0A55"/>
    <w:rsid w:val="009A0AB7"/>
    <w:rsid w:val="009A1AE0"/>
    <w:rsid w:val="009A1C0A"/>
    <w:rsid w:val="009A1E15"/>
    <w:rsid w:val="009A1E4E"/>
    <w:rsid w:val="009A253B"/>
    <w:rsid w:val="009A2830"/>
    <w:rsid w:val="009A3A11"/>
    <w:rsid w:val="009A3A5F"/>
    <w:rsid w:val="009A5591"/>
    <w:rsid w:val="009A7C82"/>
    <w:rsid w:val="009B01E7"/>
    <w:rsid w:val="009B09A7"/>
    <w:rsid w:val="009B0F00"/>
    <w:rsid w:val="009B1272"/>
    <w:rsid w:val="009B2297"/>
    <w:rsid w:val="009B37EE"/>
    <w:rsid w:val="009B3E09"/>
    <w:rsid w:val="009B4CB8"/>
    <w:rsid w:val="009B50A6"/>
    <w:rsid w:val="009B7B79"/>
    <w:rsid w:val="009B7CC2"/>
    <w:rsid w:val="009B7F00"/>
    <w:rsid w:val="009B7F6D"/>
    <w:rsid w:val="009C0D27"/>
    <w:rsid w:val="009C14C2"/>
    <w:rsid w:val="009C1A63"/>
    <w:rsid w:val="009C1E6F"/>
    <w:rsid w:val="009C2E5A"/>
    <w:rsid w:val="009C31E8"/>
    <w:rsid w:val="009C34E8"/>
    <w:rsid w:val="009C4481"/>
    <w:rsid w:val="009C5959"/>
    <w:rsid w:val="009C6051"/>
    <w:rsid w:val="009C62E1"/>
    <w:rsid w:val="009C6513"/>
    <w:rsid w:val="009C6A52"/>
    <w:rsid w:val="009C6D4D"/>
    <w:rsid w:val="009C707C"/>
    <w:rsid w:val="009C7301"/>
    <w:rsid w:val="009C7FAB"/>
    <w:rsid w:val="009D0C7B"/>
    <w:rsid w:val="009D2E2E"/>
    <w:rsid w:val="009D3B30"/>
    <w:rsid w:val="009D3E9D"/>
    <w:rsid w:val="009D5510"/>
    <w:rsid w:val="009D78CF"/>
    <w:rsid w:val="009D78F2"/>
    <w:rsid w:val="009D7AF7"/>
    <w:rsid w:val="009E0D7E"/>
    <w:rsid w:val="009E1095"/>
    <w:rsid w:val="009E143C"/>
    <w:rsid w:val="009E1459"/>
    <w:rsid w:val="009E1931"/>
    <w:rsid w:val="009E291E"/>
    <w:rsid w:val="009E3E8F"/>
    <w:rsid w:val="009E4944"/>
    <w:rsid w:val="009E4BAB"/>
    <w:rsid w:val="009E50A4"/>
    <w:rsid w:val="009E6CE3"/>
    <w:rsid w:val="009F0759"/>
    <w:rsid w:val="009F3DC3"/>
    <w:rsid w:val="009F4586"/>
    <w:rsid w:val="009F5084"/>
    <w:rsid w:val="009F5664"/>
    <w:rsid w:val="009F5881"/>
    <w:rsid w:val="009F59FA"/>
    <w:rsid w:val="009F5B69"/>
    <w:rsid w:val="009F6DB9"/>
    <w:rsid w:val="009F7906"/>
    <w:rsid w:val="00A00B02"/>
    <w:rsid w:val="00A01D13"/>
    <w:rsid w:val="00A0219C"/>
    <w:rsid w:val="00A027CF"/>
    <w:rsid w:val="00A05C4E"/>
    <w:rsid w:val="00A061A8"/>
    <w:rsid w:val="00A07586"/>
    <w:rsid w:val="00A07819"/>
    <w:rsid w:val="00A07F46"/>
    <w:rsid w:val="00A112CB"/>
    <w:rsid w:val="00A118FE"/>
    <w:rsid w:val="00A12AA7"/>
    <w:rsid w:val="00A13309"/>
    <w:rsid w:val="00A13D78"/>
    <w:rsid w:val="00A1456A"/>
    <w:rsid w:val="00A150C8"/>
    <w:rsid w:val="00A15F2B"/>
    <w:rsid w:val="00A16D88"/>
    <w:rsid w:val="00A2097F"/>
    <w:rsid w:val="00A21030"/>
    <w:rsid w:val="00A215AB"/>
    <w:rsid w:val="00A231B5"/>
    <w:rsid w:val="00A2403C"/>
    <w:rsid w:val="00A243C0"/>
    <w:rsid w:val="00A24BDC"/>
    <w:rsid w:val="00A253F6"/>
    <w:rsid w:val="00A26837"/>
    <w:rsid w:val="00A26FF6"/>
    <w:rsid w:val="00A27162"/>
    <w:rsid w:val="00A27637"/>
    <w:rsid w:val="00A2797F"/>
    <w:rsid w:val="00A27F09"/>
    <w:rsid w:val="00A30CBC"/>
    <w:rsid w:val="00A31152"/>
    <w:rsid w:val="00A31501"/>
    <w:rsid w:val="00A31F66"/>
    <w:rsid w:val="00A33723"/>
    <w:rsid w:val="00A33AF4"/>
    <w:rsid w:val="00A33D74"/>
    <w:rsid w:val="00A33FDA"/>
    <w:rsid w:val="00A34371"/>
    <w:rsid w:val="00A34B83"/>
    <w:rsid w:val="00A352AC"/>
    <w:rsid w:val="00A355E9"/>
    <w:rsid w:val="00A35765"/>
    <w:rsid w:val="00A35B4A"/>
    <w:rsid w:val="00A35F96"/>
    <w:rsid w:val="00A36D7E"/>
    <w:rsid w:val="00A36E9C"/>
    <w:rsid w:val="00A370EC"/>
    <w:rsid w:val="00A37CF1"/>
    <w:rsid w:val="00A41389"/>
    <w:rsid w:val="00A424C4"/>
    <w:rsid w:val="00A42B8F"/>
    <w:rsid w:val="00A43F8B"/>
    <w:rsid w:val="00A43FF9"/>
    <w:rsid w:val="00A442A0"/>
    <w:rsid w:val="00A4533E"/>
    <w:rsid w:val="00A458C4"/>
    <w:rsid w:val="00A4653E"/>
    <w:rsid w:val="00A4670B"/>
    <w:rsid w:val="00A47046"/>
    <w:rsid w:val="00A47F5B"/>
    <w:rsid w:val="00A5144A"/>
    <w:rsid w:val="00A51A7A"/>
    <w:rsid w:val="00A5280C"/>
    <w:rsid w:val="00A528D2"/>
    <w:rsid w:val="00A53118"/>
    <w:rsid w:val="00A53838"/>
    <w:rsid w:val="00A53CCC"/>
    <w:rsid w:val="00A544A8"/>
    <w:rsid w:val="00A54C08"/>
    <w:rsid w:val="00A55437"/>
    <w:rsid w:val="00A55E52"/>
    <w:rsid w:val="00A568DA"/>
    <w:rsid w:val="00A57679"/>
    <w:rsid w:val="00A60BAD"/>
    <w:rsid w:val="00A60E04"/>
    <w:rsid w:val="00A61831"/>
    <w:rsid w:val="00A62A74"/>
    <w:rsid w:val="00A62C9E"/>
    <w:rsid w:val="00A62D77"/>
    <w:rsid w:val="00A630BC"/>
    <w:rsid w:val="00A635DA"/>
    <w:rsid w:val="00A640B2"/>
    <w:rsid w:val="00A6457F"/>
    <w:rsid w:val="00A6480B"/>
    <w:rsid w:val="00A650C2"/>
    <w:rsid w:val="00A65475"/>
    <w:rsid w:val="00A65C09"/>
    <w:rsid w:val="00A6694A"/>
    <w:rsid w:val="00A67AB3"/>
    <w:rsid w:val="00A7308D"/>
    <w:rsid w:val="00A73862"/>
    <w:rsid w:val="00A748A6"/>
    <w:rsid w:val="00A74DF1"/>
    <w:rsid w:val="00A75FEE"/>
    <w:rsid w:val="00A763EC"/>
    <w:rsid w:val="00A76769"/>
    <w:rsid w:val="00A7727A"/>
    <w:rsid w:val="00A7746F"/>
    <w:rsid w:val="00A804AA"/>
    <w:rsid w:val="00A80B48"/>
    <w:rsid w:val="00A82B40"/>
    <w:rsid w:val="00A83F28"/>
    <w:rsid w:val="00A84CD8"/>
    <w:rsid w:val="00A85576"/>
    <w:rsid w:val="00A86E97"/>
    <w:rsid w:val="00A87A91"/>
    <w:rsid w:val="00A90F82"/>
    <w:rsid w:val="00A911BC"/>
    <w:rsid w:val="00A91766"/>
    <w:rsid w:val="00A91A11"/>
    <w:rsid w:val="00A91F9C"/>
    <w:rsid w:val="00A92EE7"/>
    <w:rsid w:val="00A93C68"/>
    <w:rsid w:val="00A94766"/>
    <w:rsid w:val="00A95860"/>
    <w:rsid w:val="00A95D32"/>
    <w:rsid w:val="00A96C25"/>
    <w:rsid w:val="00A979D9"/>
    <w:rsid w:val="00A97E3D"/>
    <w:rsid w:val="00A97EE4"/>
    <w:rsid w:val="00AA01C1"/>
    <w:rsid w:val="00AA04B7"/>
    <w:rsid w:val="00AA06F7"/>
    <w:rsid w:val="00AA0AD8"/>
    <w:rsid w:val="00AA11B3"/>
    <w:rsid w:val="00AA1282"/>
    <w:rsid w:val="00AA2427"/>
    <w:rsid w:val="00AA2A4C"/>
    <w:rsid w:val="00AA2C39"/>
    <w:rsid w:val="00AA2E03"/>
    <w:rsid w:val="00AA2FB2"/>
    <w:rsid w:val="00AA30F4"/>
    <w:rsid w:val="00AA34AC"/>
    <w:rsid w:val="00AA3610"/>
    <w:rsid w:val="00AA439E"/>
    <w:rsid w:val="00AA515E"/>
    <w:rsid w:val="00AA5163"/>
    <w:rsid w:val="00AA5BDD"/>
    <w:rsid w:val="00AA5F6A"/>
    <w:rsid w:val="00AA7700"/>
    <w:rsid w:val="00AA77BA"/>
    <w:rsid w:val="00AA7B36"/>
    <w:rsid w:val="00AA7CEA"/>
    <w:rsid w:val="00AA7F7C"/>
    <w:rsid w:val="00AB05A2"/>
    <w:rsid w:val="00AB06EB"/>
    <w:rsid w:val="00AB0967"/>
    <w:rsid w:val="00AB09E8"/>
    <w:rsid w:val="00AB0F91"/>
    <w:rsid w:val="00AB1150"/>
    <w:rsid w:val="00AB120F"/>
    <w:rsid w:val="00AB24A1"/>
    <w:rsid w:val="00AB2E7A"/>
    <w:rsid w:val="00AB317D"/>
    <w:rsid w:val="00AB32BF"/>
    <w:rsid w:val="00AB4BFF"/>
    <w:rsid w:val="00AB4CFF"/>
    <w:rsid w:val="00AB54E2"/>
    <w:rsid w:val="00AB5CAB"/>
    <w:rsid w:val="00AB610E"/>
    <w:rsid w:val="00AB68CD"/>
    <w:rsid w:val="00AB7BC9"/>
    <w:rsid w:val="00AB7CF0"/>
    <w:rsid w:val="00AC07F0"/>
    <w:rsid w:val="00AC0B15"/>
    <w:rsid w:val="00AC103E"/>
    <w:rsid w:val="00AC130F"/>
    <w:rsid w:val="00AC167F"/>
    <w:rsid w:val="00AC1D8F"/>
    <w:rsid w:val="00AC1EA2"/>
    <w:rsid w:val="00AC40E1"/>
    <w:rsid w:val="00AC499A"/>
    <w:rsid w:val="00AC4B47"/>
    <w:rsid w:val="00AC522B"/>
    <w:rsid w:val="00AC5A39"/>
    <w:rsid w:val="00AC5F28"/>
    <w:rsid w:val="00AC68E5"/>
    <w:rsid w:val="00AC73B1"/>
    <w:rsid w:val="00AC73B3"/>
    <w:rsid w:val="00AC7696"/>
    <w:rsid w:val="00AD053D"/>
    <w:rsid w:val="00AD0A51"/>
    <w:rsid w:val="00AD113B"/>
    <w:rsid w:val="00AD219C"/>
    <w:rsid w:val="00AD22A8"/>
    <w:rsid w:val="00AD2754"/>
    <w:rsid w:val="00AD292B"/>
    <w:rsid w:val="00AD4B65"/>
    <w:rsid w:val="00AD556B"/>
    <w:rsid w:val="00AD687F"/>
    <w:rsid w:val="00AD78B7"/>
    <w:rsid w:val="00AD7E8D"/>
    <w:rsid w:val="00AE08F8"/>
    <w:rsid w:val="00AE0A57"/>
    <w:rsid w:val="00AE131B"/>
    <w:rsid w:val="00AE1F7E"/>
    <w:rsid w:val="00AE48B5"/>
    <w:rsid w:val="00AE4F1E"/>
    <w:rsid w:val="00AE50D8"/>
    <w:rsid w:val="00AE526F"/>
    <w:rsid w:val="00AE5762"/>
    <w:rsid w:val="00AE6A4B"/>
    <w:rsid w:val="00AE7719"/>
    <w:rsid w:val="00AE7905"/>
    <w:rsid w:val="00AF02B7"/>
    <w:rsid w:val="00AF067A"/>
    <w:rsid w:val="00AF1394"/>
    <w:rsid w:val="00AF1505"/>
    <w:rsid w:val="00AF18F7"/>
    <w:rsid w:val="00AF2453"/>
    <w:rsid w:val="00AF287F"/>
    <w:rsid w:val="00AF3F91"/>
    <w:rsid w:val="00AF3FB4"/>
    <w:rsid w:val="00AF41E0"/>
    <w:rsid w:val="00AF4269"/>
    <w:rsid w:val="00AF4667"/>
    <w:rsid w:val="00AF51FF"/>
    <w:rsid w:val="00AF5399"/>
    <w:rsid w:val="00AF5C85"/>
    <w:rsid w:val="00AF79AA"/>
    <w:rsid w:val="00AF7EFE"/>
    <w:rsid w:val="00B014A1"/>
    <w:rsid w:val="00B01706"/>
    <w:rsid w:val="00B01A2B"/>
    <w:rsid w:val="00B0209C"/>
    <w:rsid w:val="00B04EEB"/>
    <w:rsid w:val="00B0583E"/>
    <w:rsid w:val="00B07922"/>
    <w:rsid w:val="00B102AA"/>
    <w:rsid w:val="00B10461"/>
    <w:rsid w:val="00B108A0"/>
    <w:rsid w:val="00B10EDE"/>
    <w:rsid w:val="00B11281"/>
    <w:rsid w:val="00B11563"/>
    <w:rsid w:val="00B126A6"/>
    <w:rsid w:val="00B133E1"/>
    <w:rsid w:val="00B135EE"/>
    <w:rsid w:val="00B13849"/>
    <w:rsid w:val="00B13858"/>
    <w:rsid w:val="00B14829"/>
    <w:rsid w:val="00B16D1B"/>
    <w:rsid w:val="00B1717B"/>
    <w:rsid w:val="00B20628"/>
    <w:rsid w:val="00B20B82"/>
    <w:rsid w:val="00B2122C"/>
    <w:rsid w:val="00B21322"/>
    <w:rsid w:val="00B21C8C"/>
    <w:rsid w:val="00B222D2"/>
    <w:rsid w:val="00B228C2"/>
    <w:rsid w:val="00B22A56"/>
    <w:rsid w:val="00B23E04"/>
    <w:rsid w:val="00B24245"/>
    <w:rsid w:val="00B24532"/>
    <w:rsid w:val="00B2460E"/>
    <w:rsid w:val="00B24F3E"/>
    <w:rsid w:val="00B27046"/>
    <w:rsid w:val="00B2768B"/>
    <w:rsid w:val="00B277E9"/>
    <w:rsid w:val="00B30501"/>
    <w:rsid w:val="00B32348"/>
    <w:rsid w:val="00B326B6"/>
    <w:rsid w:val="00B33260"/>
    <w:rsid w:val="00B3334D"/>
    <w:rsid w:val="00B34706"/>
    <w:rsid w:val="00B347C7"/>
    <w:rsid w:val="00B34DB0"/>
    <w:rsid w:val="00B4044A"/>
    <w:rsid w:val="00B406D8"/>
    <w:rsid w:val="00B4070F"/>
    <w:rsid w:val="00B41BC0"/>
    <w:rsid w:val="00B42FDF"/>
    <w:rsid w:val="00B43136"/>
    <w:rsid w:val="00B43CEC"/>
    <w:rsid w:val="00B45CCB"/>
    <w:rsid w:val="00B45F65"/>
    <w:rsid w:val="00B50950"/>
    <w:rsid w:val="00B515A0"/>
    <w:rsid w:val="00B520AA"/>
    <w:rsid w:val="00B52D0F"/>
    <w:rsid w:val="00B533B9"/>
    <w:rsid w:val="00B53AD3"/>
    <w:rsid w:val="00B53BD2"/>
    <w:rsid w:val="00B54AC3"/>
    <w:rsid w:val="00B54D96"/>
    <w:rsid w:val="00B5548C"/>
    <w:rsid w:val="00B5676D"/>
    <w:rsid w:val="00B5713F"/>
    <w:rsid w:val="00B623D8"/>
    <w:rsid w:val="00B62F91"/>
    <w:rsid w:val="00B63FB0"/>
    <w:rsid w:val="00B6421D"/>
    <w:rsid w:val="00B6517A"/>
    <w:rsid w:val="00B6564D"/>
    <w:rsid w:val="00B65A2F"/>
    <w:rsid w:val="00B6609B"/>
    <w:rsid w:val="00B66851"/>
    <w:rsid w:val="00B66B4D"/>
    <w:rsid w:val="00B67141"/>
    <w:rsid w:val="00B70180"/>
    <w:rsid w:val="00B7074D"/>
    <w:rsid w:val="00B70AE8"/>
    <w:rsid w:val="00B70B69"/>
    <w:rsid w:val="00B72339"/>
    <w:rsid w:val="00B72865"/>
    <w:rsid w:val="00B72AB5"/>
    <w:rsid w:val="00B72B48"/>
    <w:rsid w:val="00B732A9"/>
    <w:rsid w:val="00B734A3"/>
    <w:rsid w:val="00B734D2"/>
    <w:rsid w:val="00B74A1F"/>
    <w:rsid w:val="00B74BBC"/>
    <w:rsid w:val="00B755CF"/>
    <w:rsid w:val="00B75FE8"/>
    <w:rsid w:val="00B764AE"/>
    <w:rsid w:val="00B765A3"/>
    <w:rsid w:val="00B773F3"/>
    <w:rsid w:val="00B774FF"/>
    <w:rsid w:val="00B77539"/>
    <w:rsid w:val="00B778D9"/>
    <w:rsid w:val="00B77B9F"/>
    <w:rsid w:val="00B81236"/>
    <w:rsid w:val="00B8168E"/>
    <w:rsid w:val="00B81722"/>
    <w:rsid w:val="00B81E94"/>
    <w:rsid w:val="00B84186"/>
    <w:rsid w:val="00B8462F"/>
    <w:rsid w:val="00B847B8"/>
    <w:rsid w:val="00B84D70"/>
    <w:rsid w:val="00B85301"/>
    <w:rsid w:val="00B85810"/>
    <w:rsid w:val="00B85C90"/>
    <w:rsid w:val="00B85D00"/>
    <w:rsid w:val="00B863A1"/>
    <w:rsid w:val="00B90166"/>
    <w:rsid w:val="00B9116B"/>
    <w:rsid w:val="00B91DC8"/>
    <w:rsid w:val="00B91E98"/>
    <w:rsid w:val="00B926A4"/>
    <w:rsid w:val="00B926CC"/>
    <w:rsid w:val="00B93FDE"/>
    <w:rsid w:val="00B94A4E"/>
    <w:rsid w:val="00B954C0"/>
    <w:rsid w:val="00B96522"/>
    <w:rsid w:val="00B9691C"/>
    <w:rsid w:val="00B969DE"/>
    <w:rsid w:val="00BA031A"/>
    <w:rsid w:val="00BA0D75"/>
    <w:rsid w:val="00BA1605"/>
    <w:rsid w:val="00BA163C"/>
    <w:rsid w:val="00BA1EB2"/>
    <w:rsid w:val="00BA34EF"/>
    <w:rsid w:val="00BA3AEB"/>
    <w:rsid w:val="00BA3B0B"/>
    <w:rsid w:val="00BA589D"/>
    <w:rsid w:val="00BA6622"/>
    <w:rsid w:val="00BA7E6E"/>
    <w:rsid w:val="00BB0211"/>
    <w:rsid w:val="00BB1723"/>
    <w:rsid w:val="00BB2286"/>
    <w:rsid w:val="00BB299E"/>
    <w:rsid w:val="00BB2B51"/>
    <w:rsid w:val="00BB2CE9"/>
    <w:rsid w:val="00BB2DAE"/>
    <w:rsid w:val="00BB2EA9"/>
    <w:rsid w:val="00BB2F3B"/>
    <w:rsid w:val="00BB33EA"/>
    <w:rsid w:val="00BB3655"/>
    <w:rsid w:val="00BB4639"/>
    <w:rsid w:val="00BB5353"/>
    <w:rsid w:val="00BB6C3A"/>
    <w:rsid w:val="00BB6E09"/>
    <w:rsid w:val="00BB6F9F"/>
    <w:rsid w:val="00BB72A9"/>
    <w:rsid w:val="00BB7FBA"/>
    <w:rsid w:val="00BC0180"/>
    <w:rsid w:val="00BC0DC6"/>
    <w:rsid w:val="00BC2603"/>
    <w:rsid w:val="00BC308B"/>
    <w:rsid w:val="00BC3F82"/>
    <w:rsid w:val="00BC4436"/>
    <w:rsid w:val="00BC5503"/>
    <w:rsid w:val="00BC56CC"/>
    <w:rsid w:val="00BC5F1C"/>
    <w:rsid w:val="00BD00DE"/>
    <w:rsid w:val="00BD0E12"/>
    <w:rsid w:val="00BD11E1"/>
    <w:rsid w:val="00BD1A0D"/>
    <w:rsid w:val="00BD2002"/>
    <w:rsid w:val="00BD2525"/>
    <w:rsid w:val="00BD2C67"/>
    <w:rsid w:val="00BD3169"/>
    <w:rsid w:val="00BD35B1"/>
    <w:rsid w:val="00BD4998"/>
    <w:rsid w:val="00BD4A1D"/>
    <w:rsid w:val="00BD5FE1"/>
    <w:rsid w:val="00BD66A4"/>
    <w:rsid w:val="00BE03E3"/>
    <w:rsid w:val="00BE08C8"/>
    <w:rsid w:val="00BE0BE9"/>
    <w:rsid w:val="00BE1786"/>
    <w:rsid w:val="00BE2B8F"/>
    <w:rsid w:val="00BE2F8C"/>
    <w:rsid w:val="00BE4136"/>
    <w:rsid w:val="00BE545E"/>
    <w:rsid w:val="00BE5C86"/>
    <w:rsid w:val="00BE5D19"/>
    <w:rsid w:val="00BE609F"/>
    <w:rsid w:val="00BE65EF"/>
    <w:rsid w:val="00BF0A29"/>
    <w:rsid w:val="00BF0BC2"/>
    <w:rsid w:val="00BF11D7"/>
    <w:rsid w:val="00BF1812"/>
    <w:rsid w:val="00BF2C44"/>
    <w:rsid w:val="00BF3B0E"/>
    <w:rsid w:val="00BF5B84"/>
    <w:rsid w:val="00BF5FA1"/>
    <w:rsid w:val="00BF6014"/>
    <w:rsid w:val="00BF616B"/>
    <w:rsid w:val="00BF732F"/>
    <w:rsid w:val="00C008C0"/>
    <w:rsid w:val="00C00BA1"/>
    <w:rsid w:val="00C01C6F"/>
    <w:rsid w:val="00C0267C"/>
    <w:rsid w:val="00C028C0"/>
    <w:rsid w:val="00C02B32"/>
    <w:rsid w:val="00C02F57"/>
    <w:rsid w:val="00C03D7E"/>
    <w:rsid w:val="00C03F10"/>
    <w:rsid w:val="00C049D2"/>
    <w:rsid w:val="00C05FBC"/>
    <w:rsid w:val="00C06C64"/>
    <w:rsid w:val="00C07195"/>
    <w:rsid w:val="00C0763D"/>
    <w:rsid w:val="00C07993"/>
    <w:rsid w:val="00C100EA"/>
    <w:rsid w:val="00C10215"/>
    <w:rsid w:val="00C10DC5"/>
    <w:rsid w:val="00C11024"/>
    <w:rsid w:val="00C111B2"/>
    <w:rsid w:val="00C113AB"/>
    <w:rsid w:val="00C11690"/>
    <w:rsid w:val="00C11AA7"/>
    <w:rsid w:val="00C11C0B"/>
    <w:rsid w:val="00C1379B"/>
    <w:rsid w:val="00C13F4C"/>
    <w:rsid w:val="00C1453D"/>
    <w:rsid w:val="00C1473B"/>
    <w:rsid w:val="00C15B81"/>
    <w:rsid w:val="00C1708E"/>
    <w:rsid w:val="00C17569"/>
    <w:rsid w:val="00C17EDB"/>
    <w:rsid w:val="00C21FB2"/>
    <w:rsid w:val="00C2259E"/>
    <w:rsid w:val="00C24050"/>
    <w:rsid w:val="00C257E1"/>
    <w:rsid w:val="00C261AD"/>
    <w:rsid w:val="00C26EE9"/>
    <w:rsid w:val="00C27719"/>
    <w:rsid w:val="00C27DCA"/>
    <w:rsid w:val="00C30151"/>
    <w:rsid w:val="00C308F6"/>
    <w:rsid w:val="00C31139"/>
    <w:rsid w:val="00C318AD"/>
    <w:rsid w:val="00C3285A"/>
    <w:rsid w:val="00C32BC0"/>
    <w:rsid w:val="00C33BF2"/>
    <w:rsid w:val="00C344C3"/>
    <w:rsid w:val="00C349A8"/>
    <w:rsid w:val="00C349C6"/>
    <w:rsid w:val="00C35A75"/>
    <w:rsid w:val="00C360A2"/>
    <w:rsid w:val="00C3678A"/>
    <w:rsid w:val="00C37837"/>
    <w:rsid w:val="00C37B73"/>
    <w:rsid w:val="00C404FB"/>
    <w:rsid w:val="00C40578"/>
    <w:rsid w:val="00C40DF1"/>
    <w:rsid w:val="00C410EE"/>
    <w:rsid w:val="00C42D34"/>
    <w:rsid w:val="00C4340C"/>
    <w:rsid w:val="00C43EBC"/>
    <w:rsid w:val="00C44D28"/>
    <w:rsid w:val="00C45B7C"/>
    <w:rsid w:val="00C46021"/>
    <w:rsid w:val="00C466D5"/>
    <w:rsid w:val="00C4702D"/>
    <w:rsid w:val="00C4791F"/>
    <w:rsid w:val="00C4796C"/>
    <w:rsid w:val="00C47F05"/>
    <w:rsid w:val="00C47F37"/>
    <w:rsid w:val="00C50EA5"/>
    <w:rsid w:val="00C5248B"/>
    <w:rsid w:val="00C52F46"/>
    <w:rsid w:val="00C53F01"/>
    <w:rsid w:val="00C5429E"/>
    <w:rsid w:val="00C544DC"/>
    <w:rsid w:val="00C54E07"/>
    <w:rsid w:val="00C54E21"/>
    <w:rsid w:val="00C558E3"/>
    <w:rsid w:val="00C56B67"/>
    <w:rsid w:val="00C57145"/>
    <w:rsid w:val="00C57427"/>
    <w:rsid w:val="00C57CEC"/>
    <w:rsid w:val="00C60437"/>
    <w:rsid w:val="00C6105B"/>
    <w:rsid w:val="00C61B1F"/>
    <w:rsid w:val="00C61CC0"/>
    <w:rsid w:val="00C61D3A"/>
    <w:rsid w:val="00C61D61"/>
    <w:rsid w:val="00C625EA"/>
    <w:rsid w:val="00C633D6"/>
    <w:rsid w:val="00C63DF7"/>
    <w:rsid w:val="00C651E3"/>
    <w:rsid w:val="00C6552B"/>
    <w:rsid w:val="00C66E6A"/>
    <w:rsid w:val="00C7256C"/>
    <w:rsid w:val="00C72B4D"/>
    <w:rsid w:val="00C73B1D"/>
    <w:rsid w:val="00C73BF5"/>
    <w:rsid w:val="00C777D4"/>
    <w:rsid w:val="00C7783F"/>
    <w:rsid w:val="00C77D91"/>
    <w:rsid w:val="00C80CA7"/>
    <w:rsid w:val="00C812B6"/>
    <w:rsid w:val="00C81884"/>
    <w:rsid w:val="00C82769"/>
    <w:rsid w:val="00C831B0"/>
    <w:rsid w:val="00C838AD"/>
    <w:rsid w:val="00C83FD8"/>
    <w:rsid w:val="00C866FE"/>
    <w:rsid w:val="00C86ECC"/>
    <w:rsid w:val="00C870A5"/>
    <w:rsid w:val="00C87E5B"/>
    <w:rsid w:val="00C90EBA"/>
    <w:rsid w:val="00C9168A"/>
    <w:rsid w:val="00C91D6E"/>
    <w:rsid w:val="00C93D1B"/>
    <w:rsid w:val="00C9594B"/>
    <w:rsid w:val="00C959B1"/>
    <w:rsid w:val="00C959CF"/>
    <w:rsid w:val="00C97A81"/>
    <w:rsid w:val="00C97C7D"/>
    <w:rsid w:val="00C97F5C"/>
    <w:rsid w:val="00CA052F"/>
    <w:rsid w:val="00CA07D5"/>
    <w:rsid w:val="00CA0FFC"/>
    <w:rsid w:val="00CA1206"/>
    <w:rsid w:val="00CA196F"/>
    <w:rsid w:val="00CA247C"/>
    <w:rsid w:val="00CA25A9"/>
    <w:rsid w:val="00CA28EA"/>
    <w:rsid w:val="00CA2939"/>
    <w:rsid w:val="00CA2EE1"/>
    <w:rsid w:val="00CA3A56"/>
    <w:rsid w:val="00CA492C"/>
    <w:rsid w:val="00CA4B52"/>
    <w:rsid w:val="00CA6FD9"/>
    <w:rsid w:val="00CA7044"/>
    <w:rsid w:val="00CA7466"/>
    <w:rsid w:val="00CA7939"/>
    <w:rsid w:val="00CB0A38"/>
    <w:rsid w:val="00CB18B9"/>
    <w:rsid w:val="00CB1A23"/>
    <w:rsid w:val="00CB1F43"/>
    <w:rsid w:val="00CB212B"/>
    <w:rsid w:val="00CB22FD"/>
    <w:rsid w:val="00CB258C"/>
    <w:rsid w:val="00CB291B"/>
    <w:rsid w:val="00CB2FBB"/>
    <w:rsid w:val="00CB3030"/>
    <w:rsid w:val="00CB357D"/>
    <w:rsid w:val="00CB36DF"/>
    <w:rsid w:val="00CB4323"/>
    <w:rsid w:val="00CB4583"/>
    <w:rsid w:val="00CB4799"/>
    <w:rsid w:val="00CB5B4B"/>
    <w:rsid w:val="00CB63BA"/>
    <w:rsid w:val="00CB7FDD"/>
    <w:rsid w:val="00CC05C0"/>
    <w:rsid w:val="00CC074B"/>
    <w:rsid w:val="00CC1447"/>
    <w:rsid w:val="00CC2CFA"/>
    <w:rsid w:val="00CC3238"/>
    <w:rsid w:val="00CC3ECE"/>
    <w:rsid w:val="00CC45F4"/>
    <w:rsid w:val="00CC4743"/>
    <w:rsid w:val="00CC596E"/>
    <w:rsid w:val="00CC7FBA"/>
    <w:rsid w:val="00CD12D5"/>
    <w:rsid w:val="00CD165F"/>
    <w:rsid w:val="00CD1783"/>
    <w:rsid w:val="00CD2499"/>
    <w:rsid w:val="00CD2E70"/>
    <w:rsid w:val="00CD327E"/>
    <w:rsid w:val="00CD4A32"/>
    <w:rsid w:val="00CD4D26"/>
    <w:rsid w:val="00CD5690"/>
    <w:rsid w:val="00CD5937"/>
    <w:rsid w:val="00CD5967"/>
    <w:rsid w:val="00CD5A90"/>
    <w:rsid w:val="00CD6124"/>
    <w:rsid w:val="00CD6511"/>
    <w:rsid w:val="00CD67D7"/>
    <w:rsid w:val="00CD7696"/>
    <w:rsid w:val="00CE079D"/>
    <w:rsid w:val="00CE10C2"/>
    <w:rsid w:val="00CE11EA"/>
    <w:rsid w:val="00CE14B8"/>
    <w:rsid w:val="00CE1BE7"/>
    <w:rsid w:val="00CE268D"/>
    <w:rsid w:val="00CE28A7"/>
    <w:rsid w:val="00CE2A8D"/>
    <w:rsid w:val="00CE3626"/>
    <w:rsid w:val="00CE3AB4"/>
    <w:rsid w:val="00CE463D"/>
    <w:rsid w:val="00CE46A1"/>
    <w:rsid w:val="00CE4D97"/>
    <w:rsid w:val="00CE5485"/>
    <w:rsid w:val="00CE5BC5"/>
    <w:rsid w:val="00CE68D0"/>
    <w:rsid w:val="00CE7103"/>
    <w:rsid w:val="00CE74CD"/>
    <w:rsid w:val="00CE7720"/>
    <w:rsid w:val="00CE7A12"/>
    <w:rsid w:val="00CF1A30"/>
    <w:rsid w:val="00CF1A35"/>
    <w:rsid w:val="00CF22B1"/>
    <w:rsid w:val="00CF2BF6"/>
    <w:rsid w:val="00CF3B94"/>
    <w:rsid w:val="00CF3DD6"/>
    <w:rsid w:val="00CF3DDB"/>
    <w:rsid w:val="00CF5738"/>
    <w:rsid w:val="00CF5802"/>
    <w:rsid w:val="00CF6AEF"/>
    <w:rsid w:val="00CF7F93"/>
    <w:rsid w:val="00D00133"/>
    <w:rsid w:val="00D00482"/>
    <w:rsid w:val="00D00F6D"/>
    <w:rsid w:val="00D01C63"/>
    <w:rsid w:val="00D0207B"/>
    <w:rsid w:val="00D028FE"/>
    <w:rsid w:val="00D04568"/>
    <w:rsid w:val="00D04D1B"/>
    <w:rsid w:val="00D04E3A"/>
    <w:rsid w:val="00D04F5B"/>
    <w:rsid w:val="00D05132"/>
    <w:rsid w:val="00D057BC"/>
    <w:rsid w:val="00D05D50"/>
    <w:rsid w:val="00D06093"/>
    <w:rsid w:val="00D06E71"/>
    <w:rsid w:val="00D07D49"/>
    <w:rsid w:val="00D10692"/>
    <w:rsid w:val="00D10AF5"/>
    <w:rsid w:val="00D11E28"/>
    <w:rsid w:val="00D124C9"/>
    <w:rsid w:val="00D12873"/>
    <w:rsid w:val="00D130AF"/>
    <w:rsid w:val="00D1444F"/>
    <w:rsid w:val="00D15211"/>
    <w:rsid w:val="00D15922"/>
    <w:rsid w:val="00D15E63"/>
    <w:rsid w:val="00D161E8"/>
    <w:rsid w:val="00D16D67"/>
    <w:rsid w:val="00D16F30"/>
    <w:rsid w:val="00D17668"/>
    <w:rsid w:val="00D21C61"/>
    <w:rsid w:val="00D21E2E"/>
    <w:rsid w:val="00D222C7"/>
    <w:rsid w:val="00D22942"/>
    <w:rsid w:val="00D23700"/>
    <w:rsid w:val="00D239B1"/>
    <w:rsid w:val="00D245F3"/>
    <w:rsid w:val="00D2672D"/>
    <w:rsid w:val="00D270E9"/>
    <w:rsid w:val="00D30981"/>
    <w:rsid w:val="00D3133A"/>
    <w:rsid w:val="00D314F3"/>
    <w:rsid w:val="00D31AD4"/>
    <w:rsid w:val="00D3216D"/>
    <w:rsid w:val="00D3241C"/>
    <w:rsid w:val="00D32675"/>
    <w:rsid w:val="00D32776"/>
    <w:rsid w:val="00D33085"/>
    <w:rsid w:val="00D33878"/>
    <w:rsid w:val="00D33D28"/>
    <w:rsid w:val="00D34603"/>
    <w:rsid w:val="00D3612D"/>
    <w:rsid w:val="00D36487"/>
    <w:rsid w:val="00D37100"/>
    <w:rsid w:val="00D37B74"/>
    <w:rsid w:val="00D406E3"/>
    <w:rsid w:val="00D40A7F"/>
    <w:rsid w:val="00D40B0C"/>
    <w:rsid w:val="00D40DF2"/>
    <w:rsid w:val="00D410D0"/>
    <w:rsid w:val="00D41229"/>
    <w:rsid w:val="00D41A94"/>
    <w:rsid w:val="00D41E6B"/>
    <w:rsid w:val="00D421E1"/>
    <w:rsid w:val="00D43018"/>
    <w:rsid w:val="00D432A1"/>
    <w:rsid w:val="00D43A01"/>
    <w:rsid w:val="00D43C66"/>
    <w:rsid w:val="00D443A5"/>
    <w:rsid w:val="00D448A7"/>
    <w:rsid w:val="00D448A9"/>
    <w:rsid w:val="00D45F92"/>
    <w:rsid w:val="00D46638"/>
    <w:rsid w:val="00D4668B"/>
    <w:rsid w:val="00D46F4F"/>
    <w:rsid w:val="00D47436"/>
    <w:rsid w:val="00D47ABD"/>
    <w:rsid w:val="00D50589"/>
    <w:rsid w:val="00D506FB"/>
    <w:rsid w:val="00D50A9D"/>
    <w:rsid w:val="00D51125"/>
    <w:rsid w:val="00D52327"/>
    <w:rsid w:val="00D52E96"/>
    <w:rsid w:val="00D53E75"/>
    <w:rsid w:val="00D549E6"/>
    <w:rsid w:val="00D5503C"/>
    <w:rsid w:val="00D55910"/>
    <w:rsid w:val="00D55D03"/>
    <w:rsid w:val="00D56CFD"/>
    <w:rsid w:val="00D56FF8"/>
    <w:rsid w:val="00D5715C"/>
    <w:rsid w:val="00D60322"/>
    <w:rsid w:val="00D60565"/>
    <w:rsid w:val="00D60CB5"/>
    <w:rsid w:val="00D60F82"/>
    <w:rsid w:val="00D611A8"/>
    <w:rsid w:val="00D615E7"/>
    <w:rsid w:val="00D619AC"/>
    <w:rsid w:val="00D61E82"/>
    <w:rsid w:val="00D61F5B"/>
    <w:rsid w:val="00D61F97"/>
    <w:rsid w:val="00D62063"/>
    <w:rsid w:val="00D6349F"/>
    <w:rsid w:val="00D643B4"/>
    <w:rsid w:val="00D65C0E"/>
    <w:rsid w:val="00D67CCC"/>
    <w:rsid w:val="00D701A9"/>
    <w:rsid w:val="00D70FFA"/>
    <w:rsid w:val="00D7163E"/>
    <w:rsid w:val="00D71B84"/>
    <w:rsid w:val="00D72565"/>
    <w:rsid w:val="00D729F7"/>
    <w:rsid w:val="00D734F4"/>
    <w:rsid w:val="00D735EB"/>
    <w:rsid w:val="00D745F5"/>
    <w:rsid w:val="00D74685"/>
    <w:rsid w:val="00D74995"/>
    <w:rsid w:val="00D751B6"/>
    <w:rsid w:val="00D755E9"/>
    <w:rsid w:val="00D7579A"/>
    <w:rsid w:val="00D7637F"/>
    <w:rsid w:val="00D77D3D"/>
    <w:rsid w:val="00D77E0F"/>
    <w:rsid w:val="00D810D0"/>
    <w:rsid w:val="00D81153"/>
    <w:rsid w:val="00D816B9"/>
    <w:rsid w:val="00D8213A"/>
    <w:rsid w:val="00D82C20"/>
    <w:rsid w:val="00D82DBF"/>
    <w:rsid w:val="00D83775"/>
    <w:rsid w:val="00D83F2D"/>
    <w:rsid w:val="00D8448F"/>
    <w:rsid w:val="00D847AA"/>
    <w:rsid w:val="00D8597D"/>
    <w:rsid w:val="00D87020"/>
    <w:rsid w:val="00D87056"/>
    <w:rsid w:val="00D870E9"/>
    <w:rsid w:val="00D8753C"/>
    <w:rsid w:val="00D87691"/>
    <w:rsid w:val="00D906D0"/>
    <w:rsid w:val="00D90D91"/>
    <w:rsid w:val="00D90E06"/>
    <w:rsid w:val="00D9112E"/>
    <w:rsid w:val="00D915A2"/>
    <w:rsid w:val="00D9301D"/>
    <w:rsid w:val="00D93193"/>
    <w:rsid w:val="00D93B61"/>
    <w:rsid w:val="00D94016"/>
    <w:rsid w:val="00D947E7"/>
    <w:rsid w:val="00D94F6E"/>
    <w:rsid w:val="00D95203"/>
    <w:rsid w:val="00D97E6E"/>
    <w:rsid w:val="00DA052A"/>
    <w:rsid w:val="00DA0BA3"/>
    <w:rsid w:val="00DA3A32"/>
    <w:rsid w:val="00DA4A8B"/>
    <w:rsid w:val="00DA5F15"/>
    <w:rsid w:val="00DA61F5"/>
    <w:rsid w:val="00DA6803"/>
    <w:rsid w:val="00DA6DC8"/>
    <w:rsid w:val="00DA74C3"/>
    <w:rsid w:val="00DA786D"/>
    <w:rsid w:val="00DA7971"/>
    <w:rsid w:val="00DA7BC9"/>
    <w:rsid w:val="00DB004D"/>
    <w:rsid w:val="00DB0625"/>
    <w:rsid w:val="00DB0E11"/>
    <w:rsid w:val="00DB14FC"/>
    <w:rsid w:val="00DB23A0"/>
    <w:rsid w:val="00DB2D36"/>
    <w:rsid w:val="00DB2DED"/>
    <w:rsid w:val="00DB3079"/>
    <w:rsid w:val="00DB3EED"/>
    <w:rsid w:val="00DB4968"/>
    <w:rsid w:val="00DB51ED"/>
    <w:rsid w:val="00DB525A"/>
    <w:rsid w:val="00DB5462"/>
    <w:rsid w:val="00DB6714"/>
    <w:rsid w:val="00DB6947"/>
    <w:rsid w:val="00DB69A2"/>
    <w:rsid w:val="00DB6A21"/>
    <w:rsid w:val="00DB6DE9"/>
    <w:rsid w:val="00DB7058"/>
    <w:rsid w:val="00DB782B"/>
    <w:rsid w:val="00DC12CB"/>
    <w:rsid w:val="00DC1B41"/>
    <w:rsid w:val="00DC23D6"/>
    <w:rsid w:val="00DC32D2"/>
    <w:rsid w:val="00DC62B8"/>
    <w:rsid w:val="00DC7C3B"/>
    <w:rsid w:val="00DD0FE8"/>
    <w:rsid w:val="00DD12A4"/>
    <w:rsid w:val="00DD2EA7"/>
    <w:rsid w:val="00DD2F1E"/>
    <w:rsid w:val="00DD3CD8"/>
    <w:rsid w:val="00DD4662"/>
    <w:rsid w:val="00DD4CB6"/>
    <w:rsid w:val="00DD4E3F"/>
    <w:rsid w:val="00DD52F8"/>
    <w:rsid w:val="00DD5318"/>
    <w:rsid w:val="00DD589A"/>
    <w:rsid w:val="00DD76ED"/>
    <w:rsid w:val="00DD794D"/>
    <w:rsid w:val="00DD7D9A"/>
    <w:rsid w:val="00DE07C2"/>
    <w:rsid w:val="00DE0C9D"/>
    <w:rsid w:val="00DE0DD9"/>
    <w:rsid w:val="00DE0EAC"/>
    <w:rsid w:val="00DE154F"/>
    <w:rsid w:val="00DE1E92"/>
    <w:rsid w:val="00DE21D8"/>
    <w:rsid w:val="00DE2210"/>
    <w:rsid w:val="00DE2576"/>
    <w:rsid w:val="00DE2584"/>
    <w:rsid w:val="00DE30E1"/>
    <w:rsid w:val="00DE3F75"/>
    <w:rsid w:val="00DE4377"/>
    <w:rsid w:val="00DE4715"/>
    <w:rsid w:val="00DE507C"/>
    <w:rsid w:val="00DE7D83"/>
    <w:rsid w:val="00DF01CE"/>
    <w:rsid w:val="00DF2380"/>
    <w:rsid w:val="00DF2401"/>
    <w:rsid w:val="00DF2BB2"/>
    <w:rsid w:val="00DF2C27"/>
    <w:rsid w:val="00DF2F66"/>
    <w:rsid w:val="00DF384B"/>
    <w:rsid w:val="00DF38E2"/>
    <w:rsid w:val="00DF3BD9"/>
    <w:rsid w:val="00DF426E"/>
    <w:rsid w:val="00DF474E"/>
    <w:rsid w:val="00DF4776"/>
    <w:rsid w:val="00DF49FD"/>
    <w:rsid w:val="00DF5911"/>
    <w:rsid w:val="00DF7106"/>
    <w:rsid w:val="00DF7924"/>
    <w:rsid w:val="00DF7AFF"/>
    <w:rsid w:val="00E00B61"/>
    <w:rsid w:val="00E014CC"/>
    <w:rsid w:val="00E016EE"/>
    <w:rsid w:val="00E0170D"/>
    <w:rsid w:val="00E01AA3"/>
    <w:rsid w:val="00E031E0"/>
    <w:rsid w:val="00E0347D"/>
    <w:rsid w:val="00E038B1"/>
    <w:rsid w:val="00E039CE"/>
    <w:rsid w:val="00E043A2"/>
    <w:rsid w:val="00E0492B"/>
    <w:rsid w:val="00E04EC5"/>
    <w:rsid w:val="00E054C4"/>
    <w:rsid w:val="00E06060"/>
    <w:rsid w:val="00E07045"/>
    <w:rsid w:val="00E07114"/>
    <w:rsid w:val="00E07D40"/>
    <w:rsid w:val="00E10827"/>
    <w:rsid w:val="00E10B46"/>
    <w:rsid w:val="00E116CF"/>
    <w:rsid w:val="00E12B63"/>
    <w:rsid w:val="00E12D1D"/>
    <w:rsid w:val="00E12DAB"/>
    <w:rsid w:val="00E12EA0"/>
    <w:rsid w:val="00E143A8"/>
    <w:rsid w:val="00E205B4"/>
    <w:rsid w:val="00E20849"/>
    <w:rsid w:val="00E20FEB"/>
    <w:rsid w:val="00E21CE4"/>
    <w:rsid w:val="00E221EA"/>
    <w:rsid w:val="00E23513"/>
    <w:rsid w:val="00E23781"/>
    <w:rsid w:val="00E23CC7"/>
    <w:rsid w:val="00E24414"/>
    <w:rsid w:val="00E24924"/>
    <w:rsid w:val="00E24FE4"/>
    <w:rsid w:val="00E25B9B"/>
    <w:rsid w:val="00E25BE5"/>
    <w:rsid w:val="00E25C3C"/>
    <w:rsid w:val="00E26456"/>
    <w:rsid w:val="00E2726F"/>
    <w:rsid w:val="00E27BD7"/>
    <w:rsid w:val="00E3064B"/>
    <w:rsid w:val="00E30869"/>
    <w:rsid w:val="00E32004"/>
    <w:rsid w:val="00E33112"/>
    <w:rsid w:val="00E34FAE"/>
    <w:rsid w:val="00E3537B"/>
    <w:rsid w:val="00E3599D"/>
    <w:rsid w:val="00E362EA"/>
    <w:rsid w:val="00E366C6"/>
    <w:rsid w:val="00E36752"/>
    <w:rsid w:val="00E40A5C"/>
    <w:rsid w:val="00E40B55"/>
    <w:rsid w:val="00E40D76"/>
    <w:rsid w:val="00E422E5"/>
    <w:rsid w:val="00E42D56"/>
    <w:rsid w:val="00E43E90"/>
    <w:rsid w:val="00E449A1"/>
    <w:rsid w:val="00E44A71"/>
    <w:rsid w:val="00E44BC4"/>
    <w:rsid w:val="00E44DE6"/>
    <w:rsid w:val="00E451FE"/>
    <w:rsid w:val="00E4666A"/>
    <w:rsid w:val="00E467F0"/>
    <w:rsid w:val="00E50814"/>
    <w:rsid w:val="00E50F2C"/>
    <w:rsid w:val="00E51726"/>
    <w:rsid w:val="00E52F82"/>
    <w:rsid w:val="00E53886"/>
    <w:rsid w:val="00E54512"/>
    <w:rsid w:val="00E5482E"/>
    <w:rsid w:val="00E55EAF"/>
    <w:rsid w:val="00E562A5"/>
    <w:rsid w:val="00E567FF"/>
    <w:rsid w:val="00E56BDD"/>
    <w:rsid w:val="00E5779E"/>
    <w:rsid w:val="00E57A01"/>
    <w:rsid w:val="00E57B19"/>
    <w:rsid w:val="00E57BFD"/>
    <w:rsid w:val="00E57F15"/>
    <w:rsid w:val="00E60CDB"/>
    <w:rsid w:val="00E60E57"/>
    <w:rsid w:val="00E60EED"/>
    <w:rsid w:val="00E611B2"/>
    <w:rsid w:val="00E6162F"/>
    <w:rsid w:val="00E627C8"/>
    <w:rsid w:val="00E630AD"/>
    <w:rsid w:val="00E6313D"/>
    <w:rsid w:val="00E63701"/>
    <w:rsid w:val="00E6382F"/>
    <w:rsid w:val="00E63D2E"/>
    <w:rsid w:val="00E641F6"/>
    <w:rsid w:val="00E649EB"/>
    <w:rsid w:val="00E64B90"/>
    <w:rsid w:val="00E64BF9"/>
    <w:rsid w:val="00E667B6"/>
    <w:rsid w:val="00E66E3B"/>
    <w:rsid w:val="00E67D1E"/>
    <w:rsid w:val="00E70542"/>
    <w:rsid w:val="00E7065B"/>
    <w:rsid w:val="00E70A48"/>
    <w:rsid w:val="00E70C23"/>
    <w:rsid w:val="00E70D6D"/>
    <w:rsid w:val="00E70F20"/>
    <w:rsid w:val="00E713FC"/>
    <w:rsid w:val="00E71D3A"/>
    <w:rsid w:val="00E71E1E"/>
    <w:rsid w:val="00E72FD3"/>
    <w:rsid w:val="00E73055"/>
    <w:rsid w:val="00E73D6B"/>
    <w:rsid w:val="00E75083"/>
    <w:rsid w:val="00E751D5"/>
    <w:rsid w:val="00E756E3"/>
    <w:rsid w:val="00E75FE2"/>
    <w:rsid w:val="00E76367"/>
    <w:rsid w:val="00E76577"/>
    <w:rsid w:val="00E76595"/>
    <w:rsid w:val="00E7673B"/>
    <w:rsid w:val="00E76818"/>
    <w:rsid w:val="00E76B7E"/>
    <w:rsid w:val="00E81018"/>
    <w:rsid w:val="00E813D5"/>
    <w:rsid w:val="00E821A2"/>
    <w:rsid w:val="00E8251B"/>
    <w:rsid w:val="00E82903"/>
    <w:rsid w:val="00E835CA"/>
    <w:rsid w:val="00E8395A"/>
    <w:rsid w:val="00E83EFD"/>
    <w:rsid w:val="00E85556"/>
    <w:rsid w:val="00E8619C"/>
    <w:rsid w:val="00E87859"/>
    <w:rsid w:val="00E87B8E"/>
    <w:rsid w:val="00E87D46"/>
    <w:rsid w:val="00E91905"/>
    <w:rsid w:val="00E91AAB"/>
    <w:rsid w:val="00E923AE"/>
    <w:rsid w:val="00E9261E"/>
    <w:rsid w:val="00E92685"/>
    <w:rsid w:val="00E93A29"/>
    <w:rsid w:val="00E9418C"/>
    <w:rsid w:val="00E94A04"/>
    <w:rsid w:val="00E95D56"/>
    <w:rsid w:val="00E9631B"/>
    <w:rsid w:val="00E9702C"/>
    <w:rsid w:val="00E971B1"/>
    <w:rsid w:val="00E97C32"/>
    <w:rsid w:val="00E97D0D"/>
    <w:rsid w:val="00E97FDD"/>
    <w:rsid w:val="00EA0198"/>
    <w:rsid w:val="00EA0ECD"/>
    <w:rsid w:val="00EA1701"/>
    <w:rsid w:val="00EA1822"/>
    <w:rsid w:val="00EA199F"/>
    <w:rsid w:val="00EA1A12"/>
    <w:rsid w:val="00EA2E18"/>
    <w:rsid w:val="00EA38E3"/>
    <w:rsid w:val="00EA40D6"/>
    <w:rsid w:val="00EA4A29"/>
    <w:rsid w:val="00EA4C01"/>
    <w:rsid w:val="00EA540E"/>
    <w:rsid w:val="00EA548F"/>
    <w:rsid w:val="00EA5DAA"/>
    <w:rsid w:val="00EA66C5"/>
    <w:rsid w:val="00EA6EDB"/>
    <w:rsid w:val="00EA74E3"/>
    <w:rsid w:val="00EB0A91"/>
    <w:rsid w:val="00EB1CDE"/>
    <w:rsid w:val="00EB3BD1"/>
    <w:rsid w:val="00EB426F"/>
    <w:rsid w:val="00EB456D"/>
    <w:rsid w:val="00EB4CAF"/>
    <w:rsid w:val="00EB525C"/>
    <w:rsid w:val="00EB5475"/>
    <w:rsid w:val="00EB625C"/>
    <w:rsid w:val="00EB663D"/>
    <w:rsid w:val="00EB66CF"/>
    <w:rsid w:val="00EB6C63"/>
    <w:rsid w:val="00EB745D"/>
    <w:rsid w:val="00EB797E"/>
    <w:rsid w:val="00EB7C91"/>
    <w:rsid w:val="00EB7D08"/>
    <w:rsid w:val="00EC00F6"/>
    <w:rsid w:val="00EC0494"/>
    <w:rsid w:val="00EC0A8C"/>
    <w:rsid w:val="00EC1488"/>
    <w:rsid w:val="00EC14A7"/>
    <w:rsid w:val="00EC1548"/>
    <w:rsid w:val="00EC225A"/>
    <w:rsid w:val="00EC25FD"/>
    <w:rsid w:val="00EC3382"/>
    <w:rsid w:val="00EC34B1"/>
    <w:rsid w:val="00EC3CEE"/>
    <w:rsid w:val="00EC3F7F"/>
    <w:rsid w:val="00EC46C8"/>
    <w:rsid w:val="00EC4BB4"/>
    <w:rsid w:val="00EC4CCD"/>
    <w:rsid w:val="00EC4FEF"/>
    <w:rsid w:val="00EC5EEB"/>
    <w:rsid w:val="00EC63D4"/>
    <w:rsid w:val="00EC7F0B"/>
    <w:rsid w:val="00ED0E74"/>
    <w:rsid w:val="00ED1C7A"/>
    <w:rsid w:val="00ED2B45"/>
    <w:rsid w:val="00ED2BFF"/>
    <w:rsid w:val="00ED2DAC"/>
    <w:rsid w:val="00ED3416"/>
    <w:rsid w:val="00ED3E16"/>
    <w:rsid w:val="00ED4003"/>
    <w:rsid w:val="00ED4E39"/>
    <w:rsid w:val="00ED4EDB"/>
    <w:rsid w:val="00ED5405"/>
    <w:rsid w:val="00ED59A2"/>
    <w:rsid w:val="00ED74C1"/>
    <w:rsid w:val="00ED7B81"/>
    <w:rsid w:val="00EE198A"/>
    <w:rsid w:val="00EE19EA"/>
    <w:rsid w:val="00EE2405"/>
    <w:rsid w:val="00EE2F3A"/>
    <w:rsid w:val="00EE31E6"/>
    <w:rsid w:val="00EE32DA"/>
    <w:rsid w:val="00EE3833"/>
    <w:rsid w:val="00EE38E8"/>
    <w:rsid w:val="00EE4E12"/>
    <w:rsid w:val="00EE50D0"/>
    <w:rsid w:val="00EE56E1"/>
    <w:rsid w:val="00EE623B"/>
    <w:rsid w:val="00EE6683"/>
    <w:rsid w:val="00EE66E3"/>
    <w:rsid w:val="00EE6E7D"/>
    <w:rsid w:val="00EE77D6"/>
    <w:rsid w:val="00EF0474"/>
    <w:rsid w:val="00EF13E7"/>
    <w:rsid w:val="00EF15F6"/>
    <w:rsid w:val="00EF284D"/>
    <w:rsid w:val="00EF3B3E"/>
    <w:rsid w:val="00EF4190"/>
    <w:rsid w:val="00EF43ED"/>
    <w:rsid w:val="00EF4B43"/>
    <w:rsid w:val="00EF5986"/>
    <w:rsid w:val="00EF63C7"/>
    <w:rsid w:val="00EF671F"/>
    <w:rsid w:val="00EF7178"/>
    <w:rsid w:val="00F00EE5"/>
    <w:rsid w:val="00F01E17"/>
    <w:rsid w:val="00F02203"/>
    <w:rsid w:val="00F02D05"/>
    <w:rsid w:val="00F02D41"/>
    <w:rsid w:val="00F02F1E"/>
    <w:rsid w:val="00F031F8"/>
    <w:rsid w:val="00F040E5"/>
    <w:rsid w:val="00F04DE9"/>
    <w:rsid w:val="00F04ECD"/>
    <w:rsid w:val="00F05285"/>
    <w:rsid w:val="00F0541E"/>
    <w:rsid w:val="00F055B1"/>
    <w:rsid w:val="00F059F6"/>
    <w:rsid w:val="00F069B7"/>
    <w:rsid w:val="00F078E1"/>
    <w:rsid w:val="00F07928"/>
    <w:rsid w:val="00F107D8"/>
    <w:rsid w:val="00F10938"/>
    <w:rsid w:val="00F1257A"/>
    <w:rsid w:val="00F1325D"/>
    <w:rsid w:val="00F1332C"/>
    <w:rsid w:val="00F14BD0"/>
    <w:rsid w:val="00F15006"/>
    <w:rsid w:val="00F154B1"/>
    <w:rsid w:val="00F16BD9"/>
    <w:rsid w:val="00F16C86"/>
    <w:rsid w:val="00F17EE7"/>
    <w:rsid w:val="00F204AA"/>
    <w:rsid w:val="00F21697"/>
    <w:rsid w:val="00F2197E"/>
    <w:rsid w:val="00F22ED4"/>
    <w:rsid w:val="00F23492"/>
    <w:rsid w:val="00F2367F"/>
    <w:rsid w:val="00F2436E"/>
    <w:rsid w:val="00F25405"/>
    <w:rsid w:val="00F255C6"/>
    <w:rsid w:val="00F25CCC"/>
    <w:rsid w:val="00F26574"/>
    <w:rsid w:val="00F26617"/>
    <w:rsid w:val="00F26CBA"/>
    <w:rsid w:val="00F30024"/>
    <w:rsid w:val="00F3021D"/>
    <w:rsid w:val="00F30D03"/>
    <w:rsid w:val="00F31788"/>
    <w:rsid w:val="00F31E02"/>
    <w:rsid w:val="00F32154"/>
    <w:rsid w:val="00F329E7"/>
    <w:rsid w:val="00F33056"/>
    <w:rsid w:val="00F3360B"/>
    <w:rsid w:val="00F34F7A"/>
    <w:rsid w:val="00F35230"/>
    <w:rsid w:val="00F35400"/>
    <w:rsid w:val="00F3601D"/>
    <w:rsid w:val="00F364CE"/>
    <w:rsid w:val="00F36BF8"/>
    <w:rsid w:val="00F37399"/>
    <w:rsid w:val="00F37694"/>
    <w:rsid w:val="00F37875"/>
    <w:rsid w:val="00F37CE2"/>
    <w:rsid w:val="00F4068F"/>
    <w:rsid w:val="00F40AD5"/>
    <w:rsid w:val="00F40E96"/>
    <w:rsid w:val="00F41B56"/>
    <w:rsid w:val="00F42766"/>
    <w:rsid w:val="00F4549D"/>
    <w:rsid w:val="00F468B7"/>
    <w:rsid w:val="00F46D1F"/>
    <w:rsid w:val="00F46DA4"/>
    <w:rsid w:val="00F46F88"/>
    <w:rsid w:val="00F47F7D"/>
    <w:rsid w:val="00F517EB"/>
    <w:rsid w:val="00F52528"/>
    <w:rsid w:val="00F52888"/>
    <w:rsid w:val="00F53CA7"/>
    <w:rsid w:val="00F54266"/>
    <w:rsid w:val="00F54C2E"/>
    <w:rsid w:val="00F54CC9"/>
    <w:rsid w:val="00F56586"/>
    <w:rsid w:val="00F56AD4"/>
    <w:rsid w:val="00F57732"/>
    <w:rsid w:val="00F579DE"/>
    <w:rsid w:val="00F60623"/>
    <w:rsid w:val="00F60BDD"/>
    <w:rsid w:val="00F60EFA"/>
    <w:rsid w:val="00F6178C"/>
    <w:rsid w:val="00F6221E"/>
    <w:rsid w:val="00F6336A"/>
    <w:rsid w:val="00F639C3"/>
    <w:rsid w:val="00F63C9A"/>
    <w:rsid w:val="00F6447F"/>
    <w:rsid w:val="00F64EA9"/>
    <w:rsid w:val="00F658BD"/>
    <w:rsid w:val="00F669F7"/>
    <w:rsid w:val="00F670D8"/>
    <w:rsid w:val="00F67A57"/>
    <w:rsid w:val="00F71AC2"/>
    <w:rsid w:val="00F720C1"/>
    <w:rsid w:val="00F72A45"/>
    <w:rsid w:val="00F72F81"/>
    <w:rsid w:val="00F7403F"/>
    <w:rsid w:val="00F744F6"/>
    <w:rsid w:val="00F74910"/>
    <w:rsid w:val="00F74FE9"/>
    <w:rsid w:val="00F75035"/>
    <w:rsid w:val="00F75631"/>
    <w:rsid w:val="00F75702"/>
    <w:rsid w:val="00F75BC1"/>
    <w:rsid w:val="00F801FE"/>
    <w:rsid w:val="00F80E7C"/>
    <w:rsid w:val="00F81F25"/>
    <w:rsid w:val="00F82D4F"/>
    <w:rsid w:val="00F83581"/>
    <w:rsid w:val="00F84541"/>
    <w:rsid w:val="00F847A7"/>
    <w:rsid w:val="00F84988"/>
    <w:rsid w:val="00F858F0"/>
    <w:rsid w:val="00F85F2D"/>
    <w:rsid w:val="00F86357"/>
    <w:rsid w:val="00F863B8"/>
    <w:rsid w:val="00F87055"/>
    <w:rsid w:val="00F87A7A"/>
    <w:rsid w:val="00F87B5A"/>
    <w:rsid w:val="00F9008C"/>
    <w:rsid w:val="00F9106D"/>
    <w:rsid w:val="00F91579"/>
    <w:rsid w:val="00F91715"/>
    <w:rsid w:val="00F91A6A"/>
    <w:rsid w:val="00F928AE"/>
    <w:rsid w:val="00F94002"/>
    <w:rsid w:val="00F94A78"/>
    <w:rsid w:val="00F95D9E"/>
    <w:rsid w:val="00F9653A"/>
    <w:rsid w:val="00F967D9"/>
    <w:rsid w:val="00F96832"/>
    <w:rsid w:val="00F96B49"/>
    <w:rsid w:val="00F96B75"/>
    <w:rsid w:val="00F972CA"/>
    <w:rsid w:val="00F97A59"/>
    <w:rsid w:val="00FA0981"/>
    <w:rsid w:val="00FA0CC4"/>
    <w:rsid w:val="00FA2592"/>
    <w:rsid w:val="00FA2E47"/>
    <w:rsid w:val="00FA3272"/>
    <w:rsid w:val="00FA3995"/>
    <w:rsid w:val="00FA3AA3"/>
    <w:rsid w:val="00FA50ED"/>
    <w:rsid w:val="00FA568E"/>
    <w:rsid w:val="00FA598E"/>
    <w:rsid w:val="00FA5D64"/>
    <w:rsid w:val="00FA736D"/>
    <w:rsid w:val="00FA7C30"/>
    <w:rsid w:val="00FB04FE"/>
    <w:rsid w:val="00FB0BF8"/>
    <w:rsid w:val="00FB0E54"/>
    <w:rsid w:val="00FB0EA4"/>
    <w:rsid w:val="00FB152A"/>
    <w:rsid w:val="00FB1C1E"/>
    <w:rsid w:val="00FB31CC"/>
    <w:rsid w:val="00FB33C5"/>
    <w:rsid w:val="00FB41C0"/>
    <w:rsid w:val="00FB5AF0"/>
    <w:rsid w:val="00FB5FDF"/>
    <w:rsid w:val="00FB72F4"/>
    <w:rsid w:val="00FB7476"/>
    <w:rsid w:val="00FB75DB"/>
    <w:rsid w:val="00FB7BDF"/>
    <w:rsid w:val="00FB7C00"/>
    <w:rsid w:val="00FB7CEC"/>
    <w:rsid w:val="00FC0745"/>
    <w:rsid w:val="00FC0E71"/>
    <w:rsid w:val="00FC10FC"/>
    <w:rsid w:val="00FC16BE"/>
    <w:rsid w:val="00FC2A99"/>
    <w:rsid w:val="00FC2E2B"/>
    <w:rsid w:val="00FC2F40"/>
    <w:rsid w:val="00FC3117"/>
    <w:rsid w:val="00FC3310"/>
    <w:rsid w:val="00FC3745"/>
    <w:rsid w:val="00FC4043"/>
    <w:rsid w:val="00FC4752"/>
    <w:rsid w:val="00FC47A9"/>
    <w:rsid w:val="00FC53DD"/>
    <w:rsid w:val="00FC571C"/>
    <w:rsid w:val="00FC6098"/>
    <w:rsid w:val="00FC62C1"/>
    <w:rsid w:val="00FC6717"/>
    <w:rsid w:val="00FC7167"/>
    <w:rsid w:val="00FD0DC9"/>
    <w:rsid w:val="00FD1B2B"/>
    <w:rsid w:val="00FD1F97"/>
    <w:rsid w:val="00FD2346"/>
    <w:rsid w:val="00FD2677"/>
    <w:rsid w:val="00FD2862"/>
    <w:rsid w:val="00FD358B"/>
    <w:rsid w:val="00FD3828"/>
    <w:rsid w:val="00FD3D6B"/>
    <w:rsid w:val="00FD4FBC"/>
    <w:rsid w:val="00FD5197"/>
    <w:rsid w:val="00FD533A"/>
    <w:rsid w:val="00FD5B2E"/>
    <w:rsid w:val="00FD5CBE"/>
    <w:rsid w:val="00FD60D8"/>
    <w:rsid w:val="00FD7924"/>
    <w:rsid w:val="00FD7ADF"/>
    <w:rsid w:val="00FE0189"/>
    <w:rsid w:val="00FE01CB"/>
    <w:rsid w:val="00FE06C2"/>
    <w:rsid w:val="00FE1B55"/>
    <w:rsid w:val="00FE20F1"/>
    <w:rsid w:val="00FE23C4"/>
    <w:rsid w:val="00FE2C4E"/>
    <w:rsid w:val="00FE4284"/>
    <w:rsid w:val="00FE441F"/>
    <w:rsid w:val="00FE5300"/>
    <w:rsid w:val="00FE58AE"/>
    <w:rsid w:val="00FF01C5"/>
    <w:rsid w:val="00FF0393"/>
    <w:rsid w:val="00FF1ECF"/>
    <w:rsid w:val="00FF20ED"/>
    <w:rsid w:val="00FF2B64"/>
    <w:rsid w:val="00FF3050"/>
    <w:rsid w:val="00FF423C"/>
    <w:rsid w:val="00FF48D9"/>
    <w:rsid w:val="00FF4B39"/>
    <w:rsid w:val="00FF56DC"/>
    <w:rsid w:val="00FF59C4"/>
    <w:rsid w:val="00FF61A5"/>
    <w:rsid w:val="00FF6583"/>
    <w:rsid w:val="00FF6625"/>
    <w:rsid w:val="00FF6CEB"/>
    <w:rsid w:val="00FF6D0B"/>
    <w:rsid w:val="00FF74B5"/>
    <w:rsid w:val="00FF7C13"/>
    <w:rsid w:val="105F303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3AA5B232"/>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IN" w:eastAsia="en-IN"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Times New Roman" w:hAnsi="Times New Roman"/>
      <w:sz w:val="24"/>
      <w:szCs w:val="24"/>
      <w:lang w:val="en-US" w:eastAsia="en-US"/>
    </w:rPr>
  </w:style>
  <w:style w:type="paragraph" w:styleId="Heading1">
    <w:name w:val="heading 1"/>
    <w:basedOn w:val="Normal"/>
    <w:next w:val="Normal"/>
    <w:link w:val="Heading1Char"/>
    <w:uiPriority w:val="1"/>
    <w:qFormat/>
    <w:pPr>
      <w:ind w:left="118"/>
      <w:outlineLvl w:val="0"/>
    </w:pPr>
    <w:rPr>
      <w:b/>
      <w:bCs/>
      <w:sz w:val="22"/>
      <w:szCs w:val="22"/>
    </w:rPr>
  </w:style>
  <w:style w:type="paragraph" w:styleId="Heading2">
    <w:name w:val="heading 2"/>
    <w:basedOn w:val="Normal"/>
    <w:next w:val="Normal"/>
    <w:link w:val="Heading2Char"/>
    <w:uiPriority w:val="9"/>
    <w:semiHidden/>
    <w:unhideWhenUsed/>
    <w:qFormat/>
    <w:pPr>
      <w:keepNext/>
      <w:spacing w:before="240" w:after="60"/>
      <w:outlineLvl w:val="1"/>
    </w:pPr>
    <w:rPr>
      <w:rFonts w:ascii="Calibri Light"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autoSpaceDE/>
      <w:autoSpaceDN/>
      <w:adjustRightInd/>
    </w:pPr>
    <w:rPr>
      <w:rFonts w:ascii="Tahoma" w:eastAsia="Arial Unicode MS" w:hAnsi="Tahoma" w:cs="Tahoma"/>
      <w:color w:val="000000"/>
      <w:sz w:val="16"/>
      <w:szCs w:val="16"/>
      <w:lang w:bidi="en-US"/>
    </w:rPr>
  </w:style>
  <w:style w:type="paragraph" w:styleId="BodyText">
    <w:name w:val="Body Text"/>
    <w:basedOn w:val="Normal"/>
    <w:link w:val="BodyTextChar"/>
    <w:uiPriority w:val="1"/>
    <w:qFormat/>
    <w:pPr>
      <w:ind w:left="118"/>
    </w:pPr>
    <w:rPr>
      <w:sz w:val="22"/>
      <w:szCs w:val="22"/>
    </w:rPr>
  </w:style>
  <w:style w:type="paragraph" w:styleId="BodyTextIndent">
    <w:name w:val="Body Text Indent"/>
    <w:basedOn w:val="Normal"/>
    <w:link w:val="BodyTextIndentChar"/>
    <w:uiPriority w:val="99"/>
    <w:semiHidden/>
    <w:unhideWhenUsed/>
    <w:qFormat/>
    <w:pPr>
      <w:spacing w:after="120"/>
      <w:ind w:left="283"/>
    </w:pPr>
  </w:style>
  <w:style w:type="character" w:styleId="CommentReference">
    <w:name w:val="annotation reference"/>
    <w:uiPriority w:val="99"/>
    <w:unhideWhenUsed/>
    <w:qFormat/>
    <w:rPr>
      <w:sz w:val="16"/>
      <w:szCs w:val="16"/>
    </w:rPr>
  </w:style>
  <w:style w:type="paragraph" w:styleId="CommentText">
    <w:name w:val="annotation text"/>
    <w:basedOn w:val="Normal"/>
    <w:link w:val="CommentTextChar"/>
    <w:uiPriority w:val="99"/>
    <w:unhideWhenUsed/>
    <w:qFormat/>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FollowedHyperlink">
    <w:name w:val="FollowedHyperlink"/>
    <w:uiPriority w:val="99"/>
    <w:semiHidden/>
    <w:unhideWhenUsed/>
    <w:qFormat/>
    <w:rPr>
      <w:color w:val="954F72"/>
      <w:u w:val="single"/>
    </w:rPr>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iPriority w:val="99"/>
    <w:unhideWhenUsed/>
    <w:qFormat/>
    <w:pPr>
      <w:tabs>
        <w:tab w:val="center" w:pos="4680"/>
        <w:tab w:val="right" w:pos="9360"/>
      </w:tabs>
    </w:pPr>
  </w:style>
  <w:style w:type="character" w:styleId="Hyperlink">
    <w:name w:val="Hyperlink"/>
    <w:unhideWhenUsed/>
    <w:qFormat/>
    <w:rPr>
      <w:color w:val="0563C1"/>
      <w:u w:val="single"/>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1"/>
    <w:qFormat/>
    <w:locked/>
    <w:rPr>
      <w:rFonts w:ascii="Calibri Light" w:eastAsia="Times New Roman" w:hAnsi="Calibri Light" w:cs="Times New Roman"/>
      <w:b/>
      <w:bCs/>
      <w:kern w:val="32"/>
      <w:sz w:val="32"/>
      <w:szCs w:val="32"/>
    </w:rPr>
  </w:style>
  <w:style w:type="character" w:customStyle="1" w:styleId="BodyTextChar">
    <w:name w:val="Body Text Char"/>
    <w:link w:val="BodyText"/>
    <w:uiPriority w:val="1"/>
    <w:qFormat/>
    <w:locked/>
    <w:rPr>
      <w:rFonts w:ascii="Times New Roman" w:hAnsi="Times New Roman" w:cs="Times New Roman"/>
      <w:sz w:val="24"/>
      <w:szCs w:val="24"/>
    </w:rPr>
  </w:style>
  <w:style w:type="paragraph" w:styleId="ListParagraph">
    <w:name w:val="List Paragraph"/>
    <w:basedOn w:val="Normal"/>
    <w:uiPriority w:val="99"/>
    <w:qFormat/>
  </w:style>
  <w:style w:type="paragraph" w:customStyle="1" w:styleId="TableParagraph">
    <w:name w:val="Table Paragraph"/>
    <w:basedOn w:val="Normal"/>
    <w:uiPriority w:val="1"/>
    <w:qFormat/>
  </w:style>
  <w:style w:type="character" w:customStyle="1" w:styleId="HeaderChar">
    <w:name w:val="Header Char"/>
    <w:link w:val="Header"/>
    <w:uiPriority w:val="99"/>
    <w:qFormat/>
    <w:locked/>
    <w:rPr>
      <w:rFonts w:ascii="Times New Roman" w:hAnsi="Times New Roman" w:cs="Times New Roman"/>
      <w:sz w:val="24"/>
      <w:szCs w:val="24"/>
    </w:rPr>
  </w:style>
  <w:style w:type="character" w:customStyle="1" w:styleId="FooterChar">
    <w:name w:val="Footer Char"/>
    <w:link w:val="Footer"/>
    <w:uiPriority w:val="99"/>
    <w:qFormat/>
    <w:locked/>
    <w:rPr>
      <w:rFonts w:ascii="Times New Roman" w:hAnsi="Times New Roman" w:cs="Times New Roman"/>
      <w:sz w:val="24"/>
      <w:szCs w:val="24"/>
    </w:rPr>
  </w:style>
  <w:style w:type="paragraph" w:customStyle="1" w:styleId="TitleA">
    <w:name w:val="Title A"/>
    <w:basedOn w:val="Normal"/>
    <w:uiPriority w:val="1"/>
    <w:qFormat/>
    <w:pPr>
      <w:jc w:val="center"/>
    </w:pPr>
    <w:rPr>
      <w:b/>
      <w:sz w:val="22"/>
      <w:lang w:val="el-GR"/>
    </w:rPr>
  </w:style>
  <w:style w:type="paragraph" w:customStyle="1" w:styleId="Default">
    <w:name w:val="Default"/>
    <w:qFormat/>
    <w:pPr>
      <w:autoSpaceDE w:val="0"/>
      <w:autoSpaceDN w:val="0"/>
      <w:adjustRightInd w:val="0"/>
    </w:pPr>
    <w:rPr>
      <w:rFonts w:ascii="Times New Roman" w:eastAsia="MS Mincho" w:hAnsi="Times New Roman"/>
      <w:color w:val="000000"/>
      <w:sz w:val="24"/>
      <w:szCs w:val="24"/>
      <w:lang w:val="en-GB" w:eastAsia="ja-JP"/>
    </w:rPr>
  </w:style>
  <w:style w:type="character" w:customStyle="1" w:styleId="Bodytext2Bold">
    <w:name w:val="Body text (2) + Bold"/>
    <w:qFormat/>
    <w:rPr>
      <w:rFonts w:ascii="Arial" w:eastAsia="Arial" w:hAnsi="Arial" w:cs="Arial"/>
      <w:b/>
      <w:bCs/>
      <w:color w:val="000000"/>
      <w:spacing w:val="0"/>
      <w:w w:val="100"/>
      <w:position w:val="0"/>
      <w:sz w:val="22"/>
      <w:szCs w:val="22"/>
      <w:u w:val="single"/>
      <w:lang w:val="en-US" w:eastAsia="en-US" w:bidi="en-US"/>
    </w:rPr>
  </w:style>
  <w:style w:type="character" w:customStyle="1" w:styleId="Bodytext2">
    <w:name w:val="Body text (2)"/>
    <w:qFormat/>
    <w:rPr>
      <w:rFonts w:ascii="Arial" w:eastAsia="Arial" w:hAnsi="Arial" w:cs="Arial"/>
      <w:strike/>
      <w:color w:val="000000"/>
      <w:spacing w:val="0"/>
      <w:w w:val="100"/>
      <w:position w:val="0"/>
      <w:sz w:val="22"/>
      <w:szCs w:val="22"/>
      <w:u w:val="single"/>
      <w:lang w:val="en-US" w:eastAsia="en-US" w:bidi="en-US"/>
    </w:rPr>
  </w:style>
  <w:style w:type="character" w:customStyle="1" w:styleId="Heading1NotBold">
    <w:name w:val="Heading #1 + Not Bold"/>
    <w:qFormat/>
    <w:rPr>
      <w:rFonts w:ascii="Arial" w:eastAsia="Arial" w:hAnsi="Arial" w:cs="Arial"/>
      <w:b/>
      <w:bCs/>
      <w:color w:val="000000"/>
      <w:spacing w:val="0"/>
      <w:w w:val="100"/>
      <w:position w:val="0"/>
      <w:sz w:val="22"/>
      <w:szCs w:val="22"/>
      <w:u w:val="none"/>
      <w:lang w:val="en-US" w:eastAsia="en-US" w:bidi="en-US"/>
    </w:rPr>
  </w:style>
  <w:style w:type="character" w:customStyle="1" w:styleId="Bodytext2Italic">
    <w:name w:val="Body text (2) + Italic"/>
    <w:qFormat/>
    <w:rPr>
      <w:rFonts w:ascii="Arial" w:eastAsia="Arial" w:hAnsi="Arial" w:cs="Arial"/>
      <w:i/>
      <w:iCs/>
      <w:color w:val="000000"/>
      <w:spacing w:val="0"/>
      <w:w w:val="100"/>
      <w:position w:val="0"/>
      <w:sz w:val="22"/>
      <w:szCs w:val="22"/>
      <w:u w:val="none"/>
      <w:lang w:val="en-US" w:eastAsia="en-US" w:bidi="en-US"/>
    </w:rPr>
  </w:style>
  <w:style w:type="character" w:customStyle="1" w:styleId="Bodytext4">
    <w:name w:val="Body text (4)"/>
    <w:qFormat/>
    <w:rPr>
      <w:rFonts w:ascii="Arial" w:eastAsia="Arial" w:hAnsi="Arial" w:cs="Arial"/>
      <w:i/>
      <w:iCs/>
      <w:color w:val="000000"/>
      <w:spacing w:val="0"/>
      <w:w w:val="100"/>
      <w:position w:val="0"/>
      <w:sz w:val="22"/>
      <w:szCs w:val="22"/>
      <w:u w:val="none"/>
      <w:lang w:val="en-US" w:eastAsia="en-US" w:bidi="en-US"/>
    </w:rPr>
  </w:style>
  <w:style w:type="character" w:customStyle="1" w:styleId="Bodytext3Italic">
    <w:name w:val="Body text (3) + Italic"/>
    <w:qFormat/>
    <w:rPr>
      <w:rFonts w:ascii="Arial" w:eastAsia="Arial" w:hAnsi="Arial" w:cs="Arial"/>
      <w:b/>
      <w:bCs/>
      <w:i/>
      <w:iCs/>
      <w:color w:val="000000"/>
      <w:spacing w:val="0"/>
      <w:w w:val="100"/>
      <w:position w:val="0"/>
      <w:sz w:val="22"/>
      <w:szCs w:val="22"/>
      <w:u w:val="none"/>
      <w:lang w:val="en-US" w:eastAsia="en-US" w:bidi="en-US"/>
    </w:rPr>
  </w:style>
  <w:style w:type="character" w:customStyle="1" w:styleId="Bodytext3NotBold">
    <w:name w:val="Body text (3) + Not Bold"/>
    <w:qFormat/>
    <w:rPr>
      <w:rFonts w:ascii="Arial" w:eastAsia="Arial" w:hAnsi="Arial" w:cs="Arial"/>
      <w:b/>
      <w:bCs/>
      <w:color w:val="000000"/>
      <w:spacing w:val="0"/>
      <w:w w:val="100"/>
      <w:position w:val="0"/>
      <w:sz w:val="22"/>
      <w:szCs w:val="22"/>
      <w:u w:val="none"/>
      <w:lang w:val="en-US" w:eastAsia="en-US" w:bidi="en-US"/>
    </w:rPr>
  </w:style>
  <w:style w:type="character" w:customStyle="1" w:styleId="Heading10">
    <w:name w:val="Heading #1"/>
    <w:qFormat/>
    <w:rPr>
      <w:rFonts w:ascii="Arial" w:eastAsia="Arial" w:hAnsi="Arial" w:cs="Arial"/>
      <w:b/>
      <w:bCs/>
      <w:color w:val="000000"/>
      <w:spacing w:val="0"/>
      <w:w w:val="100"/>
      <w:position w:val="0"/>
      <w:sz w:val="22"/>
      <w:szCs w:val="22"/>
      <w:u w:val="single"/>
      <w:lang w:val="en-US" w:eastAsia="en-US" w:bidi="en-US"/>
    </w:rPr>
  </w:style>
  <w:style w:type="character" w:customStyle="1" w:styleId="Bodytext3">
    <w:name w:val="Body text (3)"/>
    <w:qFormat/>
    <w:rPr>
      <w:rFonts w:ascii="Arial" w:eastAsia="Arial" w:hAnsi="Arial" w:cs="Arial"/>
      <w:b/>
      <w:bCs/>
      <w:color w:val="000000"/>
      <w:spacing w:val="0"/>
      <w:w w:val="100"/>
      <w:position w:val="0"/>
      <w:sz w:val="22"/>
      <w:szCs w:val="22"/>
      <w:u w:val="single"/>
      <w:lang w:val="en-US" w:eastAsia="en-US" w:bidi="en-US"/>
    </w:rPr>
  </w:style>
  <w:style w:type="character" w:customStyle="1" w:styleId="Tablecaption2">
    <w:name w:val="Table caption (2)"/>
    <w:qFormat/>
    <w:rPr>
      <w:rFonts w:ascii="Arial" w:eastAsia="Arial" w:hAnsi="Arial" w:cs="Arial"/>
      <w:color w:val="000000"/>
      <w:spacing w:val="0"/>
      <w:w w:val="100"/>
      <w:position w:val="0"/>
      <w:sz w:val="22"/>
      <w:szCs w:val="22"/>
      <w:u w:val="none"/>
      <w:lang w:val="en-US" w:eastAsia="en-US" w:bidi="en-US"/>
    </w:rPr>
  </w:style>
  <w:style w:type="character" w:customStyle="1" w:styleId="Bodytext295pt">
    <w:name w:val="Body text (2) + 9;5 pt"/>
    <w:qFormat/>
    <w:rPr>
      <w:rFonts w:ascii="Arial" w:eastAsia="Arial" w:hAnsi="Arial" w:cs="Arial"/>
      <w:color w:val="000000"/>
      <w:spacing w:val="0"/>
      <w:w w:val="100"/>
      <w:position w:val="0"/>
      <w:sz w:val="19"/>
      <w:szCs w:val="19"/>
      <w:u w:val="none"/>
      <w:lang w:val="en-US" w:eastAsia="en-US" w:bidi="en-US"/>
    </w:rPr>
  </w:style>
  <w:style w:type="character" w:customStyle="1" w:styleId="TablecaptionBold">
    <w:name w:val="Table caption + Bold"/>
    <w:qFormat/>
    <w:rPr>
      <w:rFonts w:ascii="Arial" w:eastAsia="Arial" w:hAnsi="Arial" w:cs="Arial"/>
      <w:b/>
      <w:bCs/>
      <w:color w:val="000000"/>
      <w:spacing w:val="0"/>
      <w:w w:val="100"/>
      <w:position w:val="0"/>
      <w:sz w:val="18"/>
      <w:szCs w:val="18"/>
      <w:u w:val="none"/>
      <w:lang w:val="en-US" w:eastAsia="en-US" w:bidi="en-US"/>
    </w:rPr>
  </w:style>
  <w:style w:type="character" w:customStyle="1" w:styleId="Bodytext295ptBold">
    <w:name w:val="Body text (2) + 9;5 pt;Bold"/>
    <w:qFormat/>
    <w:rPr>
      <w:rFonts w:ascii="Arial" w:eastAsia="Arial" w:hAnsi="Arial" w:cs="Arial"/>
      <w:b/>
      <w:bCs/>
      <w:color w:val="000000"/>
      <w:spacing w:val="0"/>
      <w:w w:val="100"/>
      <w:position w:val="0"/>
      <w:sz w:val="19"/>
      <w:szCs w:val="19"/>
      <w:u w:val="none"/>
      <w:lang w:val="en-US" w:eastAsia="en-US" w:bidi="en-US"/>
    </w:rPr>
  </w:style>
  <w:style w:type="character" w:customStyle="1" w:styleId="Tablecaption5">
    <w:name w:val="Table caption (5)"/>
    <w:qFormat/>
    <w:rPr>
      <w:rFonts w:ascii="Arial" w:eastAsia="Arial" w:hAnsi="Arial" w:cs="Arial"/>
      <w:color w:val="000000"/>
      <w:spacing w:val="0"/>
      <w:w w:val="100"/>
      <w:position w:val="0"/>
      <w:sz w:val="19"/>
      <w:szCs w:val="19"/>
      <w:u w:val="single"/>
      <w:lang w:val="en-US" w:eastAsia="en-US" w:bidi="en-US"/>
    </w:rPr>
  </w:style>
  <w:style w:type="character" w:customStyle="1" w:styleId="Tablecaption5Bold">
    <w:name w:val="Table caption (5) + Bold"/>
    <w:qFormat/>
    <w:rPr>
      <w:rFonts w:ascii="Arial" w:eastAsia="Arial" w:hAnsi="Arial" w:cs="Arial"/>
      <w:b/>
      <w:bCs/>
      <w:color w:val="000000"/>
      <w:spacing w:val="0"/>
      <w:w w:val="100"/>
      <w:position w:val="0"/>
      <w:sz w:val="19"/>
      <w:szCs w:val="19"/>
      <w:u w:val="single"/>
      <w:lang w:val="en-US" w:eastAsia="en-US" w:bidi="en-US"/>
    </w:rPr>
  </w:style>
  <w:style w:type="character" w:customStyle="1" w:styleId="Bodytext27ptBold">
    <w:name w:val="Body text (2) + 7 pt;Bold"/>
    <w:qFormat/>
    <w:rPr>
      <w:rFonts w:ascii="Arial" w:eastAsia="Arial" w:hAnsi="Arial" w:cs="Arial"/>
      <w:b/>
      <w:bCs/>
      <w:color w:val="000000"/>
      <w:spacing w:val="0"/>
      <w:w w:val="100"/>
      <w:position w:val="0"/>
      <w:sz w:val="14"/>
      <w:szCs w:val="14"/>
      <w:u w:val="none"/>
      <w:lang w:val="en-US" w:eastAsia="en-US" w:bidi="en-US"/>
    </w:rPr>
  </w:style>
  <w:style w:type="character" w:customStyle="1" w:styleId="Bodytext265ptBoldItalicSpacing0ptScale120">
    <w:name w:val="Body text (2) + 6;5 pt;Bold;Italic;Spacing 0 pt;Scale 120%"/>
    <w:qFormat/>
    <w:rPr>
      <w:rFonts w:ascii="Arial" w:eastAsia="Arial" w:hAnsi="Arial" w:cs="Arial"/>
      <w:b/>
      <w:bCs/>
      <w:i/>
      <w:iCs/>
      <w:color w:val="000000"/>
      <w:spacing w:val="-10"/>
      <w:w w:val="120"/>
      <w:position w:val="0"/>
      <w:sz w:val="13"/>
      <w:szCs w:val="13"/>
      <w:u w:val="none"/>
      <w:lang w:val="en-US" w:eastAsia="en-US" w:bidi="en-US"/>
    </w:rPr>
  </w:style>
  <w:style w:type="character" w:customStyle="1" w:styleId="Bodytext25ptSpacing0ptScale150">
    <w:name w:val="Body text (2) + 5 pt;Spacing 0 pt;Scale 150%"/>
    <w:qFormat/>
    <w:rPr>
      <w:rFonts w:ascii="Arial" w:eastAsia="Arial" w:hAnsi="Arial" w:cs="Arial"/>
      <w:color w:val="000000"/>
      <w:spacing w:val="-10"/>
      <w:w w:val="150"/>
      <w:position w:val="0"/>
      <w:sz w:val="10"/>
      <w:szCs w:val="10"/>
      <w:u w:val="none"/>
      <w:lang w:val="en-US" w:eastAsia="en-US" w:bidi="en-US"/>
    </w:rPr>
  </w:style>
  <w:style w:type="character" w:customStyle="1" w:styleId="Bodytext27ptBoldSmallCaps">
    <w:name w:val="Body text (2) + 7 pt;Bold;Small Caps"/>
    <w:qFormat/>
    <w:rPr>
      <w:rFonts w:ascii="Arial" w:eastAsia="Arial" w:hAnsi="Arial" w:cs="Arial"/>
      <w:b/>
      <w:bCs/>
      <w:smallCaps/>
      <w:color w:val="000000"/>
      <w:spacing w:val="0"/>
      <w:w w:val="100"/>
      <w:position w:val="0"/>
      <w:sz w:val="14"/>
      <w:szCs w:val="14"/>
      <w:u w:val="none"/>
      <w:lang w:val="en-US" w:eastAsia="en-US" w:bidi="en-US"/>
    </w:rPr>
  </w:style>
  <w:style w:type="character" w:customStyle="1" w:styleId="Bodytext214ptBoldScale60">
    <w:name w:val="Body text (2) + 14 pt;Bold;Scale 60%"/>
    <w:qFormat/>
    <w:rPr>
      <w:rFonts w:ascii="Arial" w:eastAsia="Arial" w:hAnsi="Arial" w:cs="Arial"/>
      <w:b/>
      <w:bCs/>
      <w:color w:val="000000"/>
      <w:spacing w:val="0"/>
      <w:w w:val="60"/>
      <w:position w:val="0"/>
      <w:sz w:val="28"/>
      <w:szCs w:val="28"/>
      <w:u w:val="none"/>
      <w:lang w:val="en-US" w:eastAsia="en-US" w:bidi="en-US"/>
    </w:rPr>
  </w:style>
  <w:style w:type="character" w:customStyle="1" w:styleId="Bodytext24ptSpacing0pt">
    <w:name w:val="Body text (2) + 4 pt;Spacing 0 pt"/>
    <w:qFormat/>
    <w:rPr>
      <w:rFonts w:ascii="Arial" w:eastAsia="Arial" w:hAnsi="Arial" w:cs="Arial"/>
      <w:color w:val="000000"/>
      <w:spacing w:val="-10"/>
      <w:w w:val="100"/>
      <w:position w:val="0"/>
      <w:sz w:val="8"/>
      <w:szCs w:val="8"/>
      <w:u w:val="none"/>
      <w:lang w:val="en-US" w:eastAsia="en-US" w:bidi="en-US"/>
    </w:rPr>
  </w:style>
  <w:style w:type="character" w:customStyle="1" w:styleId="Bodytext24ptSpacing0ptScale120">
    <w:name w:val="Body text (2) + 4 pt;Spacing 0 pt;Scale 120%"/>
    <w:qFormat/>
    <w:rPr>
      <w:rFonts w:ascii="Arial" w:eastAsia="Arial" w:hAnsi="Arial" w:cs="Arial"/>
      <w:color w:val="000000"/>
      <w:spacing w:val="-10"/>
      <w:w w:val="120"/>
      <w:position w:val="0"/>
      <w:sz w:val="8"/>
      <w:szCs w:val="8"/>
      <w:u w:val="none"/>
      <w:lang w:val="en-US" w:eastAsia="en-US" w:bidi="en-US"/>
    </w:rPr>
  </w:style>
  <w:style w:type="character" w:customStyle="1" w:styleId="Bodytext25ptSpacing0pt">
    <w:name w:val="Body text (2) + 5 pt;Spacing 0 pt"/>
    <w:qFormat/>
    <w:rPr>
      <w:rFonts w:ascii="Arial" w:eastAsia="Arial" w:hAnsi="Arial" w:cs="Arial"/>
      <w:color w:val="000000"/>
      <w:spacing w:val="-10"/>
      <w:w w:val="100"/>
      <w:position w:val="0"/>
      <w:sz w:val="10"/>
      <w:szCs w:val="10"/>
      <w:u w:val="none"/>
      <w:lang w:val="en-US" w:eastAsia="en-US" w:bidi="en-US"/>
    </w:rPr>
  </w:style>
  <w:style w:type="character" w:customStyle="1" w:styleId="Bodytext210pt">
    <w:name w:val="Body text (2) + 10 pt"/>
    <w:qFormat/>
    <w:rPr>
      <w:rFonts w:ascii="Arial" w:eastAsia="Arial" w:hAnsi="Arial" w:cs="Arial"/>
      <w:color w:val="000000"/>
      <w:spacing w:val="0"/>
      <w:w w:val="100"/>
      <w:position w:val="0"/>
      <w:sz w:val="20"/>
      <w:szCs w:val="20"/>
      <w:u w:val="none"/>
      <w:lang w:val="en-US" w:eastAsia="en-US" w:bidi="en-US"/>
    </w:rPr>
  </w:style>
  <w:style w:type="character" w:customStyle="1" w:styleId="Bodytext219ptItalicSpacing4pt">
    <w:name w:val="Body text (2) + 19 pt;Italic;Spacing 4 pt"/>
    <w:qFormat/>
    <w:rPr>
      <w:rFonts w:ascii="Arial" w:eastAsia="Arial" w:hAnsi="Arial" w:cs="Arial"/>
      <w:i/>
      <w:iCs/>
      <w:color w:val="000000"/>
      <w:spacing w:val="80"/>
      <w:w w:val="100"/>
      <w:position w:val="0"/>
      <w:sz w:val="38"/>
      <w:szCs w:val="38"/>
      <w:u w:val="none"/>
      <w:lang w:val="en-US" w:eastAsia="en-US" w:bidi="en-US"/>
    </w:rPr>
  </w:style>
  <w:style w:type="character" w:customStyle="1" w:styleId="Bodytext27pt">
    <w:name w:val="Body text (2) + 7 pt"/>
    <w:qFormat/>
    <w:rPr>
      <w:rFonts w:ascii="Arial" w:eastAsia="Arial" w:hAnsi="Arial" w:cs="Arial"/>
      <w:color w:val="000000"/>
      <w:spacing w:val="0"/>
      <w:w w:val="100"/>
      <w:position w:val="0"/>
      <w:sz w:val="14"/>
      <w:szCs w:val="14"/>
      <w:u w:val="none"/>
      <w:lang w:val="en-US" w:eastAsia="en-US" w:bidi="en-US"/>
    </w:rPr>
  </w:style>
  <w:style w:type="character" w:customStyle="1" w:styleId="Bodytext27ptSpacing2pt">
    <w:name w:val="Body text (2) + 7 pt;Spacing 2 pt"/>
    <w:qFormat/>
    <w:rPr>
      <w:rFonts w:ascii="Arial" w:eastAsia="Arial" w:hAnsi="Arial" w:cs="Arial"/>
      <w:color w:val="000000"/>
      <w:spacing w:val="50"/>
      <w:w w:val="100"/>
      <w:position w:val="0"/>
      <w:sz w:val="14"/>
      <w:szCs w:val="14"/>
      <w:u w:val="none"/>
      <w:lang w:val="en-US" w:eastAsia="en-US" w:bidi="en-US"/>
    </w:rPr>
  </w:style>
  <w:style w:type="character" w:customStyle="1" w:styleId="Bodytext213ptScale80">
    <w:name w:val="Body text (2) + 13 pt;Scale 80%"/>
    <w:qFormat/>
    <w:rPr>
      <w:rFonts w:ascii="Arial" w:eastAsia="Arial" w:hAnsi="Arial" w:cs="Arial"/>
      <w:color w:val="000000"/>
      <w:spacing w:val="0"/>
      <w:w w:val="80"/>
      <w:position w:val="0"/>
      <w:sz w:val="26"/>
      <w:szCs w:val="26"/>
      <w:u w:val="none"/>
      <w:lang w:val="en-US" w:eastAsia="en-US" w:bidi="en-US"/>
    </w:rPr>
  </w:style>
  <w:style w:type="character" w:customStyle="1" w:styleId="Bodytext24pt">
    <w:name w:val="Body text (2) + 4 pt"/>
    <w:qFormat/>
    <w:rPr>
      <w:rFonts w:ascii="Arial" w:eastAsia="Arial" w:hAnsi="Arial" w:cs="Arial"/>
      <w:color w:val="000000"/>
      <w:spacing w:val="0"/>
      <w:w w:val="100"/>
      <w:position w:val="0"/>
      <w:sz w:val="8"/>
      <w:szCs w:val="8"/>
      <w:u w:val="none"/>
      <w:lang w:val="en-US" w:eastAsia="en-US" w:bidi="en-US"/>
    </w:rPr>
  </w:style>
  <w:style w:type="character" w:customStyle="1" w:styleId="Bodytext6Bold">
    <w:name w:val="Body text (6) + Bold"/>
    <w:qFormat/>
    <w:rPr>
      <w:rFonts w:ascii="Arial" w:eastAsia="Arial" w:hAnsi="Arial" w:cs="Arial"/>
      <w:b/>
      <w:bCs/>
      <w:color w:val="000000"/>
      <w:spacing w:val="0"/>
      <w:w w:val="100"/>
      <w:position w:val="0"/>
      <w:sz w:val="18"/>
      <w:szCs w:val="18"/>
      <w:u w:val="none"/>
      <w:lang w:val="en-US" w:eastAsia="en-US" w:bidi="en-US"/>
    </w:rPr>
  </w:style>
  <w:style w:type="paragraph" w:customStyle="1" w:styleId="Bodytext5">
    <w:name w:val="Body text (5)"/>
    <w:basedOn w:val="Normal"/>
    <w:qFormat/>
    <w:pPr>
      <w:shd w:val="clear" w:color="auto" w:fill="FFFFFF"/>
      <w:autoSpaceDE/>
      <w:autoSpaceDN/>
      <w:adjustRightInd/>
      <w:spacing w:before="120" w:after="120" w:line="499" w:lineRule="exact"/>
      <w:ind w:hanging="400"/>
    </w:pPr>
    <w:rPr>
      <w:rFonts w:ascii="Arial" w:eastAsia="Arial" w:hAnsi="Arial" w:cs="Arial"/>
      <w:b/>
      <w:bCs/>
      <w:i/>
      <w:iCs/>
      <w:color w:val="000000"/>
      <w:sz w:val="22"/>
      <w:szCs w:val="22"/>
      <w:lang w:bidi="en-US"/>
    </w:rPr>
  </w:style>
  <w:style w:type="paragraph" w:customStyle="1" w:styleId="Tablecaption">
    <w:name w:val="Table caption"/>
    <w:basedOn w:val="Normal"/>
    <w:qFormat/>
    <w:pPr>
      <w:shd w:val="clear" w:color="auto" w:fill="FFFFFF"/>
      <w:autoSpaceDE/>
      <w:autoSpaceDN/>
      <w:adjustRightInd/>
      <w:spacing w:before="120" w:after="120" w:line="206" w:lineRule="exact"/>
    </w:pPr>
    <w:rPr>
      <w:rFonts w:ascii="Arial" w:eastAsia="Arial" w:hAnsi="Arial" w:cs="Arial"/>
      <w:color w:val="000000"/>
      <w:sz w:val="18"/>
      <w:szCs w:val="18"/>
      <w:lang w:bidi="en-US"/>
    </w:rPr>
  </w:style>
  <w:style w:type="paragraph" w:customStyle="1" w:styleId="Tablecaption3">
    <w:name w:val="Table caption (3)"/>
    <w:basedOn w:val="Normal"/>
    <w:qFormat/>
    <w:pPr>
      <w:shd w:val="clear" w:color="auto" w:fill="FFFFFF"/>
      <w:autoSpaceDE/>
      <w:autoSpaceDN/>
      <w:adjustRightInd/>
      <w:spacing w:before="120" w:after="120" w:line="206" w:lineRule="exact"/>
      <w:ind w:hanging="180"/>
    </w:pPr>
    <w:rPr>
      <w:rFonts w:ascii="Arial" w:eastAsia="Arial" w:hAnsi="Arial" w:cs="Arial"/>
      <w:b/>
      <w:bCs/>
      <w:color w:val="000000"/>
      <w:sz w:val="18"/>
      <w:szCs w:val="18"/>
      <w:lang w:bidi="en-US"/>
    </w:rPr>
  </w:style>
  <w:style w:type="paragraph" w:customStyle="1" w:styleId="Tablecaption4">
    <w:name w:val="Table caption (4)"/>
    <w:basedOn w:val="Normal"/>
    <w:qFormat/>
    <w:pPr>
      <w:shd w:val="clear" w:color="auto" w:fill="FFFFFF"/>
      <w:autoSpaceDE/>
      <w:autoSpaceDN/>
      <w:adjustRightInd/>
      <w:spacing w:before="120" w:after="120" w:line="0" w:lineRule="atLeast"/>
    </w:pPr>
    <w:rPr>
      <w:rFonts w:ascii="Arial" w:eastAsia="Arial" w:hAnsi="Arial" w:cs="Arial"/>
      <w:b/>
      <w:bCs/>
      <w:color w:val="000000"/>
      <w:sz w:val="22"/>
      <w:szCs w:val="22"/>
      <w:lang w:bidi="en-US"/>
    </w:rPr>
  </w:style>
  <w:style w:type="paragraph" w:customStyle="1" w:styleId="Bodytext6">
    <w:name w:val="Body text (6)"/>
    <w:basedOn w:val="Normal"/>
    <w:qFormat/>
    <w:pPr>
      <w:shd w:val="clear" w:color="auto" w:fill="FFFFFF"/>
      <w:autoSpaceDE/>
      <w:autoSpaceDN/>
      <w:adjustRightInd/>
      <w:spacing w:before="120" w:after="120" w:line="206" w:lineRule="exact"/>
      <w:ind w:hanging="400"/>
    </w:pPr>
    <w:rPr>
      <w:rFonts w:ascii="Arial" w:eastAsia="Arial" w:hAnsi="Arial" w:cs="Arial"/>
      <w:color w:val="000000"/>
      <w:sz w:val="18"/>
      <w:szCs w:val="18"/>
      <w:lang w:bidi="en-US"/>
    </w:rPr>
  </w:style>
  <w:style w:type="character" w:customStyle="1" w:styleId="tw4winMark">
    <w:name w:val="tw4winMark"/>
    <w:uiPriority w:val="99"/>
    <w:qFormat/>
    <w:rPr>
      <w:rFonts w:ascii="Courier New" w:hAnsi="Courier New"/>
      <w:vanish/>
      <w:color w:val="800080"/>
      <w:vertAlign w:val="subscript"/>
    </w:rPr>
  </w:style>
  <w:style w:type="character" w:customStyle="1" w:styleId="BalloonTextChar">
    <w:name w:val="Balloon Text Char"/>
    <w:link w:val="BalloonText"/>
    <w:uiPriority w:val="99"/>
    <w:semiHidden/>
    <w:qFormat/>
    <w:rPr>
      <w:rFonts w:ascii="Tahoma" w:eastAsia="Arial Unicode MS" w:hAnsi="Tahoma" w:cs="Tahoma"/>
      <w:color w:val="000000"/>
      <w:sz w:val="16"/>
      <w:szCs w:val="16"/>
      <w:lang w:bidi="en-US"/>
    </w:rPr>
  </w:style>
  <w:style w:type="character" w:customStyle="1" w:styleId="CommentTextChar">
    <w:name w:val="Comment Text Char"/>
    <w:link w:val="CommentText"/>
    <w:uiPriority w:val="99"/>
    <w:qFormat/>
    <w:rPr>
      <w:rFonts w:ascii="Times New Roman" w:hAnsi="Times New Roman"/>
    </w:rPr>
  </w:style>
  <w:style w:type="character" w:customStyle="1" w:styleId="CommentSubjectChar">
    <w:name w:val="Comment Subject Char"/>
    <w:link w:val="CommentSubject"/>
    <w:uiPriority w:val="99"/>
    <w:semiHidden/>
    <w:qFormat/>
    <w:rPr>
      <w:rFonts w:ascii="Times New Roman" w:hAnsi="Times New Roman"/>
      <w:b/>
      <w:bCs/>
    </w:rPr>
  </w:style>
  <w:style w:type="paragraph" w:customStyle="1" w:styleId="Revision1">
    <w:name w:val="Revision1"/>
    <w:hidden/>
    <w:uiPriority w:val="99"/>
    <w:semiHidden/>
    <w:qFormat/>
    <w:rPr>
      <w:rFonts w:ascii="Times New Roman" w:hAnsi="Times New Roman"/>
      <w:sz w:val="24"/>
      <w:szCs w:val="24"/>
      <w:lang w:val="en-US" w:eastAsia="en-US"/>
    </w:rPr>
  </w:style>
  <w:style w:type="paragraph" w:customStyle="1" w:styleId="EMEANormal">
    <w:name w:val="EMEA Normal"/>
    <w:link w:val="EMEANormalChar"/>
    <w:qFormat/>
    <w:pPr>
      <w:tabs>
        <w:tab w:val="left" w:pos="562"/>
      </w:tabs>
      <w:suppressAutoHyphens/>
    </w:pPr>
    <w:rPr>
      <w:rFonts w:ascii="Times New Roman" w:hAnsi="Times New Roman"/>
      <w:sz w:val="22"/>
      <w:lang w:val="en-US" w:eastAsia="en-US"/>
    </w:rPr>
  </w:style>
  <w:style w:type="character" w:customStyle="1" w:styleId="EMEANormalChar">
    <w:name w:val="EMEA Normal Char"/>
    <w:link w:val="EMEANormal"/>
    <w:qFormat/>
    <w:rPr>
      <w:rFonts w:ascii="Times New Roman" w:hAnsi="Times New Roman"/>
      <w:sz w:val="22"/>
      <w:lang w:val="en-US" w:eastAsia="en-US"/>
    </w:rPr>
  </w:style>
  <w:style w:type="paragraph" w:customStyle="1" w:styleId="gtctablespaceafter">
    <w:name w:val="gtctablespaceafter"/>
    <w:basedOn w:val="Normal"/>
    <w:qFormat/>
    <w:pPr>
      <w:widowControl/>
      <w:autoSpaceDE/>
      <w:autoSpaceDN/>
      <w:adjustRightInd/>
      <w:spacing w:after="280"/>
    </w:pPr>
    <w:rPr>
      <w:sz w:val="2"/>
      <w:szCs w:val="2"/>
    </w:rPr>
  </w:style>
  <w:style w:type="paragraph" w:customStyle="1" w:styleId="EMEABullet2">
    <w:name w:val="EMEA Bullet 2"/>
    <w:basedOn w:val="Normal"/>
    <w:next w:val="EMEANormal"/>
    <w:qFormat/>
    <w:pPr>
      <w:widowControl/>
      <w:tabs>
        <w:tab w:val="left" w:pos="567"/>
      </w:tabs>
      <w:suppressAutoHyphens/>
      <w:autoSpaceDE/>
      <w:autoSpaceDN/>
      <w:adjustRightInd/>
    </w:pPr>
    <w:rPr>
      <w:sz w:val="22"/>
      <w:szCs w:val="20"/>
    </w:rPr>
  </w:style>
  <w:style w:type="character" w:customStyle="1" w:styleId="shorttext">
    <w:name w:val="short_text"/>
    <w:basedOn w:val="DefaultParagraphFont"/>
    <w:qFormat/>
  </w:style>
  <w:style w:type="character" w:customStyle="1" w:styleId="alt-edited1">
    <w:name w:val="alt-edited1"/>
    <w:qFormat/>
    <w:rPr>
      <w:color w:val="4D90F0"/>
    </w:rPr>
  </w:style>
  <w:style w:type="paragraph" w:customStyle="1" w:styleId="TitleB">
    <w:name w:val="Title B"/>
    <w:basedOn w:val="Normal"/>
    <w:uiPriority w:val="1"/>
    <w:qFormat/>
    <w:pPr>
      <w:widowControl/>
      <w:ind w:left="851" w:hanging="851"/>
      <w:outlineLvl w:val="0"/>
    </w:pPr>
    <w:rPr>
      <w:b/>
      <w:bCs/>
      <w:sz w:val="22"/>
      <w:szCs w:val="22"/>
      <w:lang w:val="el-GR"/>
    </w:rPr>
  </w:style>
  <w:style w:type="paragraph" w:customStyle="1" w:styleId="TableLeft">
    <w:name w:val="Table Left"/>
    <w:basedOn w:val="Normal"/>
    <w:link w:val="TableLeftChar"/>
    <w:qFormat/>
    <w:pPr>
      <w:keepNext/>
      <w:widowControl/>
      <w:autoSpaceDE/>
      <w:autoSpaceDN/>
      <w:adjustRightInd/>
      <w:spacing w:before="40" w:after="40" w:line="240" w:lineRule="exact"/>
    </w:pPr>
    <w:rPr>
      <w:rFonts w:eastAsia="Calibri"/>
      <w:sz w:val="20"/>
      <w:szCs w:val="20"/>
      <w:lang w:eastAsia="ja-JP"/>
    </w:rPr>
  </w:style>
  <w:style w:type="character" w:customStyle="1" w:styleId="TableLeftChar">
    <w:name w:val="Table Left Char"/>
    <w:link w:val="TableLeft"/>
    <w:qFormat/>
    <w:locked/>
    <w:rPr>
      <w:rFonts w:ascii="Times New Roman" w:eastAsia="Calibri" w:hAnsi="Times New Roman"/>
      <w:lang w:val="en-US"/>
    </w:rPr>
  </w:style>
  <w:style w:type="paragraph" w:customStyle="1" w:styleId="gtcbodytext">
    <w:name w:val="gtcbodytext"/>
    <w:basedOn w:val="Normal"/>
    <w:qFormat/>
    <w:pPr>
      <w:widowControl/>
      <w:autoSpaceDE/>
      <w:autoSpaceDN/>
      <w:adjustRightInd/>
      <w:spacing w:before="240" w:after="240" w:line="300" w:lineRule="auto"/>
    </w:pPr>
  </w:style>
  <w:style w:type="paragraph" w:customStyle="1" w:styleId="EMEABullet">
    <w:name w:val="EMEA Bullet"/>
    <w:link w:val="EMEABulletChar"/>
    <w:qFormat/>
    <w:pPr>
      <w:suppressAutoHyphens/>
    </w:pPr>
    <w:rPr>
      <w:rFonts w:ascii="Times New Roman" w:hAnsi="Times New Roman"/>
      <w:sz w:val="22"/>
      <w:lang w:val="en-US" w:eastAsia="en-US"/>
    </w:rPr>
  </w:style>
  <w:style w:type="character" w:customStyle="1" w:styleId="EMEABulletChar">
    <w:name w:val="EMEA Bullet Char"/>
    <w:link w:val="EMEABullet"/>
    <w:qFormat/>
    <w:rPr>
      <w:rFonts w:ascii="Times New Roman" w:hAnsi="Times New Roman"/>
      <w:sz w:val="22"/>
      <w:lang w:val="en-US" w:eastAsia="en-US"/>
    </w:rPr>
  </w:style>
  <w:style w:type="character" w:customStyle="1" w:styleId="BodyTextIndentChar">
    <w:name w:val="Body Text Indent Char"/>
    <w:link w:val="BodyTextIndent"/>
    <w:uiPriority w:val="99"/>
    <w:semiHidden/>
    <w:qFormat/>
    <w:rPr>
      <w:rFonts w:ascii="Times New Roman" w:hAnsi="Times New Roman"/>
      <w:sz w:val="24"/>
      <w:szCs w:val="24"/>
      <w:lang w:val="en-US" w:eastAsia="en-US"/>
    </w:rPr>
  </w:style>
  <w:style w:type="paragraph" w:customStyle="1" w:styleId="lbltxt">
    <w:name w:val="lbltxt"/>
    <w:qFormat/>
    <w:pPr>
      <w:tabs>
        <w:tab w:val="left" w:pos="567"/>
      </w:tabs>
    </w:pPr>
    <w:rPr>
      <w:rFonts w:ascii="Times New Roman" w:eastAsia="PMingLiU" w:hAnsi="Times New Roman"/>
      <w:sz w:val="22"/>
      <w:lang w:val="en-GB" w:eastAsia="en-US"/>
    </w:rPr>
  </w:style>
  <w:style w:type="character" w:customStyle="1" w:styleId="rynqvb">
    <w:name w:val="rynqvb"/>
    <w:basedOn w:val="DefaultParagraphFont"/>
    <w:qFormat/>
  </w:style>
  <w:style w:type="character" w:customStyle="1" w:styleId="Heading2Char">
    <w:name w:val="Heading 2 Char"/>
    <w:link w:val="Heading2"/>
    <w:uiPriority w:val="9"/>
    <w:semiHidden/>
    <w:qFormat/>
    <w:rPr>
      <w:rFonts w:ascii="Calibri Light" w:eastAsia="Times New Roman" w:hAnsi="Calibri Light" w:cs="Times New Roman"/>
      <w:b/>
      <w:bCs/>
      <w:i/>
      <w:iCs/>
      <w:sz w:val="28"/>
      <w:szCs w:val="28"/>
      <w:lang w:val="en-US" w:eastAsia="en-US"/>
    </w:rPr>
  </w:style>
  <w:style w:type="paragraph" w:customStyle="1" w:styleId="ARROWBULLETED">
    <w:name w:val="ARROW BULLETED"/>
    <w:basedOn w:val="ListParagraph"/>
    <w:qFormat/>
    <w:pPr>
      <w:numPr>
        <w:numId w:val="1"/>
      </w:numPr>
      <w:tabs>
        <w:tab w:val="left" w:pos="828"/>
      </w:tabs>
      <w:suppressAutoHyphens/>
      <w:spacing w:before="90" w:line="250" w:lineRule="atLeast"/>
      <w:contextualSpacing/>
    </w:pPr>
    <w:rPr>
      <w:bCs/>
      <w:color w:val="000000"/>
      <w:spacing w:val="-2"/>
      <w:sz w:val="20"/>
      <w:lang w:val="el-GR" w:eastAsia="ja-JP"/>
    </w:rPr>
  </w:style>
  <w:style w:type="paragraph" w:customStyle="1" w:styleId="ListBullets">
    <w:name w:val="List Bullets"/>
    <w:basedOn w:val="Normal"/>
    <w:qFormat/>
    <w:pPr>
      <w:widowControl/>
      <w:numPr>
        <w:numId w:val="2"/>
      </w:numPr>
      <w:spacing w:after="120"/>
      <w:contextualSpacing/>
    </w:pPr>
    <w:rPr>
      <w:rFonts w:ascii="Verdana" w:eastAsia="Cambria" w:hAnsi="Verdana" w:cs="Arial"/>
      <w:sz w:val="20"/>
      <w:lang w:val="el-GR" w:eastAsia="en-GB"/>
    </w:rPr>
  </w:style>
  <w:style w:type="paragraph" w:customStyle="1" w:styleId="ListBulletsIndent">
    <w:name w:val="List Bullets Indent"/>
    <w:basedOn w:val="ListBullets"/>
    <w:qFormat/>
    <w:pPr>
      <w:numPr>
        <w:ilvl w:val="1"/>
      </w:numPr>
      <w:tabs>
        <w:tab w:val="left" w:pos="360"/>
      </w:tabs>
    </w:pPr>
  </w:style>
  <w:style w:type="character" w:customStyle="1" w:styleId="UnresolvedMention1">
    <w:name w:val="Unresolved Mention1"/>
    <w:uiPriority w:val="99"/>
    <w:semiHidden/>
    <w:unhideWhenUsed/>
    <w:qFormat/>
    <w:rPr>
      <w:color w:val="605E5C"/>
      <w:shd w:val="clear" w:color="auto" w:fill="E1DFDD"/>
    </w:rPr>
  </w:style>
  <w:style w:type="paragraph" w:styleId="Revision">
    <w:name w:val="Revision"/>
    <w:hidden/>
    <w:uiPriority w:val="99"/>
    <w:unhideWhenUsed/>
    <w:rsid w:val="001F5318"/>
    <w:rPr>
      <w:rFonts w:ascii="Times New Roman" w:hAnsi="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www.ema.europa.eu"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0.jpeg"/><Relationship Id="rId89" Type="http://schemas.openxmlformats.org/officeDocument/2006/relationships/hyperlink" Target="https://www.ema.europa.eu/en/documents/template-form/qrd-appendix-v-adverse-drug-reaction-reporting-details_en.docx" TargetMode="External"/><Relationship Id="rId16" Type="http://schemas.openxmlformats.org/officeDocument/2006/relationships/image" Target="media/image4.png"/><Relationship Id="rId11" Type="http://schemas.openxmlformats.org/officeDocument/2006/relationships/hyperlink" Target="https://www.ema.europa.eu/en/documents/template-form/qrd-appendix-v-adverse-drug-reaction-reporting-details_en.docx"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3.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5.jpeg"/><Relationship Id="rId102" Type="http://schemas.openxmlformats.org/officeDocument/2006/relationships/theme" Target="theme/theme1.xml"/><Relationship Id="rId5" Type="http://schemas.openxmlformats.org/officeDocument/2006/relationships/styles" Target="styles.xml"/><Relationship Id="rId90" Type="http://schemas.openxmlformats.org/officeDocument/2006/relationships/hyperlink" Target="http://www.ema.europa.eu/" TargetMode="External"/><Relationship Id="rId95" Type="http://schemas.openxmlformats.org/officeDocument/2006/relationships/image" Target="media/image69.jpeg"/><Relationship Id="rId22" Type="http://schemas.openxmlformats.org/officeDocument/2006/relationships/hyperlink" Target="http://www.ema.europa.eu/" TargetMode="External"/><Relationship Id="rId27" Type="http://schemas.openxmlformats.org/officeDocument/2006/relationships/image" Target="media/image9.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hyperlink" Target="http://www.ema.europa.eu/" TargetMode="External"/><Relationship Id="rId17" Type="http://schemas.openxmlformats.org/officeDocument/2006/relationships/image" Target="media/image5.pn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7.jpeg"/><Relationship Id="rId103" Type="http://schemas.openxmlformats.org/officeDocument/2006/relationships/customXml" Target="../customXml/item4.xml"/><Relationship Id="rId20" Type="http://schemas.openxmlformats.org/officeDocument/2006/relationships/hyperlink" Target="https://www.ema.europa.eu/en/documents/template-form/qrd-appendix-v-adverse-drug-reaction-reporting-details_en.docx"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5.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hyperlink" Target="https://www.ema.europa.eu/en/documents/template-form/qrd-appendix-v-adverse-drug-reaction-reporting-details_en.docx"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hyperlink" Target="http://www.ema.europa.eu/" TargetMode="External"/><Relationship Id="rId106" Type="http://schemas.openxmlformats.org/officeDocument/2006/relationships/customXml" Target="../customXml/item7.xml"/><Relationship Id="rId10" Type="http://schemas.openxmlformats.org/officeDocument/2006/relationships/hyperlink" Target="https://www.ema.europa.eu/en/medicines/human/EPAR/amgevita"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hyperlink" Target="http://www.ema.europa.eu/" TargetMode="External"/><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8.jpeg"/><Relationship Id="rId99" Type="http://schemas.openxmlformats.org/officeDocument/2006/relationships/footer" Target="footer3.xml"/><Relationship Id="rId101" Type="http://schemas.microsoft.com/office/2011/relationships/people" Target="peop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hyperlink" Target="https://www.ema.europa.eu/en/documents/template-form/qrd-appendix-v-adverse-drug-reaction-reporting-details_en.docx" TargetMode="External"/><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footer" Target="footer1.xml"/><Relationship Id="rId104" Type="http://schemas.openxmlformats.org/officeDocument/2006/relationships/customXml" Target="../customXml/item5.xml"/><Relationship Id="rId7" Type="http://schemas.openxmlformats.org/officeDocument/2006/relationships/webSettings" Target="webSettings.xml"/><Relationship Id="rId71" Type="http://schemas.openxmlformats.org/officeDocument/2006/relationships/image" Target="media/image49.jpe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hyperlink" Target="http://www.ema.europa.eu/" TargetMode="External"/><Relationship Id="rId40" Type="http://schemas.openxmlformats.org/officeDocument/2006/relationships/hyperlink" Target="http://www.ema.europa.eu/" TargetMode="External"/><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image" Target="media/image63.jpeg"/><Relationship Id="rId61" Type="http://schemas.openxmlformats.org/officeDocument/2006/relationships/image" Target="media/image39.jpeg"/><Relationship Id="rId82" Type="http://schemas.openxmlformats.org/officeDocument/2006/relationships/image" Target="media/image58.jpeg"/><Relationship Id="rId19" Type="http://schemas.openxmlformats.org/officeDocument/2006/relationships/hyperlink" Target="http://www.ema.europa.eu/" TargetMode="External"/><Relationship Id="rId14" Type="http://schemas.openxmlformats.org/officeDocument/2006/relationships/image" Target="media/image2.jpe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hyperlink" Target="https://www.ema.europa.eu/en/documents/template-form/qrd-appendix-v-adverse-drug-reaction-reporting-details_en.docx" TargetMode="External"/><Relationship Id="rId77" Type="http://schemas.openxmlformats.org/officeDocument/2006/relationships/hyperlink" Target="https://www.ema.europa.eu/en/documents/template-form/qrd-appendix-v-adverse-drug-reaction-reporting-details_en.docx" TargetMode="External"/><Relationship Id="rId100" Type="http://schemas.openxmlformats.org/officeDocument/2006/relationships/fontTable" Target="fontTable.xml"/><Relationship Id="rId105" Type="http://schemas.openxmlformats.org/officeDocument/2006/relationships/customXml" Target="../customXml/item6.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0.jpeg"/><Relationship Id="rId93" Type="http://schemas.openxmlformats.org/officeDocument/2006/relationships/image" Target="media/image67.jpeg"/><Relationship Id="rId98"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6.jpeg"/><Relationship Id="rId6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sisl xmlns:xsd="http://www.w3.org/2001/XMLSchema" xmlns:xsi="http://www.w3.org/2001/XMLSchema-instance"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EMADOC-1700519818-2905907</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https://euema.sharepoint.com/sites/CRM/_layouts/15/DocIdRedir.aspx?ID=EMADOC-1700519818-2905907</Url>
      <Description>EMADOC-1700519818-2905907</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D529F46-3A17-4B5A-AEF9-D4A2146F3F09}">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108C53C8-060F-4DA6-AECB-14C987EADA12}">
  <ds:schemaRefs>
    <ds:schemaRef ds:uri="http://schemas.openxmlformats.org/officeDocument/2006/bibliography"/>
  </ds:schemaRefs>
</ds:datastoreItem>
</file>

<file path=customXml/itemProps4.xml><?xml version="1.0" encoding="utf-8"?>
<ds:datastoreItem xmlns:ds="http://schemas.openxmlformats.org/officeDocument/2006/customXml" ds:itemID="{C42430D0-3F1A-45FB-81C5-50D2EE12785D}"/>
</file>

<file path=customXml/itemProps5.xml><?xml version="1.0" encoding="utf-8"?>
<ds:datastoreItem xmlns:ds="http://schemas.openxmlformats.org/officeDocument/2006/customXml" ds:itemID="{E51649ED-12EE-4219-8950-B4A274F166DB}"/>
</file>

<file path=customXml/itemProps6.xml><?xml version="1.0" encoding="utf-8"?>
<ds:datastoreItem xmlns:ds="http://schemas.openxmlformats.org/officeDocument/2006/customXml" ds:itemID="{C8A45C44-9BE0-45FF-943D-F26E2B510B48}"/>
</file>

<file path=customXml/itemProps7.xml><?xml version="1.0" encoding="utf-8"?>
<ds:datastoreItem xmlns:ds="http://schemas.openxmlformats.org/officeDocument/2006/customXml" ds:itemID="{527C16BA-DDDE-4F24-8CD7-AB85E71891CD}"/>
</file>

<file path=docMetadata/LabelInfo.xml><?xml version="1.0" encoding="utf-8"?>
<clbl:labelList xmlns:clbl="http://schemas.microsoft.com/office/2020/mipLabelMetadata">
  <clbl:label id="{0eea11ca-d417-4147-80ed-01a58412c458}" enabled="1" method="Standard" siteId="{bc9dc15c-61bc-4f03-b60b-e5b6d8922839}" contentBits="2" removed="0"/>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306</Pages>
  <Words>96038</Words>
  <Characters>547423</Characters>
  <Application>Microsoft Office Word</Application>
  <DocSecurity>0</DocSecurity>
  <Lines>4561</Lines>
  <Paragraphs>1284</Paragraphs>
  <ScaleCrop>false</ScaleCrop>
  <Company/>
  <LinksUpToDate>false</LinksUpToDate>
  <CharactersWithSpaces>642177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2026-04-22T16:28:00Z</dcterms:created>
  <dcterms:modified xsi:type="dcterms:W3CDTF">2026-04-23T06:32:00Z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513a46-b961-46d6-9006-1e87d5eb3e82_Enabled">
    <vt:lpwstr>true</vt:lpwstr>
  </property>
  <property fmtid="{D5CDD505-2E9C-101B-9397-08002B2CF9AE}" pid="3" name="MSIP_Label_cf513a46-b961-46d6-9006-1e87d5eb3e82_SetDate">
    <vt:lpwstr>2026-04-22T16:27:47Z</vt:lpwstr>
  </property>
  <property fmtid="{D5CDD505-2E9C-101B-9397-08002B2CF9AE}" pid="4" name="MSIP_Label_cf513a46-b961-46d6-9006-1e87d5eb3e82_Method">
    <vt:lpwstr>Privileged</vt:lpwstr>
  </property>
  <property fmtid="{D5CDD505-2E9C-101B-9397-08002B2CF9AE}" pid="5" name="MSIP_Label_cf513a46-b961-46d6-9006-1e87d5eb3e82_Name">
    <vt:lpwstr>Internal Use Only Ethics and Compliance</vt:lpwstr>
  </property>
  <property fmtid="{D5CDD505-2E9C-101B-9397-08002B2CF9AE}" pid="6" name="MSIP_Label_cf513a46-b961-46d6-9006-1e87d5eb3e82_SiteId">
    <vt:lpwstr>4b4266a6-1368-41af-ad5a-59eb634f7ad8</vt:lpwstr>
  </property>
  <property fmtid="{D5CDD505-2E9C-101B-9397-08002B2CF9AE}" pid="7" name="MSIP_Label_cf513a46-b961-46d6-9006-1e87d5eb3e82_ActionId">
    <vt:lpwstr>ee2dcd7f-6620-4e93-9141-609ecfda36ba</vt:lpwstr>
  </property>
  <property fmtid="{D5CDD505-2E9C-101B-9397-08002B2CF9AE}" pid="8" name="MSIP_Label_cf513a46-b961-46d6-9006-1e87d5eb3e82_ContentBits">
    <vt:lpwstr>2</vt:lpwstr>
  </property>
  <property fmtid="{D5CDD505-2E9C-101B-9397-08002B2CF9AE}" pid="9" name="MSIP_Label_cf513a46-b961-46d6-9006-1e87d5eb3e82_Tag">
    <vt:lpwstr>10, 0, 1, 1</vt:lpwstr>
  </property>
  <property fmtid="{D5CDD505-2E9C-101B-9397-08002B2CF9AE}" pid="10" name="ContentTypeId">
    <vt:lpwstr>0x0101000DA6AD19014FF648A49316945EE786F90200176DED4FF78CD74995F64A0F46B59E48</vt:lpwstr>
  </property>
  <property fmtid="{D5CDD505-2E9C-101B-9397-08002B2CF9AE}" pid="11" name="_dlc_DocIdItemGuid">
    <vt:lpwstr>bf7ceca7-7d2e-4935-8902-9c3bad8edf65</vt:lpwstr>
  </property>
</Properties>
</file>