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803F" w14:textId="6610E012" w:rsidR="00421132" w:rsidRPr="0071352D" w:rsidRDefault="00421132" w:rsidP="00460788">
      <w:pPr>
        <w:pBdr>
          <w:top w:val="single" w:sz="4" w:space="1" w:color="auto"/>
          <w:left w:val="single" w:sz="4" w:space="4" w:color="auto"/>
          <w:bottom w:val="single" w:sz="4" w:space="1" w:color="auto"/>
          <w:right w:val="single" w:sz="4" w:space="4" w:color="auto"/>
        </w:pBdr>
      </w:pPr>
      <w:r w:rsidRPr="0071352D">
        <w:t xml:space="preserve">Το παρόν έγγραφο αποτελεί τις εγκεκριμένες πληροφορίες προϊόντος για το </w:t>
      </w:r>
      <w:r>
        <w:rPr>
          <w:lang w:val="de-DE"/>
        </w:rPr>
        <w:t>Kefdensis</w:t>
      </w:r>
      <w:r w:rsidRPr="0071352D">
        <w:t xml:space="preserve">, ενώ επισημαίνονται οι αλλαγές που επήλθαν στις πληροφορίες προϊόντος σε συνέχεια της προηγούμενης διαδικασίας </w:t>
      </w:r>
      <w:r>
        <w:t>( EMA/VR/0000343436)</w:t>
      </w:r>
      <w:r w:rsidRPr="0071352D">
        <w:t>.</w:t>
      </w:r>
    </w:p>
    <w:p w14:paraId="1B44DC09" w14:textId="77777777" w:rsidR="00421132" w:rsidRPr="0071352D" w:rsidRDefault="00421132" w:rsidP="00460788">
      <w:pPr>
        <w:pBdr>
          <w:top w:val="single" w:sz="4" w:space="1" w:color="auto"/>
          <w:left w:val="single" w:sz="4" w:space="4" w:color="auto"/>
          <w:bottom w:val="single" w:sz="4" w:space="1" w:color="auto"/>
          <w:right w:val="single" w:sz="4" w:space="4" w:color="auto"/>
        </w:pBdr>
      </w:pPr>
    </w:p>
    <w:p w14:paraId="3BBA155E" w14:textId="77777777" w:rsidR="00421132" w:rsidRPr="0071352D" w:rsidRDefault="00421132" w:rsidP="00460788">
      <w:pPr>
        <w:pBdr>
          <w:top w:val="single" w:sz="4" w:space="1" w:color="auto"/>
          <w:left w:val="single" w:sz="4" w:space="4" w:color="auto"/>
          <w:bottom w:val="single" w:sz="4" w:space="1" w:color="auto"/>
          <w:right w:val="single" w:sz="4" w:space="4" w:color="auto"/>
        </w:pBdr>
      </w:pPr>
      <w:r w:rsidRPr="0071352D">
        <w:t xml:space="preserve">Για περισσότερες πληροφορίες, βλ. τον δικτυακό τόπο του Ευρωπαϊκού Οργανισμού Φαρμάκων: </w:t>
      </w:r>
      <w:hyperlink r:id="rId12" w:history="1">
        <w:r>
          <w:rPr>
            <w:rStyle w:val="Hyperlink"/>
          </w:rPr>
          <w:t>https://www.ema.europa.eu/en/medicines/human/epar/kefdensis</w:t>
        </w:r>
      </w:hyperlink>
    </w:p>
    <w:p w14:paraId="2155F9B6" w14:textId="77777777" w:rsidR="00951F81" w:rsidRPr="005F2506" w:rsidRDefault="00951F81" w:rsidP="00951F81">
      <w:pPr>
        <w:jc w:val="center"/>
      </w:pPr>
    </w:p>
    <w:p w14:paraId="00A10C89" w14:textId="77777777" w:rsidR="00EE1575" w:rsidRPr="005F2506" w:rsidRDefault="00EE1575" w:rsidP="00951F81">
      <w:pPr>
        <w:jc w:val="center"/>
      </w:pPr>
    </w:p>
    <w:p w14:paraId="3D58BC23" w14:textId="77777777" w:rsidR="00EE1575" w:rsidRPr="005F2506" w:rsidRDefault="00EE1575" w:rsidP="00951F81">
      <w:pPr>
        <w:jc w:val="center"/>
      </w:pPr>
    </w:p>
    <w:p w14:paraId="1257A647" w14:textId="77777777" w:rsidR="00EE1575" w:rsidRPr="005F2506" w:rsidRDefault="00EE1575" w:rsidP="00951F81">
      <w:pPr>
        <w:jc w:val="center"/>
      </w:pPr>
    </w:p>
    <w:p w14:paraId="2155F9B7" w14:textId="77777777" w:rsidR="00951F81" w:rsidRDefault="00951F81" w:rsidP="00951F81">
      <w:pPr>
        <w:jc w:val="center"/>
      </w:pPr>
    </w:p>
    <w:p w14:paraId="2155F9B8" w14:textId="77777777" w:rsidR="00951F81" w:rsidRDefault="00951F81" w:rsidP="00951F81">
      <w:pPr>
        <w:jc w:val="center"/>
      </w:pPr>
    </w:p>
    <w:p w14:paraId="2155F9B9" w14:textId="77777777" w:rsidR="00951F81" w:rsidRDefault="00951F81" w:rsidP="00951F81">
      <w:pPr>
        <w:jc w:val="center"/>
      </w:pPr>
    </w:p>
    <w:p w14:paraId="2155F9BA" w14:textId="77777777" w:rsidR="00951F81" w:rsidRDefault="00951F81" w:rsidP="00951F81">
      <w:pPr>
        <w:jc w:val="center"/>
      </w:pPr>
    </w:p>
    <w:p w14:paraId="2155F9BB" w14:textId="77777777" w:rsidR="00951F81" w:rsidRDefault="00951F81" w:rsidP="00951F81">
      <w:pPr>
        <w:jc w:val="center"/>
      </w:pPr>
    </w:p>
    <w:p w14:paraId="2155F9BC" w14:textId="77777777" w:rsidR="00951F81" w:rsidRDefault="00951F81" w:rsidP="00951F81">
      <w:pPr>
        <w:jc w:val="center"/>
      </w:pPr>
    </w:p>
    <w:p w14:paraId="2155F9BD" w14:textId="77777777" w:rsidR="00951F81" w:rsidRDefault="00951F81" w:rsidP="00951F81">
      <w:pPr>
        <w:jc w:val="center"/>
      </w:pPr>
    </w:p>
    <w:p w14:paraId="2155F9BE" w14:textId="77777777" w:rsidR="00951F81" w:rsidRDefault="00951F81" w:rsidP="00951F81">
      <w:pPr>
        <w:jc w:val="center"/>
        <w:rPr>
          <w:bCs/>
        </w:rPr>
      </w:pPr>
    </w:p>
    <w:p w14:paraId="2155F9BF" w14:textId="77777777" w:rsidR="00951F81" w:rsidRDefault="00951F81" w:rsidP="00951F81">
      <w:pPr>
        <w:jc w:val="center"/>
        <w:rPr>
          <w:bCs/>
        </w:rPr>
      </w:pPr>
    </w:p>
    <w:p w14:paraId="2155F9C0" w14:textId="77777777" w:rsidR="00951F81" w:rsidRDefault="00951F81" w:rsidP="00951F81">
      <w:pPr>
        <w:jc w:val="center"/>
        <w:rPr>
          <w:bCs/>
        </w:rPr>
      </w:pPr>
    </w:p>
    <w:p w14:paraId="2155F9C1" w14:textId="77777777" w:rsidR="00951F81" w:rsidRDefault="00951F81" w:rsidP="00951F81">
      <w:pPr>
        <w:jc w:val="center"/>
        <w:rPr>
          <w:bCs/>
        </w:rPr>
      </w:pPr>
    </w:p>
    <w:p w14:paraId="2155F9C2" w14:textId="77777777" w:rsidR="00951F81" w:rsidRDefault="00951F81" w:rsidP="00951F81">
      <w:pPr>
        <w:jc w:val="center"/>
        <w:rPr>
          <w:bCs/>
        </w:rPr>
      </w:pPr>
    </w:p>
    <w:p w14:paraId="2155F9C3" w14:textId="77777777" w:rsidR="00951F81" w:rsidRDefault="00951F81" w:rsidP="00951F81">
      <w:pPr>
        <w:jc w:val="center"/>
        <w:rPr>
          <w:bCs/>
        </w:rPr>
      </w:pPr>
    </w:p>
    <w:p w14:paraId="2155F9C4" w14:textId="77777777" w:rsidR="00951F81" w:rsidRDefault="00951F81" w:rsidP="00951F81">
      <w:pPr>
        <w:jc w:val="center"/>
        <w:rPr>
          <w:bCs/>
        </w:rPr>
      </w:pPr>
    </w:p>
    <w:p w14:paraId="2155F9C5" w14:textId="77777777" w:rsidR="00951F81" w:rsidRDefault="00951F81" w:rsidP="00951F81">
      <w:pPr>
        <w:jc w:val="center"/>
        <w:rPr>
          <w:bCs/>
        </w:rPr>
      </w:pPr>
    </w:p>
    <w:p w14:paraId="2155F9C6" w14:textId="77777777" w:rsidR="00951F81" w:rsidRDefault="00951F81" w:rsidP="00951F81">
      <w:pPr>
        <w:jc w:val="center"/>
        <w:rPr>
          <w:bCs/>
        </w:rPr>
      </w:pPr>
    </w:p>
    <w:p w14:paraId="2155F9C7" w14:textId="77777777" w:rsidR="00951F81" w:rsidRDefault="00951F81" w:rsidP="00951F81">
      <w:pPr>
        <w:jc w:val="center"/>
        <w:rPr>
          <w:bCs/>
        </w:rPr>
      </w:pPr>
    </w:p>
    <w:p w14:paraId="2155F9C8" w14:textId="77777777" w:rsidR="00951F81" w:rsidRDefault="00951F81" w:rsidP="00951F81">
      <w:pPr>
        <w:jc w:val="center"/>
        <w:rPr>
          <w:bCs/>
        </w:rPr>
      </w:pPr>
    </w:p>
    <w:p w14:paraId="2155F9C9" w14:textId="77777777" w:rsidR="00951F81" w:rsidRDefault="00951F81" w:rsidP="00951F81">
      <w:pPr>
        <w:jc w:val="center"/>
        <w:rPr>
          <w:bCs/>
        </w:rPr>
      </w:pPr>
    </w:p>
    <w:p w14:paraId="2155F9CA" w14:textId="77777777" w:rsidR="00951F81" w:rsidRDefault="00951F81" w:rsidP="00951F81">
      <w:pPr>
        <w:jc w:val="center"/>
        <w:rPr>
          <w:bCs/>
        </w:rPr>
      </w:pPr>
    </w:p>
    <w:p w14:paraId="2155F9CB" w14:textId="77777777" w:rsidR="00951F81" w:rsidRDefault="00951F81" w:rsidP="00951F81">
      <w:pPr>
        <w:jc w:val="center"/>
        <w:rPr>
          <w:bCs/>
        </w:rPr>
      </w:pPr>
    </w:p>
    <w:p w14:paraId="2155F9CC" w14:textId="77777777" w:rsidR="00951F81" w:rsidRDefault="00951F81" w:rsidP="00951F81">
      <w:pPr>
        <w:jc w:val="center"/>
        <w:rPr>
          <w:bCs/>
        </w:rPr>
      </w:pPr>
    </w:p>
    <w:p w14:paraId="2155F9CD" w14:textId="77777777" w:rsidR="00951F81" w:rsidRDefault="007079D3" w:rsidP="00951F81">
      <w:pPr>
        <w:jc w:val="center"/>
        <w:rPr>
          <w:b/>
          <w:bCs/>
        </w:rPr>
      </w:pPr>
      <w:r>
        <w:rPr>
          <w:b/>
        </w:rPr>
        <w:t>ΠΑΡΑΡΤΗΜΑ I</w:t>
      </w:r>
    </w:p>
    <w:p w14:paraId="2155F9CE" w14:textId="77777777" w:rsidR="00951F81" w:rsidRDefault="00951F81" w:rsidP="00951F81">
      <w:pPr>
        <w:jc w:val="center"/>
        <w:rPr>
          <w:bCs/>
        </w:rPr>
      </w:pPr>
    </w:p>
    <w:p w14:paraId="2155F9D0" w14:textId="309BFDE2" w:rsidR="0055138B" w:rsidRDefault="007079D3" w:rsidP="002D7CCB">
      <w:pPr>
        <w:jc w:val="center"/>
        <w:outlineLvl w:val="0"/>
      </w:pPr>
      <w:r w:rsidRPr="00B329A8">
        <w:rPr>
          <w:b/>
          <w:bCs/>
        </w:rPr>
        <w:t>ΠΕΡΙΛΗΨΗ ΤΩΝ ΧΑΡΑΚΤΗΡΙΣΤΙΚΩΝ ΤΟΥ ΠΡΟΪΟΝΤΟΣ</w:t>
      </w:r>
      <w:r>
        <w:br w:type="page"/>
      </w:r>
    </w:p>
    <w:p w14:paraId="2155F9D1" w14:textId="76F37DD5" w:rsidR="0055138B" w:rsidRDefault="007079D3" w:rsidP="0055138B">
      <w:pPr>
        <w:keepNext/>
      </w:pPr>
      <w:bookmarkStart w:id="0" w:name="_Hlk203052989"/>
      <w:r>
        <w:rPr>
          <w:noProof/>
        </w:rPr>
        <w:drawing>
          <wp:inline distT="0" distB="0" distL="0" distR="0" wp14:anchorId="41404589" wp14:editId="59B87A66">
            <wp:extent cx="201295" cy="170815"/>
            <wp:effectExtent l="0" t="0" r="8255" b="635"/>
            <wp:docPr id="17770204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045"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1295" cy="170815"/>
                    </a:xfrm>
                    <a:prstGeom prst="rect">
                      <a:avLst/>
                    </a:prstGeom>
                    <a:noFill/>
                  </pic:spPr>
                </pic:pic>
              </a:graphicData>
            </a:graphic>
          </wp:inline>
        </w:drawing>
      </w:r>
      <w:r w:rsidRPr="0055138B">
        <w:t xml:space="preserve"> </w:t>
      </w:r>
      <w:r w:rsidR="0070614D" w:rsidRPr="0070614D">
        <w:t>Το φάρμακο αυτό τελεί υπό συμπληρωματική</w:t>
      </w:r>
      <w:r w:rsidR="00BB4DA7" w:rsidRPr="00BB4DA7">
        <w:t xml:space="preserve"> παρακολούθηση. Αυτό θα επιτρέψει </w:t>
      </w:r>
      <w:r w:rsidR="00B22B59" w:rsidRPr="00B22B59">
        <w:t>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w:t>
      </w:r>
      <w:r w:rsidR="00BB4DA7" w:rsidRPr="00BB4DA7">
        <w:t xml:space="preserve"> Βλ</w:t>
      </w:r>
      <w:r w:rsidR="00B22B59" w:rsidRPr="007065FF">
        <w:t>.</w:t>
      </w:r>
      <w:r w:rsidR="00BB4DA7" w:rsidRPr="00BB4DA7">
        <w:t xml:space="preserve"> παράγραφο 4.8 για τον τρόπο αναφοράς ανεπιθύμητων ενεργειών.</w:t>
      </w:r>
    </w:p>
    <w:bookmarkEnd w:id="0"/>
    <w:p w14:paraId="2155F9D2" w14:textId="77777777" w:rsidR="0055138B" w:rsidRDefault="0055138B" w:rsidP="0055138B">
      <w:pPr>
        <w:keepNext/>
      </w:pPr>
    </w:p>
    <w:p w14:paraId="2155F9D3" w14:textId="77777777" w:rsidR="0055138B" w:rsidRDefault="0055138B" w:rsidP="0055138B">
      <w:pPr>
        <w:keepNext/>
      </w:pPr>
    </w:p>
    <w:p w14:paraId="2155F9D4" w14:textId="77777777" w:rsidR="0055138B" w:rsidRDefault="0055138B" w:rsidP="0055138B">
      <w:pPr>
        <w:keepNext/>
      </w:pPr>
    </w:p>
    <w:p w14:paraId="2155F9D5" w14:textId="77777777" w:rsidR="00951F81" w:rsidRDefault="007079D3" w:rsidP="0055138B">
      <w:pPr>
        <w:keepNext/>
      </w:pPr>
      <w:r>
        <w:rPr>
          <w:b/>
        </w:rPr>
        <w:t>1.</w:t>
      </w:r>
      <w:r>
        <w:rPr>
          <w:b/>
        </w:rPr>
        <w:tab/>
        <w:t>ΟΝΟΜΑΣΙΑ ΤΟΥ ΦΑΡΜΑΚΕΥΤΙΚΟΥ ΠΡΟΪΟΝΤΟΣ</w:t>
      </w:r>
    </w:p>
    <w:p w14:paraId="2155F9D6" w14:textId="77777777" w:rsidR="00951F81" w:rsidRDefault="00951F81" w:rsidP="00951F81">
      <w:pPr>
        <w:keepNext/>
      </w:pPr>
    </w:p>
    <w:p w14:paraId="2155F9D7" w14:textId="77777777" w:rsidR="00951F81" w:rsidRDefault="007079D3" w:rsidP="00951F81">
      <w:r>
        <w:t>Kefdensis</w:t>
      </w:r>
      <w:r w:rsidRPr="00442125">
        <w:t xml:space="preserve"> </w:t>
      </w:r>
      <w:r>
        <w:t>60 mg ενέσιμο διάλυμα σε προγεμισμένη σύριγγα</w:t>
      </w:r>
    </w:p>
    <w:p w14:paraId="2155F9D8" w14:textId="77777777" w:rsidR="00951F81" w:rsidRDefault="00951F81" w:rsidP="00951F81"/>
    <w:p w14:paraId="2155F9D9" w14:textId="77777777" w:rsidR="00951F81" w:rsidRDefault="00951F81" w:rsidP="00951F81"/>
    <w:p w14:paraId="2155F9DA" w14:textId="77777777" w:rsidR="00951F81" w:rsidRDefault="007079D3" w:rsidP="00951F81">
      <w:pPr>
        <w:keepNext/>
        <w:ind w:left="567" w:hanging="567"/>
      </w:pPr>
      <w:r>
        <w:rPr>
          <w:b/>
        </w:rPr>
        <w:t>2.</w:t>
      </w:r>
      <w:r>
        <w:rPr>
          <w:b/>
        </w:rPr>
        <w:tab/>
        <w:t>ΠΟΙΟΤΙΚΗ ΚΑΙ ΠΟΣΟΤΙΚΗ ΣΥΝΘΕΣΗ</w:t>
      </w:r>
    </w:p>
    <w:p w14:paraId="2155F9DB" w14:textId="77777777" w:rsidR="00951F81" w:rsidRDefault="00951F81" w:rsidP="00951F81">
      <w:pPr>
        <w:keepNext/>
      </w:pPr>
    </w:p>
    <w:p w14:paraId="2155F9DC" w14:textId="074D6933" w:rsidR="00951F81" w:rsidRDefault="007079D3" w:rsidP="00951F81">
      <w:r>
        <w:t xml:space="preserve">Κάθε προγεμισμένη σύριγγα περιέχει 60 mg </w:t>
      </w:r>
      <w:r w:rsidR="00A050CB">
        <w:t>δενοσουμάμπη</w:t>
      </w:r>
      <w:r w:rsidR="00294E47">
        <w:t>ς</w:t>
      </w:r>
      <w:r>
        <w:t xml:space="preserve"> σε 1 ml διαλύματος (60 mg/ml).</w:t>
      </w:r>
    </w:p>
    <w:p w14:paraId="2155F9DD" w14:textId="77777777" w:rsidR="00951F81" w:rsidRDefault="00951F81" w:rsidP="00951F81"/>
    <w:p w14:paraId="2155F9DE" w14:textId="315FCEEE" w:rsidR="00951F81" w:rsidRDefault="00DF692D" w:rsidP="00951F81">
      <w:r>
        <w:t xml:space="preserve">Η </w:t>
      </w:r>
      <w:r w:rsidR="00A050CB">
        <w:t>δενοσουμάμπη</w:t>
      </w:r>
      <w:r w:rsidR="007079D3">
        <w:t xml:space="preserve"> είναι ένα ανθρώπινο μονοκλωνικό αντίσωμα IgG2 που παράγεται σε κυτταρική σειρά θηλαστικού (κύτταρα ωοθήκης κινέζικου κρικητού) με τεχνολογία ανασυνδυασμένου DNA.</w:t>
      </w:r>
    </w:p>
    <w:p w14:paraId="2155F9DF" w14:textId="77777777" w:rsidR="00951F81" w:rsidRPr="00A45700" w:rsidRDefault="00951F81" w:rsidP="00951F81"/>
    <w:p w14:paraId="2155F9E0" w14:textId="77777777" w:rsidR="00951F81" w:rsidRDefault="007079D3" w:rsidP="00951F81">
      <w:r>
        <w:t>Για τον πλήρη κατάλογο των εκδόχων, βλ. παράγραφο 6.1.</w:t>
      </w:r>
    </w:p>
    <w:p w14:paraId="2155F9E1" w14:textId="77777777" w:rsidR="00951F81" w:rsidRDefault="00951F81" w:rsidP="00951F81"/>
    <w:p w14:paraId="2155F9E2" w14:textId="77777777" w:rsidR="00951F81" w:rsidRDefault="00951F81" w:rsidP="00951F81"/>
    <w:p w14:paraId="2155F9E3" w14:textId="77777777" w:rsidR="00951F81" w:rsidRDefault="007079D3" w:rsidP="00951F81">
      <w:pPr>
        <w:keepNext/>
        <w:ind w:left="567" w:hanging="567"/>
        <w:rPr>
          <w:b/>
        </w:rPr>
      </w:pPr>
      <w:r>
        <w:rPr>
          <w:b/>
        </w:rPr>
        <w:t>3.</w:t>
      </w:r>
      <w:r>
        <w:rPr>
          <w:b/>
        </w:rPr>
        <w:tab/>
        <w:t>ΦΑΡΜΑΚΟΤΕΧΝΙΚΗ ΜΟΡΦΗ</w:t>
      </w:r>
    </w:p>
    <w:p w14:paraId="2155F9E4" w14:textId="77777777" w:rsidR="00951F81" w:rsidRDefault="00951F81" w:rsidP="00951F81">
      <w:pPr>
        <w:keepNext/>
      </w:pPr>
    </w:p>
    <w:p w14:paraId="2155F9E5" w14:textId="4392585A" w:rsidR="00951F81" w:rsidRDefault="007079D3" w:rsidP="00951F81">
      <w:r>
        <w:t>Ενέσιμο διάλυμα (</w:t>
      </w:r>
      <w:r w:rsidR="000540B8">
        <w:t>ενέσιμο</w:t>
      </w:r>
      <w:r>
        <w:t>).</w:t>
      </w:r>
    </w:p>
    <w:p w14:paraId="2155F9E6" w14:textId="77777777" w:rsidR="00951F81" w:rsidRDefault="00951F81" w:rsidP="00951F81"/>
    <w:p w14:paraId="2155F9E7" w14:textId="209ACAF1" w:rsidR="00951F81" w:rsidRDefault="007079D3" w:rsidP="00A0341E">
      <w:r>
        <w:t>Διαυγές, άχρωμο έως υποκίτρινο διάλυμα</w:t>
      </w:r>
      <w:r w:rsidR="0055138B">
        <w:t xml:space="preserve">, </w:t>
      </w:r>
      <w:r w:rsidR="0055138B" w:rsidRPr="00BB4DA7">
        <w:t xml:space="preserve">με pH 5,9 - 6,5 και </w:t>
      </w:r>
      <w:r w:rsidR="004D4590" w:rsidRPr="004D4590">
        <w:t>ωσμω</w:t>
      </w:r>
      <w:r w:rsidR="000540B8">
        <w:t>γραμμο</w:t>
      </w:r>
      <w:r w:rsidR="004D4590" w:rsidRPr="004D4590">
        <w:t>μοριακότητα</w:t>
      </w:r>
      <w:r w:rsidR="0055138B" w:rsidRPr="00BB4DA7">
        <w:t xml:space="preserve"> 270 – 330</w:t>
      </w:r>
      <w:r>
        <w:rPr>
          <w:lang w:val="en-US"/>
        </w:rPr>
        <w:t> </w:t>
      </w:r>
      <w:r w:rsidR="0055138B" w:rsidRPr="00BB4DA7">
        <w:t>mOsm/kg.</w:t>
      </w:r>
    </w:p>
    <w:p w14:paraId="2155F9E8" w14:textId="77777777" w:rsidR="00951F81" w:rsidRDefault="00951F81" w:rsidP="00951F81"/>
    <w:p w14:paraId="2155F9E9" w14:textId="77777777" w:rsidR="00951F81" w:rsidRPr="00805F26" w:rsidRDefault="00951F81" w:rsidP="00805F26"/>
    <w:p w14:paraId="2155F9EA" w14:textId="77777777" w:rsidR="00951F81" w:rsidRPr="00805F26" w:rsidRDefault="007079D3" w:rsidP="00805F26">
      <w:pPr>
        <w:rPr>
          <w:b/>
          <w:bCs/>
        </w:rPr>
      </w:pPr>
      <w:r w:rsidRPr="00805F26">
        <w:rPr>
          <w:b/>
          <w:bCs/>
        </w:rPr>
        <w:t>4.</w:t>
      </w:r>
      <w:r w:rsidRPr="00805F26">
        <w:rPr>
          <w:b/>
          <w:bCs/>
        </w:rPr>
        <w:tab/>
        <w:t>ΚΛΙΝΙΚΕΣ ΠΛΗΡΟΦΟΡΙΕΣ</w:t>
      </w:r>
    </w:p>
    <w:p w14:paraId="2155F9EB" w14:textId="77777777" w:rsidR="00951F81" w:rsidRPr="00805F26" w:rsidRDefault="00951F81" w:rsidP="00805F26">
      <w:pPr>
        <w:rPr>
          <w:b/>
          <w:bCs/>
        </w:rPr>
      </w:pPr>
    </w:p>
    <w:p w14:paraId="09FD74BF" w14:textId="77777777" w:rsidR="00E25C7D" w:rsidRPr="00805F26" w:rsidRDefault="00E25C7D" w:rsidP="00805F26">
      <w:pPr>
        <w:rPr>
          <w:b/>
          <w:bCs/>
        </w:rPr>
      </w:pPr>
    </w:p>
    <w:p w14:paraId="2155F9EC" w14:textId="77777777" w:rsidR="00951F81" w:rsidRPr="00805F26" w:rsidRDefault="007079D3" w:rsidP="00805F26">
      <w:pPr>
        <w:rPr>
          <w:b/>
          <w:bCs/>
        </w:rPr>
      </w:pPr>
      <w:r w:rsidRPr="00805F26">
        <w:rPr>
          <w:b/>
          <w:bCs/>
        </w:rPr>
        <w:t>4.1</w:t>
      </w:r>
      <w:r w:rsidRPr="00805F26">
        <w:rPr>
          <w:b/>
          <w:bCs/>
        </w:rPr>
        <w:tab/>
        <w:t>Θεραπευτικές ενδείξεις</w:t>
      </w:r>
    </w:p>
    <w:p w14:paraId="2155F9ED" w14:textId="77777777" w:rsidR="00951F81" w:rsidRDefault="00951F81" w:rsidP="00951F81">
      <w:pPr>
        <w:keepNext/>
      </w:pPr>
    </w:p>
    <w:p w14:paraId="2155F9EE" w14:textId="77777777" w:rsidR="00951F81" w:rsidRDefault="007079D3" w:rsidP="00951F81">
      <w:r>
        <w:t xml:space="preserve">Θεραπεία της οστεοπόρωσης σε μετεμμηνοπαυσιακές γυναίκες και σε άνδρες με αυξημένο κίνδυνο καταγμάτων. Σε μετεμμηνοπαυσιακές γυναίκες το </w:t>
      </w:r>
      <w:r w:rsidR="0055138B">
        <w:t>Kefdensis</w:t>
      </w:r>
      <w:r w:rsidR="0055138B" w:rsidRPr="00442125">
        <w:t xml:space="preserve"> </w:t>
      </w:r>
      <w:r>
        <w:t>μειώνει σημαντικά τον κίνδυνο σπονδυλικών, μη σπονδυλικών και καταγμάτων του ισχίου.</w:t>
      </w:r>
    </w:p>
    <w:p w14:paraId="2155F9EF" w14:textId="77777777" w:rsidR="00951F81" w:rsidRDefault="00951F81" w:rsidP="00951F81"/>
    <w:p w14:paraId="2155F9F0" w14:textId="77777777" w:rsidR="00951F81" w:rsidRDefault="007079D3" w:rsidP="00951F81">
      <w:r>
        <w:t xml:space="preserve">Θεραπεία της οστικής απώλειας που σχετίζεται με ορμονικό αποκλεισμό σε άνδρες με καρκίνο του προστάτη οι οποίοι διατρέχουν αυξημένο κίνδυνο καταγμάτων (βλ. παράγραφο 5.1). Σε άνδρες με καρκίνο του προστάτη υπό ορμονικό αποκλεισμό, το </w:t>
      </w:r>
      <w:r w:rsidR="0055138B">
        <w:t>Kefdensis</w:t>
      </w:r>
      <w:r>
        <w:t xml:space="preserve"> μειώνει σημαντικά τον κίνδυνο σπονδυλικών καταγμάτων.</w:t>
      </w:r>
    </w:p>
    <w:p w14:paraId="2155F9F1" w14:textId="77777777" w:rsidR="00951F81" w:rsidRDefault="00951F81" w:rsidP="00951F81"/>
    <w:p w14:paraId="2155F9F2" w14:textId="77777777" w:rsidR="00951F81" w:rsidRDefault="007079D3" w:rsidP="00951F81">
      <w:r>
        <w:t>Θεραπεία της οστικής απώλειας που σχετίζεται με μακροχρόνια συστηματική αγωγή με γλυκοκορτικοειδή σε ενήλικες ασθενείς με αυξημένο κίνδυνο κατάγματος (βλ. παράγραφο 5.1).</w:t>
      </w:r>
    </w:p>
    <w:p w14:paraId="2155F9F3" w14:textId="77777777" w:rsidR="00951F81" w:rsidRDefault="00951F81" w:rsidP="00951F81"/>
    <w:p w14:paraId="2155F9F4" w14:textId="77777777" w:rsidR="00951F81" w:rsidRDefault="007079D3" w:rsidP="00951F81">
      <w:pPr>
        <w:keepNext/>
        <w:ind w:left="567" w:hanging="567"/>
        <w:rPr>
          <w:b/>
        </w:rPr>
      </w:pPr>
      <w:r>
        <w:rPr>
          <w:b/>
        </w:rPr>
        <w:t>4.2</w:t>
      </w:r>
      <w:r>
        <w:rPr>
          <w:b/>
        </w:rPr>
        <w:tab/>
        <w:t>Δοσολογία και τρόπος χορήγησης</w:t>
      </w:r>
    </w:p>
    <w:p w14:paraId="2155F9F5" w14:textId="77777777" w:rsidR="00951F81" w:rsidRDefault="00951F81" w:rsidP="00951F81">
      <w:pPr>
        <w:keepNext/>
      </w:pPr>
    </w:p>
    <w:p w14:paraId="2155F9F6" w14:textId="77777777" w:rsidR="00951F81" w:rsidRDefault="007079D3" w:rsidP="00951F81">
      <w:pPr>
        <w:keepNext/>
        <w:rPr>
          <w:u w:val="single"/>
        </w:rPr>
      </w:pPr>
      <w:r>
        <w:rPr>
          <w:u w:val="single"/>
        </w:rPr>
        <w:t>Δοσολογία</w:t>
      </w:r>
    </w:p>
    <w:p w14:paraId="2155F9F7" w14:textId="77777777" w:rsidR="00951F81" w:rsidRDefault="00951F81" w:rsidP="00951F81">
      <w:pPr>
        <w:keepNext/>
      </w:pPr>
    </w:p>
    <w:p w14:paraId="2155F9F8" w14:textId="1DB48B2D" w:rsidR="00951F81" w:rsidRDefault="007079D3" w:rsidP="00951F81">
      <w:r>
        <w:t xml:space="preserve">Η συνιστώμενη δόση είναι 60 mg </w:t>
      </w:r>
      <w:r w:rsidR="00A050CB">
        <w:t>δενοσουμάμπη</w:t>
      </w:r>
      <w:r w:rsidR="00E525F5">
        <w:t>ς</w:t>
      </w:r>
      <w:r>
        <w:t xml:space="preserve"> χορηγούμενη ως εφάπαξ υποδόρια ένεση μια φορά </w:t>
      </w:r>
      <w:r w:rsidR="000540B8">
        <w:t xml:space="preserve">κάθε </w:t>
      </w:r>
      <w:r>
        <w:t>6 μήνες στο μηρό, την κοιλιακή χώρα ή το άνω τμήμα του βραχίονα.</w:t>
      </w:r>
    </w:p>
    <w:p w14:paraId="2155F9F9" w14:textId="77777777" w:rsidR="00951F81" w:rsidRDefault="00951F81" w:rsidP="00951F81"/>
    <w:p w14:paraId="2155F9FA" w14:textId="77777777" w:rsidR="00951F81" w:rsidRDefault="007079D3" w:rsidP="00951F81">
      <w:r>
        <w:t>Οι ασθενείς πρέπει να λαμβάνουν επαρκή συμπληρώματα ασβεστίου και βιταμίνης D (βλ. παράγραφο 4.4).</w:t>
      </w:r>
    </w:p>
    <w:p w14:paraId="2155F9FB" w14:textId="77777777" w:rsidR="00951F81" w:rsidRDefault="00951F81" w:rsidP="00951F81"/>
    <w:p w14:paraId="2155F9FC" w14:textId="0F02468E" w:rsidR="00951F81" w:rsidRPr="007065FF" w:rsidRDefault="007079D3" w:rsidP="00951F81">
      <w:r w:rsidRPr="00BB4DA7">
        <w:t xml:space="preserve">Στους ασθενείς που λαμβάνουν θεραπεία με </w:t>
      </w:r>
      <w:r w:rsidR="00FB57E6">
        <w:t>Kefdensis</w:t>
      </w:r>
      <w:r w:rsidRPr="00BB4DA7">
        <w:t xml:space="preserve"> θα πρέπει να δίνεται το φύλλο οδηγιών χρήσης και να τους παρέχεται η κάρτα υπενθύμισης ασθενούς.</w:t>
      </w:r>
    </w:p>
    <w:p w14:paraId="78E05DBA" w14:textId="77777777" w:rsidR="00FB57E6" w:rsidRPr="00601719" w:rsidRDefault="00FB57E6" w:rsidP="00951F81"/>
    <w:p w14:paraId="2155F9FD" w14:textId="279F100E" w:rsidR="00951F81" w:rsidRDefault="007079D3" w:rsidP="003D70CF">
      <w:pPr>
        <w:ind w:right="142"/>
      </w:pPr>
      <w:r>
        <w:t>Η βέλτιστη συνολική διάρκεια της αντιαπορροφητικής αγωγής για την οστεοπόρωση (συμπεριλαμβανομένων τόσο τ</w:t>
      </w:r>
      <w:r w:rsidR="00DF692D">
        <w:t>ης</w:t>
      </w:r>
      <w:r>
        <w:t xml:space="preserve"> </w:t>
      </w:r>
      <w:r w:rsidR="00A050CB">
        <w:t>δενοσουμάμπη</w:t>
      </w:r>
      <w:r w:rsidR="00DF692D">
        <w:t>ς</w:t>
      </w:r>
      <w:r>
        <w:t xml:space="preserve"> όσο και των </w:t>
      </w:r>
      <w:r w:rsidR="000540B8">
        <w:t>διφωσφονικών</w:t>
      </w:r>
      <w:r>
        <w:t>) δεν έχει τεκμηριωθεί. Η ανάγκη συνεχούς θεραπείας θα πρέπει να επαναξιολογείται περιοδικά με βάση τα οφέλη και τους δυνητικούς κινδύνους τ</w:t>
      </w:r>
      <w:r w:rsidR="00DF692D">
        <w:t>ης</w:t>
      </w:r>
      <w:r>
        <w:t xml:space="preserve"> </w:t>
      </w:r>
      <w:r w:rsidR="00A050CB">
        <w:t>δενοσουμάμπη</w:t>
      </w:r>
      <w:r w:rsidR="00DF692D">
        <w:t>ς</w:t>
      </w:r>
      <w:r>
        <w:t xml:space="preserve"> μεμονωμένα ανά ασθενή, ιδίως μετά από 5 ή περισσότερα χρόνια χρήσης (</w:t>
      </w:r>
      <w:r w:rsidR="000540B8">
        <w:t xml:space="preserve">βλ. </w:t>
      </w:r>
      <w:r>
        <w:t>παράγραφο 4.4).</w:t>
      </w:r>
    </w:p>
    <w:p w14:paraId="2155F9FE" w14:textId="77777777" w:rsidR="00951F81" w:rsidRDefault="00951F81" w:rsidP="00951F81"/>
    <w:p w14:paraId="2155F9FF" w14:textId="77777777" w:rsidR="00951F81" w:rsidRDefault="007079D3" w:rsidP="00951F81">
      <w:pPr>
        <w:keepNext/>
        <w:tabs>
          <w:tab w:val="clear" w:pos="567"/>
        </w:tabs>
        <w:rPr>
          <w:i/>
          <w:iCs/>
        </w:rPr>
      </w:pPr>
      <w:r>
        <w:rPr>
          <w:i/>
        </w:rPr>
        <w:t>Ηλικιωμένοι (ηλικίας ≥ 65 ετών)</w:t>
      </w:r>
    </w:p>
    <w:p w14:paraId="2155FA00" w14:textId="77777777" w:rsidR="00951F81" w:rsidRDefault="007079D3" w:rsidP="00951F81">
      <w:r>
        <w:t>Δεν απαιτείται προσαρμογή της δόσης στους ηλικιωμένους ασθενείς.</w:t>
      </w:r>
    </w:p>
    <w:p w14:paraId="2155FA01" w14:textId="77777777" w:rsidR="00951F81" w:rsidRDefault="00951F81" w:rsidP="00951F81"/>
    <w:p w14:paraId="2155FA02" w14:textId="77777777" w:rsidR="00951F81" w:rsidRDefault="007079D3" w:rsidP="00951F81">
      <w:pPr>
        <w:keepNext/>
        <w:tabs>
          <w:tab w:val="clear" w:pos="567"/>
        </w:tabs>
        <w:rPr>
          <w:i/>
          <w:iCs/>
        </w:rPr>
      </w:pPr>
      <w:r>
        <w:rPr>
          <w:i/>
        </w:rPr>
        <w:t>Νεφρική δυσλειτουργία</w:t>
      </w:r>
    </w:p>
    <w:p w14:paraId="2155FA03" w14:textId="77777777" w:rsidR="00951F81" w:rsidRDefault="007079D3" w:rsidP="00951F81">
      <w:r>
        <w:t>Δεν απαιτείται προσαρμογή της δόσης σε ασθενείς με νεφρική δυσλειτουργία (βλ. παράγραφο 4.4 για συστάσεις σχετικά με την παρακολούθηση του ασβεστίου).</w:t>
      </w:r>
    </w:p>
    <w:p w14:paraId="2155FA04" w14:textId="77777777" w:rsidR="00951F81" w:rsidRDefault="00951F81" w:rsidP="00951F81"/>
    <w:p w14:paraId="2155FA05" w14:textId="37F66D34" w:rsidR="00951F81" w:rsidRDefault="007079D3" w:rsidP="00951F81">
      <w:r>
        <w:t>Δεν υπάρχουν διαθέσιμα δεδομένα για ασθενείς με μακροχρόνια συστηματική αγωγή με γλυκοκορτικοειδή και σοβαρή νεφρική δυσλειτουργία (</w:t>
      </w:r>
      <w:r w:rsidR="00A044DA" w:rsidRPr="00A044DA">
        <w:t xml:space="preserve">Ρυθμός σπειραματικής διήθησης, </w:t>
      </w:r>
      <w:r>
        <w:t>GFR &lt; 30 ml/min).</w:t>
      </w:r>
    </w:p>
    <w:p w14:paraId="2155FA06" w14:textId="77777777" w:rsidR="00951F81" w:rsidRDefault="00951F81" w:rsidP="00951F81"/>
    <w:p w14:paraId="2155FA07" w14:textId="1C37A9AD" w:rsidR="00951F81" w:rsidRDefault="000540B8" w:rsidP="00951F81">
      <w:pPr>
        <w:keepNext/>
        <w:tabs>
          <w:tab w:val="clear" w:pos="567"/>
        </w:tabs>
        <w:rPr>
          <w:i/>
          <w:iCs/>
        </w:rPr>
      </w:pPr>
      <w:bookmarkStart w:id="1" w:name="_Hlk210901047"/>
      <w:r>
        <w:rPr>
          <w:i/>
        </w:rPr>
        <w:t>Έκπτωση της ηπατικής λειτουργίας</w:t>
      </w:r>
    </w:p>
    <w:p w14:paraId="2155FA08" w14:textId="6BAC49D5" w:rsidR="00951F81" w:rsidRDefault="007079D3" w:rsidP="00951F81">
      <w:r>
        <w:t>Η ασφάλεια και η αποτελεσματικότητα τ</w:t>
      </w:r>
      <w:r w:rsidR="00DF692D">
        <w:t>ης</w:t>
      </w:r>
      <w:r>
        <w:t xml:space="preserve"> </w:t>
      </w:r>
      <w:r w:rsidR="00A050CB">
        <w:t>δενοσουμάμπη</w:t>
      </w:r>
      <w:r w:rsidR="00164105">
        <w:t>ς</w:t>
      </w:r>
      <w:r>
        <w:t xml:space="preserve"> δεν έχουν μελετηθεί σε ασθενείς με </w:t>
      </w:r>
      <w:r w:rsidR="000540B8">
        <w:t xml:space="preserve">έκπτωση της ηπατικής </w:t>
      </w:r>
      <w:r w:rsidR="00092BAE">
        <w:t>δυσ</w:t>
      </w:r>
      <w:r w:rsidR="000540B8">
        <w:t>λειτουργίας</w:t>
      </w:r>
      <w:r>
        <w:t xml:space="preserve"> (βλ. παράγραφο 5.2).</w:t>
      </w:r>
    </w:p>
    <w:bookmarkEnd w:id="1"/>
    <w:p w14:paraId="2155FA09" w14:textId="77777777" w:rsidR="00951F81" w:rsidRDefault="00951F81" w:rsidP="00951F81"/>
    <w:p w14:paraId="2155FA0A" w14:textId="77777777" w:rsidR="00951F81" w:rsidRDefault="007079D3" w:rsidP="00951F81">
      <w:pPr>
        <w:keepNext/>
        <w:tabs>
          <w:tab w:val="clear" w:pos="567"/>
        </w:tabs>
        <w:rPr>
          <w:i/>
          <w:iCs/>
        </w:rPr>
      </w:pPr>
      <w:r>
        <w:rPr>
          <w:i/>
        </w:rPr>
        <w:t>Παιδιατρικός πληθυσμός</w:t>
      </w:r>
    </w:p>
    <w:p w14:paraId="2155FA0B" w14:textId="3000850F" w:rsidR="00951F81" w:rsidRDefault="007079D3" w:rsidP="00951F81">
      <w:r>
        <w:t xml:space="preserve">Το </w:t>
      </w:r>
      <w:r w:rsidR="0055138B">
        <w:t>Kefdensis</w:t>
      </w:r>
      <w:r w:rsidR="0055138B" w:rsidRPr="00442125">
        <w:t xml:space="preserve"> </w:t>
      </w:r>
      <w:r>
        <w:t xml:space="preserve">δεν θα πρέπει να χρησιμοποιείται σε παιδιά ηλικίας &lt; 18 ετών λόγω ανησυχιών όσον αφορά την ασφάλεια για σοβαρή υπερασβεστιαιμία και πιθανή αναστολή της ανάπτυξης των οστών και έλλειψη ανατολής δοντιών (βλ. παραγράφους 4.4 και 5.3). Τα </w:t>
      </w:r>
      <w:r w:rsidR="000540B8">
        <w:t xml:space="preserve">παρόντα </w:t>
      </w:r>
      <w:r>
        <w:t>διαθέσιμα δεδομένα για παιδιά ηλικίας 2 έως 17 ετών περιγράφονται στις παραγράφους 5.1 και 5.2.</w:t>
      </w:r>
    </w:p>
    <w:p w14:paraId="2155FA0C" w14:textId="77777777" w:rsidR="00951F81" w:rsidRDefault="00951F81" w:rsidP="00951F81"/>
    <w:p w14:paraId="2155FA0D" w14:textId="77777777" w:rsidR="00951F81" w:rsidRDefault="007079D3" w:rsidP="00951F81">
      <w:pPr>
        <w:keepNext/>
        <w:rPr>
          <w:u w:val="single"/>
        </w:rPr>
      </w:pPr>
      <w:r>
        <w:rPr>
          <w:u w:val="single"/>
        </w:rPr>
        <w:t>Τρόπος χορήγησης</w:t>
      </w:r>
    </w:p>
    <w:p w14:paraId="2155FA0E" w14:textId="77777777" w:rsidR="00951F81" w:rsidRDefault="00951F81" w:rsidP="00951F81">
      <w:pPr>
        <w:keepNext/>
      </w:pPr>
    </w:p>
    <w:p w14:paraId="2155FA0F" w14:textId="77777777" w:rsidR="00951F81" w:rsidRDefault="007079D3" w:rsidP="00951F81">
      <w:r>
        <w:t>Για υποδόρια χρήση.</w:t>
      </w:r>
    </w:p>
    <w:p w14:paraId="2155FA10" w14:textId="77777777" w:rsidR="00951F81" w:rsidRDefault="00951F81" w:rsidP="00951F81"/>
    <w:p w14:paraId="2155FA11" w14:textId="77777777" w:rsidR="00951F81" w:rsidRDefault="007079D3" w:rsidP="00951F81">
      <w:r>
        <w:t>Η χορήγηση θα πρέπει να γίνεται από ένα άτομο που έχει εκπαιδευτεί επαρκώς σε τεχνικές ένεσης.</w:t>
      </w:r>
    </w:p>
    <w:p w14:paraId="2155FA12" w14:textId="77777777" w:rsidR="00951F81" w:rsidRDefault="00951F81" w:rsidP="00951F81"/>
    <w:p w14:paraId="2155FA13" w14:textId="77777777" w:rsidR="00951F81" w:rsidRDefault="007079D3" w:rsidP="00951F81">
      <w:r>
        <w:t>Οι οδηγίες χρήσης, χειρισμού και απόρριψης παρέχονται στην παράγραφο 6.6.</w:t>
      </w:r>
    </w:p>
    <w:p w14:paraId="2155FA14" w14:textId="77777777" w:rsidR="00951F81" w:rsidRDefault="00951F81" w:rsidP="00951F81"/>
    <w:p w14:paraId="2155FA15" w14:textId="77777777" w:rsidR="00951F81" w:rsidRDefault="007079D3" w:rsidP="00951F81">
      <w:pPr>
        <w:keepNext/>
        <w:ind w:left="567" w:hanging="567"/>
        <w:rPr>
          <w:b/>
        </w:rPr>
      </w:pPr>
      <w:r>
        <w:rPr>
          <w:b/>
        </w:rPr>
        <w:t>4.3</w:t>
      </w:r>
      <w:r>
        <w:rPr>
          <w:b/>
        </w:rPr>
        <w:tab/>
        <w:t>Αντενδείξεις</w:t>
      </w:r>
    </w:p>
    <w:p w14:paraId="2155FA16" w14:textId="77777777" w:rsidR="00951F81" w:rsidRDefault="00951F81" w:rsidP="00951F81">
      <w:pPr>
        <w:keepNext/>
      </w:pPr>
    </w:p>
    <w:p w14:paraId="2155FA17" w14:textId="77777777" w:rsidR="00951F81" w:rsidRDefault="007079D3" w:rsidP="00951F81">
      <w:r>
        <w:t>Υπερευαισθησία στη δραστική ουσία ή σε κάποιο από τα έκδοχα που αναφέρονται στην παράγραφο 6.1.</w:t>
      </w:r>
    </w:p>
    <w:p w14:paraId="2155FA18" w14:textId="77777777" w:rsidR="00951F81" w:rsidRDefault="00951F81" w:rsidP="00951F81"/>
    <w:p w14:paraId="2155FA19" w14:textId="77777777" w:rsidR="00951F81" w:rsidRDefault="007079D3" w:rsidP="00951F81">
      <w:r>
        <w:t>Υπασβεστιαιμία (βλ. παράγραφο 4.4).</w:t>
      </w:r>
    </w:p>
    <w:p w14:paraId="2155FA1A" w14:textId="77777777" w:rsidR="00951F81" w:rsidRDefault="00951F81" w:rsidP="00951F81"/>
    <w:p w14:paraId="2155FA1B" w14:textId="77777777" w:rsidR="00951F81" w:rsidRDefault="007079D3" w:rsidP="00951F81">
      <w:pPr>
        <w:keepNext/>
        <w:ind w:left="567" w:hanging="567"/>
        <w:rPr>
          <w:b/>
        </w:rPr>
      </w:pPr>
      <w:r>
        <w:rPr>
          <w:b/>
        </w:rPr>
        <w:t>4.4</w:t>
      </w:r>
      <w:r>
        <w:rPr>
          <w:b/>
        </w:rPr>
        <w:tab/>
        <w:t>Ειδικές προειδοποιήσεις και προφυλάξεις κατά τη χρήση</w:t>
      </w:r>
    </w:p>
    <w:p w14:paraId="2155FA1C" w14:textId="77777777" w:rsidR="00951F81" w:rsidRDefault="00951F81" w:rsidP="00951F81">
      <w:pPr>
        <w:keepNext/>
      </w:pPr>
    </w:p>
    <w:p w14:paraId="2155FA1D" w14:textId="77777777" w:rsidR="00951F81" w:rsidRDefault="007079D3" w:rsidP="00951F81">
      <w:pPr>
        <w:pStyle w:val="Style11ptunderlined"/>
      </w:pPr>
      <w:r>
        <w:t>Ιχνηλασιμότητα</w:t>
      </w:r>
    </w:p>
    <w:p w14:paraId="2155FA1E" w14:textId="77777777" w:rsidR="00951F81" w:rsidRDefault="00951F81" w:rsidP="00951F81">
      <w:pPr>
        <w:keepNext/>
      </w:pPr>
    </w:p>
    <w:p w14:paraId="2155FA1F" w14:textId="77777777" w:rsidR="00951F81" w:rsidRDefault="007079D3" w:rsidP="00951F81">
      <w:r>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p>
    <w:p w14:paraId="2155FA20" w14:textId="77777777" w:rsidR="00951F81" w:rsidRDefault="00951F81" w:rsidP="00951F81"/>
    <w:p w14:paraId="2155FA21" w14:textId="77777777" w:rsidR="00951F81" w:rsidRDefault="007079D3" w:rsidP="00951F81">
      <w:pPr>
        <w:keepNext/>
        <w:rPr>
          <w:u w:val="single"/>
        </w:rPr>
      </w:pPr>
      <w:r>
        <w:rPr>
          <w:u w:val="single"/>
        </w:rPr>
        <w:t>Συμπληρωματική χορήγηση ασβεστίου και βιταμίνης D</w:t>
      </w:r>
    </w:p>
    <w:p w14:paraId="2155FA22" w14:textId="77777777" w:rsidR="00951F81" w:rsidRDefault="00951F81" w:rsidP="00951F81">
      <w:pPr>
        <w:keepNext/>
      </w:pPr>
    </w:p>
    <w:p w14:paraId="2155FA23" w14:textId="77777777" w:rsidR="00951F81" w:rsidRDefault="007079D3" w:rsidP="00951F81">
      <w:r>
        <w:t>Η επαρκής πρόσληψη ασβεστίου και βιταμίνης D είναι σημαντική σε όλους τους ασθενείς.</w:t>
      </w:r>
    </w:p>
    <w:p w14:paraId="2155FA24" w14:textId="77777777" w:rsidR="00951F81" w:rsidRDefault="00951F81" w:rsidP="00951F81"/>
    <w:p w14:paraId="2155FA25" w14:textId="77777777" w:rsidR="00951F81" w:rsidRDefault="007079D3" w:rsidP="00951F81">
      <w:pPr>
        <w:keepNext/>
        <w:rPr>
          <w:u w:val="single"/>
        </w:rPr>
      </w:pPr>
      <w:r>
        <w:rPr>
          <w:u w:val="single"/>
        </w:rPr>
        <w:t>Προφυλάξεις κατά τη χρήση</w:t>
      </w:r>
    </w:p>
    <w:p w14:paraId="2155FA26" w14:textId="77777777" w:rsidR="00951F81" w:rsidRDefault="00951F81" w:rsidP="00951F81">
      <w:pPr>
        <w:keepNext/>
      </w:pPr>
    </w:p>
    <w:p w14:paraId="2155FA27" w14:textId="77777777" w:rsidR="00951F81" w:rsidRDefault="007079D3" w:rsidP="00951F81">
      <w:pPr>
        <w:keepNext/>
        <w:tabs>
          <w:tab w:val="clear" w:pos="567"/>
        </w:tabs>
        <w:rPr>
          <w:i/>
          <w:iCs/>
        </w:rPr>
      </w:pPr>
      <w:r>
        <w:rPr>
          <w:i/>
        </w:rPr>
        <w:t>Υπασβεστιαιμία</w:t>
      </w:r>
    </w:p>
    <w:p w14:paraId="2155FA28" w14:textId="77777777" w:rsidR="00951F81" w:rsidRDefault="007079D3" w:rsidP="00951F81">
      <w:r>
        <w:t>Είναι σημαντικό να αναγνωρίζονται οι ασθενείς σε κίνδυνο να εμφανίσουν υπασβεστιαιμία. Η υπασβεστιαιμία πρέπει να διορθώνεται με επαρκή πρόσληψη ασβεστίου και βιταμίνης D πριν από την έναρξη της θεραπείας. Συνιστάται η κλινική παρακολούθηση των επιπέδων ασβεστίου πριν από τη λήψη κάθε δόσης και στους ασθενείς με προδιάθεση για υπασβεστιαιμία εντός δύο εβδομάδων, μετά τη λήψη της αρχικής δόσης. Θα πρέπει να μετρώνται τα επίπεδα του ασβεστίου σε περίπτωση που οποιοσδήποτε ασθενής εμφανίσει κάποιο πιθανό σύμπτωμα υπασβεστιαιμίας κατά τη διάρκεια της θεραπείας (βλ. παράγραφο 4.8 για τα συμπτώματα). Οι ασθενείς πρέπει να ενθαρρύνονται να αναφέρουν συμπτώματα ενδεικτικά της υπασβεστιαιμίας.</w:t>
      </w:r>
    </w:p>
    <w:p w14:paraId="2155FA29" w14:textId="77777777" w:rsidR="00951F81" w:rsidRDefault="00951F81" w:rsidP="00951F81"/>
    <w:p w14:paraId="2155FA2A" w14:textId="77777777" w:rsidR="00951F81" w:rsidRDefault="007079D3" w:rsidP="00951F81">
      <w:r>
        <w:t>Στην περίοδο μετά την κυκλοφορία, έχει αναφερθεί σοβαρή συμπτωματική υπασβεστιαιμία (με αποτέλεσμα εισαγωγή στο νοσοκομείο, συμβάντα απειλητικά για τη ζωή και θανατηφόρα περιστατικά). Αν και τα περισσότερα περιστατικά εμφανίστηκαν τις πρώτες εβδομάδες μετά την έναρξη της θεραπείας, έχει εμφανισθεί και αργότερα.</w:t>
      </w:r>
    </w:p>
    <w:p w14:paraId="2155FA2B" w14:textId="77777777" w:rsidR="00951F81" w:rsidRDefault="00951F81" w:rsidP="00951F81"/>
    <w:p w14:paraId="2155FA2C" w14:textId="77777777" w:rsidR="00951F81" w:rsidRDefault="007079D3" w:rsidP="00951F81">
      <w:r>
        <w:t>Η συγχορηγούμενη θεραπεία με γλυκοκορτικοειδή είναι ένας πρόσθετος παράγοντας κινδύνου για υπασβεστιαιμία.</w:t>
      </w:r>
    </w:p>
    <w:p w14:paraId="2155FA2D" w14:textId="77777777" w:rsidR="00951F81" w:rsidRDefault="00951F81" w:rsidP="00951F81"/>
    <w:p w14:paraId="2155FA2E" w14:textId="77777777" w:rsidR="00951F81" w:rsidRDefault="007079D3" w:rsidP="00951F81">
      <w:pPr>
        <w:keepNext/>
        <w:tabs>
          <w:tab w:val="clear" w:pos="567"/>
        </w:tabs>
        <w:rPr>
          <w:i/>
          <w:iCs/>
        </w:rPr>
      </w:pPr>
      <w:r>
        <w:rPr>
          <w:i/>
        </w:rPr>
        <w:t>Νεφρική δυσλειτουργία</w:t>
      </w:r>
    </w:p>
    <w:p w14:paraId="2155FA2F" w14:textId="77777777" w:rsidR="00951F81" w:rsidRDefault="007079D3" w:rsidP="00951F81">
      <w:r>
        <w:t>Οι ασθενείς με σοβαρή νεφρική δυσλειτουργία (κάθαρση κρεατινίνης &lt; 30 ml/min) ή που υποβάλλονται σε εξωνεφρική κάθαρση διατρέχουν μεγαλύτερο κίνδυνο εμφάνισης υπασβεστιαιμίας. Οι κίνδυνοι εμφάνισης υπασβεστιαιμίας και συνοδών αυξήσεων της παραθορμόνης αυξάνουν με την αύξηση του βαθμού νεφρικής δυσλειτουργίας. Έχουν αναφερθεί σοβαρά και θανατηφόρα περιστατικά. Η επαρκής πρόσληψη ασβεστίου, βιταμίνης D και η τακτική παρακολούθηση του ασβεστίου είναι ιδιαίτερα σημαντικά σε αυτούς τους ασθενείς, βλ. παραπάνω.</w:t>
      </w:r>
    </w:p>
    <w:p w14:paraId="2155FA30" w14:textId="77777777" w:rsidR="00951F81" w:rsidRDefault="00951F81" w:rsidP="00951F81"/>
    <w:p w14:paraId="2155FA31" w14:textId="77777777" w:rsidR="00951F81" w:rsidRDefault="007079D3" w:rsidP="00951F81">
      <w:pPr>
        <w:keepNext/>
        <w:tabs>
          <w:tab w:val="clear" w:pos="567"/>
        </w:tabs>
        <w:rPr>
          <w:i/>
          <w:iCs/>
        </w:rPr>
      </w:pPr>
      <w:r>
        <w:rPr>
          <w:i/>
        </w:rPr>
        <w:t>Λοιμώξεις του δέρματος</w:t>
      </w:r>
    </w:p>
    <w:p w14:paraId="2155FA32" w14:textId="1EFD4F17" w:rsidR="00951F81" w:rsidRDefault="007079D3" w:rsidP="00951F81">
      <w:r>
        <w:t xml:space="preserve">Οι ασθενείς που λαμβάνουν </w:t>
      </w:r>
      <w:r w:rsidR="00A050CB">
        <w:t>δενοσουμάμπη</w:t>
      </w:r>
      <w:r>
        <w:t xml:space="preserve"> μπορεί να εμφανίσουν λοιμώξεις του δέρματος (κυρίως κυτταρίτιδα) που οδηγούν σε εισαγωγή στο νοσοκομείο (βλ. παράγραφο 4.8). Θα πρέπει να δοθούν οδηγίες στους ασθενείς να αναζητήσουν άμεση ιατρική βοήθεια αν παρουσιάσουν σημεία ή συμπτώματα κυτταρίτιδας.</w:t>
      </w:r>
    </w:p>
    <w:p w14:paraId="2155FA33" w14:textId="77777777" w:rsidR="00951F81" w:rsidRDefault="00951F81" w:rsidP="00951F81"/>
    <w:p w14:paraId="2155FA34" w14:textId="77777777" w:rsidR="00951F81" w:rsidRDefault="007079D3" w:rsidP="00951F81">
      <w:pPr>
        <w:keepNext/>
        <w:tabs>
          <w:tab w:val="clear" w:pos="567"/>
        </w:tabs>
        <w:rPr>
          <w:i/>
          <w:iCs/>
        </w:rPr>
      </w:pPr>
      <w:r>
        <w:rPr>
          <w:i/>
        </w:rPr>
        <w:t>Οστεονέκρωση της γνάθου (ΟΝΓ)</w:t>
      </w:r>
    </w:p>
    <w:p w14:paraId="2155FA35" w14:textId="76CFF97F" w:rsidR="00951F81" w:rsidRDefault="007079D3" w:rsidP="00951F81">
      <w:r>
        <w:t xml:space="preserve">ΟΝΓ έχει αναφερθεί σπάνια σε ασθενείς που λαμβάνουν </w:t>
      </w:r>
      <w:r w:rsidR="00A050CB" w:rsidRPr="00112B35">
        <w:t>δενοσουμάμπη</w:t>
      </w:r>
      <w:r>
        <w:t xml:space="preserve"> για οστεοπόρωση (βλ. παράγραφο 4.8).</w:t>
      </w:r>
    </w:p>
    <w:p w14:paraId="2155FA36" w14:textId="77777777" w:rsidR="00951F81" w:rsidRDefault="00951F81" w:rsidP="00951F81"/>
    <w:p w14:paraId="2155FA37" w14:textId="23A37CAB" w:rsidR="00951F81" w:rsidRDefault="007079D3" w:rsidP="00951F81">
      <w:r>
        <w:t>Η έναρξη θεραπείας/νέος κύκλος θεραπείας θα πρέπει να καθυστερείται σε ασθενείς με μη επουλωμένες ανοιχτές βλάβες μαλακών ιστών του στόματος. Συνιστάται οδοντιατρικός έλεγχος με προληπτική οδοντιατρική παρέμβαση και ατομική αξιολόγηση οφέλους</w:t>
      </w:r>
      <w:r>
        <w:noBreakHyphen/>
        <w:t xml:space="preserve">κινδύνου πριν από τη θεραπεία με </w:t>
      </w:r>
      <w:r w:rsidR="00A050CB">
        <w:t>δενοσουμάμπη</w:t>
      </w:r>
      <w:r>
        <w:t xml:space="preserve"> σε ασθενείς με συνοδούς παράγοντες κινδύνου.</w:t>
      </w:r>
    </w:p>
    <w:p w14:paraId="2155FA38" w14:textId="77777777" w:rsidR="00951F81" w:rsidRDefault="00951F81" w:rsidP="00951F81"/>
    <w:p w14:paraId="2155FA39" w14:textId="77777777" w:rsidR="00951F81" w:rsidRDefault="007079D3" w:rsidP="00951F81">
      <w:pPr>
        <w:keepNext/>
      </w:pPr>
      <w:r>
        <w:t>Οι ακόλουθοι παράγοντες κινδύνου θα πρέπει να λαμβάνονται υπόψη όταν αξιολογείται ο κίνδυνος εμφάνισης ΟΝΓ στον ασθενή:</w:t>
      </w:r>
    </w:p>
    <w:p w14:paraId="2155FA3A" w14:textId="77777777" w:rsidR="00951F81" w:rsidRDefault="007079D3" w:rsidP="00951F81">
      <w:pPr>
        <w:numPr>
          <w:ilvl w:val="0"/>
          <w:numId w:val="54"/>
        </w:numPr>
        <w:tabs>
          <w:tab w:val="clear" w:pos="567"/>
        </w:tabs>
        <w:ind w:left="567" w:hanging="567"/>
      </w:pPr>
      <w:r>
        <w:t>η αποτελεσματικότητα του φαρμακευτικού προϊόντος το οποίο αναστέλλει την οστική απορρόφηση (υψηλότερος κίνδυνος για τις ουσίες με υψηλή αποτελεσματικότητα), την οδό χορήγησης (υψηλότερος κίνδυνος για την παρεντερική χορήγηση) και την αθροιστική δόση της θεραπείας για την οστική απορρόφηση.</w:t>
      </w:r>
    </w:p>
    <w:p w14:paraId="2155FA3B" w14:textId="77777777" w:rsidR="00951F81" w:rsidRDefault="007079D3" w:rsidP="00951F81">
      <w:pPr>
        <w:numPr>
          <w:ilvl w:val="0"/>
          <w:numId w:val="54"/>
        </w:numPr>
        <w:tabs>
          <w:tab w:val="clear" w:pos="567"/>
        </w:tabs>
        <w:ind w:left="567" w:hanging="567"/>
      </w:pPr>
      <w:r>
        <w:t>καρκίνος, καταστάσεις συννοσηρότητας (π.χ. αναιμία, διαταραχές πηκτικότητας, λοιμώξεις), κάπνισμα.</w:t>
      </w:r>
    </w:p>
    <w:p w14:paraId="2155FA3C" w14:textId="77777777" w:rsidR="00951F81" w:rsidRDefault="007079D3" w:rsidP="00951F81">
      <w:pPr>
        <w:keepNext/>
        <w:numPr>
          <w:ilvl w:val="0"/>
          <w:numId w:val="54"/>
        </w:numPr>
        <w:tabs>
          <w:tab w:val="clear" w:pos="567"/>
        </w:tabs>
        <w:ind w:left="567" w:hanging="567"/>
      </w:pPr>
      <w:r>
        <w:t>συγχορηγούμενες θεραπείες: κορτικοστεροειδή, χημειοθεραπεία, αναστολείς αγγειογένεσης, ακτινοθεραπεία κεφαλής και τραχήλου.</w:t>
      </w:r>
    </w:p>
    <w:p w14:paraId="2155FA3D" w14:textId="51F26597" w:rsidR="00951F81" w:rsidRDefault="007079D3" w:rsidP="00951F81">
      <w:pPr>
        <w:numPr>
          <w:ilvl w:val="0"/>
          <w:numId w:val="54"/>
        </w:numPr>
        <w:tabs>
          <w:tab w:val="clear" w:pos="567"/>
        </w:tabs>
        <w:ind w:left="567" w:hanging="567"/>
      </w:pPr>
      <w:r>
        <w:t xml:space="preserve">κακή στοματική υγιεινή, περιοδοντική νόσο, κακώς εφαρμοσμένες οδοντοστοιχίες, προϋπάρχουσα οδοντική νόσος, επεμβατικές οδοντιατρικές παρεμβάσεις (π.χ. εξαγωγή </w:t>
      </w:r>
      <w:r w:rsidR="000540B8">
        <w:t>οδόντος</w:t>
      </w:r>
      <w:r>
        <w:t>).</w:t>
      </w:r>
    </w:p>
    <w:p w14:paraId="2155FA3E" w14:textId="77777777" w:rsidR="00951F81" w:rsidRDefault="00951F81" w:rsidP="00951F81"/>
    <w:p w14:paraId="2155FA3F" w14:textId="358E3721" w:rsidR="00951F81" w:rsidRDefault="007079D3" w:rsidP="00951F81">
      <w:r>
        <w:t>Όλοι οι ασθενείς πρέπει να ενθαρρύνονται να διατηρούν καλή στοματική υγιεινή, να υποβάλλονται σε τακτικούς οδοντιατρικούς ελέγχους, και να αναφέρουν αμέσως οποιαδήποτε συμπτώματα από το στόμα όπως οδοντική κινητικότητα, πόνο ή πρήξιμο ή μη επούλωση έλκων ή εκκρίσεων κατά τη διάρκεια της θεραπείας με</w:t>
      </w:r>
      <w:r w:rsidR="000540B8">
        <w:t xml:space="preserve"> </w:t>
      </w:r>
      <w:r w:rsidR="00A050CB">
        <w:t>δενοσουμάμπη</w:t>
      </w:r>
      <w:r>
        <w:t>. Κατά τη διάρκεια θεραπείας, οι επεμβατικές οδοντιατρικές παρεμβάσεις θα πρέπει να διεξάγονται μόνο μετά από προσεκτική εξέταση και να αποφεύγονται σε μικρή χρονικά απόσταση από την χορήγηση τ</w:t>
      </w:r>
      <w:r w:rsidR="00D152B9">
        <w:t>ης</w:t>
      </w:r>
      <w:r>
        <w:t xml:space="preserve"> </w:t>
      </w:r>
      <w:r w:rsidR="00A050CB">
        <w:t>δενοσουμάμπη</w:t>
      </w:r>
      <w:r w:rsidR="00D152B9">
        <w:t>ς</w:t>
      </w:r>
      <w:r>
        <w:t>.</w:t>
      </w:r>
    </w:p>
    <w:p w14:paraId="2155FA40" w14:textId="77777777" w:rsidR="00951F81" w:rsidRDefault="00951F81" w:rsidP="00951F81"/>
    <w:p w14:paraId="2155FA41" w14:textId="77777777" w:rsidR="00951F81" w:rsidRDefault="007079D3" w:rsidP="00951F81">
      <w:r>
        <w:t>Το σχέδιο διαχείρισης των ασθενών που αναπτύσσουν ΟΝΓ πρέπει να καθορίζεται με στενή συνεργασία μεταξύ του θεράποντος ιατρού και του οδοντιάτρου ή του χειρουργού στόματος με εξειδίκευση σε ΟΝΓ. Θα πρέπει να εξετάζεται η προσωρινή διακοπή της θεραπείας έως ότου η κατάσταση υποχωρήσει και οι συμβάλλοντες παράγοντες κινδύνου μετριαστούν, όταν αυτό είναι δυνατόν.</w:t>
      </w:r>
    </w:p>
    <w:p w14:paraId="2155FA42" w14:textId="77777777" w:rsidR="00951F81" w:rsidRDefault="00951F81" w:rsidP="00951F81"/>
    <w:p w14:paraId="2155FA43" w14:textId="77777777" w:rsidR="00951F81" w:rsidRDefault="007079D3" w:rsidP="00951F81">
      <w:pPr>
        <w:keepNext/>
        <w:tabs>
          <w:tab w:val="clear" w:pos="567"/>
        </w:tabs>
        <w:rPr>
          <w:i/>
          <w:iCs/>
        </w:rPr>
      </w:pPr>
      <w:r>
        <w:rPr>
          <w:i/>
        </w:rPr>
        <w:t>Οστεονέκρωση του έξω ακουστικού πόρου</w:t>
      </w:r>
    </w:p>
    <w:p w14:paraId="2155FA44" w14:textId="2723BA8C" w:rsidR="00951F81" w:rsidRDefault="007079D3" w:rsidP="00951F81">
      <w:r>
        <w:t xml:space="preserve">Οστεονέκρωση του έξω ακουστικού πόρου αναφέρθηκε με τη χρήση </w:t>
      </w:r>
      <w:r w:rsidR="00A050CB">
        <w:t>δενοσουμάμπη</w:t>
      </w:r>
      <w:r w:rsidR="0023078C">
        <w:rPr>
          <w:lang w:val="en-US"/>
        </w:rPr>
        <w:t>w</w:t>
      </w:r>
      <w:r>
        <w:t xml:space="preserve">. Στους πιθανούς παράγοντες κινδύνου οστεονέκρωσης του έξω ακουστικού πόρου περιλαμβάνονται η χρήση στεροειδών και η χημειοθεραπεία, και/ή οι τοπικοί παράγοντες κινδύνου όπως κάποια λοίμωξη ή τραυματισμός. Σε ασθενείς που λαμβάνουν </w:t>
      </w:r>
      <w:r w:rsidR="00A050CB">
        <w:t>δενοσουμάμπη</w:t>
      </w:r>
      <w:r>
        <w:t xml:space="preserve"> και παρουσιάζουν συμπτώματα στο αυτί, όπως χρόνιες λοιμώξεις του αυτιού, πρέπει να λαμβάνεται υπόψη η πιθανότητα οστεονέκρωσης του έξω ακουστικού πόρου.</w:t>
      </w:r>
    </w:p>
    <w:p w14:paraId="2155FA45" w14:textId="77777777" w:rsidR="00951F81" w:rsidRDefault="00951F81" w:rsidP="00951F81"/>
    <w:p w14:paraId="2155FA46" w14:textId="77777777" w:rsidR="00951F81" w:rsidRDefault="007079D3" w:rsidP="00951F81">
      <w:pPr>
        <w:keepNext/>
        <w:tabs>
          <w:tab w:val="clear" w:pos="567"/>
        </w:tabs>
        <w:rPr>
          <w:i/>
          <w:iCs/>
        </w:rPr>
      </w:pPr>
      <w:r>
        <w:rPr>
          <w:i/>
        </w:rPr>
        <w:t>Άτυπα κατάγματα του μηριαίου οστού</w:t>
      </w:r>
    </w:p>
    <w:p w14:paraId="2155FA47" w14:textId="2240D8D9" w:rsidR="00951F81" w:rsidRDefault="007079D3" w:rsidP="00951F81">
      <w:r>
        <w:t xml:space="preserve">Άτυπα κατάγματα του μηριαίου οστού έχουν αναφερθεί σε ασθενείς που λαμβάνουν </w:t>
      </w:r>
      <w:r w:rsidR="00A050CB">
        <w:t>δενοσουμάμπη</w:t>
      </w:r>
      <w:r>
        <w:t xml:space="preserve"> (βλ. παράγραφο 4.8). Άτυπα κατάγματα του μηριαίου οστού μπορούν να συμβούν μετά από μικρό ή καθόλου τραυματισμό στην υποτροχαντήρια περιοχή και σε περιοχές της διάφυσης του μηριαίου. Τα συμβάματα αυτά χαρακτηρίζονται από συγκεκριμένα ακτινολογικά ευρήματα. Άτυπα κατάγματα του μηριαίου οστού έχουν επίσης αναφερθεί σε ασθενείς με συγκεκριμένες παθήσεις συννοσηρότητας (π.χ. ανεπάρκεια βιταμίνης D, ρευματοειδή αρθρίτιδα, υποφωσφοραιμία) και με τη χρήση συγκεκριμένων φαρμακευτικών προϊόντων (π.χ. διφωσφονικά, γλυκοκορτικοειδή, αναστολείς της αντλίας πρωτονίων). Τα συμβάματα αυτά έχουν επίσης παρατηρηθεί χωρίς αντιαπορροφητική θεραπεία. Παρόμοια κατάγματα τα οποία έχουν αναφερθεί σε συνδυασμό με διφωσφονικά είναι συχνά αμφοτερόπλευρα, ως εκ τούτου, το αντίπλευρο μηριαίο οστούν πρέπει να εξεταστεί σε ασθενείς που έλαβαν </w:t>
      </w:r>
      <w:r w:rsidR="00A050CB">
        <w:t>δενοσουμάμπη</w:t>
      </w:r>
      <w:r>
        <w:t xml:space="preserve"> και που έχουν υποστεί κάταγμα της διάφυσης του μηριαίου άξονα. Η διακοπή τ</w:t>
      </w:r>
      <w:r w:rsidR="00D152B9">
        <w:t>ης</w:t>
      </w:r>
      <w:r>
        <w:t xml:space="preserve"> </w:t>
      </w:r>
      <w:r w:rsidR="00A050CB">
        <w:t>δενοσουμάμπη</w:t>
      </w:r>
      <w:r w:rsidR="00D152B9">
        <w:t>ς</w:t>
      </w:r>
      <w:r>
        <w:t xml:space="preserve"> σε ασθενείς που υπάρχει υποψία ότι έχουν άτυπο κάταγμα μηριαίου θα πρέπει να εκτιμηθεί εν αναμονή της αξιολόγησης του ασθενή, με βάση την εξατομικευμένη αξιολόγηση του ισοζυγίου κινδύνου</w:t>
      </w:r>
      <w:r>
        <w:noBreakHyphen/>
        <w:t xml:space="preserve">οφέλους. Κατά τη διάρκεια της θεραπείας με </w:t>
      </w:r>
      <w:r w:rsidR="00A050CB">
        <w:t>δενοσουμάμπη</w:t>
      </w:r>
      <w:r>
        <w:t>, οι ασθενείς θα πρέπει να ευαισθητοποιούνται ώστε να αναφέρουν νέο ή μη σύνηθες πόνο στο μηρό, ισχίο ή στη βουβωνική χώρα. Οι ασθενείς που παρουσιάζουν τα συμπτώματα αυτά θα πρέπει να αξιολογούνται για ατελές μηριαίο κάταγμα.</w:t>
      </w:r>
    </w:p>
    <w:p w14:paraId="2155FA48" w14:textId="77777777" w:rsidR="00951F81" w:rsidRDefault="00951F81" w:rsidP="00951F81"/>
    <w:p w14:paraId="2155FA49" w14:textId="77777777" w:rsidR="00951F81" w:rsidRDefault="007079D3" w:rsidP="00951F81">
      <w:pPr>
        <w:keepNext/>
        <w:tabs>
          <w:tab w:val="clear" w:pos="567"/>
        </w:tabs>
        <w:rPr>
          <w:i/>
          <w:iCs/>
        </w:rPr>
      </w:pPr>
      <w:r>
        <w:rPr>
          <w:i/>
        </w:rPr>
        <w:t>Μακροπρόθεσμη αντιαπορροφητική θεραπεία</w:t>
      </w:r>
    </w:p>
    <w:p w14:paraId="2155FA4A" w14:textId="329751C1" w:rsidR="00951F81" w:rsidRDefault="007079D3" w:rsidP="00951F81">
      <w:r>
        <w:t>Η μακροπρόθεσμη αντιαπορροφητική θεραπεία (συμπεριλαμβανομένων τόσο τ</w:t>
      </w:r>
      <w:r w:rsidR="00D152B9">
        <w:t>ης</w:t>
      </w:r>
      <w:r>
        <w:t xml:space="preserve"> </w:t>
      </w:r>
      <w:r w:rsidR="00A050CB">
        <w:t>δενοσουμάμπη</w:t>
      </w:r>
      <w:r w:rsidR="00D152B9">
        <w:t>ς</w:t>
      </w:r>
      <w:r>
        <w:t xml:space="preserve"> όσο και των </w:t>
      </w:r>
      <w:r w:rsidR="00C0591C">
        <w:t>διφωσφονικών</w:t>
      </w:r>
      <w:r>
        <w:t>) μπορεί να συμβάλει σε αυξημένο κίνδυνο για ανεπιθύμητες εκδηλώσεις, όπως οστεονέκρωση της γνάθου και άτυπα κατάγματα του μηριαίου οστού λόγω της σημαντικής καταστολής της οστικής ανακατασκευής (</w:t>
      </w:r>
      <w:r w:rsidR="000540B8">
        <w:t xml:space="preserve">βλ. </w:t>
      </w:r>
      <w:r>
        <w:t>παράγραφο 4.2).</w:t>
      </w:r>
    </w:p>
    <w:p w14:paraId="2155FA4B" w14:textId="77777777" w:rsidR="00951F81" w:rsidRDefault="00951F81" w:rsidP="00951F81"/>
    <w:p w14:paraId="282E534D" w14:textId="4759097D" w:rsidR="1DC46BE8" w:rsidRDefault="007079D3" w:rsidP="71A2DFB8">
      <w:pPr>
        <w:rPr>
          <w:rFonts w:eastAsia="Times New Roman"/>
          <w:i/>
          <w:iCs/>
        </w:rPr>
      </w:pPr>
      <w:r w:rsidRPr="71A2DFB8">
        <w:rPr>
          <w:rFonts w:eastAsia="Times New Roman"/>
          <w:i/>
          <w:iCs/>
        </w:rPr>
        <w:t xml:space="preserve">Διακοπή της θεραπείας </w:t>
      </w:r>
    </w:p>
    <w:p w14:paraId="4C15999D" w14:textId="07FBB190" w:rsidR="1DC46BE8" w:rsidRDefault="007079D3">
      <w:r w:rsidRPr="71A2DFB8">
        <w:rPr>
          <w:rFonts w:eastAsia="Times New Roman"/>
        </w:rPr>
        <w:t xml:space="preserve">Μετά τη διακοπή της θεραπείας με </w:t>
      </w:r>
      <w:r w:rsidR="00A050CB">
        <w:rPr>
          <w:rFonts w:eastAsia="Times New Roman"/>
        </w:rPr>
        <w:t>δενοσουμάμπη</w:t>
      </w:r>
      <w:r w:rsidRPr="71A2DFB8">
        <w:rPr>
          <w:rFonts w:eastAsia="Times New Roman"/>
        </w:rPr>
        <w:t xml:space="preserve">, αναμένεται μείωση της οστικής πυκνότητας (BMD) (βλ. </w:t>
      </w:r>
      <w:r w:rsidR="000540B8">
        <w:rPr>
          <w:rFonts w:eastAsia="Times New Roman"/>
        </w:rPr>
        <w:t>παράγραφο</w:t>
      </w:r>
      <w:r w:rsidR="000540B8" w:rsidRPr="71A2DFB8">
        <w:rPr>
          <w:rFonts w:eastAsia="Times New Roman"/>
        </w:rPr>
        <w:t xml:space="preserve"> </w:t>
      </w:r>
      <w:r w:rsidRPr="71A2DFB8">
        <w:rPr>
          <w:rFonts w:eastAsia="Times New Roman"/>
        </w:rPr>
        <w:t>5.1), γεγονός που οδηγεί σε αυξημένο κίνδυνο καταγμάτων. Συνεπώς, συνιστάται η παρακολούθηση της BMD και θα πρέπει να εξεταστεί η χορήγηση εναλλακτικής θεραπείας σύμφωνα με τις κλινικές κατευθυντήριες οδηγίες.</w:t>
      </w:r>
    </w:p>
    <w:p w14:paraId="6A655DE3" w14:textId="64FC33B5" w:rsidR="71A2DFB8" w:rsidRDefault="71A2DFB8" w:rsidP="71A2DFB8">
      <w:pPr>
        <w:rPr>
          <w:rFonts w:eastAsia="Times New Roman"/>
        </w:rPr>
      </w:pPr>
    </w:p>
    <w:p w14:paraId="2155FA4C" w14:textId="5DD79217" w:rsidR="00951F81" w:rsidRDefault="007079D3" w:rsidP="00951F81">
      <w:pPr>
        <w:keepNext/>
        <w:tabs>
          <w:tab w:val="clear" w:pos="567"/>
        </w:tabs>
        <w:rPr>
          <w:i/>
          <w:iCs/>
        </w:rPr>
      </w:pPr>
      <w:r>
        <w:rPr>
          <w:i/>
        </w:rPr>
        <w:t xml:space="preserve">Συγχορηγούμενη θεραπεία με άλλα φαρμακευτικά προϊόντα που περιέχουν </w:t>
      </w:r>
      <w:r w:rsidR="00A050CB">
        <w:rPr>
          <w:i/>
        </w:rPr>
        <w:t>δενοσουμάμπη</w:t>
      </w:r>
    </w:p>
    <w:p w14:paraId="2155FA4D" w14:textId="1FC09D6A" w:rsidR="00951F81" w:rsidRDefault="007079D3" w:rsidP="00951F81">
      <w:r>
        <w:t xml:space="preserve">Οι ασθενείς που λαμβάνουν θεραπεία με </w:t>
      </w:r>
      <w:r w:rsidR="00A050CB">
        <w:t>δενοσουμάμπη</w:t>
      </w:r>
      <w:r>
        <w:t xml:space="preserve"> δεν θα πρέπει να αντιμετωπίζονται ταυτόχρονα με άλλα φαρμακευτικά προϊόντα που περιέχουν </w:t>
      </w:r>
      <w:r w:rsidR="00A050CB">
        <w:t>δενοσουμάμπη</w:t>
      </w:r>
      <w:r>
        <w:t xml:space="preserve"> (για την πρόληψη των σκελετικών συμβαμάτων σε ενήλικες με οστικές μεταστάσεις από συμπαγείς όγκους).</w:t>
      </w:r>
    </w:p>
    <w:p w14:paraId="2155FA4E" w14:textId="77777777" w:rsidR="00951F81" w:rsidRDefault="00951F81" w:rsidP="00951F81"/>
    <w:p w14:paraId="2155FA4F" w14:textId="77777777" w:rsidR="00951F81" w:rsidRDefault="007079D3" w:rsidP="00951F81">
      <w:pPr>
        <w:keepNext/>
        <w:rPr>
          <w:i/>
          <w:iCs/>
        </w:rPr>
      </w:pPr>
      <w:r>
        <w:rPr>
          <w:i/>
        </w:rPr>
        <w:t>Υπερασβεστιαιμία σε παιδιατρικούς ασθενείς</w:t>
      </w:r>
    </w:p>
    <w:p w14:paraId="2155FA50" w14:textId="77777777" w:rsidR="00951F81" w:rsidRDefault="007079D3" w:rsidP="00951F81">
      <w:r>
        <w:t xml:space="preserve">Το </w:t>
      </w:r>
      <w:r w:rsidR="007A4BFC" w:rsidRPr="007A4BFC">
        <w:t xml:space="preserve">Kefdensis </w:t>
      </w:r>
      <w:r>
        <w:t>δεν θα πρέπει να χρησιμοποιείται σε παιδιατρικούς ασθενείς (ηλικίας &lt; 18). Έχει αναφερθεί σοβαρή υπερασβεστιαιμία. Σε ορισμένα περιστατικά κλινικών δοκιμών εμφανίστηκαν επιπλοκές λόγω οξείας νεφρικής βλάβης.</w:t>
      </w:r>
    </w:p>
    <w:p w14:paraId="2155FA51" w14:textId="77777777" w:rsidR="00951F81" w:rsidRPr="00BB4DA7" w:rsidRDefault="00951F81" w:rsidP="00951F81"/>
    <w:p w14:paraId="2155FA52" w14:textId="77777777" w:rsidR="00951F81" w:rsidRDefault="007079D3" w:rsidP="00951F81">
      <w:pPr>
        <w:keepNext/>
        <w:ind w:left="567" w:hanging="567"/>
        <w:rPr>
          <w:b/>
        </w:rPr>
      </w:pPr>
      <w:r>
        <w:rPr>
          <w:b/>
        </w:rPr>
        <w:t>4.5</w:t>
      </w:r>
      <w:r>
        <w:rPr>
          <w:b/>
        </w:rPr>
        <w:tab/>
        <w:t>Αλληλεπιδράσεις με άλλα φαρμακευτικά προϊόντα και άλλες μορφές αλληλεπίδρασης</w:t>
      </w:r>
    </w:p>
    <w:p w14:paraId="2155FA53" w14:textId="77777777" w:rsidR="00951F81" w:rsidRDefault="00951F81" w:rsidP="00951F81">
      <w:pPr>
        <w:keepNext/>
      </w:pPr>
    </w:p>
    <w:p w14:paraId="2155FA54" w14:textId="74CBAA8F" w:rsidR="00951F81" w:rsidRDefault="007079D3" w:rsidP="00951F81">
      <w:r>
        <w:t xml:space="preserve">Σε μία μελέτη αλληλεπίδρασης, </w:t>
      </w:r>
      <w:r w:rsidR="00D152B9">
        <w:t xml:space="preserve">τη </w:t>
      </w:r>
      <w:r w:rsidR="00A050CB">
        <w:t>δενοσουμάμπη</w:t>
      </w:r>
      <w:r>
        <w:t xml:space="preserve"> δεν επηρέασε τη φαρμακοκινητική της μιδαζολάμης, η οποία μεταβολίζεται από το κυτόχρωμα P450 3A4 (CYP3A4). Αυτό υποδεικνύει ότι </w:t>
      </w:r>
      <w:r w:rsidR="00D152B9">
        <w:t xml:space="preserve">η </w:t>
      </w:r>
      <w:r w:rsidR="00A050CB">
        <w:t>δενοσουμάμπη</w:t>
      </w:r>
      <w:r>
        <w:t xml:space="preserve"> δεν πρέπει να μεταβάλει τη φαρμακοκινητική των φαρμακευτικών προϊόντων που μεταβολίζονται από το CYP3A4.</w:t>
      </w:r>
    </w:p>
    <w:p w14:paraId="2155FA55" w14:textId="77777777" w:rsidR="00951F81" w:rsidRDefault="00951F81" w:rsidP="00951F81"/>
    <w:p w14:paraId="2155FA56" w14:textId="445B267C" w:rsidR="00951F81" w:rsidRDefault="007079D3" w:rsidP="00951F81">
      <w:r>
        <w:t xml:space="preserve">Δεν υπάρχουν κλινικά δεδομένα σχετικά με τη συγχορήγηση </w:t>
      </w:r>
      <w:r w:rsidR="00A050CB">
        <w:t>δενοσουμάμπη</w:t>
      </w:r>
      <w:r w:rsidR="00D152B9">
        <w:t>ς</w:t>
      </w:r>
      <w:r>
        <w:t xml:space="preserve"> και θεραπείας ορμονικής υποκατάστασης (οιστρογόνα), ωστόσο η πιθανότητα φαρμακοδυναμικής αλληλεπίδρασης θεωρείται χαμηλή.</w:t>
      </w:r>
    </w:p>
    <w:p w14:paraId="2155FA57" w14:textId="77777777" w:rsidR="00951F81" w:rsidRDefault="00951F81" w:rsidP="00951F81"/>
    <w:p w14:paraId="2155FA58" w14:textId="20D10E23" w:rsidR="00951F81" w:rsidRDefault="007079D3" w:rsidP="00951F81">
      <w:r>
        <w:t xml:space="preserve">Σε μετεμμηνοπαυσιακές γυναίκες με οστεοπόρωση η φαρμακοκινητική και η φαρμακοδυναμική </w:t>
      </w:r>
      <w:r w:rsidR="00D152B9">
        <w:t xml:space="preserve">της </w:t>
      </w:r>
      <w:r w:rsidR="00A050CB">
        <w:t>δενοσουμάμπη</w:t>
      </w:r>
      <w:r w:rsidR="00D152B9">
        <w:t>ς</w:t>
      </w:r>
      <w:r>
        <w:t xml:space="preserve"> δεν επηρεάστηκαν από την προηγούμενη θεραπεία με αλενδρονάτη, βάσει των δεδομένων που συγκεντρώθηκαν από μία μελέτη μετάβασης (από αλενδρονάτη σε </w:t>
      </w:r>
      <w:r w:rsidR="00A050CB">
        <w:t>δενοσουμάμπη</w:t>
      </w:r>
      <w:r>
        <w:t>).</w:t>
      </w:r>
    </w:p>
    <w:p w14:paraId="2155FA59" w14:textId="77777777" w:rsidR="00951F81" w:rsidRDefault="00951F81" w:rsidP="00951F81"/>
    <w:p w14:paraId="2155FA5A" w14:textId="77777777" w:rsidR="00951F81" w:rsidRDefault="007079D3" w:rsidP="00951F81">
      <w:pPr>
        <w:keepNext/>
        <w:ind w:left="567" w:hanging="567"/>
        <w:rPr>
          <w:b/>
        </w:rPr>
      </w:pPr>
      <w:r>
        <w:rPr>
          <w:b/>
        </w:rPr>
        <w:t>4.6</w:t>
      </w:r>
      <w:r>
        <w:rPr>
          <w:b/>
        </w:rPr>
        <w:tab/>
        <w:t>Γονιμότητα, κύηση και γαλουχία</w:t>
      </w:r>
    </w:p>
    <w:p w14:paraId="2155FA5B" w14:textId="77777777" w:rsidR="00951F81" w:rsidRDefault="00951F81" w:rsidP="00951F81">
      <w:pPr>
        <w:keepNext/>
      </w:pPr>
    </w:p>
    <w:p w14:paraId="2155FA5C" w14:textId="77777777" w:rsidR="00951F81" w:rsidRDefault="007079D3" w:rsidP="00951F81">
      <w:pPr>
        <w:keepNext/>
        <w:rPr>
          <w:u w:val="single"/>
        </w:rPr>
      </w:pPr>
      <w:r>
        <w:rPr>
          <w:u w:val="single"/>
        </w:rPr>
        <w:t>Κύηση</w:t>
      </w:r>
    </w:p>
    <w:p w14:paraId="2155FA5D" w14:textId="77777777" w:rsidR="00951F81" w:rsidRDefault="00951F81" w:rsidP="00951F81">
      <w:pPr>
        <w:keepNext/>
      </w:pPr>
    </w:p>
    <w:p w14:paraId="2155FA5E" w14:textId="3950E010" w:rsidR="00951F81" w:rsidRDefault="007079D3" w:rsidP="00951F81">
      <w:r w:rsidRPr="00757A3E">
        <w:t xml:space="preserve">Δεν υπάρχουν ή είναι περιορισμένα τα κλινικά δεδομένα σχετικά με τη χρήση </w:t>
      </w:r>
      <w:r>
        <w:t>της δενοσουμάμπης</w:t>
      </w:r>
      <w:r w:rsidRPr="00757A3E">
        <w:t xml:space="preserve"> σε εγκύους. Μελέτες σε ζώα κατέδειξαν αναπαραγωγική τοξικότητα (βλ. παράγραφο 5.3).</w:t>
      </w:r>
      <w:r w:rsidR="00BD71F2" w:rsidDel="00BD71F2">
        <w:t xml:space="preserve"> </w:t>
      </w:r>
    </w:p>
    <w:p w14:paraId="6733FF37" w14:textId="77777777" w:rsidR="00C0591C" w:rsidRDefault="00C0591C" w:rsidP="00951F81"/>
    <w:p w14:paraId="2155FA5F" w14:textId="77777777" w:rsidR="00951F81" w:rsidRDefault="00951F81" w:rsidP="00951F81"/>
    <w:p w14:paraId="2155FA60" w14:textId="24EA74D7" w:rsidR="00951F81" w:rsidRDefault="007079D3" w:rsidP="00951F81">
      <w:r>
        <w:t xml:space="preserve">Το </w:t>
      </w:r>
      <w:r w:rsidR="0055138B">
        <w:t>Kefdensis</w:t>
      </w:r>
      <w:r w:rsidR="0055138B" w:rsidRPr="00442125">
        <w:t xml:space="preserve"> </w:t>
      </w:r>
      <w:r>
        <w:t xml:space="preserve">δεν συνιστάται για χρήση σε έγκυες γυναίκες </w:t>
      </w:r>
      <w:r w:rsidR="00C0591C">
        <w:t xml:space="preserve">καθώς </w:t>
      </w:r>
      <w:r>
        <w:t xml:space="preserve">και </w:t>
      </w:r>
      <w:r w:rsidR="00C0591C">
        <w:t xml:space="preserve">σε </w:t>
      </w:r>
      <w:r>
        <w:t>γυναίκες αναπαραγωγικής ηλικίας που δεν χρησιμοποιούν αντισύλληψη. Οι γυναίκες πρέπει να καθοδηγούνται ώστε να μη μείνουν έγκυες κατά τη διάρκεια και για τουλάχιστον 5 μήνες μετά τη θεραπεία με τ</w:t>
      </w:r>
      <w:r w:rsidR="00D152B9">
        <w:t>η</w:t>
      </w:r>
      <w:r>
        <w:t xml:space="preserve"> </w:t>
      </w:r>
      <w:r w:rsidR="00A050CB">
        <w:t>δενοσουμάμπη</w:t>
      </w:r>
      <w:r>
        <w:t>. Οι όποιες επιδράσεις τ</w:t>
      </w:r>
      <w:r w:rsidR="00D152B9">
        <w:t>ης</w:t>
      </w:r>
      <w:r>
        <w:t xml:space="preserve"> </w:t>
      </w:r>
      <w:r w:rsidR="00A050CB">
        <w:t>δενοσουμάμπη</w:t>
      </w:r>
      <w:r w:rsidR="00D95822">
        <w:t>ς</w:t>
      </w:r>
      <w:r w:rsidR="0055138B" w:rsidRPr="0055138B">
        <w:t xml:space="preserve"> </w:t>
      </w:r>
      <w:r>
        <w:t xml:space="preserve">είναι πιθανό να είναι μεγαλύτερες κατά τη διάρκεια του δεύτερου και του τρίτου τριμήνου της </w:t>
      </w:r>
      <w:r w:rsidR="0004423C">
        <w:t xml:space="preserve">κύησης </w:t>
      </w:r>
      <w:r>
        <w:t xml:space="preserve">καθώς τα μονοκλωνικά αντισώματα μεταφέρονται μέσω του πλακούντα με γραμμικό τρόπο καθώς εξελίσσεται η </w:t>
      </w:r>
      <w:r w:rsidR="0004423C">
        <w:t>κύηση</w:t>
      </w:r>
      <w:r>
        <w:t>, με τη μεγαλύτερη ποσότητα να μεταφέρεται κατά τη διάρκεια του τρίτου τριμήνου.</w:t>
      </w:r>
    </w:p>
    <w:p w14:paraId="2155FA61" w14:textId="77777777" w:rsidR="00951F81" w:rsidRDefault="00951F81" w:rsidP="00951F81"/>
    <w:p w14:paraId="2155FA62" w14:textId="77777777" w:rsidR="00951F81" w:rsidRDefault="007079D3" w:rsidP="00951F81">
      <w:pPr>
        <w:keepNext/>
        <w:rPr>
          <w:u w:val="single"/>
        </w:rPr>
      </w:pPr>
      <w:r>
        <w:rPr>
          <w:u w:val="single"/>
        </w:rPr>
        <w:t>Θηλασμός</w:t>
      </w:r>
    </w:p>
    <w:p w14:paraId="2155FA63" w14:textId="77777777" w:rsidR="00951F81" w:rsidRDefault="00951F81" w:rsidP="00951F81">
      <w:pPr>
        <w:keepNext/>
      </w:pPr>
    </w:p>
    <w:p w14:paraId="2155FA64" w14:textId="69906172" w:rsidR="00951F81" w:rsidRDefault="007079D3" w:rsidP="00951F81">
      <w:r>
        <w:t>Δεν είναι γνωστό εάν τ</w:t>
      </w:r>
      <w:r w:rsidR="00D152B9">
        <w:t>η</w:t>
      </w:r>
      <w:r>
        <w:t xml:space="preserve"> </w:t>
      </w:r>
      <w:r w:rsidR="00A050CB">
        <w:t>δενοσουμάμπη</w:t>
      </w:r>
      <w:r>
        <w:t xml:space="preserve"> απεκκρίνεται στο ανθρώπινο γάλα. Μελέτες σε γενετικά τροποποιημένους ποντικούς στους οποίους έχει ανασταλεί ο RANKL με γονιδιακή μετακίνηση (“knockout ποντικός”) έδειξαν ότι η απουσία του RANKL (ο στόχος τ</w:t>
      </w:r>
      <w:r w:rsidR="00D152B9">
        <w:t>ης</w:t>
      </w:r>
      <w:r>
        <w:t xml:space="preserve"> </w:t>
      </w:r>
      <w:r w:rsidR="00A050CB">
        <w:t>δενοσουμάμπη</w:t>
      </w:r>
      <w:r w:rsidR="00D152B9">
        <w:t>ς</w:t>
      </w:r>
      <w:r>
        <w:t xml:space="preserve"> βλ. παράγραφο 5.1) κατά τη διάρκεια της </w:t>
      </w:r>
      <w:r w:rsidR="0004423C">
        <w:t xml:space="preserve">κύησης </w:t>
      </w:r>
      <w:r>
        <w:t xml:space="preserve">μπορεί να επηρεάσει την ωρίμανση του μαζικού αδένα οδηγώντας σε μείωση της παραγωγής γάλακτος μετά τον τοκετό (βλ. παράγραφο 5.3). Πρέπει να αποφασιστεί εάν θα διακοπεί ο θηλασμός ή θα διακοπεί η θεραπεία με </w:t>
      </w:r>
      <w:r w:rsidR="00A050CB">
        <w:t>δενοσουμάμπη</w:t>
      </w:r>
      <w:r>
        <w:t xml:space="preserve">, λαμβάνοντας υπόψη το όφελος του θηλασμού για το νεογέννητο/βρέφος και το όφελος της θεραπείας με </w:t>
      </w:r>
      <w:r w:rsidR="00A050CB">
        <w:t>δενοσουμάμπη</w:t>
      </w:r>
      <w:r w:rsidR="0055138B" w:rsidRPr="0055138B">
        <w:t xml:space="preserve"> </w:t>
      </w:r>
      <w:r>
        <w:t>για τη γυναίκα.</w:t>
      </w:r>
    </w:p>
    <w:p w14:paraId="2155FA65" w14:textId="77777777" w:rsidR="00951F81" w:rsidRDefault="00951F81" w:rsidP="00951F81"/>
    <w:p w14:paraId="2155FA66" w14:textId="77777777" w:rsidR="00951F81" w:rsidRDefault="007079D3" w:rsidP="00951F81">
      <w:pPr>
        <w:keepNext/>
        <w:rPr>
          <w:u w:val="single"/>
        </w:rPr>
      </w:pPr>
      <w:r>
        <w:rPr>
          <w:u w:val="single"/>
        </w:rPr>
        <w:t>Γονιμότητα</w:t>
      </w:r>
    </w:p>
    <w:p w14:paraId="2155FA67" w14:textId="77777777" w:rsidR="00951F81" w:rsidRDefault="00951F81" w:rsidP="00951F81">
      <w:pPr>
        <w:keepNext/>
      </w:pPr>
    </w:p>
    <w:p w14:paraId="2155FA68" w14:textId="135173DA" w:rsidR="00951F81" w:rsidRDefault="007079D3" w:rsidP="00951F81">
      <w:r>
        <w:t xml:space="preserve">Δεν υπάρχουν διαθέσιμα </w:t>
      </w:r>
      <w:r w:rsidR="0004423C">
        <w:t xml:space="preserve">δεδομένα </w:t>
      </w:r>
      <w:r>
        <w:t>για την επίδραση τ</w:t>
      </w:r>
      <w:r w:rsidR="00D152B9">
        <w:t>ης</w:t>
      </w:r>
      <w:r>
        <w:t xml:space="preserve"> </w:t>
      </w:r>
      <w:r w:rsidR="00A050CB">
        <w:t>δενοσουμάμπη</w:t>
      </w:r>
      <w:r w:rsidR="00D152B9">
        <w:t>ς</w:t>
      </w:r>
      <w:r>
        <w:t xml:space="preserve"> στην ανθρώπινη γονιμότητα. Μελέτες σε ζώα δεν κατέδειξαν </w:t>
      </w:r>
      <w:r w:rsidR="0004423C">
        <w:t>άμεση ή έμμεση τοξικότητα</w:t>
      </w:r>
      <w:r>
        <w:t xml:space="preserve"> στη γονιμότητα (βλ. παράγραφο 5.3).</w:t>
      </w:r>
    </w:p>
    <w:p w14:paraId="2155FA69" w14:textId="77777777" w:rsidR="00951F81" w:rsidRDefault="00951F81" w:rsidP="00951F81"/>
    <w:p w14:paraId="2155FA6A" w14:textId="77777777" w:rsidR="00951F81" w:rsidRDefault="007079D3" w:rsidP="00951F81">
      <w:pPr>
        <w:keepNext/>
        <w:ind w:left="567" w:hanging="567"/>
        <w:rPr>
          <w:b/>
        </w:rPr>
      </w:pPr>
      <w:r>
        <w:rPr>
          <w:b/>
        </w:rPr>
        <w:t>4.7</w:t>
      </w:r>
      <w:r>
        <w:rPr>
          <w:b/>
        </w:rPr>
        <w:tab/>
        <w:t>Επιδράσεις στην ικανότητα οδήγησης και χειρισμού μηχανημάτων</w:t>
      </w:r>
    </w:p>
    <w:p w14:paraId="2155FA6B" w14:textId="77777777" w:rsidR="00951F81" w:rsidRDefault="00951F81" w:rsidP="00951F81">
      <w:pPr>
        <w:keepNext/>
      </w:pPr>
    </w:p>
    <w:p w14:paraId="2155FA6C" w14:textId="52F9ABEE" w:rsidR="00951F81" w:rsidRDefault="00D152B9" w:rsidP="00951F81">
      <w:r>
        <w:t xml:space="preserve">Η </w:t>
      </w:r>
      <w:r w:rsidR="00A050CB">
        <w:t>δενοσουμάμπη</w:t>
      </w:r>
      <w:r w:rsidR="0055138B" w:rsidRPr="0055138B">
        <w:t xml:space="preserve"> </w:t>
      </w:r>
      <w:r w:rsidR="007079D3">
        <w:t>δεν έχει καμία ή έχει ασήμαντη επίδραση στην ικανότητα οδήγησης και χειρισμού μηχανημάτων.</w:t>
      </w:r>
    </w:p>
    <w:p w14:paraId="2155FA6D" w14:textId="77777777" w:rsidR="00951F81" w:rsidRDefault="00951F81" w:rsidP="00951F81"/>
    <w:p w14:paraId="2155FA6E" w14:textId="77777777" w:rsidR="00951F81" w:rsidRDefault="007079D3" w:rsidP="00951F81">
      <w:pPr>
        <w:keepNext/>
        <w:ind w:left="567" w:hanging="567"/>
        <w:rPr>
          <w:b/>
        </w:rPr>
      </w:pPr>
      <w:r>
        <w:rPr>
          <w:b/>
        </w:rPr>
        <w:t>4.8</w:t>
      </w:r>
      <w:r>
        <w:rPr>
          <w:b/>
        </w:rPr>
        <w:tab/>
        <w:t>Ανεπιθύμητες ενέργειες</w:t>
      </w:r>
    </w:p>
    <w:p w14:paraId="2155FA6F" w14:textId="77777777" w:rsidR="00951F81" w:rsidRDefault="00951F81" w:rsidP="00951F81">
      <w:pPr>
        <w:keepNext/>
      </w:pPr>
    </w:p>
    <w:p w14:paraId="2155FA70" w14:textId="77777777" w:rsidR="00951F81" w:rsidRDefault="007079D3" w:rsidP="00951F81">
      <w:pPr>
        <w:keepNext/>
        <w:rPr>
          <w:u w:val="single"/>
        </w:rPr>
      </w:pPr>
      <w:r>
        <w:rPr>
          <w:u w:val="single"/>
        </w:rPr>
        <w:t>Σύνοψη του προφίλ ασφαλείας</w:t>
      </w:r>
    </w:p>
    <w:p w14:paraId="2155FA71" w14:textId="77777777" w:rsidR="00951F81" w:rsidRDefault="00951F81" w:rsidP="00951F81">
      <w:pPr>
        <w:keepNext/>
      </w:pPr>
    </w:p>
    <w:p w14:paraId="2155FA72" w14:textId="500618F3" w:rsidR="00951F81" w:rsidRDefault="007079D3" w:rsidP="00951F81">
      <w:r>
        <w:t xml:space="preserve">Οι πιο συχνές </w:t>
      </w:r>
      <w:r w:rsidR="00470128">
        <w:t xml:space="preserve">ανεπιθύμητες ενέργειες </w:t>
      </w:r>
      <w:r>
        <w:t>με τ</w:t>
      </w:r>
      <w:r w:rsidR="00D152B9">
        <w:t>η</w:t>
      </w:r>
      <w:r>
        <w:t xml:space="preserve"> </w:t>
      </w:r>
      <w:r w:rsidR="00A050CB">
        <w:t>δενοσουμάμπη</w:t>
      </w:r>
      <w:r>
        <w:t xml:space="preserve"> (που έχουν παρατηρηθεί σε πάνω από ένα ασθενή στους δέκα) είναι </w:t>
      </w:r>
      <w:r w:rsidR="00470128">
        <w:t>το μυοσκελετικό άλγος</w:t>
      </w:r>
      <w:r w:rsidR="00470128" w:rsidRPr="00212E9A">
        <w:t xml:space="preserve"> και </w:t>
      </w:r>
      <w:r w:rsidR="00470128">
        <w:t>το άλγος σε άκρο</w:t>
      </w:r>
      <w:r>
        <w:t xml:space="preserve">. Όχι συχνά περιστατικά κυτταρίτιδας, σπάνια περιστατικά υπασβεστιαιμίας, υπερευαισθησίας, οστεονέκρωσης της γνάθου και άτυπων καταγμάτων του μηριαίου οστού (βλ. παραγράφους 4.4 και 4.8 – περιγραφή επιλεγμένων ανεπιθύμητων ενεργειών) έχουν παρατηρηθεί σε ασθενείς που παίρνουν </w:t>
      </w:r>
      <w:r w:rsidR="00A050CB">
        <w:t>δενοσουμάμπη</w:t>
      </w:r>
      <w:r>
        <w:t>.</w:t>
      </w:r>
    </w:p>
    <w:p w14:paraId="2155FA73" w14:textId="77777777" w:rsidR="00951F81" w:rsidRDefault="00951F81" w:rsidP="00951F81"/>
    <w:p w14:paraId="2155FA74" w14:textId="77777777" w:rsidR="00951F81" w:rsidRDefault="007079D3" w:rsidP="00951F81">
      <w:pPr>
        <w:keepNext/>
        <w:rPr>
          <w:u w:val="single"/>
        </w:rPr>
      </w:pPr>
      <w:r>
        <w:rPr>
          <w:u w:val="single"/>
        </w:rPr>
        <w:t>Πινακοποιημένος κατάλογος ανεπιθύμητων ενεργειών</w:t>
      </w:r>
    </w:p>
    <w:p w14:paraId="2155FA75" w14:textId="77777777" w:rsidR="00951F81" w:rsidRDefault="00951F81" w:rsidP="00951F81">
      <w:pPr>
        <w:keepNext/>
      </w:pPr>
    </w:p>
    <w:p w14:paraId="2155FA76" w14:textId="77777777" w:rsidR="00951F81" w:rsidRDefault="007079D3" w:rsidP="00951F81">
      <w:r>
        <w:t>Τα δεδομένα του πίνακα 1 κάτωθι περιγράφουν ανεπιθύμητες ενέργειες οι οποίες αναφέρθηκαν από κλινικές δοκιμές φάσης ΙΙ και ΙΙΙ σε ασθενείς με οστεοπόρωση και ασθενείς με καρκίνο του μαστού ή του προστάτη υπό ορμονικό αποκλεισμό, και/ή αυθόρμητες αναφορές.</w:t>
      </w:r>
    </w:p>
    <w:p w14:paraId="2155FA77" w14:textId="77777777" w:rsidR="00951F81" w:rsidRDefault="00951F81" w:rsidP="00951F81"/>
    <w:p w14:paraId="2155FA78" w14:textId="6E7B5D1A" w:rsidR="00951F81" w:rsidRDefault="007079D3" w:rsidP="00951F81">
      <w:r>
        <w:t xml:space="preserve">Για την ταξινόμηση των ανεπιθύμητων ενεργειών χρησιμοποιήθηκε η ακόλουθη κατάταξη (βλ. πίνακα 1): πολύ συχνές (≥ 1/10), συχνές (≥ 1/100 έως &lt; 1/10), όχι συχνές (≥ 1/1.000 έως &lt; 1/100), σπάνιες (≥ 1/10.000 έως &lt; 1/1.000), πολύ σπάνιες (&lt; 1/10.000) και μη </w:t>
      </w:r>
      <w:r w:rsidR="00470128">
        <w:t xml:space="preserve">γνωστής συχνότητας </w:t>
      </w:r>
      <w:r>
        <w:t>(δεν μπορούν να εκτιμηθούν με βάση τα διαθέσιμα δεδομένα). Εντός κάθε κατηγορίας συχνότητας και κατηγορίας οργανικού συστήματος, οι ανεπιθύμητες ενέργειες παρατίθενται κατά φθίνουσα σειρά σοβαρότητας.</w:t>
      </w:r>
    </w:p>
    <w:p w14:paraId="2155FA79" w14:textId="77777777" w:rsidR="00951F81" w:rsidRDefault="00951F81" w:rsidP="00951F81"/>
    <w:p w14:paraId="2155FA7A" w14:textId="77777777" w:rsidR="00951F81" w:rsidRDefault="007079D3" w:rsidP="00951F81">
      <w:pPr>
        <w:keepNext/>
        <w:rPr>
          <w:b/>
          <w:bCs/>
        </w:rPr>
      </w:pPr>
      <w:r>
        <w:rPr>
          <w:b/>
        </w:rPr>
        <w:t>Πίνακας 1. Ανεπιθύμητες ενέργειες που αναφέρθηκαν σε ασθενείς με οστεοπόρωση και ασθενείς με καρκίνο του μαστού ή του προστάτη υπό ορμονικό αποκλεισμό</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9"/>
        <w:gridCol w:w="2465"/>
        <w:gridCol w:w="3455"/>
      </w:tblGrid>
      <w:tr w:rsidR="00EA09FB" w14:paraId="2155FA7F"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2155FA7C" w14:textId="77777777" w:rsidR="00951F81" w:rsidRDefault="007079D3" w:rsidP="006829AE">
            <w:pPr>
              <w:keepNext/>
              <w:rPr>
                <w:rFonts w:eastAsia="MS Mincho"/>
                <w:b/>
              </w:rPr>
            </w:pPr>
            <w:r>
              <w:rPr>
                <w:b/>
              </w:rPr>
              <w:t>Κατηγορία οργανικού συστήματος σύμφωνα με τη βάση δεδομένων MedDRA</w:t>
            </w:r>
          </w:p>
        </w:tc>
        <w:tc>
          <w:tcPr>
            <w:tcW w:w="1393" w:type="pct"/>
            <w:tcBorders>
              <w:top w:val="single" w:sz="4" w:space="0" w:color="auto"/>
              <w:left w:val="single" w:sz="4" w:space="0" w:color="auto"/>
              <w:bottom w:val="single" w:sz="4" w:space="0" w:color="auto"/>
              <w:right w:val="single" w:sz="4" w:space="0" w:color="auto"/>
            </w:tcBorders>
          </w:tcPr>
          <w:p w14:paraId="2155FA7D" w14:textId="77777777" w:rsidR="00951F81" w:rsidRDefault="007079D3" w:rsidP="006829AE">
            <w:pPr>
              <w:keepNext/>
              <w:rPr>
                <w:rFonts w:eastAsia="MS Mincho"/>
                <w:bCs/>
                <w:u w:val="single"/>
              </w:rPr>
            </w:pPr>
            <w:r>
              <w:rPr>
                <w:b/>
              </w:rPr>
              <w:t>Κατηγορία συχνότητας</w:t>
            </w:r>
          </w:p>
        </w:tc>
        <w:tc>
          <w:tcPr>
            <w:tcW w:w="1952" w:type="pct"/>
            <w:tcBorders>
              <w:top w:val="single" w:sz="4" w:space="0" w:color="auto"/>
              <w:left w:val="single" w:sz="4" w:space="0" w:color="auto"/>
              <w:bottom w:val="single" w:sz="4" w:space="0" w:color="auto"/>
              <w:right w:val="single" w:sz="4" w:space="0" w:color="auto"/>
            </w:tcBorders>
          </w:tcPr>
          <w:p w14:paraId="2155FA7E" w14:textId="77777777" w:rsidR="00951F81" w:rsidRDefault="007079D3" w:rsidP="006829AE">
            <w:pPr>
              <w:keepNext/>
              <w:rPr>
                <w:rFonts w:eastAsia="MS Mincho"/>
                <w:b/>
                <w:bCs/>
              </w:rPr>
            </w:pPr>
            <w:r>
              <w:rPr>
                <w:b/>
              </w:rPr>
              <w:t>Ανεπιθύμητες ενέργειες</w:t>
            </w:r>
          </w:p>
        </w:tc>
      </w:tr>
      <w:tr w:rsidR="00EA09FB" w14:paraId="2155FA8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2155FA80" w14:textId="77777777" w:rsidR="00951F81" w:rsidRDefault="007079D3" w:rsidP="006829AE">
            <w:pPr>
              <w:keepNext/>
            </w:pPr>
            <w:r>
              <w:t>Λοιμώξεις και παρασιτώσεις</w:t>
            </w:r>
          </w:p>
        </w:tc>
        <w:tc>
          <w:tcPr>
            <w:tcW w:w="1393" w:type="pct"/>
            <w:tcBorders>
              <w:top w:val="single" w:sz="4" w:space="0" w:color="auto"/>
              <w:left w:val="single" w:sz="4" w:space="0" w:color="auto"/>
              <w:bottom w:val="nil"/>
              <w:right w:val="single" w:sz="4" w:space="0" w:color="auto"/>
            </w:tcBorders>
          </w:tcPr>
          <w:p w14:paraId="2155FA81" w14:textId="77777777" w:rsidR="00951F81" w:rsidRDefault="007079D3" w:rsidP="006829AE">
            <w:r>
              <w:t>Συχνές</w:t>
            </w:r>
          </w:p>
        </w:tc>
        <w:tc>
          <w:tcPr>
            <w:tcW w:w="1952" w:type="pct"/>
            <w:tcBorders>
              <w:top w:val="single" w:sz="4" w:space="0" w:color="auto"/>
              <w:left w:val="single" w:sz="4" w:space="0" w:color="auto"/>
              <w:bottom w:val="nil"/>
              <w:right w:val="single" w:sz="4" w:space="0" w:color="auto"/>
            </w:tcBorders>
          </w:tcPr>
          <w:p w14:paraId="2155FA82" w14:textId="19DCDB2C" w:rsidR="00951F81" w:rsidRDefault="00470128" w:rsidP="006829AE">
            <w:r>
              <w:t>Λοίμωξη ουροποιητικού συστήματος</w:t>
            </w:r>
          </w:p>
        </w:tc>
      </w:tr>
      <w:tr w:rsidR="00EA09FB" w14:paraId="2155FA87" w14:textId="77777777" w:rsidTr="00884E6E">
        <w:trPr>
          <w:cantSplit/>
          <w:trHeight w:val="57"/>
        </w:trPr>
        <w:tc>
          <w:tcPr>
            <w:tcW w:w="1655" w:type="pct"/>
            <w:vMerge/>
            <w:tcBorders>
              <w:left w:val="single" w:sz="4" w:space="0" w:color="auto"/>
              <w:right w:val="single" w:sz="4" w:space="0" w:color="auto"/>
            </w:tcBorders>
          </w:tcPr>
          <w:p w14:paraId="2155FA84" w14:textId="77777777" w:rsidR="00951F81" w:rsidRDefault="00951F81" w:rsidP="006829AE">
            <w:pPr>
              <w:keepNext/>
            </w:pPr>
          </w:p>
        </w:tc>
        <w:tc>
          <w:tcPr>
            <w:tcW w:w="1393" w:type="pct"/>
            <w:tcBorders>
              <w:top w:val="nil"/>
              <w:left w:val="single" w:sz="4" w:space="0" w:color="auto"/>
              <w:bottom w:val="nil"/>
              <w:right w:val="single" w:sz="4" w:space="0" w:color="auto"/>
            </w:tcBorders>
          </w:tcPr>
          <w:p w14:paraId="2155FA85" w14:textId="77777777" w:rsidR="00951F81" w:rsidRDefault="007079D3" w:rsidP="006829AE">
            <w:r>
              <w:t>Συχνές</w:t>
            </w:r>
          </w:p>
        </w:tc>
        <w:tc>
          <w:tcPr>
            <w:tcW w:w="1952" w:type="pct"/>
            <w:tcBorders>
              <w:top w:val="nil"/>
              <w:left w:val="single" w:sz="4" w:space="0" w:color="auto"/>
              <w:bottom w:val="nil"/>
              <w:right w:val="single" w:sz="4" w:space="0" w:color="auto"/>
            </w:tcBorders>
          </w:tcPr>
          <w:p w14:paraId="2155FA86" w14:textId="48D0F7E8" w:rsidR="00951F81" w:rsidRDefault="007079D3" w:rsidP="006829AE">
            <w:r>
              <w:t xml:space="preserve">Λοίμωξη </w:t>
            </w:r>
            <w:r w:rsidR="00470128">
              <w:t>της ανώτερης αναπνευστικής οδού</w:t>
            </w:r>
          </w:p>
        </w:tc>
      </w:tr>
      <w:tr w:rsidR="00EA09FB" w14:paraId="2155FA8B" w14:textId="77777777" w:rsidTr="00884E6E">
        <w:trPr>
          <w:cantSplit/>
          <w:trHeight w:val="57"/>
        </w:trPr>
        <w:tc>
          <w:tcPr>
            <w:tcW w:w="1655" w:type="pct"/>
            <w:vMerge/>
            <w:tcBorders>
              <w:left w:val="single" w:sz="4" w:space="0" w:color="auto"/>
              <w:right w:val="single" w:sz="4" w:space="0" w:color="auto"/>
            </w:tcBorders>
          </w:tcPr>
          <w:p w14:paraId="2155FA88" w14:textId="77777777" w:rsidR="00951F81" w:rsidRDefault="00951F81" w:rsidP="006829AE">
            <w:pPr>
              <w:keepNext/>
            </w:pPr>
          </w:p>
        </w:tc>
        <w:tc>
          <w:tcPr>
            <w:tcW w:w="1393" w:type="pct"/>
            <w:tcBorders>
              <w:top w:val="nil"/>
              <w:left w:val="single" w:sz="4" w:space="0" w:color="auto"/>
              <w:bottom w:val="nil"/>
              <w:right w:val="single" w:sz="4" w:space="0" w:color="auto"/>
            </w:tcBorders>
          </w:tcPr>
          <w:p w14:paraId="2155FA89" w14:textId="77777777" w:rsidR="00951F81" w:rsidRDefault="007079D3" w:rsidP="006829AE">
            <w:r>
              <w:t>Όχι συχνές</w:t>
            </w:r>
          </w:p>
        </w:tc>
        <w:tc>
          <w:tcPr>
            <w:tcW w:w="1952" w:type="pct"/>
            <w:tcBorders>
              <w:top w:val="nil"/>
              <w:left w:val="single" w:sz="4" w:space="0" w:color="auto"/>
              <w:bottom w:val="nil"/>
              <w:right w:val="single" w:sz="4" w:space="0" w:color="auto"/>
            </w:tcBorders>
          </w:tcPr>
          <w:p w14:paraId="2155FA8A" w14:textId="77777777" w:rsidR="00951F81" w:rsidRDefault="007079D3" w:rsidP="006829AE">
            <w:r>
              <w:t>Εκκολπωματίτιδα</w:t>
            </w:r>
            <w:r>
              <w:rPr>
                <w:vertAlign w:val="superscript"/>
              </w:rPr>
              <w:t>1</w:t>
            </w:r>
          </w:p>
        </w:tc>
      </w:tr>
      <w:tr w:rsidR="00EA09FB" w14:paraId="2155FA8F" w14:textId="77777777" w:rsidTr="00884E6E">
        <w:trPr>
          <w:cantSplit/>
          <w:trHeight w:val="57"/>
        </w:trPr>
        <w:tc>
          <w:tcPr>
            <w:tcW w:w="1655" w:type="pct"/>
            <w:vMerge/>
            <w:tcBorders>
              <w:left w:val="single" w:sz="4" w:space="0" w:color="auto"/>
              <w:right w:val="single" w:sz="4" w:space="0" w:color="auto"/>
            </w:tcBorders>
          </w:tcPr>
          <w:p w14:paraId="2155FA8C" w14:textId="77777777" w:rsidR="00951F81" w:rsidRDefault="00951F81" w:rsidP="006829AE">
            <w:pPr>
              <w:keepNext/>
            </w:pPr>
          </w:p>
        </w:tc>
        <w:tc>
          <w:tcPr>
            <w:tcW w:w="1393" w:type="pct"/>
            <w:tcBorders>
              <w:top w:val="nil"/>
              <w:left w:val="single" w:sz="4" w:space="0" w:color="auto"/>
              <w:bottom w:val="nil"/>
              <w:right w:val="single" w:sz="4" w:space="0" w:color="auto"/>
            </w:tcBorders>
          </w:tcPr>
          <w:p w14:paraId="2155FA8D" w14:textId="77777777" w:rsidR="00951F81" w:rsidRDefault="007079D3" w:rsidP="006829AE">
            <w:r>
              <w:t>Όχι συχνές</w:t>
            </w:r>
          </w:p>
        </w:tc>
        <w:tc>
          <w:tcPr>
            <w:tcW w:w="1952" w:type="pct"/>
            <w:tcBorders>
              <w:top w:val="nil"/>
              <w:left w:val="single" w:sz="4" w:space="0" w:color="auto"/>
              <w:bottom w:val="nil"/>
              <w:right w:val="single" w:sz="4" w:space="0" w:color="auto"/>
            </w:tcBorders>
          </w:tcPr>
          <w:p w14:paraId="2155FA8E" w14:textId="77777777" w:rsidR="00951F81" w:rsidRDefault="007079D3" w:rsidP="006829AE">
            <w:r>
              <w:t>Κυτταρίτιδα</w:t>
            </w:r>
            <w:r>
              <w:rPr>
                <w:vertAlign w:val="superscript"/>
              </w:rPr>
              <w:t>1</w:t>
            </w:r>
          </w:p>
        </w:tc>
      </w:tr>
      <w:tr w:rsidR="00EA09FB" w14:paraId="2155FA93"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2155FA90" w14:textId="77777777" w:rsidR="00951F81" w:rsidRDefault="00951F81" w:rsidP="006829AE">
            <w:pPr>
              <w:keepNext/>
            </w:pPr>
          </w:p>
        </w:tc>
        <w:tc>
          <w:tcPr>
            <w:tcW w:w="1393" w:type="pct"/>
            <w:tcBorders>
              <w:top w:val="nil"/>
              <w:left w:val="single" w:sz="4" w:space="0" w:color="auto"/>
              <w:bottom w:val="single" w:sz="4" w:space="0" w:color="auto"/>
              <w:right w:val="single" w:sz="4" w:space="0" w:color="auto"/>
            </w:tcBorders>
          </w:tcPr>
          <w:p w14:paraId="2155FA91" w14:textId="77777777" w:rsidR="00951F81" w:rsidRDefault="007079D3" w:rsidP="006829AE">
            <w:r>
              <w:t>Όχι συχνές</w:t>
            </w:r>
          </w:p>
        </w:tc>
        <w:tc>
          <w:tcPr>
            <w:tcW w:w="1952" w:type="pct"/>
            <w:tcBorders>
              <w:top w:val="nil"/>
              <w:left w:val="single" w:sz="4" w:space="0" w:color="auto"/>
              <w:bottom w:val="single" w:sz="4" w:space="0" w:color="auto"/>
              <w:right w:val="single" w:sz="4" w:space="0" w:color="auto"/>
            </w:tcBorders>
          </w:tcPr>
          <w:p w14:paraId="2155FA92" w14:textId="77777777" w:rsidR="00951F81" w:rsidRDefault="007079D3" w:rsidP="006829AE">
            <w:r>
              <w:t>Λοίμωξη του ωτός</w:t>
            </w:r>
          </w:p>
        </w:tc>
      </w:tr>
      <w:tr w:rsidR="00EA09FB" w14:paraId="2155FA97"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2155FA94" w14:textId="77777777" w:rsidR="00951F81" w:rsidRDefault="007079D3" w:rsidP="006829AE">
            <w:pPr>
              <w:keepNext/>
            </w:pPr>
            <w:r>
              <w:t>Διαταραχές του ανοσοποιητικού συστήματος</w:t>
            </w:r>
          </w:p>
        </w:tc>
        <w:tc>
          <w:tcPr>
            <w:tcW w:w="1393" w:type="pct"/>
            <w:tcBorders>
              <w:top w:val="single" w:sz="4" w:space="0" w:color="auto"/>
              <w:left w:val="single" w:sz="4" w:space="0" w:color="auto"/>
              <w:bottom w:val="nil"/>
              <w:right w:val="single" w:sz="4" w:space="0" w:color="auto"/>
            </w:tcBorders>
          </w:tcPr>
          <w:p w14:paraId="2155FA95" w14:textId="77777777" w:rsidR="00951F81" w:rsidRDefault="007079D3" w:rsidP="006829AE">
            <w:r>
              <w:t>Σπάνιες</w:t>
            </w:r>
          </w:p>
        </w:tc>
        <w:tc>
          <w:tcPr>
            <w:tcW w:w="1952" w:type="pct"/>
            <w:tcBorders>
              <w:top w:val="single" w:sz="4" w:space="0" w:color="auto"/>
              <w:left w:val="single" w:sz="4" w:space="0" w:color="auto"/>
              <w:bottom w:val="nil"/>
              <w:right w:val="single" w:sz="4" w:space="0" w:color="auto"/>
            </w:tcBorders>
          </w:tcPr>
          <w:p w14:paraId="2155FA96" w14:textId="13C35FB8" w:rsidR="00951F81" w:rsidRDefault="007079D3" w:rsidP="006829AE">
            <w:r>
              <w:t xml:space="preserve">Υπερευαισθησία </w:t>
            </w:r>
            <w:r w:rsidR="00470128">
              <w:t xml:space="preserve">σε </w:t>
            </w:r>
            <w:r>
              <w:t>φάρμακο</w:t>
            </w:r>
            <w:r>
              <w:rPr>
                <w:vertAlign w:val="superscript"/>
              </w:rPr>
              <w:t>1</w:t>
            </w:r>
          </w:p>
        </w:tc>
      </w:tr>
      <w:tr w:rsidR="00EA09FB" w14:paraId="2155FA9B"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2155FA98" w14:textId="77777777" w:rsidR="00951F81" w:rsidRDefault="00951F81" w:rsidP="006829AE">
            <w:pPr>
              <w:keepNext/>
            </w:pPr>
          </w:p>
        </w:tc>
        <w:tc>
          <w:tcPr>
            <w:tcW w:w="1393" w:type="pct"/>
            <w:tcBorders>
              <w:top w:val="nil"/>
              <w:left w:val="single" w:sz="4" w:space="0" w:color="auto"/>
              <w:bottom w:val="single" w:sz="4" w:space="0" w:color="auto"/>
              <w:right w:val="single" w:sz="4" w:space="0" w:color="auto"/>
            </w:tcBorders>
          </w:tcPr>
          <w:p w14:paraId="2155FA99" w14:textId="77777777" w:rsidR="00951F81" w:rsidRDefault="007079D3" w:rsidP="006829AE">
            <w:r>
              <w:t>Σπάνιες</w:t>
            </w:r>
          </w:p>
        </w:tc>
        <w:tc>
          <w:tcPr>
            <w:tcW w:w="1952" w:type="pct"/>
            <w:tcBorders>
              <w:top w:val="nil"/>
              <w:left w:val="single" w:sz="4" w:space="0" w:color="auto"/>
              <w:bottom w:val="single" w:sz="4" w:space="0" w:color="auto"/>
              <w:right w:val="single" w:sz="4" w:space="0" w:color="auto"/>
            </w:tcBorders>
          </w:tcPr>
          <w:p w14:paraId="2155FA9A" w14:textId="77777777" w:rsidR="00951F81" w:rsidRDefault="007079D3" w:rsidP="006829AE">
            <w:r>
              <w:t>Αναφυλακτική αντίδραση</w:t>
            </w:r>
            <w:r>
              <w:rPr>
                <w:vertAlign w:val="superscript"/>
              </w:rPr>
              <w:t>1</w:t>
            </w:r>
          </w:p>
        </w:tc>
      </w:tr>
      <w:tr w:rsidR="00EA09FB" w14:paraId="2155FA9F"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2155FA9C" w14:textId="493BC08D" w:rsidR="00951F81" w:rsidRDefault="00470128" w:rsidP="006829AE">
            <w:r>
              <w:t>Μεταβολικές και διατροφικές διαταραχές</w:t>
            </w:r>
          </w:p>
        </w:tc>
        <w:tc>
          <w:tcPr>
            <w:tcW w:w="1393" w:type="pct"/>
            <w:tcBorders>
              <w:top w:val="single" w:sz="4" w:space="0" w:color="auto"/>
              <w:left w:val="single" w:sz="4" w:space="0" w:color="auto"/>
              <w:bottom w:val="single" w:sz="4" w:space="0" w:color="auto"/>
              <w:right w:val="single" w:sz="4" w:space="0" w:color="auto"/>
            </w:tcBorders>
          </w:tcPr>
          <w:p w14:paraId="2155FA9D" w14:textId="77777777" w:rsidR="00951F81" w:rsidRDefault="007079D3" w:rsidP="006829AE">
            <w:r>
              <w:t>Σπάνιες</w:t>
            </w:r>
          </w:p>
        </w:tc>
        <w:tc>
          <w:tcPr>
            <w:tcW w:w="1952" w:type="pct"/>
            <w:tcBorders>
              <w:top w:val="single" w:sz="4" w:space="0" w:color="auto"/>
              <w:left w:val="single" w:sz="4" w:space="0" w:color="auto"/>
              <w:bottom w:val="single" w:sz="4" w:space="0" w:color="auto"/>
              <w:right w:val="single" w:sz="4" w:space="0" w:color="auto"/>
            </w:tcBorders>
          </w:tcPr>
          <w:p w14:paraId="2155FA9E" w14:textId="77777777" w:rsidR="00951F81" w:rsidRDefault="007079D3" w:rsidP="006829AE">
            <w:r>
              <w:t>Υπασβεστιαιμία</w:t>
            </w:r>
            <w:r>
              <w:rPr>
                <w:vertAlign w:val="superscript"/>
              </w:rPr>
              <w:t>1</w:t>
            </w:r>
          </w:p>
        </w:tc>
      </w:tr>
      <w:tr w:rsidR="00EA09FB" w14:paraId="2155FAA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2155FAA0" w14:textId="77777777" w:rsidR="00951F81" w:rsidRDefault="007079D3" w:rsidP="006829AE">
            <w:r>
              <w:t>Διαταραχές του νευρικού συστήματος</w:t>
            </w:r>
          </w:p>
        </w:tc>
        <w:tc>
          <w:tcPr>
            <w:tcW w:w="1393" w:type="pct"/>
            <w:tcBorders>
              <w:top w:val="single" w:sz="4" w:space="0" w:color="auto"/>
              <w:left w:val="single" w:sz="4" w:space="0" w:color="auto"/>
              <w:bottom w:val="single" w:sz="4" w:space="0" w:color="auto"/>
              <w:right w:val="single" w:sz="4" w:space="0" w:color="auto"/>
            </w:tcBorders>
          </w:tcPr>
          <w:p w14:paraId="2155FAA1" w14:textId="77777777" w:rsidR="00951F81" w:rsidRDefault="007079D3" w:rsidP="006829AE">
            <w:r>
              <w:t>Συχνές</w:t>
            </w:r>
          </w:p>
        </w:tc>
        <w:tc>
          <w:tcPr>
            <w:tcW w:w="1952" w:type="pct"/>
            <w:tcBorders>
              <w:top w:val="single" w:sz="4" w:space="0" w:color="auto"/>
              <w:left w:val="single" w:sz="4" w:space="0" w:color="auto"/>
              <w:bottom w:val="single" w:sz="4" w:space="0" w:color="auto"/>
              <w:right w:val="single" w:sz="4" w:space="0" w:color="auto"/>
            </w:tcBorders>
          </w:tcPr>
          <w:p w14:paraId="2155FAA2" w14:textId="77777777" w:rsidR="00951F81" w:rsidRDefault="007079D3" w:rsidP="006829AE">
            <w:r>
              <w:t>Ισχιαλγία</w:t>
            </w:r>
          </w:p>
        </w:tc>
      </w:tr>
      <w:tr w:rsidR="00EA09FB" w14:paraId="2155FAA7"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2155FAA4" w14:textId="1456CF98" w:rsidR="00951F81" w:rsidRDefault="00470128" w:rsidP="006829AE">
            <w:r>
              <w:t>Γαστρεντερικές διαταραχές</w:t>
            </w:r>
          </w:p>
        </w:tc>
        <w:tc>
          <w:tcPr>
            <w:tcW w:w="1393" w:type="pct"/>
            <w:tcBorders>
              <w:top w:val="single" w:sz="4" w:space="0" w:color="auto"/>
              <w:left w:val="single" w:sz="4" w:space="0" w:color="auto"/>
              <w:bottom w:val="nil"/>
              <w:right w:val="single" w:sz="4" w:space="0" w:color="auto"/>
            </w:tcBorders>
          </w:tcPr>
          <w:p w14:paraId="2155FAA5" w14:textId="77777777" w:rsidR="00951F81" w:rsidRDefault="007079D3" w:rsidP="006829AE">
            <w:r>
              <w:t>Συχνές</w:t>
            </w:r>
          </w:p>
        </w:tc>
        <w:tc>
          <w:tcPr>
            <w:tcW w:w="1952" w:type="pct"/>
            <w:tcBorders>
              <w:top w:val="single" w:sz="4" w:space="0" w:color="auto"/>
              <w:left w:val="single" w:sz="4" w:space="0" w:color="auto"/>
              <w:bottom w:val="nil"/>
              <w:right w:val="single" w:sz="4" w:space="0" w:color="auto"/>
            </w:tcBorders>
          </w:tcPr>
          <w:p w14:paraId="2155FAA6" w14:textId="77777777" w:rsidR="00951F81" w:rsidRDefault="007079D3" w:rsidP="006829AE">
            <w:r>
              <w:t>Δυσκοιλιότητα</w:t>
            </w:r>
          </w:p>
        </w:tc>
      </w:tr>
      <w:tr w:rsidR="00EA09FB" w14:paraId="2155FAAB"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2155FAA8" w14:textId="77777777" w:rsidR="00951F81" w:rsidRDefault="00951F81" w:rsidP="006829AE"/>
        </w:tc>
        <w:tc>
          <w:tcPr>
            <w:tcW w:w="1393" w:type="pct"/>
            <w:tcBorders>
              <w:top w:val="nil"/>
              <w:left w:val="single" w:sz="4" w:space="0" w:color="auto"/>
              <w:bottom w:val="single" w:sz="4" w:space="0" w:color="auto"/>
              <w:right w:val="single" w:sz="4" w:space="0" w:color="auto"/>
            </w:tcBorders>
          </w:tcPr>
          <w:p w14:paraId="2155FAA9" w14:textId="77777777" w:rsidR="00951F81" w:rsidRDefault="007079D3" w:rsidP="006829AE">
            <w:r>
              <w:t>Συχνές</w:t>
            </w:r>
          </w:p>
        </w:tc>
        <w:tc>
          <w:tcPr>
            <w:tcW w:w="1952" w:type="pct"/>
            <w:tcBorders>
              <w:top w:val="nil"/>
              <w:left w:val="single" w:sz="4" w:space="0" w:color="auto"/>
              <w:bottom w:val="single" w:sz="4" w:space="0" w:color="auto"/>
              <w:right w:val="single" w:sz="4" w:space="0" w:color="auto"/>
            </w:tcBorders>
          </w:tcPr>
          <w:p w14:paraId="2155FAAA" w14:textId="77777777" w:rsidR="00951F81" w:rsidRDefault="007079D3" w:rsidP="006829AE">
            <w:r>
              <w:t>Κοιλιακή δυσφορία</w:t>
            </w:r>
          </w:p>
        </w:tc>
      </w:tr>
      <w:tr w:rsidR="00EA09FB" w14:paraId="2155FAA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2155FAAC" w14:textId="77777777" w:rsidR="00951F81" w:rsidRDefault="007079D3" w:rsidP="00861842">
            <w:r>
              <w:t>Διαταραχές του δέρματος και του υποδόριου ιστού</w:t>
            </w:r>
          </w:p>
        </w:tc>
        <w:tc>
          <w:tcPr>
            <w:tcW w:w="1393" w:type="pct"/>
            <w:tcBorders>
              <w:top w:val="single" w:sz="4" w:space="0" w:color="auto"/>
              <w:left w:val="single" w:sz="4" w:space="0" w:color="auto"/>
              <w:bottom w:val="nil"/>
              <w:right w:val="single" w:sz="4" w:space="0" w:color="auto"/>
            </w:tcBorders>
          </w:tcPr>
          <w:p w14:paraId="2155FAAD" w14:textId="77777777" w:rsidR="00951F81" w:rsidRDefault="007079D3" w:rsidP="00861842">
            <w:r>
              <w:t>Συχνές</w:t>
            </w:r>
          </w:p>
        </w:tc>
        <w:tc>
          <w:tcPr>
            <w:tcW w:w="1952" w:type="pct"/>
            <w:tcBorders>
              <w:top w:val="single" w:sz="4" w:space="0" w:color="auto"/>
              <w:left w:val="single" w:sz="4" w:space="0" w:color="auto"/>
              <w:bottom w:val="nil"/>
              <w:right w:val="single" w:sz="4" w:space="0" w:color="auto"/>
            </w:tcBorders>
          </w:tcPr>
          <w:p w14:paraId="2155FAAE" w14:textId="77777777" w:rsidR="00951F81" w:rsidRDefault="007079D3" w:rsidP="00861842">
            <w:r>
              <w:t>Εξάνθημα</w:t>
            </w:r>
          </w:p>
        </w:tc>
      </w:tr>
      <w:tr w:rsidR="00EA09FB" w14:paraId="2155FAB3" w14:textId="77777777" w:rsidTr="00884E6E">
        <w:trPr>
          <w:cantSplit/>
          <w:trHeight w:val="57"/>
        </w:trPr>
        <w:tc>
          <w:tcPr>
            <w:tcW w:w="1655" w:type="pct"/>
            <w:vMerge/>
            <w:tcBorders>
              <w:left w:val="single" w:sz="4" w:space="0" w:color="auto"/>
              <w:right w:val="single" w:sz="4" w:space="0" w:color="auto"/>
            </w:tcBorders>
          </w:tcPr>
          <w:p w14:paraId="2155FAB0" w14:textId="77777777" w:rsidR="00951F81" w:rsidRDefault="00951F81" w:rsidP="00861842"/>
        </w:tc>
        <w:tc>
          <w:tcPr>
            <w:tcW w:w="1393" w:type="pct"/>
            <w:tcBorders>
              <w:top w:val="nil"/>
              <w:left w:val="single" w:sz="4" w:space="0" w:color="auto"/>
              <w:bottom w:val="nil"/>
              <w:right w:val="single" w:sz="4" w:space="0" w:color="auto"/>
            </w:tcBorders>
          </w:tcPr>
          <w:p w14:paraId="2155FAB1" w14:textId="77777777" w:rsidR="00951F81" w:rsidRDefault="007079D3" w:rsidP="00861842">
            <w:r>
              <w:t>Συχνές</w:t>
            </w:r>
          </w:p>
        </w:tc>
        <w:tc>
          <w:tcPr>
            <w:tcW w:w="1952" w:type="pct"/>
            <w:tcBorders>
              <w:top w:val="nil"/>
              <w:left w:val="single" w:sz="4" w:space="0" w:color="auto"/>
              <w:bottom w:val="nil"/>
              <w:right w:val="single" w:sz="4" w:space="0" w:color="auto"/>
            </w:tcBorders>
          </w:tcPr>
          <w:p w14:paraId="2155FAB2" w14:textId="77777777" w:rsidR="00951F81" w:rsidRDefault="007079D3" w:rsidP="00861842">
            <w:r>
              <w:t>Έκζεμα</w:t>
            </w:r>
          </w:p>
        </w:tc>
      </w:tr>
      <w:tr w:rsidR="00EA09FB" w14:paraId="2155FAB7" w14:textId="77777777" w:rsidTr="00884E6E">
        <w:trPr>
          <w:cantSplit/>
          <w:trHeight w:val="57"/>
        </w:trPr>
        <w:tc>
          <w:tcPr>
            <w:tcW w:w="1655" w:type="pct"/>
            <w:vMerge/>
            <w:tcBorders>
              <w:left w:val="single" w:sz="4" w:space="0" w:color="auto"/>
              <w:right w:val="single" w:sz="4" w:space="0" w:color="auto"/>
            </w:tcBorders>
          </w:tcPr>
          <w:p w14:paraId="2155FAB4" w14:textId="77777777" w:rsidR="00951F81" w:rsidRDefault="00951F81" w:rsidP="00861842"/>
        </w:tc>
        <w:tc>
          <w:tcPr>
            <w:tcW w:w="1393" w:type="pct"/>
            <w:tcBorders>
              <w:top w:val="nil"/>
              <w:left w:val="single" w:sz="4" w:space="0" w:color="auto"/>
              <w:bottom w:val="nil"/>
              <w:right w:val="single" w:sz="4" w:space="0" w:color="auto"/>
            </w:tcBorders>
          </w:tcPr>
          <w:p w14:paraId="2155FAB5" w14:textId="77777777" w:rsidR="00951F81" w:rsidRDefault="007079D3" w:rsidP="00861842">
            <w:r>
              <w:t>Συχνές</w:t>
            </w:r>
          </w:p>
        </w:tc>
        <w:tc>
          <w:tcPr>
            <w:tcW w:w="1952" w:type="pct"/>
            <w:tcBorders>
              <w:top w:val="nil"/>
              <w:left w:val="single" w:sz="4" w:space="0" w:color="auto"/>
              <w:bottom w:val="nil"/>
              <w:right w:val="single" w:sz="4" w:space="0" w:color="auto"/>
            </w:tcBorders>
          </w:tcPr>
          <w:p w14:paraId="2155FAB6" w14:textId="77777777" w:rsidR="00951F81" w:rsidRDefault="007079D3" w:rsidP="00861842">
            <w:r>
              <w:t>Αλωπεκία</w:t>
            </w:r>
          </w:p>
        </w:tc>
      </w:tr>
      <w:tr w:rsidR="00EA09FB" w14:paraId="2155FABB" w14:textId="77777777" w:rsidTr="00884E6E">
        <w:trPr>
          <w:cantSplit/>
          <w:trHeight w:val="57"/>
        </w:trPr>
        <w:tc>
          <w:tcPr>
            <w:tcW w:w="1655" w:type="pct"/>
            <w:vMerge/>
            <w:tcBorders>
              <w:left w:val="single" w:sz="4" w:space="0" w:color="auto"/>
              <w:right w:val="single" w:sz="4" w:space="0" w:color="auto"/>
            </w:tcBorders>
          </w:tcPr>
          <w:p w14:paraId="2155FAB8" w14:textId="77777777" w:rsidR="00951F81" w:rsidRDefault="00951F81" w:rsidP="00861842"/>
        </w:tc>
        <w:tc>
          <w:tcPr>
            <w:tcW w:w="1393" w:type="pct"/>
            <w:tcBorders>
              <w:top w:val="nil"/>
              <w:left w:val="single" w:sz="4" w:space="0" w:color="auto"/>
              <w:bottom w:val="nil"/>
              <w:right w:val="single" w:sz="4" w:space="0" w:color="auto"/>
            </w:tcBorders>
          </w:tcPr>
          <w:p w14:paraId="2155FAB9" w14:textId="77777777" w:rsidR="00951F81" w:rsidRDefault="007079D3" w:rsidP="00861842">
            <w:r>
              <w:t>Όχι συχνές</w:t>
            </w:r>
          </w:p>
        </w:tc>
        <w:tc>
          <w:tcPr>
            <w:tcW w:w="1952" w:type="pct"/>
            <w:tcBorders>
              <w:top w:val="nil"/>
              <w:left w:val="single" w:sz="4" w:space="0" w:color="auto"/>
              <w:bottom w:val="nil"/>
              <w:right w:val="single" w:sz="4" w:space="0" w:color="auto"/>
            </w:tcBorders>
          </w:tcPr>
          <w:p w14:paraId="2155FABA" w14:textId="77777777" w:rsidR="00951F81" w:rsidRDefault="007079D3" w:rsidP="00861842">
            <w:r>
              <w:t>Λειχηνοειδή φαρμακευτικά εξανθήματα</w:t>
            </w:r>
            <w:r>
              <w:rPr>
                <w:vertAlign w:val="superscript"/>
              </w:rPr>
              <w:t>1</w:t>
            </w:r>
          </w:p>
        </w:tc>
      </w:tr>
      <w:tr w:rsidR="00EA09FB" w14:paraId="2155FABF" w14:textId="77777777" w:rsidTr="00884E6E">
        <w:trPr>
          <w:cantSplit/>
          <w:trHeight w:val="57"/>
        </w:trPr>
        <w:tc>
          <w:tcPr>
            <w:tcW w:w="1655" w:type="pct"/>
            <w:vMerge/>
            <w:tcBorders>
              <w:left w:val="single" w:sz="4" w:space="0" w:color="auto"/>
              <w:right w:val="single" w:sz="4" w:space="0" w:color="auto"/>
            </w:tcBorders>
          </w:tcPr>
          <w:p w14:paraId="2155FABC" w14:textId="77777777" w:rsidR="00951F81" w:rsidRDefault="00951F81" w:rsidP="00861842"/>
        </w:tc>
        <w:tc>
          <w:tcPr>
            <w:tcW w:w="1393" w:type="pct"/>
            <w:tcBorders>
              <w:top w:val="nil"/>
              <w:left w:val="single" w:sz="4" w:space="0" w:color="auto"/>
              <w:bottom w:val="single" w:sz="4" w:space="0" w:color="auto"/>
              <w:right w:val="single" w:sz="4" w:space="0" w:color="auto"/>
            </w:tcBorders>
          </w:tcPr>
          <w:p w14:paraId="2155FABD" w14:textId="77777777" w:rsidR="00951F81" w:rsidRDefault="007079D3" w:rsidP="00861842">
            <w:r>
              <w:t>Πολύ σπάνιες</w:t>
            </w:r>
          </w:p>
        </w:tc>
        <w:tc>
          <w:tcPr>
            <w:tcW w:w="1952" w:type="pct"/>
            <w:tcBorders>
              <w:top w:val="nil"/>
              <w:left w:val="single" w:sz="4" w:space="0" w:color="auto"/>
              <w:bottom w:val="single" w:sz="4" w:space="0" w:color="auto"/>
              <w:right w:val="single" w:sz="4" w:space="0" w:color="auto"/>
            </w:tcBorders>
          </w:tcPr>
          <w:p w14:paraId="2155FABE" w14:textId="77777777" w:rsidR="00951F81" w:rsidRDefault="007079D3" w:rsidP="00861842">
            <w:r>
              <w:t>Αγγειίτιδα από υπερευαισθησία</w:t>
            </w:r>
          </w:p>
        </w:tc>
      </w:tr>
      <w:tr w:rsidR="00EA09FB" w14:paraId="2155FAC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2155FAC0" w14:textId="77777777" w:rsidR="00951F81" w:rsidRDefault="007079D3" w:rsidP="00861842">
            <w:r>
              <w:t>Διαταραχές του μυοσκελετικού συστήματος και του συνδετικού ιστού</w:t>
            </w:r>
          </w:p>
        </w:tc>
        <w:tc>
          <w:tcPr>
            <w:tcW w:w="1393" w:type="pct"/>
            <w:tcBorders>
              <w:top w:val="single" w:sz="4" w:space="0" w:color="auto"/>
              <w:left w:val="single" w:sz="4" w:space="0" w:color="auto"/>
              <w:bottom w:val="nil"/>
              <w:right w:val="single" w:sz="4" w:space="0" w:color="auto"/>
            </w:tcBorders>
          </w:tcPr>
          <w:p w14:paraId="2155FAC1" w14:textId="77777777" w:rsidR="00951F81" w:rsidRDefault="007079D3" w:rsidP="00861842">
            <w:r>
              <w:t>Πολύ συχνές</w:t>
            </w:r>
          </w:p>
        </w:tc>
        <w:tc>
          <w:tcPr>
            <w:tcW w:w="1952" w:type="pct"/>
            <w:tcBorders>
              <w:top w:val="single" w:sz="4" w:space="0" w:color="auto"/>
              <w:left w:val="single" w:sz="4" w:space="0" w:color="auto"/>
              <w:bottom w:val="nil"/>
              <w:right w:val="single" w:sz="4" w:space="0" w:color="auto"/>
            </w:tcBorders>
          </w:tcPr>
          <w:p w14:paraId="2155FAC2" w14:textId="6166C30C" w:rsidR="00951F81" w:rsidRDefault="00470128" w:rsidP="00861842">
            <w:r>
              <w:t>Άλγος σε άκρο</w:t>
            </w:r>
          </w:p>
        </w:tc>
      </w:tr>
      <w:tr w:rsidR="00EA09FB" w14:paraId="2155FAC7" w14:textId="77777777" w:rsidTr="00884E6E">
        <w:trPr>
          <w:cantSplit/>
          <w:trHeight w:val="57"/>
        </w:trPr>
        <w:tc>
          <w:tcPr>
            <w:tcW w:w="1655" w:type="pct"/>
            <w:vMerge/>
            <w:tcBorders>
              <w:left w:val="single" w:sz="4" w:space="0" w:color="auto"/>
              <w:right w:val="single" w:sz="4" w:space="0" w:color="auto"/>
            </w:tcBorders>
          </w:tcPr>
          <w:p w14:paraId="2155FAC4" w14:textId="77777777" w:rsidR="00951F81" w:rsidRDefault="00951F81" w:rsidP="00861842"/>
        </w:tc>
        <w:tc>
          <w:tcPr>
            <w:tcW w:w="1393" w:type="pct"/>
            <w:tcBorders>
              <w:top w:val="nil"/>
              <w:left w:val="single" w:sz="4" w:space="0" w:color="auto"/>
              <w:bottom w:val="nil"/>
              <w:right w:val="single" w:sz="4" w:space="0" w:color="auto"/>
            </w:tcBorders>
          </w:tcPr>
          <w:p w14:paraId="2155FAC5" w14:textId="77777777" w:rsidR="00951F81" w:rsidRDefault="007079D3" w:rsidP="00861842">
            <w:r>
              <w:t>Πολύ συχνές</w:t>
            </w:r>
          </w:p>
        </w:tc>
        <w:tc>
          <w:tcPr>
            <w:tcW w:w="1952" w:type="pct"/>
            <w:tcBorders>
              <w:top w:val="nil"/>
              <w:left w:val="single" w:sz="4" w:space="0" w:color="auto"/>
              <w:bottom w:val="nil"/>
              <w:right w:val="single" w:sz="4" w:space="0" w:color="auto"/>
            </w:tcBorders>
          </w:tcPr>
          <w:p w14:paraId="2155FAC6" w14:textId="3E55927A" w:rsidR="00951F81" w:rsidRDefault="007079D3" w:rsidP="00861842">
            <w:r>
              <w:t>Μυοσκελετικό</w:t>
            </w:r>
            <w:r w:rsidR="00470128">
              <w:t xml:space="preserve"> άλγος</w:t>
            </w:r>
            <w:r>
              <w:rPr>
                <w:vertAlign w:val="superscript"/>
              </w:rPr>
              <w:t>1</w:t>
            </w:r>
          </w:p>
        </w:tc>
      </w:tr>
      <w:tr w:rsidR="00EA09FB" w14:paraId="2155FACB" w14:textId="77777777" w:rsidTr="00884E6E">
        <w:trPr>
          <w:cantSplit/>
          <w:trHeight w:val="57"/>
        </w:trPr>
        <w:tc>
          <w:tcPr>
            <w:tcW w:w="1655" w:type="pct"/>
            <w:vMerge/>
            <w:tcBorders>
              <w:left w:val="single" w:sz="4" w:space="0" w:color="auto"/>
              <w:right w:val="single" w:sz="4" w:space="0" w:color="auto"/>
            </w:tcBorders>
          </w:tcPr>
          <w:p w14:paraId="2155FAC8" w14:textId="77777777" w:rsidR="00951F81" w:rsidRDefault="00951F81" w:rsidP="00861842"/>
        </w:tc>
        <w:tc>
          <w:tcPr>
            <w:tcW w:w="1393" w:type="pct"/>
            <w:tcBorders>
              <w:top w:val="nil"/>
              <w:left w:val="single" w:sz="4" w:space="0" w:color="auto"/>
              <w:bottom w:val="nil"/>
              <w:right w:val="single" w:sz="4" w:space="0" w:color="auto"/>
            </w:tcBorders>
          </w:tcPr>
          <w:p w14:paraId="2155FAC9" w14:textId="77777777" w:rsidR="00951F81" w:rsidRDefault="007079D3" w:rsidP="00861842">
            <w:r>
              <w:t>Σπάνιες</w:t>
            </w:r>
          </w:p>
        </w:tc>
        <w:tc>
          <w:tcPr>
            <w:tcW w:w="1952" w:type="pct"/>
            <w:tcBorders>
              <w:top w:val="nil"/>
              <w:left w:val="single" w:sz="4" w:space="0" w:color="auto"/>
              <w:bottom w:val="nil"/>
              <w:right w:val="single" w:sz="4" w:space="0" w:color="auto"/>
            </w:tcBorders>
          </w:tcPr>
          <w:p w14:paraId="2155FACA" w14:textId="77777777" w:rsidR="00951F81" w:rsidRDefault="007079D3" w:rsidP="00861842">
            <w:r>
              <w:t>Οστεονέκρωση της γνάθου</w:t>
            </w:r>
            <w:r>
              <w:rPr>
                <w:vertAlign w:val="superscript"/>
              </w:rPr>
              <w:t>1</w:t>
            </w:r>
          </w:p>
        </w:tc>
      </w:tr>
      <w:tr w:rsidR="00EA09FB" w14:paraId="2155FACF" w14:textId="77777777" w:rsidTr="00884E6E">
        <w:trPr>
          <w:cantSplit/>
          <w:trHeight w:val="57"/>
        </w:trPr>
        <w:tc>
          <w:tcPr>
            <w:tcW w:w="1655" w:type="pct"/>
            <w:vMerge/>
            <w:tcBorders>
              <w:left w:val="single" w:sz="4" w:space="0" w:color="auto"/>
              <w:right w:val="single" w:sz="4" w:space="0" w:color="auto"/>
            </w:tcBorders>
          </w:tcPr>
          <w:p w14:paraId="2155FACC" w14:textId="77777777" w:rsidR="00951F81" w:rsidRDefault="00951F81" w:rsidP="00861842"/>
        </w:tc>
        <w:tc>
          <w:tcPr>
            <w:tcW w:w="1393" w:type="pct"/>
            <w:tcBorders>
              <w:top w:val="nil"/>
              <w:left w:val="single" w:sz="4" w:space="0" w:color="auto"/>
              <w:bottom w:val="nil"/>
              <w:right w:val="single" w:sz="4" w:space="0" w:color="auto"/>
            </w:tcBorders>
          </w:tcPr>
          <w:p w14:paraId="2155FACD" w14:textId="77777777" w:rsidR="00951F81" w:rsidRDefault="007079D3" w:rsidP="00861842">
            <w:r>
              <w:t>Σπάνιες</w:t>
            </w:r>
          </w:p>
        </w:tc>
        <w:tc>
          <w:tcPr>
            <w:tcW w:w="1952" w:type="pct"/>
            <w:tcBorders>
              <w:top w:val="nil"/>
              <w:left w:val="single" w:sz="4" w:space="0" w:color="auto"/>
              <w:bottom w:val="nil"/>
              <w:right w:val="single" w:sz="4" w:space="0" w:color="auto"/>
            </w:tcBorders>
          </w:tcPr>
          <w:p w14:paraId="2155FACE" w14:textId="77777777" w:rsidR="00951F81" w:rsidRDefault="007079D3" w:rsidP="00861842">
            <w:r>
              <w:t>Άτυπα κατάγματα του μηριαίου οστού</w:t>
            </w:r>
            <w:r>
              <w:rPr>
                <w:vertAlign w:val="superscript"/>
              </w:rPr>
              <w:t>1</w:t>
            </w:r>
          </w:p>
        </w:tc>
      </w:tr>
      <w:tr w:rsidR="00EA09FB" w14:paraId="2155FAD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2155FAD0" w14:textId="77777777" w:rsidR="00951F81" w:rsidRDefault="00951F81" w:rsidP="00861842"/>
        </w:tc>
        <w:tc>
          <w:tcPr>
            <w:tcW w:w="1393" w:type="pct"/>
            <w:tcBorders>
              <w:top w:val="nil"/>
              <w:left w:val="single" w:sz="4" w:space="0" w:color="auto"/>
              <w:bottom w:val="single" w:sz="4" w:space="0" w:color="auto"/>
              <w:right w:val="single" w:sz="4" w:space="0" w:color="auto"/>
            </w:tcBorders>
          </w:tcPr>
          <w:p w14:paraId="2155FAD1" w14:textId="155A7F42" w:rsidR="00951F81" w:rsidRDefault="007079D3" w:rsidP="00861842">
            <w:r>
              <w:t xml:space="preserve">Μη </w:t>
            </w:r>
            <w:r w:rsidR="00470128">
              <w:t>γνωστής συχνότητας</w:t>
            </w:r>
          </w:p>
          <w:p w14:paraId="2155FAD2" w14:textId="77777777" w:rsidR="0028513B" w:rsidRDefault="0028513B" w:rsidP="00861842"/>
        </w:tc>
        <w:tc>
          <w:tcPr>
            <w:tcW w:w="1952" w:type="pct"/>
            <w:tcBorders>
              <w:top w:val="nil"/>
              <w:left w:val="single" w:sz="4" w:space="0" w:color="auto"/>
              <w:bottom w:val="single" w:sz="4" w:space="0" w:color="auto"/>
              <w:right w:val="single" w:sz="4" w:space="0" w:color="auto"/>
            </w:tcBorders>
          </w:tcPr>
          <w:p w14:paraId="2155FAD3" w14:textId="77777777" w:rsidR="00951F81" w:rsidRDefault="007079D3" w:rsidP="00861842">
            <w:r>
              <w:t>Οστεονέκρωση του έξω ακουστικού πόρου</w:t>
            </w:r>
            <w:r>
              <w:rPr>
                <w:vertAlign w:val="superscript"/>
              </w:rPr>
              <w:t>2</w:t>
            </w:r>
          </w:p>
        </w:tc>
      </w:tr>
    </w:tbl>
    <w:p w14:paraId="2155FAD5" w14:textId="77777777" w:rsidR="00951F81" w:rsidRDefault="007079D3" w:rsidP="00861842">
      <w:pPr>
        <w:rPr>
          <w:sz w:val="20"/>
          <w:szCs w:val="20"/>
        </w:rPr>
      </w:pPr>
      <w:r>
        <w:rPr>
          <w:sz w:val="20"/>
          <w:vertAlign w:val="superscript"/>
        </w:rPr>
        <w:t>1</w:t>
      </w:r>
      <w:r>
        <w:rPr>
          <w:sz w:val="20"/>
        </w:rPr>
        <w:t xml:space="preserve"> Βλ. παράγραφο Περιγραφή επιλεγμένων ανεπιθύμητων ενεργειών.</w:t>
      </w:r>
    </w:p>
    <w:p w14:paraId="2155FAD6" w14:textId="77777777" w:rsidR="00951F81" w:rsidRDefault="007079D3" w:rsidP="00861842">
      <w:pPr>
        <w:rPr>
          <w:sz w:val="20"/>
          <w:szCs w:val="20"/>
        </w:rPr>
      </w:pPr>
      <w:r>
        <w:rPr>
          <w:sz w:val="20"/>
          <w:vertAlign w:val="superscript"/>
        </w:rPr>
        <w:t xml:space="preserve">2 </w:t>
      </w:r>
      <w:r>
        <w:rPr>
          <w:sz w:val="20"/>
        </w:rPr>
        <w:t>Βλ. παράγραφο 4.4.</w:t>
      </w:r>
    </w:p>
    <w:p w14:paraId="2155FAD7" w14:textId="77777777" w:rsidR="00951F81" w:rsidRDefault="00951F81" w:rsidP="00951F81">
      <w:pPr>
        <w:pStyle w:val="CommentText"/>
        <w:rPr>
          <w:sz w:val="22"/>
        </w:rPr>
      </w:pPr>
    </w:p>
    <w:p w14:paraId="2155FAD8" w14:textId="75B62E4B" w:rsidR="00951F81" w:rsidRDefault="007079D3" w:rsidP="00951F81">
      <w:r>
        <w:t>Σε μία συγκεντρωτική ανάλυση δεδομένων όλων των ελεγχόμενων με εικονικό φάρμακο μελετών φάσης ΙΙ και ΙΙΙ, παρουσιάστηκε γριπώδης συνδρομή με αδρό ποσοστό επίπτωσης 1,2% για τ</w:t>
      </w:r>
      <w:r w:rsidR="00D152B9">
        <w:t>η</w:t>
      </w:r>
      <w:r>
        <w:t xml:space="preserve"> </w:t>
      </w:r>
      <w:r w:rsidR="00A050CB">
        <w:t>δενοσουμάμπη</w:t>
      </w:r>
      <w:r>
        <w:t xml:space="preserve"> και 0,7% για το εικονικό φάρμακο. Παρότι η διαφορά αυτή εμφανίστηκε μόνο στη συγκεντρωτική ανάλυση, δεν εμφανίστηκε στη στρωματοποιημένη ανάλυση.</w:t>
      </w:r>
    </w:p>
    <w:p w14:paraId="2155FAD9" w14:textId="77777777" w:rsidR="00951F81" w:rsidRDefault="00951F81" w:rsidP="00951F81"/>
    <w:p w14:paraId="2155FADA" w14:textId="77777777" w:rsidR="00951F81" w:rsidRDefault="007079D3" w:rsidP="00951F81">
      <w:pPr>
        <w:keepNext/>
        <w:rPr>
          <w:u w:val="single"/>
        </w:rPr>
      </w:pPr>
      <w:r>
        <w:rPr>
          <w:u w:val="single"/>
        </w:rPr>
        <w:t>Περιγραφή επιλεγμένων ανεπιθύμητων ενεργειών</w:t>
      </w:r>
    </w:p>
    <w:p w14:paraId="2155FADB" w14:textId="77777777" w:rsidR="00951F81" w:rsidRDefault="00951F81" w:rsidP="00951F81">
      <w:pPr>
        <w:keepNext/>
      </w:pPr>
    </w:p>
    <w:p w14:paraId="2155FADC" w14:textId="77777777" w:rsidR="00951F81" w:rsidRDefault="007079D3" w:rsidP="00951F81">
      <w:pPr>
        <w:keepNext/>
        <w:tabs>
          <w:tab w:val="clear" w:pos="567"/>
        </w:tabs>
        <w:rPr>
          <w:i/>
          <w:iCs/>
        </w:rPr>
      </w:pPr>
      <w:r>
        <w:rPr>
          <w:i/>
        </w:rPr>
        <w:t>Υπασβεστιαιμία</w:t>
      </w:r>
    </w:p>
    <w:p w14:paraId="2155FADD" w14:textId="691ADD1E" w:rsidR="00951F81" w:rsidRDefault="007079D3" w:rsidP="00951F81">
      <w:r>
        <w:t xml:space="preserve">Σε δύο ελεγχόμενες με εικονικό φάρμακο κλινικές δοκιμές φάσης III σε μετεμμηνοπαυσιακές γυναίκες με οστεοπόρωση, περίπου 0,05% των ασθενών (2 στις 4.050) παρουσίασαν μείωση των επιπέδων ασβεστίου ορού (κάτω από 1,88 mmol/l) μετά από τη χορήγηση </w:t>
      </w:r>
      <w:r w:rsidR="00A050CB">
        <w:t>δενοσουμάμπη</w:t>
      </w:r>
      <w:r w:rsidR="00D152B9">
        <w:t>ς</w:t>
      </w:r>
      <w:r>
        <w:t>. Δεν αναφέρθηκε μείωση των επιπέδων ασβεστίου ορού (κάτω από 1,88 mmol/l) σε καμία από τις δύο ελεγχόμενες με εικονικό φάρμακο κλινικές δοκιμές φάσης III σε ασθενείς υπό ορμονικό αποκλεισμό ή στην ελεγχόμενη με εικονικό φάρμακο κλινική δοκιμή φάσης ΙΙΙ σε άνδρες με οστεοπόρωση.</w:t>
      </w:r>
    </w:p>
    <w:p w14:paraId="2155FADE" w14:textId="77777777" w:rsidR="006079AB" w:rsidRDefault="006079AB" w:rsidP="00951F81"/>
    <w:p w14:paraId="2155FADF" w14:textId="0339F0D5" w:rsidR="00951F81" w:rsidRDefault="007079D3" w:rsidP="00951F81">
      <w:r>
        <w:t xml:space="preserve">Στην περίοδο μετά την κυκλοφορία, σπάνιες περιπτώσεις σοβαρής συμπτωματικής υπασβεστιαιμίας με αποτέλεσμα εισαγωγή στο νοσοκομείο, συμβάντα απειλητικά για τη ζωή και θανατηφόρα περιστατικά έχουν αναφερθεί, κυρίως σε ασθενείς υψηλού κινδύνου για υπασβεστιαιμία που έλαβαν </w:t>
      </w:r>
      <w:r w:rsidR="00A050CB">
        <w:t>δενοσουμάμπη</w:t>
      </w:r>
      <w:r>
        <w:t xml:space="preserve">, με τα περισσότερα περιστατικά να συμβαίνουν τις πρώτες εβδομάδες από την έναρξη της θεραπείας. Παραδείγματα των κλινικών εκδηλώσεων της σοβαρής συμπτωματικής υπασβεστιαιμίας έχουν συμπεριλάβει παράταση του διαστήματος QT, τετανία, επιληπτικές κρίσεις και μεταβληθείσα νοητική κατάσταση (βλ. παράγραφο 4.4). Τα συμπτώματα της υπασβεστιαιμίας σε κλινικές μελέτες με </w:t>
      </w:r>
      <w:r w:rsidR="00A050CB">
        <w:t>δενοσουμάμπη</w:t>
      </w:r>
      <w:r>
        <w:t xml:space="preserve"> </w:t>
      </w:r>
      <w:r w:rsidR="00791027">
        <w:t>περιλάμβαναν</w:t>
      </w:r>
      <w:r>
        <w:t xml:space="preserve"> παραισθησίες ή </w:t>
      </w:r>
      <w:r w:rsidR="00791027">
        <w:t>δυσκαμψία</w:t>
      </w:r>
      <w:r w:rsidR="00791027" w:rsidRPr="00A87138">
        <w:t xml:space="preserve"> </w:t>
      </w:r>
      <w:r w:rsidR="00791027">
        <w:t>μυών</w:t>
      </w:r>
      <w:r w:rsidR="00791027" w:rsidRPr="00212E9A">
        <w:t xml:space="preserve">, </w:t>
      </w:r>
      <w:r w:rsidR="00791027">
        <w:t>σύσπαση</w:t>
      </w:r>
      <w:r>
        <w:t>, σπασμούς και μυϊκές κράμπες.</w:t>
      </w:r>
    </w:p>
    <w:p w14:paraId="2155FAE0" w14:textId="77777777" w:rsidR="00951F81" w:rsidRDefault="00951F81" w:rsidP="00951F81"/>
    <w:p w14:paraId="2155FAE1" w14:textId="77777777" w:rsidR="00951F81" w:rsidRDefault="007079D3" w:rsidP="00951F81">
      <w:pPr>
        <w:keepNext/>
        <w:tabs>
          <w:tab w:val="clear" w:pos="567"/>
        </w:tabs>
        <w:rPr>
          <w:i/>
          <w:iCs/>
        </w:rPr>
      </w:pPr>
      <w:r>
        <w:rPr>
          <w:i/>
        </w:rPr>
        <w:t>Δερματικές λοιμώξεις</w:t>
      </w:r>
    </w:p>
    <w:p w14:paraId="2155FAE2" w14:textId="599432EB" w:rsidR="00951F81" w:rsidRDefault="007079D3" w:rsidP="00951F81">
      <w:r>
        <w:t>Σε ελεγχόμενες με εικονικό φάρμακο κλινικές δοκιμές φάσης III, η συνολική συχνότητα εμφάνισης των δερματικών λοιμώξεων ήταν παρόμοια στην ομάδα του εικονικού φαρμάκου και τ</w:t>
      </w:r>
      <w:r w:rsidR="00D152B9">
        <w:t>ης</w:t>
      </w:r>
      <w:r>
        <w:t xml:space="preserve"> </w:t>
      </w:r>
      <w:r w:rsidR="00A050CB">
        <w:t>δενοσουμάμπη</w:t>
      </w:r>
      <w:r w:rsidR="00D152B9">
        <w:t>ς</w:t>
      </w:r>
      <w:r>
        <w:t xml:space="preserve"> σε μετεμμηνοπαυσιακές γυναίκες με οστεοπόρωση (εικονικό φάρμακο [1,2%, 50 στις 4.041 γυναίκες] έναντι </w:t>
      </w:r>
      <w:r w:rsidR="00A050CB">
        <w:t>δενοσουμάμπη</w:t>
      </w:r>
      <w:r w:rsidR="00D152B9">
        <w:t>ς</w:t>
      </w:r>
      <w:r w:rsidR="0055138B" w:rsidRPr="0055138B">
        <w:t xml:space="preserve"> </w:t>
      </w:r>
      <w:r>
        <w:t xml:space="preserve">[1,5%, 59 στις 4.050 γυναίκες]), σε άνδρες με οστεοπόρωση (εικονικό φάρμακο [0,8%, 1 στους 120 άνδρες] έναντι </w:t>
      </w:r>
      <w:r w:rsidR="00A050CB">
        <w:t>δενοσουμάμπη</w:t>
      </w:r>
      <w:r w:rsidR="00D152B9">
        <w:t>ς</w:t>
      </w:r>
      <w:r w:rsidR="0055138B" w:rsidRPr="0055138B">
        <w:t xml:space="preserve"> </w:t>
      </w:r>
      <w:r>
        <w:t xml:space="preserve">[0%, 0 στους 120 άνδρες]), σε ασθενείς με καρκίνο του μαστού ή του προστάτη υπό ορμονικό αποκλεισμό (εικονικό φάρμακο [1,7%, 14 στους 845 ασθενείς] έναντι </w:t>
      </w:r>
      <w:r w:rsidR="00A050CB">
        <w:t>δενοσουμάμπη</w:t>
      </w:r>
      <w:r w:rsidR="00D152B9">
        <w:t>ς</w:t>
      </w:r>
      <w:r w:rsidR="0055138B" w:rsidRPr="0055138B">
        <w:t xml:space="preserve"> </w:t>
      </w:r>
      <w:r>
        <w:t xml:space="preserve">[1,4%, 12 στους 860 ασθενείς]). Δερματικές λοιμώξεις που οδήγησαν σε εισαγωγή στο νοσοκομείο αναφέρθηκαν στο 0,1% των μετεμμηνοπαυσιακών γυναικών με οστεοπόρωση που έλαβαν εικονικό φάρμακο (3 στις 4.041) έναντι 0,4% των γυναικών που έλαβαν </w:t>
      </w:r>
      <w:r w:rsidR="00A050CB">
        <w:t>δενοσουμάμπη</w:t>
      </w:r>
      <w:r w:rsidR="0055138B" w:rsidRPr="0055138B">
        <w:t xml:space="preserve"> </w:t>
      </w:r>
      <w:r>
        <w:t>(16 στις 4.050). Αυτά τα περιστατικά ήταν κατά κύριο λόγο κυτταρίτιδα. Οι δερματικές λοιμώξεις που αναφέρθηκαν ως σοβαρές ανεπιθύμητες ενέργειες ήταν παρόμοιες στην ομάδα του εικονικού φαρμάκου (0,6%, 5 στους 845) και την ομάδα τ</w:t>
      </w:r>
      <w:r w:rsidR="0023078C">
        <w:rPr>
          <w:lang w:val="en-US"/>
        </w:rPr>
        <w:t>hw</w:t>
      </w:r>
      <w:r>
        <w:t xml:space="preserve"> </w:t>
      </w:r>
      <w:r w:rsidR="00A050CB">
        <w:t>δενοσουμάμπη</w:t>
      </w:r>
      <w:r w:rsidR="0023078C">
        <w:rPr>
          <w:lang w:val="en-US"/>
        </w:rPr>
        <w:t>w</w:t>
      </w:r>
      <w:r w:rsidR="0055138B" w:rsidRPr="0055138B">
        <w:t xml:space="preserve"> </w:t>
      </w:r>
      <w:r>
        <w:t>(0,6%, 5 στους 860) στις μελέτες που πραγματοποιήθηκαν σε ασθενείς με καρκίνο του μαστού και του προστάτη.</w:t>
      </w:r>
    </w:p>
    <w:p w14:paraId="2155FAE3" w14:textId="77777777" w:rsidR="00951F81" w:rsidRDefault="00951F81" w:rsidP="00951F81"/>
    <w:p w14:paraId="2155FAE4" w14:textId="77777777" w:rsidR="00951F81" w:rsidRDefault="007079D3" w:rsidP="00951F81">
      <w:pPr>
        <w:keepNext/>
        <w:tabs>
          <w:tab w:val="clear" w:pos="567"/>
        </w:tabs>
        <w:rPr>
          <w:i/>
          <w:iCs/>
        </w:rPr>
      </w:pPr>
      <w:r>
        <w:rPr>
          <w:i/>
        </w:rPr>
        <w:t>Οστεονέκρωση της γνάθου</w:t>
      </w:r>
    </w:p>
    <w:p w14:paraId="2155FAE5" w14:textId="08850B08" w:rsidR="00951F81" w:rsidRDefault="007079D3" w:rsidP="00951F81">
      <w:r>
        <w:t xml:space="preserve">ΟΝΓ αναφέρθηκε σπάνια, σε 16 ασθενείς, σε κλινικές δοκιμές σε ασθενείς με οστεοπόρωση και σε ασθενείς με καρκίνο του μαστού ή του προστάτη υπό ορμονικό αποκλεισμό συμπεριλαμβανομένων συνολικά 23.148 ασθενών (βλ. παράγραφο 4.4). Δεκατρία από τα περιστατικά αυτά με ΟΝΓ εμφανίστηκαν σε μετεμμηνοπαυσιακές γυναίκες με οστεοπόρωση κατά τη διάρκεια της φάσης ΙΙΙ </w:t>
      </w:r>
      <w:r w:rsidR="00791027">
        <w:t xml:space="preserve">δοκιμής </w:t>
      </w:r>
      <w:r>
        <w:t xml:space="preserve">επέκτασης έπειτα από θεραπεία με </w:t>
      </w:r>
      <w:r w:rsidR="00A050CB">
        <w:t>δενοσουμάμπη</w:t>
      </w:r>
      <w:r>
        <w:t xml:space="preserve"> έως και 10 έτη. Η συχνότητα εμφάνισης της ΟΝΓ ήταν 0,04% στα 3 έτη, 0,06% στα 5 έτη και 0,44% στα 10 έτη θεραπείας με </w:t>
      </w:r>
      <w:r w:rsidR="00A050CB">
        <w:t>δενοσουμάμπη</w:t>
      </w:r>
      <w:r>
        <w:t xml:space="preserve">. Ο κίνδυνος της ΟΝΓ αυξάνεται με τη διάρκεια της έκθεσης </w:t>
      </w:r>
      <w:r w:rsidR="00D152B9">
        <w:t xml:space="preserve">στη </w:t>
      </w:r>
      <w:r w:rsidR="00A050CB">
        <w:t>δενοσουμάμπη</w:t>
      </w:r>
      <w:r>
        <w:t>.</w:t>
      </w:r>
    </w:p>
    <w:p w14:paraId="2155FAE6" w14:textId="77777777" w:rsidR="00D67D34" w:rsidRDefault="00D67D34" w:rsidP="00951F81"/>
    <w:p w14:paraId="2155FAE7" w14:textId="0794FE89" w:rsidR="004D1912" w:rsidRDefault="007079D3" w:rsidP="0011244A">
      <w:pPr>
        <w:rPr>
          <w:i/>
          <w:iCs/>
          <w:color w:val="000000"/>
        </w:rPr>
      </w:pPr>
      <w:r>
        <w:t xml:space="preserve">Ο κίνδυνος της ΟΝΓ αξιολογήθηκε επίσης στο πλαίσιο αναδρομικής μελέτης κοόρτης μεταξύ 76.192 μετεμμηνοπαυσιακών γυναικών που είχαν αρχίσει πρόσφατα θεραπεία με </w:t>
      </w:r>
      <w:r w:rsidR="00A050CB">
        <w:t>δενοσουμάμπη</w:t>
      </w:r>
      <w:r>
        <w:t xml:space="preserve">. Η συχνότητα εμφάνισης της ΟΝΓ ήταν 0,32% (95% διάστημα εμπιστοσύνης [CI]: 0,26, 0,39) μεταξύ των ασθενών που είχαν λάβει </w:t>
      </w:r>
      <w:r w:rsidR="00A050CB">
        <w:t>δενοσουμάμπη</w:t>
      </w:r>
      <w:r>
        <w:t xml:space="preserve"> για διάστημα έως και 3 έτη και 0,51% (95% CI: 0,39, 0,65) μεταξύ των ασθενών που είχαν λάβει </w:t>
      </w:r>
      <w:r w:rsidR="00A050CB">
        <w:t>δενοσουμάμπη</w:t>
      </w:r>
      <w:r>
        <w:t xml:space="preserve"> για διάστημα έως και 5 έτη παρακολούθησης.</w:t>
      </w:r>
    </w:p>
    <w:p w14:paraId="2155FAE8" w14:textId="77777777" w:rsidR="00951F81" w:rsidRDefault="00951F81" w:rsidP="00C83FAB"/>
    <w:p w14:paraId="2155FAE9" w14:textId="77777777" w:rsidR="00951F81" w:rsidRDefault="007079D3" w:rsidP="00C83FAB">
      <w:pPr>
        <w:keepNext/>
        <w:tabs>
          <w:tab w:val="clear" w:pos="567"/>
        </w:tabs>
        <w:rPr>
          <w:i/>
          <w:iCs/>
        </w:rPr>
      </w:pPr>
      <w:r>
        <w:rPr>
          <w:i/>
        </w:rPr>
        <w:t>Άτυπα κατάγματα του μηριαίου οστού</w:t>
      </w:r>
    </w:p>
    <w:p w14:paraId="2155FAEA" w14:textId="79F585AA" w:rsidR="00951F81" w:rsidRDefault="007079D3" w:rsidP="00C83FAB">
      <w:r>
        <w:t xml:space="preserve">Στο κλινικό πρόγραμμα της οστεοπόρωσης, άτυπα κατάγματα του μηριαίου οστού έχουν σπάνια αναφερθεί σε ασθενείς που έλαβαν θεραπεία με </w:t>
      </w:r>
      <w:r w:rsidR="00A050CB">
        <w:t>δενοσουμάμπη</w:t>
      </w:r>
      <w:r>
        <w:t xml:space="preserve"> (βλ. παράγραφο 4.4).</w:t>
      </w:r>
    </w:p>
    <w:p w14:paraId="2155FAEB" w14:textId="77777777" w:rsidR="00951F81" w:rsidRDefault="00951F81" w:rsidP="00951F81"/>
    <w:p w14:paraId="2155FAEC" w14:textId="77777777" w:rsidR="00951F81" w:rsidRDefault="007079D3" w:rsidP="00951F81">
      <w:pPr>
        <w:keepNext/>
        <w:tabs>
          <w:tab w:val="clear" w:pos="567"/>
        </w:tabs>
        <w:rPr>
          <w:i/>
          <w:iCs/>
        </w:rPr>
      </w:pPr>
      <w:r>
        <w:rPr>
          <w:i/>
        </w:rPr>
        <w:t>Εκκολπωματίτιδα</w:t>
      </w:r>
    </w:p>
    <w:p w14:paraId="2155FAED" w14:textId="6B3DF1F6" w:rsidR="00951F81" w:rsidRDefault="007079D3" w:rsidP="00951F81">
      <w:r>
        <w:t xml:space="preserve">Σε μία ελεγχόμενη με εικονικό φάρμακο κλινική δοκιμή φάσης III που πραγματοποιήθηκε σε ασθενείς με καρκίνο του προστάτη που λάμβαναν θεραπεία στέρησης ανδρογόνων (ADT), παρατηρήθηκε δυσαναλογία στις ανεπιθύμητες ενέργειες που αφορούσαν την εμφάνιση εκκολπωματίτιδας (1,2% με </w:t>
      </w:r>
      <w:r w:rsidR="00D152B9">
        <w:t xml:space="preserve">τη </w:t>
      </w:r>
      <w:r w:rsidR="00A050CB">
        <w:t>δενοσουμάμπη</w:t>
      </w:r>
      <w:r>
        <w:t>, 0% με το εικονικό φάρμακο). Η συχνότητα εμφάνισης της εκκολπωματίτιδας ήταν συγκρίσιμη μεταξύ των ομάδων θεραπείας σε μετεμμηνοπαυσιακές γυναίκες ή άνδρες με οστεοπόρωση και σε γυναίκες που υποβάλλονταν σε θεραπεία με αναστολείς αρωματάσης για μη μεταστατικό καρκίνο του μαστού.</w:t>
      </w:r>
    </w:p>
    <w:p w14:paraId="2155FAEE" w14:textId="77777777" w:rsidR="00951F81" w:rsidRDefault="00951F81" w:rsidP="00951F81"/>
    <w:p w14:paraId="2155FAEF" w14:textId="77777777" w:rsidR="00951F81" w:rsidRDefault="007079D3" w:rsidP="00951F81">
      <w:pPr>
        <w:keepNext/>
        <w:tabs>
          <w:tab w:val="clear" w:pos="567"/>
        </w:tabs>
        <w:rPr>
          <w:i/>
          <w:iCs/>
        </w:rPr>
      </w:pPr>
      <w:r>
        <w:rPr>
          <w:i/>
        </w:rPr>
        <w:t>Σχετιζόμενες με το φάρμακο αντιδράσεις υπερευαισθησίας</w:t>
      </w:r>
    </w:p>
    <w:p w14:paraId="2155FAF0" w14:textId="1B3E9C04" w:rsidR="00951F81" w:rsidRDefault="007079D3" w:rsidP="00951F81">
      <w:r>
        <w:t xml:space="preserve">Στο μετεγκριτικό περιβάλλον, σπάνιες περιπτώσεις σχετιζόμενης με το φάρμακο υπερευαισθησίας, συμπεριλαμβανομένων του εξανθήματος, της κνίδωσης, </w:t>
      </w:r>
      <w:r w:rsidR="00791027">
        <w:t>διόγκωση</w:t>
      </w:r>
      <w:r>
        <w:t xml:space="preserve"> του προσώπου, του ερυθήματος, και των αναφυλακτικών αντιδράσεων έχουν αναφερθεί σε ασθενείς που λαμβάνουν τ</w:t>
      </w:r>
      <w:r w:rsidR="0023078C">
        <w:t>η</w:t>
      </w:r>
      <w:r>
        <w:t xml:space="preserve"> </w:t>
      </w:r>
      <w:r w:rsidR="00A050CB">
        <w:t>δενοσουμάμπη</w:t>
      </w:r>
      <w:r>
        <w:t>.</w:t>
      </w:r>
    </w:p>
    <w:p w14:paraId="2155FAF1" w14:textId="77777777" w:rsidR="00951F81" w:rsidRDefault="00951F81" w:rsidP="00951F81"/>
    <w:p w14:paraId="2155FAF2" w14:textId="4BF3F7E1" w:rsidR="00951F81" w:rsidRDefault="007079D3" w:rsidP="00951F81">
      <w:pPr>
        <w:keepNext/>
        <w:tabs>
          <w:tab w:val="clear" w:pos="567"/>
        </w:tabs>
        <w:rPr>
          <w:i/>
          <w:iCs/>
        </w:rPr>
      </w:pPr>
      <w:r>
        <w:rPr>
          <w:i/>
        </w:rPr>
        <w:t>Μυοσκελετικό</w:t>
      </w:r>
      <w:r w:rsidR="00791027">
        <w:rPr>
          <w:i/>
        </w:rPr>
        <w:t xml:space="preserve"> άλγος</w:t>
      </w:r>
    </w:p>
    <w:p w14:paraId="2155FAF3" w14:textId="5F823669" w:rsidR="00951F81" w:rsidRDefault="007079D3" w:rsidP="00951F81">
      <w:r>
        <w:t>Μυοσκελετικό</w:t>
      </w:r>
      <w:r w:rsidR="00791027">
        <w:t xml:space="preserve"> άλγος</w:t>
      </w:r>
      <w:r>
        <w:t xml:space="preserve">, συμπεριλαμβανομένων σοβαρών περιστατικών, έχει αναφερθεί σε ασθενείς που έλαβαν </w:t>
      </w:r>
      <w:r w:rsidR="00A050CB" w:rsidRPr="00112B35">
        <w:t>δενοσουμάμπη</w:t>
      </w:r>
      <w:r>
        <w:t xml:space="preserve"> στην περίοδο μετά την κυκλοφορία του. Σε κλινικές δοκιμές, </w:t>
      </w:r>
      <w:r w:rsidR="00791027">
        <w:t>το μυοσκελετικό άλγος</w:t>
      </w:r>
      <w:r>
        <w:t xml:space="preserve"> ήταν πολύ συχνό τόσο στην ομάδα τ</w:t>
      </w:r>
      <w:r w:rsidR="0023078C">
        <w:t>ης</w:t>
      </w:r>
      <w:r>
        <w:t xml:space="preserve"> </w:t>
      </w:r>
      <w:r w:rsidR="00A050CB">
        <w:t>δενοσουμάμπη</w:t>
      </w:r>
      <w:r>
        <w:t xml:space="preserve"> όσο και του εικονικού φαρμάκου. </w:t>
      </w:r>
      <w:r w:rsidR="00791027">
        <w:t xml:space="preserve">Μυοσκελετικό άλγος </w:t>
      </w:r>
      <w:r>
        <w:t>που οδηγεί σε διακοπή της υπό μελέτη θεραπείας ήταν όχι συχνός.</w:t>
      </w:r>
    </w:p>
    <w:p w14:paraId="2155FAF4" w14:textId="77777777" w:rsidR="00951F81" w:rsidRDefault="00951F81" w:rsidP="00951F81"/>
    <w:p w14:paraId="2155FAF5" w14:textId="77777777" w:rsidR="00951F81" w:rsidRDefault="007079D3" w:rsidP="00951F81">
      <w:pPr>
        <w:keepNext/>
        <w:tabs>
          <w:tab w:val="clear" w:pos="567"/>
        </w:tabs>
        <w:rPr>
          <w:i/>
          <w:iCs/>
        </w:rPr>
      </w:pPr>
      <w:r>
        <w:rPr>
          <w:i/>
        </w:rPr>
        <w:t>Λειχηνοειδή φαρμακευτικά εξανθήματα</w:t>
      </w:r>
    </w:p>
    <w:p w14:paraId="2155FAF6" w14:textId="77777777" w:rsidR="00951F81" w:rsidRDefault="007079D3" w:rsidP="00951F81">
      <w:r>
        <w:t>Έχουν αναφερθεί λειχηνοειδή φαρμακευτικά εξανθήματα (π.χ. αντιδράσεις με εικόνα ομαλού λειχήνα) σε ασθενείς στην περίοδο μετά την κυκλοφορία του φαρμάκου.</w:t>
      </w:r>
    </w:p>
    <w:p w14:paraId="2155FAF7" w14:textId="77777777" w:rsidR="00951F81" w:rsidRDefault="00951F81" w:rsidP="00951F81"/>
    <w:p w14:paraId="2155FAF8" w14:textId="77777777" w:rsidR="00951F81" w:rsidRDefault="007079D3" w:rsidP="00951F81">
      <w:pPr>
        <w:keepNext/>
        <w:rPr>
          <w:u w:val="single"/>
        </w:rPr>
      </w:pPr>
      <w:r>
        <w:rPr>
          <w:u w:val="single"/>
        </w:rPr>
        <w:t>Άλλοι ειδικοί πληθυσμοί</w:t>
      </w:r>
    </w:p>
    <w:p w14:paraId="2155FAF9" w14:textId="77777777" w:rsidR="00951F81" w:rsidRDefault="00951F81" w:rsidP="00951F81">
      <w:pPr>
        <w:keepNext/>
      </w:pPr>
    </w:p>
    <w:p w14:paraId="2155FAFA" w14:textId="77777777" w:rsidR="00951F81" w:rsidRDefault="007079D3" w:rsidP="00951F81">
      <w:pPr>
        <w:keepNext/>
        <w:rPr>
          <w:i/>
          <w:iCs/>
        </w:rPr>
      </w:pPr>
      <w:r>
        <w:rPr>
          <w:i/>
        </w:rPr>
        <w:t>Παιδιατρικός πληθυσμός</w:t>
      </w:r>
    </w:p>
    <w:p w14:paraId="2155FAFB" w14:textId="77777777" w:rsidR="00951F81" w:rsidRDefault="007079D3" w:rsidP="00951F81">
      <w:r>
        <w:t xml:space="preserve">Το </w:t>
      </w:r>
      <w:r w:rsidR="0055138B">
        <w:t>Kefdensis</w:t>
      </w:r>
      <w:r w:rsidR="0055138B" w:rsidRPr="00FB6B74">
        <w:t xml:space="preserve"> </w:t>
      </w:r>
      <w:r>
        <w:t>δεν θα πρέπει να χρησιμοποιείται σε παιδιατρικούς ασθενείς (ηλικίας &lt; 18). Έχει αναφερθεί σοβαρή υπερασβεστιαιμία (βλ. παράγραφο 5.1). Σε ορισμένα περιστατικά κλινικών δοκιμών εμφανίστηκαν επιπλοκές λόγω οξείας νεφρικής βλάβης.</w:t>
      </w:r>
    </w:p>
    <w:p w14:paraId="2155FAFC" w14:textId="77777777" w:rsidR="00951F81" w:rsidRDefault="00951F81" w:rsidP="00951F81">
      <w:pPr>
        <w:keepNext/>
      </w:pPr>
    </w:p>
    <w:p w14:paraId="2155FAFD" w14:textId="77777777" w:rsidR="00951F81" w:rsidRDefault="007079D3" w:rsidP="00951F81">
      <w:pPr>
        <w:keepNext/>
        <w:tabs>
          <w:tab w:val="clear" w:pos="567"/>
        </w:tabs>
        <w:rPr>
          <w:i/>
          <w:iCs/>
        </w:rPr>
      </w:pPr>
      <w:r>
        <w:rPr>
          <w:i/>
        </w:rPr>
        <w:t>Νεφρική δυσλειτουργία</w:t>
      </w:r>
    </w:p>
    <w:p w14:paraId="2155FAFE" w14:textId="77777777" w:rsidR="00951F81" w:rsidRDefault="007079D3" w:rsidP="00951F81">
      <w:r>
        <w:t>Σε κλινικές μελέτες, οι ασθενείς με σοβαρή νεφρική δυσλειτουργία (κάθαρση κρεατινίνης &lt; 30 ml/min ή αυτοί που υποβάλλονταν σε εξωνεφρική κάθαρση, διέτρεχαν μεγαλύτερο κίνδυνο υπασβεστιαιμίας αν δεν λάμβαναν συμπληρώματα ασβεστίου. Η επαρκής πρόσληψη ασβεστίου και βιταμίνης D είναι σημαντική σε ασθενείς με σοβαρή νεφρική δυσλειτουργία ή σε ασθενείς που υποβάλλονται σε εξωνεφρική κάθαρση (βλ. παράγραφο 4.4).</w:t>
      </w:r>
    </w:p>
    <w:p w14:paraId="2155FAFF" w14:textId="77777777" w:rsidR="00951F81" w:rsidRDefault="00951F81" w:rsidP="00951F81"/>
    <w:p w14:paraId="2155FB00" w14:textId="77777777" w:rsidR="00951F81" w:rsidRDefault="007079D3" w:rsidP="00951F81">
      <w:pPr>
        <w:keepNext/>
        <w:rPr>
          <w:u w:val="single"/>
        </w:rPr>
      </w:pPr>
      <w:r>
        <w:rPr>
          <w:u w:val="single"/>
        </w:rPr>
        <w:t>Αναφορά πιθανολογούμενων ανεπιθύμητων ενεργειών</w:t>
      </w:r>
    </w:p>
    <w:p w14:paraId="2155FB01" w14:textId="77777777" w:rsidR="00951F81" w:rsidRDefault="00951F81" w:rsidP="00951F81">
      <w:pPr>
        <w:keepNext/>
        <w:tabs>
          <w:tab w:val="clear" w:pos="567"/>
        </w:tabs>
        <w:autoSpaceDE w:val="0"/>
        <w:autoSpaceDN w:val="0"/>
        <w:adjustRightInd w:val="0"/>
        <w:rPr>
          <w:u w:val="single"/>
          <w:lang w:eastAsia="en-GB"/>
        </w:rPr>
      </w:pPr>
    </w:p>
    <w:p w14:paraId="2155FB02" w14:textId="77777777" w:rsidR="00951F81" w:rsidRDefault="007079D3" w:rsidP="00951F81">
      <w: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noBreakHyphen/>
        <w:t>κινδύνου του φαρμακευτικού προϊόντος. Ζητείται από τους επαγγελματίες υγείας να αναφέρουν οποιεσδήποτε πιθανολογούμενες ανεπιθύμητες ενέργειες μέσω</w:t>
      </w:r>
      <w:r w:rsidRPr="00AE7565">
        <w:t xml:space="preserve"> </w:t>
      </w:r>
      <w:r>
        <w:rPr>
          <w:highlight w:val="lightGray"/>
        </w:rPr>
        <w:t xml:space="preserve">του εθνικού συστήματος αναφοράς που αναγράφεται στο </w:t>
      </w:r>
      <w:hyperlink r:id="rId14" w:history="1">
        <w:r w:rsidR="00951F81">
          <w:rPr>
            <w:rStyle w:val="Hyperlink"/>
            <w:highlight w:val="lightGray"/>
          </w:rPr>
          <w:t>Παράρτημα V</w:t>
        </w:r>
      </w:hyperlink>
      <w:r>
        <w:t>.</w:t>
      </w:r>
    </w:p>
    <w:p w14:paraId="2155FB03" w14:textId="77777777" w:rsidR="00951F81" w:rsidRDefault="00951F81" w:rsidP="00951F81"/>
    <w:p w14:paraId="2155FB04" w14:textId="77777777" w:rsidR="00951F81" w:rsidRDefault="007079D3" w:rsidP="00951F81">
      <w:pPr>
        <w:keepNext/>
        <w:ind w:left="567" w:hanging="567"/>
        <w:rPr>
          <w:b/>
        </w:rPr>
      </w:pPr>
      <w:r>
        <w:rPr>
          <w:b/>
        </w:rPr>
        <w:t>4.9</w:t>
      </w:r>
      <w:r>
        <w:rPr>
          <w:b/>
        </w:rPr>
        <w:tab/>
        <w:t>Υπερδοσολογία</w:t>
      </w:r>
    </w:p>
    <w:p w14:paraId="2155FB05" w14:textId="77777777" w:rsidR="00951F81" w:rsidRDefault="00951F81" w:rsidP="00951F81">
      <w:pPr>
        <w:keepNext/>
      </w:pPr>
    </w:p>
    <w:p w14:paraId="2155FB06" w14:textId="2102E037" w:rsidR="00951F81" w:rsidRDefault="007079D3" w:rsidP="00951F81">
      <w:r>
        <w:t xml:space="preserve">Δεν υπάρχει εμπειρία με υπερδοσολογία σε κλινικές μελέτες. </w:t>
      </w:r>
      <w:r w:rsidR="00D152B9">
        <w:t xml:space="preserve">Η </w:t>
      </w:r>
      <w:r w:rsidR="00A050CB">
        <w:t>δενοσουμάμπη</w:t>
      </w:r>
      <w:r>
        <w:t xml:space="preserve"> έχει χορηγηθεί σε κλινικές μελέτες χρησιμοποιώντας δόσεις έως 180 mg κάθε 4 εβδομάδες (αθροιστικές δόσεις έως 1.080 mg σε διάστημα 6 μηνών) και δεν παρατηρήθηκαν επιπλέον ανεπιθύμητες ενέργειες.</w:t>
      </w:r>
    </w:p>
    <w:p w14:paraId="2155FB07" w14:textId="77777777" w:rsidR="00951F81" w:rsidRDefault="00951F81" w:rsidP="00951F81"/>
    <w:p w14:paraId="2155FB08" w14:textId="77777777" w:rsidR="00951F81" w:rsidRDefault="00951F81" w:rsidP="00951F81"/>
    <w:p w14:paraId="2155FB09" w14:textId="77777777" w:rsidR="00951F81" w:rsidRDefault="007079D3" w:rsidP="00951F81">
      <w:pPr>
        <w:keepNext/>
        <w:ind w:left="567" w:hanging="567"/>
        <w:rPr>
          <w:b/>
        </w:rPr>
      </w:pPr>
      <w:r>
        <w:rPr>
          <w:b/>
        </w:rPr>
        <w:t>5.</w:t>
      </w:r>
      <w:r>
        <w:rPr>
          <w:b/>
        </w:rPr>
        <w:tab/>
        <w:t>ΦΑΡΜΑΚΟΛΟΓΙΚΕΣ ΙΔΙΟΤΗΤΕΣ</w:t>
      </w:r>
    </w:p>
    <w:p w14:paraId="2155FB0A" w14:textId="77777777" w:rsidR="00951F81" w:rsidRDefault="00951F81" w:rsidP="00951F81">
      <w:pPr>
        <w:keepNext/>
      </w:pPr>
    </w:p>
    <w:p w14:paraId="2155FB0B" w14:textId="77777777" w:rsidR="00951F81" w:rsidRDefault="007079D3" w:rsidP="00951F81">
      <w:pPr>
        <w:keepNext/>
        <w:ind w:left="567" w:hanging="567"/>
        <w:rPr>
          <w:b/>
        </w:rPr>
      </w:pPr>
      <w:r>
        <w:rPr>
          <w:b/>
        </w:rPr>
        <w:t>5.1</w:t>
      </w:r>
      <w:r>
        <w:rPr>
          <w:b/>
        </w:rPr>
        <w:tab/>
        <w:t>Φαρμακοδυναμικές ιδιότητες</w:t>
      </w:r>
    </w:p>
    <w:p w14:paraId="2155FB0C" w14:textId="77777777" w:rsidR="00951F81" w:rsidRDefault="00951F81" w:rsidP="00951F81">
      <w:pPr>
        <w:keepNext/>
      </w:pPr>
    </w:p>
    <w:p w14:paraId="2155FB0D" w14:textId="77777777" w:rsidR="00951F81" w:rsidRPr="00BB4DA7" w:rsidRDefault="007079D3" w:rsidP="00951F81">
      <w:r>
        <w:t>Φαρμακοθεραπευτική κατηγορία: Φάρμακα για θεραπεία παθήσεων των οστών - Άλλα φάρμακα με δράση στο μεταβολισμό των οστών, κωδικός ATC: Μ05ΒΧ04</w:t>
      </w:r>
    </w:p>
    <w:p w14:paraId="2155FB0E" w14:textId="77777777" w:rsidR="0055138B" w:rsidRPr="00BB4DA7" w:rsidRDefault="0055138B" w:rsidP="0055138B">
      <w:pPr>
        <w:pStyle w:val="CommentText"/>
        <w:jc w:val="both"/>
        <w:rPr>
          <w:sz w:val="22"/>
        </w:rPr>
      </w:pPr>
    </w:p>
    <w:p w14:paraId="2155FB0F" w14:textId="4AABEB91" w:rsidR="0055138B" w:rsidRPr="0055138B" w:rsidRDefault="007079D3" w:rsidP="00BB4DA7">
      <w:pPr>
        <w:pStyle w:val="CommentText"/>
        <w:jc w:val="both"/>
      </w:pPr>
      <w:r w:rsidRPr="00BB4DA7">
        <w:rPr>
          <w:sz w:val="22"/>
        </w:rPr>
        <w:t xml:space="preserve">Το </w:t>
      </w:r>
      <w:r w:rsidRPr="00BB4DA7">
        <w:rPr>
          <w:sz w:val="22"/>
          <w:lang w:val="en-US"/>
        </w:rPr>
        <w:t>Kefdensis</w:t>
      </w:r>
      <w:r w:rsidR="00BB4DA7" w:rsidRPr="00BB4DA7">
        <w:rPr>
          <w:sz w:val="22"/>
        </w:rPr>
        <w:t xml:space="preserve"> </w:t>
      </w:r>
      <w:r w:rsidRPr="00C21A59">
        <w:rPr>
          <w:sz w:val="22"/>
        </w:rPr>
        <w:t xml:space="preserve">είναι </w:t>
      </w:r>
      <w:r w:rsidR="00BB4DA7" w:rsidRPr="00C21A59">
        <w:rPr>
          <w:sz w:val="22"/>
        </w:rPr>
        <w:t xml:space="preserve">ένα </w:t>
      </w:r>
      <w:r w:rsidR="00A92C8A" w:rsidRPr="002D7CCB">
        <w:rPr>
          <w:sz w:val="22"/>
        </w:rPr>
        <w:t xml:space="preserve"> βιοομοειδές</w:t>
      </w:r>
      <w:r w:rsidR="00BB4DA7" w:rsidRPr="00BB4DA7">
        <w:rPr>
          <w:sz w:val="22"/>
        </w:rPr>
        <w:t xml:space="preserve"> φαρμακευτικό προϊόν. Λεπτομερείς πληροφορίες διατίθενται στον δικτυακό τόπο του Ευρωπαϊκού Οργανισμού Φαρμάκων </w:t>
      </w:r>
      <w:hyperlink r:id="rId15" w:history="1">
        <w:r w:rsidR="00BB4DA7" w:rsidRPr="00C9070B">
          <w:rPr>
            <w:rStyle w:val="Hyperlink"/>
            <w:sz w:val="22"/>
          </w:rPr>
          <w:t>https://www.ema.europa.eu</w:t>
        </w:r>
      </w:hyperlink>
      <w:r w:rsidR="00BB4DA7" w:rsidRPr="00BB4DA7">
        <w:rPr>
          <w:sz w:val="22"/>
        </w:rPr>
        <w:t>.</w:t>
      </w:r>
    </w:p>
    <w:p w14:paraId="2155FB10" w14:textId="77777777" w:rsidR="00951F81" w:rsidRDefault="00951F81" w:rsidP="00951F81"/>
    <w:p w14:paraId="2155FB11" w14:textId="77777777" w:rsidR="00951F81" w:rsidRDefault="007079D3" w:rsidP="00951F81">
      <w:pPr>
        <w:keepNext/>
        <w:rPr>
          <w:u w:val="single"/>
        </w:rPr>
      </w:pPr>
      <w:r>
        <w:rPr>
          <w:u w:val="single"/>
        </w:rPr>
        <w:t>Μηχανισμός δράσης</w:t>
      </w:r>
    </w:p>
    <w:p w14:paraId="2155FB12" w14:textId="77777777" w:rsidR="00951F81" w:rsidRDefault="00951F81" w:rsidP="00951F81">
      <w:pPr>
        <w:keepNext/>
        <w:rPr>
          <w:u w:val="single"/>
        </w:rPr>
      </w:pPr>
    </w:p>
    <w:p w14:paraId="2155FB13" w14:textId="38F67D9B" w:rsidR="00951F81" w:rsidRDefault="00D152B9" w:rsidP="00951F81">
      <w:r>
        <w:t xml:space="preserve">Η </w:t>
      </w:r>
      <w:r w:rsidR="00A050CB">
        <w:t>δενοσουμάμπη</w:t>
      </w:r>
      <w:r w:rsidR="007079D3">
        <w:t xml:space="preserve"> είναι ένα ανθρώπινο μονοκλωνικό αντίσωμα (IgG2) που στοχεύει και συνδέεται με υψηλή συγγένεια και ειδικότητα με το RANKL, προλαμβάνοντας την ενεργοποίηση του υποδοχέα του, του RANK, στην επιφάνεια των πρόδρομων οστεοκλαστών και των οστεοκλαστών. Η παρεμπόδιση της αλληλεπίδρασης RANKL/RANK αναστέλλει τον σχηματισμό, τη λειτουργία και την επιβίωση των οστεοκλαστών, μειώνοντας με αυτόν τον τρόπο την οστική απορρόφηση τόσο στα συμπαγή όσο και στα σπογγώδη οστά.</w:t>
      </w:r>
    </w:p>
    <w:p w14:paraId="2155FB14" w14:textId="77777777" w:rsidR="00951F81" w:rsidRDefault="00951F81" w:rsidP="00951F81"/>
    <w:p w14:paraId="2155FB15" w14:textId="77777777" w:rsidR="00951F81" w:rsidRDefault="007079D3" w:rsidP="00951F81">
      <w:pPr>
        <w:keepNext/>
        <w:rPr>
          <w:u w:val="single"/>
        </w:rPr>
      </w:pPr>
      <w:r>
        <w:rPr>
          <w:u w:val="single"/>
        </w:rPr>
        <w:t>Φαρμακοδυναμικές επιδράσεις</w:t>
      </w:r>
    </w:p>
    <w:p w14:paraId="2155FB16" w14:textId="77777777" w:rsidR="00951F81" w:rsidRDefault="00951F81" w:rsidP="00951F81">
      <w:pPr>
        <w:keepNext/>
      </w:pPr>
    </w:p>
    <w:p w14:paraId="2155FB17" w14:textId="7F8CEA2B" w:rsidR="00951F81" w:rsidRDefault="007079D3" w:rsidP="00951F81">
      <w:r>
        <w:t xml:space="preserve">Η θεραπεία με </w:t>
      </w:r>
      <w:r w:rsidR="00A050CB">
        <w:t>δενοσουμάμπη</w:t>
      </w:r>
      <w:r w:rsidR="00B34CCA" w:rsidRPr="007065FF">
        <w:t xml:space="preserve"> </w:t>
      </w:r>
      <w:r>
        <w:t>μείωσε γρήγορα το ρυθμό οστικής ανακατασκευής φτάνοντας στη χαμηλότερη τιμή στον ορό για τον δείκτη οστικής απορρόφησης τύπου 1 C</w:t>
      </w:r>
      <w:r>
        <w:noBreakHyphen/>
        <w:t>τελοπεπτίδια (CTX) (μείωση 85%) την 3η ημέρα, ενώ η εν λόγω μείωση διατηρήθηκε καθόλο το διάστημα μεταξύ των δόσεων. Μετά το πέρας κάθε μεσοδιαστήματος χορήγησης, η μείωση του CTX μετριάστηκε εν μέρει από τη μέγιστη μείωση του ≥ 87% σε ≥ 45% περίπου (εύρος 45</w:t>
      </w:r>
      <w:r>
        <w:noBreakHyphen/>
        <w:t>80%), δείχνοντας την αναστρεψιμότητα των επιδράσεων τ</w:t>
      </w:r>
      <w:r w:rsidR="00D152B9">
        <w:t>ης</w:t>
      </w:r>
      <w:r>
        <w:t xml:space="preserve"> </w:t>
      </w:r>
      <w:r w:rsidR="00A050CB">
        <w:t>δενοσουμάμπη</w:t>
      </w:r>
      <w:r w:rsidR="00D152B9">
        <w:t>ς</w:t>
      </w:r>
      <w:r w:rsidR="00B34CCA" w:rsidRPr="007065FF">
        <w:t xml:space="preserve"> </w:t>
      </w:r>
      <w:r>
        <w:t>στην οστική ανακατασκευή που σημειώνεται με τη μείωση των επιπέδων του στον ορό. Αυτές οι επιδράσεις διατηρήθηκαν όσο συνεχιζόταν η θεραπεία. Οι δείκτες οστικής εναλλαγής έφτασαν σε γενικές γραμμές στα επίπεδα πριν από τη θεραπεία σε διάστημα 9 μηνών μετά την τελευταία δόση. Κατά την επαναχορήγηση, η μείωση του CTX από τ</w:t>
      </w:r>
      <w:r w:rsidR="00D152B9">
        <w:t>η</w:t>
      </w:r>
      <w:r>
        <w:t xml:space="preserve"> </w:t>
      </w:r>
      <w:r w:rsidR="00A050CB">
        <w:t>δενοσουμάμπη</w:t>
      </w:r>
      <w:r>
        <w:t xml:space="preserve"> ήταν παρόμοια με αυτή που παρατηρήθηκε σε ασθενείς που αρχίζουν θεραπεία με </w:t>
      </w:r>
      <w:r w:rsidR="00A050CB">
        <w:t>δενοσουμάμπη</w:t>
      </w:r>
      <w:r>
        <w:t xml:space="preserve"> για πρώτη φορά.</w:t>
      </w:r>
    </w:p>
    <w:p w14:paraId="2155FB18" w14:textId="77777777" w:rsidR="00951F81" w:rsidRDefault="00951F81" w:rsidP="00951F81"/>
    <w:p w14:paraId="2155FB19" w14:textId="77777777" w:rsidR="00951F81" w:rsidRDefault="007079D3" w:rsidP="00951F81">
      <w:pPr>
        <w:keepNext/>
        <w:rPr>
          <w:u w:val="single"/>
        </w:rPr>
      </w:pPr>
      <w:r>
        <w:rPr>
          <w:u w:val="single"/>
        </w:rPr>
        <w:t>Ανοσογονικότητα</w:t>
      </w:r>
    </w:p>
    <w:p w14:paraId="2155FB1A" w14:textId="77777777" w:rsidR="00951F81" w:rsidRDefault="00951F81" w:rsidP="00951F81">
      <w:pPr>
        <w:keepNext/>
      </w:pPr>
    </w:p>
    <w:p w14:paraId="2155FB1B" w14:textId="3253D0A9" w:rsidR="00951F81" w:rsidRDefault="007079D3" w:rsidP="00951F81">
      <w:r w:rsidRPr="00BB4DA7">
        <w:t xml:space="preserve">Κατά τη διάρκεια της θεραπείας με </w:t>
      </w:r>
      <w:r w:rsidR="00A050CB">
        <w:t>δενοσουμάμπη</w:t>
      </w:r>
      <w:r w:rsidRPr="00BB4DA7">
        <w:t xml:space="preserve"> ενδέχεται να αναπτυχθούν αντισώματα κατά τ</w:t>
      </w:r>
      <w:r w:rsidR="00D152B9">
        <w:t>ης</w:t>
      </w:r>
      <w:r w:rsidRPr="00BB4DA7">
        <w:t xml:space="preserve"> </w:t>
      </w:r>
      <w:r w:rsidR="00A050CB">
        <w:t>δενοσουμάμπη</w:t>
      </w:r>
      <w:r w:rsidR="00D152B9">
        <w:t>ς</w:t>
      </w:r>
      <w:r w:rsidRPr="00BB4DA7">
        <w:t>. Δεν έχει παρατηρηθεί εμφανής συσχέτιση μεταξύ της ανάπτυξης αντισωμάτων και της φαρμακοκινητικής, της κλινικής ανταπόκρισης ή των ανεπιθύμητων ενεργειών.</w:t>
      </w:r>
    </w:p>
    <w:p w14:paraId="2155FB1C" w14:textId="77777777" w:rsidR="00951F81" w:rsidRDefault="00951F81" w:rsidP="00951F81"/>
    <w:p w14:paraId="2155FB1D" w14:textId="77777777" w:rsidR="00951F81" w:rsidRDefault="007079D3" w:rsidP="00951F81">
      <w:pPr>
        <w:keepNext/>
        <w:rPr>
          <w:u w:val="single"/>
        </w:rPr>
      </w:pPr>
      <w:r>
        <w:rPr>
          <w:u w:val="single"/>
        </w:rPr>
        <w:t>Κλινική αποτελεσματικότητα και ασφάλεια σε μετεμμηνοπαυσιακές γυναίκες με οστεοπόρωση</w:t>
      </w:r>
    </w:p>
    <w:p w14:paraId="2155FB1E" w14:textId="77777777" w:rsidR="00951F81" w:rsidRDefault="00951F81" w:rsidP="00951F81">
      <w:pPr>
        <w:keepNext/>
      </w:pPr>
    </w:p>
    <w:p w14:paraId="2155FB1F" w14:textId="0523B532" w:rsidR="00951F81" w:rsidRDefault="007079D3" w:rsidP="00951F81">
      <w:r>
        <w:t>Η αποτελεσματικότητα και η ασφάλεια τ</w:t>
      </w:r>
      <w:r w:rsidR="00D152B9">
        <w:t>ης</w:t>
      </w:r>
      <w:r>
        <w:t xml:space="preserve"> </w:t>
      </w:r>
      <w:r w:rsidR="00A050CB">
        <w:t>δενοσουμάμπη</w:t>
      </w:r>
      <w:r w:rsidR="00D152B9">
        <w:t>ς</w:t>
      </w:r>
      <w:r>
        <w:t xml:space="preserve"> χορηγούμενου μια φορά </w:t>
      </w:r>
      <w:r w:rsidR="00F27B1C">
        <w:t xml:space="preserve">κάθε </w:t>
      </w:r>
      <w:r>
        <w:t>6 μήνες για 3 έτη διερευνήθηκε σε μετεμμηνοπαυσιακές γυναίκες (7.808 γυναίκες ηλικίας 60</w:t>
      </w:r>
      <w:r>
        <w:noBreakHyphen/>
        <w:t>91 ετών, από τις οποίες 23,6% είχαν κύρια κατάγματα της σπονδυλικής στήλης) με T</w:t>
      </w:r>
      <w:r>
        <w:noBreakHyphen/>
        <w:t>score οστικής πυκνότητας (BMD) της οσφυϊκής μοίρας της σπονδυλικής στήλης ή του ολικού ισχίου κατά την έναρξη της αγωγής μεταξύ –2,5 και –4,0 και μέση απόλυτη 10ετή πιθανότητα καταγμάτων 18,60% (δεκατημόρια: 7,9</w:t>
      </w:r>
      <w:r>
        <w:noBreakHyphen/>
        <w:t>32,4%) για μείζονα οστεοπορωτικά κατάγματα και 7,22% (δεκατημόρια: 1,4</w:t>
      </w:r>
      <w:r>
        <w:noBreakHyphen/>
        <w:t>14,9%) για κατάγματα του ισχίου. Γυναίκες οι οποίες έπασχαν από άλλες ασθένειες ή λάμβαναν θεραπείες που μπορεί να επηρεάζουν τα οστά αποκλείστηκαν από τη συγκεκριμένη μελέτη. Οι γυναίκες λάμβαναν συμπληρώματα ασβεστίου (τουλάχιστον 1.000 mg) και βιταμίνης D (τουλάχιστον 400 IU) καθημερινά.</w:t>
      </w:r>
    </w:p>
    <w:p w14:paraId="2155FB20" w14:textId="77777777" w:rsidR="00951F81" w:rsidRDefault="00951F81" w:rsidP="00951F81"/>
    <w:p w14:paraId="2155FB21" w14:textId="77777777" w:rsidR="00951F81" w:rsidRDefault="007079D3" w:rsidP="00951F81">
      <w:pPr>
        <w:keepNext/>
        <w:tabs>
          <w:tab w:val="clear" w:pos="567"/>
        </w:tabs>
        <w:rPr>
          <w:i/>
          <w:iCs/>
        </w:rPr>
      </w:pPr>
      <w:r>
        <w:rPr>
          <w:i/>
        </w:rPr>
        <w:t>Επίδραση στα σπονδυλικά κατάγματα</w:t>
      </w:r>
    </w:p>
    <w:p w14:paraId="2155FB22" w14:textId="6270E37B" w:rsidR="00951F81" w:rsidRDefault="00D152B9" w:rsidP="00951F81">
      <w:r>
        <w:t xml:space="preserve">Η </w:t>
      </w:r>
      <w:r w:rsidR="00A050CB">
        <w:t>δενοσουμάμπη</w:t>
      </w:r>
      <w:r w:rsidR="007E0F77" w:rsidRPr="007E0F77">
        <w:t xml:space="preserve"> </w:t>
      </w:r>
      <w:r w:rsidR="007079D3">
        <w:t>μείωσε σημαντικά τον κίνδυνο νέων σπονδυλικών καταγμάτων μετά από 1, 2 και 3 έτη (p &lt; 0,0001) (βλ. πίνακα 2).</w:t>
      </w:r>
    </w:p>
    <w:p w14:paraId="2155FB23" w14:textId="77777777" w:rsidR="00951F81" w:rsidRDefault="00951F81" w:rsidP="00951F81"/>
    <w:p w14:paraId="2155FB24" w14:textId="1AA09B42" w:rsidR="00951F81" w:rsidRDefault="007079D3" w:rsidP="00951F81">
      <w:pPr>
        <w:keepNext/>
        <w:rPr>
          <w:b/>
          <w:bCs/>
        </w:rPr>
      </w:pPr>
      <w:r>
        <w:rPr>
          <w:b/>
        </w:rPr>
        <w:t>Πίνακας 2. Επίδραση τ</w:t>
      </w:r>
      <w:r w:rsidR="00D152B9">
        <w:rPr>
          <w:b/>
        </w:rPr>
        <w:t>ης</w:t>
      </w:r>
      <w:r>
        <w:rPr>
          <w:b/>
        </w:rPr>
        <w:t xml:space="preserve"> </w:t>
      </w:r>
      <w:r w:rsidR="00A050CB">
        <w:rPr>
          <w:b/>
        </w:rPr>
        <w:t>δενοσουμάμπη</w:t>
      </w:r>
      <w:r w:rsidR="00D152B9">
        <w:rPr>
          <w:b/>
        </w:rPr>
        <w:t>ς</w:t>
      </w:r>
      <w:r w:rsidR="007E0F77" w:rsidRPr="007E0F77">
        <w:rPr>
          <w:b/>
        </w:rPr>
        <w:t xml:space="preserve"> </w:t>
      </w:r>
      <w:r>
        <w:rPr>
          <w:b/>
        </w:rPr>
        <w:t>στον κίνδυνο νέων σπονδυλικών καταγμάτων</w:t>
      </w:r>
    </w:p>
    <w:p w14:paraId="2155FB25" w14:textId="77777777" w:rsidR="00951F81"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1995"/>
        <w:gridCol w:w="1995"/>
        <w:gridCol w:w="1906"/>
        <w:gridCol w:w="1906"/>
      </w:tblGrid>
      <w:tr w:rsidR="00EA09FB" w14:paraId="2155FB2C" w14:textId="77777777" w:rsidTr="006829AE">
        <w:trPr>
          <w:cantSplit/>
          <w:trHeight w:val="57"/>
          <w:tblHeader/>
        </w:trPr>
        <w:tc>
          <w:tcPr>
            <w:tcW w:w="694" w:type="pct"/>
            <w:vMerge w:val="restart"/>
          </w:tcPr>
          <w:p w14:paraId="2155FB26" w14:textId="77777777" w:rsidR="00951F81" w:rsidRDefault="00951F81" w:rsidP="006829AE">
            <w:pPr>
              <w:keepNext/>
            </w:pPr>
          </w:p>
        </w:tc>
        <w:tc>
          <w:tcPr>
            <w:tcW w:w="2202" w:type="pct"/>
            <w:gridSpan w:val="2"/>
          </w:tcPr>
          <w:p w14:paraId="2155FB27" w14:textId="77777777" w:rsidR="00951F81" w:rsidRDefault="007079D3" w:rsidP="006829AE">
            <w:pPr>
              <w:keepNext/>
              <w:jc w:val="center"/>
            </w:pPr>
            <w:r>
              <w:t>Ποσοστό γυναικών με κάταγμα (%)</w:t>
            </w:r>
          </w:p>
        </w:tc>
        <w:tc>
          <w:tcPr>
            <w:tcW w:w="1052" w:type="pct"/>
            <w:vMerge w:val="restart"/>
          </w:tcPr>
          <w:p w14:paraId="2155FB28" w14:textId="77777777" w:rsidR="00951F81" w:rsidRDefault="007079D3" w:rsidP="006829AE">
            <w:pPr>
              <w:keepNext/>
            </w:pPr>
            <w:r>
              <w:t>Μείωση του απόλυτου κινδύνου (%)</w:t>
            </w:r>
          </w:p>
          <w:p w14:paraId="2155FB29" w14:textId="77777777" w:rsidR="00951F81" w:rsidRDefault="007079D3" w:rsidP="006829AE">
            <w:pPr>
              <w:keepNext/>
            </w:pPr>
            <w:r>
              <w:t>(95% CI)</w:t>
            </w:r>
          </w:p>
        </w:tc>
        <w:tc>
          <w:tcPr>
            <w:tcW w:w="1052" w:type="pct"/>
            <w:vMerge w:val="restart"/>
          </w:tcPr>
          <w:p w14:paraId="2155FB2A" w14:textId="77777777" w:rsidR="00951F81" w:rsidRDefault="007079D3" w:rsidP="006829AE">
            <w:pPr>
              <w:keepNext/>
            </w:pPr>
            <w:r>
              <w:t>Μείωση του σχετικού κινδύνου (%)</w:t>
            </w:r>
          </w:p>
          <w:p w14:paraId="2155FB2B" w14:textId="77777777" w:rsidR="00951F81" w:rsidRDefault="007079D3" w:rsidP="006829AE">
            <w:pPr>
              <w:keepNext/>
            </w:pPr>
            <w:r>
              <w:t>(95% CI)</w:t>
            </w:r>
          </w:p>
        </w:tc>
      </w:tr>
      <w:tr w:rsidR="00EA09FB" w14:paraId="2155FB34" w14:textId="77777777" w:rsidTr="006829AE">
        <w:trPr>
          <w:cantSplit/>
          <w:trHeight w:val="57"/>
          <w:tblHeader/>
        </w:trPr>
        <w:tc>
          <w:tcPr>
            <w:tcW w:w="694" w:type="pct"/>
            <w:vMerge/>
          </w:tcPr>
          <w:p w14:paraId="2155FB2D" w14:textId="77777777" w:rsidR="00951F81" w:rsidRDefault="00951F81" w:rsidP="006829AE">
            <w:pPr>
              <w:keepNext/>
            </w:pPr>
          </w:p>
        </w:tc>
        <w:tc>
          <w:tcPr>
            <w:tcW w:w="1101" w:type="pct"/>
          </w:tcPr>
          <w:p w14:paraId="2155FB2E" w14:textId="77777777" w:rsidR="00951F81" w:rsidRDefault="007079D3" w:rsidP="006829AE">
            <w:pPr>
              <w:keepNext/>
              <w:jc w:val="center"/>
            </w:pPr>
            <w:r>
              <w:t>Εικονικό φάρμακο</w:t>
            </w:r>
          </w:p>
          <w:p w14:paraId="2155FB2F" w14:textId="77777777" w:rsidR="00951F81" w:rsidRDefault="007079D3" w:rsidP="006829AE">
            <w:pPr>
              <w:keepNext/>
              <w:jc w:val="center"/>
            </w:pPr>
            <w:r>
              <w:t>n = 3.906</w:t>
            </w:r>
          </w:p>
        </w:tc>
        <w:tc>
          <w:tcPr>
            <w:tcW w:w="1101" w:type="pct"/>
          </w:tcPr>
          <w:p w14:paraId="2155FB30" w14:textId="1E70F12B" w:rsidR="007E0F77" w:rsidRDefault="00A050CB" w:rsidP="006829AE">
            <w:pPr>
              <w:keepNext/>
              <w:jc w:val="center"/>
              <w:rPr>
                <w:lang w:val="en-US"/>
              </w:rPr>
            </w:pPr>
            <w:r>
              <w:t>Δενοσουμάμπη</w:t>
            </w:r>
          </w:p>
          <w:p w14:paraId="2155FB31" w14:textId="77777777" w:rsidR="00951F81" w:rsidRDefault="007079D3" w:rsidP="006829AE">
            <w:pPr>
              <w:keepNext/>
              <w:jc w:val="center"/>
            </w:pPr>
            <w:r>
              <w:t>n = 3.902</w:t>
            </w:r>
          </w:p>
        </w:tc>
        <w:tc>
          <w:tcPr>
            <w:tcW w:w="1052" w:type="pct"/>
            <w:vMerge/>
          </w:tcPr>
          <w:p w14:paraId="2155FB32" w14:textId="77777777" w:rsidR="00951F81" w:rsidRDefault="00951F81" w:rsidP="006829AE">
            <w:pPr>
              <w:keepNext/>
            </w:pPr>
          </w:p>
        </w:tc>
        <w:tc>
          <w:tcPr>
            <w:tcW w:w="1052" w:type="pct"/>
            <w:vMerge/>
          </w:tcPr>
          <w:p w14:paraId="2155FB33" w14:textId="77777777" w:rsidR="00951F81" w:rsidRDefault="00951F81" w:rsidP="006829AE">
            <w:pPr>
              <w:keepNext/>
            </w:pPr>
          </w:p>
        </w:tc>
      </w:tr>
      <w:tr w:rsidR="00EA09FB" w14:paraId="2155FB3A" w14:textId="77777777" w:rsidTr="006829AE">
        <w:trPr>
          <w:cantSplit/>
          <w:trHeight w:val="57"/>
        </w:trPr>
        <w:tc>
          <w:tcPr>
            <w:tcW w:w="694" w:type="pct"/>
          </w:tcPr>
          <w:p w14:paraId="2155FB35" w14:textId="77777777" w:rsidR="00951F81" w:rsidRDefault="007079D3" w:rsidP="006829AE">
            <w:r>
              <w:t>0</w:t>
            </w:r>
            <w:r>
              <w:noBreakHyphen/>
              <w:t>1 έτος</w:t>
            </w:r>
          </w:p>
        </w:tc>
        <w:tc>
          <w:tcPr>
            <w:tcW w:w="1101" w:type="pct"/>
          </w:tcPr>
          <w:p w14:paraId="2155FB36" w14:textId="77777777" w:rsidR="00951F81" w:rsidRDefault="007079D3" w:rsidP="006829AE">
            <w:pPr>
              <w:jc w:val="center"/>
            </w:pPr>
            <w:r>
              <w:t>2,2</w:t>
            </w:r>
          </w:p>
        </w:tc>
        <w:tc>
          <w:tcPr>
            <w:tcW w:w="1101" w:type="pct"/>
          </w:tcPr>
          <w:p w14:paraId="2155FB37" w14:textId="77777777" w:rsidR="00951F81" w:rsidRDefault="007079D3" w:rsidP="006829AE">
            <w:pPr>
              <w:jc w:val="center"/>
            </w:pPr>
            <w:r>
              <w:t>0,9</w:t>
            </w:r>
          </w:p>
        </w:tc>
        <w:tc>
          <w:tcPr>
            <w:tcW w:w="1052" w:type="pct"/>
          </w:tcPr>
          <w:p w14:paraId="2155FB38" w14:textId="77777777" w:rsidR="00951F81" w:rsidRDefault="007079D3" w:rsidP="006829AE">
            <w:r>
              <w:t>1,4 (0,8, 1,9)</w:t>
            </w:r>
          </w:p>
        </w:tc>
        <w:tc>
          <w:tcPr>
            <w:tcW w:w="1052" w:type="pct"/>
          </w:tcPr>
          <w:p w14:paraId="2155FB39" w14:textId="77777777" w:rsidR="00951F81" w:rsidRDefault="007079D3" w:rsidP="006829AE">
            <w:r>
              <w:t>61 (42, 74)**</w:t>
            </w:r>
          </w:p>
        </w:tc>
      </w:tr>
      <w:tr w:rsidR="00EA09FB" w14:paraId="2155FB40" w14:textId="77777777" w:rsidTr="006829AE">
        <w:trPr>
          <w:cantSplit/>
          <w:trHeight w:val="57"/>
        </w:trPr>
        <w:tc>
          <w:tcPr>
            <w:tcW w:w="694" w:type="pct"/>
          </w:tcPr>
          <w:p w14:paraId="2155FB3B" w14:textId="77777777" w:rsidR="00951F81" w:rsidRDefault="007079D3" w:rsidP="006829AE">
            <w:r>
              <w:t>0</w:t>
            </w:r>
            <w:r>
              <w:noBreakHyphen/>
              <w:t>2 έτη</w:t>
            </w:r>
          </w:p>
        </w:tc>
        <w:tc>
          <w:tcPr>
            <w:tcW w:w="1101" w:type="pct"/>
          </w:tcPr>
          <w:p w14:paraId="2155FB3C" w14:textId="77777777" w:rsidR="00951F81" w:rsidRDefault="007079D3" w:rsidP="006829AE">
            <w:pPr>
              <w:jc w:val="center"/>
            </w:pPr>
            <w:r>
              <w:t>5,0</w:t>
            </w:r>
          </w:p>
        </w:tc>
        <w:tc>
          <w:tcPr>
            <w:tcW w:w="1101" w:type="pct"/>
          </w:tcPr>
          <w:p w14:paraId="2155FB3D" w14:textId="77777777" w:rsidR="00951F81" w:rsidRDefault="007079D3" w:rsidP="006829AE">
            <w:pPr>
              <w:jc w:val="center"/>
            </w:pPr>
            <w:r>
              <w:t>1,4</w:t>
            </w:r>
          </w:p>
        </w:tc>
        <w:tc>
          <w:tcPr>
            <w:tcW w:w="1052" w:type="pct"/>
          </w:tcPr>
          <w:p w14:paraId="2155FB3E" w14:textId="77777777" w:rsidR="00951F81" w:rsidRDefault="007079D3" w:rsidP="006829AE">
            <w:r>
              <w:t>3,5 (2,7, 4,3)</w:t>
            </w:r>
          </w:p>
        </w:tc>
        <w:tc>
          <w:tcPr>
            <w:tcW w:w="1052" w:type="pct"/>
          </w:tcPr>
          <w:p w14:paraId="2155FB3F" w14:textId="77777777" w:rsidR="00951F81" w:rsidRDefault="007079D3" w:rsidP="006829AE">
            <w:r>
              <w:t>71 (61, 79)**</w:t>
            </w:r>
          </w:p>
        </w:tc>
      </w:tr>
      <w:tr w:rsidR="00EA09FB" w14:paraId="2155FB46" w14:textId="77777777" w:rsidTr="006829AE">
        <w:trPr>
          <w:cantSplit/>
          <w:trHeight w:val="57"/>
        </w:trPr>
        <w:tc>
          <w:tcPr>
            <w:tcW w:w="694" w:type="pct"/>
          </w:tcPr>
          <w:p w14:paraId="2155FB41" w14:textId="77777777" w:rsidR="00951F81" w:rsidRDefault="007079D3" w:rsidP="006829AE">
            <w:pPr>
              <w:keepNext/>
            </w:pPr>
            <w:r>
              <w:t>0</w:t>
            </w:r>
            <w:r>
              <w:noBreakHyphen/>
              <w:t>3 έτη</w:t>
            </w:r>
          </w:p>
        </w:tc>
        <w:tc>
          <w:tcPr>
            <w:tcW w:w="1101" w:type="pct"/>
          </w:tcPr>
          <w:p w14:paraId="2155FB42" w14:textId="77777777" w:rsidR="00951F81" w:rsidRDefault="007079D3" w:rsidP="006829AE">
            <w:pPr>
              <w:keepNext/>
              <w:jc w:val="center"/>
            </w:pPr>
            <w:r>
              <w:t>7,2</w:t>
            </w:r>
          </w:p>
        </w:tc>
        <w:tc>
          <w:tcPr>
            <w:tcW w:w="1101" w:type="pct"/>
          </w:tcPr>
          <w:p w14:paraId="2155FB43" w14:textId="77777777" w:rsidR="00951F81" w:rsidRDefault="007079D3" w:rsidP="006829AE">
            <w:pPr>
              <w:keepNext/>
              <w:jc w:val="center"/>
            </w:pPr>
            <w:r>
              <w:t>2,3</w:t>
            </w:r>
          </w:p>
        </w:tc>
        <w:tc>
          <w:tcPr>
            <w:tcW w:w="1052" w:type="pct"/>
          </w:tcPr>
          <w:p w14:paraId="2155FB44" w14:textId="77777777" w:rsidR="00951F81" w:rsidRDefault="007079D3" w:rsidP="006829AE">
            <w:pPr>
              <w:keepNext/>
            </w:pPr>
            <w:r>
              <w:t>4,8 (3,9, 5,8)</w:t>
            </w:r>
          </w:p>
        </w:tc>
        <w:tc>
          <w:tcPr>
            <w:tcW w:w="1052" w:type="pct"/>
          </w:tcPr>
          <w:p w14:paraId="2155FB45" w14:textId="77777777" w:rsidR="00951F81" w:rsidRDefault="007079D3" w:rsidP="006829AE">
            <w:pPr>
              <w:keepNext/>
            </w:pPr>
            <w:r>
              <w:t>68 (59, 74)*</w:t>
            </w:r>
          </w:p>
        </w:tc>
      </w:tr>
    </w:tbl>
    <w:p w14:paraId="2155FB47" w14:textId="77777777" w:rsidR="00951F81" w:rsidRDefault="007079D3" w:rsidP="00951F81">
      <w:pPr>
        <w:rPr>
          <w:sz w:val="20"/>
          <w:szCs w:val="20"/>
        </w:rPr>
      </w:pPr>
      <w:r>
        <w:rPr>
          <w:sz w:val="20"/>
        </w:rPr>
        <w:t>*p &lt; 0,0001, **p &lt; 0,0001 – διερευνητική ανάλυση</w:t>
      </w:r>
    </w:p>
    <w:p w14:paraId="2155FB48" w14:textId="77777777" w:rsidR="00951F81" w:rsidRDefault="00951F81" w:rsidP="00951F81"/>
    <w:p w14:paraId="2155FB49" w14:textId="77777777" w:rsidR="00951F81" w:rsidRDefault="007079D3" w:rsidP="00951F81">
      <w:pPr>
        <w:keepNext/>
        <w:tabs>
          <w:tab w:val="clear" w:pos="567"/>
        </w:tabs>
        <w:rPr>
          <w:i/>
          <w:iCs/>
        </w:rPr>
      </w:pPr>
      <w:r>
        <w:rPr>
          <w:i/>
        </w:rPr>
        <w:t>Επίδραση στα κατάγματα του ισχίου</w:t>
      </w:r>
    </w:p>
    <w:p w14:paraId="2155FB4A" w14:textId="03916D2C" w:rsidR="00951F81" w:rsidRDefault="00D152B9" w:rsidP="00951F81">
      <w:r>
        <w:t xml:space="preserve">Η </w:t>
      </w:r>
      <w:r w:rsidR="00A050CB">
        <w:t>δενοσουμάμπη</w:t>
      </w:r>
      <w:r w:rsidR="007E0F77" w:rsidRPr="007E0F77">
        <w:t xml:space="preserve"> </w:t>
      </w:r>
      <w:r w:rsidR="007079D3">
        <w:t>επέδειξε σχετική μείωση του κινδύνου κατάγματος του ισχίου κατά 40% (μείωση του απόλυτου κινδύνου κατά 0,5%) σε διάστημα 3 ετών (p &lt; 0,05). Η συχνότητα εμφάνισης των καταγμάτων του ισχίου ήταν 1,2% στην ομάδα του εικονικού φαρμάκου έναντι 0,7% στην ομάδα τ</w:t>
      </w:r>
      <w:r>
        <w:t>ης</w:t>
      </w:r>
      <w:r w:rsidR="007079D3">
        <w:t xml:space="preserve"> </w:t>
      </w:r>
      <w:r w:rsidR="00A050CB">
        <w:t>δενοσουμάμπη</w:t>
      </w:r>
      <w:r>
        <w:t>ς</w:t>
      </w:r>
      <w:r w:rsidR="007E0F77" w:rsidRPr="007E0F77">
        <w:t xml:space="preserve"> </w:t>
      </w:r>
      <w:r w:rsidR="007079D3">
        <w:t>στα 3 χρόνια.</w:t>
      </w:r>
    </w:p>
    <w:p w14:paraId="2155FB4B" w14:textId="77777777" w:rsidR="00951F81" w:rsidRDefault="00951F81" w:rsidP="00951F81"/>
    <w:p w14:paraId="2155FB4C" w14:textId="4AF31FA9" w:rsidR="00951F81" w:rsidRDefault="007079D3" w:rsidP="00951F81">
      <w:r>
        <w:t>Σε μία post</w:t>
      </w:r>
      <w:r>
        <w:noBreakHyphen/>
        <w:t>hoc ανάλυση σε γυναίκες &gt; 75 ετών, διαπιστώθηκε με τ</w:t>
      </w:r>
      <w:r w:rsidR="00D152B9">
        <w:t>η</w:t>
      </w:r>
      <w:r>
        <w:t xml:space="preserve"> </w:t>
      </w:r>
      <w:r w:rsidR="00A050CB">
        <w:t>δενοσουμάμπη</w:t>
      </w:r>
      <w:r w:rsidR="007A4BFC" w:rsidRPr="00442125">
        <w:t xml:space="preserve"> </w:t>
      </w:r>
      <w:r>
        <w:t>μείωση του σχετικού κινδύνου κατά 62% (1,4% μείωση του απόλυτου κινδύνου, p &lt; 0,01).</w:t>
      </w:r>
    </w:p>
    <w:p w14:paraId="2155FB4D" w14:textId="77777777" w:rsidR="00951F81" w:rsidRDefault="00951F81" w:rsidP="00951F81"/>
    <w:p w14:paraId="2155FB4E" w14:textId="77777777" w:rsidR="00951F81" w:rsidRDefault="007079D3" w:rsidP="00951F81">
      <w:pPr>
        <w:keepNext/>
        <w:tabs>
          <w:tab w:val="clear" w:pos="567"/>
        </w:tabs>
        <w:rPr>
          <w:i/>
          <w:iCs/>
        </w:rPr>
      </w:pPr>
      <w:r>
        <w:rPr>
          <w:i/>
        </w:rPr>
        <w:t>Επίδραση σε όλα τα κλινικά κατάγματα</w:t>
      </w:r>
    </w:p>
    <w:p w14:paraId="2155FB4F" w14:textId="1BB5F078" w:rsidR="00951F81" w:rsidRDefault="00D152B9" w:rsidP="00951F81">
      <w:r>
        <w:t xml:space="preserve">Η </w:t>
      </w:r>
      <w:r w:rsidR="00A050CB">
        <w:t>δενοσουμάμπη</w:t>
      </w:r>
      <w:r w:rsidR="007E0F77" w:rsidRPr="007E0F77">
        <w:t xml:space="preserve"> </w:t>
      </w:r>
      <w:r w:rsidR="007079D3">
        <w:t>μείωσε σημαντικά τα κατάγματα σε όλα τα είδη/όλες τις ομάδες καταγμάτων (βλ. πίνακα 3).</w:t>
      </w:r>
    </w:p>
    <w:p w14:paraId="2155FB50" w14:textId="77777777" w:rsidR="00951F81" w:rsidRPr="00005D41" w:rsidRDefault="00951F81" w:rsidP="008D33A8">
      <w:pPr>
        <w:rPr>
          <w:b/>
          <w:bCs/>
        </w:rPr>
      </w:pPr>
    </w:p>
    <w:p w14:paraId="2155FB51" w14:textId="2A466409" w:rsidR="00951F81" w:rsidRPr="00005D41" w:rsidRDefault="007079D3" w:rsidP="008D33A8">
      <w:pPr>
        <w:rPr>
          <w:b/>
          <w:bCs/>
        </w:rPr>
      </w:pPr>
      <w:r w:rsidRPr="00005D41">
        <w:rPr>
          <w:b/>
          <w:bCs/>
        </w:rPr>
        <w:t>Πίνακας 3. Επίδραση τ</w:t>
      </w:r>
      <w:r w:rsidR="00D152B9">
        <w:rPr>
          <w:b/>
          <w:bCs/>
        </w:rPr>
        <w:t>ης</w:t>
      </w:r>
      <w:r w:rsidRPr="00005D41">
        <w:rPr>
          <w:b/>
          <w:bCs/>
        </w:rPr>
        <w:t xml:space="preserve"> </w:t>
      </w:r>
      <w:r w:rsidR="00A050CB">
        <w:rPr>
          <w:b/>
          <w:bCs/>
        </w:rPr>
        <w:t>δενοσουμάμπη</w:t>
      </w:r>
      <w:r w:rsidR="00D152B9">
        <w:rPr>
          <w:b/>
          <w:bCs/>
        </w:rPr>
        <w:t>ς</w:t>
      </w:r>
      <w:r w:rsidR="007E0F77" w:rsidRPr="00005D41">
        <w:rPr>
          <w:b/>
          <w:bCs/>
        </w:rPr>
        <w:t xml:space="preserve"> </w:t>
      </w:r>
      <w:r w:rsidRPr="00005D41">
        <w:rPr>
          <w:b/>
          <w:bCs/>
        </w:rPr>
        <w:t>στον κίνδυνο κλινικών καταγμάτων σε διάστημα 3 ετών</w:t>
      </w:r>
    </w:p>
    <w:p w14:paraId="2155FB52" w14:textId="77777777" w:rsidR="00951F81"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7"/>
        <w:gridCol w:w="1404"/>
        <w:gridCol w:w="1756"/>
        <w:gridCol w:w="1493"/>
        <w:gridCol w:w="1491"/>
      </w:tblGrid>
      <w:tr w:rsidR="00EA09FB" w14:paraId="2155FB59" w14:textId="77777777" w:rsidTr="006829AE">
        <w:trPr>
          <w:cantSplit/>
          <w:trHeight w:val="57"/>
          <w:tblHeader/>
        </w:trPr>
        <w:tc>
          <w:tcPr>
            <w:tcW w:w="1609" w:type="pct"/>
            <w:vMerge w:val="restart"/>
            <w:tcBorders>
              <w:top w:val="single" w:sz="4" w:space="0" w:color="auto"/>
              <w:left w:val="single" w:sz="4" w:space="0" w:color="auto"/>
              <w:right w:val="single" w:sz="4" w:space="0" w:color="auto"/>
            </w:tcBorders>
          </w:tcPr>
          <w:p w14:paraId="2155FB53" w14:textId="77777777" w:rsidR="00951F81" w:rsidRDefault="00951F81" w:rsidP="006829AE">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2155FB54" w14:textId="77777777" w:rsidR="00951F81" w:rsidRDefault="007079D3" w:rsidP="006829AE">
            <w:pPr>
              <w:jc w:val="center"/>
            </w:pPr>
            <w:r>
              <w:t>Ποσοστό γυναικών με κάταγμα (%)</w:t>
            </w:r>
            <w:r>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2155FB55" w14:textId="77777777" w:rsidR="00951F81" w:rsidRDefault="007079D3" w:rsidP="006829AE">
            <w:r>
              <w:t>Μείωση του απόλυτου κινδύνου (%)</w:t>
            </w:r>
          </w:p>
          <w:p w14:paraId="2155FB56" w14:textId="77777777" w:rsidR="00951F81" w:rsidRDefault="007079D3" w:rsidP="006829AE">
            <w:r>
              <w:t>(95% CI)</w:t>
            </w:r>
          </w:p>
        </w:tc>
        <w:tc>
          <w:tcPr>
            <w:tcW w:w="823" w:type="pct"/>
            <w:vMerge w:val="restart"/>
            <w:tcBorders>
              <w:top w:val="single" w:sz="4" w:space="0" w:color="auto"/>
              <w:left w:val="single" w:sz="4" w:space="0" w:color="auto"/>
              <w:bottom w:val="single" w:sz="4" w:space="0" w:color="auto"/>
              <w:right w:val="single" w:sz="4" w:space="0" w:color="auto"/>
            </w:tcBorders>
          </w:tcPr>
          <w:p w14:paraId="2155FB57" w14:textId="77777777" w:rsidR="00951F81" w:rsidRDefault="007079D3" w:rsidP="006829AE">
            <w:r>
              <w:t>Μείωση του σχετικού κινδύνου (%)</w:t>
            </w:r>
          </w:p>
          <w:p w14:paraId="2155FB58" w14:textId="77777777" w:rsidR="00951F81" w:rsidRDefault="007079D3" w:rsidP="006829AE">
            <w:r>
              <w:t>(95% CI)</w:t>
            </w:r>
          </w:p>
        </w:tc>
      </w:tr>
      <w:tr w:rsidR="00EA09FB" w14:paraId="2155FB61" w14:textId="77777777" w:rsidTr="006829AE">
        <w:trPr>
          <w:cantSplit/>
          <w:trHeight w:val="57"/>
          <w:tblHeader/>
        </w:trPr>
        <w:tc>
          <w:tcPr>
            <w:tcW w:w="1609" w:type="pct"/>
            <w:vMerge/>
            <w:tcBorders>
              <w:left w:val="single" w:sz="4" w:space="0" w:color="auto"/>
              <w:bottom w:val="single" w:sz="4" w:space="0" w:color="auto"/>
              <w:right w:val="single" w:sz="4" w:space="0" w:color="auto"/>
            </w:tcBorders>
          </w:tcPr>
          <w:p w14:paraId="2155FB5A" w14:textId="77777777" w:rsidR="00951F81" w:rsidRDefault="00951F81" w:rsidP="006829AE">
            <w:pPr>
              <w:keepNext/>
            </w:pPr>
          </w:p>
        </w:tc>
        <w:tc>
          <w:tcPr>
            <w:tcW w:w="775" w:type="pct"/>
            <w:tcBorders>
              <w:top w:val="single" w:sz="4" w:space="0" w:color="auto"/>
              <w:left w:val="single" w:sz="4" w:space="0" w:color="auto"/>
              <w:bottom w:val="single" w:sz="4" w:space="0" w:color="auto"/>
              <w:right w:val="single" w:sz="4" w:space="0" w:color="auto"/>
            </w:tcBorders>
          </w:tcPr>
          <w:p w14:paraId="2155FB5B" w14:textId="77777777" w:rsidR="00951F81" w:rsidRDefault="007079D3" w:rsidP="006829AE">
            <w:pPr>
              <w:jc w:val="center"/>
            </w:pPr>
            <w:r>
              <w:t>Εικονικό φάρμακο</w:t>
            </w:r>
          </w:p>
          <w:p w14:paraId="2155FB5C" w14:textId="77777777" w:rsidR="00951F81" w:rsidRDefault="007079D3" w:rsidP="006829AE">
            <w:pPr>
              <w:jc w:val="center"/>
            </w:pPr>
            <w:r>
              <w:t>n = 3.906</w:t>
            </w:r>
          </w:p>
        </w:tc>
        <w:tc>
          <w:tcPr>
            <w:tcW w:w="969" w:type="pct"/>
            <w:tcBorders>
              <w:top w:val="single" w:sz="4" w:space="0" w:color="auto"/>
              <w:left w:val="single" w:sz="4" w:space="0" w:color="auto"/>
              <w:bottom w:val="single" w:sz="4" w:space="0" w:color="auto"/>
              <w:right w:val="single" w:sz="4" w:space="0" w:color="auto"/>
            </w:tcBorders>
          </w:tcPr>
          <w:p w14:paraId="2155FB5D" w14:textId="69787E44" w:rsidR="007E0F77" w:rsidRDefault="00A050CB" w:rsidP="006829AE">
            <w:pPr>
              <w:jc w:val="center"/>
              <w:rPr>
                <w:lang w:val="en-US"/>
              </w:rPr>
            </w:pPr>
            <w:r>
              <w:t>Δενοσουμάμπη</w:t>
            </w:r>
          </w:p>
          <w:p w14:paraId="2155FB5E" w14:textId="77777777" w:rsidR="00951F81" w:rsidRDefault="007079D3" w:rsidP="006829AE">
            <w:pPr>
              <w:jc w:val="center"/>
            </w:pPr>
            <w:r>
              <w:t>n = 3.902</w:t>
            </w:r>
          </w:p>
        </w:tc>
        <w:tc>
          <w:tcPr>
            <w:tcW w:w="824" w:type="pct"/>
            <w:vMerge/>
            <w:tcBorders>
              <w:top w:val="single" w:sz="4" w:space="0" w:color="auto"/>
              <w:left w:val="single" w:sz="4" w:space="0" w:color="auto"/>
              <w:bottom w:val="single" w:sz="4" w:space="0" w:color="auto"/>
              <w:right w:val="single" w:sz="4" w:space="0" w:color="auto"/>
            </w:tcBorders>
            <w:vAlign w:val="center"/>
          </w:tcPr>
          <w:p w14:paraId="2155FB5F" w14:textId="77777777" w:rsidR="00951F81" w:rsidRDefault="00951F81" w:rsidP="006829AE"/>
        </w:tc>
        <w:tc>
          <w:tcPr>
            <w:tcW w:w="823" w:type="pct"/>
            <w:vMerge/>
            <w:tcBorders>
              <w:top w:val="single" w:sz="4" w:space="0" w:color="auto"/>
              <w:left w:val="single" w:sz="4" w:space="0" w:color="auto"/>
              <w:bottom w:val="single" w:sz="4" w:space="0" w:color="auto"/>
              <w:right w:val="single" w:sz="4" w:space="0" w:color="auto"/>
            </w:tcBorders>
            <w:vAlign w:val="center"/>
          </w:tcPr>
          <w:p w14:paraId="2155FB60" w14:textId="77777777" w:rsidR="00951F81" w:rsidRDefault="00951F81" w:rsidP="006829AE"/>
        </w:tc>
      </w:tr>
      <w:tr w:rsidR="00EA09FB" w14:paraId="2155FB67" w14:textId="77777777" w:rsidTr="006829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155FB62" w14:textId="77777777" w:rsidR="00951F81" w:rsidRDefault="007079D3" w:rsidP="006829AE">
            <w:r>
              <w:t>Οποιοδήποτε κλινικό κάταγμα</w:t>
            </w:r>
            <w:r>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2155FB63" w14:textId="77777777" w:rsidR="00951F81" w:rsidRDefault="007079D3" w:rsidP="006829AE">
            <w:pPr>
              <w:jc w:val="center"/>
            </w:pPr>
            <w:r>
              <w:t>10,2</w:t>
            </w:r>
          </w:p>
        </w:tc>
        <w:tc>
          <w:tcPr>
            <w:tcW w:w="969" w:type="pct"/>
            <w:tcBorders>
              <w:top w:val="single" w:sz="4" w:space="0" w:color="auto"/>
              <w:left w:val="single" w:sz="4" w:space="0" w:color="auto"/>
              <w:bottom w:val="single" w:sz="4" w:space="0" w:color="auto"/>
              <w:right w:val="single" w:sz="4" w:space="0" w:color="auto"/>
            </w:tcBorders>
          </w:tcPr>
          <w:p w14:paraId="2155FB64" w14:textId="77777777" w:rsidR="00951F81" w:rsidRDefault="007079D3" w:rsidP="006829AE">
            <w:pPr>
              <w:jc w:val="center"/>
            </w:pPr>
            <w:r>
              <w:t>7,2</w:t>
            </w:r>
          </w:p>
        </w:tc>
        <w:tc>
          <w:tcPr>
            <w:tcW w:w="824" w:type="pct"/>
            <w:tcBorders>
              <w:top w:val="single" w:sz="4" w:space="0" w:color="auto"/>
              <w:left w:val="single" w:sz="4" w:space="0" w:color="auto"/>
              <w:bottom w:val="single" w:sz="4" w:space="0" w:color="auto"/>
              <w:right w:val="single" w:sz="4" w:space="0" w:color="auto"/>
            </w:tcBorders>
          </w:tcPr>
          <w:p w14:paraId="2155FB65" w14:textId="77777777" w:rsidR="00951F81" w:rsidRDefault="007079D3" w:rsidP="006829AE">
            <w:r>
              <w:t>2,9 (1,6, 4,2)</w:t>
            </w:r>
          </w:p>
        </w:tc>
        <w:tc>
          <w:tcPr>
            <w:tcW w:w="823" w:type="pct"/>
            <w:tcBorders>
              <w:top w:val="single" w:sz="4" w:space="0" w:color="auto"/>
              <w:left w:val="single" w:sz="4" w:space="0" w:color="auto"/>
              <w:bottom w:val="single" w:sz="4" w:space="0" w:color="auto"/>
              <w:right w:val="single" w:sz="4" w:space="0" w:color="auto"/>
            </w:tcBorders>
          </w:tcPr>
          <w:p w14:paraId="2155FB66" w14:textId="77777777" w:rsidR="00951F81" w:rsidRDefault="007079D3" w:rsidP="006829AE">
            <w:r>
              <w:t>30 (19, 41)***</w:t>
            </w:r>
          </w:p>
        </w:tc>
      </w:tr>
      <w:tr w:rsidR="00EA09FB" w14:paraId="2155FB6D" w14:textId="77777777" w:rsidTr="006829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155FB68" w14:textId="77777777" w:rsidR="00951F81" w:rsidRDefault="007079D3" w:rsidP="006829AE">
            <w:r>
              <w:t>Κλινικό σπονδυλικό κάταγμα</w:t>
            </w:r>
          </w:p>
        </w:tc>
        <w:tc>
          <w:tcPr>
            <w:tcW w:w="775" w:type="pct"/>
            <w:tcBorders>
              <w:top w:val="single" w:sz="4" w:space="0" w:color="auto"/>
              <w:left w:val="single" w:sz="4" w:space="0" w:color="auto"/>
              <w:bottom w:val="single" w:sz="4" w:space="0" w:color="auto"/>
              <w:right w:val="single" w:sz="4" w:space="0" w:color="auto"/>
            </w:tcBorders>
          </w:tcPr>
          <w:p w14:paraId="2155FB69" w14:textId="77777777" w:rsidR="00951F81" w:rsidRDefault="007079D3" w:rsidP="006829AE">
            <w:pPr>
              <w:jc w:val="center"/>
            </w:pPr>
            <w:r>
              <w:t>2,6</w:t>
            </w:r>
          </w:p>
        </w:tc>
        <w:tc>
          <w:tcPr>
            <w:tcW w:w="969" w:type="pct"/>
            <w:tcBorders>
              <w:top w:val="single" w:sz="4" w:space="0" w:color="auto"/>
              <w:left w:val="single" w:sz="4" w:space="0" w:color="auto"/>
              <w:bottom w:val="single" w:sz="4" w:space="0" w:color="auto"/>
              <w:right w:val="single" w:sz="4" w:space="0" w:color="auto"/>
            </w:tcBorders>
          </w:tcPr>
          <w:p w14:paraId="2155FB6A" w14:textId="77777777" w:rsidR="00951F81" w:rsidRDefault="007079D3" w:rsidP="006829AE">
            <w:pPr>
              <w:jc w:val="center"/>
            </w:pPr>
            <w:r>
              <w:t>0,8</w:t>
            </w:r>
          </w:p>
        </w:tc>
        <w:tc>
          <w:tcPr>
            <w:tcW w:w="824" w:type="pct"/>
            <w:tcBorders>
              <w:top w:val="single" w:sz="4" w:space="0" w:color="auto"/>
              <w:left w:val="single" w:sz="4" w:space="0" w:color="auto"/>
              <w:bottom w:val="single" w:sz="4" w:space="0" w:color="auto"/>
              <w:right w:val="single" w:sz="4" w:space="0" w:color="auto"/>
            </w:tcBorders>
          </w:tcPr>
          <w:p w14:paraId="2155FB6B" w14:textId="77777777" w:rsidR="00951F81" w:rsidRDefault="007079D3" w:rsidP="006829AE">
            <w:r>
              <w:t>1,8 (1,2, 2,4)</w:t>
            </w:r>
          </w:p>
        </w:tc>
        <w:tc>
          <w:tcPr>
            <w:tcW w:w="823" w:type="pct"/>
            <w:tcBorders>
              <w:top w:val="single" w:sz="4" w:space="0" w:color="auto"/>
              <w:left w:val="single" w:sz="4" w:space="0" w:color="auto"/>
              <w:bottom w:val="single" w:sz="4" w:space="0" w:color="auto"/>
              <w:right w:val="single" w:sz="4" w:space="0" w:color="auto"/>
            </w:tcBorders>
          </w:tcPr>
          <w:p w14:paraId="2155FB6C" w14:textId="77777777" w:rsidR="00951F81" w:rsidRDefault="007079D3" w:rsidP="006829AE">
            <w:r>
              <w:t>69 (53, 80)***</w:t>
            </w:r>
          </w:p>
        </w:tc>
      </w:tr>
      <w:tr w:rsidR="00EA09FB" w14:paraId="2155FB73" w14:textId="77777777" w:rsidTr="006829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155FB6E" w14:textId="77777777" w:rsidR="00951F81" w:rsidRDefault="007079D3" w:rsidP="006829AE">
            <w:r>
              <w:t>Μη-σπονδυλικό κάταγμα</w:t>
            </w:r>
            <w:r>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2155FB6F" w14:textId="77777777" w:rsidR="00951F81" w:rsidRDefault="007079D3" w:rsidP="006829AE">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2155FB70" w14:textId="77777777" w:rsidR="00951F81" w:rsidRDefault="007079D3" w:rsidP="006829AE">
            <w:pPr>
              <w:jc w:val="center"/>
            </w:pPr>
            <w:r>
              <w:t>6,5</w:t>
            </w:r>
          </w:p>
        </w:tc>
        <w:tc>
          <w:tcPr>
            <w:tcW w:w="824" w:type="pct"/>
            <w:tcBorders>
              <w:top w:val="single" w:sz="4" w:space="0" w:color="auto"/>
              <w:left w:val="single" w:sz="4" w:space="0" w:color="auto"/>
              <w:bottom w:val="single" w:sz="4" w:space="0" w:color="auto"/>
              <w:right w:val="single" w:sz="4" w:space="0" w:color="auto"/>
            </w:tcBorders>
          </w:tcPr>
          <w:p w14:paraId="2155FB71" w14:textId="77777777" w:rsidR="00951F81" w:rsidRDefault="007079D3" w:rsidP="006829AE">
            <w:r>
              <w:t>1,5 (0,3, 2,7)</w:t>
            </w:r>
          </w:p>
        </w:tc>
        <w:tc>
          <w:tcPr>
            <w:tcW w:w="823" w:type="pct"/>
            <w:tcBorders>
              <w:top w:val="single" w:sz="4" w:space="0" w:color="auto"/>
              <w:left w:val="single" w:sz="4" w:space="0" w:color="auto"/>
              <w:bottom w:val="single" w:sz="4" w:space="0" w:color="auto"/>
              <w:right w:val="single" w:sz="4" w:space="0" w:color="auto"/>
            </w:tcBorders>
          </w:tcPr>
          <w:p w14:paraId="2155FB72" w14:textId="77777777" w:rsidR="00951F81" w:rsidRDefault="007079D3" w:rsidP="006829AE">
            <w:r>
              <w:t>20 (5, 33)**</w:t>
            </w:r>
          </w:p>
        </w:tc>
      </w:tr>
      <w:tr w:rsidR="00EA09FB" w14:paraId="2155FB79" w14:textId="77777777" w:rsidTr="006829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155FB74" w14:textId="77777777" w:rsidR="00951F81" w:rsidRDefault="007079D3" w:rsidP="006829AE">
            <w:r>
              <w:t>Μείζον μη-σπονδυλικό κάταγμα</w:t>
            </w:r>
            <w:r>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2155FB75" w14:textId="77777777" w:rsidR="00951F81" w:rsidRDefault="007079D3" w:rsidP="006829AE">
            <w:pPr>
              <w:jc w:val="center"/>
            </w:pPr>
            <w:r>
              <w:t>6,4</w:t>
            </w:r>
          </w:p>
        </w:tc>
        <w:tc>
          <w:tcPr>
            <w:tcW w:w="969" w:type="pct"/>
            <w:tcBorders>
              <w:top w:val="single" w:sz="4" w:space="0" w:color="auto"/>
              <w:left w:val="single" w:sz="4" w:space="0" w:color="auto"/>
              <w:bottom w:val="single" w:sz="4" w:space="0" w:color="auto"/>
              <w:right w:val="single" w:sz="4" w:space="0" w:color="auto"/>
            </w:tcBorders>
          </w:tcPr>
          <w:p w14:paraId="2155FB76" w14:textId="77777777" w:rsidR="00951F81" w:rsidRDefault="007079D3" w:rsidP="006829AE">
            <w:pPr>
              <w:jc w:val="center"/>
            </w:pPr>
            <w:r>
              <w:t>5,2</w:t>
            </w:r>
          </w:p>
        </w:tc>
        <w:tc>
          <w:tcPr>
            <w:tcW w:w="824" w:type="pct"/>
            <w:tcBorders>
              <w:top w:val="single" w:sz="4" w:space="0" w:color="auto"/>
              <w:left w:val="single" w:sz="4" w:space="0" w:color="auto"/>
              <w:bottom w:val="single" w:sz="4" w:space="0" w:color="auto"/>
              <w:right w:val="single" w:sz="4" w:space="0" w:color="auto"/>
            </w:tcBorders>
          </w:tcPr>
          <w:p w14:paraId="2155FB77" w14:textId="77777777" w:rsidR="00951F81" w:rsidRDefault="007079D3" w:rsidP="006829AE">
            <w:r>
              <w:t>1,2 (0,1, 2,2)</w:t>
            </w:r>
          </w:p>
        </w:tc>
        <w:tc>
          <w:tcPr>
            <w:tcW w:w="823" w:type="pct"/>
            <w:tcBorders>
              <w:top w:val="single" w:sz="4" w:space="0" w:color="auto"/>
              <w:left w:val="single" w:sz="4" w:space="0" w:color="auto"/>
              <w:bottom w:val="single" w:sz="4" w:space="0" w:color="auto"/>
              <w:right w:val="single" w:sz="4" w:space="0" w:color="auto"/>
            </w:tcBorders>
          </w:tcPr>
          <w:p w14:paraId="2155FB78" w14:textId="77777777" w:rsidR="00951F81" w:rsidRDefault="007079D3" w:rsidP="006829AE">
            <w:r>
              <w:t>20 (3, 34)*</w:t>
            </w:r>
          </w:p>
        </w:tc>
      </w:tr>
      <w:tr w:rsidR="00EA09FB" w14:paraId="2155FB7F" w14:textId="77777777" w:rsidTr="006829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155FB7A" w14:textId="77777777" w:rsidR="00951F81" w:rsidRDefault="007079D3" w:rsidP="006829AE">
            <w:r>
              <w:t>Μείζον οστεοπορωτικό κάταγμα</w:t>
            </w:r>
            <w:r>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2155FB7B" w14:textId="77777777" w:rsidR="00951F81" w:rsidRDefault="007079D3" w:rsidP="006829AE">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2155FB7C" w14:textId="77777777" w:rsidR="00951F81" w:rsidRDefault="007079D3" w:rsidP="006829AE">
            <w:pPr>
              <w:jc w:val="center"/>
            </w:pPr>
            <w:r>
              <w:t>5,3</w:t>
            </w:r>
          </w:p>
        </w:tc>
        <w:tc>
          <w:tcPr>
            <w:tcW w:w="824" w:type="pct"/>
            <w:tcBorders>
              <w:top w:val="single" w:sz="4" w:space="0" w:color="auto"/>
              <w:left w:val="single" w:sz="4" w:space="0" w:color="auto"/>
              <w:bottom w:val="single" w:sz="4" w:space="0" w:color="auto"/>
              <w:right w:val="single" w:sz="4" w:space="0" w:color="auto"/>
            </w:tcBorders>
          </w:tcPr>
          <w:p w14:paraId="2155FB7D" w14:textId="77777777" w:rsidR="00951F81" w:rsidRDefault="007079D3" w:rsidP="006829AE">
            <w:r>
              <w:t>2,7 (1,6, 3,9)</w:t>
            </w:r>
          </w:p>
        </w:tc>
        <w:tc>
          <w:tcPr>
            <w:tcW w:w="823" w:type="pct"/>
            <w:tcBorders>
              <w:top w:val="single" w:sz="4" w:space="0" w:color="auto"/>
              <w:left w:val="single" w:sz="4" w:space="0" w:color="auto"/>
              <w:bottom w:val="single" w:sz="4" w:space="0" w:color="auto"/>
              <w:right w:val="single" w:sz="4" w:space="0" w:color="auto"/>
            </w:tcBorders>
          </w:tcPr>
          <w:p w14:paraId="2155FB7E" w14:textId="77777777" w:rsidR="00951F81" w:rsidRDefault="007079D3" w:rsidP="006829AE">
            <w:r>
              <w:t>35 (22, 45)***</w:t>
            </w:r>
          </w:p>
        </w:tc>
      </w:tr>
    </w:tbl>
    <w:p w14:paraId="2155FB80" w14:textId="4E90DE1B" w:rsidR="00951F81" w:rsidRDefault="007079D3" w:rsidP="00951F81">
      <w:pPr>
        <w:keepNext/>
        <w:rPr>
          <w:sz w:val="20"/>
          <w:szCs w:val="20"/>
        </w:rPr>
      </w:pPr>
      <w:r>
        <w:rPr>
          <w:sz w:val="20"/>
        </w:rPr>
        <w:t xml:space="preserve">*p ≤ 0,05, **p = 0,0106 </w:t>
      </w:r>
      <w:r>
        <w:rPr>
          <w:i/>
          <w:sz w:val="20"/>
        </w:rPr>
        <w:t xml:space="preserve">(δευτερεύον </w:t>
      </w:r>
      <w:r w:rsidR="00F27B1C">
        <w:rPr>
          <w:i/>
          <w:sz w:val="20"/>
        </w:rPr>
        <w:t xml:space="preserve">καταληκτικό </w:t>
      </w:r>
      <w:r>
        <w:rPr>
          <w:i/>
          <w:sz w:val="20"/>
        </w:rPr>
        <w:t>σημείο που συμπεριλήφθηκε σε πολλαπλή προσαρμογή)</w:t>
      </w:r>
      <w:r>
        <w:rPr>
          <w:sz w:val="20"/>
        </w:rPr>
        <w:t>, ***p ≤ 0,0001</w:t>
      </w:r>
    </w:p>
    <w:p w14:paraId="2155FB81" w14:textId="77777777" w:rsidR="00951F81" w:rsidRDefault="007079D3" w:rsidP="00951F81">
      <w:pPr>
        <w:keepNext/>
        <w:rPr>
          <w:sz w:val="20"/>
          <w:szCs w:val="20"/>
        </w:rPr>
      </w:pPr>
      <w:r>
        <w:rPr>
          <w:sz w:val="20"/>
          <w:vertAlign w:val="superscript"/>
        </w:rPr>
        <w:t>+</w:t>
      </w:r>
      <w:r>
        <w:rPr>
          <w:sz w:val="20"/>
        </w:rPr>
        <w:t xml:space="preserve"> Συχνότητα εμφάνισης ανεπιθύμητων ενεργειών βάσει εκτιμήσεων Kaplan</w:t>
      </w:r>
      <w:r>
        <w:rPr>
          <w:sz w:val="20"/>
        </w:rPr>
        <w:noBreakHyphen/>
        <w:t>Meier στα 3 χρόνια.</w:t>
      </w:r>
    </w:p>
    <w:p w14:paraId="2155FB82" w14:textId="77777777" w:rsidR="00951F81" w:rsidRDefault="007079D3" w:rsidP="00951F81">
      <w:pPr>
        <w:keepNext/>
        <w:rPr>
          <w:sz w:val="20"/>
          <w:szCs w:val="20"/>
        </w:rPr>
      </w:pPr>
      <w:r>
        <w:rPr>
          <w:sz w:val="20"/>
          <w:vertAlign w:val="superscript"/>
        </w:rPr>
        <w:t>1</w:t>
      </w:r>
      <w:r>
        <w:rPr>
          <w:sz w:val="20"/>
        </w:rPr>
        <w:t xml:space="preserve"> Περιλαμβάνει τα κλινικά σπονδυλικά και μη -σπονδυλικά κατάγματα.</w:t>
      </w:r>
    </w:p>
    <w:p w14:paraId="2155FB83" w14:textId="77777777" w:rsidR="00951F81" w:rsidRDefault="007079D3" w:rsidP="00951F81">
      <w:pPr>
        <w:keepNext/>
        <w:rPr>
          <w:sz w:val="20"/>
          <w:szCs w:val="20"/>
        </w:rPr>
      </w:pPr>
      <w:r>
        <w:rPr>
          <w:sz w:val="20"/>
          <w:vertAlign w:val="superscript"/>
        </w:rPr>
        <w:t>2</w:t>
      </w:r>
      <w:r>
        <w:rPr>
          <w:sz w:val="20"/>
        </w:rPr>
        <w:t xml:space="preserve"> Δεν περιλαμβάνει τα κατάγματα των σπονδύλων, του κρανίου, του προσώπου, της κάτω γνάθου, του μετακαρπίου, και των φαλάγγων των δακτύλων των χεριών και των ποδιών.</w:t>
      </w:r>
    </w:p>
    <w:p w14:paraId="2155FB84" w14:textId="77777777" w:rsidR="00951F81" w:rsidRDefault="007079D3" w:rsidP="00951F81">
      <w:pPr>
        <w:keepNext/>
        <w:rPr>
          <w:sz w:val="20"/>
          <w:szCs w:val="20"/>
        </w:rPr>
      </w:pPr>
      <w:r>
        <w:rPr>
          <w:sz w:val="20"/>
          <w:vertAlign w:val="superscript"/>
        </w:rPr>
        <w:t>3</w:t>
      </w:r>
      <w:r>
        <w:rPr>
          <w:sz w:val="20"/>
        </w:rPr>
        <w:t xml:space="preserve"> Περιλαμβάνει τα κατάγματα της πυέλου, του άπω άκρου του μηριαίου, του εγγύς τμήματος της κνήμης, των πλευρών, του εγγύς βραχιονίου, του αντιβραχίου, και του ισχίου.</w:t>
      </w:r>
    </w:p>
    <w:p w14:paraId="2155FB85" w14:textId="77777777" w:rsidR="00951F81" w:rsidRDefault="007079D3" w:rsidP="00951F81">
      <w:pPr>
        <w:rPr>
          <w:sz w:val="20"/>
          <w:szCs w:val="20"/>
        </w:rPr>
      </w:pPr>
      <w:r>
        <w:rPr>
          <w:sz w:val="20"/>
          <w:vertAlign w:val="superscript"/>
        </w:rPr>
        <w:t>4</w:t>
      </w:r>
      <w:r>
        <w:rPr>
          <w:sz w:val="20"/>
        </w:rPr>
        <w:t xml:space="preserve"> Περιλαμβάνει τα κλινικά σπονδυλικά κατάγματα, τα κατάγματα του ισχίου, του αντιβραχίου, και του βραχιονίου, όπως ορίζονται από τον ΠΟΥ.</w:t>
      </w:r>
    </w:p>
    <w:p w14:paraId="2155FB86" w14:textId="77777777" w:rsidR="00951F81" w:rsidRDefault="00951F81" w:rsidP="00951F81"/>
    <w:p w14:paraId="2155FB87" w14:textId="2C5A67C1" w:rsidR="00951F81" w:rsidRDefault="007079D3" w:rsidP="00951F81">
      <w:r>
        <w:t>Σε γυναίκες με BMD του αυχένα του μηριαίου κατά την έναρξη ≤ </w:t>
      </w:r>
      <w:r>
        <w:noBreakHyphen/>
        <w:t xml:space="preserve">2,5, </w:t>
      </w:r>
      <w:r w:rsidR="00D152B9">
        <w:t>η</w:t>
      </w:r>
      <w:r>
        <w:t xml:space="preserve"> </w:t>
      </w:r>
      <w:r w:rsidR="00A050CB">
        <w:t>δενοσουμάμπη</w:t>
      </w:r>
      <w:r w:rsidR="007E0F77" w:rsidRPr="007E0F77">
        <w:t xml:space="preserve"> </w:t>
      </w:r>
      <w:r>
        <w:t>μείωσε τον κίνδυνο μη</w:t>
      </w:r>
      <w:r>
        <w:noBreakHyphen/>
        <w:t>σπονδυλικών καταγμάτων (μείωση του σχετικού κινδύνου κατά 35%, μείωση του απόλυτου κινδύνου κατά 4,1%, p &lt; 0,001, διερευνητική ανάλυση).</w:t>
      </w:r>
    </w:p>
    <w:p w14:paraId="2155FB88" w14:textId="77777777" w:rsidR="00951F81" w:rsidRDefault="00951F81" w:rsidP="00951F81"/>
    <w:p w14:paraId="2155FB89" w14:textId="16C170E5" w:rsidR="00951F81" w:rsidRDefault="007079D3" w:rsidP="00951F81">
      <w:r>
        <w:t>Η μείωση της συχνότητας εμφάνισης νέων σπονδυλικών καταγμάτων, καταγμάτων του ισχίου και μη</w:t>
      </w:r>
      <w:r>
        <w:noBreakHyphen/>
        <w:t>σπονδυλικών καταγμάτων από τ</w:t>
      </w:r>
      <w:r w:rsidR="00D152B9">
        <w:t>η</w:t>
      </w:r>
      <w:r>
        <w:t xml:space="preserve"> </w:t>
      </w:r>
      <w:r w:rsidR="00A050CB">
        <w:t>δενοσουμάμπη</w:t>
      </w:r>
      <w:r w:rsidR="007E0F77" w:rsidRPr="007E0F77">
        <w:t xml:space="preserve"> </w:t>
      </w:r>
      <w:r>
        <w:t>σε διάστημα 3 ετών ήταν σταθερή ανεξαρτήτως του 10</w:t>
      </w:r>
      <w:r>
        <w:noBreakHyphen/>
        <w:t>ετούς κινδύνου κατάγματος κατά την έναρξη της αγωγής.</w:t>
      </w:r>
    </w:p>
    <w:p w14:paraId="2155FB8A" w14:textId="77777777" w:rsidR="00951F81" w:rsidRDefault="00951F81" w:rsidP="00951F81"/>
    <w:p w14:paraId="2155FB8B" w14:textId="77777777" w:rsidR="00951F81" w:rsidRDefault="007079D3" w:rsidP="00951F81">
      <w:pPr>
        <w:keepNext/>
        <w:tabs>
          <w:tab w:val="clear" w:pos="567"/>
        </w:tabs>
        <w:rPr>
          <w:i/>
          <w:iCs/>
        </w:rPr>
      </w:pPr>
      <w:r>
        <w:rPr>
          <w:i/>
        </w:rPr>
        <w:t>Επίδραση στην οστική πυκνότητα</w:t>
      </w:r>
    </w:p>
    <w:p w14:paraId="2155FB8C" w14:textId="182856DE" w:rsidR="007E0F77" w:rsidRPr="00BB4DA7" w:rsidRDefault="00D152B9" w:rsidP="00951F81">
      <w:r>
        <w:t xml:space="preserve">Η </w:t>
      </w:r>
      <w:r w:rsidR="00A050CB">
        <w:t>δενοσουμάμπη</w:t>
      </w:r>
      <w:r w:rsidR="007079D3" w:rsidRPr="007E0F77">
        <w:t xml:space="preserve"> </w:t>
      </w:r>
      <w:r w:rsidR="007079D3">
        <w:t xml:space="preserve">αύξησε σημαντικά την BMD σε όλες τις κλινικές θέσεις που μετρήθηκαν, έναντι του εικονικού φαρμάκου μετά από 1, 2 και 3 έτη. </w:t>
      </w:r>
    </w:p>
    <w:p w14:paraId="2155FB8D" w14:textId="68A7A559" w:rsidR="00951F81" w:rsidRDefault="007079D3" w:rsidP="00951F81">
      <w:r>
        <w:t xml:space="preserve">Σε διάστημα 3 ετών </w:t>
      </w:r>
      <w:r w:rsidR="00D152B9">
        <w:t>η</w:t>
      </w:r>
      <w:r>
        <w:t xml:space="preserve"> </w:t>
      </w:r>
      <w:r w:rsidR="00A050CB">
        <w:t>δενοσουμάμπη</w:t>
      </w:r>
      <w:r w:rsidR="00F27B1C">
        <w:t xml:space="preserve"> </w:t>
      </w:r>
      <w:r>
        <w:t>αύξησε την BMD κατά 9,2% στην οσφυϊκή μοίρα της σπονδυλικής στήλης, 6,0% στο ολικό ισχίο, 4,8% στον αυχένα του μηριαίου, 7,9% στον τροχαντήρα του ισχίου, 3,5% στο άπω τριτημόριο της κερκίδας και 4,1% στο ολικό σώμα (όλες οι τιμές p &lt; 0,0001).</w:t>
      </w:r>
    </w:p>
    <w:p w14:paraId="2155FB8E" w14:textId="77777777" w:rsidR="00951F81" w:rsidRDefault="00951F81" w:rsidP="00951F81"/>
    <w:p w14:paraId="2155FB8F" w14:textId="4C35FE60" w:rsidR="00951F81" w:rsidRDefault="007079D3" w:rsidP="00951F81">
      <w:r>
        <w:t>Σε κλινικές μελέτες για την εξέταση των επιδράσεων της διακοπής τ</w:t>
      </w:r>
      <w:r w:rsidR="00D152B9">
        <w:t>ης</w:t>
      </w:r>
      <w:r>
        <w:t xml:space="preserve"> </w:t>
      </w:r>
      <w:r w:rsidR="00A050CB">
        <w:t>δενοσουμάμπη</w:t>
      </w:r>
      <w:r w:rsidR="00D152B9">
        <w:t>ς</w:t>
      </w:r>
      <w:r>
        <w:t>, η BMD επανήλθε σχεδόν στα επίπεδα πριν από τη θεραπεία σε διάστημα 18 μηνών από την τελευταία δόση και παρέμεινε πάνω από αυτά που παρατηρήθηκαν κατά τη χορήγηση εικονικού φαρμάκου. Αυτά τα στοιχεία δείχνουν ότι απαιτείται η συνεχής θεραπεία με τ</w:t>
      </w:r>
      <w:r w:rsidR="00D152B9">
        <w:t>η</w:t>
      </w:r>
      <w:r>
        <w:t xml:space="preserve"> </w:t>
      </w:r>
      <w:r w:rsidR="00A050CB">
        <w:t>δενοσουμάμπη</w:t>
      </w:r>
      <w:r w:rsidR="007E0F77" w:rsidRPr="007E0F77">
        <w:t xml:space="preserve"> </w:t>
      </w:r>
      <w:r>
        <w:t>για τη διατήρηση της δράσης του φαρμακευτικού προϊόντος. Η επαναχορήγηση τ</w:t>
      </w:r>
      <w:r w:rsidR="002A429B">
        <w:t>ης</w:t>
      </w:r>
      <w:r>
        <w:t xml:space="preserve"> </w:t>
      </w:r>
      <w:r w:rsidR="00A050CB">
        <w:t>δενοσουμάμπη</w:t>
      </w:r>
      <w:r w:rsidR="002A429B">
        <w:t>ς</w:t>
      </w:r>
      <w:r w:rsidR="007E0F77" w:rsidRPr="007E0F77">
        <w:t xml:space="preserve"> </w:t>
      </w:r>
      <w:r>
        <w:t xml:space="preserve">επέφερε παρόμοια οφέλη στην BMD με αυτά που παρατηρήθηκαν όταν </w:t>
      </w:r>
      <w:r w:rsidR="00D152B9">
        <w:t xml:space="preserve">η </w:t>
      </w:r>
      <w:r w:rsidR="00A050CB">
        <w:t>δενοσουμάμπη</w:t>
      </w:r>
      <w:r w:rsidR="007E0F77" w:rsidRPr="007E0F77">
        <w:t xml:space="preserve"> </w:t>
      </w:r>
      <w:r>
        <w:t>χορηγήθηκε για πρώτη φορά.</w:t>
      </w:r>
    </w:p>
    <w:p w14:paraId="2155FB90" w14:textId="77777777" w:rsidR="00951F81" w:rsidRDefault="00951F81" w:rsidP="00951F81"/>
    <w:p w14:paraId="2155FB91" w14:textId="4E6C8D0E" w:rsidR="00951F81" w:rsidRDefault="00F27B1C" w:rsidP="00951F81">
      <w:pPr>
        <w:keepNext/>
        <w:tabs>
          <w:tab w:val="clear" w:pos="567"/>
        </w:tabs>
        <w:rPr>
          <w:i/>
          <w:iCs/>
        </w:rPr>
      </w:pPr>
      <w:r>
        <w:rPr>
          <w:i/>
        </w:rPr>
        <w:t xml:space="preserve">Ανοικτής επισήμανσης </w:t>
      </w:r>
      <w:r w:rsidR="007079D3">
        <w:rPr>
          <w:i/>
        </w:rPr>
        <w:t>μελέτη επέκτασης για την θεραπεία της μετεμμηνοπαυσιακής οστεοπόρωσης</w:t>
      </w:r>
    </w:p>
    <w:p w14:paraId="2155FB92" w14:textId="0F967388" w:rsidR="00951F81" w:rsidRDefault="007079D3" w:rsidP="00951F81">
      <w:r>
        <w:t>Σε σύνολο 4.550 γυναικών (2.343 </w:t>
      </w:r>
      <w:r w:rsidR="00A050CB">
        <w:t>δενοσουμάμπη</w:t>
      </w:r>
      <w:r w:rsidR="007E0F77" w:rsidRPr="007E0F77">
        <w:t xml:space="preserve"> </w:t>
      </w:r>
      <w:r>
        <w:t xml:space="preserve">και 2.207 εικονικό φάρμακο) οι οποίες έχασαν όχι περισσότερες από μια δόσεις του </w:t>
      </w:r>
      <w:r w:rsidR="007207EE" w:rsidRPr="007207EE">
        <w:t>υπό</w:t>
      </w:r>
      <w:r>
        <w:t xml:space="preserve"> έρευνα φαρμακευτικού προϊόντος στη</w:t>
      </w:r>
      <w:r w:rsidR="003C6E0E">
        <w:t xml:space="preserve"> βασική</w:t>
      </w:r>
      <w:r>
        <w:t xml:space="preserve"> μελέτη που περιγράφεται παραπάνω και ολοκλήρωσαν την επίσκεψη στον μήνα 36 της μελέτης συμφώνησαν να συμμετάσχουν σε μια 7ετή, πολυεθνική, πολυκεντρική, </w:t>
      </w:r>
      <w:r w:rsidR="003C6E0E">
        <w:t>ανοικτής επισήμανσης</w:t>
      </w:r>
      <w:r>
        <w:t xml:space="preserve">, </w:t>
      </w:r>
      <w:r w:rsidR="003C6E0E">
        <w:t xml:space="preserve">μονού </w:t>
      </w:r>
      <w:r>
        <w:t xml:space="preserve">σκέλους μελέτη επέκτασης για την αξιολόγηση της μακροπρόθεσμης ασφάλειας και αποτελεσματικότητας </w:t>
      </w:r>
      <w:r w:rsidR="00D152B9">
        <w:t xml:space="preserve">της </w:t>
      </w:r>
      <w:r w:rsidR="00A050CB">
        <w:t>δενοσουμάμπη</w:t>
      </w:r>
      <w:r w:rsidR="00D152B9">
        <w:t>ς</w:t>
      </w:r>
      <w:r>
        <w:t xml:space="preserve">. Όλες οι γυναίκες στην μελέτη επέκτασης επρόκειτο να λάβουν </w:t>
      </w:r>
      <w:r w:rsidR="00A050CB">
        <w:t>δενοσουμάμπη</w:t>
      </w:r>
      <w:r w:rsidR="007E0F77" w:rsidRPr="007E0F77">
        <w:t xml:space="preserve"> </w:t>
      </w:r>
      <w:r>
        <w:t>60 mg κάθε 6 μήνες καθώς και ασβέστιο ημερησίως (τουλάχιστον 1 g) και βιταμίνη D (τουλάχιστον 400 IU). Συνολικά 2.626 ασθενείς (58% από τις γυναίκες που συμπεριλήφθηκαν στη μελέτη επέκτασης, δηλ. 34% των γυναικών που συμπεριλήφθηκαν στη</w:t>
      </w:r>
      <w:r w:rsidR="003C6E0E">
        <w:t xml:space="preserve"> βασική</w:t>
      </w:r>
      <w:r>
        <w:t xml:space="preserve"> μελέτη) ολοκλήρωσαν τη μελέτη επέκτασης.</w:t>
      </w:r>
    </w:p>
    <w:p w14:paraId="2155FB93" w14:textId="77777777" w:rsidR="00951F81" w:rsidRDefault="00951F81" w:rsidP="00951F81"/>
    <w:p w14:paraId="2155FB94" w14:textId="398087CF" w:rsidR="00951F81" w:rsidRDefault="007079D3" w:rsidP="00951F81">
      <w:r>
        <w:t xml:space="preserve">Στους ασθενείς που έλαβαν </w:t>
      </w:r>
      <w:r w:rsidR="00A050CB">
        <w:t>δενοσουμάμπη</w:t>
      </w:r>
      <w:r w:rsidR="007E0F77" w:rsidRPr="007E0F77">
        <w:t xml:space="preserve"> </w:t>
      </w:r>
      <w:r>
        <w:t>για 10 έτη η BMD αυξήθηκε από την αρχική τιμή αναφοράς στη</w:t>
      </w:r>
      <w:r w:rsidR="003C6E0E">
        <w:t xml:space="preserve"> βασική</w:t>
      </w:r>
      <w:r>
        <w:t xml:space="preserve"> μελέτη κατά 21,7% στην οσφυϊκή μοίρα της σπονδυλικής στήλης, 9,2% στο ολικό ισχίο, 9,0% στον αυχένα του μηριαίου, 13,0% στον τροχαντήρα και 2,8% στο άπω τριτημόριο της κερκίδας. Η μέση τιμή Τ</w:t>
      </w:r>
      <w:r>
        <w:noBreakHyphen/>
        <w:t>score ΒΜD της οσφυϊκής μοίρας της σπονδυλικής στήλης στο τέλος της μελέτης ήταν −1,3 σε ασθενείς που έλαβαν θεραπεία για 10 έτη.</w:t>
      </w:r>
    </w:p>
    <w:p w14:paraId="2155FB95" w14:textId="77777777" w:rsidR="00951F81" w:rsidRDefault="00951F81" w:rsidP="00951F81"/>
    <w:p w14:paraId="2155FB96" w14:textId="67DC644D" w:rsidR="00951F81" w:rsidRDefault="007079D3" w:rsidP="00951F81">
      <w:r>
        <w:t xml:space="preserve">Η συχνότητα εμφάνισης καταγμάτων αξιολογήθηκε ως </w:t>
      </w:r>
      <w:r w:rsidR="003C6E0E">
        <w:t xml:space="preserve">καταληκτικό </w:t>
      </w:r>
      <w:r>
        <w:t xml:space="preserve">σημείο ασφάλειας αλλά η αποτελεσματικότητα στην πρόληψη των καταγμάτων δεν μπορεί να εκτιμηθεί λόγω του μεγάλου αριθμού διακοπών και του σχεδιασμού της μελέτης </w:t>
      </w:r>
      <w:r w:rsidR="003C6E0E">
        <w:t>ανοικτής επισήμανσης</w:t>
      </w:r>
      <w:r>
        <w:t xml:space="preserve">. Η σωρευτική συχνότητα εμφάνισης νέων σπονδυλικών και μη σπονδυλικών καταγμάτων ήταν κατά προσέγγιση περίπου 6,8% και 13,1% αντιστοίχως, σε ασθενείς που παρέμειναν σε θεραπεία με </w:t>
      </w:r>
      <w:r w:rsidR="00A050CB">
        <w:t>δενοσουμάμπη</w:t>
      </w:r>
      <w:r>
        <w:t xml:space="preserve"> για 10 έτη (n = 1.278). Ασθενείς που δεν ολοκλήρωσαν τη μελέτη για οποιοδήποτε λόγο είχαν υψηλότερα ποσοστά κατάγματος κατά την θεραπεία.</w:t>
      </w:r>
    </w:p>
    <w:p w14:paraId="2155FB97" w14:textId="77777777" w:rsidR="00951F81" w:rsidRDefault="00951F81" w:rsidP="00951F81"/>
    <w:p w14:paraId="2155FB98" w14:textId="77777777" w:rsidR="00951F81" w:rsidRDefault="007079D3" w:rsidP="00951F81">
      <w:r>
        <w:t>Δεκατρία περιστατικά οστεονέκρωσης της γνάθου (ΟΝΓ) τα οποία επιλύθηκαν και δύο άτυπα κατάγματα του μηριαίου οστού τα οποία επιλύθηκαν, συνέβησαν κατά τη διάρκεια της μελέτης επέκτασης.</w:t>
      </w:r>
    </w:p>
    <w:p w14:paraId="2155FB99" w14:textId="77777777" w:rsidR="00951F81" w:rsidRDefault="00951F81" w:rsidP="00951F81"/>
    <w:p w14:paraId="2155FB9A" w14:textId="77777777" w:rsidR="00951F81" w:rsidRDefault="007079D3" w:rsidP="00951F81">
      <w:pPr>
        <w:keepNext/>
        <w:rPr>
          <w:u w:val="single"/>
        </w:rPr>
      </w:pPr>
      <w:r>
        <w:rPr>
          <w:u w:val="single"/>
        </w:rPr>
        <w:t>Κλινική αποτελεσματικότητα και ασφάλεια σε άνδρες με οστεοπόρωση</w:t>
      </w:r>
    </w:p>
    <w:p w14:paraId="2155FB9B" w14:textId="77777777" w:rsidR="00951F81" w:rsidRDefault="00951F81" w:rsidP="00951F81">
      <w:pPr>
        <w:keepNext/>
      </w:pPr>
    </w:p>
    <w:p w14:paraId="2155FB9C" w14:textId="0FB9545F" w:rsidR="00951F81" w:rsidRDefault="007079D3" w:rsidP="00951F81">
      <w:r>
        <w:t>Η αποτελεσματικότητα και η ασφάλεια τ</w:t>
      </w:r>
      <w:r w:rsidR="00D152B9">
        <w:t>ης</w:t>
      </w:r>
      <w:r>
        <w:t xml:space="preserve"> </w:t>
      </w:r>
      <w:r w:rsidR="00A050CB">
        <w:t>δενοσουμάμπη</w:t>
      </w:r>
      <w:r w:rsidR="00D95822">
        <w:t>ς</w:t>
      </w:r>
      <w:r w:rsidR="007E0F77" w:rsidRPr="007E0F77">
        <w:t xml:space="preserve"> </w:t>
      </w:r>
      <w:r>
        <w:t xml:space="preserve">μία φορά </w:t>
      </w:r>
      <w:r w:rsidR="0062052B">
        <w:t xml:space="preserve">κάθε </w:t>
      </w:r>
      <w:r>
        <w:t>6 μήνες για 1 έτος διερευνήθηκαν σε 242 άνδρες ηλικίας 31</w:t>
      </w:r>
      <w:r>
        <w:noBreakHyphen/>
        <w:t>84 ετών. Ασθενείς με eGFR&lt; 30 ml/min/1,73 m</w:t>
      </w:r>
      <w:r>
        <w:rPr>
          <w:vertAlign w:val="superscript"/>
        </w:rPr>
        <w:t>2</w:t>
      </w:r>
      <w:r>
        <w:t xml:space="preserve"> αποκλείστηκαν από τη δοκιμή. Όλοι οι άνδρες έλαβαν καθημερινά συμπλήρωμα ασβεστίου (τουλάχιστον 1.000 mg) και βιταμίνης D (τουλάχιστον 800 IU).</w:t>
      </w:r>
    </w:p>
    <w:p w14:paraId="2155FB9D" w14:textId="77777777" w:rsidR="00951F81" w:rsidRDefault="00951F81" w:rsidP="00951F81"/>
    <w:p w14:paraId="2155FB9E" w14:textId="3B574A72" w:rsidR="00951F81" w:rsidRDefault="007079D3" w:rsidP="00951F81">
      <w:r w:rsidRPr="00BB4DA7">
        <w:t xml:space="preserve">Η κύρια μεταβλητή της αποτελεσματικότητας ήταν η εκατοστιαία μεταβολή της BMD στην οσφυϊκή μοίρα της σπονδυλικής στήλης, δεν αξιολογήθηκε η αποτελεσματικότητα στα κατάγματα. </w:t>
      </w:r>
      <w:r w:rsidR="00D152B9">
        <w:t xml:space="preserve">Η </w:t>
      </w:r>
      <w:r w:rsidR="00A050CB">
        <w:t>δενοσουμάμπη</w:t>
      </w:r>
      <w:r w:rsidR="007E0F77" w:rsidRPr="007E0F77">
        <w:t xml:space="preserve"> </w:t>
      </w:r>
      <w:r>
        <w:t xml:space="preserve">αύξησε σημαντικά την BMD σε όλα τα κλινικά σημεία όπου μετρήθηκε, σε σχέση με το εικονικό φάρμακο στους 12 μήνες: 4,8% στην οσφυϊκή μοίρα της σπονδυλικής στήλης, 2,0% στο ολικό ισχίο, 2,2% στον αυχένα του μηριαίου οστού, 2,3% στον τροχαντήρα του ισχίου, και 0,9% στο άπω τριτημόριο της κερκίδας (όλες οι τιμές p &lt; 0,05). </w:t>
      </w:r>
      <w:r w:rsidR="00D152B9">
        <w:t xml:space="preserve">Η </w:t>
      </w:r>
      <w:r w:rsidR="00A050CB">
        <w:t>δενοσουμάμπη</w:t>
      </w:r>
      <w:r w:rsidR="007E0F77" w:rsidRPr="007E0F77">
        <w:t xml:space="preserve"> </w:t>
      </w:r>
      <w:r>
        <w:t>αύξησε την BMD της οσφυϊκής μοίρας της σπονδυλικής στήλης από την αρχική τιμή στο 94,7% των ανδρών στο 1 έτος. Σημαντικές αυξήσεις στην BMD στην οσφυϊκή μοίρα της σπονδυλικής στήλης, το ολικό ισχίο, τον αυχένα του μηριαίου οστού και τον τροχαντήρα του ισχίου παρατηρήθηκαν στους 6 μήνες (p &lt; 0,0001).</w:t>
      </w:r>
    </w:p>
    <w:p w14:paraId="2155FB9F" w14:textId="77777777" w:rsidR="00951F81" w:rsidRDefault="00951F81" w:rsidP="00951F81"/>
    <w:p w14:paraId="2155FBA0" w14:textId="77777777" w:rsidR="00951F81" w:rsidRDefault="007079D3" w:rsidP="00951F81">
      <w:pPr>
        <w:keepNext/>
        <w:rPr>
          <w:u w:val="single"/>
        </w:rPr>
      </w:pPr>
      <w:r>
        <w:rPr>
          <w:u w:val="single"/>
        </w:rPr>
        <w:t>Ιστολογία οστού σε μετεμμηνοπαυσιακές γυναίκες και άνδρες με οστεοπόρωση</w:t>
      </w:r>
    </w:p>
    <w:p w14:paraId="2155FBA1" w14:textId="77777777" w:rsidR="00951F81" w:rsidRDefault="00951F81" w:rsidP="00951F81">
      <w:pPr>
        <w:keepNext/>
      </w:pPr>
    </w:p>
    <w:p w14:paraId="2155FBA2" w14:textId="325D910F" w:rsidR="00951F81" w:rsidRDefault="007079D3" w:rsidP="00951F81">
      <w:r>
        <w:t>Αξιολογήθηκε η ιστολογία των οστών σε 62 μετεμμηνοπαυσιακές γυναίκες με οστεοπόρωση ή χαμηλή οστική μάζα μετά από 1</w:t>
      </w:r>
      <w:r>
        <w:noBreakHyphen/>
        <w:t xml:space="preserve">3 χρόνια θεραπείας με </w:t>
      </w:r>
      <w:r w:rsidR="00A050CB">
        <w:t>δενοσουμάμπη</w:t>
      </w:r>
      <w:r>
        <w:t>, οι οποίες είτε έλαβαν για πρώτη φορά θεραπεία για την οστεοπόρωση είτε είχαν λάβει προηγουμένως θεραπεία με αλενδρονάτη. Πενήντα εννέα γυναίκες συμμετείχαν στην υπο</w:t>
      </w:r>
      <w:r>
        <w:noBreakHyphen/>
        <w:t xml:space="preserve">μελέτη με βιοψία οστών στους 24 μήνες (n = 41) ή/και στον μήνα 84 (n = 22) της μελέτης επέκτασης σε μετεμμηνοπαυσιακές γυναίκες με οστεοπόρωση. Η ιστολογία των οστών αξιολογήθηκε επίσης σε 17 άνδρες με οστεοπόρωση μετά από 1 χρόνο θεραπείας με </w:t>
      </w:r>
      <w:r w:rsidR="00A050CB">
        <w:t>δενοσουμάμπη</w:t>
      </w:r>
      <w:r>
        <w:t xml:space="preserve">. Τα </w:t>
      </w:r>
      <w:r w:rsidR="0062052B">
        <w:t>αποτελέσματα</w:t>
      </w:r>
      <w:r>
        <w:t xml:space="preserve"> της βιοψίας οστών έδειξαν φυσιολογική αρχιτεκτονική και ποιότητα των οστών, χωρίς ενδείξεις διαταραχών της επιμετάλλωσης, ινώδους πώρου ή ίνωσης του μυελού. Τα ιστομορφομετρικά ευρήματα στη μελέτη επέκτασης σε μετεμμηνοπαυσιακές γυναίκες με οστεοπόρωση έδειξαν ότι οι αντιαπορροφητικές επιδράσεις τ</w:t>
      </w:r>
      <w:r w:rsidR="00D95822">
        <w:t>ης</w:t>
      </w:r>
      <w:r>
        <w:t xml:space="preserve"> </w:t>
      </w:r>
      <w:r w:rsidR="00A050CB">
        <w:t>δενοσουμάμπη</w:t>
      </w:r>
      <w:r w:rsidR="00D95822">
        <w:t>ς</w:t>
      </w:r>
      <w:r>
        <w:t>, όπως μετρήθηκαν με συχνότητα ενεργοποίησης και ρυθμό οστικού σχηματισμού, διατηρήθηκαν με την πάροδο του χρόνου.</w:t>
      </w:r>
    </w:p>
    <w:p w14:paraId="2155FBA3" w14:textId="77777777" w:rsidR="00951F81" w:rsidRDefault="00951F81" w:rsidP="00951F81"/>
    <w:p w14:paraId="2155FBA4" w14:textId="77777777" w:rsidR="00951F81" w:rsidRDefault="007079D3" w:rsidP="00951F81">
      <w:pPr>
        <w:keepNext/>
        <w:rPr>
          <w:u w:val="single"/>
        </w:rPr>
      </w:pPr>
      <w:r>
        <w:rPr>
          <w:u w:val="single"/>
        </w:rPr>
        <w:t>Κλινική αποτελεσματικότητα και ασφάλεια σε ασθενείς με οστική απώλεια που σχετίζεται με τη στέρηση ανδρογόνων</w:t>
      </w:r>
    </w:p>
    <w:p w14:paraId="2155FBA5" w14:textId="77777777" w:rsidR="00951F81" w:rsidRDefault="00951F81" w:rsidP="00951F81">
      <w:pPr>
        <w:keepNext/>
      </w:pPr>
    </w:p>
    <w:p w14:paraId="2155FBA6" w14:textId="3F107467" w:rsidR="00951F81" w:rsidRDefault="007079D3" w:rsidP="00951F81">
      <w:r>
        <w:t>Η αποτελεσματικότητα και η ασφάλεια τ</w:t>
      </w:r>
      <w:r w:rsidR="00234B11">
        <w:t>ης</w:t>
      </w:r>
      <w:r>
        <w:t xml:space="preserve"> </w:t>
      </w:r>
      <w:r w:rsidR="00A050CB">
        <w:t>δενοσουμάμπη</w:t>
      </w:r>
      <w:r w:rsidR="00234B11">
        <w:t>ς</w:t>
      </w:r>
      <w:r w:rsidR="007E0F77" w:rsidRPr="007E0F77">
        <w:t xml:space="preserve"> </w:t>
      </w:r>
      <w:r>
        <w:t xml:space="preserve">χορηγούμενου μια φορά </w:t>
      </w:r>
      <w:r w:rsidR="0062052B">
        <w:t xml:space="preserve">κάθε </w:t>
      </w:r>
      <w:r>
        <w:t>6 μήνες για 3 έτη διερευνήθηκε σε άνδρες με ιστολογικά επιβεβαιωμένο μη μεταστατικό καρκίνο του προστάτη που λάμβαναν ADT (1.468 άνδρες ηλικίας 48</w:t>
      </w:r>
      <w:r>
        <w:noBreakHyphen/>
        <w:t>97 ετών) που διέτρεχαν αυξημένο κίνδυνο κατάγματος (που ορίζεται ως ηλικία &gt; 70 ετών ή &lt; 70 ετών με T</w:t>
      </w:r>
      <w:r>
        <w:noBreakHyphen/>
        <w:t>score BMD της οσφυϊκής μοίρας της σπονδυλικής στήλης, του ολικού ισχίου ή του αυχένα του μηριαίου &lt; </w:t>
      </w:r>
      <w:r>
        <w:noBreakHyphen/>
        <w:t>1,0 ή ιστορικό οστεοπορωτικού κατάγματος). Όλοι οι άνδρες λάμβαναν συμπληρώματα ασβεστίου (τουλάχιστον 1.000 mg) και βιταμίνης D (τουλάχιστον 400 IU) καθημερινά.</w:t>
      </w:r>
    </w:p>
    <w:p w14:paraId="2155FBA7" w14:textId="77777777" w:rsidR="00951F81" w:rsidRDefault="00951F81" w:rsidP="00951F81"/>
    <w:p w14:paraId="2155FBA8" w14:textId="5A46383C" w:rsidR="00951F81" w:rsidRDefault="00234B11" w:rsidP="00951F81">
      <w:r>
        <w:t>Η</w:t>
      </w:r>
      <w:r w:rsidR="007079D3">
        <w:t xml:space="preserve"> </w:t>
      </w:r>
      <w:r w:rsidR="00A050CB">
        <w:t>δενοσουμάμπη</w:t>
      </w:r>
      <w:r w:rsidR="007E0F77" w:rsidRPr="007E0F77">
        <w:t xml:space="preserve"> </w:t>
      </w:r>
      <w:r w:rsidR="007079D3">
        <w:t>αύξησε σημαντικά την BMD σε όλες τις κλινικές θέσεις που μετρήθηκαν, σε σχέση με τη θεραπεία με εικονικό φάρμακο στα 3 χρόνια: 7,9% στην οσφυϊκή μοίρα της σπονδυλικής στήλης, 5,7% στο ολικό ισχίο, 4,9% στον αυχένα του μηριαίου, 6,9% στον τροχαντήρα του ισχίου, 6,9% στο άπω τριτημόριο της κερκίδας και 4,7% στο ολικό σώμα (όλες οι τιμές p &lt; 0,0001). Σε μια προοπτικά προγραμματισμένη διερευνητική ανάλυση, παρατηρήθηκε σημαντική αύξηση της BMD της οσφυϊκής μοίρας της σπονδυλικής στήλης, του ολικού ισχίου, του αυχένα του μηριαίου και του τροχαντήρα του ισχίου μέσα σε 1 μόλις μήνα μετά την αρχική δόση.</w:t>
      </w:r>
    </w:p>
    <w:p w14:paraId="2155FBA9" w14:textId="77777777" w:rsidR="00951F81" w:rsidRDefault="00951F81" w:rsidP="00951F81"/>
    <w:p w14:paraId="2155FBAA" w14:textId="3471E41B" w:rsidR="00951F81" w:rsidRDefault="00234B11" w:rsidP="00951F81">
      <w:r>
        <w:t xml:space="preserve">Η </w:t>
      </w:r>
      <w:r w:rsidR="00A050CB">
        <w:t>δενοσουμάμπη</w:t>
      </w:r>
      <w:r w:rsidR="007E0F77" w:rsidRPr="007E0F77">
        <w:t xml:space="preserve"> </w:t>
      </w:r>
      <w:r w:rsidR="007079D3">
        <w:t>επέδειξε σημαντική μείωση του σχετικού κινδύνου νέων σπονδυλικών καταγμάτων: 85% (μείωση του απόλυτου κινδύνου κατά 1,6%) στο 1 έτος, 69% (μείωση του απόλυτου κινδύνου κατά 2,2%) στα 2 έτη και 62% (μείωση του απόλυτου κινδύνου κατά 2,4%) στα 3 έτη (όλες οι τιμές p &lt; 0,01).</w:t>
      </w:r>
    </w:p>
    <w:p w14:paraId="2155FBAB" w14:textId="77777777" w:rsidR="00951F81" w:rsidRDefault="00951F81" w:rsidP="00951F81"/>
    <w:p w14:paraId="2155FBAC" w14:textId="77777777" w:rsidR="00951F81" w:rsidRDefault="007079D3" w:rsidP="00951F81">
      <w:pPr>
        <w:keepNext/>
        <w:rPr>
          <w:u w:val="single"/>
        </w:rPr>
      </w:pPr>
      <w:r>
        <w:rPr>
          <w:u w:val="single"/>
        </w:rPr>
        <w:t>Κλινική αποτελεσματικότητα και ασφάλεια σε ασθενείς με οστική απώλεια που σχετίζεται με τη συμπληρωματική θεραπεία με αναστολείς της αρωματάσης</w:t>
      </w:r>
    </w:p>
    <w:p w14:paraId="2155FBAD" w14:textId="77777777" w:rsidR="00951F81" w:rsidRDefault="00951F81" w:rsidP="00951F81">
      <w:pPr>
        <w:keepNext/>
      </w:pPr>
    </w:p>
    <w:p w14:paraId="2155FBAE" w14:textId="4194D5D7" w:rsidR="00951F81" w:rsidRDefault="007079D3" w:rsidP="00951F81">
      <w:r>
        <w:t xml:space="preserve">Η αποτελεσματικότητα και η ασφάλεια </w:t>
      </w:r>
      <w:r w:rsidR="00234B11">
        <w:t xml:space="preserve">της </w:t>
      </w:r>
      <w:r w:rsidR="00A050CB">
        <w:t>δενοσουμάμπη</w:t>
      </w:r>
      <w:r w:rsidR="00234B11">
        <w:t>ς</w:t>
      </w:r>
      <w:r w:rsidR="007E0F77" w:rsidRPr="007E0F77">
        <w:t xml:space="preserve"> </w:t>
      </w:r>
      <w:r>
        <w:t xml:space="preserve">χορηγούμενου μια φορά </w:t>
      </w:r>
      <w:r w:rsidR="0062052B">
        <w:t xml:space="preserve">κάθε </w:t>
      </w:r>
      <w:r>
        <w:t>6 μήνες για 2 έτη διερευνήθηκαν σε γυναίκες με μη</w:t>
      </w:r>
      <w:r>
        <w:noBreakHyphen/>
        <w:t>μεταστατικό καρκίνο του μαστού (252 γυναίκες ηλικίας 35</w:t>
      </w:r>
      <w:r>
        <w:noBreakHyphen/>
        <w:t>84 ετών) και T</w:t>
      </w:r>
      <w:r>
        <w:noBreakHyphen/>
        <w:t>score BMD της οσφυϊκής μοίρας της σπονδυλικής στήλης, του ολικού ισχίου ή του αυχένα του μηριαίου κατά την έναρξη της αγωγής μεταξύ -1,0 και -2,5. Όλες οι γυναίκες λάμβαναν συμπληρωματική αγωγή ασβεστίου (τουλάχιστον 1.000 mg) και βιταμίνης D (τουλάχιστον 400 IU) καθημερινά.</w:t>
      </w:r>
    </w:p>
    <w:p w14:paraId="2155FBAF" w14:textId="77777777" w:rsidR="00951F81" w:rsidRDefault="00951F81" w:rsidP="00951F81"/>
    <w:p w14:paraId="2155FBB0" w14:textId="4865BDF9" w:rsidR="00951F81" w:rsidRDefault="007079D3" w:rsidP="00951F81">
      <w:r>
        <w:t xml:space="preserve">Η κύρια μεταβλητή αποτελεσματικότητας ήταν η ποσοστιαία μεταβολή της </w:t>
      </w:r>
      <w:r w:rsidR="0062052B">
        <w:t xml:space="preserve">BMD </w:t>
      </w:r>
      <w:r>
        <w:t xml:space="preserve">στην οσφυϊκή μοίρα της σπονδυλικής στήλης, ενώ δεν αξιολογήθηκε η αποτελεσματικότητα κατά των καταγμάτων. </w:t>
      </w:r>
      <w:r w:rsidR="00234B11">
        <w:t xml:space="preserve">Η </w:t>
      </w:r>
      <w:r w:rsidR="00A050CB">
        <w:t>δενοσουμάμπη</w:t>
      </w:r>
      <w:r w:rsidR="007E0F77" w:rsidRPr="007E0F77">
        <w:t xml:space="preserve"> </w:t>
      </w:r>
      <w:r>
        <w:t>αύξησε σημαντικά την BMD σε όλες τις κλινικές θέσεις που μετρήθηκαν, σε σχέση με τη θεραπεία με εικονικό φάρμακο στα 2 χρόνια: 7,6% στην οσφυϊκή μοίρα της σπονδυλικής στήλης, 4,7% στο ολικό ισχίο, 3,6% στον αυχένα του μηριαίου, 5,9% στον τροχαντήρα του ισχίου, 6,1% στο άπω τριτημόριο της κερκίδας και 4,2% στο ολικό σώμα (όλες οι τιμές p &lt; 0,0001).</w:t>
      </w:r>
    </w:p>
    <w:p w14:paraId="2155FBB1" w14:textId="77777777" w:rsidR="00951F81" w:rsidRDefault="00951F81" w:rsidP="00951F81"/>
    <w:p w14:paraId="2155FBB2" w14:textId="77777777" w:rsidR="00951F81" w:rsidRDefault="007079D3" w:rsidP="00951F81">
      <w:pPr>
        <w:keepNext/>
        <w:rPr>
          <w:u w:val="single"/>
        </w:rPr>
      </w:pPr>
      <w:r>
        <w:rPr>
          <w:u w:val="single"/>
        </w:rPr>
        <w:t>Θεραπεία της οστικής απώλειας που σχετίζεται με συστηματική θεραπεία με γλυκοκορτικοειδή</w:t>
      </w:r>
    </w:p>
    <w:p w14:paraId="2155FBB3" w14:textId="77777777" w:rsidR="00951F81" w:rsidRDefault="00951F81" w:rsidP="00951F81">
      <w:pPr>
        <w:keepNext/>
      </w:pPr>
    </w:p>
    <w:p w14:paraId="2155FBB4" w14:textId="64F2480C" w:rsidR="00951F81" w:rsidRDefault="007079D3" w:rsidP="00951F81">
      <w:r>
        <w:t>Η αποτελεσματικότητα και η ασφάλεια τ</w:t>
      </w:r>
      <w:r w:rsidR="00234B11">
        <w:t>ης</w:t>
      </w:r>
      <w:r>
        <w:t xml:space="preserve"> </w:t>
      </w:r>
      <w:r w:rsidR="00A050CB">
        <w:t>δενοσουμάμπη</w:t>
      </w:r>
      <w:r w:rsidR="00234B11">
        <w:t>ς</w:t>
      </w:r>
      <w:r w:rsidR="007E0F77" w:rsidRPr="007E0F77">
        <w:t xml:space="preserve"> </w:t>
      </w:r>
      <w:r>
        <w:t>διερευνήθηκαν σε 795 ασθενείς (70% γυναίκες και 30% άνδρες) ηλικίας 20 έως 94 ετών που έλαβαν θεραπεία με ≥ 7,5 mg πρεδνιζόνης χορηγούμενης ημερησίως από του στόματος (ή ισοδύναμου).</w:t>
      </w:r>
    </w:p>
    <w:p w14:paraId="2155FBB5" w14:textId="77777777" w:rsidR="00951F81" w:rsidRDefault="00951F81" w:rsidP="00951F81"/>
    <w:p w14:paraId="2155FBB6" w14:textId="79D150A2" w:rsidR="00951F81" w:rsidRDefault="007079D3" w:rsidP="00951F81">
      <w:r>
        <w:t xml:space="preserve">Μελετήθηκαν δύο υποπληθυσμοί: συνέχισης της θεραπείας με γλυκοκορτικοειδή (≥ 7,5 mg πρεδνιζόνης ή ισοδύναμου ημερησίως για ≥ 3 μήνες πριν την εγγραφή στη μελέτη, n = 505) και έναρξης της θεραπείας με γλυκοκορτικοειδή (≥ 7,5 mg πρεδνιζόνης ή ισοδύναμου ημερησίως για &lt; 3 μήνες πριν την εγγραφή στη μελέτη, n = 290). Οι ασθενείς τυχαιοποιήθηκαν (1:1) για να λάβουν είτε </w:t>
      </w:r>
      <w:r w:rsidR="00A050CB">
        <w:t>δενοσουμάμπη</w:t>
      </w:r>
      <w:r w:rsidR="007E0F77" w:rsidRPr="007E0F77">
        <w:t xml:space="preserve"> </w:t>
      </w:r>
      <w:r>
        <w:t xml:space="preserve">60 mg άπαξ υποδορίως κάθε 6 μήνες είτε 5 mg </w:t>
      </w:r>
      <w:r w:rsidR="009A3ADB">
        <w:t xml:space="preserve">ρισενδρονάτη </w:t>
      </w:r>
      <w:r>
        <w:t>άπαξ ημερησίως από του στόματος (δραστικό φάρμακο ελέγχου) για 2 έτη. Οι ασθενείς λάμβαναν συμπληρωματική αγωγή ασβεστίου (τουλάχιστον 1.000 mg) και βιταμίνης D (τουλάχιστον 800 IU) καθημερινά.</w:t>
      </w:r>
    </w:p>
    <w:p w14:paraId="2155FBB7" w14:textId="77777777" w:rsidR="00951F81" w:rsidRDefault="00951F81" w:rsidP="00951F81"/>
    <w:p w14:paraId="2155FBB8" w14:textId="77777777" w:rsidR="00951F81" w:rsidRDefault="007079D3" w:rsidP="00951F81">
      <w:pPr>
        <w:keepNext/>
        <w:tabs>
          <w:tab w:val="clear" w:pos="567"/>
        </w:tabs>
        <w:rPr>
          <w:i/>
          <w:iCs/>
        </w:rPr>
      </w:pPr>
      <w:r>
        <w:rPr>
          <w:i/>
        </w:rPr>
        <w:t>Επίδραση στην οστική πυκνότητα (BMD)</w:t>
      </w:r>
    </w:p>
    <w:p w14:paraId="2155FBB9" w14:textId="6298C387" w:rsidR="00951F81" w:rsidRDefault="007079D3" w:rsidP="00951F81">
      <w:r>
        <w:t xml:space="preserve">Στον υποπληθυσμό συνέχισης της θεραπείας με γλυκοκορτικοειδή, </w:t>
      </w:r>
      <w:r w:rsidR="00982F4B">
        <w:t>η</w:t>
      </w:r>
      <w:r>
        <w:t xml:space="preserve"> </w:t>
      </w:r>
      <w:r w:rsidR="00A050CB">
        <w:t>δενοσουμάμπη</w:t>
      </w:r>
      <w:r w:rsidR="007E0F77" w:rsidRPr="007E0F77">
        <w:t xml:space="preserve"> </w:t>
      </w:r>
      <w:r>
        <w:t xml:space="preserve">κατέδειξε μεγαλύτερη αύξηση της BMD της οσφυϊκής μοίρας της σπονδυλικής στήλης σε σύγκριση με </w:t>
      </w:r>
      <w:r w:rsidR="009A3ADB">
        <w:t xml:space="preserve">τη ρισενδρονάτη </w:t>
      </w:r>
      <w:r>
        <w:t>στο 1 έτος (</w:t>
      </w:r>
      <w:r w:rsidR="00A050CB">
        <w:t>δενοσουμάμπη</w:t>
      </w:r>
      <w:r w:rsidR="007E0F77" w:rsidRPr="007E0F77">
        <w:t xml:space="preserve"> </w:t>
      </w:r>
      <w:r>
        <w:t xml:space="preserve">3,6%, </w:t>
      </w:r>
      <w:r w:rsidR="009A3ADB">
        <w:t xml:space="preserve">ρισενδρονάτη </w:t>
      </w:r>
      <w:r>
        <w:t>2,0%, p &lt; 0,001) και στα 2 έτη (</w:t>
      </w:r>
      <w:r w:rsidR="00A050CB">
        <w:t>δενοσουμάμπη</w:t>
      </w:r>
      <w:r w:rsidR="007E0F77" w:rsidRPr="007E0F77">
        <w:t xml:space="preserve"> </w:t>
      </w:r>
      <w:r>
        <w:t xml:space="preserve">4,5%, </w:t>
      </w:r>
      <w:r w:rsidR="009A3ADB">
        <w:t xml:space="preserve">ρισενδρονάτη </w:t>
      </w:r>
      <w:r>
        <w:t xml:space="preserve">2,2%, p &lt; 0,001). Στον υποπληθυσμό έναρξης της θεραπείας με γλυκοκορτικοειδή, </w:t>
      </w:r>
      <w:r w:rsidR="00982F4B">
        <w:t>η</w:t>
      </w:r>
      <w:r>
        <w:t xml:space="preserve"> </w:t>
      </w:r>
      <w:r w:rsidR="00A050CB">
        <w:t>δενοσουμάμπη</w:t>
      </w:r>
      <w:r w:rsidR="007E0F77" w:rsidRPr="007E0F77">
        <w:t xml:space="preserve"> </w:t>
      </w:r>
      <w:r>
        <w:t xml:space="preserve">κατέδειξε μεγαλύτερη αύξηση της BMD της οσφυϊκής μοίρας της σπονδυλικής στήλης σε σύγκριση με </w:t>
      </w:r>
      <w:r w:rsidR="009A3ADB">
        <w:t xml:space="preserve">τη ρισενδρονάτη </w:t>
      </w:r>
      <w:r>
        <w:t>στο 1 έτος (</w:t>
      </w:r>
      <w:r w:rsidR="00A050CB">
        <w:t>δενοσουμάμπη</w:t>
      </w:r>
      <w:r w:rsidR="007E0F77" w:rsidRPr="007E0F77">
        <w:t xml:space="preserve"> </w:t>
      </w:r>
      <w:r>
        <w:t xml:space="preserve">3,1%, </w:t>
      </w:r>
      <w:r w:rsidR="009A3ADB">
        <w:t xml:space="preserve">ρισενδρονάτη </w:t>
      </w:r>
      <w:r>
        <w:t>0,8%, p &lt; 0,001) και στα 2 έτη (</w:t>
      </w:r>
      <w:r w:rsidR="00A050CB">
        <w:t>δενοσουμάμπη</w:t>
      </w:r>
      <w:r w:rsidR="007E0F77" w:rsidRPr="007E0F77">
        <w:t xml:space="preserve"> </w:t>
      </w:r>
      <w:r>
        <w:t xml:space="preserve">4,6%, </w:t>
      </w:r>
      <w:r w:rsidR="009A3ADB">
        <w:t xml:space="preserve">ρισενδρονάτη </w:t>
      </w:r>
      <w:r>
        <w:t>1,5%, p &lt; 0,001).</w:t>
      </w:r>
    </w:p>
    <w:p w14:paraId="2155FBBA" w14:textId="77777777" w:rsidR="00951F81" w:rsidRDefault="00951F81" w:rsidP="00951F81"/>
    <w:p w14:paraId="2155FBBB" w14:textId="0C425EA2" w:rsidR="00951F81" w:rsidRDefault="007079D3" w:rsidP="00951F81">
      <w:r>
        <w:t xml:space="preserve">Επιπλέον, </w:t>
      </w:r>
      <w:r w:rsidR="00982F4B">
        <w:t>η</w:t>
      </w:r>
      <w:r>
        <w:t xml:space="preserve"> </w:t>
      </w:r>
      <w:r w:rsidR="00A050CB">
        <w:t>δενοσουμάμπη</w:t>
      </w:r>
      <w:r w:rsidR="007E0F77" w:rsidRPr="007E0F77">
        <w:t xml:space="preserve"> </w:t>
      </w:r>
      <w:r>
        <w:t xml:space="preserve">κατέδειξε σημαντικά μεγαλύτερη μέση ποσοστιαία αύξηση της BMD του ολικού ισχίου, του αυχένα του μηριαίου και του τροχαντήρα του ισχίου από την έναρξη της αγωγής σε σύγκριση με </w:t>
      </w:r>
      <w:r w:rsidR="009A3ADB">
        <w:t>τη ρισενδρονάτη</w:t>
      </w:r>
      <w:r>
        <w:t>.</w:t>
      </w:r>
    </w:p>
    <w:p w14:paraId="2155FBBC" w14:textId="77777777" w:rsidR="00951F81" w:rsidRDefault="00951F81" w:rsidP="00951F81"/>
    <w:p w14:paraId="2155FBBD" w14:textId="3431792B" w:rsidR="00951F81" w:rsidRDefault="007079D3" w:rsidP="00951F81">
      <w:r>
        <w:t>Η μελέτη δεν είχε τη δυνατότητα να καταδείξει διαφορά στα κατάγματα. Στο 1 έτος, η επίπτωση νέων ακτινολογικά επιβεβαιωμένων σπονδυλικών καταγμάτων στους ασθενείς ήταν 2,7% (</w:t>
      </w:r>
      <w:r w:rsidR="00A050CB">
        <w:t>δενοσουμάμπη</w:t>
      </w:r>
      <w:r>
        <w:t>) έναντι 3,2% (</w:t>
      </w:r>
      <w:r w:rsidR="009A3ADB">
        <w:t>ρισενδρονάτη</w:t>
      </w:r>
      <w:r>
        <w:t>). Η επίπτωση των μη σπονδυλικών καταγμάτων στους ασθενείς ήταν 4,3% (</w:t>
      </w:r>
      <w:r w:rsidR="00A050CB">
        <w:t>δενοσουμάμπη</w:t>
      </w:r>
      <w:r>
        <w:t>) έναντι 2,5% (</w:t>
      </w:r>
      <w:r w:rsidR="009A3ADB">
        <w:t>ρισενδρονάτη</w:t>
      </w:r>
      <w:r>
        <w:t>). Στα 2 έτη, οι αντίστοιχοι αριθμοί ήταν 4,1% έναντι 5,8% για νέα ακτινολογικά επιβεβαιωμένα σπονδυλικά κατάγματα και 5,3% έναντι 3,8% για μη σπονδυλικά κατάγματα. Τα περισσότερα κατάγματα εμφανίστηκαν στον υποπληθυσμό της συνέχισης της θεραπείας με γλυκοκορτικοειδή.</w:t>
      </w:r>
    </w:p>
    <w:p w14:paraId="2155FBBE" w14:textId="77777777" w:rsidR="00951F81" w:rsidRDefault="00951F81" w:rsidP="00951F81"/>
    <w:p w14:paraId="2155FBBF" w14:textId="77777777" w:rsidR="00951F81" w:rsidRDefault="007079D3" w:rsidP="00951F81">
      <w:pPr>
        <w:keepNext/>
        <w:rPr>
          <w:u w:val="single"/>
        </w:rPr>
      </w:pPr>
      <w:r>
        <w:rPr>
          <w:u w:val="single"/>
        </w:rPr>
        <w:t>Παιδιατρικός πληθυσμός</w:t>
      </w:r>
    </w:p>
    <w:p w14:paraId="2155FBC0" w14:textId="77777777" w:rsidR="00951F81" w:rsidRDefault="00951F81" w:rsidP="00951F81">
      <w:pPr>
        <w:keepNext/>
      </w:pPr>
    </w:p>
    <w:p w14:paraId="2155FBC1" w14:textId="14D4B309" w:rsidR="00951F81" w:rsidRDefault="007079D3" w:rsidP="00951F81">
      <w:r>
        <w:t xml:space="preserve">Μια μελέτη </w:t>
      </w:r>
      <w:r w:rsidR="009A3ADB">
        <w:t xml:space="preserve">μονού </w:t>
      </w:r>
      <w:r>
        <w:t>σκέλους, φάσης </w:t>
      </w:r>
      <w:r w:rsidR="00821F56">
        <w:rPr>
          <w:lang w:val="en-US"/>
        </w:rPr>
        <w:t>III</w:t>
      </w:r>
      <w:r>
        <w:t xml:space="preserve">, για την αξιολόγηση της αποτελεσματικότητας, της ασφάλειας και της φαρμακοκινητικής διεξήχθη σε παιδιά με ατελή οστεογένεση, ηλικίας 2 έως 17 ετών, 52,3% άνδρες, 88,2% Καυκάσιοι. Συνολικά 153 συμμετέχοντες λάμβαναν αρχικά υποδόριο (SC) </w:t>
      </w:r>
      <w:r w:rsidR="00A050CB">
        <w:t>δενοσουμάμπη</w:t>
      </w:r>
      <w:r>
        <w:t xml:space="preserve"> 1 mg/kg, έως 60 mg το μέγιστο, κάθε 6 μήνες επί 36 μήνες. Εξήντα συμμετέχοντες μετέβησαν σε χορήγηση δόσης κάθε 3 μήνες.</w:t>
      </w:r>
    </w:p>
    <w:p w14:paraId="2155FBC2" w14:textId="77777777" w:rsidR="00951F81" w:rsidRDefault="00951F81" w:rsidP="00951F81"/>
    <w:p w14:paraId="2155FBC3" w14:textId="7735E0E8" w:rsidR="00951F81" w:rsidRDefault="007079D3" w:rsidP="00951F81">
      <w:r>
        <w:t>Τον μήνα 12 του σχήματος χορήγησης δόσης κάθε 3 μήνες, η μεταβολή του μέσου ελαχίστων τετραγώνων (LS) (τυπικό σφάλμα, SE) από την αρχική τιμή στη βαθμολογία Z-score BMD της οσφυϊκής μοίρας της σπονδυλικής στήλης ήταν 1,01 (0,12).</w:t>
      </w:r>
    </w:p>
    <w:p w14:paraId="2155FBC4" w14:textId="77777777" w:rsidR="00951F81" w:rsidRDefault="00951F81" w:rsidP="00951F81"/>
    <w:p w14:paraId="2155FBC5" w14:textId="10DCEAA1" w:rsidR="00951F81" w:rsidRDefault="007079D3" w:rsidP="00951F81">
      <w:r>
        <w:t xml:space="preserve">Τα πιο συχνά ανεπιθύμητα συμβάντα που αναφέρθηκαν στο σχήμα χορήγησης δόσης κάθε 6 μήνες ήταν αρθραλγία (45,8%), </w:t>
      </w:r>
      <w:r w:rsidR="009A3ADB">
        <w:t>άλγος σε άκρο</w:t>
      </w:r>
      <w:r>
        <w:t xml:space="preserve"> (37,9%), </w:t>
      </w:r>
      <w:r w:rsidR="009A3ADB">
        <w:t xml:space="preserve">πόνος σε ράχη </w:t>
      </w:r>
      <w:r>
        <w:t>(32,7%) και υπερασβεστιουρία (32,0%). Υπερασβεστιαιμία αναφέρθηκε κατά τη διάρκεια χορήγησης δόσης κάθε 6 μήνες (19%) και κάθε 3 μήνες (36,7%). Σοβαρά ανεπιθύμητα συμβάντα υπερασβεστιαιμίας (13,3%) αναφέρθηκαν κατά τη διάρκεια χορήγησης δόσης κάθε 3 μήνες.</w:t>
      </w:r>
    </w:p>
    <w:p w14:paraId="2155FBC6" w14:textId="77777777" w:rsidR="00951F81" w:rsidRDefault="00951F81" w:rsidP="00951F81"/>
    <w:p w14:paraId="2155FBC7" w14:textId="77777777" w:rsidR="00951F81" w:rsidRDefault="007079D3" w:rsidP="00951F81">
      <w:r>
        <w:t>Σε μια μελέτη επέκτασης (N = 75), παρατηρήθηκαν σοβαρά ανεπιθύμητα συμβάντα υπερασβεστιαιμίας (18,5%) κατά τη διάρκεια χορήγησης δόσης κάθε 3 μήνες.</w:t>
      </w:r>
    </w:p>
    <w:p w14:paraId="2155FBC8" w14:textId="77777777" w:rsidR="00951F81" w:rsidRDefault="00951F81" w:rsidP="00951F81"/>
    <w:p w14:paraId="2155FBC9" w14:textId="77777777" w:rsidR="00951F81" w:rsidRPr="007065FF" w:rsidRDefault="007079D3" w:rsidP="00951F81">
      <w:r>
        <w:t>Οι μελέτες τερματίστηκαν πρόωρα λόγω της εμφάνισης συμβάντων απειλητικών για τη ζωή και νοσηλειών σε νοσοκομείο οφειλόμενων σε υπερασβεστιαιμία (βλ. παράγραφο 4.2).</w:t>
      </w:r>
    </w:p>
    <w:p w14:paraId="1C2914C9" w14:textId="77777777" w:rsidR="00FD4FAA" w:rsidRPr="00162F75" w:rsidRDefault="00FD4FAA" w:rsidP="00951F81"/>
    <w:p w14:paraId="2155FBCA" w14:textId="2648A650" w:rsidR="00951F81" w:rsidRPr="007065FF" w:rsidRDefault="007079D3" w:rsidP="00951F81">
      <w:r w:rsidRPr="00FD4FAA">
        <w:t>Σε μία πολυκεντρική, τυχαιοποιημένη, διπλά τυφλή, ελεγχόμενη με εικονικό φάρμακο, παράλληλων ομάδων μελέτη που διεξήχθη σε 24 παιδιατρικούς ασθενείς με οστεοπόρωση επαγόμενη από γλυκοκορτικοειδή, ηλικίας από 5 έως 17</w:t>
      </w:r>
      <w:r w:rsidR="0011073B">
        <w:rPr>
          <w:lang w:val="en-US"/>
        </w:rPr>
        <w:t> </w:t>
      </w:r>
      <w:r w:rsidRPr="00FD4FAA">
        <w:t xml:space="preserve">ετών, για την αξιολόγηση της μεταβολής στο Z-score BMD της οσφυϊκής μοίρας της σπονδυλικής στήλης από την αρχική τιμή αναφοράς, η αποτελεσματικότητα και η ασφάλεια δεν τεκμηριώθηκαν και, ως εκ τούτου, </w:t>
      </w:r>
      <w:r w:rsidR="002A429B">
        <w:t>η</w:t>
      </w:r>
      <w:r w:rsidRPr="00FD4FAA">
        <w:t xml:space="preserve"> </w:t>
      </w:r>
      <w:r w:rsidR="00A050CB" w:rsidRPr="00112B35">
        <w:t>δενοσουμάμπη</w:t>
      </w:r>
      <w:r w:rsidRPr="00FD4FAA">
        <w:t xml:space="preserve"> δεν θα πρέπει να χρησιμοποιείται για αυτήν την ένδειξη.</w:t>
      </w:r>
    </w:p>
    <w:p w14:paraId="44E26DB3" w14:textId="77777777" w:rsidR="00FD4FAA" w:rsidRPr="00FD4FAA" w:rsidRDefault="00FD4FAA" w:rsidP="00951F81"/>
    <w:p w14:paraId="2155FBCB" w14:textId="29DA39E9" w:rsidR="00951F81" w:rsidRDefault="007079D3" w:rsidP="00951F81">
      <w:r>
        <w:t xml:space="preserve">Ο Ευρωπαϊκός Οργανισμός Φαρμάκων έχει δώσει απαλλαγή από την υποχρέωση υποβολής των αποτελεσμάτων των μελετών με το </w:t>
      </w:r>
      <w:r w:rsidR="007E0F77" w:rsidRPr="00BB4DA7">
        <w:t xml:space="preserve">φαρμακευτικό προϊόν αναφοράς που περιέχει </w:t>
      </w:r>
      <w:r w:rsidR="00A050CB">
        <w:t>δενοσουμάμπη</w:t>
      </w:r>
      <w:r w:rsidR="007E0F77" w:rsidRPr="00BB4DA7">
        <w:t xml:space="preserve"> </w:t>
      </w:r>
      <w:r w:rsidRPr="00BB4DA7">
        <w:t>σε όλες τις υποκατηγορίες του παιδιατρικού πληθυσμού στη θεραπεία της οστικής απώλειας που σχετίζεται</w:t>
      </w:r>
      <w:r>
        <w:t xml:space="preserve"> με θεραπεία αποκλεισμού των ορμονών του φύλου και σε υποκατηγορίες του παιδιατρικού πληθυσμού ηλικίας κάτω των 2 ετών στη θεραπεία της οστεοπόρωσης. Βλ</w:t>
      </w:r>
      <w:r w:rsidR="009A3ADB">
        <w:t xml:space="preserve">έπε </w:t>
      </w:r>
      <w:r>
        <w:t>παράγραφο 4.2 για πληροφορίες σχετικά με την παιδιατρική χρήση.</w:t>
      </w:r>
    </w:p>
    <w:p w14:paraId="2155FBCC" w14:textId="77777777" w:rsidR="00951F81" w:rsidRDefault="00951F81" w:rsidP="00951F81"/>
    <w:p w14:paraId="2155FBCD" w14:textId="77777777" w:rsidR="00951F81" w:rsidRDefault="007079D3" w:rsidP="00951F81">
      <w:pPr>
        <w:keepNext/>
        <w:ind w:left="567" w:hanging="567"/>
        <w:rPr>
          <w:b/>
        </w:rPr>
      </w:pPr>
      <w:r>
        <w:rPr>
          <w:b/>
        </w:rPr>
        <w:t>5.2</w:t>
      </w:r>
      <w:r>
        <w:rPr>
          <w:b/>
        </w:rPr>
        <w:tab/>
        <w:t>Φαρμακοκινητικές ιδιότητες</w:t>
      </w:r>
    </w:p>
    <w:p w14:paraId="2155FBCE" w14:textId="77777777" w:rsidR="00951F81" w:rsidRDefault="00951F81" w:rsidP="00951F81">
      <w:pPr>
        <w:keepNext/>
      </w:pPr>
    </w:p>
    <w:p w14:paraId="2155FBCF" w14:textId="77777777" w:rsidR="00951F81" w:rsidRPr="00A050CB" w:rsidRDefault="007079D3" w:rsidP="00951F81">
      <w:pPr>
        <w:keepNext/>
        <w:rPr>
          <w:u w:val="single"/>
        </w:rPr>
      </w:pPr>
      <w:r>
        <w:rPr>
          <w:u w:val="single"/>
        </w:rPr>
        <w:t>Απορρόφηση</w:t>
      </w:r>
    </w:p>
    <w:p w14:paraId="2155FBD0" w14:textId="77777777" w:rsidR="00951F81" w:rsidRDefault="00951F81" w:rsidP="00951F81">
      <w:pPr>
        <w:keepNext/>
      </w:pPr>
    </w:p>
    <w:p w14:paraId="2155FBD1" w14:textId="0CD8D6F4" w:rsidR="00951F81" w:rsidRDefault="007079D3" w:rsidP="00951F81">
      <w:r>
        <w:t>Μετά από υποδόρια χορήγηση δόσης 1,0 mg/kg, που προσεγγίζει την εγκεκριμένη δόση των 60 mg, η έκθεση βάσει της AUC ήταν 78% σε σύγκριση με την ενδοφλέβια χορήγηση στο ίδιο δοσολογικό επίπεδο. Για μια υποδόρια δόση 60 mg, η μέγιστη συγκέντρωση τ</w:t>
      </w:r>
      <w:r w:rsidR="00982F4B">
        <w:t>ης</w:t>
      </w:r>
      <w:r>
        <w:t xml:space="preserve"> </w:t>
      </w:r>
      <w:r w:rsidR="00A050CB">
        <w:t>δενοσουμάμπη</w:t>
      </w:r>
      <w:r w:rsidR="00982F4B">
        <w:t>ς</w:t>
      </w:r>
      <w:r>
        <w:t xml:space="preserve"> στον ορό (C</w:t>
      </w:r>
      <w:r>
        <w:rPr>
          <w:vertAlign w:val="subscript"/>
        </w:rPr>
        <w:t>max</w:t>
      </w:r>
      <w:r>
        <w:t>) που είναι 6 mcg/ml (εύρος 1</w:t>
      </w:r>
      <w:r>
        <w:noBreakHyphen/>
        <w:t>17 mcg/ml) σημειώθηκε σε 10 ημέρες (εύρος 2</w:t>
      </w:r>
      <w:r>
        <w:noBreakHyphen/>
        <w:t>28 ημέρες).</w:t>
      </w:r>
    </w:p>
    <w:p w14:paraId="2155FBD2" w14:textId="77777777" w:rsidR="00951F81" w:rsidRPr="007065FF" w:rsidRDefault="00951F81" w:rsidP="00951F81"/>
    <w:p w14:paraId="2155FBD3" w14:textId="77777777" w:rsidR="00951F81" w:rsidRDefault="007079D3" w:rsidP="00951F81">
      <w:pPr>
        <w:keepNext/>
        <w:rPr>
          <w:u w:val="single"/>
        </w:rPr>
      </w:pPr>
      <w:r>
        <w:rPr>
          <w:u w:val="single"/>
        </w:rPr>
        <w:t>Βιομετασχηματισμός</w:t>
      </w:r>
    </w:p>
    <w:p w14:paraId="2155FBD4" w14:textId="77777777" w:rsidR="00951F81" w:rsidRDefault="00951F81" w:rsidP="00951F81">
      <w:pPr>
        <w:keepNext/>
      </w:pPr>
    </w:p>
    <w:p w14:paraId="2155FBD5" w14:textId="2360FE28" w:rsidR="00951F81" w:rsidRDefault="00D6776F" w:rsidP="00951F81">
      <w:r>
        <w:t xml:space="preserve">Η </w:t>
      </w:r>
      <w:r w:rsidR="00A050CB">
        <w:t>δενοσουμάμπη</w:t>
      </w:r>
      <w:r w:rsidR="007079D3">
        <w:t xml:space="preserve"> αποτελείται αποκλειστικά από αμινοξέα και υδατάνθρακες όπως η φυσική ανοσοσφαιρίνη και δεν είναι πιθανό να αποβληθεί μέσω μηχανισμών ηπατικού μεταβολισμού. Ο μεταβολισμός και η απέκκρισή του αναμένεται να ακολουθήσουν τις οδούς κάθαρσης των ανοσοσφαιρινών, με αποτέλεσμα τη διάσπασή του σε μικρά πεπτίδια και μεμονωμένα αμινοξέα.</w:t>
      </w:r>
    </w:p>
    <w:p w14:paraId="2155FBD6" w14:textId="77777777" w:rsidR="00951F81" w:rsidRDefault="00951F81" w:rsidP="00951F81"/>
    <w:p w14:paraId="2155FBD7" w14:textId="77777777" w:rsidR="00951F81" w:rsidRDefault="007079D3" w:rsidP="00951F81">
      <w:pPr>
        <w:keepNext/>
        <w:rPr>
          <w:u w:val="single"/>
        </w:rPr>
      </w:pPr>
      <w:r>
        <w:rPr>
          <w:u w:val="single"/>
        </w:rPr>
        <w:t>Αποβολή</w:t>
      </w:r>
    </w:p>
    <w:p w14:paraId="2155FBD8" w14:textId="77777777" w:rsidR="00951F81" w:rsidRDefault="00951F81" w:rsidP="00951F81">
      <w:pPr>
        <w:keepNext/>
      </w:pPr>
    </w:p>
    <w:p w14:paraId="2155FBD9" w14:textId="5B031215" w:rsidR="00951F81" w:rsidRDefault="007079D3" w:rsidP="00951F81">
      <w:r>
        <w:t>Μετά τη C</w:t>
      </w:r>
      <w:r>
        <w:rPr>
          <w:vertAlign w:val="subscript"/>
        </w:rPr>
        <w:t>max</w:t>
      </w:r>
      <w:r>
        <w:t>, τα επίπεδα ορού μειώθηκαν με χρόνο ημίσειας ζωής 26 ημερών (εύρος 6</w:t>
      </w:r>
      <w:r>
        <w:noBreakHyphen/>
        <w:t>52 ημέρες) σε διάστημα 3 μηνών (εύρος 1,5</w:t>
      </w:r>
      <w:r>
        <w:noBreakHyphen/>
        <w:t xml:space="preserve">4,5 μήνες). Στο πενήντα τρία τοις εκατό (53%) των ασθενών δεν ανιχνεύτηκαν μετρήσιμες ποσότητες </w:t>
      </w:r>
      <w:r w:rsidR="00A050CB">
        <w:t>δενοσουμάμπη</w:t>
      </w:r>
      <w:r w:rsidR="00982F4B">
        <w:t>ς</w:t>
      </w:r>
      <w:r>
        <w:t xml:space="preserve"> 6 μήνες μετά τη χορήγηση του φαρμάκου.</w:t>
      </w:r>
    </w:p>
    <w:p w14:paraId="2155FBDA" w14:textId="77777777" w:rsidR="00951F81" w:rsidRDefault="00951F81" w:rsidP="00951F81"/>
    <w:p w14:paraId="2155FBDB" w14:textId="42D36A77" w:rsidR="00951F81" w:rsidRDefault="007079D3" w:rsidP="00951F81">
      <w:r>
        <w:t>Δεν παρατηρήθηκε συσσώρευση ή μεταβολή της φαρμακοκινητικής τ</w:t>
      </w:r>
      <w:r w:rsidR="00982F4B">
        <w:t>ης</w:t>
      </w:r>
      <w:r>
        <w:t xml:space="preserve"> </w:t>
      </w:r>
      <w:r w:rsidR="00A050CB">
        <w:t>δενοσουμάμπη</w:t>
      </w:r>
      <w:r>
        <w:t xml:space="preserve"> με το πέρασμα του χρόνου κατά τη χορήγηση πολλαπλών υποδόριων δόσεων 60 mg μια φορά </w:t>
      </w:r>
      <w:r w:rsidR="00C91DF4">
        <w:t xml:space="preserve">κάθε </w:t>
      </w:r>
      <w:r>
        <w:t>6 μήνες. Η φαρμακοκινητική τ</w:t>
      </w:r>
      <w:r w:rsidR="00982F4B">
        <w:t>ης</w:t>
      </w:r>
      <w:r>
        <w:t xml:space="preserve"> </w:t>
      </w:r>
      <w:r w:rsidR="00A050CB">
        <w:t>δενοσουμάμπη</w:t>
      </w:r>
      <w:r w:rsidR="00982F4B">
        <w:t>ς</w:t>
      </w:r>
      <w:r>
        <w:t xml:space="preserve"> δεν επηρεάστηκε από το σχηματισμό δεσμευτικών αντισωμάτων έναντι τ</w:t>
      </w:r>
      <w:r w:rsidR="00982F4B">
        <w:t>ης</w:t>
      </w:r>
      <w:r>
        <w:t xml:space="preserve"> </w:t>
      </w:r>
      <w:r w:rsidR="00A050CB">
        <w:t>δενοσουμάμπη</w:t>
      </w:r>
      <w:r w:rsidR="00982F4B">
        <w:t>ς</w:t>
      </w:r>
      <w:r>
        <w:t xml:space="preserve"> και ήταν παρόμοια τόσο στους άνδρες όσο και στις γυναίκες. Η ηλικία (28</w:t>
      </w:r>
      <w:r>
        <w:noBreakHyphen/>
        <w:t>87 έτη), η φυλή και η κατάσταση της νόσου (χαμηλή οστική μάζα ή οστεοπόρωση, καρκίνος του προστάτη ή του μαστού) δεν φαίνεται επίσης να επηρεάζουν σημαντικά τη φαρµακοκινητική τ</w:t>
      </w:r>
      <w:r w:rsidR="003C5546">
        <w:t>ης</w:t>
      </w:r>
      <w:r>
        <w:t xml:space="preserve"> </w:t>
      </w:r>
      <w:r w:rsidR="00A050CB">
        <w:t>δενοσουμάμπη</w:t>
      </w:r>
      <w:r>
        <w:t>.</w:t>
      </w:r>
    </w:p>
    <w:p w14:paraId="2155FBDC" w14:textId="77777777" w:rsidR="00951F81" w:rsidRDefault="00951F81" w:rsidP="00951F81"/>
    <w:p w14:paraId="2155FBDD" w14:textId="257AFC35" w:rsidR="00951F81" w:rsidRDefault="007079D3" w:rsidP="00951F81">
      <w:r>
        <w:t>Παρατηρήθηκε μια τάση μεταξύ του υψηλότερου σωματικού βάρους και της χαμηλότερης έκθεσης βάσει της AUC και της C</w:t>
      </w:r>
      <w:r>
        <w:rPr>
          <w:vertAlign w:val="subscript"/>
        </w:rPr>
        <w:t>max</w:t>
      </w:r>
      <w:r>
        <w:t>. Ωστόσο, η τάση αυτή δεν θεωρήθηκε κλινικά σημαντική, εφόσον οι φαρμακοδυναμικές επιδράσεις βάσει των δεικτών οστικής εναλλαγής και των αυξήσεων της BMD παρέμειναν ίδιες σε μεγάλο εύρος σωματικού βάρους.</w:t>
      </w:r>
    </w:p>
    <w:p w14:paraId="2155FBDE" w14:textId="77777777" w:rsidR="00951F81" w:rsidRDefault="00951F81" w:rsidP="00951F81"/>
    <w:p w14:paraId="2155FBDF" w14:textId="77777777" w:rsidR="00951F81" w:rsidRDefault="007079D3" w:rsidP="00951F81">
      <w:pPr>
        <w:keepNext/>
        <w:rPr>
          <w:u w:val="single"/>
        </w:rPr>
      </w:pPr>
      <w:r>
        <w:rPr>
          <w:u w:val="single"/>
        </w:rPr>
        <w:t>Γραμμικότητα/μη γραμμικότητα</w:t>
      </w:r>
    </w:p>
    <w:p w14:paraId="2155FBE0" w14:textId="77777777" w:rsidR="00951F81" w:rsidRDefault="00951F81" w:rsidP="00951F81">
      <w:pPr>
        <w:keepNext/>
      </w:pPr>
    </w:p>
    <w:p w14:paraId="2155FBE1" w14:textId="303B1A1B" w:rsidR="00951F81" w:rsidRDefault="007079D3" w:rsidP="00951F81">
      <w:r>
        <w:t xml:space="preserve">Σε μελέτες κυμαινόμενης δόσης, </w:t>
      </w:r>
      <w:r w:rsidR="00982F4B">
        <w:t>η</w:t>
      </w:r>
      <w:r>
        <w:t xml:space="preserve"> </w:t>
      </w:r>
      <w:r w:rsidR="00A050CB">
        <w:t>δενοσουμάμπη</w:t>
      </w:r>
      <w:r>
        <w:t xml:space="preserve"> επέδειξε μη γραμμική, δοσοεξαρτώμενη φαρμακοκινητική, με χαμηλότερη κάθαρση σε υψηλότερες δόσεις ή συγκεντρώσεις, αλλά σχεδόν ανάλογη µε τη δόση αύξηση της έκθεσης για δόσεις 60 mg και άνω.</w:t>
      </w:r>
    </w:p>
    <w:p w14:paraId="2155FBE2" w14:textId="77777777" w:rsidR="00951F81" w:rsidRDefault="00951F81" w:rsidP="00951F81"/>
    <w:p w14:paraId="2155FBE3" w14:textId="77777777" w:rsidR="00951F81" w:rsidRDefault="007079D3" w:rsidP="00951F81">
      <w:pPr>
        <w:keepNext/>
        <w:rPr>
          <w:u w:val="single"/>
        </w:rPr>
      </w:pPr>
      <w:r>
        <w:rPr>
          <w:u w:val="single"/>
        </w:rPr>
        <w:t>Νεφρική δυσλειτουργία</w:t>
      </w:r>
    </w:p>
    <w:p w14:paraId="2155FBE4" w14:textId="77777777" w:rsidR="00951F81" w:rsidRDefault="00951F81" w:rsidP="00951F81">
      <w:pPr>
        <w:keepNext/>
      </w:pPr>
    </w:p>
    <w:p w14:paraId="2155FBE5" w14:textId="55DB0FC4" w:rsidR="00951F81" w:rsidRDefault="007079D3" w:rsidP="00951F81">
      <w:r>
        <w:t>Σε μια μελέτη 55 ασθενών σε διάφορα στάδια νεφρικής λειτουργίας, συμπεριλαμβανομένων ασθενών υπό εξωνεφρική κάθαρση, ο βαθμός της νεφρικής δυσλειτουργίας δεν είχε καμία επίδραση στη φαρμακοκινητική τ</w:t>
      </w:r>
      <w:r w:rsidR="00982F4B">
        <w:t>ης</w:t>
      </w:r>
      <w:r>
        <w:t xml:space="preserve"> </w:t>
      </w:r>
      <w:r w:rsidR="00A050CB">
        <w:t>δενοσουμάμπη</w:t>
      </w:r>
      <w:r w:rsidR="00982F4B">
        <w:t>ς</w:t>
      </w:r>
      <w:r>
        <w:t>.</w:t>
      </w:r>
    </w:p>
    <w:p w14:paraId="2155FBE6" w14:textId="77777777" w:rsidR="00951F81" w:rsidRDefault="00951F81" w:rsidP="00951F81"/>
    <w:p w14:paraId="2155FBE7" w14:textId="4FF8A79F" w:rsidR="00951F81" w:rsidRDefault="00C91DF4" w:rsidP="00951F81">
      <w:pPr>
        <w:keepNext/>
        <w:rPr>
          <w:u w:val="single"/>
        </w:rPr>
      </w:pPr>
      <w:bookmarkStart w:id="2" w:name="_Hlk210901933"/>
      <w:r>
        <w:rPr>
          <w:u w:val="single"/>
        </w:rPr>
        <w:t>Έκπτωση της ηπατικής λειτουργίας</w:t>
      </w:r>
    </w:p>
    <w:p w14:paraId="2155FBE8" w14:textId="77777777" w:rsidR="00951F81" w:rsidRDefault="00951F81" w:rsidP="00951F81">
      <w:pPr>
        <w:keepNext/>
      </w:pPr>
    </w:p>
    <w:p w14:paraId="2155FBE9" w14:textId="0FD3E3B6" w:rsidR="00951F81" w:rsidRPr="00A45700" w:rsidRDefault="007079D3" w:rsidP="00951F81">
      <w:r>
        <w:t xml:space="preserve">Δεν πραγματοποιήθηκε καμία ειδική μελέτη σε ασθενείς με </w:t>
      </w:r>
      <w:r w:rsidR="00C91DF4">
        <w:t>έκπτωση της ηπατικής λειτουργίας</w:t>
      </w:r>
      <w:r>
        <w:t>. Σε γενικές γραμμές, τα μονοκλωνικά αντισώματα δεν απομακρύνονται μέσω μηχανισμών ηπατικού μεταβολισμού. Η φαρμακοκινητική τ</w:t>
      </w:r>
      <w:r w:rsidR="00982F4B">
        <w:t>ης</w:t>
      </w:r>
      <w:r>
        <w:t xml:space="preserve"> </w:t>
      </w:r>
      <w:r w:rsidR="00A050CB">
        <w:t>δενοσουμάμπη</w:t>
      </w:r>
      <w:r w:rsidR="00982F4B">
        <w:t>ς</w:t>
      </w:r>
      <w:r>
        <w:t xml:space="preserve"> δεν αναμένεται να επηρεαστεί από την </w:t>
      </w:r>
      <w:r w:rsidR="00C91DF4">
        <w:t>έκπτωση της ηπατικής λειτουργίας</w:t>
      </w:r>
      <w:r>
        <w:t>.</w:t>
      </w:r>
    </w:p>
    <w:bookmarkEnd w:id="2"/>
    <w:p w14:paraId="2155FBEA" w14:textId="77777777" w:rsidR="00951F81" w:rsidRDefault="00951F81" w:rsidP="00951F81"/>
    <w:p w14:paraId="2155FBEB" w14:textId="77777777" w:rsidR="00951F81" w:rsidRDefault="007079D3" w:rsidP="00951F81">
      <w:pPr>
        <w:keepNext/>
        <w:rPr>
          <w:u w:val="single"/>
        </w:rPr>
      </w:pPr>
      <w:r>
        <w:rPr>
          <w:u w:val="single"/>
        </w:rPr>
        <w:t>Παιδιατρικός πληθυσμός</w:t>
      </w:r>
    </w:p>
    <w:p w14:paraId="2155FBEC" w14:textId="77777777" w:rsidR="00951F81" w:rsidRDefault="00951F81" w:rsidP="00951F81"/>
    <w:p w14:paraId="2155FBED" w14:textId="77777777" w:rsidR="00951F81" w:rsidRDefault="007079D3" w:rsidP="00951F81">
      <w:r>
        <w:t xml:space="preserve">Το </w:t>
      </w:r>
      <w:r w:rsidR="007E0F77">
        <w:t>Kefdensis</w:t>
      </w:r>
      <w:r w:rsidR="007E0F77" w:rsidRPr="00442125">
        <w:t xml:space="preserve"> </w:t>
      </w:r>
      <w:r>
        <w:t>δεν θα πρέπει να χρησιμοποιείται σε παιδιατρικούς πληθυσμούς (βλ. παραγράφους 4.2 και 5.1).</w:t>
      </w:r>
    </w:p>
    <w:p w14:paraId="2155FBEE" w14:textId="77777777" w:rsidR="00951F81" w:rsidRDefault="00951F81" w:rsidP="00951F81"/>
    <w:p w14:paraId="2155FBEF" w14:textId="4718D739" w:rsidR="00951F81" w:rsidRDefault="007079D3" w:rsidP="00951F81">
      <w:r>
        <w:t>Σε μια μελέτη φάσης </w:t>
      </w:r>
      <w:r w:rsidR="001A4A99">
        <w:rPr>
          <w:lang w:val="de-DE"/>
        </w:rPr>
        <w:t>III</w:t>
      </w:r>
      <w:r>
        <w:t xml:space="preserve"> παιδιατρικών ασθενών με ατελή οστεογένεση (N = 153), οι μέγιστες συγκεντρώσεις τ</w:t>
      </w:r>
      <w:r w:rsidR="00982F4B">
        <w:t>ης</w:t>
      </w:r>
      <w:r>
        <w:t xml:space="preserve"> </w:t>
      </w:r>
      <w:r w:rsidR="00A050CB">
        <w:t>δενοσουμάμπη</w:t>
      </w:r>
      <w:r w:rsidR="00982F4B">
        <w:t>ς</w:t>
      </w:r>
      <w:r>
        <w:t xml:space="preserve"> στον ορό παρατηρήθηκαν την ημέρα 10 σε όλες τις ηλικιακές ομάδες. Για τα σχήματα χορήγησης δόσης κάθε 3 μήνες και κάθε 6 μήνες, παρατηρήθηκε ότι οι μέσες ελάχιστες συγκεντρώσεις τ</w:t>
      </w:r>
      <w:r w:rsidR="00982F4B">
        <w:t>ης</w:t>
      </w:r>
      <w:r>
        <w:t xml:space="preserve"> </w:t>
      </w:r>
      <w:r w:rsidR="00A050CB">
        <w:t>δενοσουμάμπη</w:t>
      </w:r>
      <w:r>
        <w:t xml:space="preserve"> στον ορό είναι υψηλότερες για παιδιά ηλικίας 11 έως 17 ετών, ενώ τα παιδιά ηλικίας 2 έως 6 ετών είχαν τις χαμηλότερες μέσες ελάχιστες συγκεντρώσεις.</w:t>
      </w:r>
    </w:p>
    <w:p w14:paraId="2155FBF0" w14:textId="77777777" w:rsidR="00951F81" w:rsidRDefault="00951F81" w:rsidP="00951F81"/>
    <w:p w14:paraId="2155FBF1" w14:textId="77777777" w:rsidR="00951F81" w:rsidRDefault="007079D3" w:rsidP="00951F81">
      <w:pPr>
        <w:keepNext/>
        <w:ind w:left="567" w:hanging="567"/>
        <w:rPr>
          <w:b/>
        </w:rPr>
      </w:pPr>
      <w:r>
        <w:rPr>
          <w:b/>
        </w:rPr>
        <w:t>5.3</w:t>
      </w:r>
      <w:r>
        <w:rPr>
          <w:b/>
        </w:rPr>
        <w:tab/>
        <w:t>Προκλινικά δεδομένα για την ασφάλεια</w:t>
      </w:r>
    </w:p>
    <w:p w14:paraId="2155FBF2" w14:textId="77777777" w:rsidR="00951F81" w:rsidRDefault="00951F81" w:rsidP="00951F81">
      <w:pPr>
        <w:keepNext/>
      </w:pPr>
    </w:p>
    <w:p w14:paraId="2155FBF3" w14:textId="1F05730A" w:rsidR="00951F81" w:rsidRDefault="007079D3" w:rsidP="00951F81">
      <w:r>
        <w:t xml:space="preserve">Σε μελέτες τοξικότητας εφάπαξ και επαναλαμβανόμενων δόσεων σε πιθήκους cynomolgus, οι δόσεις </w:t>
      </w:r>
      <w:r w:rsidR="00A050CB">
        <w:t>δενοσουμάμπη</w:t>
      </w:r>
      <w:r w:rsidR="00982F4B">
        <w:t>ς</w:t>
      </w:r>
      <w:r>
        <w:t xml:space="preserve"> που οδήγησαν σε 100–150 φορές μεγαλύτερη συστηματική έκθεση από τη συνιστώµενη ανθρώπινη δόση δεν είχαν καμία επίπτωση στην καρδιαγγειακή φυσιολογία, την ανδρική ή τη γυναικεία γονιμότητα, ούτε προκάλεσαν ειδική τοξικότητα σε όργανα-στόχους.</w:t>
      </w:r>
    </w:p>
    <w:p w14:paraId="2155FBF4" w14:textId="77777777" w:rsidR="00951F81" w:rsidRDefault="00951F81" w:rsidP="00951F81"/>
    <w:p w14:paraId="2155FBF5" w14:textId="233A73A0" w:rsidR="00951F81" w:rsidRDefault="007079D3" w:rsidP="00951F81">
      <w:r>
        <w:t>Δεν έχουν πραγματοποιηθεί οι συνήθεις δοκιμασίες για την αξιολόγηση του δυναµικού γονιδιοτοξικότητας τ</w:t>
      </w:r>
      <w:r w:rsidR="00982F4B">
        <w:t>ης</w:t>
      </w:r>
      <w:r>
        <w:t xml:space="preserve"> </w:t>
      </w:r>
      <w:r w:rsidR="00A050CB">
        <w:t>δενοσουμάμπη</w:t>
      </w:r>
      <w:r w:rsidR="00982F4B">
        <w:t>ς</w:t>
      </w:r>
      <w:r>
        <w:t xml:space="preserve">, εφόσον τέτοιες δοκιμασίες δεν είναι σχετικές με το συγκεκριμένο μόριο. Ωστόσο, λόγω των χαρακτηριστικών του </w:t>
      </w:r>
      <w:r w:rsidR="00982F4B">
        <w:t>η</w:t>
      </w:r>
      <w:r>
        <w:t xml:space="preserve"> </w:t>
      </w:r>
      <w:r w:rsidR="00A050CB">
        <w:t>δενοσουμάμπη</w:t>
      </w:r>
      <w:r>
        <w:t xml:space="preserve"> θεωρείται απίθανο να έχει οποιοδήποτε δυναµικό γονιδιοτοξικότητας.</w:t>
      </w:r>
    </w:p>
    <w:p w14:paraId="2155FBF6" w14:textId="77777777" w:rsidR="00951F81" w:rsidRDefault="00951F81" w:rsidP="00951F81"/>
    <w:p w14:paraId="2155FBF7" w14:textId="06D31F67" w:rsidR="00951F81" w:rsidRDefault="007079D3" w:rsidP="00951F81">
      <w:r>
        <w:t>Το καρκινογόνο δυναμικό τ</w:t>
      </w:r>
      <w:r w:rsidR="00982F4B">
        <w:t>ης</w:t>
      </w:r>
      <w:r>
        <w:t xml:space="preserve"> </w:t>
      </w:r>
      <w:r w:rsidR="00A050CB">
        <w:t>δενοσουμάμπη</w:t>
      </w:r>
      <w:r w:rsidR="00982F4B">
        <w:t>ς</w:t>
      </w:r>
      <w:r>
        <w:t xml:space="preserve"> δεν έχει εκτιμηθεί σε μακροχρόνιες μελέτες σε ζώα.</w:t>
      </w:r>
    </w:p>
    <w:p w14:paraId="2155FBF8" w14:textId="77777777" w:rsidR="00951F81" w:rsidRDefault="00951F81" w:rsidP="00951F81"/>
    <w:p w14:paraId="2155FBF9" w14:textId="77777777" w:rsidR="00951F81" w:rsidRDefault="007079D3" w:rsidP="00951F81">
      <w:r>
        <w:t>Σε προκλινικές μελέτες που διεξήχθησαν σε knockout ποντίκια που στερούνταν το RANK ή το RANKL, παρατηρήθηκε διαταραχή του σχηματισμού λεμφαδένων στο έμβρυο. Επίσης, σε knockout ποντίκια που στερούνταν το RANK ή το RANKL παρατηρήθηκε απουσία παραγωγής γάλακτος λόγω αναστολής της ωρίμανσης του μαζικού αδένα (ανάπτυξη κυψελοειδών και λοβιακών αδένων κατά τη διάρκεια της εγκυμοσύνης).</w:t>
      </w:r>
    </w:p>
    <w:p w14:paraId="2155FBFA" w14:textId="77777777" w:rsidR="00951F81" w:rsidRDefault="00951F81" w:rsidP="00951F81"/>
    <w:p w14:paraId="2155FBFB" w14:textId="6C687926" w:rsidR="00951F81" w:rsidRDefault="007079D3" w:rsidP="00951F81">
      <w:r>
        <w:t xml:space="preserve">Σε μία μελέτη σε πιθήκους cynomolgus στους οποίους χορηγήθηκαν δόσεις </w:t>
      </w:r>
      <w:r w:rsidR="00A050CB">
        <w:t>δενοσουμάμπη</w:t>
      </w:r>
      <w:r w:rsidR="00982F4B">
        <w:t>ς</w:t>
      </w:r>
      <w:r>
        <w:t xml:space="preserve"> κατά τη διάρκεια περιόδου που ισοδυναμεί με το πρώτο τρίμηνο της εγκυμοσύνης που οδήγησαν σε 99 φορές μεγαλύτερη συστηματική έκθεση βάσει της AUC από τη συνιστώμενη ανθρώπινη δόση (60 mg κάθε 6 μήνες), δεν υπήρξαν αποδείξεις βλαβών στη μητέρα ή στο έμβρυο. Σε αυτή τη μελέτη, δεν εξετάστηκαν οι εμβρυϊκοί λεμφαδένες.</w:t>
      </w:r>
    </w:p>
    <w:p w14:paraId="2155FBFC" w14:textId="77777777" w:rsidR="00951F81" w:rsidRDefault="00951F81" w:rsidP="00951F81"/>
    <w:p w14:paraId="2155FBFD" w14:textId="7EFC929F" w:rsidR="00951F81" w:rsidRDefault="007079D3" w:rsidP="00951F81">
      <w:r>
        <w:t xml:space="preserve">Σε άλλη μελέτη σε πιθήκους cynomolgus στους οποίους κατά τη διάρκεια της εγκυμοσύνης χορηγήθηκε </w:t>
      </w:r>
      <w:r w:rsidR="00A050CB">
        <w:t>δενοσουμάμπη</w:t>
      </w:r>
      <w:r>
        <w:t xml:space="preserve"> σε δόσεις με 119 φορές μεγαλύτερη συστηματική έκθεση βάσει της AUC από την ανθρώπινη δόση (60 mg κάθε 6 μήνες), εμφανίστηκαν αυξημένοι τοκετοί νεκρών εμβρύων και μετα-γεννητική θνησιμότητα, μη φυσιολογική ανάπτυξη των οστών με αποτέλεσμα την μειωμένη αντοχή των οστών, μειωμένη αιμοποίηση, και λανθασμένη ευθυγράμμιση των δοντιών, απουσία περιφερικών λεμφαδένων, και μειωμένη νεογνική ανάπτυξη. Δεν καθορίστηκε το επίπεδο για μη παρατήρηση ανεπιθύμητων ενεργειών για τις αναπαραγωγικές επιδράσεις. Στη χρονική περίοδο 6 μηνών μετά από την γέννηση, οι αλλαγές που αφορούσαν στα οστά αποκαταστάθηκαν και δεν υπήρξε επίδραση στην ανατολή των δοντιών. Όμως, οι επιδράσεις στους λεμφαδένες και τη λανθασμένη ευθυγράμμιση των δοντιών παρέμειναν, και ελάχιστη ως μέτρια μεταλλοποίηση σε πολλαπλούς ιστούς παρατηρήθηκε σε ένα από τα πειραματόζωα (συσχέτιση με τη θεραπεία είναι ασαφής). Δεν υπήρξαν στοιχεία βλάβης στην μητέρα πριν από τον τοκετό, ανεπιθύμητα μητρικά συμβάματα παρατηρήθηκαν σπάνια κατά τον τοκετό. Η ανάπτυξη των μητρικών μαστικών αδένων ήταν φυσιολογική.</w:t>
      </w:r>
    </w:p>
    <w:p w14:paraId="2155FBFE" w14:textId="77777777" w:rsidR="00951F81" w:rsidRDefault="00951F81" w:rsidP="00951F81"/>
    <w:p w14:paraId="2155FBFF" w14:textId="5F70213F" w:rsidR="00951F81" w:rsidRDefault="007079D3" w:rsidP="00951F81">
      <w:r>
        <w:t xml:space="preserve">Σε προκλινικές μελέτες της ποιότητας των οστών σε πιθήκους υπό μακροχρόνια θεραπεία με </w:t>
      </w:r>
      <w:r w:rsidR="00A050CB">
        <w:t>δενοσουμάμπη</w:t>
      </w:r>
      <w:r>
        <w:t xml:space="preserve">, </w:t>
      </w:r>
      <w:r w:rsidR="00C91DF4">
        <w:t>μειώσεις</w:t>
      </w:r>
      <w:r>
        <w:t xml:space="preserve"> των δεικτών οστικής εναλλαγής συσχετίστηκαν με βελτίωση της οστικής αντοχής και φυσιολογική ιστολογία των οστών. Τα επίπεδα ασβεστίου εμφάνισαν παροδική μείωση και τα επίπεδα παραθορμόνης παροδική αύξηση σε ωοθηκεκτομηθέντες πιθήκους που έλαβαν </w:t>
      </w:r>
      <w:r w:rsidR="00A050CB">
        <w:t>δενοσουμάμπη</w:t>
      </w:r>
      <w:r>
        <w:t>.</w:t>
      </w:r>
    </w:p>
    <w:p w14:paraId="2155FC00" w14:textId="77777777" w:rsidR="00951F81" w:rsidRDefault="00951F81" w:rsidP="00951F81"/>
    <w:p w14:paraId="2155FC01" w14:textId="1A8A1AE1" w:rsidR="00951F81" w:rsidRDefault="007079D3" w:rsidP="00951F81">
      <w:r>
        <w:t>Σε αρσενικά ποντίκια γενετικά τροποποιημένα ώστε να εκφράζουν το huRANKL (ποντίκια knock</w:t>
      </w:r>
      <w:r>
        <w:noBreakHyphen/>
        <w:t xml:space="preserve">in), στα οποία προκλήθηκε κάταγμα στον φλοιό, </w:t>
      </w:r>
      <w:r w:rsidR="00982F4B">
        <w:t>η</w:t>
      </w:r>
      <w:r>
        <w:t xml:space="preserve"> </w:t>
      </w:r>
      <w:r w:rsidR="00F75A5C">
        <w:t xml:space="preserve"> </w:t>
      </w:r>
      <w:r w:rsidR="00A050CB">
        <w:t>δενοσουμάμπη</w:t>
      </w:r>
      <w:r>
        <w:t xml:space="preserve"> καθυστέρησε την εξαφάνιση του χόνδρου και την ανακατασκευή του πώρου του κατάγματος σε σύγκριση με το φάρμακο ελέγχου, αλλά η βιομηχανική αντοχή δεν επηρεάστηκε αρνητικά.</w:t>
      </w:r>
    </w:p>
    <w:p w14:paraId="2155FC02" w14:textId="77777777" w:rsidR="00951F81" w:rsidRDefault="00951F81" w:rsidP="00951F81"/>
    <w:p w14:paraId="2155FC03" w14:textId="28FBC0C1" w:rsidR="00951F81" w:rsidRDefault="007079D3" w:rsidP="00951F81">
      <w:r>
        <w:t xml:space="preserve">Knockout ποντίκια (βλ. παράγραφο 4.6) που στερούνταν το RANK ή το RANKL παρουσίασαν μειωμένο σωματικό βάρος, μειωμένη ανάπτυξη των οστών και μη ανατολή των δοντιών. Σε νεογέννητους αρουραίους, η αναστολή του RANKL (στόχος της θεραπείας με </w:t>
      </w:r>
      <w:r w:rsidR="00A050CB">
        <w:t>δενοσουμάμπη</w:t>
      </w:r>
      <w:r>
        <w:t>) με υψηλές δόσεις τεχνητής οστεοπροτεγερίνης συνδεδεμένης στο μόριο Fc (OPG</w:t>
      </w:r>
      <w:r>
        <w:noBreakHyphen/>
        <w:t xml:space="preserve">Fc) συσχετίστηκε με αναστολή της ανάπτυξης των οστών και της ανατολής των δοντιών. Σε αυτό το μοντέλο οι αλλαγές ήταν μερικώς αναστρέψιμες όταν διακόπηκε η χορήγηση δόσεων αναστολέων του RANKL. Έφηβα πρωτεύοντα θηλαστικά στα οποία χορηγήθηκε </w:t>
      </w:r>
      <w:r w:rsidR="00A050CB">
        <w:t>δενοσουμάμπη</w:t>
      </w:r>
      <w:r>
        <w:t xml:space="preserve"> σε δόσεις 27 και 150 φορές μεγαλύτερες (10 και 50 mg/kg) από την κλινική έκθεση εμφάνισαν μη φυσιολογικές αυξητικές πλάκες. Επομένως, η θεραπεία με </w:t>
      </w:r>
      <w:r w:rsidR="00A050CB">
        <w:t>δενοσουμάμπη</w:t>
      </w:r>
      <w:r>
        <w:t xml:space="preserve"> μπορεί να μειώσει την ανάπτυξη των οστών στα παιδιά με ανοικτές αυξητικές πλάκες και να αναστείλει την ανατολή των δοντιών.</w:t>
      </w:r>
    </w:p>
    <w:p w14:paraId="2155FC04" w14:textId="77777777" w:rsidR="00951F81" w:rsidRDefault="00951F81" w:rsidP="00951F81"/>
    <w:p w14:paraId="2155FC05" w14:textId="77777777" w:rsidR="00951F81" w:rsidRDefault="00951F81" w:rsidP="00951F81"/>
    <w:p w14:paraId="2155FC06" w14:textId="77777777" w:rsidR="00951F81" w:rsidRDefault="007079D3" w:rsidP="00951F81">
      <w:pPr>
        <w:keepNext/>
        <w:ind w:left="567" w:hanging="567"/>
        <w:rPr>
          <w:b/>
        </w:rPr>
      </w:pPr>
      <w:r>
        <w:rPr>
          <w:b/>
        </w:rPr>
        <w:t>6.</w:t>
      </w:r>
      <w:r>
        <w:rPr>
          <w:b/>
        </w:rPr>
        <w:tab/>
        <w:t>ΦΑΡΜΑΚΕΥΤΙΚΕΣ ΠΛΗΡΟΦΟΡΙΕΣ</w:t>
      </w:r>
    </w:p>
    <w:p w14:paraId="2155FC07" w14:textId="77777777" w:rsidR="00951F81" w:rsidRDefault="00951F81" w:rsidP="00951F81">
      <w:pPr>
        <w:keepNext/>
      </w:pPr>
    </w:p>
    <w:p w14:paraId="2155FC08" w14:textId="77777777" w:rsidR="00951F81" w:rsidRDefault="007079D3" w:rsidP="00951F81">
      <w:pPr>
        <w:keepNext/>
        <w:ind w:left="567" w:hanging="567"/>
        <w:rPr>
          <w:b/>
        </w:rPr>
      </w:pPr>
      <w:r>
        <w:rPr>
          <w:b/>
        </w:rPr>
        <w:t>6.1</w:t>
      </w:r>
      <w:r>
        <w:rPr>
          <w:b/>
        </w:rPr>
        <w:tab/>
        <w:t>Κατάλογος εκδόχων</w:t>
      </w:r>
    </w:p>
    <w:p w14:paraId="2155FC09" w14:textId="77777777" w:rsidR="00951F81" w:rsidRDefault="00951F81" w:rsidP="00951F81">
      <w:pPr>
        <w:keepNext/>
      </w:pPr>
    </w:p>
    <w:p w14:paraId="2155FC0A" w14:textId="0393F18F" w:rsidR="007E0F77" w:rsidRPr="00BB4DA7" w:rsidRDefault="00F4447E" w:rsidP="007E0F77">
      <w:pPr>
        <w:keepNext/>
        <w:autoSpaceDE w:val="0"/>
        <w:autoSpaceDN w:val="0"/>
        <w:adjustRightInd w:val="0"/>
      </w:pPr>
      <w:r>
        <w:rPr>
          <w:lang w:val="de-DE"/>
        </w:rPr>
        <w:t>I</w:t>
      </w:r>
      <w:r w:rsidR="007079D3" w:rsidRPr="00BB4DA7">
        <w:t>στιδίνη</w:t>
      </w:r>
    </w:p>
    <w:p w14:paraId="2155FC0B" w14:textId="24E09155" w:rsidR="007E0F77" w:rsidRPr="00BB4DA7" w:rsidRDefault="00912906" w:rsidP="007E0F77">
      <w:pPr>
        <w:keepNext/>
        <w:autoSpaceDE w:val="0"/>
        <w:autoSpaceDN w:val="0"/>
        <w:adjustRightInd w:val="0"/>
      </w:pPr>
      <w:r w:rsidRPr="00912906">
        <w:t>Iστιδίνη υδροχλωρική μονοϋδρική</w:t>
      </w:r>
    </w:p>
    <w:p w14:paraId="2155FC0C" w14:textId="77777777" w:rsidR="007E0F77" w:rsidRPr="00BB4DA7" w:rsidRDefault="007079D3" w:rsidP="007E0F77">
      <w:pPr>
        <w:keepNext/>
        <w:autoSpaceDE w:val="0"/>
        <w:autoSpaceDN w:val="0"/>
        <w:adjustRightInd w:val="0"/>
      </w:pPr>
      <w:r w:rsidRPr="00BB4DA7">
        <w:t>Σακχαρόζη</w:t>
      </w:r>
    </w:p>
    <w:p w14:paraId="2155FC0D" w14:textId="2BF833FE" w:rsidR="007E0F77" w:rsidRPr="00BB4DA7" w:rsidRDefault="007079D3" w:rsidP="007E0F77">
      <w:pPr>
        <w:keepNext/>
        <w:autoSpaceDE w:val="0"/>
        <w:autoSpaceDN w:val="0"/>
        <w:adjustRightInd w:val="0"/>
      </w:pPr>
      <w:r w:rsidRPr="00171368">
        <w:t>Πολοξαμ</w:t>
      </w:r>
      <w:r w:rsidR="00393FAE">
        <w:t>ερές</w:t>
      </w:r>
      <w:r w:rsidR="00A0341E" w:rsidRPr="00BB4DA7">
        <w:t xml:space="preserve"> 188</w:t>
      </w:r>
    </w:p>
    <w:p w14:paraId="2155FC0E" w14:textId="77777777" w:rsidR="007E0F77" w:rsidRPr="00CD38BE" w:rsidRDefault="007079D3" w:rsidP="007E0F77">
      <w:pPr>
        <w:keepNext/>
        <w:autoSpaceDE w:val="0"/>
        <w:autoSpaceDN w:val="0"/>
        <w:adjustRightInd w:val="0"/>
      </w:pPr>
      <w:r w:rsidRPr="00BB4DA7">
        <w:t>Ύδωρ για ενέσιμα</w:t>
      </w:r>
    </w:p>
    <w:p w14:paraId="2155FC0F" w14:textId="77777777" w:rsidR="00951F81" w:rsidRDefault="00951F81" w:rsidP="00951F81"/>
    <w:p w14:paraId="2155FC10" w14:textId="77777777" w:rsidR="00951F81" w:rsidRDefault="007079D3" w:rsidP="00951F81">
      <w:pPr>
        <w:keepNext/>
        <w:ind w:left="567" w:hanging="567"/>
        <w:rPr>
          <w:b/>
        </w:rPr>
      </w:pPr>
      <w:r>
        <w:rPr>
          <w:b/>
        </w:rPr>
        <w:t>6.2</w:t>
      </w:r>
      <w:r>
        <w:rPr>
          <w:b/>
        </w:rPr>
        <w:tab/>
        <w:t>Ασυμβατότητες</w:t>
      </w:r>
    </w:p>
    <w:p w14:paraId="2155FC11" w14:textId="77777777" w:rsidR="00951F81" w:rsidRDefault="00951F81" w:rsidP="00951F81">
      <w:pPr>
        <w:keepNext/>
      </w:pPr>
    </w:p>
    <w:p w14:paraId="2155FC12" w14:textId="77777777" w:rsidR="00951F81" w:rsidRDefault="007079D3" w:rsidP="00951F81">
      <w:r>
        <w:t>Ελλείψει μελετών σχετικά με τη συμβατότητα, το παρόν φαρμακευτικό προϊόν δεν πρέπει να αναμειγνύεται με άλλα φαρμακευτικά προϊόντα.</w:t>
      </w:r>
    </w:p>
    <w:p w14:paraId="2155FC13" w14:textId="77777777" w:rsidR="00951F81" w:rsidRDefault="00951F81" w:rsidP="00951F81"/>
    <w:p w14:paraId="2155FC14" w14:textId="77777777" w:rsidR="00951F81" w:rsidRDefault="007079D3" w:rsidP="00951F81">
      <w:pPr>
        <w:keepNext/>
        <w:ind w:left="567" w:hanging="567"/>
        <w:rPr>
          <w:b/>
        </w:rPr>
      </w:pPr>
      <w:r>
        <w:rPr>
          <w:b/>
        </w:rPr>
        <w:t>6.3</w:t>
      </w:r>
      <w:r>
        <w:rPr>
          <w:b/>
        </w:rPr>
        <w:tab/>
        <w:t>Διάρκεια ζωής</w:t>
      </w:r>
    </w:p>
    <w:p w14:paraId="2155FC15" w14:textId="77777777" w:rsidR="00951F81" w:rsidRDefault="00951F81" w:rsidP="00951F81">
      <w:pPr>
        <w:keepNext/>
      </w:pPr>
    </w:p>
    <w:p w14:paraId="2155FC16" w14:textId="563429DE" w:rsidR="00951F81" w:rsidRDefault="00902B03" w:rsidP="00951F81">
      <w:r>
        <w:t>3</w:t>
      </w:r>
      <w:r w:rsidR="007079D3">
        <w:t> χρόνια.</w:t>
      </w:r>
    </w:p>
    <w:p w14:paraId="2155FC17" w14:textId="77777777" w:rsidR="00951F81" w:rsidRDefault="00951F81" w:rsidP="00951F81"/>
    <w:p w14:paraId="2155FC18" w14:textId="71A4D142" w:rsidR="00951F81" w:rsidRDefault="007079D3" w:rsidP="00951F81">
      <w:r>
        <w:t xml:space="preserve">Εφόσον βγει από το ψυγείο, το </w:t>
      </w:r>
      <w:r w:rsidR="007E0F77">
        <w:t>Kefdensis</w:t>
      </w:r>
      <w:r w:rsidR="007E0F77" w:rsidRPr="00442125">
        <w:t xml:space="preserve"> </w:t>
      </w:r>
      <w:r>
        <w:t xml:space="preserve">μπορεί να φυλάσσεται σε θερμοκρασία δωματίου (μέχρι 25°C) για διάστημα έως 30 ημέρες </w:t>
      </w:r>
      <w:r w:rsidR="00C91DF4">
        <w:t>στο αρχικό κουτί</w:t>
      </w:r>
      <w:r>
        <w:t xml:space="preserve">. Πρέπει να </w:t>
      </w:r>
      <w:r w:rsidR="00C91DF4">
        <w:t>χρησιμοποιηθεί</w:t>
      </w:r>
      <w:r>
        <w:t xml:space="preserve"> εντός του διαστήματος των 30 ημερών.</w:t>
      </w:r>
    </w:p>
    <w:p w14:paraId="2155FC19" w14:textId="77777777" w:rsidR="00951F81" w:rsidRDefault="00951F81" w:rsidP="00951F81"/>
    <w:p w14:paraId="2155FC1A" w14:textId="77777777" w:rsidR="00951F81" w:rsidRDefault="007079D3" w:rsidP="00951F81">
      <w:pPr>
        <w:keepNext/>
        <w:ind w:left="567" w:hanging="567"/>
        <w:rPr>
          <w:b/>
        </w:rPr>
      </w:pPr>
      <w:r>
        <w:rPr>
          <w:b/>
        </w:rPr>
        <w:t>6.4</w:t>
      </w:r>
      <w:r>
        <w:rPr>
          <w:b/>
        </w:rPr>
        <w:tab/>
        <w:t>Ιδιαίτερες προφυλάξεις κατά την φύλαξη του προϊόντος</w:t>
      </w:r>
    </w:p>
    <w:p w14:paraId="2155FC1B" w14:textId="77777777" w:rsidR="00951F81" w:rsidRDefault="00951F81" w:rsidP="00951F81">
      <w:pPr>
        <w:keepNext/>
      </w:pPr>
    </w:p>
    <w:p w14:paraId="2155FC1C" w14:textId="77777777" w:rsidR="00951F81" w:rsidRDefault="007079D3" w:rsidP="00951F81">
      <w:r>
        <w:t>Φυλάσσετε σε ψυγείο (2°C – 8°C).</w:t>
      </w:r>
    </w:p>
    <w:p w14:paraId="2155FC1D" w14:textId="77777777" w:rsidR="00951F81" w:rsidRDefault="007079D3" w:rsidP="00951F81">
      <w:r>
        <w:t>Μην καταψύχετε.</w:t>
      </w:r>
    </w:p>
    <w:p w14:paraId="2155FC1E" w14:textId="77777777" w:rsidR="00951F81" w:rsidRDefault="007079D3" w:rsidP="00951F81">
      <w:r>
        <w:t>Φυλάσσετε την προγεμισμένη σύριγγα στο εξωτερικό κουτί για να προστατεύεται από το φως.</w:t>
      </w:r>
    </w:p>
    <w:p w14:paraId="2155FC1F" w14:textId="77777777" w:rsidR="00951F81" w:rsidRDefault="00951F81" w:rsidP="00951F81"/>
    <w:p w14:paraId="2155FC20" w14:textId="77777777" w:rsidR="00951F81" w:rsidRDefault="007079D3" w:rsidP="00951F81">
      <w:pPr>
        <w:keepNext/>
        <w:ind w:left="567" w:hanging="567"/>
        <w:rPr>
          <w:b/>
        </w:rPr>
      </w:pPr>
      <w:r>
        <w:rPr>
          <w:b/>
        </w:rPr>
        <w:t>6.5</w:t>
      </w:r>
      <w:r>
        <w:rPr>
          <w:b/>
        </w:rPr>
        <w:tab/>
        <w:t>Φύση και συστατικά του περιέκτη</w:t>
      </w:r>
    </w:p>
    <w:p w14:paraId="2155FC21" w14:textId="77777777" w:rsidR="00951F81" w:rsidRDefault="00951F81" w:rsidP="00951F81">
      <w:pPr>
        <w:keepNext/>
      </w:pPr>
    </w:p>
    <w:p w14:paraId="2155FC22" w14:textId="2CBE6864" w:rsidR="00CC482F" w:rsidRPr="00CC482F" w:rsidRDefault="007079D3" w:rsidP="00CC482F">
      <w:r w:rsidRPr="00CC482F">
        <w:t>Ένα mL διαλύματος σε προγεμισμένη σύριγγα μιας χρήσης από γυαλί τύπου Ι με βελόνα από ανοξείδωτο ατσάλι διαμέτρου 2</w:t>
      </w:r>
      <w:r w:rsidR="00272612" w:rsidRPr="00CC482F">
        <w:t>9</w:t>
      </w:r>
      <w:r w:rsidRPr="00CC482F">
        <w:t> </w:t>
      </w:r>
      <w:r w:rsidR="00BB4DA7" w:rsidRPr="00CC482F">
        <w:t>gauge</w:t>
      </w:r>
      <w:r w:rsidRPr="00CC482F">
        <w:t xml:space="preserve">, </w:t>
      </w:r>
      <w:r w:rsidR="00BB4DA7" w:rsidRPr="00CC482F">
        <w:t xml:space="preserve">εκτεταμένες λαβές δακτύλων και </w:t>
      </w:r>
      <w:r w:rsidRPr="00CC482F">
        <w:t>μηχανισμό κάλυψης βελόνας</w:t>
      </w:r>
      <w:r w:rsidR="00BB4DA7" w:rsidRPr="00CC482F">
        <w:t xml:space="preserve">, </w:t>
      </w:r>
      <w:r w:rsidRPr="00CC482F">
        <w:t xml:space="preserve">και </w:t>
      </w:r>
      <w:r w:rsidR="00C91DF4">
        <w:t>πώμα εισχώρησης εμβόλου</w:t>
      </w:r>
      <w:r w:rsidR="00C91DF4" w:rsidRPr="00CC482F">
        <w:t xml:space="preserve"> </w:t>
      </w:r>
      <w:r w:rsidRPr="00CC482F">
        <w:t>(ελαστικό βρωμοβουτυλίου).</w:t>
      </w:r>
    </w:p>
    <w:p w14:paraId="2155FC23" w14:textId="77777777" w:rsidR="00951F81" w:rsidRPr="00CC482F" w:rsidRDefault="00951F81" w:rsidP="00951F81"/>
    <w:p w14:paraId="2155FC24" w14:textId="77777777" w:rsidR="00951F81" w:rsidRPr="00272612" w:rsidRDefault="007079D3" w:rsidP="00951F81">
      <w:r w:rsidRPr="00CC482F">
        <w:t xml:space="preserve">Συσκευασία της μίας προγεμισμένης σύριγγας, </w:t>
      </w:r>
      <w:r w:rsidR="00CC482F" w:rsidRPr="00CC482F">
        <w:t>σε συσκευασία με</w:t>
      </w:r>
      <w:r w:rsidRPr="00CC482F">
        <w:t xml:space="preserve"> κυψέλη</w:t>
      </w:r>
      <w:r w:rsidR="00272612" w:rsidRPr="00CC482F">
        <w:t>.</w:t>
      </w:r>
    </w:p>
    <w:p w14:paraId="2155FC25" w14:textId="77777777" w:rsidR="00951F81" w:rsidRPr="00A45700" w:rsidRDefault="00951F81" w:rsidP="00951F81"/>
    <w:p w14:paraId="2155FC27" w14:textId="77777777" w:rsidR="00951F81" w:rsidRDefault="007079D3" w:rsidP="00951F81">
      <w:pPr>
        <w:keepNext/>
        <w:ind w:left="567" w:hanging="567"/>
        <w:rPr>
          <w:b/>
        </w:rPr>
      </w:pPr>
      <w:r>
        <w:rPr>
          <w:b/>
        </w:rPr>
        <w:t>6.6</w:t>
      </w:r>
      <w:r>
        <w:rPr>
          <w:b/>
        </w:rPr>
        <w:tab/>
        <w:t>Ιδιαίτερες προφυλάξεις απόρριψης και άλλος χειρισμός</w:t>
      </w:r>
    </w:p>
    <w:p w14:paraId="2155FC28" w14:textId="77777777" w:rsidR="00951F81" w:rsidRDefault="00951F81" w:rsidP="00951F81">
      <w:pPr>
        <w:keepNext/>
      </w:pPr>
    </w:p>
    <w:p w14:paraId="2155FC29" w14:textId="0AB1E020" w:rsidR="00951F81" w:rsidRPr="00CC482F" w:rsidRDefault="007079D3" w:rsidP="00951F81">
      <w:pPr>
        <w:numPr>
          <w:ilvl w:val="0"/>
          <w:numId w:val="54"/>
        </w:numPr>
        <w:tabs>
          <w:tab w:val="clear" w:pos="567"/>
        </w:tabs>
        <w:ind w:left="567" w:hanging="567"/>
      </w:pPr>
      <w:r>
        <w:t xml:space="preserve">Πριν από τη χορήγηση, το διάλυμα πρέπει να ελέγχεται οπτικά. </w:t>
      </w:r>
      <w:r w:rsidR="00272612" w:rsidRPr="00CC482F">
        <w:t xml:space="preserve">Το διάλυμα μπορεί να περιέχει ίχνη </w:t>
      </w:r>
      <w:r w:rsidR="001F76E7">
        <w:t>από ημιδιαφανή</w:t>
      </w:r>
      <w:r w:rsidR="001F76E7" w:rsidRPr="00CC482F">
        <w:t xml:space="preserve"> </w:t>
      </w:r>
      <w:r w:rsidR="00272612" w:rsidRPr="00CC482F">
        <w:t>έως λευκ</w:t>
      </w:r>
      <w:r w:rsidR="001F76E7">
        <w:t>ά</w:t>
      </w:r>
      <w:r w:rsidR="00272612" w:rsidRPr="00CC482F">
        <w:t xml:space="preserve"> πρωτεϊνικ</w:t>
      </w:r>
      <w:r w:rsidR="001F76E7">
        <w:t>ά</w:t>
      </w:r>
      <w:r w:rsidR="00272612" w:rsidRPr="00CC482F">
        <w:t xml:space="preserve"> σωματ</w:t>
      </w:r>
      <w:r w:rsidR="001F76E7">
        <w:t>ί</w:t>
      </w:r>
      <w:r w:rsidR="00272612" w:rsidRPr="00CC482F">
        <w:t>δ</w:t>
      </w:r>
      <w:r w:rsidR="001F76E7">
        <w:t>ια</w:t>
      </w:r>
      <w:r w:rsidR="00272612" w:rsidRPr="00CC482F">
        <w:t xml:space="preserve">. </w:t>
      </w:r>
      <w:r w:rsidRPr="00CC482F">
        <w:t>Μην χρησιμοποιείτε το διάλυμα εάν περιέχει σωµατίδια, είναι νεφελώδες ή αποχρωµατισµένο.</w:t>
      </w:r>
    </w:p>
    <w:p w14:paraId="2155FC2A" w14:textId="77777777" w:rsidR="00951F81" w:rsidRDefault="007079D3" w:rsidP="00951F81">
      <w:pPr>
        <w:numPr>
          <w:ilvl w:val="0"/>
          <w:numId w:val="54"/>
        </w:numPr>
        <w:tabs>
          <w:tab w:val="clear" w:pos="567"/>
        </w:tabs>
        <w:ind w:left="567" w:hanging="567"/>
      </w:pPr>
      <w:r>
        <w:t>Μην ανακινείτε.</w:t>
      </w:r>
    </w:p>
    <w:p w14:paraId="2155FC2B" w14:textId="532D737E" w:rsidR="00951F81" w:rsidRDefault="007079D3" w:rsidP="00951F81">
      <w:pPr>
        <w:numPr>
          <w:ilvl w:val="0"/>
          <w:numId w:val="54"/>
        </w:numPr>
        <w:tabs>
          <w:tab w:val="clear" w:pos="567"/>
        </w:tabs>
        <w:ind w:left="567" w:hanging="567"/>
      </w:pPr>
      <w:r>
        <w:t xml:space="preserve">Για να αποφύγετε τη δυσφορία </w:t>
      </w:r>
      <w:r w:rsidR="00C91DF4">
        <w:t>στη θέση</w:t>
      </w:r>
      <w:r>
        <w:t xml:space="preserve"> ένεσης, αφήστε την προγεµισµένη σύριγγα να φτάσει σε </w:t>
      </w:r>
      <w:r w:rsidR="00C91DF4">
        <w:t>θερμοκρασία</w:t>
      </w:r>
      <w:r>
        <w:t xml:space="preserve"> </w:t>
      </w:r>
      <w:r w:rsidR="00C91DF4">
        <w:t>δωματίου</w:t>
      </w:r>
      <w:r>
        <w:t xml:space="preserve"> (μέχρι 25°C) πριν από την ένεση και εγχύστε αργά.</w:t>
      </w:r>
    </w:p>
    <w:p w14:paraId="2155FC2C" w14:textId="77777777" w:rsidR="00951F81" w:rsidRDefault="007079D3" w:rsidP="00951F81">
      <w:pPr>
        <w:numPr>
          <w:ilvl w:val="0"/>
          <w:numId w:val="54"/>
        </w:numPr>
        <w:tabs>
          <w:tab w:val="clear" w:pos="567"/>
        </w:tabs>
        <w:ind w:left="567" w:hanging="567"/>
      </w:pPr>
      <w:r>
        <w:t>Εγχύστε όλο το περιεχόμενο της προγεμισμένης σύριγγας.</w:t>
      </w:r>
    </w:p>
    <w:p w14:paraId="2155FC2D" w14:textId="77777777" w:rsidR="00951F81" w:rsidRDefault="00951F81" w:rsidP="00951F81"/>
    <w:p w14:paraId="2155FC2E" w14:textId="77777777" w:rsidR="00951F81" w:rsidRDefault="007079D3" w:rsidP="00951F81">
      <w:r>
        <w:t>Κάθε αχρησιμοποίητο φαρμακευτικό προϊόν ή υπόλειμμα πρέπει να απορρίπτεται σύμφωνα με τις κατά τόπους ισχύουσες σχετικές διατάξεις.</w:t>
      </w:r>
    </w:p>
    <w:p w14:paraId="2155FC2F" w14:textId="77777777" w:rsidR="00951F81" w:rsidRDefault="00951F81" w:rsidP="00951F81"/>
    <w:p w14:paraId="2155FC30" w14:textId="77777777" w:rsidR="00951F81" w:rsidRDefault="00951F81" w:rsidP="00951F81"/>
    <w:p w14:paraId="2155FC31" w14:textId="77777777" w:rsidR="00951F81" w:rsidRDefault="007079D3" w:rsidP="00951F81">
      <w:pPr>
        <w:keepNext/>
        <w:ind w:left="567" w:hanging="567"/>
        <w:rPr>
          <w:b/>
        </w:rPr>
      </w:pPr>
      <w:r>
        <w:rPr>
          <w:b/>
        </w:rPr>
        <w:t>7.</w:t>
      </w:r>
      <w:r>
        <w:rPr>
          <w:b/>
        </w:rPr>
        <w:tab/>
        <w:t>ΚΑΤΟΧΟΣ ΤΗΣ ΑΔΕΙΑΣ ΚΥΚΛΟΦΟΡΙΑΣ</w:t>
      </w:r>
    </w:p>
    <w:p w14:paraId="2155FC32" w14:textId="77777777" w:rsidR="00951F81" w:rsidRDefault="00951F81" w:rsidP="00951F81">
      <w:pPr>
        <w:keepNext/>
      </w:pPr>
    </w:p>
    <w:p w14:paraId="2155FC33" w14:textId="77777777" w:rsidR="00272612" w:rsidRPr="00BB4DA7" w:rsidRDefault="007079D3" w:rsidP="00272612">
      <w:r w:rsidRPr="00272612">
        <w:rPr>
          <w:lang w:val="de-DE"/>
        </w:rPr>
        <w:t>STADA</w:t>
      </w:r>
      <w:r w:rsidRPr="00BB4DA7">
        <w:t xml:space="preserve"> </w:t>
      </w:r>
      <w:r w:rsidRPr="00272612">
        <w:rPr>
          <w:lang w:val="de-DE"/>
        </w:rPr>
        <w:t>Arzneimittel</w:t>
      </w:r>
      <w:r w:rsidRPr="00BB4DA7">
        <w:t xml:space="preserve"> </w:t>
      </w:r>
      <w:r w:rsidRPr="00272612">
        <w:rPr>
          <w:lang w:val="de-DE"/>
        </w:rPr>
        <w:t>AG</w:t>
      </w:r>
    </w:p>
    <w:p w14:paraId="2155FC34" w14:textId="77777777" w:rsidR="00272612" w:rsidRPr="00BB4DA7" w:rsidRDefault="007079D3" w:rsidP="00272612">
      <w:r w:rsidRPr="00272612">
        <w:rPr>
          <w:lang w:val="de-DE"/>
        </w:rPr>
        <w:t>Stadastrasse</w:t>
      </w:r>
      <w:r w:rsidRPr="00BB4DA7">
        <w:t xml:space="preserve"> 2–18</w:t>
      </w:r>
    </w:p>
    <w:p w14:paraId="2155FC35" w14:textId="77777777" w:rsidR="00272612" w:rsidRPr="00BB4DA7" w:rsidRDefault="007079D3" w:rsidP="00272612">
      <w:r w:rsidRPr="00BB4DA7">
        <w:t xml:space="preserve">61118 </w:t>
      </w:r>
      <w:r w:rsidRPr="00272612">
        <w:rPr>
          <w:lang w:val="de-DE"/>
        </w:rPr>
        <w:t>Bad</w:t>
      </w:r>
      <w:r w:rsidRPr="00BB4DA7">
        <w:t xml:space="preserve"> </w:t>
      </w:r>
      <w:r w:rsidRPr="00272612">
        <w:rPr>
          <w:lang w:val="de-DE"/>
        </w:rPr>
        <w:t>Vilbel</w:t>
      </w:r>
    </w:p>
    <w:p w14:paraId="2155FC36" w14:textId="77777777" w:rsidR="00951F81" w:rsidRPr="00272612" w:rsidRDefault="007079D3" w:rsidP="00272612">
      <w:r>
        <w:t>Γερμανία</w:t>
      </w:r>
    </w:p>
    <w:p w14:paraId="2155FC37" w14:textId="77777777" w:rsidR="00951F81" w:rsidRDefault="00951F81" w:rsidP="00951F81"/>
    <w:p w14:paraId="2155FC38" w14:textId="77777777" w:rsidR="00951F81" w:rsidRDefault="00951F81" w:rsidP="00951F81"/>
    <w:p w14:paraId="2155FC39" w14:textId="77777777" w:rsidR="00951F81" w:rsidRDefault="007079D3" w:rsidP="00951F81">
      <w:pPr>
        <w:keepNext/>
        <w:ind w:left="567" w:hanging="567"/>
        <w:rPr>
          <w:b/>
        </w:rPr>
      </w:pPr>
      <w:r>
        <w:rPr>
          <w:b/>
        </w:rPr>
        <w:t>8.</w:t>
      </w:r>
      <w:r>
        <w:rPr>
          <w:b/>
        </w:rPr>
        <w:tab/>
        <w:t>ΑΡΙΘΜΟΣ(ΟΙ) ΑΔΕΙΑΣ ΚΥΚΛΟΦΟΡΙΑΣ</w:t>
      </w:r>
    </w:p>
    <w:p w14:paraId="2155FC3A" w14:textId="77777777" w:rsidR="00951F81" w:rsidRDefault="00951F81" w:rsidP="00951F81">
      <w:pPr>
        <w:keepNext/>
      </w:pPr>
    </w:p>
    <w:p w14:paraId="761CD012" w14:textId="5CB7D34E" w:rsidR="00951F81" w:rsidRDefault="007079D3" w:rsidP="4BA13CEF">
      <w:r w:rsidRPr="4BA13CEF">
        <w:rPr>
          <w:rFonts w:eastAsia="Times New Roman"/>
          <w:lang w:val="en-GB"/>
        </w:rPr>
        <w:t>EU</w:t>
      </w:r>
      <w:r w:rsidRPr="00B729FF">
        <w:rPr>
          <w:rFonts w:eastAsia="Times New Roman"/>
        </w:rPr>
        <w:t>/1/25/1980/001</w:t>
      </w:r>
    </w:p>
    <w:p w14:paraId="2155FC3B" w14:textId="44416CEE" w:rsidR="00951F81" w:rsidRDefault="00951F81" w:rsidP="00951F81">
      <w:pPr>
        <w:tabs>
          <w:tab w:val="clear" w:pos="567"/>
        </w:tabs>
      </w:pPr>
    </w:p>
    <w:p w14:paraId="2155FC3C" w14:textId="77777777" w:rsidR="00951F81" w:rsidRDefault="00951F81" w:rsidP="00951F81">
      <w:pPr>
        <w:tabs>
          <w:tab w:val="clear" w:pos="567"/>
        </w:tabs>
      </w:pPr>
    </w:p>
    <w:p w14:paraId="2155FC3D" w14:textId="77777777" w:rsidR="00951F81" w:rsidRDefault="007079D3" w:rsidP="00951F81">
      <w:pPr>
        <w:keepNext/>
        <w:ind w:left="567" w:hanging="567"/>
        <w:rPr>
          <w:b/>
        </w:rPr>
      </w:pPr>
      <w:r>
        <w:rPr>
          <w:b/>
        </w:rPr>
        <w:t>9.</w:t>
      </w:r>
      <w:r>
        <w:rPr>
          <w:b/>
        </w:rPr>
        <w:tab/>
        <w:t>ΗΜΕΡΟΜΗΝΙΑ ΠΡΩΤΗΣ ΕΓΚΡΙΣΗΣ/ΑΝΑΝΕΩΣΗΣ ΤΗΣ ΑΔΕΙΑΣ</w:t>
      </w:r>
    </w:p>
    <w:p w14:paraId="2155FC3E" w14:textId="77777777" w:rsidR="00951F81" w:rsidRDefault="00951F81" w:rsidP="00951F81">
      <w:pPr>
        <w:keepNext/>
      </w:pPr>
    </w:p>
    <w:p w14:paraId="2155FC3F" w14:textId="07799B11" w:rsidR="00951F81" w:rsidRDefault="007079D3" w:rsidP="00272612">
      <w:pPr>
        <w:keepNext/>
        <w:tabs>
          <w:tab w:val="clear" w:pos="567"/>
        </w:tabs>
      </w:pPr>
      <w:r>
        <w:t xml:space="preserve">Ημερομηνία πρώτης έγκρισης: </w:t>
      </w:r>
      <w:r w:rsidR="00E47E47" w:rsidRPr="00F05AB6">
        <w:t>17 Νοεμβρίου 2025</w:t>
      </w:r>
    </w:p>
    <w:p w14:paraId="2155FC40" w14:textId="77777777" w:rsidR="00951F81" w:rsidRDefault="00951F81" w:rsidP="00951F81">
      <w:pPr>
        <w:tabs>
          <w:tab w:val="clear" w:pos="567"/>
        </w:tabs>
      </w:pPr>
    </w:p>
    <w:p w14:paraId="2155FC41" w14:textId="77777777" w:rsidR="00951F81" w:rsidRDefault="00951F81" w:rsidP="00951F81">
      <w:pPr>
        <w:tabs>
          <w:tab w:val="clear" w:pos="567"/>
        </w:tabs>
      </w:pPr>
    </w:p>
    <w:p w14:paraId="2155FC42" w14:textId="77777777" w:rsidR="00951F81" w:rsidRDefault="007079D3" w:rsidP="00A52FA1">
      <w:pPr>
        <w:ind w:left="567" w:hanging="567"/>
        <w:rPr>
          <w:b/>
        </w:rPr>
      </w:pPr>
      <w:r>
        <w:rPr>
          <w:b/>
        </w:rPr>
        <w:t>10.</w:t>
      </w:r>
      <w:r>
        <w:rPr>
          <w:b/>
        </w:rPr>
        <w:tab/>
        <w:t>ΗΜΕΡΟΜΗΝΙΑ ΑΝΑΘΕΩΡΗΣΗΣ ΤΟΥ ΚΕΙΜΕΝΟΥ</w:t>
      </w:r>
    </w:p>
    <w:p w14:paraId="2155FC43" w14:textId="77777777" w:rsidR="00951F81" w:rsidRDefault="00951F81" w:rsidP="00A52FA1"/>
    <w:p w14:paraId="2155FC44" w14:textId="77777777" w:rsidR="00951F81" w:rsidRDefault="00951F81" w:rsidP="00A52FA1">
      <w:pPr>
        <w:tabs>
          <w:tab w:val="clear" w:pos="567"/>
        </w:tabs>
      </w:pPr>
    </w:p>
    <w:p w14:paraId="2155FC45" w14:textId="77777777" w:rsidR="00951F81" w:rsidRDefault="00951F81" w:rsidP="00A52FA1">
      <w:pPr>
        <w:tabs>
          <w:tab w:val="clear" w:pos="567"/>
        </w:tabs>
      </w:pPr>
    </w:p>
    <w:p w14:paraId="2155FC46" w14:textId="77777777" w:rsidR="00951F81" w:rsidRDefault="007079D3" w:rsidP="00A52FA1">
      <w:pPr>
        <w:tabs>
          <w:tab w:val="clear" w:pos="567"/>
        </w:tabs>
      </w:pPr>
      <w: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6" w:history="1">
        <w:r w:rsidR="00951F81">
          <w:rPr>
            <w:rStyle w:val="Hyperlink"/>
          </w:rPr>
          <w:t>http</w:t>
        </w:r>
        <w:r w:rsidR="00951F81">
          <w:rPr>
            <w:rStyle w:val="Hyperlink"/>
            <w:lang w:val="en-US"/>
          </w:rPr>
          <w:t>s</w:t>
        </w:r>
        <w:r w:rsidR="00951F81">
          <w:rPr>
            <w:rStyle w:val="Hyperlink"/>
          </w:rPr>
          <w:t>://www.ema.europa.eu</w:t>
        </w:r>
      </w:hyperlink>
      <w:r>
        <w:t>.</w:t>
      </w:r>
      <w:r>
        <w:br w:type="page"/>
      </w:r>
    </w:p>
    <w:p w14:paraId="2155FC47" w14:textId="77777777" w:rsidR="00951F81" w:rsidRDefault="00951F81" w:rsidP="00951F81">
      <w:pPr>
        <w:jc w:val="center"/>
      </w:pPr>
    </w:p>
    <w:p w14:paraId="2155FC48" w14:textId="77777777" w:rsidR="00951F81" w:rsidRDefault="00951F81" w:rsidP="00951F81">
      <w:pPr>
        <w:jc w:val="center"/>
      </w:pPr>
    </w:p>
    <w:p w14:paraId="2155FC49" w14:textId="77777777" w:rsidR="00951F81" w:rsidRDefault="00951F81" w:rsidP="00951F81">
      <w:pPr>
        <w:jc w:val="center"/>
      </w:pPr>
    </w:p>
    <w:p w14:paraId="2155FC4A" w14:textId="77777777" w:rsidR="00951F81" w:rsidRDefault="00951F81" w:rsidP="00951F81">
      <w:pPr>
        <w:jc w:val="center"/>
      </w:pPr>
    </w:p>
    <w:p w14:paraId="2155FC4B" w14:textId="77777777" w:rsidR="00951F81" w:rsidRDefault="00951F81" w:rsidP="00951F81">
      <w:pPr>
        <w:jc w:val="center"/>
      </w:pPr>
    </w:p>
    <w:p w14:paraId="2155FC4C" w14:textId="77777777" w:rsidR="00951F81" w:rsidRDefault="00951F81" w:rsidP="00951F81">
      <w:pPr>
        <w:jc w:val="center"/>
      </w:pPr>
    </w:p>
    <w:p w14:paraId="2155FC4D" w14:textId="77777777" w:rsidR="00951F81" w:rsidRDefault="00951F81" w:rsidP="00951F81">
      <w:pPr>
        <w:jc w:val="center"/>
      </w:pPr>
    </w:p>
    <w:p w14:paraId="2155FC4E" w14:textId="77777777" w:rsidR="00951F81" w:rsidRDefault="00951F81" w:rsidP="00951F81">
      <w:pPr>
        <w:jc w:val="center"/>
      </w:pPr>
    </w:p>
    <w:p w14:paraId="2155FC4F" w14:textId="77777777" w:rsidR="00951F81" w:rsidRDefault="00951F81" w:rsidP="00951F81">
      <w:pPr>
        <w:jc w:val="center"/>
      </w:pPr>
    </w:p>
    <w:p w14:paraId="2155FC50" w14:textId="77777777" w:rsidR="00951F81" w:rsidRDefault="00951F81" w:rsidP="00951F81">
      <w:pPr>
        <w:jc w:val="center"/>
      </w:pPr>
    </w:p>
    <w:p w14:paraId="2155FC51" w14:textId="77777777" w:rsidR="00951F81" w:rsidRDefault="00951F81" w:rsidP="00951F81">
      <w:pPr>
        <w:jc w:val="center"/>
      </w:pPr>
    </w:p>
    <w:p w14:paraId="2155FC52" w14:textId="77777777" w:rsidR="00951F81" w:rsidRDefault="00951F81" w:rsidP="00951F81">
      <w:pPr>
        <w:jc w:val="center"/>
      </w:pPr>
    </w:p>
    <w:p w14:paraId="2155FC53" w14:textId="77777777" w:rsidR="00951F81" w:rsidRDefault="00951F81" w:rsidP="00951F81">
      <w:pPr>
        <w:jc w:val="center"/>
      </w:pPr>
    </w:p>
    <w:p w14:paraId="2155FC54" w14:textId="77777777" w:rsidR="00951F81" w:rsidRDefault="00951F81" w:rsidP="00951F81">
      <w:pPr>
        <w:jc w:val="center"/>
      </w:pPr>
    </w:p>
    <w:p w14:paraId="2155FC55" w14:textId="77777777" w:rsidR="00951F81" w:rsidRDefault="00951F81" w:rsidP="00951F81">
      <w:pPr>
        <w:jc w:val="center"/>
      </w:pPr>
    </w:p>
    <w:p w14:paraId="2155FC56" w14:textId="77777777" w:rsidR="00951F81" w:rsidRDefault="00951F81" w:rsidP="00951F81">
      <w:pPr>
        <w:jc w:val="center"/>
      </w:pPr>
    </w:p>
    <w:p w14:paraId="2155FC57" w14:textId="77777777" w:rsidR="00951F81" w:rsidRDefault="00951F81" w:rsidP="00951F81">
      <w:pPr>
        <w:jc w:val="center"/>
      </w:pPr>
    </w:p>
    <w:p w14:paraId="2155FC58" w14:textId="77777777" w:rsidR="00951F81" w:rsidRDefault="00951F81" w:rsidP="00951F81">
      <w:pPr>
        <w:jc w:val="center"/>
      </w:pPr>
    </w:p>
    <w:p w14:paraId="2155FC59" w14:textId="77777777" w:rsidR="00951F81" w:rsidRDefault="00951F81" w:rsidP="00951F81">
      <w:pPr>
        <w:jc w:val="center"/>
      </w:pPr>
    </w:p>
    <w:p w14:paraId="2155FC5A" w14:textId="77777777" w:rsidR="00951F81" w:rsidRDefault="00951F81" w:rsidP="00951F81">
      <w:pPr>
        <w:jc w:val="center"/>
      </w:pPr>
    </w:p>
    <w:p w14:paraId="2155FC5B" w14:textId="77777777" w:rsidR="00951F81" w:rsidRDefault="00951F81" w:rsidP="00951F81">
      <w:pPr>
        <w:jc w:val="center"/>
      </w:pPr>
    </w:p>
    <w:p w14:paraId="2155FC5C" w14:textId="77777777" w:rsidR="00951F81" w:rsidRDefault="00951F81" w:rsidP="00951F81">
      <w:pPr>
        <w:jc w:val="center"/>
      </w:pPr>
    </w:p>
    <w:p w14:paraId="2155FC5D" w14:textId="77777777" w:rsidR="00951F81" w:rsidRDefault="007079D3" w:rsidP="00951F81">
      <w:pPr>
        <w:jc w:val="center"/>
        <w:rPr>
          <w:b/>
          <w:bCs/>
        </w:rPr>
      </w:pPr>
      <w:r>
        <w:rPr>
          <w:b/>
        </w:rPr>
        <w:t>ΠΑΡΑΡΤΗΜΑ II</w:t>
      </w:r>
    </w:p>
    <w:p w14:paraId="2155FC5E" w14:textId="77777777" w:rsidR="00951F81" w:rsidRPr="002C2B65" w:rsidRDefault="00951F81" w:rsidP="002C2B65">
      <w:pPr>
        <w:ind w:left="1701" w:right="566" w:hanging="709"/>
        <w:rPr>
          <w:b/>
        </w:rPr>
      </w:pPr>
    </w:p>
    <w:p w14:paraId="2155FC5F" w14:textId="2D0E8A2C" w:rsidR="00951F81" w:rsidRPr="002C2B65" w:rsidRDefault="007079D3" w:rsidP="002C2B65">
      <w:pPr>
        <w:ind w:left="1701" w:right="1558" w:hanging="709"/>
        <w:rPr>
          <w:b/>
        </w:rPr>
      </w:pPr>
      <w:r w:rsidRPr="002C2B65">
        <w:rPr>
          <w:b/>
        </w:rPr>
        <w:t>Α.</w:t>
      </w:r>
      <w:r w:rsidRPr="002C2B65">
        <w:rPr>
          <w:b/>
        </w:rPr>
        <w:tab/>
      </w:r>
      <w:r w:rsidR="00272612" w:rsidRPr="002C2B65">
        <w:rPr>
          <w:b/>
        </w:rPr>
        <w:t>ΠΑΡΑΣΚΕΥΑΣΤΕΣ ΤΗΣ ΒΙΟΛΟΓΙΚΩΣ ΔΡΑΣΤΙΚΗΣ ΟΥΣΙΑΣ ΚΑΙ ΠΑΡΑΣΚΕΥΑΣΤΕΣ ΥΠΕΥΘΥΝΟΙ ΓΙΑ ΤΗΝ ΑΠΟΔΕΣΜΕΥΣΗ ΤΩΝ ΠΑΡΤΙΔΩΝ</w:t>
      </w:r>
    </w:p>
    <w:p w14:paraId="2155FC60" w14:textId="77777777" w:rsidR="00951F81" w:rsidRDefault="00951F81" w:rsidP="00951F81">
      <w:pPr>
        <w:jc w:val="center"/>
      </w:pPr>
    </w:p>
    <w:p w14:paraId="2155FC61" w14:textId="77777777" w:rsidR="00951F81" w:rsidRPr="00A52FA1" w:rsidRDefault="007079D3" w:rsidP="00A52FA1">
      <w:pPr>
        <w:ind w:left="1701" w:right="1418" w:hanging="709"/>
        <w:rPr>
          <w:b/>
        </w:rPr>
      </w:pPr>
      <w:r w:rsidRPr="00A52FA1">
        <w:rPr>
          <w:b/>
        </w:rPr>
        <w:t>Β.</w:t>
      </w:r>
      <w:r w:rsidRPr="00A52FA1">
        <w:rPr>
          <w:b/>
        </w:rPr>
        <w:tab/>
        <w:t>ΟΡΟΙ Ή ΠΕΡΙΟΡΙΣΜΟΙ ΣΧΕΤΙΚΑ ΜΕ ΤΗ ΔΙΑΘΕΣΗ ΚΑΙ ΤΗ ΧΡΗΣΗ</w:t>
      </w:r>
    </w:p>
    <w:p w14:paraId="2155FC62" w14:textId="77777777" w:rsidR="00951F81" w:rsidRDefault="00951F81" w:rsidP="00951F81">
      <w:pPr>
        <w:jc w:val="center"/>
      </w:pPr>
    </w:p>
    <w:p w14:paraId="2155FC63" w14:textId="77777777" w:rsidR="00951F81" w:rsidRPr="00A52FA1" w:rsidRDefault="007079D3" w:rsidP="00A52FA1">
      <w:pPr>
        <w:ind w:left="1701" w:right="1418" w:hanging="709"/>
        <w:rPr>
          <w:b/>
        </w:rPr>
      </w:pPr>
      <w:r w:rsidRPr="00A52FA1">
        <w:rPr>
          <w:b/>
        </w:rPr>
        <w:t>Γ.</w:t>
      </w:r>
      <w:r w:rsidRPr="00A52FA1">
        <w:rPr>
          <w:b/>
        </w:rPr>
        <w:tab/>
        <w:t>ΑΛΛΟΙ ΟΡΟΙ ΚΑΙ ΑΠΑΙΤΗΣΕΙΣ ΤΗΣ ΑΔΕΙΑΣ ΚΥΚΛΟΦΟΡΙΑΣ</w:t>
      </w:r>
    </w:p>
    <w:p w14:paraId="2155FC64" w14:textId="77777777" w:rsidR="00951F81" w:rsidRDefault="00951F81" w:rsidP="00951F81">
      <w:pPr>
        <w:jc w:val="center"/>
      </w:pPr>
    </w:p>
    <w:p w14:paraId="2155FC65" w14:textId="77777777" w:rsidR="00951F81" w:rsidRPr="00A52FA1" w:rsidRDefault="007079D3" w:rsidP="00A52FA1">
      <w:pPr>
        <w:ind w:left="1701" w:right="1418" w:hanging="709"/>
        <w:rPr>
          <w:b/>
        </w:rPr>
      </w:pPr>
      <w:r w:rsidRPr="00A52FA1">
        <w:rPr>
          <w:b/>
        </w:rPr>
        <w:t>Δ.</w:t>
      </w:r>
      <w:r w:rsidRPr="00A52FA1">
        <w:rPr>
          <w:b/>
        </w:rPr>
        <w:tab/>
        <w:t>ΟΡΟΙ Ή ΠΕΡΙΟΡΙΣΜΟΙ ΣΧΕΤΙΚΑ ΜΕ ΤΗΝ ΑΣΦΑΛΗ ΚΑΙ ΑΠΟΤΕΛΕΣΜΑΤΙΚΗ ΧΡΗΣΗ ΤΟΥ ΦΑΡΜΑΚΕΥΤΙΚΟΥ ΠΡΟΪΟΝΤΟΣ</w:t>
      </w:r>
    </w:p>
    <w:p w14:paraId="2155FC66" w14:textId="77777777" w:rsidR="00951F81" w:rsidRDefault="00951F81" w:rsidP="00951F81">
      <w:pPr>
        <w:jc w:val="center"/>
      </w:pPr>
    </w:p>
    <w:p w14:paraId="2155FC67" w14:textId="77777777" w:rsidR="00951F81" w:rsidRDefault="00951F81" w:rsidP="00951F81">
      <w:pPr>
        <w:jc w:val="center"/>
      </w:pPr>
    </w:p>
    <w:p w14:paraId="2155FC68" w14:textId="06F80DCB" w:rsidR="00951F81" w:rsidRPr="00B329A8" w:rsidRDefault="007079D3" w:rsidP="00B329A8">
      <w:pPr>
        <w:pStyle w:val="BodytextAgency"/>
        <w:ind w:left="567" w:hanging="567"/>
        <w:outlineLvl w:val="0"/>
        <w:rPr>
          <w:b/>
          <w:bCs/>
        </w:rPr>
      </w:pPr>
      <w:r>
        <w:br w:type="page"/>
      </w:r>
      <w:r w:rsidRPr="00B329A8">
        <w:rPr>
          <w:b/>
          <w:bCs/>
        </w:rPr>
        <w:t>Α.</w:t>
      </w:r>
      <w:r w:rsidRPr="00B329A8">
        <w:rPr>
          <w:b/>
          <w:bCs/>
        </w:rPr>
        <w:tab/>
      </w:r>
      <w:bookmarkStart w:id="3" w:name="_Hlk201740332"/>
      <w:r w:rsidR="00272612" w:rsidRPr="00B329A8">
        <w:rPr>
          <w:b/>
          <w:bCs/>
        </w:rPr>
        <w:t>ΠΑΡΑΣΚΕΥΑΣΤΕΣ ΤΗΣ ΒΙΟΛΟΓΙΚΩΣ ΔΡΑΣΤΙΚΗΣ ΟΥΣΙΑΣ ΚΑΙ ΠΑΡΑΣΚΕΥΑΣΤΕΣ ΥΠΕΥΘΥΝΟΙ ΓΙΑ ΤΗΝ ΑΠΟΔΕΣΜΕΥΣΗ ΤΩΝ ΠΑΡΤΙΔΩΝ</w:t>
      </w:r>
      <w:bookmarkEnd w:id="3"/>
    </w:p>
    <w:p w14:paraId="2155FC69" w14:textId="77777777" w:rsidR="00951F81" w:rsidRPr="00CC482F" w:rsidRDefault="00951F81" w:rsidP="00951F81">
      <w:pPr>
        <w:keepNext/>
      </w:pPr>
    </w:p>
    <w:p w14:paraId="2155FC6A" w14:textId="77777777" w:rsidR="00951F81" w:rsidRPr="00CC482F" w:rsidRDefault="007079D3" w:rsidP="00951F81">
      <w:pPr>
        <w:keepNext/>
        <w:rPr>
          <w:u w:val="single"/>
        </w:rPr>
      </w:pPr>
      <w:r w:rsidRPr="00CC482F">
        <w:rPr>
          <w:u w:val="single"/>
        </w:rPr>
        <w:t xml:space="preserve">Όνομα και διεύθυνση </w:t>
      </w:r>
      <w:r w:rsidR="00272612" w:rsidRPr="00CC482F">
        <w:rPr>
          <w:u w:val="single"/>
        </w:rPr>
        <w:t>του(των)</w:t>
      </w:r>
      <w:r w:rsidRPr="00CC482F">
        <w:rPr>
          <w:u w:val="single"/>
        </w:rPr>
        <w:t xml:space="preserve"> παρασκευαστ</w:t>
      </w:r>
      <w:r w:rsidR="00272612" w:rsidRPr="00CC482F">
        <w:rPr>
          <w:u w:val="single"/>
        </w:rPr>
        <w:t>ή(</w:t>
      </w:r>
      <w:r w:rsidRPr="00CC482F">
        <w:rPr>
          <w:u w:val="single"/>
        </w:rPr>
        <w:t>ών</w:t>
      </w:r>
      <w:r w:rsidR="00272612" w:rsidRPr="00CC482F">
        <w:rPr>
          <w:u w:val="single"/>
        </w:rPr>
        <w:t>)</w:t>
      </w:r>
      <w:r w:rsidRPr="00CC482F">
        <w:rPr>
          <w:u w:val="single"/>
        </w:rPr>
        <w:t xml:space="preserve"> </w:t>
      </w:r>
      <w:r w:rsidR="00CC482F" w:rsidRPr="00CC482F">
        <w:rPr>
          <w:u w:val="single"/>
        </w:rPr>
        <w:t>της(των)</w:t>
      </w:r>
      <w:r w:rsidRPr="00CC482F">
        <w:rPr>
          <w:u w:val="single"/>
        </w:rPr>
        <w:t xml:space="preserve"> βιολογικώς δραστικής</w:t>
      </w:r>
      <w:r w:rsidR="00CC482F" w:rsidRPr="00CC482F">
        <w:rPr>
          <w:u w:val="single"/>
        </w:rPr>
        <w:t>(ών)</w:t>
      </w:r>
      <w:r w:rsidRPr="00CC482F">
        <w:rPr>
          <w:u w:val="single"/>
        </w:rPr>
        <w:t xml:space="preserve"> ουσίας</w:t>
      </w:r>
      <w:r w:rsidR="00CC482F" w:rsidRPr="00CC482F">
        <w:rPr>
          <w:u w:val="single"/>
        </w:rPr>
        <w:t>(ών)</w:t>
      </w:r>
    </w:p>
    <w:p w14:paraId="2155FC6B" w14:textId="77777777" w:rsidR="00951F81" w:rsidRPr="00CC482F" w:rsidRDefault="00951F81" w:rsidP="00951F81">
      <w:pPr>
        <w:keepNext/>
      </w:pPr>
    </w:p>
    <w:p w14:paraId="2155FC6C" w14:textId="77777777" w:rsidR="00272612" w:rsidRPr="00CC482F" w:rsidRDefault="007079D3" w:rsidP="00272612">
      <w:pPr>
        <w:tabs>
          <w:tab w:val="clear" w:pos="567"/>
        </w:tabs>
      </w:pPr>
      <w:r w:rsidRPr="00CC482F">
        <w:rPr>
          <w:lang w:val="en-US"/>
        </w:rPr>
        <w:t>Alvotech</w:t>
      </w:r>
      <w:r w:rsidRPr="00CC482F">
        <w:t xml:space="preserve"> </w:t>
      </w:r>
      <w:r w:rsidRPr="00CC482F">
        <w:rPr>
          <w:lang w:val="en-US"/>
        </w:rPr>
        <w:t>hf</w:t>
      </w:r>
    </w:p>
    <w:p w14:paraId="2155FC6D" w14:textId="77777777" w:rsidR="00272612" w:rsidRPr="00CC482F" w:rsidRDefault="007079D3" w:rsidP="00272612">
      <w:pPr>
        <w:tabs>
          <w:tab w:val="clear" w:pos="567"/>
        </w:tabs>
      </w:pPr>
      <w:r w:rsidRPr="00CC482F">
        <w:rPr>
          <w:lang w:val="en-US"/>
        </w:rPr>
        <w:t>S</w:t>
      </w:r>
      <w:r w:rsidRPr="00CC482F">
        <w:t>æ</w:t>
      </w:r>
      <w:r w:rsidRPr="00CC482F">
        <w:rPr>
          <w:lang w:val="en-US"/>
        </w:rPr>
        <w:t>mundargata</w:t>
      </w:r>
      <w:r w:rsidRPr="00CC482F">
        <w:t xml:space="preserve"> 15-19</w:t>
      </w:r>
    </w:p>
    <w:p w14:paraId="2155FC6E" w14:textId="77777777" w:rsidR="00272612" w:rsidRPr="00CC482F" w:rsidRDefault="007079D3" w:rsidP="00272612">
      <w:pPr>
        <w:tabs>
          <w:tab w:val="clear" w:pos="567"/>
        </w:tabs>
      </w:pPr>
      <w:r w:rsidRPr="00CC482F">
        <w:t xml:space="preserve">102 </w:t>
      </w:r>
      <w:r w:rsidRPr="00CC482F">
        <w:rPr>
          <w:lang w:val="en-US"/>
        </w:rPr>
        <w:t>Reykjavik</w:t>
      </w:r>
    </w:p>
    <w:p w14:paraId="2155FC6F" w14:textId="77777777" w:rsidR="00951F81" w:rsidRPr="00CC482F" w:rsidRDefault="007079D3" w:rsidP="00272612">
      <w:pPr>
        <w:tabs>
          <w:tab w:val="clear" w:pos="567"/>
        </w:tabs>
      </w:pPr>
      <w:r w:rsidRPr="00CC482F">
        <w:t>Ισλανδία</w:t>
      </w:r>
    </w:p>
    <w:p w14:paraId="2155FC70" w14:textId="77777777" w:rsidR="00272612" w:rsidRPr="00CC482F" w:rsidRDefault="00272612" w:rsidP="00272612">
      <w:pPr>
        <w:tabs>
          <w:tab w:val="clear" w:pos="567"/>
        </w:tabs>
      </w:pPr>
    </w:p>
    <w:p w14:paraId="2155FC71" w14:textId="77777777" w:rsidR="00951F81" w:rsidRDefault="007079D3" w:rsidP="00951F81">
      <w:pPr>
        <w:keepNext/>
        <w:rPr>
          <w:u w:val="single"/>
        </w:rPr>
      </w:pPr>
      <w:bookmarkStart w:id="4" w:name="_Hlk201740343"/>
      <w:r w:rsidRPr="00CC482F">
        <w:rPr>
          <w:u w:val="single"/>
        </w:rPr>
        <w:t xml:space="preserve">Όνομα και διεύθυνση </w:t>
      </w:r>
      <w:r w:rsidR="00272612" w:rsidRPr="00CC482F">
        <w:rPr>
          <w:u w:val="single"/>
        </w:rPr>
        <w:t>του(των) παρασκευαστή(ών)</w:t>
      </w:r>
      <w:r w:rsidRPr="00CC482F">
        <w:rPr>
          <w:u w:val="single"/>
        </w:rPr>
        <w:t>που είναι υπεύθυνο</w:t>
      </w:r>
      <w:r w:rsidR="00272612" w:rsidRPr="00CC482F">
        <w:rPr>
          <w:u w:val="single"/>
        </w:rPr>
        <w:t>ς(ο</w:t>
      </w:r>
      <w:r w:rsidRPr="00CC482F">
        <w:rPr>
          <w:u w:val="single"/>
        </w:rPr>
        <w:t>ι</w:t>
      </w:r>
      <w:r w:rsidR="00272612" w:rsidRPr="00CC482F">
        <w:rPr>
          <w:u w:val="single"/>
        </w:rPr>
        <w:t>)</w:t>
      </w:r>
      <w:r w:rsidRPr="00CC482F">
        <w:rPr>
          <w:u w:val="single"/>
        </w:rPr>
        <w:t xml:space="preserve"> για την αποδέσμευση των παρτίδων</w:t>
      </w:r>
    </w:p>
    <w:bookmarkEnd w:id="4"/>
    <w:p w14:paraId="2155FC72" w14:textId="77777777" w:rsidR="00951F81" w:rsidRDefault="00951F81" w:rsidP="00951F81">
      <w:pPr>
        <w:keepNext/>
      </w:pPr>
    </w:p>
    <w:p w14:paraId="2155FC73" w14:textId="77777777" w:rsidR="00272612" w:rsidRPr="00272612" w:rsidRDefault="007079D3" w:rsidP="00272612">
      <w:pPr>
        <w:keepNext/>
        <w:tabs>
          <w:tab w:val="clear" w:pos="567"/>
        </w:tabs>
        <w:rPr>
          <w:lang w:val="da-DK"/>
        </w:rPr>
      </w:pPr>
      <w:r w:rsidRPr="00272612">
        <w:rPr>
          <w:lang w:val="da-DK"/>
        </w:rPr>
        <w:t>Alvotech hf</w:t>
      </w:r>
    </w:p>
    <w:p w14:paraId="2155FC74" w14:textId="77777777" w:rsidR="00272612" w:rsidRPr="00272612" w:rsidRDefault="007079D3" w:rsidP="00272612">
      <w:pPr>
        <w:keepNext/>
        <w:tabs>
          <w:tab w:val="clear" w:pos="567"/>
        </w:tabs>
        <w:rPr>
          <w:lang w:val="da-DK"/>
        </w:rPr>
      </w:pPr>
      <w:r w:rsidRPr="00272612">
        <w:rPr>
          <w:lang w:val="da-DK"/>
        </w:rPr>
        <w:t>Sæmundargata 15-19</w:t>
      </w:r>
    </w:p>
    <w:p w14:paraId="2155FC75" w14:textId="77777777" w:rsidR="00272612" w:rsidRPr="00272612" w:rsidRDefault="007079D3" w:rsidP="00272612">
      <w:pPr>
        <w:keepNext/>
        <w:tabs>
          <w:tab w:val="clear" w:pos="567"/>
        </w:tabs>
        <w:rPr>
          <w:lang w:val="da-DK"/>
        </w:rPr>
      </w:pPr>
      <w:r w:rsidRPr="00272612">
        <w:rPr>
          <w:lang w:val="da-DK"/>
        </w:rPr>
        <w:t>102 Reykjavik</w:t>
      </w:r>
    </w:p>
    <w:p w14:paraId="2155FC76" w14:textId="77777777" w:rsidR="00951F81" w:rsidRPr="002E6BBB" w:rsidRDefault="007079D3" w:rsidP="00272612">
      <w:pPr>
        <w:keepNext/>
        <w:tabs>
          <w:tab w:val="clear" w:pos="567"/>
        </w:tabs>
      </w:pPr>
      <w:r>
        <w:t>Ισλανδία</w:t>
      </w:r>
    </w:p>
    <w:p w14:paraId="11796EE0" w14:textId="77777777" w:rsidR="00E47E47" w:rsidRPr="002E6BBB" w:rsidRDefault="00E47E47" w:rsidP="00272612">
      <w:pPr>
        <w:keepNext/>
        <w:tabs>
          <w:tab w:val="clear" w:pos="567"/>
        </w:tabs>
      </w:pPr>
    </w:p>
    <w:p w14:paraId="2D3A7274" w14:textId="77777777" w:rsidR="00E47E47" w:rsidRPr="00D3188D" w:rsidRDefault="00E47E47" w:rsidP="00E47E47">
      <w:pPr>
        <w:spacing w:line="260" w:lineRule="exact"/>
      </w:pPr>
      <w:r w:rsidRPr="00D3188D">
        <w:t>STADA Arzneimittel AG</w:t>
      </w:r>
    </w:p>
    <w:p w14:paraId="36459293" w14:textId="77777777" w:rsidR="00E47E47" w:rsidRPr="00D3188D" w:rsidRDefault="00E47E47" w:rsidP="00E47E47">
      <w:pPr>
        <w:spacing w:line="260" w:lineRule="exact"/>
      </w:pPr>
      <w:r w:rsidRPr="00D3188D">
        <w:t>Stadastrasse 2</w:t>
      </w:r>
      <w:r w:rsidRPr="00D3188D">
        <w:noBreakHyphen/>
        <w:t>18</w:t>
      </w:r>
    </w:p>
    <w:p w14:paraId="2614E15A" w14:textId="77777777" w:rsidR="00E47E47" w:rsidRPr="00D3188D" w:rsidRDefault="00E47E47" w:rsidP="00E47E47">
      <w:pPr>
        <w:spacing w:line="260" w:lineRule="exact"/>
      </w:pPr>
      <w:r w:rsidRPr="00D3188D">
        <w:t>61118 Bad Vilbel</w:t>
      </w:r>
    </w:p>
    <w:p w14:paraId="0A160C45" w14:textId="77777777" w:rsidR="00E47E47" w:rsidRDefault="00E47E47" w:rsidP="00E47E47">
      <w:pPr>
        <w:numPr>
          <w:ilvl w:val="12"/>
          <w:numId w:val="0"/>
        </w:numPr>
        <w:tabs>
          <w:tab w:val="clear" w:pos="567"/>
        </w:tabs>
        <w:ind w:right="-2"/>
      </w:pPr>
      <w:r w:rsidRPr="00D3188D">
        <w:t>Γερμανία</w:t>
      </w:r>
    </w:p>
    <w:p w14:paraId="0AE16CFD" w14:textId="77777777" w:rsidR="00E47E47" w:rsidRPr="00F05AB6" w:rsidRDefault="00E47E47" w:rsidP="00E47E47">
      <w:pPr>
        <w:pStyle w:val="NormalAgency"/>
        <w:rPr>
          <w:rFonts w:ascii="Times New Roman" w:hAnsi="Times New Roman" w:cs="Times New Roman"/>
          <w:sz w:val="22"/>
          <w:szCs w:val="22"/>
        </w:rPr>
      </w:pPr>
    </w:p>
    <w:p w14:paraId="051EE90D" w14:textId="77777777" w:rsidR="00E47E47" w:rsidRPr="0060439E" w:rsidRDefault="00E47E47" w:rsidP="00E47E47">
      <w:r w:rsidRPr="0060439E">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53EE168D" w14:textId="77777777" w:rsidR="00E47E47" w:rsidRPr="00E47E47" w:rsidRDefault="00E47E47" w:rsidP="00272612">
      <w:pPr>
        <w:keepNext/>
        <w:tabs>
          <w:tab w:val="clear" w:pos="567"/>
        </w:tabs>
      </w:pPr>
    </w:p>
    <w:p w14:paraId="2155FC77" w14:textId="77777777" w:rsidR="00951F81" w:rsidRPr="00272612" w:rsidRDefault="00951F81" w:rsidP="00951F81">
      <w:pPr>
        <w:tabs>
          <w:tab w:val="clear" w:pos="567"/>
        </w:tabs>
      </w:pPr>
    </w:p>
    <w:p w14:paraId="2155FC7B" w14:textId="77777777" w:rsidR="00951F81" w:rsidRPr="00B329A8" w:rsidRDefault="007079D3" w:rsidP="00B329A8">
      <w:pPr>
        <w:outlineLvl w:val="0"/>
        <w:rPr>
          <w:b/>
          <w:bCs/>
        </w:rPr>
      </w:pPr>
      <w:r w:rsidRPr="00B329A8">
        <w:rPr>
          <w:b/>
          <w:bCs/>
        </w:rPr>
        <w:t>Β.</w:t>
      </w:r>
      <w:r w:rsidRPr="00B329A8">
        <w:rPr>
          <w:b/>
          <w:bCs/>
        </w:rPr>
        <w:tab/>
        <w:t>ΟΡΟΙ Ή ΠΕΡΙΟΡΙΣΜΟΙ ΣΧΕΤΙΚΑ ΜΕ ΤΗ ΔΙΑΘΕΣΗ ΚΑΙ ΤΗ ΧΡΗΣΗ</w:t>
      </w:r>
    </w:p>
    <w:p w14:paraId="2155FC7C" w14:textId="77777777" w:rsidR="00951F81" w:rsidRDefault="00951F81" w:rsidP="00951F81">
      <w:pPr>
        <w:keepNext/>
      </w:pPr>
    </w:p>
    <w:p w14:paraId="2155FC7D" w14:textId="77777777" w:rsidR="00951F81" w:rsidRDefault="007079D3" w:rsidP="00951F81">
      <w:pPr>
        <w:tabs>
          <w:tab w:val="clear" w:pos="567"/>
        </w:tabs>
      </w:pPr>
      <w:r>
        <w:t>Φαρμακευτικό προϊόν για το οποίο απαιτείται ιατρική συνταγή.</w:t>
      </w:r>
    </w:p>
    <w:p w14:paraId="2155FC7E" w14:textId="77777777" w:rsidR="00951F81" w:rsidRDefault="00951F81" w:rsidP="00951F81">
      <w:pPr>
        <w:tabs>
          <w:tab w:val="clear" w:pos="567"/>
        </w:tabs>
      </w:pPr>
    </w:p>
    <w:p w14:paraId="2155FC7F" w14:textId="77777777" w:rsidR="00951F81" w:rsidRPr="00B329A8" w:rsidRDefault="00951F81" w:rsidP="00B329A8">
      <w:pPr>
        <w:rPr>
          <w:b/>
          <w:bCs/>
        </w:rPr>
      </w:pPr>
    </w:p>
    <w:p w14:paraId="2155FC80" w14:textId="77777777" w:rsidR="00951F81" w:rsidRPr="00B329A8" w:rsidRDefault="007079D3" w:rsidP="00B329A8">
      <w:pPr>
        <w:outlineLvl w:val="0"/>
        <w:rPr>
          <w:b/>
          <w:bCs/>
        </w:rPr>
      </w:pPr>
      <w:r w:rsidRPr="00B329A8">
        <w:rPr>
          <w:b/>
          <w:bCs/>
        </w:rPr>
        <w:t>Γ.</w:t>
      </w:r>
      <w:r w:rsidRPr="00B329A8">
        <w:rPr>
          <w:b/>
          <w:bCs/>
        </w:rPr>
        <w:tab/>
        <w:t>ΑΛΛΟΙ ΟΡΟΙ ΚΑΙ ΑΠΑΙΤΗΣΕΙΣ ΤΗΣ ΑΔΕΙΑΣ ΚΥΚΛΟΦΟΡΙΑΣ</w:t>
      </w:r>
    </w:p>
    <w:p w14:paraId="2155FC81" w14:textId="77777777" w:rsidR="00951F81" w:rsidRDefault="00951F81" w:rsidP="00951F81">
      <w:pPr>
        <w:keepNext/>
      </w:pPr>
    </w:p>
    <w:p w14:paraId="2155FC82" w14:textId="77777777" w:rsidR="00951F81" w:rsidRDefault="007079D3" w:rsidP="00951F81">
      <w:pPr>
        <w:keepNext/>
        <w:numPr>
          <w:ilvl w:val="0"/>
          <w:numId w:val="55"/>
        </w:numPr>
        <w:ind w:left="567" w:hanging="567"/>
        <w:rPr>
          <w:b/>
          <w:bCs/>
        </w:rPr>
      </w:pPr>
      <w:r>
        <w:rPr>
          <w:b/>
        </w:rPr>
        <w:t>Εκθέσεις περιοδικής παρακολούθησης της ασφάλειας (PSURs)</w:t>
      </w:r>
    </w:p>
    <w:p w14:paraId="2155FC83" w14:textId="77777777" w:rsidR="00951F81" w:rsidRDefault="00951F81" w:rsidP="00951F81">
      <w:pPr>
        <w:keepNext/>
      </w:pPr>
    </w:p>
    <w:p w14:paraId="2155FC84" w14:textId="77777777" w:rsidR="00951F81" w:rsidRDefault="007079D3" w:rsidP="00951F81">
      <w:pPr>
        <w:tabs>
          <w:tab w:val="clear" w:pos="567"/>
        </w:tabs>
      </w:pPr>
      <w: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2155FC85" w14:textId="77777777" w:rsidR="00951F81" w:rsidRDefault="00951F81" w:rsidP="00951F81">
      <w:pPr>
        <w:tabs>
          <w:tab w:val="clear" w:pos="567"/>
        </w:tabs>
      </w:pPr>
    </w:p>
    <w:p w14:paraId="2155FC86" w14:textId="77777777" w:rsidR="00951F81" w:rsidRPr="00B329A8" w:rsidRDefault="00951F81" w:rsidP="00B329A8">
      <w:pPr>
        <w:rPr>
          <w:b/>
          <w:bCs/>
        </w:rPr>
      </w:pPr>
    </w:p>
    <w:p w14:paraId="2155FC87" w14:textId="77777777" w:rsidR="00951F81" w:rsidRPr="00B329A8" w:rsidRDefault="007079D3" w:rsidP="00B329A8">
      <w:pPr>
        <w:ind w:left="567" w:hanging="567"/>
        <w:outlineLvl w:val="0"/>
        <w:rPr>
          <w:b/>
          <w:bCs/>
        </w:rPr>
      </w:pPr>
      <w:r w:rsidRPr="00B329A8">
        <w:rPr>
          <w:b/>
          <w:bCs/>
        </w:rPr>
        <w:t>Δ.</w:t>
      </w:r>
      <w:r w:rsidRPr="00B329A8">
        <w:rPr>
          <w:b/>
          <w:bCs/>
        </w:rPr>
        <w:tab/>
        <w:t>ΟΡΟΙ Ή ΠΕΡΙΟΡΙΣΜΟΙ ΣΧΕΤΙΚΑ ΜΕ ΤΗΝ ΑΣΦΑΛΗ ΚΑΙ ΑΠΟΤΕΛΕΣΜΑΤΙΚΗ ΧΡΗΣΗ ΤΟΥ ΦΑΡΜΑΚΕΥΤΙΚΟΥ ΠΡΟΪΟΝΤΟΣ</w:t>
      </w:r>
    </w:p>
    <w:p w14:paraId="2155FC88" w14:textId="77777777" w:rsidR="00951F81" w:rsidRDefault="00951F81" w:rsidP="00951F81">
      <w:pPr>
        <w:keepNext/>
      </w:pPr>
    </w:p>
    <w:p w14:paraId="2155FC89" w14:textId="77777777" w:rsidR="00951F81" w:rsidRDefault="007079D3" w:rsidP="00951F81">
      <w:pPr>
        <w:keepNext/>
        <w:numPr>
          <w:ilvl w:val="0"/>
          <w:numId w:val="55"/>
        </w:numPr>
        <w:ind w:left="567" w:hanging="567"/>
        <w:rPr>
          <w:b/>
          <w:bCs/>
        </w:rPr>
      </w:pPr>
      <w:r>
        <w:rPr>
          <w:b/>
        </w:rPr>
        <w:t>Σχέδιο διαχείρισης κινδύνου (ΣΔΚ)</w:t>
      </w:r>
    </w:p>
    <w:p w14:paraId="2155FC8A" w14:textId="77777777" w:rsidR="00951F81" w:rsidRDefault="00951F81" w:rsidP="00951F81">
      <w:pPr>
        <w:keepNext/>
      </w:pPr>
    </w:p>
    <w:p w14:paraId="2155FC8B" w14:textId="77777777" w:rsidR="00951F81" w:rsidRDefault="007079D3" w:rsidP="00951F81">
      <w:pPr>
        <w:tabs>
          <w:tab w:val="clear" w:pos="567"/>
        </w:tabs>
      </w:pPr>
      <w: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2155FC8C" w14:textId="77777777" w:rsidR="00951F81" w:rsidRDefault="00951F81" w:rsidP="00951F81">
      <w:pPr>
        <w:tabs>
          <w:tab w:val="clear" w:pos="567"/>
        </w:tabs>
      </w:pPr>
    </w:p>
    <w:p w14:paraId="2155FC8D" w14:textId="77777777" w:rsidR="00951F81" w:rsidRDefault="007079D3" w:rsidP="00951F81">
      <w:pPr>
        <w:keepNext/>
        <w:tabs>
          <w:tab w:val="clear" w:pos="567"/>
        </w:tabs>
      </w:pPr>
      <w:r>
        <w:t>Ένα επικαιροποιημένο ΣΔΚ θα πρέπει να κατατεθεί:</w:t>
      </w:r>
    </w:p>
    <w:p w14:paraId="2155FC8E" w14:textId="77777777" w:rsidR="00951F81" w:rsidRDefault="007079D3" w:rsidP="00951F81">
      <w:pPr>
        <w:keepNext/>
        <w:numPr>
          <w:ilvl w:val="0"/>
          <w:numId w:val="54"/>
        </w:numPr>
        <w:tabs>
          <w:tab w:val="clear" w:pos="567"/>
        </w:tabs>
        <w:ind w:left="567" w:hanging="567"/>
      </w:pPr>
      <w:r>
        <w:t>μετά από αίτημα του Ευρωπαϊκού οργανισμού Φαρμάκων,</w:t>
      </w:r>
    </w:p>
    <w:p w14:paraId="2155FC8F" w14:textId="77777777" w:rsidR="00951F81" w:rsidRDefault="007079D3" w:rsidP="00951F81">
      <w:pPr>
        <w:numPr>
          <w:ilvl w:val="0"/>
          <w:numId w:val="54"/>
        </w:numPr>
        <w:tabs>
          <w:tab w:val="clear" w:pos="567"/>
        </w:tabs>
        <w:ind w:left="567" w:hanging="567"/>
      </w:pPr>
      <w: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155FC90" w14:textId="77777777" w:rsidR="00951F81" w:rsidRDefault="00951F81" w:rsidP="00951F81">
      <w:pPr>
        <w:pStyle w:val="Default"/>
        <w:rPr>
          <w:iCs/>
          <w:color w:val="auto"/>
          <w:sz w:val="22"/>
          <w:szCs w:val="22"/>
        </w:rPr>
      </w:pPr>
    </w:p>
    <w:p w14:paraId="2155FC91" w14:textId="77777777" w:rsidR="00951F81" w:rsidRDefault="007079D3" w:rsidP="00951F81">
      <w:pPr>
        <w:keepNext/>
        <w:numPr>
          <w:ilvl w:val="0"/>
          <w:numId w:val="55"/>
        </w:numPr>
        <w:ind w:left="567" w:hanging="567"/>
        <w:rPr>
          <w:b/>
          <w:bCs/>
        </w:rPr>
      </w:pPr>
      <w:r>
        <w:rPr>
          <w:b/>
        </w:rPr>
        <w:t>Επιπρόσθετα μέτρα ελαχιστοποίησης κινδύνου</w:t>
      </w:r>
    </w:p>
    <w:p w14:paraId="2155FC92" w14:textId="77777777" w:rsidR="00951F81" w:rsidRDefault="00951F81" w:rsidP="00951F81">
      <w:pPr>
        <w:keepNext/>
      </w:pPr>
    </w:p>
    <w:p w14:paraId="2155FC93" w14:textId="77777777" w:rsidR="00CC482F" w:rsidRDefault="007079D3" w:rsidP="00CC482F">
      <w:r w:rsidRPr="00CC482F">
        <w:t>Έχουν ληφθεί επιπρόσθετα μέτρα ελαχιστοποίησης κινδύνου για το ακόλουθο ζήτημα ασφάλειας:</w:t>
      </w:r>
    </w:p>
    <w:p w14:paraId="2155FC94" w14:textId="77777777" w:rsidR="00272612" w:rsidRPr="00112B35" w:rsidRDefault="007079D3" w:rsidP="00CC482F">
      <w:pPr>
        <w:pStyle w:val="ListParagraph"/>
        <w:numPr>
          <w:ilvl w:val="0"/>
          <w:numId w:val="58"/>
        </w:numPr>
        <w:rPr>
          <w:sz w:val="22"/>
          <w:szCs w:val="22"/>
        </w:rPr>
      </w:pPr>
      <w:r w:rsidRPr="00112B35">
        <w:rPr>
          <w:sz w:val="22"/>
          <w:szCs w:val="22"/>
        </w:rPr>
        <w:t>Οστεονέκρωση της γνάθου</w:t>
      </w:r>
    </w:p>
    <w:p w14:paraId="2155FC95" w14:textId="77777777" w:rsidR="00272612" w:rsidRPr="00CC482F" w:rsidRDefault="007079D3" w:rsidP="00CC482F">
      <w:pPr>
        <w:ind w:left="360"/>
        <w:rPr>
          <w:b/>
          <w:bCs/>
        </w:rPr>
      </w:pPr>
      <w:r w:rsidRPr="00CC482F">
        <w:rPr>
          <w:b/>
          <w:bCs/>
        </w:rPr>
        <w:t xml:space="preserve">Κάρτα υπενθύμισης για τον ασθενή </w:t>
      </w:r>
    </w:p>
    <w:p w14:paraId="2155FC96" w14:textId="4662CA94" w:rsidR="00951F81" w:rsidRDefault="00951F81" w:rsidP="00951F81">
      <w:pPr>
        <w:jc w:val="center"/>
      </w:pPr>
    </w:p>
    <w:p w14:paraId="2155FC97" w14:textId="77777777" w:rsidR="00951F81" w:rsidRDefault="00951F81" w:rsidP="00951F81">
      <w:pPr>
        <w:jc w:val="center"/>
      </w:pPr>
    </w:p>
    <w:p w14:paraId="2155FC98" w14:textId="77777777" w:rsidR="00951F81" w:rsidRDefault="00951F81" w:rsidP="00951F81">
      <w:pPr>
        <w:jc w:val="center"/>
      </w:pPr>
    </w:p>
    <w:p w14:paraId="2155FC99" w14:textId="77777777" w:rsidR="00951F81" w:rsidRDefault="00951F81" w:rsidP="00951F81">
      <w:pPr>
        <w:jc w:val="center"/>
      </w:pPr>
    </w:p>
    <w:p w14:paraId="2155FC9A" w14:textId="77777777" w:rsidR="00951F81" w:rsidRDefault="00951F81" w:rsidP="00951F81">
      <w:pPr>
        <w:jc w:val="center"/>
      </w:pPr>
    </w:p>
    <w:p w14:paraId="2155FC9B" w14:textId="77777777" w:rsidR="00951F81" w:rsidRDefault="00951F81" w:rsidP="00951F81">
      <w:pPr>
        <w:jc w:val="center"/>
      </w:pPr>
    </w:p>
    <w:p w14:paraId="2155FC9C" w14:textId="77777777" w:rsidR="00951F81" w:rsidRDefault="00951F81" w:rsidP="00951F81">
      <w:pPr>
        <w:jc w:val="center"/>
      </w:pPr>
    </w:p>
    <w:p w14:paraId="2155FC9D" w14:textId="77777777" w:rsidR="00951F81" w:rsidRDefault="00951F81" w:rsidP="00951F81">
      <w:pPr>
        <w:jc w:val="center"/>
      </w:pPr>
    </w:p>
    <w:p w14:paraId="2155FC9E" w14:textId="77777777" w:rsidR="00951F81" w:rsidRDefault="00951F81" w:rsidP="00951F81">
      <w:pPr>
        <w:jc w:val="center"/>
      </w:pPr>
    </w:p>
    <w:p w14:paraId="2155FC9F" w14:textId="77777777" w:rsidR="00951F81" w:rsidRDefault="00951F81" w:rsidP="00951F81">
      <w:pPr>
        <w:jc w:val="center"/>
      </w:pPr>
    </w:p>
    <w:p w14:paraId="2155FCA0" w14:textId="77777777" w:rsidR="00951F81" w:rsidRDefault="00951F81" w:rsidP="00951F81">
      <w:pPr>
        <w:jc w:val="center"/>
      </w:pPr>
    </w:p>
    <w:p w14:paraId="2155FCA1" w14:textId="77777777" w:rsidR="00951F81" w:rsidRDefault="00951F81" w:rsidP="00951F81">
      <w:pPr>
        <w:jc w:val="center"/>
      </w:pPr>
    </w:p>
    <w:p w14:paraId="2155FCA2" w14:textId="77777777" w:rsidR="00951F81" w:rsidRDefault="00951F81" w:rsidP="00951F81">
      <w:pPr>
        <w:jc w:val="center"/>
      </w:pPr>
    </w:p>
    <w:p w14:paraId="2155FCA3" w14:textId="77777777" w:rsidR="00951F81" w:rsidRDefault="00951F81" w:rsidP="00951F81">
      <w:pPr>
        <w:jc w:val="center"/>
      </w:pPr>
    </w:p>
    <w:p w14:paraId="2155FCA4" w14:textId="77777777" w:rsidR="00951F81" w:rsidRDefault="00951F81" w:rsidP="00951F81">
      <w:pPr>
        <w:jc w:val="center"/>
      </w:pPr>
    </w:p>
    <w:p w14:paraId="2155FCA5" w14:textId="77777777" w:rsidR="00951F81" w:rsidRDefault="00951F81" w:rsidP="00951F81">
      <w:pPr>
        <w:jc w:val="center"/>
      </w:pPr>
    </w:p>
    <w:p w14:paraId="2155FCA6" w14:textId="77777777" w:rsidR="00951F81" w:rsidRDefault="00951F81" w:rsidP="00951F81">
      <w:pPr>
        <w:jc w:val="center"/>
      </w:pPr>
    </w:p>
    <w:p w14:paraId="2155FCA7" w14:textId="77777777" w:rsidR="00951F81" w:rsidRDefault="00951F81" w:rsidP="00951F81">
      <w:pPr>
        <w:jc w:val="center"/>
      </w:pPr>
    </w:p>
    <w:p w14:paraId="2155FCA8" w14:textId="77777777" w:rsidR="00951F81" w:rsidRDefault="00951F81" w:rsidP="00951F81">
      <w:pPr>
        <w:jc w:val="center"/>
      </w:pPr>
    </w:p>
    <w:p w14:paraId="2155FCA9" w14:textId="77777777" w:rsidR="00951F81" w:rsidRDefault="00951F81" w:rsidP="00951F81">
      <w:pPr>
        <w:jc w:val="center"/>
      </w:pPr>
    </w:p>
    <w:p w14:paraId="2155FCAA" w14:textId="77777777" w:rsidR="00951F81" w:rsidRDefault="00951F81" w:rsidP="00951F81">
      <w:pPr>
        <w:jc w:val="center"/>
      </w:pPr>
    </w:p>
    <w:p w14:paraId="2155FCAB" w14:textId="77777777" w:rsidR="00951F81" w:rsidRDefault="00951F81" w:rsidP="00951F81">
      <w:pPr>
        <w:jc w:val="center"/>
      </w:pPr>
    </w:p>
    <w:p w14:paraId="2155FCAC" w14:textId="77777777" w:rsidR="00951F81" w:rsidRDefault="00951F81" w:rsidP="00951F81">
      <w:pPr>
        <w:jc w:val="center"/>
      </w:pPr>
    </w:p>
    <w:p w14:paraId="2155FCAD" w14:textId="77777777" w:rsidR="00951F81" w:rsidRDefault="007079D3" w:rsidP="00951F81">
      <w:pPr>
        <w:jc w:val="center"/>
        <w:rPr>
          <w:b/>
          <w:bCs/>
        </w:rPr>
      </w:pPr>
      <w:r>
        <w:rPr>
          <w:b/>
        </w:rPr>
        <w:t>ΠΑΡΑΡΤΗΜΑ III</w:t>
      </w:r>
    </w:p>
    <w:p w14:paraId="2155FCAE" w14:textId="77777777" w:rsidR="00951F81" w:rsidRDefault="00951F81" w:rsidP="00951F81">
      <w:pPr>
        <w:jc w:val="center"/>
      </w:pPr>
    </w:p>
    <w:p w14:paraId="2155FCAF" w14:textId="77777777" w:rsidR="00951F81" w:rsidRDefault="007079D3" w:rsidP="00951F81">
      <w:pPr>
        <w:jc w:val="center"/>
        <w:rPr>
          <w:b/>
          <w:bCs/>
        </w:rPr>
      </w:pPr>
      <w:r>
        <w:rPr>
          <w:b/>
        </w:rPr>
        <w:t>ΕΠΙΣΗΜΑΝΣΗ ΚΑΙ ΦΥΛΛΟ ΟΔΗΓΙΩΝ ΧΡΗΣΗΣ</w:t>
      </w:r>
    </w:p>
    <w:p w14:paraId="2155FCB0" w14:textId="77777777" w:rsidR="00951F81" w:rsidRDefault="007079D3" w:rsidP="00951F81">
      <w:pPr>
        <w:jc w:val="center"/>
      </w:pPr>
      <w:r>
        <w:br w:type="page"/>
      </w:r>
    </w:p>
    <w:p w14:paraId="2155FCB1" w14:textId="77777777" w:rsidR="00951F81" w:rsidRDefault="00951F81" w:rsidP="00951F81">
      <w:pPr>
        <w:jc w:val="center"/>
      </w:pPr>
    </w:p>
    <w:p w14:paraId="2155FCB2" w14:textId="77777777" w:rsidR="00951F81" w:rsidRDefault="00951F81" w:rsidP="00951F81">
      <w:pPr>
        <w:jc w:val="center"/>
      </w:pPr>
    </w:p>
    <w:p w14:paraId="2155FCB3" w14:textId="77777777" w:rsidR="00951F81" w:rsidRDefault="00951F81" w:rsidP="00951F81">
      <w:pPr>
        <w:jc w:val="center"/>
      </w:pPr>
    </w:p>
    <w:p w14:paraId="2155FCB4" w14:textId="77777777" w:rsidR="00951F81" w:rsidRDefault="00951F81" w:rsidP="00951F81">
      <w:pPr>
        <w:jc w:val="center"/>
      </w:pPr>
    </w:p>
    <w:p w14:paraId="2155FCB5" w14:textId="77777777" w:rsidR="00951F81" w:rsidRDefault="00951F81" w:rsidP="00951F81">
      <w:pPr>
        <w:jc w:val="center"/>
      </w:pPr>
    </w:p>
    <w:p w14:paraId="2155FCB6" w14:textId="77777777" w:rsidR="00951F81" w:rsidRDefault="00951F81" w:rsidP="00951F81">
      <w:pPr>
        <w:jc w:val="center"/>
      </w:pPr>
    </w:p>
    <w:p w14:paraId="2155FCB7" w14:textId="77777777" w:rsidR="00951F81" w:rsidRDefault="00951F81" w:rsidP="00951F81">
      <w:pPr>
        <w:jc w:val="center"/>
      </w:pPr>
    </w:p>
    <w:p w14:paraId="2155FCB8" w14:textId="77777777" w:rsidR="00951F81" w:rsidRDefault="00951F81" w:rsidP="00951F81">
      <w:pPr>
        <w:jc w:val="center"/>
      </w:pPr>
    </w:p>
    <w:p w14:paraId="2155FCB9" w14:textId="77777777" w:rsidR="00951F81" w:rsidRDefault="00951F81" w:rsidP="00951F81">
      <w:pPr>
        <w:jc w:val="center"/>
      </w:pPr>
    </w:p>
    <w:p w14:paraId="2155FCBA" w14:textId="77777777" w:rsidR="00951F81" w:rsidRDefault="00951F81" w:rsidP="00951F81">
      <w:pPr>
        <w:jc w:val="center"/>
      </w:pPr>
    </w:p>
    <w:p w14:paraId="2155FCBB" w14:textId="77777777" w:rsidR="00951F81" w:rsidRDefault="00951F81" w:rsidP="00951F81">
      <w:pPr>
        <w:jc w:val="center"/>
      </w:pPr>
    </w:p>
    <w:p w14:paraId="2155FCBC" w14:textId="77777777" w:rsidR="00951F81" w:rsidRDefault="00951F81" w:rsidP="00951F81">
      <w:pPr>
        <w:jc w:val="center"/>
      </w:pPr>
    </w:p>
    <w:p w14:paraId="2155FCBD" w14:textId="77777777" w:rsidR="00951F81" w:rsidRDefault="00951F81" w:rsidP="00951F81">
      <w:pPr>
        <w:jc w:val="center"/>
      </w:pPr>
    </w:p>
    <w:p w14:paraId="2155FCBE" w14:textId="77777777" w:rsidR="00951F81" w:rsidRDefault="00951F81" w:rsidP="00951F81">
      <w:pPr>
        <w:jc w:val="center"/>
      </w:pPr>
    </w:p>
    <w:p w14:paraId="2155FCBF" w14:textId="77777777" w:rsidR="00951F81" w:rsidRDefault="00951F81" w:rsidP="00951F81">
      <w:pPr>
        <w:jc w:val="center"/>
      </w:pPr>
    </w:p>
    <w:p w14:paraId="2155FCC0" w14:textId="77777777" w:rsidR="00951F81" w:rsidRDefault="00951F81" w:rsidP="00951F81">
      <w:pPr>
        <w:jc w:val="center"/>
      </w:pPr>
    </w:p>
    <w:p w14:paraId="2155FCC1" w14:textId="77777777" w:rsidR="00951F81" w:rsidRDefault="00951F81" w:rsidP="00951F81">
      <w:pPr>
        <w:jc w:val="center"/>
      </w:pPr>
    </w:p>
    <w:p w14:paraId="2155FCC2" w14:textId="77777777" w:rsidR="00951F81" w:rsidRDefault="00951F81" w:rsidP="00951F81">
      <w:pPr>
        <w:jc w:val="center"/>
      </w:pPr>
    </w:p>
    <w:p w14:paraId="2155FCC3" w14:textId="77777777" w:rsidR="00951F81" w:rsidRDefault="00951F81" w:rsidP="00951F81">
      <w:pPr>
        <w:jc w:val="center"/>
      </w:pPr>
    </w:p>
    <w:p w14:paraId="2155FCC4" w14:textId="77777777" w:rsidR="00951F81" w:rsidRDefault="00951F81" w:rsidP="00951F81">
      <w:pPr>
        <w:jc w:val="center"/>
      </w:pPr>
    </w:p>
    <w:p w14:paraId="2155FCC5" w14:textId="77777777" w:rsidR="00951F81" w:rsidRDefault="00951F81" w:rsidP="00951F81">
      <w:pPr>
        <w:jc w:val="center"/>
      </w:pPr>
    </w:p>
    <w:p w14:paraId="2155FCC6" w14:textId="77777777" w:rsidR="00951F81" w:rsidRPr="00B329A8" w:rsidRDefault="00951F81" w:rsidP="00B329A8">
      <w:pPr>
        <w:jc w:val="center"/>
        <w:rPr>
          <w:b/>
          <w:bCs/>
        </w:rPr>
      </w:pPr>
    </w:p>
    <w:p w14:paraId="2155FCC7" w14:textId="77777777" w:rsidR="00951F81" w:rsidRPr="00B329A8" w:rsidRDefault="007079D3" w:rsidP="00170616">
      <w:pPr>
        <w:jc w:val="center"/>
        <w:outlineLvl w:val="0"/>
        <w:rPr>
          <w:b/>
          <w:bCs/>
        </w:rPr>
      </w:pPr>
      <w:r w:rsidRPr="00B329A8">
        <w:rPr>
          <w:b/>
          <w:bCs/>
        </w:rPr>
        <w:t>A. ΕΠΙΣΗΜΑΝΣΗ</w:t>
      </w:r>
    </w:p>
    <w:p w14:paraId="2155FCC8" w14:textId="77777777" w:rsidR="00951F81" w:rsidRDefault="00951F81" w:rsidP="00C50925">
      <w:pPr>
        <w:jc w:val="center"/>
      </w:pPr>
    </w:p>
    <w:p w14:paraId="2155FCC9" w14:textId="77777777" w:rsidR="00951F81" w:rsidRDefault="007079D3" w:rsidP="00C50925">
      <w:pPr>
        <w:pBdr>
          <w:top w:val="single" w:sz="4" w:space="1" w:color="auto"/>
          <w:left w:val="single" w:sz="4" w:space="4" w:color="auto"/>
          <w:bottom w:val="single" w:sz="4" w:space="1" w:color="auto"/>
          <w:right w:val="single" w:sz="4" w:space="4" w:color="auto"/>
        </w:pBdr>
        <w:tabs>
          <w:tab w:val="clear" w:pos="567"/>
        </w:tabs>
        <w:rPr>
          <w:b/>
        </w:rPr>
      </w:pPr>
      <w:r>
        <w:br w:type="page"/>
      </w:r>
      <w:r>
        <w:rPr>
          <w:b/>
        </w:rPr>
        <w:t>ΕΝΔΕΙΞΕΙΣ ΠΟΥ ΠΡΕΠΕΙ ΝΑ ΑΝΑΓΡΑΦΟΝΤΑΙ ΣΤΗΝ ΕΞΩΤΕΡΙΚΗ ΣΥΣΚΕΥΑΣΙΑ</w:t>
      </w:r>
    </w:p>
    <w:p w14:paraId="2155FCCA" w14:textId="77777777" w:rsidR="00951F81"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2155FCCB" w14:textId="77777777" w:rsidR="00951F81" w:rsidRDefault="007079D3" w:rsidP="00884E6E">
      <w:pPr>
        <w:pBdr>
          <w:top w:val="single" w:sz="4" w:space="1" w:color="auto"/>
          <w:left w:val="single" w:sz="4" w:space="4" w:color="auto"/>
          <w:bottom w:val="single" w:sz="4" w:space="1" w:color="auto"/>
          <w:right w:val="single" w:sz="4" w:space="4" w:color="auto"/>
        </w:pBdr>
        <w:tabs>
          <w:tab w:val="clear" w:pos="567"/>
        </w:tabs>
        <w:rPr>
          <w:b/>
        </w:rPr>
      </w:pPr>
      <w:r>
        <w:rPr>
          <w:b/>
        </w:rPr>
        <w:t>ΚΟΥΤΙ ΠΡΟΓΕΜΙΣΜΕΝΗΣ ΣΥΡΙΓΓΑΣ</w:t>
      </w:r>
    </w:p>
    <w:p w14:paraId="2155FCCC" w14:textId="77777777" w:rsidR="00951F81" w:rsidRPr="00005D41" w:rsidRDefault="00951F81" w:rsidP="00951F81">
      <w:pPr>
        <w:tabs>
          <w:tab w:val="clear" w:pos="567"/>
        </w:tabs>
        <w:rPr>
          <w:lang w:val="en-US"/>
        </w:rPr>
      </w:pPr>
    </w:p>
    <w:p w14:paraId="5D93A9B3" w14:textId="77777777" w:rsidR="00DB5658" w:rsidRPr="00166D11" w:rsidRDefault="00DB5658" w:rsidP="00DB5658">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7418922C" w14:textId="77777777" w:rsidTr="005B6AB6">
        <w:tc>
          <w:tcPr>
            <w:tcW w:w="9276" w:type="dxa"/>
          </w:tcPr>
          <w:p w14:paraId="04E22E58" w14:textId="77777777" w:rsidR="00DB5658" w:rsidRPr="00166D11" w:rsidRDefault="007079D3" w:rsidP="005B6AB6">
            <w:pPr>
              <w:rPr>
                <w:b/>
                <w:noProof/>
                <w:lang w:val="en-US"/>
              </w:rPr>
            </w:pPr>
            <w:r w:rsidRPr="00166D11">
              <w:rPr>
                <w:b/>
                <w:noProof/>
                <w:lang w:val="en-US"/>
              </w:rPr>
              <w:t>1.</w:t>
            </w:r>
            <w:r w:rsidRPr="00166D11">
              <w:rPr>
                <w:b/>
                <w:noProof/>
                <w:lang w:val="en-US"/>
              </w:rPr>
              <w:tab/>
              <w:t>ΟΝΟΜΑΣΙΑ ΤΟΥ ΦΑΡΜΑΚΕΥΤΙΚΟΥ ΠΡΟΪΟΝΤΟΣ</w:t>
            </w:r>
          </w:p>
        </w:tc>
      </w:tr>
    </w:tbl>
    <w:p w14:paraId="2155FCCF" w14:textId="77777777" w:rsidR="00951F81" w:rsidRDefault="00951F81" w:rsidP="00951F81">
      <w:pPr>
        <w:keepNext/>
      </w:pPr>
    </w:p>
    <w:p w14:paraId="2155FCD0" w14:textId="77777777" w:rsidR="00951F81" w:rsidRDefault="007079D3" w:rsidP="00951F81">
      <w:pPr>
        <w:keepNext/>
        <w:tabs>
          <w:tab w:val="clear" w:pos="567"/>
        </w:tabs>
      </w:pPr>
      <w:r>
        <w:t>Kefdensis</w:t>
      </w:r>
      <w:r w:rsidRPr="00442125">
        <w:t xml:space="preserve"> </w:t>
      </w:r>
      <w:r>
        <w:t>60 mg ενέσιμο διάλυμα σε προγεμισμένη σύριγγα</w:t>
      </w:r>
    </w:p>
    <w:p w14:paraId="2155FCD1" w14:textId="57026974" w:rsidR="00951F81" w:rsidRDefault="00A050CB" w:rsidP="00951F81">
      <w:pPr>
        <w:tabs>
          <w:tab w:val="clear" w:pos="567"/>
        </w:tabs>
      </w:pPr>
      <w:r>
        <w:t>δενοσουμάμπη</w:t>
      </w:r>
    </w:p>
    <w:p w14:paraId="2155FCD2" w14:textId="77777777" w:rsidR="00951F81" w:rsidRDefault="00951F81" w:rsidP="00951F81">
      <w:pPr>
        <w:tabs>
          <w:tab w:val="clear" w:pos="567"/>
        </w:tabs>
      </w:pPr>
    </w:p>
    <w:p w14:paraId="3D392A49" w14:textId="77777777" w:rsidR="00DB5658" w:rsidRPr="00166D11" w:rsidRDefault="00DB5658" w:rsidP="00DB5658">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150109B8" w14:textId="77777777" w:rsidTr="005B6AB6">
        <w:tc>
          <w:tcPr>
            <w:tcW w:w="9276" w:type="dxa"/>
          </w:tcPr>
          <w:p w14:paraId="55180191" w14:textId="77777777" w:rsidR="00DB5658" w:rsidRPr="005D77D3" w:rsidRDefault="007079D3" w:rsidP="005B6AB6">
            <w:pPr>
              <w:rPr>
                <w:b/>
              </w:rPr>
            </w:pPr>
            <w:r w:rsidRPr="005D77D3">
              <w:rPr>
                <w:b/>
              </w:rPr>
              <w:t>2.</w:t>
            </w:r>
            <w:r w:rsidRPr="005D77D3">
              <w:rPr>
                <w:b/>
              </w:rPr>
              <w:tab/>
              <w:t>ΣΥΝΘΕΣΗ ΣΕ ΔΡΑΣΤΙΚΗ(ΕΣ) ΟΥΣΙΑ(ΕΣ)</w:t>
            </w:r>
          </w:p>
        </w:tc>
      </w:tr>
    </w:tbl>
    <w:p w14:paraId="2155FCD5" w14:textId="77777777" w:rsidR="00951F81" w:rsidRDefault="00951F81" w:rsidP="00951F81">
      <w:pPr>
        <w:keepNext/>
      </w:pPr>
    </w:p>
    <w:p w14:paraId="2155FCD6" w14:textId="1294713E" w:rsidR="00951F81" w:rsidRDefault="007079D3" w:rsidP="00951F81">
      <w:pPr>
        <w:tabs>
          <w:tab w:val="clear" w:pos="567"/>
        </w:tabs>
      </w:pPr>
      <w:r>
        <w:t xml:space="preserve">Κάθε προγεμισμένη σύριγγα του 1 ml περιέχει 60 mg </w:t>
      </w:r>
      <w:r w:rsidR="00A050CB">
        <w:t>δενοσουμάμπη</w:t>
      </w:r>
      <w:r w:rsidR="00982F4B">
        <w:t>ς</w:t>
      </w:r>
      <w:r w:rsidR="4A15EF32">
        <w:t xml:space="preserve"> (60 mg/mL).  </w:t>
      </w:r>
    </w:p>
    <w:p w14:paraId="2155FCD7" w14:textId="77777777" w:rsidR="00951F81" w:rsidRDefault="00951F81" w:rsidP="00951F81">
      <w:pPr>
        <w:tabs>
          <w:tab w:val="clear" w:pos="567"/>
        </w:tabs>
      </w:pPr>
    </w:p>
    <w:p w14:paraId="728B546B" w14:textId="77777777" w:rsidR="00DB5658" w:rsidRPr="005D77D3" w:rsidRDefault="00DB5658" w:rsidP="00DB56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3D7496FA" w14:textId="77777777" w:rsidTr="005B6AB6">
        <w:tc>
          <w:tcPr>
            <w:tcW w:w="9276" w:type="dxa"/>
          </w:tcPr>
          <w:p w14:paraId="6632946A" w14:textId="77777777" w:rsidR="00DB5658" w:rsidRPr="00166D11" w:rsidRDefault="007079D3" w:rsidP="005B6AB6">
            <w:pPr>
              <w:rPr>
                <w:b/>
                <w:noProof/>
                <w:lang w:val="en-US"/>
              </w:rPr>
            </w:pPr>
            <w:r w:rsidRPr="00166D11">
              <w:rPr>
                <w:b/>
                <w:noProof/>
                <w:lang w:val="en-US"/>
              </w:rPr>
              <w:t>3.</w:t>
            </w:r>
            <w:r w:rsidRPr="00166D11">
              <w:rPr>
                <w:b/>
                <w:noProof/>
                <w:lang w:val="en-US"/>
              </w:rPr>
              <w:tab/>
              <w:t>ΚΑΤΑΛΟΓΟΣ ΕΚΔΟΧΩΝ</w:t>
            </w:r>
          </w:p>
        </w:tc>
      </w:tr>
    </w:tbl>
    <w:p w14:paraId="2155FCDA" w14:textId="77777777" w:rsidR="00951F81" w:rsidRDefault="00951F81" w:rsidP="00951F81">
      <w:pPr>
        <w:keepNext/>
      </w:pPr>
    </w:p>
    <w:p w14:paraId="2155FCDB" w14:textId="56A4A108" w:rsidR="00951F81" w:rsidRDefault="000E7BB9" w:rsidP="00272612">
      <w:pPr>
        <w:tabs>
          <w:tab w:val="clear" w:pos="567"/>
        </w:tabs>
      </w:pPr>
      <w:r>
        <w:rPr>
          <w:lang w:val="de-DE"/>
        </w:rPr>
        <w:t>I</w:t>
      </w:r>
      <w:r w:rsidR="007079D3" w:rsidRPr="00CC482F">
        <w:t xml:space="preserve">στιδίνη, </w:t>
      </w:r>
      <w:r w:rsidR="000C6BB6" w:rsidRPr="000C6BB6">
        <w:t>ι</w:t>
      </w:r>
      <w:r w:rsidR="00912906" w:rsidRPr="00912906">
        <w:t>στιδίνη υδροχλωρική μονοϋδρική</w:t>
      </w:r>
      <w:r w:rsidR="007079D3" w:rsidRPr="00CC482F">
        <w:t>, σακχαρόζη</w:t>
      </w:r>
      <w:r w:rsidR="00CD4BF3">
        <w:t>, πολοξαμ</w:t>
      </w:r>
      <w:r w:rsidR="005F1242">
        <w:t>ερές</w:t>
      </w:r>
      <w:r w:rsidR="007079D3" w:rsidRPr="00CC482F">
        <w:t xml:space="preserve"> 188, ύδωρ για </w:t>
      </w:r>
      <w:r w:rsidR="007079D3" w:rsidRPr="00C879A2">
        <w:t>ενέσιμα.</w:t>
      </w:r>
    </w:p>
    <w:p w14:paraId="2155FCDC" w14:textId="77777777" w:rsidR="00951F81" w:rsidRDefault="00951F81" w:rsidP="00951F81">
      <w:pPr>
        <w:tabs>
          <w:tab w:val="clear" w:pos="567"/>
        </w:tabs>
      </w:pPr>
    </w:p>
    <w:p w14:paraId="340049AF" w14:textId="77777777" w:rsidR="00250757" w:rsidRPr="00250757" w:rsidRDefault="00250757" w:rsidP="0025075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438A2B59" w14:textId="77777777" w:rsidTr="005B6AB6">
        <w:tc>
          <w:tcPr>
            <w:tcW w:w="9276" w:type="dxa"/>
          </w:tcPr>
          <w:p w14:paraId="0A17865C" w14:textId="77777777" w:rsidR="00250757" w:rsidRPr="00166D11" w:rsidRDefault="007079D3" w:rsidP="005B6AB6">
            <w:pPr>
              <w:rPr>
                <w:b/>
                <w:noProof/>
                <w:lang w:val="en-US"/>
              </w:rPr>
            </w:pPr>
            <w:r w:rsidRPr="00166D11">
              <w:rPr>
                <w:b/>
                <w:noProof/>
                <w:lang w:val="en-US"/>
              </w:rPr>
              <w:t>4.</w:t>
            </w:r>
            <w:r w:rsidRPr="00166D11">
              <w:rPr>
                <w:b/>
                <w:noProof/>
                <w:lang w:val="en-US"/>
              </w:rPr>
              <w:tab/>
              <w:t>ΦΑΡΜΑΚΟΤΕΧΝΙΚΗ ΜΟΡΦΗ ΚΑΙ ΠΕΡΙΕΧΟΜΕΝΟ</w:t>
            </w:r>
          </w:p>
        </w:tc>
      </w:tr>
    </w:tbl>
    <w:p w14:paraId="26ADCA74" w14:textId="77777777" w:rsidR="00250757" w:rsidRPr="00166D11" w:rsidRDefault="00250757" w:rsidP="00250757">
      <w:pPr>
        <w:rPr>
          <w:noProof/>
          <w:lang w:val="en-US"/>
        </w:rPr>
      </w:pPr>
    </w:p>
    <w:p w14:paraId="2155FCE0" w14:textId="77777777" w:rsidR="00951F81" w:rsidRDefault="007079D3" w:rsidP="00951F81">
      <w:pPr>
        <w:keepNext/>
        <w:rPr>
          <w:highlight w:val="lightGray"/>
        </w:rPr>
      </w:pPr>
      <w:r w:rsidRPr="71A2DFB8">
        <w:rPr>
          <w:highlight w:val="lightGray"/>
        </w:rPr>
        <w:t>Ενέσιμο διάλυμα</w:t>
      </w:r>
    </w:p>
    <w:p w14:paraId="2155FCE2" w14:textId="63C912CA" w:rsidR="00951F81" w:rsidRDefault="00C91DF4" w:rsidP="00272612">
      <w:pPr>
        <w:keepNext/>
        <w:tabs>
          <w:tab w:val="clear" w:pos="567"/>
        </w:tabs>
      </w:pPr>
      <w:r>
        <w:t xml:space="preserve">1 </w:t>
      </w:r>
      <w:r w:rsidR="007079D3">
        <w:t xml:space="preserve">προγεμισμένη σύριγγα </w:t>
      </w:r>
    </w:p>
    <w:p w14:paraId="2155FCE3" w14:textId="77777777" w:rsidR="00951F81" w:rsidRDefault="00951F81" w:rsidP="00951F81">
      <w:pPr>
        <w:tabs>
          <w:tab w:val="clear" w:pos="567"/>
        </w:tabs>
      </w:pPr>
    </w:p>
    <w:p w14:paraId="2E156B17" w14:textId="77777777" w:rsidR="00250757" w:rsidRPr="00166D11" w:rsidRDefault="00250757" w:rsidP="00250757">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2FB607B9" w14:textId="77777777" w:rsidTr="005B6AB6">
        <w:tc>
          <w:tcPr>
            <w:tcW w:w="9276" w:type="dxa"/>
          </w:tcPr>
          <w:p w14:paraId="06BA2F52" w14:textId="77777777" w:rsidR="00250757" w:rsidRPr="005D77D3" w:rsidRDefault="007079D3" w:rsidP="005B6AB6">
            <w:pPr>
              <w:rPr>
                <w:b/>
              </w:rPr>
            </w:pPr>
            <w:r w:rsidRPr="005D77D3">
              <w:rPr>
                <w:b/>
              </w:rPr>
              <w:t>5.</w:t>
            </w:r>
            <w:r w:rsidRPr="005D77D3">
              <w:rPr>
                <w:b/>
              </w:rPr>
              <w:tab/>
              <w:t>ΤΡΟΠΟΣ ΚΑΙ ΟΔΟΣ(ΟΙ) ΧΟΡΗΓΗΣΗΣ</w:t>
            </w:r>
          </w:p>
        </w:tc>
      </w:tr>
    </w:tbl>
    <w:p w14:paraId="7553211D" w14:textId="77777777" w:rsidR="00250757" w:rsidRPr="005D77D3" w:rsidRDefault="00250757" w:rsidP="00250757"/>
    <w:p w14:paraId="2155FCE7" w14:textId="7D90C1E9" w:rsidR="00951F81" w:rsidRDefault="007079D3" w:rsidP="00951F81">
      <w:pPr>
        <w:keepNext/>
        <w:tabs>
          <w:tab w:val="clear" w:pos="567"/>
        </w:tabs>
      </w:pPr>
      <w:r>
        <w:t>Για υποδόρια χρήση</w:t>
      </w:r>
    </w:p>
    <w:p w14:paraId="2155FCE8" w14:textId="77777777" w:rsidR="00951F81" w:rsidRDefault="007079D3" w:rsidP="00951F81">
      <w:pPr>
        <w:keepNext/>
        <w:tabs>
          <w:tab w:val="clear" w:pos="567"/>
        </w:tabs>
      </w:pPr>
      <w:r>
        <w:rPr>
          <w:b/>
        </w:rPr>
        <w:t>Σημαντικό:</w:t>
      </w:r>
      <w:r>
        <w:t xml:space="preserve"> διαβάστε το φύλλο οδηγιών πριν από τον χειρισμό της προγεμισμένης σύριγγας.</w:t>
      </w:r>
    </w:p>
    <w:p w14:paraId="2155FCE9" w14:textId="77777777" w:rsidR="00951F81" w:rsidRDefault="007079D3" w:rsidP="00951F81">
      <w:pPr>
        <w:keepNext/>
        <w:tabs>
          <w:tab w:val="clear" w:pos="567"/>
        </w:tabs>
      </w:pPr>
      <w:r>
        <w:t>Μην ανακινείτε.</w:t>
      </w:r>
    </w:p>
    <w:p w14:paraId="2155FCEA" w14:textId="77777777" w:rsidR="00951F81" w:rsidRDefault="007079D3" w:rsidP="00951F81">
      <w:pPr>
        <w:rPr>
          <w:highlight w:val="lightGray"/>
        </w:rPr>
      </w:pPr>
      <w:r>
        <w:rPr>
          <w:highlight w:val="lightGray"/>
        </w:rPr>
        <w:t>Διαβάστε το φύλλο οδηγιών χρήσης πριν από τη χρήση.</w:t>
      </w:r>
    </w:p>
    <w:p w14:paraId="2155FCEB" w14:textId="77777777" w:rsidR="00272612" w:rsidRDefault="00272612" w:rsidP="00951F81"/>
    <w:p w14:paraId="2155FCEC" w14:textId="77777777" w:rsidR="00272612" w:rsidRPr="00CC482F" w:rsidRDefault="007079D3" w:rsidP="00951F81">
      <w:r w:rsidRPr="00046929">
        <w:rPr>
          <w:highlight w:val="lightGray"/>
        </w:rPr>
        <w:t>QR κωδικός που πρέπει να συμπεριληφθεί</w:t>
      </w:r>
      <w:r w:rsidRPr="00CC482F">
        <w:t xml:space="preserve"> </w:t>
      </w:r>
    </w:p>
    <w:p w14:paraId="2155FCED" w14:textId="77777777" w:rsidR="00272612" w:rsidRPr="00CC482F" w:rsidRDefault="007079D3" w:rsidP="00951F81">
      <w:r w:rsidRPr="00CC482F">
        <w:t>Kefdensispatients.com</w:t>
      </w:r>
    </w:p>
    <w:p w14:paraId="2155FCEE" w14:textId="77777777" w:rsidR="00951F81" w:rsidRDefault="00951F81" w:rsidP="00951F81">
      <w:pPr>
        <w:tabs>
          <w:tab w:val="clear" w:pos="567"/>
        </w:tabs>
      </w:pPr>
    </w:p>
    <w:p w14:paraId="77997D40" w14:textId="77777777" w:rsidR="00730998" w:rsidRPr="005D77D3" w:rsidRDefault="00730998" w:rsidP="007309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47C5BCAE" w14:textId="77777777" w:rsidTr="005B6AB6">
        <w:tc>
          <w:tcPr>
            <w:tcW w:w="9276" w:type="dxa"/>
          </w:tcPr>
          <w:p w14:paraId="5666FB5B" w14:textId="77777777" w:rsidR="00730998" w:rsidRPr="005D77D3" w:rsidRDefault="007079D3" w:rsidP="005B6AB6">
            <w:pPr>
              <w:ind w:left="596" w:hanging="596"/>
              <w:rPr>
                <w:b/>
              </w:rPr>
            </w:pPr>
            <w:r w:rsidRPr="005D77D3">
              <w:rPr>
                <w:b/>
              </w:rPr>
              <w:t>6.</w:t>
            </w:r>
            <w:r w:rsidRPr="005D77D3">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07E44B43" w14:textId="77777777" w:rsidR="00730998" w:rsidRPr="005D77D3" w:rsidRDefault="00730998" w:rsidP="00730998"/>
    <w:p w14:paraId="2155FCF2" w14:textId="77777777" w:rsidR="00951F81" w:rsidRDefault="007079D3" w:rsidP="00951F81">
      <w:pPr>
        <w:tabs>
          <w:tab w:val="clear" w:pos="567"/>
        </w:tabs>
      </w:pPr>
      <w:r>
        <w:t>Να φυλάσσεται σε θέση, την οποία δε βλέπουν και δεν προσεγγίζουν τα παιδιά.</w:t>
      </w:r>
    </w:p>
    <w:p w14:paraId="2155FCF3" w14:textId="77777777" w:rsidR="00951F81" w:rsidRDefault="00951F81" w:rsidP="00951F81">
      <w:pPr>
        <w:tabs>
          <w:tab w:val="clear" w:pos="567"/>
        </w:tabs>
      </w:pPr>
    </w:p>
    <w:p w14:paraId="2155FCF4" w14:textId="77777777" w:rsidR="00951F81" w:rsidRDefault="00951F81" w:rsidP="00951F81">
      <w:pPr>
        <w:tabs>
          <w:tab w:val="clear" w:pos="567"/>
        </w:tabs>
      </w:pPr>
    </w:p>
    <w:p w14:paraId="46662DFC" w14:textId="77777777" w:rsidR="00730998" w:rsidRPr="005D77D3" w:rsidRDefault="00730998" w:rsidP="007309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47A98C5D" w14:textId="77777777" w:rsidTr="005B6AB6">
        <w:tc>
          <w:tcPr>
            <w:tcW w:w="9276" w:type="dxa"/>
          </w:tcPr>
          <w:p w14:paraId="58FEF27D" w14:textId="77777777" w:rsidR="00730998" w:rsidRPr="005D77D3" w:rsidRDefault="007079D3" w:rsidP="005B6AB6">
            <w:pPr>
              <w:rPr>
                <w:b/>
              </w:rPr>
            </w:pPr>
            <w:r w:rsidRPr="005D77D3">
              <w:rPr>
                <w:b/>
              </w:rPr>
              <w:t>7.</w:t>
            </w:r>
            <w:r w:rsidRPr="005D77D3">
              <w:rPr>
                <w:b/>
              </w:rPr>
              <w:tab/>
              <w:t>ΑΛΛΗ(ΕΣ) ΕΙΔΙΚΗ(ΕΣ) ΠΡΟΕΙΔΟΠΟΙΗΣΗ(ΕΙΣ), ΕΑΝ ΕΙΝΑΙ ΑΠΑΡΑΙΤΗΤΗ(ΕΣ)</w:t>
            </w:r>
          </w:p>
        </w:tc>
      </w:tr>
    </w:tbl>
    <w:p w14:paraId="4E7A954A" w14:textId="77777777" w:rsidR="00730998" w:rsidRPr="005D77D3" w:rsidRDefault="00730998" w:rsidP="00730998"/>
    <w:p w14:paraId="63DB2B85" w14:textId="77777777" w:rsidR="00730998" w:rsidRPr="000A7FCE" w:rsidRDefault="00730998" w:rsidP="0073099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2233D087" w14:textId="77777777" w:rsidTr="005B6AB6">
        <w:tc>
          <w:tcPr>
            <w:tcW w:w="9276" w:type="dxa"/>
          </w:tcPr>
          <w:p w14:paraId="6A217FE1" w14:textId="77777777" w:rsidR="00730998" w:rsidRPr="00166D11" w:rsidRDefault="007079D3" w:rsidP="005B6AB6">
            <w:pPr>
              <w:rPr>
                <w:b/>
                <w:noProof/>
                <w:lang w:val="en-US"/>
              </w:rPr>
            </w:pPr>
            <w:r w:rsidRPr="00166D11">
              <w:rPr>
                <w:b/>
                <w:noProof/>
                <w:lang w:val="en-US"/>
              </w:rPr>
              <w:t>8.</w:t>
            </w:r>
            <w:r w:rsidRPr="00166D11">
              <w:rPr>
                <w:b/>
                <w:noProof/>
                <w:lang w:val="en-US"/>
              </w:rPr>
              <w:tab/>
              <w:t>ΗΜΕΡΟΜΗΝΙΑ ΛΗΞΗΣ</w:t>
            </w:r>
          </w:p>
        </w:tc>
      </w:tr>
    </w:tbl>
    <w:p w14:paraId="38D39333" w14:textId="77777777" w:rsidR="00730998" w:rsidRPr="00166D11" w:rsidRDefault="00730998" w:rsidP="00730998">
      <w:pPr>
        <w:rPr>
          <w:noProof/>
          <w:lang w:val="en-US"/>
        </w:rPr>
      </w:pPr>
    </w:p>
    <w:p w14:paraId="2155FCFA" w14:textId="77777777" w:rsidR="00951F81" w:rsidRPr="00005D41" w:rsidRDefault="007079D3" w:rsidP="00005D41">
      <w:r w:rsidRPr="00005D41">
        <w:t>ΛΗΞΗ</w:t>
      </w:r>
    </w:p>
    <w:p w14:paraId="2155FCFB" w14:textId="77777777" w:rsidR="00951F81" w:rsidRPr="00005D41" w:rsidRDefault="00951F81" w:rsidP="00005D41"/>
    <w:p w14:paraId="3CE63C30" w14:textId="77777777" w:rsidR="00215403" w:rsidRPr="00166D11" w:rsidRDefault="00215403" w:rsidP="00215403">
      <w:pPr>
        <w:rPr>
          <w:noProof/>
          <w:lang w:val="en-US"/>
        </w:rPr>
      </w:pPr>
    </w:p>
    <w:p w14:paraId="679FCC8F" w14:textId="77777777" w:rsidR="00215403" w:rsidRPr="00166D11" w:rsidRDefault="00215403" w:rsidP="00215403">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1BE7D842" w14:textId="77777777" w:rsidTr="005B6AB6">
        <w:tc>
          <w:tcPr>
            <w:tcW w:w="9276" w:type="dxa"/>
          </w:tcPr>
          <w:p w14:paraId="787782F5" w14:textId="77777777" w:rsidR="00215403" w:rsidRPr="00166D11" w:rsidRDefault="007079D3" w:rsidP="005B6AB6">
            <w:pPr>
              <w:rPr>
                <w:b/>
                <w:noProof/>
                <w:lang w:val="en-US"/>
              </w:rPr>
            </w:pPr>
            <w:r w:rsidRPr="00166D11">
              <w:rPr>
                <w:b/>
                <w:noProof/>
                <w:lang w:val="en-US"/>
              </w:rPr>
              <w:t>9.</w:t>
            </w:r>
            <w:r w:rsidRPr="00166D11">
              <w:rPr>
                <w:b/>
                <w:noProof/>
                <w:lang w:val="en-US"/>
              </w:rPr>
              <w:tab/>
              <w:t>ΕΙΔΙΚΕΣ ΣΥΝΘΗΚΕΣ ΦΥΛΑΞΗΣ</w:t>
            </w:r>
          </w:p>
        </w:tc>
      </w:tr>
    </w:tbl>
    <w:p w14:paraId="28601B25" w14:textId="77777777" w:rsidR="00215403" w:rsidRPr="00166D11" w:rsidRDefault="00215403" w:rsidP="00215403">
      <w:pPr>
        <w:rPr>
          <w:noProof/>
          <w:lang w:val="en-US"/>
        </w:rPr>
      </w:pPr>
    </w:p>
    <w:p w14:paraId="1716DB13" w14:textId="77777777" w:rsidR="00215403" w:rsidRPr="00005D41" w:rsidRDefault="007079D3" w:rsidP="00215403">
      <w:r w:rsidRPr="00005D41">
        <w:t>Φυλάσσετε σε ψυγείο.</w:t>
      </w:r>
    </w:p>
    <w:p w14:paraId="62DF33CE" w14:textId="77777777" w:rsidR="00215403" w:rsidRPr="00005D41" w:rsidRDefault="007079D3" w:rsidP="00215403">
      <w:r w:rsidRPr="00005D41">
        <w:t>Μην καταψύχετε.</w:t>
      </w:r>
    </w:p>
    <w:p w14:paraId="27D33FC0" w14:textId="33E2C339" w:rsidR="00215403" w:rsidRPr="00005D41" w:rsidRDefault="007079D3" w:rsidP="00215403">
      <w:r w:rsidRPr="00005D41">
        <w:t xml:space="preserve">Κρατήστε την προγεμισμένη σύριγγα </w:t>
      </w:r>
      <w:r w:rsidR="00C91DF4">
        <w:t>στο εξωτερικό κουτί</w:t>
      </w:r>
      <w:r w:rsidRPr="00005D41">
        <w:t xml:space="preserve"> για να προστατεύεται από το φως.</w:t>
      </w:r>
    </w:p>
    <w:p w14:paraId="6E418163" w14:textId="77777777" w:rsidR="00215403" w:rsidRPr="00005D41" w:rsidRDefault="00215403" w:rsidP="00215403"/>
    <w:p w14:paraId="620DAE98" w14:textId="77777777" w:rsidR="00215403" w:rsidRPr="00005D41" w:rsidRDefault="00215403" w:rsidP="00215403"/>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5CCC38CC" w14:textId="77777777" w:rsidTr="00215403">
        <w:tc>
          <w:tcPr>
            <w:tcW w:w="9276" w:type="dxa"/>
          </w:tcPr>
          <w:p w14:paraId="731DD9E5" w14:textId="77777777" w:rsidR="00215403" w:rsidRPr="005D77D3" w:rsidRDefault="007079D3" w:rsidP="005B6AB6">
            <w:pPr>
              <w:rPr>
                <w:b/>
              </w:rPr>
            </w:pPr>
            <w:r w:rsidRPr="005D77D3">
              <w:rPr>
                <w:b/>
              </w:rPr>
              <w:t>10.</w:t>
            </w:r>
            <w:r w:rsidRPr="005D77D3">
              <w:rPr>
                <w:b/>
              </w:rPr>
              <w:tab/>
              <w:t xml:space="preserve">ΙΔΙΑΙΤΕΡΕΣ ΠΡΟΦΥΛΑΞΕΙΣ ΓΙΑ ΤΗΝ ΑΠΟΡΡΙΨΗ ΤΩΝ ΜΗ </w:t>
            </w:r>
          </w:p>
          <w:p w14:paraId="5B3D087F" w14:textId="77777777" w:rsidR="00215403" w:rsidRPr="005D77D3" w:rsidRDefault="007079D3" w:rsidP="005B6AB6">
            <w:pPr>
              <w:ind w:left="360" w:firstLine="207"/>
              <w:rPr>
                <w:b/>
              </w:rPr>
            </w:pPr>
            <w:r w:rsidRPr="005D77D3">
              <w:rPr>
                <w:b/>
              </w:rPr>
              <w:t xml:space="preserve">ΧΡΗΣΙΜΟΠΟΙΗΘΕΝΤΩΝ ΦΑΡΜΑΚΕΥΤΙΚΩΝ ΠΡΟΪΟΝΤΩΝ Ή ΤΩΝ   </w:t>
            </w:r>
          </w:p>
          <w:p w14:paraId="4F7BD5F7" w14:textId="77777777" w:rsidR="00215403" w:rsidRPr="005D77D3" w:rsidRDefault="007079D3" w:rsidP="005B6AB6">
            <w:pPr>
              <w:ind w:left="360" w:firstLine="207"/>
              <w:rPr>
                <w:b/>
              </w:rPr>
            </w:pPr>
            <w:r w:rsidRPr="005D77D3">
              <w:rPr>
                <w:b/>
              </w:rPr>
              <w:t>ΥΠΟΛΕΙΜΜΑΤΩΝ ΠΟΥ ΠΡΟΕΡΧΟΝΤΑΙ ΑΠΟ ΑΥΤΑ, ΕΦΟΣΟΝ ΑΠΑΙΤΕΙΤΑΙ</w:t>
            </w:r>
          </w:p>
        </w:tc>
      </w:tr>
    </w:tbl>
    <w:p w14:paraId="21ABE2AC" w14:textId="77777777" w:rsidR="00215403" w:rsidRPr="005D77D3" w:rsidRDefault="00215403" w:rsidP="00215403"/>
    <w:p w14:paraId="5A239DED" w14:textId="77777777" w:rsidR="00215403" w:rsidRPr="005D77D3" w:rsidRDefault="00215403" w:rsidP="002154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5D1F5A7B" w14:textId="77777777" w:rsidTr="005B6AB6">
        <w:tc>
          <w:tcPr>
            <w:tcW w:w="9276" w:type="dxa"/>
          </w:tcPr>
          <w:p w14:paraId="236E64D7" w14:textId="77777777" w:rsidR="00215403" w:rsidRPr="005D77D3" w:rsidRDefault="007079D3" w:rsidP="005B6AB6">
            <w:pPr>
              <w:keepNext/>
              <w:rPr>
                <w:b/>
              </w:rPr>
            </w:pPr>
            <w:r w:rsidRPr="005D77D3">
              <w:rPr>
                <w:b/>
              </w:rPr>
              <w:t>11.</w:t>
            </w:r>
            <w:r w:rsidRPr="005D77D3">
              <w:rPr>
                <w:b/>
              </w:rPr>
              <w:tab/>
              <w:t>ΟΝΟΜΑ ΚΑΙ ΔΙΕΥΘΥΝΣΗ ΚΑΤΟΧΟΥ ΤΗΣ ΑΔΕΙΑΣ ΚΥΚΛΟΦΟΡΙΑΣ</w:t>
            </w:r>
          </w:p>
        </w:tc>
      </w:tr>
    </w:tbl>
    <w:p w14:paraId="16DEFA60" w14:textId="77777777" w:rsidR="00215403" w:rsidRPr="005D77D3" w:rsidRDefault="00215403" w:rsidP="00215403">
      <w:pPr>
        <w:keepNext/>
      </w:pPr>
    </w:p>
    <w:p w14:paraId="48C430AF" w14:textId="77777777" w:rsidR="00DD4271" w:rsidRPr="00046929" w:rsidRDefault="007079D3" w:rsidP="00DD4271">
      <w:pPr>
        <w:rPr>
          <w:lang w:val="de-DE"/>
        </w:rPr>
      </w:pPr>
      <w:r w:rsidRPr="00046929">
        <w:rPr>
          <w:lang w:val="de-DE"/>
        </w:rPr>
        <w:t>STADA Arzneimittel AG</w:t>
      </w:r>
    </w:p>
    <w:p w14:paraId="298C87FC" w14:textId="77777777" w:rsidR="00DD4271" w:rsidRPr="00046929" w:rsidRDefault="007079D3" w:rsidP="00DD4271">
      <w:pPr>
        <w:rPr>
          <w:lang w:val="de-DE"/>
        </w:rPr>
      </w:pPr>
      <w:r w:rsidRPr="00046929">
        <w:rPr>
          <w:lang w:val="de-DE"/>
        </w:rPr>
        <w:t>Stadastrasse 2–18</w:t>
      </w:r>
    </w:p>
    <w:p w14:paraId="0F49A34B" w14:textId="77777777" w:rsidR="00DD4271" w:rsidRPr="00046929" w:rsidRDefault="007079D3" w:rsidP="00DD4271">
      <w:pPr>
        <w:rPr>
          <w:lang w:val="de-DE"/>
        </w:rPr>
      </w:pPr>
      <w:r w:rsidRPr="00046929">
        <w:rPr>
          <w:lang w:val="de-DE"/>
        </w:rPr>
        <w:t>61118 Bad Vilbel</w:t>
      </w:r>
    </w:p>
    <w:p w14:paraId="170A386F" w14:textId="77777777" w:rsidR="00DD4271" w:rsidRPr="00005D41" w:rsidRDefault="007079D3" w:rsidP="00DD4271">
      <w:r w:rsidRPr="00005D41">
        <w:t>Γερμανία</w:t>
      </w:r>
    </w:p>
    <w:p w14:paraId="097E3D8C" w14:textId="77777777" w:rsidR="00215403" w:rsidRPr="00166D11" w:rsidRDefault="00215403" w:rsidP="00215403">
      <w:pPr>
        <w:rPr>
          <w:noProof/>
          <w:lang w:val="en-US"/>
        </w:rPr>
      </w:pPr>
    </w:p>
    <w:p w14:paraId="4B0BDB75" w14:textId="77777777" w:rsidR="00215403" w:rsidRPr="00166D11" w:rsidRDefault="00215403" w:rsidP="00215403">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0865DD63" w14:textId="77777777" w:rsidTr="005B6AB6">
        <w:tc>
          <w:tcPr>
            <w:tcW w:w="9276" w:type="dxa"/>
          </w:tcPr>
          <w:p w14:paraId="20EEE8CE" w14:textId="77777777" w:rsidR="00215403" w:rsidRPr="00166D11" w:rsidRDefault="007079D3" w:rsidP="005B6AB6">
            <w:pPr>
              <w:rPr>
                <w:b/>
                <w:noProof/>
                <w:lang w:val="en-US"/>
              </w:rPr>
            </w:pPr>
            <w:r w:rsidRPr="00166D11">
              <w:rPr>
                <w:b/>
                <w:noProof/>
                <w:lang w:val="en-US"/>
              </w:rPr>
              <w:t>12.</w:t>
            </w:r>
            <w:r w:rsidRPr="00166D11">
              <w:rPr>
                <w:b/>
                <w:noProof/>
                <w:lang w:val="en-US"/>
              </w:rPr>
              <w:tab/>
              <w:t>ΑΡΙΘΜΟΣ(ΟΙ) ΑΔΕΙΑΣ ΚΥΚΛΟΦΟΡΙΑΣ</w:t>
            </w:r>
          </w:p>
        </w:tc>
      </w:tr>
    </w:tbl>
    <w:p w14:paraId="46EADB6F" w14:textId="77777777" w:rsidR="00215403" w:rsidRPr="00166D11" w:rsidRDefault="00215403" w:rsidP="00215403">
      <w:pPr>
        <w:rPr>
          <w:noProof/>
          <w:lang w:val="en-US"/>
        </w:rPr>
      </w:pPr>
    </w:p>
    <w:p w14:paraId="19D17FEE" w14:textId="4D8C1C50" w:rsidR="3B1A8F21" w:rsidRDefault="007079D3" w:rsidP="4BA13CEF">
      <w:r w:rsidRPr="4BA13CEF">
        <w:rPr>
          <w:rFonts w:eastAsia="Times New Roman"/>
          <w:noProof/>
          <w:lang w:val="en-GB"/>
        </w:rPr>
        <w:t>EU/1/25/1980/001</w:t>
      </w:r>
    </w:p>
    <w:p w14:paraId="49E1D77A" w14:textId="77777777" w:rsidR="00215403" w:rsidRPr="00166D11" w:rsidRDefault="00215403" w:rsidP="00215403">
      <w:pPr>
        <w:rPr>
          <w:noProof/>
          <w:lang w:val="en-US"/>
        </w:rPr>
      </w:pPr>
    </w:p>
    <w:p w14:paraId="78143823" w14:textId="77777777" w:rsidR="00215403" w:rsidRPr="00166D11" w:rsidRDefault="00215403" w:rsidP="00215403">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21092078" w14:textId="77777777" w:rsidTr="005B6AB6">
        <w:tc>
          <w:tcPr>
            <w:tcW w:w="9276" w:type="dxa"/>
          </w:tcPr>
          <w:p w14:paraId="3ABA883B" w14:textId="77777777" w:rsidR="00215403" w:rsidRPr="005D77D3" w:rsidRDefault="007079D3" w:rsidP="005B6AB6">
            <w:pPr>
              <w:rPr>
                <w:b/>
              </w:rPr>
            </w:pPr>
            <w:r w:rsidRPr="005D77D3">
              <w:rPr>
                <w:b/>
              </w:rPr>
              <w:t>13.</w:t>
            </w:r>
            <w:r w:rsidRPr="005D77D3">
              <w:rPr>
                <w:b/>
              </w:rPr>
              <w:tab/>
              <w:t>ΑΡΙΘΜΟΣ ΠΑΡΤΙΔΑΣ&lt;, ΣΤΟΙΧΕΙΑ ΔΟΤΗ ΚΑΙ ΚΩΔΙΚΟΙ ΠΡΟΪΟΝΤΟΣ&gt;</w:t>
            </w:r>
          </w:p>
        </w:tc>
      </w:tr>
    </w:tbl>
    <w:p w14:paraId="762F57AF" w14:textId="77777777" w:rsidR="00215403" w:rsidRPr="005D77D3" w:rsidRDefault="00215403" w:rsidP="00215403"/>
    <w:p w14:paraId="15781DDD" w14:textId="77777777" w:rsidR="00DD4271" w:rsidRPr="00005D41" w:rsidRDefault="007079D3" w:rsidP="00DD4271">
      <w:r w:rsidRPr="00005D41">
        <w:t>Παρτίδα</w:t>
      </w:r>
    </w:p>
    <w:p w14:paraId="1143C857" w14:textId="77777777" w:rsidR="00215403" w:rsidRDefault="00215403" w:rsidP="00215403">
      <w:pPr>
        <w:rPr>
          <w:lang w:val="en-US"/>
        </w:rPr>
      </w:pPr>
    </w:p>
    <w:p w14:paraId="49682921" w14:textId="77777777" w:rsidR="00DD4271" w:rsidRPr="00DD4271" w:rsidRDefault="00DD4271" w:rsidP="0021540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1A00BE25" w14:textId="77777777" w:rsidTr="005B6AB6">
        <w:tc>
          <w:tcPr>
            <w:tcW w:w="9276" w:type="dxa"/>
          </w:tcPr>
          <w:p w14:paraId="70697D81" w14:textId="77777777" w:rsidR="00215403" w:rsidRPr="005D77D3" w:rsidRDefault="007079D3" w:rsidP="005B6AB6">
            <w:pPr>
              <w:rPr>
                <w:b/>
              </w:rPr>
            </w:pPr>
            <w:r w:rsidRPr="005D77D3">
              <w:rPr>
                <w:b/>
              </w:rPr>
              <w:t>14.</w:t>
            </w:r>
            <w:r w:rsidRPr="005D77D3">
              <w:rPr>
                <w:b/>
              </w:rPr>
              <w:tab/>
              <w:t>ΓΕΝΙΚΗ ΚΑΤΑΤΑΞΗ ΓΙΑ ΤΗ ΔΙΑΘΕΣΗ</w:t>
            </w:r>
          </w:p>
        </w:tc>
      </w:tr>
    </w:tbl>
    <w:p w14:paraId="298B43B8" w14:textId="77777777" w:rsidR="00215403" w:rsidRPr="005D77D3" w:rsidRDefault="00215403" w:rsidP="00215403"/>
    <w:p w14:paraId="5EB1BF1C" w14:textId="77777777" w:rsidR="00215403" w:rsidRPr="005D77D3" w:rsidRDefault="00215403" w:rsidP="00215403"/>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EA09FB" w14:paraId="10A928F3" w14:textId="77777777" w:rsidTr="00305CD0">
        <w:tc>
          <w:tcPr>
            <w:tcW w:w="9423" w:type="dxa"/>
          </w:tcPr>
          <w:p w14:paraId="63FD8A22" w14:textId="77777777" w:rsidR="00215403" w:rsidRPr="00166D11" w:rsidRDefault="007079D3" w:rsidP="005B6AB6">
            <w:pPr>
              <w:rPr>
                <w:b/>
                <w:noProof/>
                <w:lang w:val="en-US"/>
              </w:rPr>
            </w:pPr>
            <w:r w:rsidRPr="00166D11">
              <w:rPr>
                <w:b/>
                <w:noProof/>
                <w:lang w:val="en-US"/>
              </w:rPr>
              <w:t>15.</w:t>
            </w:r>
            <w:r w:rsidRPr="00166D11">
              <w:rPr>
                <w:b/>
                <w:noProof/>
                <w:lang w:val="en-US"/>
              </w:rPr>
              <w:tab/>
              <w:t>ΟΔΗΓΙΕΣ ΧΡΗΣΗΣ</w:t>
            </w:r>
          </w:p>
        </w:tc>
      </w:tr>
    </w:tbl>
    <w:p w14:paraId="4494A9A6" w14:textId="77777777" w:rsidR="00215403" w:rsidRPr="00166D11" w:rsidRDefault="00215403" w:rsidP="00215403">
      <w:pPr>
        <w:rPr>
          <w:noProof/>
          <w:lang w:val="en-US"/>
        </w:rPr>
      </w:pPr>
    </w:p>
    <w:p w14:paraId="163D2810" w14:textId="77777777" w:rsidR="00215403" w:rsidRPr="00166D11" w:rsidRDefault="00215403" w:rsidP="00215403">
      <w:pPr>
        <w:rPr>
          <w:noProof/>
          <w:lang w:val="en-US"/>
        </w:rPr>
      </w:pPr>
    </w:p>
    <w:p w14:paraId="4336B0B9" w14:textId="77777777" w:rsidR="00215403" w:rsidRPr="00166D11" w:rsidRDefault="007079D3" w:rsidP="00215403">
      <w:pPr>
        <w:pBdr>
          <w:top w:val="single" w:sz="4" w:space="1" w:color="auto"/>
          <w:left w:val="single" w:sz="4" w:space="4" w:color="auto"/>
          <w:bottom w:val="single" w:sz="4" w:space="1" w:color="auto"/>
          <w:right w:val="single" w:sz="4" w:space="4" w:color="auto"/>
        </w:pBdr>
        <w:rPr>
          <w:noProof/>
          <w:lang w:val="en-US"/>
        </w:rPr>
      </w:pPr>
      <w:r w:rsidRPr="00166D11">
        <w:rPr>
          <w:b/>
          <w:noProof/>
          <w:lang w:val="en-US"/>
        </w:rPr>
        <w:t>16.</w:t>
      </w:r>
      <w:r w:rsidRPr="00166D11">
        <w:rPr>
          <w:b/>
          <w:noProof/>
          <w:lang w:val="en-US"/>
        </w:rPr>
        <w:tab/>
        <w:t>ΠΛΗΡΟΦΟΡΙΕΣ ΣΕ BRAILLE</w:t>
      </w:r>
    </w:p>
    <w:p w14:paraId="24268AEA" w14:textId="77777777" w:rsidR="00215403" w:rsidRPr="00166D11" w:rsidRDefault="00215403" w:rsidP="00215403">
      <w:pPr>
        <w:rPr>
          <w:noProof/>
          <w:lang w:val="en-US"/>
        </w:rPr>
      </w:pPr>
    </w:p>
    <w:p w14:paraId="70186DBA" w14:textId="77777777" w:rsidR="00316157" w:rsidRPr="00005D41" w:rsidRDefault="007079D3" w:rsidP="00316157">
      <w:r w:rsidRPr="00005D41">
        <w:t>Kefdensis</w:t>
      </w:r>
    </w:p>
    <w:p w14:paraId="63A6BBD0" w14:textId="77777777" w:rsidR="00215403" w:rsidRDefault="00215403" w:rsidP="00215403">
      <w:pPr>
        <w:rPr>
          <w:b/>
        </w:rPr>
      </w:pPr>
    </w:p>
    <w:p w14:paraId="0E801047" w14:textId="77777777" w:rsidR="00215403" w:rsidRPr="008B680C" w:rsidRDefault="00215403" w:rsidP="00215403">
      <w:pPr>
        <w:rPr>
          <w:noProof/>
          <w:shd w:val="clear" w:color="auto" w:fill="CCCCCC"/>
        </w:rPr>
      </w:pPr>
    </w:p>
    <w:p w14:paraId="2155FD25" w14:textId="77777777" w:rsidR="00951F81" w:rsidRDefault="007079D3" w:rsidP="006829AE">
      <w:pPr>
        <w:keepNext/>
        <w:keepLines/>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ΜΟΝΑΔΙΚΟΣ ΑΝΑΓΝΩΡΙΣΤΙΚΟΣ ΚΩΔΙΚΟΣ – ΔΙΣΔΙΑΣΤΑΤΟΣ ΓΡΑΜΜΩΤΟΣ ΚΩΔΙΚΑΣ (2D)</w:t>
      </w:r>
    </w:p>
    <w:p w14:paraId="2155FD26" w14:textId="77777777" w:rsidR="00951F81" w:rsidRDefault="00951F81" w:rsidP="006829AE">
      <w:pPr>
        <w:keepNext/>
        <w:keepLines/>
      </w:pPr>
    </w:p>
    <w:p w14:paraId="2155FD27" w14:textId="77777777" w:rsidR="00951F81" w:rsidRDefault="007079D3" w:rsidP="006829AE">
      <w:pPr>
        <w:keepNext/>
        <w:keepLines/>
        <w:rPr>
          <w:highlight w:val="lightGray"/>
        </w:rPr>
      </w:pPr>
      <w:r>
        <w:rPr>
          <w:highlight w:val="lightGray"/>
        </w:rPr>
        <w:t>Δισδιάστατος γραμμωτός κώδικας (2D) που φέρει τον περιληφθέντα μοναδικό αναγνωριστικό κωδικό.</w:t>
      </w:r>
    </w:p>
    <w:p w14:paraId="2155FD28" w14:textId="77777777" w:rsidR="00951F81" w:rsidRDefault="00951F81" w:rsidP="006829AE">
      <w:pPr>
        <w:keepNext/>
        <w:keepLines/>
        <w:tabs>
          <w:tab w:val="clear" w:pos="567"/>
        </w:tabs>
      </w:pPr>
    </w:p>
    <w:p w14:paraId="2155FD29" w14:textId="77777777" w:rsidR="00951F81" w:rsidRDefault="00951F81" w:rsidP="00C83FAB">
      <w:pPr>
        <w:keepLines/>
        <w:tabs>
          <w:tab w:val="clear" w:pos="567"/>
        </w:tabs>
      </w:pPr>
    </w:p>
    <w:p w14:paraId="2155FD2A" w14:textId="77777777" w:rsidR="00951F81" w:rsidRDefault="007079D3"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ΜΟΝΑΔΙΚΟΣ ΑΝΑΓΝΩΡΙΣΤΙΚΟΣ ΚΩΔΙΚΟΣ – ΔΕΔΟΜΕΝΑ ΑΝΑΓΝΩΡΙΣΙΜΑ ΑΠΟ ΤΟΝ ΑΝΘΡΩΠΟ</w:t>
      </w:r>
    </w:p>
    <w:p w14:paraId="2155FD2B" w14:textId="77777777" w:rsidR="00951F81" w:rsidRDefault="00951F81" w:rsidP="00951F81">
      <w:pPr>
        <w:keepNext/>
      </w:pPr>
    </w:p>
    <w:p w14:paraId="2155FD2C" w14:textId="77777777" w:rsidR="00951F81" w:rsidRDefault="007079D3" w:rsidP="00951F81">
      <w:pPr>
        <w:keepNext/>
        <w:tabs>
          <w:tab w:val="clear" w:pos="567"/>
        </w:tabs>
      </w:pPr>
      <w:r>
        <w:t>PC</w:t>
      </w:r>
    </w:p>
    <w:p w14:paraId="2155FD2D" w14:textId="77777777" w:rsidR="00951F81" w:rsidRDefault="007079D3" w:rsidP="00951F81">
      <w:pPr>
        <w:keepNext/>
        <w:tabs>
          <w:tab w:val="clear" w:pos="567"/>
        </w:tabs>
      </w:pPr>
      <w:r>
        <w:t>SN</w:t>
      </w:r>
    </w:p>
    <w:p w14:paraId="2155FD2E" w14:textId="77777777" w:rsidR="00951F81" w:rsidRPr="00CC482F" w:rsidRDefault="007079D3" w:rsidP="00C83FAB">
      <w:r w:rsidRPr="00CC482F">
        <w:t>NN</w:t>
      </w:r>
    </w:p>
    <w:p w14:paraId="2155FD2F" w14:textId="77777777" w:rsidR="00951F81" w:rsidRPr="000A7FCE" w:rsidRDefault="007079D3" w:rsidP="00170616">
      <w:pPr>
        <w:pBdr>
          <w:top w:val="single" w:sz="2" w:space="1" w:color="auto"/>
          <w:left w:val="single" w:sz="2" w:space="4" w:color="auto"/>
          <w:bottom w:val="single" w:sz="2" w:space="1" w:color="auto"/>
          <w:right w:val="single" w:sz="2" w:space="4" w:color="auto"/>
        </w:pBdr>
        <w:tabs>
          <w:tab w:val="clear" w:pos="567"/>
        </w:tabs>
        <w:rPr>
          <w:b/>
        </w:rPr>
      </w:pPr>
      <w:r>
        <w:br w:type="page"/>
      </w:r>
      <w:r>
        <w:rPr>
          <w:b/>
        </w:rPr>
        <w:t xml:space="preserve">ΕΛΑΧΙΣΤΕΣ ΕΝΔΕΙΞΕΙΣ ΠΟΥ ΠΡΕΠΕΙ ΝΑ ΑΝΑΓΡΑΦΟΝΤΑΙ ΣΤΙΣ ΜΙΚΡΕΣ </w:t>
      </w:r>
      <w:r w:rsidRPr="00CC482F">
        <w:rPr>
          <w:b/>
        </w:rPr>
        <w:t>ΣΤΟΙΧΕΙΩΔΕΙΣ ΣΥΣΚΕΥΑΣΙΕΣ</w:t>
      </w:r>
    </w:p>
    <w:p w14:paraId="03A187F5" w14:textId="77777777" w:rsidR="00FB7C0C" w:rsidRPr="000A7FCE" w:rsidRDefault="00FB7C0C" w:rsidP="00170616">
      <w:pPr>
        <w:pBdr>
          <w:top w:val="single" w:sz="2" w:space="1" w:color="auto"/>
          <w:left w:val="single" w:sz="2" w:space="4" w:color="auto"/>
          <w:bottom w:val="single" w:sz="2" w:space="1" w:color="auto"/>
          <w:right w:val="single" w:sz="2" w:space="4" w:color="auto"/>
        </w:pBdr>
        <w:tabs>
          <w:tab w:val="clear" w:pos="567"/>
        </w:tabs>
        <w:rPr>
          <w:b/>
        </w:rPr>
      </w:pPr>
    </w:p>
    <w:p w14:paraId="298E83FC" w14:textId="18AB6DD7" w:rsidR="00FB7C0C" w:rsidRPr="000A7FCE" w:rsidRDefault="007079D3" w:rsidP="00170616">
      <w:pPr>
        <w:pBdr>
          <w:top w:val="single" w:sz="2" w:space="1" w:color="auto"/>
          <w:left w:val="single" w:sz="2" w:space="4" w:color="auto"/>
          <w:bottom w:val="single" w:sz="2" w:space="1" w:color="auto"/>
          <w:right w:val="single" w:sz="2" w:space="4" w:color="auto"/>
        </w:pBdr>
        <w:tabs>
          <w:tab w:val="clear" w:pos="567"/>
        </w:tabs>
        <w:rPr>
          <w:b/>
        </w:rPr>
      </w:pPr>
      <w:r w:rsidRPr="000A7FCE">
        <w:rPr>
          <w:b/>
        </w:rPr>
        <w:t>ΕΤΙΚΕΤΑ ΠΡΟΓΕΜΙΣΜΕΝΗΣ ΣΥΡΙΓΓΑΣ</w:t>
      </w:r>
    </w:p>
    <w:p w14:paraId="2155FD32" w14:textId="77777777" w:rsidR="00951F81" w:rsidRDefault="00951F81" w:rsidP="00170616">
      <w:pPr>
        <w:keepNext/>
      </w:pPr>
    </w:p>
    <w:p w14:paraId="3E12DF0E" w14:textId="77777777" w:rsidR="00170616" w:rsidRDefault="00170616" w:rsidP="00170616">
      <w:pPr>
        <w:tabs>
          <w:tab w:val="clear" w:pos="567"/>
        </w:tabs>
      </w:pPr>
    </w:p>
    <w:p w14:paraId="7503ED88" w14:textId="77777777" w:rsidR="00170616" w:rsidRDefault="007079D3" w:rsidP="00170616">
      <w:pPr>
        <w:keepNext/>
        <w:pBdr>
          <w:top w:val="single" w:sz="4" w:space="1" w:color="auto"/>
          <w:left w:val="single" w:sz="4" w:space="4" w:color="auto"/>
          <w:bottom w:val="single" w:sz="4" w:space="1" w:color="auto"/>
          <w:right w:val="single" w:sz="4" w:space="4" w:color="auto"/>
        </w:pBdr>
        <w:ind w:left="567" w:hanging="567"/>
        <w:rPr>
          <w:b/>
        </w:rPr>
      </w:pPr>
      <w:r>
        <w:rPr>
          <w:b/>
        </w:rPr>
        <w:t>1.</w:t>
      </w:r>
      <w:r>
        <w:rPr>
          <w:b/>
        </w:rPr>
        <w:tab/>
        <w:t>ΟΝΟΜΑΣΙΑ ΤΟΥ ΦΑΡΜΑΚΕΥΤΙΚΟΥ ΠΡΟΪΟΝΤΟΣ ΚΑΙ ΟΔΟΣ(ΟΙ) ΧΟΡΗΓΗΣΗΣ</w:t>
      </w:r>
    </w:p>
    <w:p w14:paraId="32BC6541" w14:textId="77777777" w:rsidR="00170616" w:rsidRDefault="00170616" w:rsidP="00170616">
      <w:pPr>
        <w:keepNext/>
      </w:pPr>
    </w:p>
    <w:p w14:paraId="0085495B" w14:textId="1D683481" w:rsidR="00170616" w:rsidRDefault="007079D3" w:rsidP="00170616">
      <w:pPr>
        <w:keepNext/>
        <w:tabs>
          <w:tab w:val="clear" w:pos="567"/>
        </w:tabs>
      </w:pPr>
      <w:r>
        <w:t>Kefdensis</w:t>
      </w:r>
      <w:r w:rsidRPr="00442125">
        <w:t xml:space="preserve"> </w:t>
      </w:r>
      <w:r>
        <w:t xml:space="preserve">60 mg </w:t>
      </w:r>
      <w:r w:rsidR="00C91DF4">
        <w:t>ενέσιμο</w:t>
      </w:r>
    </w:p>
    <w:p w14:paraId="145BDA43" w14:textId="41B307B0" w:rsidR="00170616" w:rsidRDefault="00A050CB" w:rsidP="00170616">
      <w:pPr>
        <w:keepNext/>
        <w:tabs>
          <w:tab w:val="clear" w:pos="567"/>
        </w:tabs>
      </w:pPr>
      <w:r>
        <w:t>δενοσουμάμπη</w:t>
      </w:r>
    </w:p>
    <w:p w14:paraId="22D10AA5" w14:textId="77777777" w:rsidR="00170616" w:rsidRDefault="007079D3" w:rsidP="00170616">
      <w:pPr>
        <w:tabs>
          <w:tab w:val="clear" w:pos="567"/>
        </w:tabs>
      </w:pPr>
      <w:r>
        <w:t>SC</w:t>
      </w:r>
    </w:p>
    <w:p w14:paraId="489213CD" w14:textId="77777777" w:rsidR="00170616" w:rsidRDefault="00170616" w:rsidP="00170616">
      <w:pPr>
        <w:tabs>
          <w:tab w:val="clear" w:pos="567"/>
        </w:tabs>
      </w:pPr>
    </w:p>
    <w:p w14:paraId="270E75FB" w14:textId="77777777" w:rsidR="00170616" w:rsidRDefault="00170616" w:rsidP="00170616">
      <w:pPr>
        <w:tabs>
          <w:tab w:val="clear" w:pos="567"/>
        </w:tabs>
      </w:pPr>
    </w:p>
    <w:p w14:paraId="70D0D986" w14:textId="77777777" w:rsidR="00170616" w:rsidRDefault="007079D3" w:rsidP="00170616">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2.</w:t>
      </w:r>
      <w:r>
        <w:rPr>
          <w:b/>
        </w:rPr>
        <w:tab/>
        <w:t>ΤΡΟΠΟΣ ΧΟΡΗΓΗΣΗΣ</w:t>
      </w:r>
    </w:p>
    <w:p w14:paraId="1735E47D" w14:textId="77777777" w:rsidR="00170616" w:rsidRDefault="00170616" w:rsidP="00170616">
      <w:pPr>
        <w:keepNext/>
      </w:pPr>
    </w:p>
    <w:p w14:paraId="098B5E2A" w14:textId="77777777" w:rsidR="00170616" w:rsidRDefault="00170616" w:rsidP="00170616">
      <w:pPr>
        <w:tabs>
          <w:tab w:val="clear" w:pos="567"/>
        </w:tabs>
      </w:pPr>
    </w:p>
    <w:p w14:paraId="42A82110" w14:textId="77777777" w:rsidR="00170616" w:rsidRDefault="007079D3" w:rsidP="00170616">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ΗΜΕΡΟΜΗΝΙΑ ΛΗΞΗΣ</w:t>
      </w:r>
    </w:p>
    <w:p w14:paraId="4709384E" w14:textId="77777777" w:rsidR="00170616" w:rsidRDefault="00170616" w:rsidP="00170616">
      <w:pPr>
        <w:keepNext/>
      </w:pPr>
    </w:p>
    <w:p w14:paraId="47C1EBD7" w14:textId="77777777" w:rsidR="00170616" w:rsidRDefault="007079D3" w:rsidP="00170616">
      <w:pPr>
        <w:tabs>
          <w:tab w:val="clear" w:pos="567"/>
        </w:tabs>
      </w:pPr>
      <w:r>
        <w:t>EXP</w:t>
      </w:r>
    </w:p>
    <w:p w14:paraId="75817955" w14:textId="77777777" w:rsidR="00170616" w:rsidRDefault="00170616" w:rsidP="00170616">
      <w:pPr>
        <w:tabs>
          <w:tab w:val="clear" w:pos="567"/>
        </w:tabs>
      </w:pPr>
    </w:p>
    <w:p w14:paraId="0318B71B" w14:textId="77777777" w:rsidR="00170616" w:rsidRDefault="00170616" w:rsidP="00170616">
      <w:pPr>
        <w:tabs>
          <w:tab w:val="clear" w:pos="567"/>
        </w:tabs>
      </w:pPr>
    </w:p>
    <w:p w14:paraId="663538C9" w14:textId="77777777" w:rsidR="00170616" w:rsidRDefault="007079D3" w:rsidP="00170616">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ΑΡΙΘΜΟΣ ΠΑΡΤΙΔΑΣ</w:t>
      </w:r>
    </w:p>
    <w:p w14:paraId="22D056C8" w14:textId="77777777" w:rsidR="00170616" w:rsidRDefault="00170616" w:rsidP="00170616">
      <w:pPr>
        <w:keepNext/>
      </w:pPr>
    </w:p>
    <w:p w14:paraId="2D9E0662" w14:textId="77777777" w:rsidR="00170616" w:rsidRDefault="007079D3" w:rsidP="00170616">
      <w:pPr>
        <w:tabs>
          <w:tab w:val="clear" w:pos="567"/>
        </w:tabs>
      </w:pPr>
      <w:r>
        <w:t>Lot</w:t>
      </w:r>
    </w:p>
    <w:p w14:paraId="22679B45" w14:textId="77777777" w:rsidR="00170616" w:rsidRDefault="00170616" w:rsidP="00170616">
      <w:pPr>
        <w:tabs>
          <w:tab w:val="clear" w:pos="567"/>
        </w:tabs>
      </w:pPr>
    </w:p>
    <w:p w14:paraId="7BBC6C59" w14:textId="77777777" w:rsidR="00170616" w:rsidRDefault="00170616" w:rsidP="00170616">
      <w:pPr>
        <w:tabs>
          <w:tab w:val="clear" w:pos="567"/>
        </w:tabs>
      </w:pPr>
    </w:p>
    <w:p w14:paraId="06957AB6" w14:textId="77777777" w:rsidR="00170616" w:rsidRDefault="007079D3" w:rsidP="00170616">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5.</w:t>
      </w:r>
      <w:r>
        <w:rPr>
          <w:b/>
        </w:rPr>
        <w:tab/>
        <w:t>ΠΕΡΙΕΧΟΜΕΝΟ ΚΑΤΑ ΒΑΡΟΣ, ΚΑΤ’ ΟΓΚΟ Ή ΚΑΤΑ ΜΟΝΑΔΑ</w:t>
      </w:r>
    </w:p>
    <w:p w14:paraId="2F914CA5" w14:textId="77777777" w:rsidR="00170616" w:rsidRDefault="00170616" w:rsidP="00170616">
      <w:pPr>
        <w:keepNext/>
      </w:pPr>
    </w:p>
    <w:p w14:paraId="74361614" w14:textId="4078EAC0" w:rsidR="00170616" w:rsidRPr="00E47E47" w:rsidRDefault="007079D3" w:rsidP="00170616">
      <w:pPr>
        <w:tabs>
          <w:tab w:val="clear" w:pos="567"/>
        </w:tabs>
      </w:pPr>
      <w:r>
        <w:t>1 m</w:t>
      </w:r>
      <w:r w:rsidR="00C21A59">
        <w:rPr>
          <w:lang w:val="de-DE"/>
        </w:rPr>
        <w:t>l</w:t>
      </w:r>
    </w:p>
    <w:p w14:paraId="59F9E9B0" w14:textId="77777777" w:rsidR="00170616" w:rsidRDefault="00170616" w:rsidP="00170616">
      <w:pPr>
        <w:tabs>
          <w:tab w:val="clear" w:pos="567"/>
        </w:tabs>
      </w:pPr>
    </w:p>
    <w:p w14:paraId="6386D87B" w14:textId="77777777" w:rsidR="00170616" w:rsidRDefault="007079D3" w:rsidP="00170616">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6.</w:t>
      </w:r>
      <w:r>
        <w:rPr>
          <w:b/>
        </w:rPr>
        <w:tab/>
        <w:t>ΑΛΛΑ ΣΤΟΙΧΕΙΑ</w:t>
      </w:r>
    </w:p>
    <w:p w14:paraId="472BD4D4" w14:textId="77777777" w:rsidR="00170616" w:rsidRDefault="00170616" w:rsidP="00170616">
      <w:pPr>
        <w:keepNext/>
      </w:pPr>
    </w:p>
    <w:p w14:paraId="7790A34D" w14:textId="77777777" w:rsidR="00170616" w:rsidRDefault="00170616" w:rsidP="00170616">
      <w:pPr>
        <w:tabs>
          <w:tab w:val="clear" w:pos="567"/>
        </w:tabs>
      </w:pPr>
    </w:p>
    <w:p w14:paraId="2155FD4E" w14:textId="77777777" w:rsidR="00951F81" w:rsidRPr="00005D41" w:rsidRDefault="00951F81" w:rsidP="00170616"/>
    <w:p w14:paraId="2155FD4F" w14:textId="77777777" w:rsidR="00951F81" w:rsidRDefault="007079D3" w:rsidP="00170616">
      <w:r w:rsidRPr="00005D41">
        <w:br w:type="page"/>
      </w:r>
    </w:p>
    <w:p w14:paraId="2155FD50" w14:textId="77777777" w:rsidR="00951F81" w:rsidRDefault="00951F81" w:rsidP="00951F81">
      <w:pPr>
        <w:tabs>
          <w:tab w:val="clear" w:pos="567"/>
        </w:tabs>
      </w:pPr>
    </w:p>
    <w:p w14:paraId="2155FD51" w14:textId="77777777" w:rsidR="00951F81" w:rsidRDefault="00951F81" w:rsidP="00951F81">
      <w:pPr>
        <w:tabs>
          <w:tab w:val="clear" w:pos="567"/>
        </w:tabs>
      </w:pPr>
    </w:p>
    <w:p w14:paraId="2155FD52" w14:textId="77777777" w:rsidR="00951F81" w:rsidRDefault="00951F81" w:rsidP="00951F81">
      <w:pPr>
        <w:tabs>
          <w:tab w:val="clear" w:pos="567"/>
        </w:tabs>
      </w:pPr>
    </w:p>
    <w:p w14:paraId="2155FD53" w14:textId="77777777" w:rsidR="00951F81" w:rsidRDefault="00951F81" w:rsidP="00951F81">
      <w:pPr>
        <w:jc w:val="center"/>
      </w:pPr>
    </w:p>
    <w:p w14:paraId="2155FD54" w14:textId="77777777" w:rsidR="00951F81" w:rsidRDefault="00951F81" w:rsidP="00951F81">
      <w:pPr>
        <w:jc w:val="center"/>
      </w:pPr>
    </w:p>
    <w:p w14:paraId="2155FD55" w14:textId="77777777" w:rsidR="00951F81" w:rsidRDefault="00951F81" w:rsidP="00951F81">
      <w:pPr>
        <w:jc w:val="center"/>
      </w:pPr>
    </w:p>
    <w:p w14:paraId="2155FD56" w14:textId="77777777" w:rsidR="00951F81" w:rsidRDefault="00951F81" w:rsidP="00951F81">
      <w:pPr>
        <w:jc w:val="center"/>
      </w:pPr>
    </w:p>
    <w:p w14:paraId="2155FD57" w14:textId="77777777" w:rsidR="00951F81" w:rsidRDefault="00951F81" w:rsidP="00951F81">
      <w:pPr>
        <w:jc w:val="center"/>
      </w:pPr>
    </w:p>
    <w:p w14:paraId="2155FD58" w14:textId="77777777" w:rsidR="00951F81" w:rsidRDefault="00951F81" w:rsidP="00951F81">
      <w:pPr>
        <w:jc w:val="center"/>
      </w:pPr>
    </w:p>
    <w:p w14:paraId="2155FD59" w14:textId="77777777" w:rsidR="00951F81" w:rsidRDefault="00951F81" w:rsidP="00951F81">
      <w:pPr>
        <w:jc w:val="center"/>
      </w:pPr>
    </w:p>
    <w:p w14:paraId="2155FD5A" w14:textId="77777777" w:rsidR="00951F81" w:rsidRDefault="00951F81" w:rsidP="00951F81">
      <w:pPr>
        <w:jc w:val="center"/>
      </w:pPr>
    </w:p>
    <w:p w14:paraId="2155FD5B" w14:textId="77777777" w:rsidR="00951F81" w:rsidRDefault="00951F81" w:rsidP="00951F81">
      <w:pPr>
        <w:jc w:val="center"/>
      </w:pPr>
    </w:p>
    <w:p w14:paraId="2155FD5C" w14:textId="77777777" w:rsidR="00951F81" w:rsidRDefault="00951F81" w:rsidP="00951F81">
      <w:pPr>
        <w:jc w:val="center"/>
      </w:pPr>
    </w:p>
    <w:p w14:paraId="2155FD5D" w14:textId="77777777" w:rsidR="00951F81" w:rsidRDefault="00951F81" w:rsidP="00951F81">
      <w:pPr>
        <w:jc w:val="center"/>
      </w:pPr>
    </w:p>
    <w:p w14:paraId="2155FD5E" w14:textId="77777777" w:rsidR="00951F81" w:rsidRDefault="00951F81" w:rsidP="00951F81">
      <w:pPr>
        <w:jc w:val="center"/>
      </w:pPr>
    </w:p>
    <w:p w14:paraId="2155FD5F" w14:textId="77777777" w:rsidR="00951F81" w:rsidRDefault="00951F81" w:rsidP="00951F81">
      <w:pPr>
        <w:jc w:val="center"/>
      </w:pPr>
    </w:p>
    <w:p w14:paraId="2155FD60" w14:textId="77777777" w:rsidR="00951F81" w:rsidRDefault="00951F81" w:rsidP="00951F81">
      <w:pPr>
        <w:jc w:val="center"/>
      </w:pPr>
    </w:p>
    <w:p w14:paraId="2155FD61" w14:textId="77777777" w:rsidR="00951F81" w:rsidRDefault="00951F81" w:rsidP="00951F81">
      <w:pPr>
        <w:jc w:val="center"/>
      </w:pPr>
    </w:p>
    <w:p w14:paraId="2155FD62" w14:textId="77777777" w:rsidR="00951F81" w:rsidRPr="00B329A8" w:rsidRDefault="007079D3" w:rsidP="00C50925">
      <w:pPr>
        <w:jc w:val="center"/>
        <w:outlineLvl w:val="0"/>
        <w:rPr>
          <w:b/>
          <w:bCs/>
        </w:rPr>
      </w:pPr>
      <w:r w:rsidRPr="00B329A8">
        <w:rPr>
          <w:b/>
          <w:bCs/>
        </w:rPr>
        <w:t>Β. ΦΥΛΛΟ ΟΔΗΓΙΩΝ ΧΡΗΣΗΣ</w:t>
      </w:r>
    </w:p>
    <w:p w14:paraId="2155FD63" w14:textId="77777777" w:rsidR="00951F81" w:rsidRDefault="007079D3" w:rsidP="00951F81">
      <w:pPr>
        <w:tabs>
          <w:tab w:val="clear" w:pos="567"/>
        </w:tabs>
        <w:jc w:val="center"/>
        <w:rPr>
          <w:b/>
          <w:bCs/>
        </w:rPr>
      </w:pPr>
      <w:r>
        <w:br w:type="page"/>
      </w:r>
      <w:r>
        <w:rPr>
          <w:b/>
        </w:rPr>
        <w:t>Φύλλο οδηγιών χρήσης: Πληροφορίες για τον χρήστη</w:t>
      </w:r>
    </w:p>
    <w:p w14:paraId="2155FD64" w14:textId="77777777" w:rsidR="00951F81" w:rsidRDefault="00951F81" w:rsidP="00951F81">
      <w:pPr>
        <w:jc w:val="center"/>
      </w:pPr>
    </w:p>
    <w:p w14:paraId="2155FD65" w14:textId="77777777" w:rsidR="00951F81" w:rsidRDefault="007079D3" w:rsidP="00951F81">
      <w:pPr>
        <w:tabs>
          <w:tab w:val="clear" w:pos="567"/>
        </w:tabs>
        <w:jc w:val="center"/>
        <w:rPr>
          <w:b/>
          <w:bCs/>
        </w:rPr>
      </w:pPr>
      <w:r>
        <w:rPr>
          <w:b/>
          <w:bCs/>
        </w:rPr>
        <w:t>Kefdensis</w:t>
      </w:r>
      <w:r w:rsidRPr="000731A3">
        <w:rPr>
          <w:b/>
          <w:bCs/>
        </w:rPr>
        <w:t xml:space="preserve"> </w:t>
      </w:r>
      <w:r>
        <w:rPr>
          <w:b/>
        </w:rPr>
        <w:t>60 mg ενέσιμο διάλυμα σε προγεμισμένη σύριγγα</w:t>
      </w:r>
    </w:p>
    <w:p w14:paraId="2155FD66" w14:textId="461A5246" w:rsidR="00951F81" w:rsidRDefault="00A050CB" w:rsidP="00951F81">
      <w:pPr>
        <w:jc w:val="center"/>
      </w:pPr>
      <w:r w:rsidRPr="00A45700">
        <w:t>δενοσουμάμπη</w:t>
      </w:r>
    </w:p>
    <w:p w14:paraId="2155FD67" w14:textId="77777777" w:rsidR="00272612" w:rsidRDefault="00272612" w:rsidP="00951F81">
      <w:pPr>
        <w:jc w:val="center"/>
      </w:pPr>
    </w:p>
    <w:p w14:paraId="2155FD68" w14:textId="08982999" w:rsidR="00272612" w:rsidRDefault="007079D3" w:rsidP="00A8242A">
      <w:r>
        <w:rPr>
          <w:noProof/>
        </w:rPr>
        <w:drawing>
          <wp:inline distT="0" distB="0" distL="0" distR="0" wp14:anchorId="153C8EE6" wp14:editId="4F42B9FD">
            <wp:extent cx="201295" cy="170815"/>
            <wp:effectExtent l="0" t="0" r="8255" b="635"/>
            <wp:docPr id="181683444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34440"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1295" cy="170815"/>
                    </a:xfrm>
                    <a:prstGeom prst="rect">
                      <a:avLst/>
                    </a:prstGeom>
                    <a:noFill/>
                  </pic:spPr>
                </pic:pic>
              </a:graphicData>
            </a:graphic>
          </wp:inline>
        </w:drawing>
      </w:r>
      <w:r w:rsidRPr="00A8242A">
        <w:t xml:space="preserve"> </w:t>
      </w:r>
      <w:r w:rsidR="00FE22DC" w:rsidRPr="00FE22DC">
        <w:t xml:space="preserve">Το φάρμακο αυτό τελεί υπό συμπληρωματική </w:t>
      </w:r>
      <w:r w:rsidR="00CC482F" w:rsidRPr="00CC482F">
        <w:t xml:space="preserve">παρακολούθηση. Αυτό θα επιτρέψει </w:t>
      </w:r>
      <w:r w:rsidR="005E5DF4" w:rsidRPr="005E5DF4">
        <w:t>το γρήγορο προσδιορισμό νέων πληροφοριών ασφάλειας</w:t>
      </w:r>
      <w:r w:rsidR="00CC482F" w:rsidRPr="00CC482F">
        <w:t xml:space="preserve">. Μπορείτε να βοηθήσετε </w:t>
      </w:r>
      <w:r w:rsidR="00DF4895" w:rsidRPr="00DF4895">
        <w:t>μέσω της αναφοράς πιθανών ανεπιθύμητων ενεργειών που ενδεχομένως παρουσιάζετε</w:t>
      </w:r>
      <w:r w:rsidR="00CC482F" w:rsidRPr="00CC482F">
        <w:t xml:space="preserve">. Βλ. το τέλος της </w:t>
      </w:r>
      <w:r w:rsidR="00DF4895">
        <w:t>παραγράφου</w:t>
      </w:r>
      <w:r w:rsidR="00DF4895" w:rsidRPr="00CC482F">
        <w:t xml:space="preserve"> </w:t>
      </w:r>
      <w:r w:rsidR="00CC482F" w:rsidRPr="00CC482F">
        <w:t>4 για τον τρόπο αναφοράς ανεπιθύμητων ενεργειών.</w:t>
      </w:r>
    </w:p>
    <w:p w14:paraId="2155FD69" w14:textId="77777777" w:rsidR="00951F81" w:rsidRDefault="00951F81" w:rsidP="00951F81">
      <w:pPr>
        <w:jc w:val="center"/>
      </w:pPr>
    </w:p>
    <w:p w14:paraId="2155FD6A" w14:textId="7AD32B4E" w:rsidR="00951F81" w:rsidRDefault="007079D3" w:rsidP="00951F81">
      <w:pPr>
        <w:keepNext/>
        <w:rPr>
          <w:b/>
          <w:bCs/>
        </w:rPr>
      </w:pPr>
      <w:r>
        <w:rPr>
          <w:b/>
        </w:rPr>
        <w:t xml:space="preserve">Διαβάστε προσεκτικά ολόκληρο το φύλλο οδηγιών χρήσης </w:t>
      </w:r>
      <w:r w:rsidR="00C91DF4">
        <w:rPr>
          <w:b/>
        </w:rPr>
        <w:t xml:space="preserve">πριν </w:t>
      </w:r>
      <w:r>
        <w:rPr>
          <w:b/>
        </w:rPr>
        <w:t>αρχίσετε να χρησιμοποιείτε αυτό το φάρμακο, διότι περιλαμβάνει σημαντικές πληροφορίες για σας.</w:t>
      </w:r>
    </w:p>
    <w:p w14:paraId="2155FD6B" w14:textId="77777777" w:rsidR="00951F81" w:rsidRDefault="007079D3" w:rsidP="00951F81">
      <w:pPr>
        <w:numPr>
          <w:ilvl w:val="0"/>
          <w:numId w:val="56"/>
        </w:numPr>
        <w:ind w:left="567" w:hanging="567"/>
      </w:pPr>
      <w:r>
        <w:t>Φυλάξτε αυτό το φύλλο οδηγιών χρήσης. Ίσως χρειαστεί να το διαβάσετε ξανά.</w:t>
      </w:r>
    </w:p>
    <w:p w14:paraId="2155FD6C" w14:textId="77777777" w:rsidR="00951F81" w:rsidRDefault="007079D3" w:rsidP="00951F81">
      <w:pPr>
        <w:numPr>
          <w:ilvl w:val="0"/>
          <w:numId w:val="56"/>
        </w:numPr>
        <w:ind w:left="567" w:hanging="567"/>
      </w:pPr>
      <w:r>
        <w:t>Εάν έχετε περαιτέρω απορίες, ρωτήστε τον γιατρό ή τον φαρμακοποιό σας.</w:t>
      </w:r>
    </w:p>
    <w:p w14:paraId="2155FD6D" w14:textId="12315469" w:rsidR="00951F81" w:rsidRDefault="007079D3" w:rsidP="00951F81">
      <w:pPr>
        <w:numPr>
          <w:ilvl w:val="0"/>
          <w:numId w:val="56"/>
        </w:numPr>
        <w:ind w:left="567" w:hanging="567"/>
      </w:pPr>
      <w: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w:t>
      </w:r>
      <w:r w:rsidR="00AE1DEB">
        <w:t xml:space="preserve">συμπτώματα </w:t>
      </w:r>
      <w:r>
        <w:t>της ασθένειάς τους είναι ίδια με τα δικά σας.</w:t>
      </w:r>
    </w:p>
    <w:p w14:paraId="2155FD6E" w14:textId="77777777" w:rsidR="00951F81" w:rsidRDefault="007079D3" w:rsidP="00951F81">
      <w:pPr>
        <w:numPr>
          <w:ilvl w:val="0"/>
          <w:numId w:val="56"/>
        </w:numPr>
        <w:ind w:left="567" w:hanging="567"/>
      </w:pPr>
      <w: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2155FD6F" w14:textId="77777777" w:rsidR="00951F81" w:rsidRDefault="007079D3" w:rsidP="00951F81">
      <w:pPr>
        <w:numPr>
          <w:ilvl w:val="0"/>
          <w:numId w:val="56"/>
        </w:numPr>
        <w:ind w:left="567" w:hanging="567"/>
      </w:pPr>
      <w:r w:rsidRPr="00CC482F">
        <w:t>Θα σας δοθεί</w:t>
      </w:r>
      <w:r>
        <w:t xml:space="preserve"> μια κάρτα υπενθύμισης για τον ασθενή, η οποία περιέχει σημαντικές πληροφορίες για την ασφάλεια, τις οποίες πρέπει να γνωρίζετε πριν και κατά τη διάρκεια της θεραπείας σας με το Kefdensis.</w:t>
      </w:r>
    </w:p>
    <w:p w14:paraId="2155FD70" w14:textId="77777777" w:rsidR="00951F81" w:rsidRDefault="00951F81" w:rsidP="00951F81"/>
    <w:p w14:paraId="2155FD71" w14:textId="77777777" w:rsidR="00951F81" w:rsidRDefault="007079D3" w:rsidP="00951F81">
      <w:pPr>
        <w:keepNext/>
        <w:rPr>
          <w:b/>
          <w:bCs/>
        </w:rPr>
      </w:pPr>
      <w:r>
        <w:rPr>
          <w:b/>
        </w:rPr>
        <w:t>Τι περιέχει το παρόν φύλλο οδηγιών:</w:t>
      </w:r>
    </w:p>
    <w:p w14:paraId="2155FD72" w14:textId="77777777" w:rsidR="00951F81" w:rsidRDefault="007079D3" w:rsidP="00951F81">
      <w:pPr>
        <w:numPr>
          <w:ilvl w:val="0"/>
          <w:numId w:val="42"/>
        </w:numPr>
        <w:ind w:left="567" w:hanging="567"/>
      </w:pPr>
      <w:r>
        <w:t xml:space="preserve">Τι είναι το </w:t>
      </w:r>
      <w:r w:rsidR="00A8242A">
        <w:t xml:space="preserve">Kefdensis </w:t>
      </w:r>
      <w:r>
        <w:t>και ποια είναι η χρήση του</w:t>
      </w:r>
    </w:p>
    <w:p w14:paraId="2155FD73" w14:textId="77777777" w:rsidR="00951F81" w:rsidRDefault="007079D3" w:rsidP="00951F81">
      <w:pPr>
        <w:numPr>
          <w:ilvl w:val="0"/>
          <w:numId w:val="42"/>
        </w:numPr>
        <w:ind w:left="567" w:hanging="567"/>
      </w:pPr>
      <w:r>
        <w:t xml:space="preserve">Τι πρέπει να γνωρίζετε πριν χρησιμοποιήσετε το </w:t>
      </w:r>
      <w:r w:rsidR="00A8242A">
        <w:t>Kefdensis</w:t>
      </w:r>
    </w:p>
    <w:p w14:paraId="2155FD74" w14:textId="77777777" w:rsidR="00951F81" w:rsidRDefault="007079D3" w:rsidP="00951F81">
      <w:pPr>
        <w:numPr>
          <w:ilvl w:val="0"/>
          <w:numId w:val="42"/>
        </w:numPr>
        <w:ind w:left="567" w:hanging="567"/>
      </w:pPr>
      <w:r>
        <w:t xml:space="preserve">Πώς να χρησιμοποιήσετε το </w:t>
      </w:r>
      <w:r w:rsidR="00A8242A">
        <w:t>Kefdensis</w:t>
      </w:r>
    </w:p>
    <w:p w14:paraId="2155FD75" w14:textId="77777777" w:rsidR="00951F81" w:rsidRDefault="007079D3" w:rsidP="00951F81">
      <w:pPr>
        <w:numPr>
          <w:ilvl w:val="0"/>
          <w:numId w:val="42"/>
        </w:numPr>
        <w:ind w:left="567" w:hanging="567"/>
      </w:pPr>
      <w:r>
        <w:t>Πιθανές ανεπιθύμητες ενέργειες</w:t>
      </w:r>
    </w:p>
    <w:p w14:paraId="2155FD76" w14:textId="77777777" w:rsidR="00951F81" w:rsidRDefault="007079D3" w:rsidP="00951F81">
      <w:pPr>
        <w:numPr>
          <w:ilvl w:val="0"/>
          <w:numId w:val="42"/>
        </w:numPr>
        <w:ind w:left="567" w:hanging="567"/>
      </w:pPr>
      <w:r>
        <w:t xml:space="preserve">Πώς να φυλάσσετε το </w:t>
      </w:r>
      <w:r w:rsidR="00A8242A">
        <w:t>Kefdensis</w:t>
      </w:r>
    </w:p>
    <w:p w14:paraId="2155FD77" w14:textId="77777777" w:rsidR="00951F81" w:rsidRDefault="007079D3" w:rsidP="00951F81">
      <w:pPr>
        <w:numPr>
          <w:ilvl w:val="0"/>
          <w:numId w:val="42"/>
        </w:numPr>
        <w:ind w:left="567" w:hanging="567"/>
      </w:pPr>
      <w:r>
        <w:t>Περιεχόμενα της συσκευασίας και λοιπές πληροφορίες</w:t>
      </w:r>
    </w:p>
    <w:p w14:paraId="2155FD78" w14:textId="77777777" w:rsidR="00951F81" w:rsidRDefault="00951F81" w:rsidP="00951F81">
      <w:pPr>
        <w:numPr>
          <w:ilvl w:val="12"/>
          <w:numId w:val="0"/>
        </w:numPr>
      </w:pPr>
    </w:p>
    <w:p w14:paraId="2155FD79" w14:textId="77777777" w:rsidR="00951F81" w:rsidRDefault="00951F81" w:rsidP="00951F81">
      <w:pPr>
        <w:numPr>
          <w:ilvl w:val="12"/>
          <w:numId w:val="0"/>
        </w:numPr>
      </w:pPr>
    </w:p>
    <w:p w14:paraId="2155FD7A" w14:textId="77777777" w:rsidR="00951F81" w:rsidRDefault="007079D3" w:rsidP="00951F81">
      <w:pPr>
        <w:keepNext/>
        <w:tabs>
          <w:tab w:val="clear" w:pos="567"/>
        </w:tabs>
        <w:ind w:left="567" w:hanging="567"/>
        <w:rPr>
          <w:b/>
        </w:rPr>
      </w:pPr>
      <w:r>
        <w:rPr>
          <w:b/>
        </w:rPr>
        <w:t>1.</w:t>
      </w:r>
      <w:r>
        <w:rPr>
          <w:b/>
        </w:rPr>
        <w:tab/>
        <w:t xml:space="preserve">Τι είναι το </w:t>
      </w:r>
      <w:r w:rsidR="007A4BFC" w:rsidRPr="00A8242A">
        <w:rPr>
          <w:b/>
        </w:rPr>
        <w:t xml:space="preserve">Kefdensis </w:t>
      </w:r>
      <w:r>
        <w:rPr>
          <w:b/>
        </w:rPr>
        <w:t>και ποια είναι η χρήση του</w:t>
      </w:r>
    </w:p>
    <w:p w14:paraId="2155FD7B" w14:textId="77777777" w:rsidR="00951F81" w:rsidRDefault="00951F81" w:rsidP="00951F81">
      <w:pPr>
        <w:keepNext/>
      </w:pPr>
    </w:p>
    <w:p w14:paraId="2155FD7C" w14:textId="77777777" w:rsidR="00951F81" w:rsidRDefault="007079D3" w:rsidP="00951F81">
      <w:pPr>
        <w:keepNext/>
        <w:rPr>
          <w:b/>
          <w:bCs/>
        </w:rPr>
      </w:pPr>
      <w:r>
        <w:rPr>
          <w:b/>
        </w:rPr>
        <w:t xml:space="preserve">Τι είναι το </w:t>
      </w:r>
      <w:r w:rsidR="00A8242A" w:rsidRPr="00A8242A">
        <w:rPr>
          <w:b/>
        </w:rPr>
        <w:t xml:space="preserve">Kefdensis </w:t>
      </w:r>
      <w:r>
        <w:rPr>
          <w:b/>
        </w:rPr>
        <w:t>και πώς δρα</w:t>
      </w:r>
    </w:p>
    <w:p w14:paraId="2155FD7D" w14:textId="77777777" w:rsidR="00951F81" w:rsidRDefault="00951F81" w:rsidP="00951F81">
      <w:pPr>
        <w:keepNext/>
      </w:pPr>
    </w:p>
    <w:p w14:paraId="2155FD7E" w14:textId="09800A67" w:rsidR="00951F81" w:rsidRDefault="007079D3" w:rsidP="00951F81">
      <w:pPr>
        <w:tabs>
          <w:tab w:val="clear" w:pos="567"/>
        </w:tabs>
      </w:pPr>
      <w:r>
        <w:t xml:space="preserve">Το </w:t>
      </w:r>
      <w:r w:rsidR="00A8242A">
        <w:t xml:space="preserve">Kefdensis </w:t>
      </w:r>
      <w:r>
        <w:t xml:space="preserve">περιέχει </w:t>
      </w:r>
      <w:r w:rsidR="00A050CB">
        <w:t>δενοσουμάμπη</w:t>
      </w:r>
      <w:r>
        <w:t xml:space="preserve">, μια πρωτεΐνη (μονοκλωνικό αντίσωμα) που παρεμβαίνει στη δράση μιας άλλης πρωτεΐνης, για τη θεραπεία της οστικής απώλειας και της οστεοπόρωσης. Η θεραπεία με </w:t>
      </w:r>
      <w:r w:rsidR="00A8242A">
        <w:t xml:space="preserve">Kefdensis </w:t>
      </w:r>
      <w:r>
        <w:t>κάνει τα οστά πιο ανθεκτικά και μειώνει την πιθανότητα εμφάνισης καταγμάτων.</w:t>
      </w:r>
    </w:p>
    <w:p w14:paraId="2155FD7F" w14:textId="77777777" w:rsidR="00951F81" w:rsidRDefault="00951F81" w:rsidP="00951F81">
      <w:pPr>
        <w:tabs>
          <w:tab w:val="clear" w:pos="567"/>
        </w:tabs>
      </w:pPr>
    </w:p>
    <w:p w14:paraId="2155FD80" w14:textId="77777777" w:rsidR="00951F81" w:rsidRDefault="007079D3" w:rsidP="00951F81">
      <w:pPr>
        <w:tabs>
          <w:tab w:val="clear" w:pos="567"/>
        </w:tabs>
      </w:pPr>
      <w:r>
        <w:t>Τα οστά είναι ένας ζωντανός ιστός που ανανεώνεται συνεχώς. Τα οιστρογόνα βοηθούν στη διατήρηση της υγείας των οστών. Μετά την εμμηνόπαυση, τα επίπεδα των οιστρογόνων μειώνονται γεγονός που μπορεί να κάνει τα οστά λεπτά και εύθραυστα. Αυτό μπορεί τελικά να οδηγήσει σε μια πάθηση που ονομάζεται οστεοπόρωση. Η οστεοπόρωση μπορεί επίσης να εμφανιστεί σε άνδρες λόγω ενός αριθμού αιτιών που συμπεριλαμβάνουν τη γήρανση και/ή τα χαμηλά επίπεδα της ανδρικής ορμόνης, τεστοστερόνης. Μπορεί επίσης να εμφανιστεί σε ασθενείς που λαμβάνουν γλυκοκορτικοειδή. Πολλοί ασθενείς που πάσχουν από οστεοπόρωση δεν έχουν συμπτώματα, αλλά κινδυνεύουν παρόλα αυτά να υποστούν κάταγμα, κυρίως στη σπονδυλική στήλη, στα ισχία και στους καρπούς.</w:t>
      </w:r>
    </w:p>
    <w:p w14:paraId="2155FD81" w14:textId="77777777" w:rsidR="00951F81" w:rsidRDefault="00951F81" w:rsidP="00951F81">
      <w:pPr>
        <w:tabs>
          <w:tab w:val="clear" w:pos="567"/>
        </w:tabs>
      </w:pPr>
    </w:p>
    <w:p w14:paraId="2155FD82" w14:textId="77777777" w:rsidR="00951F81" w:rsidRDefault="007079D3" w:rsidP="00951F81">
      <w:pPr>
        <w:tabs>
          <w:tab w:val="clear" w:pos="567"/>
        </w:tabs>
      </w:pPr>
      <w:r>
        <w:t>Οι χειρουργικές επεμβάσεις ή τα φάρμακα που αναστέλλουν την παραγωγή οιστρογόνων ή τεστοστερόνης και χρησιμοποιούνται για τη θεραπεία ασθενών με καρκίνο του μαστού ή του προστάτη μπορούν επίσης να προκαλέσουν οστική απώλεια. Τα οστά γίνονται πιο αδύναμα και σπάνε πιο εύκολα.</w:t>
      </w:r>
    </w:p>
    <w:p w14:paraId="2155FD83" w14:textId="77777777" w:rsidR="00951F81" w:rsidRDefault="00951F81" w:rsidP="00951F81">
      <w:pPr>
        <w:tabs>
          <w:tab w:val="clear" w:pos="567"/>
        </w:tabs>
      </w:pPr>
    </w:p>
    <w:p w14:paraId="2155FD84" w14:textId="101BC51F" w:rsidR="00951F81" w:rsidRDefault="00AE1DEB" w:rsidP="00951F81">
      <w:pPr>
        <w:keepNext/>
        <w:tabs>
          <w:tab w:val="clear" w:pos="567"/>
        </w:tabs>
        <w:rPr>
          <w:b/>
          <w:bCs/>
        </w:rPr>
      </w:pPr>
      <w:r>
        <w:rPr>
          <w:b/>
        </w:rPr>
        <w:t>Ποια</w:t>
      </w:r>
      <w:r w:rsidR="007079D3">
        <w:rPr>
          <w:b/>
        </w:rPr>
        <w:t xml:space="preserve"> είναι η χρήση του </w:t>
      </w:r>
      <w:r w:rsidR="00A8242A" w:rsidRPr="00A8242A">
        <w:rPr>
          <w:b/>
        </w:rPr>
        <w:t>Kefdensis</w:t>
      </w:r>
    </w:p>
    <w:p w14:paraId="2155FD85" w14:textId="77777777" w:rsidR="00951F81" w:rsidRDefault="00951F81" w:rsidP="00951F81">
      <w:pPr>
        <w:keepNext/>
      </w:pPr>
    </w:p>
    <w:p w14:paraId="2155FD86" w14:textId="77777777" w:rsidR="00951F81" w:rsidRDefault="007079D3" w:rsidP="00951F81">
      <w:pPr>
        <w:keepNext/>
        <w:tabs>
          <w:tab w:val="clear" w:pos="567"/>
        </w:tabs>
      </w:pPr>
      <w:r>
        <w:t xml:space="preserve">Το </w:t>
      </w:r>
      <w:r w:rsidR="00A8242A">
        <w:t xml:space="preserve">Kefdensis </w:t>
      </w:r>
      <w:r>
        <w:t>χρησιμοποιείται για τη θεραπεία:</w:t>
      </w:r>
    </w:p>
    <w:p w14:paraId="2155FD87" w14:textId="77777777" w:rsidR="00951F81" w:rsidRDefault="007079D3" w:rsidP="00951F81">
      <w:pPr>
        <w:numPr>
          <w:ilvl w:val="0"/>
          <w:numId w:val="54"/>
        </w:numPr>
        <w:tabs>
          <w:tab w:val="clear" w:pos="567"/>
        </w:tabs>
        <w:ind w:left="567" w:hanging="567"/>
      </w:pPr>
      <w:r>
        <w:t>της οστεοπόρωσης σε γυναίκες μετά την εμμηνόπαυση (μετεμμηνοπαυσιακές), και σε άνδρες που έχουν αυξημένο κίνδυνο κατάγματος (σπάσιμο των οστών) μειώνοντας τον κίνδυνο καταγμάτων της σπονδυλικής στήλης, μη</w:t>
      </w:r>
      <w:r>
        <w:noBreakHyphen/>
        <w:t>σπονδυλικών καταγμάτων και καταγμάτων του ισχίου.</w:t>
      </w:r>
    </w:p>
    <w:p w14:paraId="2155FD88" w14:textId="77777777" w:rsidR="00951F81" w:rsidRDefault="007079D3" w:rsidP="00951F81">
      <w:pPr>
        <w:numPr>
          <w:ilvl w:val="0"/>
          <w:numId w:val="54"/>
        </w:numPr>
        <w:tabs>
          <w:tab w:val="clear" w:pos="567"/>
        </w:tabs>
        <w:ind w:left="567" w:hanging="567"/>
      </w:pPr>
      <w:r>
        <w:t>της οστικής απώλειας που προκαλείται από τη μείωση των επιπέδων ορμονών (τεστοστερόνης) η οποία οφείλεται σε χειρουργική ή φαρμακευτική θεραπεία σε ασθενείς με καρκίνο του προστάτη.</w:t>
      </w:r>
    </w:p>
    <w:p w14:paraId="2155FD89" w14:textId="77777777" w:rsidR="00951F81" w:rsidRDefault="007079D3" w:rsidP="00951F81">
      <w:pPr>
        <w:numPr>
          <w:ilvl w:val="0"/>
          <w:numId w:val="54"/>
        </w:numPr>
        <w:tabs>
          <w:tab w:val="clear" w:pos="567"/>
        </w:tabs>
        <w:ind w:left="567" w:hanging="567"/>
      </w:pPr>
      <w:r>
        <w:t>της οστικής απώλειας που προκαλείται από μακροχρόνια αγωγή με γλυκοκορτικοειδή σε ασθενείς που παρουσιάζουν αυξημένο κίνδυνο κατάγματος.</w:t>
      </w:r>
    </w:p>
    <w:p w14:paraId="2155FD8A" w14:textId="77777777" w:rsidR="00951F81" w:rsidRDefault="00951F81" w:rsidP="00951F81">
      <w:pPr>
        <w:numPr>
          <w:ilvl w:val="12"/>
          <w:numId w:val="0"/>
        </w:numPr>
      </w:pPr>
    </w:p>
    <w:p w14:paraId="2155FD8B" w14:textId="77777777" w:rsidR="00951F81" w:rsidRDefault="00951F81" w:rsidP="00951F81">
      <w:pPr>
        <w:numPr>
          <w:ilvl w:val="12"/>
          <w:numId w:val="0"/>
        </w:numPr>
      </w:pPr>
    </w:p>
    <w:p w14:paraId="2155FD8C" w14:textId="77777777" w:rsidR="00951F81" w:rsidRDefault="007079D3" w:rsidP="00951F81">
      <w:pPr>
        <w:keepNext/>
        <w:tabs>
          <w:tab w:val="clear" w:pos="567"/>
        </w:tabs>
        <w:ind w:left="567" w:hanging="567"/>
        <w:rPr>
          <w:b/>
        </w:rPr>
      </w:pPr>
      <w:r>
        <w:rPr>
          <w:b/>
        </w:rPr>
        <w:t>2.</w:t>
      </w:r>
      <w:r>
        <w:rPr>
          <w:b/>
        </w:rPr>
        <w:tab/>
        <w:t xml:space="preserve">Τι πρέπει να γνωρίζετε πριν χρησιμοποιήσετε το </w:t>
      </w:r>
      <w:r w:rsidR="00A8242A" w:rsidRPr="00A8242A">
        <w:rPr>
          <w:b/>
        </w:rPr>
        <w:t>Kefdensis</w:t>
      </w:r>
    </w:p>
    <w:p w14:paraId="2155FD8D" w14:textId="77777777" w:rsidR="00951F81" w:rsidRDefault="00951F81" w:rsidP="00951F81">
      <w:pPr>
        <w:keepNext/>
      </w:pPr>
    </w:p>
    <w:p w14:paraId="2155FD8E" w14:textId="77777777" w:rsidR="00951F81" w:rsidRDefault="007079D3" w:rsidP="00951F81">
      <w:pPr>
        <w:keepNext/>
        <w:tabs>
          <w:tab w:val="clear" w:pos="567"/>
        </w:tabs>
        <w:rPr>
          <w:b/>
          <w:bCs/>
        </w:rPr>
      </w:pPr>
      <w:r>
        <w:rPr>
          <w:b/>
        </w:rPr>
        <w:t xml:space="preserve">Μην χρησιμοποιήσετε το </w:t>
      </w:r>
      <w:r w:rsidR="00A8242A" w:rsidRPr="00A8242A">
        <w:rPr>
          <w:b/>
        </w:rPr>
        <w:t>Kefdensis</w:t>
      </w:r>
    </w:p>
    <w:p w14:paraId="2155FD8F" w14:textId="77777777" w:rsidR="00951F81" w:rsidRDefault="00951F81" w:rsidP="00951F81">
      <w:pPr>
        <w:keepNext/>
      </w:pPr>
    </w:p>
    <w:p w14:paraId="2155FD90" w14:textId="77777777" w:rsidR="00951F81" w:rsidRDefault="007079D3" w:rsidP="00951F81">
      <w:pPr>
        <w:numPr>
          <w:ilvl w:val="0"/>
          <w:numId w:val="54"/>
        </w:numPr>
        <w:tabs>
          <w:tab w:val="clear" w:pos="567"/>
        </w:tabs>
        <w:ind w:left="567" w:hanging="567"/>
      </w:pPr>
      <w:r>
        <w:t>αν έχετε χαμηλά επίπεδα ασβεστίου στο αίμα (υπασβεστιαιμία).</w:t>
      </w:r>
    </w:p>
    <w:p w14:paraId="2155FD91" w14:textId="26AD7359" w:rsidR="00951F81" w:rsidRDefault="007079D3" w:rsidP="00951F81">
      <w:pPr>
        <w:numPr>
          <w:ilvl w:val="0"/>
          <w:numId w:val="54"/>
        </w:numPr>
        <w:tabs>
          <w:tab w:val="clear" w:pos="567"/>
        </w:tabs>
        <w:ind w:left="567" w:hanging="567"/>
      </w:pPr>
      <w:r>
        <w:t>σε περίπτωση αλλεργίας στ</w:t>
      </w:r>
      <w:r w:rsidR="00982F4B">
        <w:t>η</w:t>
      </w:r>
      <w:r>
        <w:t xml:space="preserve"> </w:t>
      </w:r>
      <w:r w:rsidR="00A050CB">
        <w:t>δενοσουμάμπη</w:t>
      </w:r>
      <w:r>
        <w:t xml:space="preserve"> ή σε οποιοδήποτε άλλο από τα συστατικά αυτού του φαρμάκου (αναφέρονται στην παράγραφο 6).</w:t>
      </w:r>
    </w:p>
    <w:p w14:paraId="2155FD92" w14:textId="77777777" w:rsidR="00951F81" w:rsidRDefault="00951F81" w:rsidP="00951F81">
      <w:pPr>
        <w:numPr>
          <w:ilvl w:val="12"/>
          <w:numId w:val="0"/>
        </w:numPr>
        <w:ind w:right="-2"/>
      </w:pPr>
    </w:p>
    <w:p w14:paraId="2155FD93" w14:textId="77777777" w:rsidR="00951F81" w:rsidRDefault="007079D3" w:rsidP="00951F81">
      <w:pPr>
        <w:keepNext/>
        <w:tabs>
          <w:tab w:val="clear" w:pos="567"/>
        </w:tabs>
        <w:rPr>
          <w:b/>
          <w:bCs/>
        </w:rPr>
      </w:pPr>
      <w:r>
        <w:rPr>
          <w:b/>
        </w:rPr>
        <w:t>Προειδοποιήσεις και προφυλάξεις</w:t>
      </w:r>
    </w:p>
    <w:p w14:paraId="2155FD94" w14:textId="77777777" w:rsidR="00951F81" w:rsidRDefault="00951F81" w:rsidP="00951F81">
      <w:pPr>
        <w:keepNext/>
      </w:pPr>
    </w:p>
    <w:p w14:paraId="2155FD95" w14:textId="672EECAE" w:rsidR="00951F81" w:rsidRDefault="007079D3" w:rsidP="00951F81">
      <w:pPr>
        <w:tabs>
          <w:tab w:val="clear" w:pos="567"/>
        </w:tabs>
      </w:pPr>
      <w:r>
        <w:t xml:space="preserve">Απευθυνθείτε στον γιατρό ή τον φαρμακοποιό σας </w:t>
      </w:r>
      <w:r w:rsidR="00AE1DEB">
        <w:t xml:space="preserve">πριν </w:t>
      </w:r>
      <w:r>
        <w:t xml:space="preserve">χρησιμοποιήσετε το </w:t>
      </w:r>
      <w:r w:rsidR="00A8242A">
        <w:t>Kefdensis</w:t>
      </w:r>
      <w:r>
        <w:t>.</w:t>
      </w:r>
    </w:p>
    <w:p w14:paraId="2155FD96" w14:textId="77777777" w:rsidR="00951F81" w:rsidRDefault="00951F81" w:rsidP="00951F81">
      <w:pPr>
        <w:tabs>
          <w:tab w:val="clear" w:pos="567"/>
        </w:tabs>
      </w:pPr>
    </w:p>
    <w:p w14:paraId="2155FD97" w14:textId="77777777" w:rsidR="00951F81" w:rsidRDefault="007079D3" w:rsidP="00951F81">
      <w:pPr>
        <w:tabs>
          <w:tab w:val="clear" w:pos="567"/>
        </w:tabs>
      </w:pPr>
      <w:r>
        <w:t xml:space="preserve">Κατά το διάστημα που λαμβάνετε </w:t>
      </w:r>
      <w:r w:rsidR="00A8242A">
        <w:t xml:space="preserve">Kefdensis </w:t>
      </w:r>
      <w:r>
        <w:t>μπορεί να παρουσιάσετε μόλυνση στο δέρμα με συμπτώματα όπως οίδημα, ερυθρότητα του δέρματος, συχνότερα στην περιοχή του ποδιού, που συνοδεύεται από αίσθημα καύσου και ευαισθησία (κυτταρίτιδα), και πιθανόν από συμπτώματα πυρετού. Παρακαλείστε να ενημερώσετε τον γιατρό σας αμέσως εάν παρουσιάσετε οποιοδήποτε από αυτά τα συμπτώματα.</w:t>
      </w:r>
    </w:p>
    <w:p w14:paraId="2155FD98" w14:textId="77777777" w:rsidR="00951F81" w:rsidRDefault="00951F81" w:rsidP="00951F81">
      <w:pPr>
        <w:tabs>
          <w:tab w:val="clear" w:pos="567"/>
        </w:tabs>
      </w:pPr>
    </w:p>
    <w:p w14:paraId="2155FD99" w14:textId="0E3AB6C4" w:rsidR="00951F81" w:rsidRDefault="007079D3" w:rsidP="00951F81">
      <w:pPr>
        <w:tabs>
          <w:tab w:val="clear" w:pos="567"/>
        </w:tabs>
      </w:pPr>
      <w:r>
        <w:t xml:space="preserve">Θα πρέπει επίσης να λαμβάνετε συμπληρώματα ασβεστίου και βιταμίνης D για όσο διάστημα παίρνετε </w:t>
      </w:r>
      <w:r w:rsidR="00A8242A">
        <w:t>Kefdensis</w:t>
      </w:r>
      <w:r>
        <w:t xml:space="preserve">. </w:t>
      </w:r>
      <w:r w:rsidR="00AE1DEB" w:rsidRPr="00CE4850">
        <w:t>Ο γιατρός σας θα το συζητήσει αυτό μαζί σας.</w:t>
      </w:r>
    </w:p>
    <w:p w14:paraId="2155FD9A" w14:textId="77777777" w:rsidR="00951F81" w:rsidRDefault="00951F81" w:rsidP="00951F81">
      <w:pPr>
        <w:tabs>
          <w:tab w:val="clear" w:pos="567"/>
        </w:tabs>
      </w:pPr>
    </w:p>
    <w:p w14:paraId="2155FD9B" w14:textId="7D8231B9" w:rsidR="00951F81" w:rsidRDefault="007079D3" w:rsidP="00951F81">
      <w:pPr>
        <w:tabs>
          <w:tab w:val="clear" w:pos="567"/>
        </w:tabs>
      </w:pPr>
      <w:r>
        <w:t xml:space="preserve">Μπορεί να έχετε χαμηλά επίπεδα ασβεστίου στο αίμα σας ενόσω λαμβάνετε </w:t>
      </w:r>
      <w:r w:rsidR="00A8242A">
        <w:t>Kefdensis</w:t>
      </w:r>
      <w:r>
        <w:t>. Παρακαλ</w:t>
      </w:r>
      <w:r w:rsidR="00AE1DEB">
        <w:t>είστε να</w:t>
      </w:r>
      <w:r>
        <w:t xml:space="preserve"> ενημερώσ</w:t>
      </w:r>
      <w:r w:rsidR="00AE1DEB">
        <w:t>ε</w:t>
      </w:r>
      <w:r>
        <w:t>τε τον γιατρό σας αμέσως εάν παρατηρήσετε οποιοδήποτε από τα ακόλουθα συμπτώματα: σπασμούς, συσπάσεις, ή κράμπες στους μύες σας, και/ή μούδιασμα ή μυρμήγκιασμα στα δάχτυλα των χεριών, στα δάχτυλα των ποδιών ή γύρω από το στόμα σας, και/ή επιληπτικές κρίσεις, σύγχυση, ή απώλεια της συνείδησης.</w:t>
      </w:r>
    </w:p>
    <w:p w14:paraId="2155FD9C" w14:textId="77777777" w:rsidR="00951F81" w:rsidRDefault="00951F81" w:rsidP="00951F81">
      <w:pPr>
        <w:tabs>
          <w:tab w:val="clear" w:pos="567"/>
        </w:tabs>
      </w:pPr>
    </w:p>
    <w:p w14:paraId="2155FD9D" w14:textId="77777777" w:rsidR="00951F81" w:rsidRDefault="007079D3" w:rsidP="00951F81">
      <w:pPr>
        <w:tabs>
          <w:tab w:val="clear" w:pos="567"/>
        </w:tabs>
      </w:pPr>
      <w:r>
        <w:t>Εξαιρετικά χαμηλά επίπεδα ασβεστίου που οδήγησαν σε εισαγωγή στο νοσοκομείο και ακόμα και αντιδράσεις απειλητικές για τη ζωή έχουν αναφερθεί σε σπάνιες περιπτώσεις. Ως εκ τούτου, πριν από τη λήψη κάθε δόσης και στους ασθενείς με προδιάθεση για υπασβεστιαιμία εντός δύο εβδομάδων μετά τη λήψη της αρχικής δόσης, θα ελέγχονται τα επίπεδα ασβεστίου στο αίμα σας (μέσω εξέτασης αίματος).</w:t>
      </w:r>
    </w:p>
    <w:p w14:paraId="2155FD9E" w14:textId="77777777" w:rsidR="005727E1" w:rsidRDefault="005727E1" w:rsidP="00951F81">
      <w:pPr>
        <w:tabs>
          <w:tab w:val="clear" w:pos="567"/>
        </w:tabs>
      </w:pPr>
    </w:p>
    <w:p w14:paraId="2155FD9F" w14:textId="77777777" w:rsidR="00951F81" w:rsidRDefault="007079D3" w:rsidP="00951F81">
      <w:pPr>
        <w:tabs>
          <w:tab w:val="clear" w:pos="567"/>
        </w:tabs>
      </w:pPr>
      <w:r>
        <w:t>Ενημερώστε τον γιατρό σας εάν έχετε ή είχατε ποτέ σοβαρά προβλήματα στους νεφρούς, νεφρική ανεπάρκεια ή αν χρειάστηκε να υποβληθείτε σε αιμοκάθαρση, ή αν λαμβάνετε φάρμακα που αποκαλούνται γλυκοκορτικοειδή (όπως πρεδνιζολόνη ή δεξαμεθαζόνη),γεγονότα που μπορεί να αυξήσουν τον κίνδυνο εμφάνισης χαμηλών επιπέδων ασβεστίου στο αίμα αν δεν λαμβάνετε συμπληρώματα ασβεστίου.</w:t>
      </w:r>
    </w:p>
    <w:p w14:paraId="2155FDA0" w14:textId="77777777" w:rsidR="00951F81" w:rsidRDefault="00951F81" w:rsidP="00951F81">
      <w:pPr>
        <w:tabs>
          <w:tab w:val="clear" w:pos="567"/>
        </w:tabs>
      </w:pPr>
    </w:p>
    <w:p w14:paraId="2155FDA1" w14:textId="77777777" w:rsidR="00951F81" w:rsidRDefault="007079D3" w:rsidP="00951F81">
      <w:pPr>
        <w:keepNext/>
        <w:rPr>
          <w:u w:val="single"/>
        </w:rPr>
      </w:pPr>
      <w:r>
        <w:rPr>
          <w:u w:val="single"/>
        </w:rPr>
        <w:t>Προβλήματα στο στόμα, στα δόντια ή στη γνάθο</w:t>
      </w:r>
    </w:p>
    <w:p w14:paraId="2155FDA2" w14:textId="755681D6" w:rsidR="00951F81" w:rsidRDefault="007079D3" w:rsidP="00951F81">
      <w:pPr>
        <w:tabs>
          <w:tab w:val="clear" w:pos="567"/>
        </w:tabs>
      </w:pPr>
      <w:r>
        <w:t xml:space="preserve">Μία παρενέργεια που λέγεται οστεονέκρωση της γνάθου (ΟΝΓ) (βλάβη του οστού της γνάθου) έχει αναφερθεί σπανίως (μπορεί να επηρεάζει έως 1 στους 1.000 ανθρώπους) σε ασθενείς που λαμβάνουν </w:t>
      </w:r>
      <w:r w:rsidR="00A050CB">
        <w:t>δενοσουμάμπη</w:t>
      </w:r>
      <w:r w:rsidR="00A8242A" w:rsidRPr="00A8242A">
        <w:t xml:space="preserve"> </w:t>
      </w:r>
      <w:r>
        <w:t>για την οστεοπόρωση. Ο κίνδυνος της ΟΝΓ αυξάνεται σε ασθενείς που λαμβάνουν θεραπεία για πολύ καιρό (μπορεί να επηρεάσει μέχρι 1 στα 200 άτομα εάν λαμβάνουν θεραπεία για 10 χρόνια). Η ΟΝΓ μπορεί επίσης να εμφανιστεί και μετά τη διακοπή της θεραπείας. Είναι σημαντικό να προσπαθήσετε να προλάβετε την εμφάνιση της ΟΝΓ καθώς μπορεί να είναι μια επώδυνη κατάσταση και μπορεί να είναι δύσκολη να θεραπευτεί. Για να μειώσετε τον κίνδυνο εμφάνισης της ΟΝΓ, λάβετε τις παρακάτω προφυλάξεις:</w:t>
      </w:r>
    </w:p>
    <w:p w14:paraId="2155FDA3" w14:textId="77777777" w:rsidR="00951F81" w:rsidRDefault="00951F81" w:rsidP="00951F81">
      <w:pPr>
        <w:tabs>
          <w:tab w:val="clear" w:pos="567"/>
        </w:tabs>
      </w:pPr>
    </w:p>
    <w:p w14:paraId="2155FDA4" w14:textId="12BFD5EC" w:rsidR="00951F81" w:rsidRDefault="007079D3" w:rsidP="00AF4F00">
      <w:pPr>
        <w:keepNext/>
        <w:tabs>
          <w:tab w:val="clear" w:pos="567"/>
        </w:tabs>
      </w:pPr>
      <w:r>
        <w:t xml:space="preserve">Πριν λάβετε θεραπεία, ενημερώστε τον γιατρό ή τον νοσοκόμο σας (επαγγελματίας </w:t>
      </w:r>
      <w:r w:rsidR="00FB23FD">
        <w:t>υγείας</w:t>
      </w:r>
      <w:r>
        <w:t>) εάν:</w:t>
      </w:r>
    </w:p>
    <w:p w14:paraId="2155FDA5" w14:textId="77777777" w:rsidR="00951F81" w:rsidRDefault="00951F81" w:rsidP="00C83FAB">
      <w:pPr>
        <w:tabs>
          <w:tab w:val="clear" w:pos="567"/>
        </w:tabs>
      </w:pPr>
    </w:p>
    <w:p w14:paraId="2155FDA6" w14:textId="77777777" w:rsidR="00951F81" w:rsidRDefault="007079D3" w:rsidP="00951F81">
      <w:pPr>
        <w:numPr>
          <w:ilvl w:val="0"/>
          <w:numId w:val="54"/>
        </w:numPr>
        <w:tabs>
          <w:tab w:val="clear" w:pos="567"/>
        </w:tabs>
        <w:ind w:left="567" w:hanging="567"/>
      </w:pPr>
      <w:r>
        <w:t>έχετε προβλήματα με το στόμα ή τα δόντια σας όπως κακή στοματική υγιεινή, ουλίτιδα ή προγραμματισμένη εξαγωγή οδόντων.</w:t>
      </w:r>
    </w:p>
    <w:p w14:paraId="2155FDA7" w14:textId="77777777" w:rsidR="00951F81" w:rsidRDefault="007079D3" w:rsidP="00951F81">
      <w:pPr>
        <w:numPr>
          <w:ilvl w:val="0"/>
          <w:numId w:val="54"/>
        </w:numPr>
        <w:tabs>
          <w:tab w:val="clear" w:pos="567"/>
        </w:tabs>
        <w:ind w:left="567" w:hanging="567"/>
      </w:pPr>
      <w:r>
        <w:t>δεν λαμβάνετε τακτική οδοντιατρική φροντίδα ή δεν έχετε λάβει οδοντιατρική εξέταση για μεγάλο χρονικό διάστημα.</w:t>
      </w:r>
    </w:p>
    <w:p w14:paraId="2155FDA8" w14:textId="77777777" w:rsidR="00951F81" w:rsidRDefault="007079D3" w:rsidP="00951F81">
      <w:pPr>
        <w:numPr>
          <w:ilvl w:val="0"/>
          <w:numId w:val="54"/>
        </w:numPr>
        <w:tabs>
          <w:tab w:val="clear" w:pos="567"/>
        </w:tabs>
        <w:ind w:left="567" w:hanging="567"/>
      </w:pPr>
      <w:r>
        <w:t>είστε καπνιστής (καθώς αυτό μπορεί να αυξήσει τον κίνδυνο των οδοντιατρικών προβλημάτων).</w:t>
      </w:r>
    </w:p>
    <w:p w14:paraId="2155FDA9" w14:textId="77777777" w:rsidR="00951F81" w:rsidRDefault="007079D3" w:rsidP="00951F81">
      <w:pPr>
        <w:numPr>
          <w:ilvl w:val="0"/>
          <w:numId w:val="54"/>
        </w:numPr>
        <w:tabs>
          <w:tab w:val="clear" w:pos="567"/>
        </w:tabs>
        <w:ind w:left="567" w:hanging="567"/>
      </w:pPr>
      <w:r>
        <w:t>έχετε προηγουμένως λάβει θεραπεία με διφωσφονικά (χρησιμοποιούνται για τη θεραπεία ή τη πρόληψη οστικών διαταραχών).</w:t>
      </w:r>
    </w:p>
    <w:p w14:paraId="2155FDAA" w14:textId="77777777" w:rsidR="00951F81" w:rsidRDefault="007079D3" w:rsidP="00951F81">
      <w:pPr>
        <w:numPr>
          <w:ilvl w:val="0"/>
          <w:numId w:val="54"/>
        </w:numPr>
        <w:tabs>
          <w:tab w:val="clear" w:pos="567"/>
        </w:tabs>
        <w:ind w:left="567" w:hanging="567"/>
      </w:pPr>
      <w:r>
        <w:t>λαμβάνετε κορτικοστεροειδή (όπως τη πρεδνιζολόνη ή τη δεξαμεθαζόνη).</w:t>
      </w:r>
    </w:p>
    <w:p w14:paraId="2155FDAB" w14:textId="77777777" w:rsidR="00951F81" w:rsidRDefault="007079D3" w:rsidP="00951F81">
      <w:pPr>
        <w:numPr>
          <w:ilvl w:val="0"/>
          <w:numId w:val="54"/>
        </w:numPr>
        <w:tabs>
          <w:tab w:val="clear" w:pos="567"/>
        </w:tabs>
        <w:ind w:left="567" w:hanging="567"/>
      </w:pPr>
      <w:r>
        <w:t>έχετε καρκίνο.</w:t>
      </w:r>
    </w:p>
    <w:p w14:paraId="2155FDAC" w14:textId="77777777" w:rsidR="00951F81" w:rsidRDefault="00951F81" w:rsidP="00951F81">
      <w:pPr>
        <w:tabs>
          <w:tab w:val="clear" w:pos="567"/>
        </w:tabs>
      </w:pPr>
    </w:p>
    <w:p w14:paraId="2155FDAD" w14:textId="77777777" w:rsidR="00951F81" w:rsidRDefault="007079D3" w:rsidP="00951F81">
      <w:pPr>
        <w:tabs>
          <w:tab w:val="clear" w:pos="567"/>
        </w:tabs>
      </w:pPr>
      <w:r>
        <w:t xml:space="preserve">Ο γιατρός σας μπορεί να σας ζητήσει να εξεταστείτε από οδοντίατρο πριν ξεκινήσετε τη θεραπεία με </w:t>
      </w:r>
      <w:r w:rsidR="00A8242A">
        <w:t>Kefdensis</w:t>
      </w:r>
      <w:r>
        <w:t>.</w:t>
      </w:r>
    </w:p>
    <w:p w14:paraId="2155FDAE" w14:textId="77777777" w:rsidR="00951F81" w:rsidRDefault="00951F81" w:rsidP="00951F81">
      <w:pPr>
        <w:tabs>
          <w:tab w:val="clear" w:pos="567"/>
        </w:tabs>
      </w:pPr>
    </w:p>
    <w:p w14:paraId="2155FDAF" w14:textId="77777777" w:rsidR="00951F81" w:rsidRDefault="007079D3" w:rsidP="00951F81">
      <w:pPr>
        <w:tabs>
          <w:tab w:val="clear" w:pos="567"/>
        </w:tabs>
      </w:pPr>
      <w:r>
        <w:t xml:space="preserve">Κατά τη διάρκεια της θεραπείας, θα πρέπει να διατηρείτε καλή στοματική υγιεινή και να υποβάλλεστε σε τακτικές οδοντιατρικές εξετάσεις. Εάν φοράτε τεχνητή οδοντοστοιχία θα πρέπει να βεβαιωθείτε ότι εφαρμόζει σωστά. Αν υποβάλλεστε σε οδοντιατρική θεραπεία ή πρόκειται να υποβληθείτε σε οδοντιατρική χειρουργική επέμβαση (π.χ. εξαγωγές οδόντων), ενημερώστε τον γιατρό σας και πείτε στον οδοντίατρό σας ότι λαμβάνετε </w:t>
      </w:r>
      <w:r w:rsidR="00A8242A">
        <w:t>Kefdensis</w:t>
      </w:r>
      <w:r>
        <w:t>.</w:t>
      </w:r>
    </w:p>
    <w:p w14:paraId="2155FDB0" w14:textId="77777777" w:rsidR="00951F81" w:rsidRDefault="00951F81" w:rsidP="00951F81">
      <w:pPr>
        <w:tabs>
          <w:tab w:val="clear" w:pos="567"/>
        </w:tabs>
      </w:pPr>
    </w:p>
    <w:p w14:paraId="2155FDB1" w14:textId="77777777" w:rsidR="00951F81" w:rsidRDefault="007079D3" w:rsidP="00951F81">
      <w:pPr>
        <w:tabs>
          <w:tab w:val="clear" w:pos="567"/>
        </w:tabs>
      </w:pPr>
      <w:r>
        <w:t>Επικοινωνήστε με τον γιατρό και τον οδοντίατρό σας αμέσως αν παρουσιάσετε οποιαδήποτε προβλήματα με το στόμα ή τα δόντια όπως χαλαρά δόντια, πόνο ή πρήξιμο, ή μη επούλωση πληγών ή εκκρίσεων, καθώς αυτά μπορεί να είναι σημεία της ΟΝΓ.</w:t>
      </w:r>
    </w:p>
    <w:p w14:paraId="2155FDB2" w14:textId="77777777" w:rsidR="00951F81" w:rsidRDefault="00951F81" w:rsidP="00951F81">
      <w:pPr>
        <w:tabs>
          <w:tab w:val="clear" w:pos="567"/>
        </w:tabs>
      </w:pPr>
    </w:p>
    <w:p w14:paraId="2155FDB3" w14:textId="77777777" w:rsidR="00951F81" w:rsidRDefault="007079D3" w:rsidP="00951F81">
      <w:pPr>
        <w:keepNext/>
        <w:rPr>
          <w:u w:val="single"/>
        </w:rPr>
      </w:pPr>
      <w:r>
        <w:rPr>
          <w:u w:val="single"/>
        </w:rPr>
        <w:t>Μη συνήθη κατάγματα του μηριαίου οστού</w:t>
      </w:r>
    </w:p>
    <w:p w14:paraId="2155FDB4" w14:textId="647E76DB" w:rsidR="00951F81" w:rsidRDefault="007079D3" w:rsidP="00951F81">
      <w:pPr>
        <w:tabs>
          <w:tab w:val="clear" w:pos="567"/>
        </w:tabs>
      </w:pPr>
      <w:r>
        <w:t xml:space="preserve">Κάποιοι ασθενείς έχουν εμφανίσει μη συνήθη κατάγματα του μηριαίου οστού κατά τη διάρκεια της θεραπείας με </w:t>
      </w:r>
      <w:r w:rsidR="00A050CB">
        <w:t>δενοσουμάμπη</w:t>
      </w:r>
      <w:r>
        <w:t>. Επικοινωνήστε με τον γιατρό σας εάν νιώσετε νέο ή ασυνήθιστο πόνο στο ισχίο σας, στη βουβωνική χώρα ή στο μηρό σας.</w:t>
      </w:r>
    </w:p>
    <w:p w14:paraId="2155FDB5" w14:textId="77777777" w:rsidR="00951F81" w:rsidRDefault="00951F81" w:rsidP="00951F81">
      <w:pPr>
        <w:tabs>
          <w:tab w:val="clear" w:pos="567"/>
        </w:tabs>
      </w:pPr>
    </w:p>
    <w:p w14:paraId="2155FDB6" w14:textId="77777777" w:rsidR="00951F81" w:rsidRDefault="007079D3" w:rsidP="00951F81">
      <w:pPr>
        <w:keepNext/>
        <w:tabs>
          <w:tab w:val="clear" w:pos="567"/>
        </w:tabs>
        <w:rPr>
          <w:b/>
          <w:bCs/>
        </w:rPr>
      </w:pPr>
      <w:r>
        <w:rPr>
          <w:b/>
        </w:rPr>
        <w:t>Παιδιά και έφηβοι</w:t>
      </w:r>
    </w:p>
    <w:p w14:paraId="2155FDB7" w14:textId="77777777" w:rsidR="00951F81" w:rsidRDefault="00951F81" w:rsidP="00951F81">
      <w:pPr>
        <w:keepNext/>
      </w:pPr>
    </w:p>
    <w:p w14:paraId="2155FDB8" w14:textId="77777777" w:rsidR="00951F81" w:rsidRDefault="007079D3" w:rsidP="00951F81">
      <w:r>
        <w:t xml:space="preserve">Το </w:t>
      </w:r>
      <w:r w:rsidR="00A8242A">
        <w:t>Kefdensis</w:t>
      </w:r>
      <w:r w:rsidR="00A8242A" w:rsidRPr="00442125">
        <w:t xml:space="preserve"> </w:t>
      </w:r>
      <w:r>
        <w:t xml:space="preserve">δεν θα πρέπει να χρησιμοποιείται σε παιδιά και εφήβους ηλικίας κάτω των 18 ετών. </w:t>
      </w:r>
    </w:p>
    <w:p w14:paraId="2155FDB9" w14:textId="77777777" w:rsidR="00951F81" w:rsidRDefault="00951F81" w:rsidP="00951F81"/>
    <w:p w14:paraId="2155FDBA" w14:textId="77777777" w:rsidR="00951F81" w:rsidRDefault="007079D3" w:rsidP="00951F81">
      <w:pPr>
        <w:keepNext/>
        <w:tabs>
          <w:tab w:val="clear" w:pos="567"/>
        </w:tabs>
        <w:rPr>
          <w:b/>
          <w:bCs/>
        </w:rPr>
      </w:pPr>
      <w:r>
        <w:rPr>
          <w:b/>
        </w:rPr>
        <w:t xml:space="preserve">Άλλα φάρμακα και </w:t>
      </w:r>
      <w:r w:rsidR="00A8242A" w:rsidRPr="00A8242A">
        <w:rPr>
          <w:b/>
        </w:rPr>
        <w:t>Kefdensis</w:t>
      </w:r>
    </w:p>
    <w:p w14:paraId="2155FDBB" w14:textId="77777777" w:rsidR="00951F81" w:rsidRDefault="00951F81" w:rsidP="00951F81">
      <w:pPr>
        <w:keepNext/>
      </w:pPr>
    </w:p>
    <w:p w14:paraId="2155FDBC" w14:textId="10C5BC7F" w:rsidR="00951F81" w:rsidRDefault="00FB23FD" w:rsidP="00951F81">
      <w:pPr>
        <w:tabs>
          <w:tab w:val="clear" w:pos="567"/>
        </w:tabs>
      </w:pPr>
      <w:r>
        <w:t>Ενημερώστε</w:t>
      </w:r>
      <w:r w:rsidR="007079D3">
        <w:t xml:space="preserve"> τον γιατρό ή τον φαρμακοποιό σας εάν παίρνετε, έχετε πρόσφατα πάρει ή μπορεί να πάρετε άλλα φάρμακα. Είναι ιδιαίτερα σημαντικό να ενημερώσετε τον γιατρό σας εάν παίρνετε άλλο φάρμακο που περιέχει </w:t>
      </w:r>
      <w:r w:rsidR="00A050CB">
        <w:t>δενοσουμάμπη</w:t>
      </w:r>
      <w:r w:rsidR="007079D3">
        <w:t>.</w:t>
      </w:r>
    </w:p>
    <w:p w14:paraId="2155FDBD" w14:textId="77777777" w:rsidR="00951F81" w:rsidRDefault="00951F81" w:rsidP="00951F81">
      <w:pPr>
        <w:tabs>
          <w:tab w:val="clear" w:pos="567"/>
        </w:tabs>
      </w:pPr>
    </w:p>
    <w:p w14:paraId="2155FDBE" w14:textId="0CDD133B" w:rsidR="00951F81" w:rsidRDefault="007079D3" w:rsidP="00951F81">
      <w:pPr>
        <w:tabs>
          <w:tab w:val="clear" w:pos="567"/>
        </w:tabs>
      </w:pPr>
      <w:r>
        <w:t xml:space="preserve">Δεν πρέπει να πάρετε </w:t>
      </w:r>
      <w:r w:rsidR="00A8242A">
        <w:t>Kefdensis</w:t>
      </w:r>
      <w:r w:rsidR="00A8242A" w:rsidRPr="00442125">
        <w:t xml:space="preserve"> </w:t>
      </w:r>
      <w:r>
        <w:t xml:space="preserve">μαζί με άλλο φάρμακο το οποίο περιέχει </w:t>
      </w:r>
      <w:r w:rsidR="00A050CB">
        <w:t>δενοσουμάμπη</w:t>
      </w:r>
      <w:r>
        <w:t>.</w:t>
      </w:r>
    </w:p>
    <w:p w14:paraId="2155FDBF" w14:textId="77777777" w:rsidR="00951F81" w:rsidRDefault="00951F81" w:rsidP="00951F81">
      <w:pPr>
        <w:tabs>
          <w:tab w:val="clear" w:pos="567"/>
        </w:tabs>
      </w:pPr>
    </w:p>
    <w:p w14:paraId="2155FDC0" w14:textId="77777777" w:rsidR="00951F81" w:rsidRDefault="007079D3" w:rsidP="00951F81">
      <w:pPr>
        <w:keepNext/>
        <w:tabs>
          <w:tab w:val="clear" w:pos="567"/>
        </w:tabs>
        <w:rPr>
          <w:b/>
          <w:bCs/>
        </w:rPr>
      </w:pPr>
      <w:r>
        <w:rPr>
          <w:b/>
        </w:rPr>
        <w:t>Κύηση, θηλασμός και γονιμότητα</w:t>
      </w:r>
    </w:p>
    <w:p w14:paraId="2155FDC1" w14:textId="77777777" w:rsidR="00951F81" w:rsidRDefault="00951F81" w:rsidP="00951F81">
      <w:pPr>
        <w:keepNext/>
      </w:pPr>
    </w:p>
    <w:p w14:paraId="2155FDC2" w14:textId="0C5A1712" w:rsidR="00951F81" w:rsidRDefault="00982F4B" w:rsidP="00951F81">
      <w:pPr>
        <w:tabs>
          <w:tab w:val="clear" w:pos="567"/>
        </w:tabs>
      </w:pPr>
      <w:r>
        <w:t xml:space="preserve">Η </w:t>
      </w:r>
      <w:r w:rsidR="00A050CB">
        <w:t>δενοσουμάμπη</w:t>
      </w:r>
      <w:r w:rsidR="00A8242A" w:rsidRPr="00A8242A">
        <w:t xml:space="preserve"> </w:t>
      </w:r>
      <w:r w:rsidR="007079D3">
        <w:t xml:space="preserve">δεν έχει δοκιμαστεί σε εγκύους. Είναι σημαντικό να ενημερώσετε τον γιατρό σας εάν </w:t>
      </w:r>
      <w:r w:rsidR="00FB23FD">
        <w:t xml:space="preserve">είστε </w:t>
      </w:r>
      <w:r w:rsidR="007079D3">
        <w:t xml:space="preserve">έγκυος, νομίζετε ότι μπορεί να </w:t>
      </w:r>
      <w:r w:rsidR="00FB23FD">
        <w:t xml:space="preserve">είστε </w:t>
      </w:r>
      <w:r w:rsidR="007079D3">
        <w:t xml:space="preserve">έγκυος ή σχεδιάζετε να αποκτήσετε παιδί. Η χρήση του </w:t>
      </w:r>
      <w:r w:rsidR="00A8242A">
        <w:t>Kefdensis</w:t>
      </w:r>
      <w:r w:rsidR="00A8242A" w:rsidRPr="00442125">
        <w:t xml:space="preserve"> </w:t>
      </w:r>
      <w:r w:rsidR="007079D3">
        <w:t xml:space="preserve">δεν συνιστάται αν είστε έγκυος. Οι γυναίκες αναπαραγωγικής ηλικίας θα πρέπει να χρησιμοποιούν αποτελεσματικές μεθόδους αντισύλληψης κατά το διάστημα θεραπείας με </w:t>
      </w:r>
      <w:r w:rsidR="00A8242A">
        <w:t>Kefdensis</w:t>
      </w:r>
      <w:r w:rsidR="00A8242A" w:rsidRPr="00442125">
        <w:t xml:space="preserve"> </w:t>
      </w:r>
      <w:r w:rsidR="007079D3">
        <w:t xml:space="preserve">και για τουλάχιστον 5 μήνες μετά τη διακοπή της θεραπείας με το </w:t>
      </w:r>
      <w:r w:rsidR="00A8242A">
        <w:t>Kefdensis</w:t>
      </w:r>
      <w:r w:rsidR="007079D3">
        <w:t>.</w:t>
      </w:r>
    </w:p>
    <w:p w14:paraId="2155FDC3" w14:textId="77777777" w:rsidR="00951F81" w:rsidRDefault="00951F81" w:rsidP="00951F81">
      <w:pPr>
        <w:tabs>
          <w:tab w:val="clear" w:pos="567"/>
        </w:tabs>
      </w:pPr>
    </w:p>
    <w:p w14:paraId="2155FDC4" w14:textId="7733CFD9" w:rsidR="00951F81" w:rsidRDefault="007079D3" w:rsidP="00951F81">
      <w:pPr>
        <w:tabs>
          <w:tab w:val="clear" w:pos="567"/>
        </w:tabs>
      </w:pPr>
      <w:r>
        <w:t xml:space="preserve">Αν μείνετε έγκυος κατά τη διάρκεια της θεραπείας με </w:t>
      </w:r>
      <w:r w:rsidR="00A8242A">
        <w:t>Kefdensis</w:t>
      </w:r>
      <w:r w:rsidR="00A8242A" w:rsidRPr="00442125">
        <w:t xml:space="preserve"> </w:t>
      </w:r>
      <w:r>
        <w:t xml:space="preserve">ή σε διάστημα μικρότερο των 5 μηνών μετά τη διακοπή της θεραπείας με το </w:t>
      </w:r>
      <w:r w:rsidR="00A8242A">
        <w:t>Kefdensis</w:t>
      </w:r>
      <w:r>
        <w:t xml:space="preserve">, </w:t>
      </w:r>
      <w:r w:rsidR="002F4BEF">
        <w:t xml:space="preserve">παρακαλείστε </w:t>
      </w:r>
      <w:r>
        <w:t>να ενημερώσετε τον γιατρό σας.</w:t>
      </w:r>
    </w:p>
    <w:p w14:paraId="2155FDC5" w14:textId="77777777" w:rsidR="00951F81" w:rsidRDefault="00951F81" w:rsidP="00951F81">
      <w:pPr>
        <w:tabs>
          <w:tab w:val="clear" w:pos="567"/>
        </w:tabs>
      </w:pPr>
    </w:p>
    <w:p w14:paraId="2155FDC6" w14:textId="0368F35F" w:rsidR="00951F81" w:rsidRDefault="007079D3" w:rsidP="00951F81">
      <w:pPr>
        <w:tabs>
          <w:tab w:val="clear" w:pos="567"/>
        </w:tabs>
      </w:pPr>
      <w:r>
        <w:t>Δεν είναι γνωστό εάν τ</w:t>
      </w:r>
      <w:r w:rsidR="00982F4B">
        <w:t>η</w:t>
      </w:r>
      <w:r>
        <w:t xml:space="preserve"> </w:t>
      </w:r>
      <w:r w:rsidR="00A050CB">
        <w:t>δενοσουμάμπη</w:t>
      </w:r>
      <w:r w:rsidR="00A8242A" w:rsidRPr="00A8242A">
        <w:t xml:space="preserve"> </w:t>
      </w:r>
      <w:r>
        <w:t xml:space="preserve">απεκκρίνεται στο μητρικό γάλα. Είναι σημαντικό να ενημερώσετε τον γιατρό σας εάν θηλάζετε ή σχεδιάζετε να θηλάσετε. Ο γιατρός σας θα σας βοηθήσει να αποφασίσετε εάν θα διακόψετε το θηλασμό ή τη θεραπεία με </w:t>
      </w:r>
      <w:r w:rsidR="00A8242A">
        <w:t xml:space="preserve">Kefdensis </w:t>
      </w:r>
      <w:r>
        <w:t xml:space="preserve">λαμβάνοντας υπόψη το όφελος του θηλασμού για το παιδί και το όφελος του </w:t>
      </w:r>
      <w:r w:rsidR="00A8242A">
        <w:t xml:space="preserve">Kefdensis </w:t>
      </w:r>
      <w:r>
        <w:t>για τη μητέρα.</w:t>
      </w:r>
    </w:p>
    <w:p w14:paraId="2155FDC7" w14:textId="77777777" w:rsidR="00951F81" w:rsidRDefault="00951F81" w:rsidP="00951F81">
      <w:pPr>
        <w:tabs>
          <w:tab w:val="clear" w:pos="567"/>
        </w:tabs>
      </w:pPr>
    </w:p>
    <w:p w14:paraId="2155FDC8" w14:textId="6C4D28D3" w:rsidR="00951F81" w:rsidRDefault="007079D3" w:rsidP="00951F81">
      <w:pPr>
        <w:tabs>
          <w:tab w:val="clear" w:pos="567"/>
        </w:tabs>
      </w:pPr>
      <w:r>
        <w:t xml:space="preserve">Αν θηλάζετε κατά τη διάρκεια της θεραπείας με </w:t>
      </w:r>
      <w:r w:rsidR="00A8242A">
        <w:t>Kefdensis</w:t>
      </w:r>
      <w:r>
        <w:t xml:space="preserve">, </w:t>
      </w:r>
      <w:r w:rsidR="002F4BEF">
        <w:t xml:space="preserve">παρακαλείστε </w:t>
      </w:r>
      <w:r>
        <w:t>να ενημερώσετε τον γιατρό σας.</w:t>
      </w:r>
    </w:p>
    <w:p w14:paraId="2155FDC9" w14:textId="77777777" w:rsidR="00951F81" w:rsidRDefault="00951F81" w:rsidP="00951F81">
      <w:pPr>
        <w:tabs>
          <w:tab w:val="clear" w:pos="567"/>
        </w:tabs>
      </w:pPr>
    </w:p>
    <w:p w14:paraId="2155FDCA" w14:textId="77777777" w:rsidR="00951F81" w:rsidRDefault="007079D3" w:rsidP="00951F81">
      <w:pPr>
        <w:tabs>
          <w:tab w:val="clear" w:pos="567"/>
        </w:tabs>
      </w:pPr>
      <w:r>
        <w:t>Ζητήστε τη συμβουλή του γιατρού ή του φαρμακοποιού σας πριν πάρετε οποιοδήποτε φάρμακο.</w:t>
      </w:r>
    </w:p>
    <w:p w14:paraId="2155FDCB" w14:textId="77777777" w:rsidR="00951F81" w:rsidRDefault="00951F81" w:rsidP="00951F81">
      <w:pPr>
        <w:tabs>
          <w:tab w:val="clear" w:pos="567"/>
        </w:tabs>
      </w:pPr>
    </w:p>
    <w:p w14:paraId="2155FDCC" w14:textId="77777777" w:rsidR="00951F81" w:rsidRDefault="007079D3" w:rsidP="00951F81">
      <w:pPr>
        <w:keepNext/>
        <w:tabs>
          <w:tab w:val="clear" w:pos="567"/>
        </w:tabs>
        <w:rPr>
          <w:b/>
          <w:bCs/>
        </w:rPr>
      </w:pPr>
      <w:r>
        <w:rPr>
          <w:b/>
        </w:rPr>
        <w:t>Οδήγηση και χειρισμός μηχανημάτων</w:t>
      </w:r>
    </w:p>
    <w:p w14:paraId="2155FDCD" w14:textId="77777777" w:rsidR="00951F81" w:rsidRDefault="00951F81" w:rsidP="00951F81">
      <w:pPr>
        <w:keepNext/>
      </w:pPr>
    </w:p>
    <w:p w14:paraId="2155FDCE" w14:textId="6DD45541" w:rsidR="00951F81" w:rsidRDefault="00982F4B" w:rsidP="00951F81">
      <w:pPr>
        <w:tabs>
          <w:tab w:val="clear" w:pos="567"/>
        </w:tabs>
      </w:pPr>
      <w:r>
        <w:t xml:space="preserve">Η </w:t>
      </w:r>
      <w:r w:rsidR="00A050CB">
        <w:t>δενοσουμάμπη</w:t>
      </w:r>
      <w:r w:rsidR="00A8242A" w:rsidRPr="00A8242A">
        <w:t xml:space="preserve"> </w:t>
      </w:r>
      <w:r w:rsidR="007079D3">
        <w:t>δεν έχει καμία ή έχει ασήμαντη επίδραση στην ικανότητα οδήγησης και χειρισμού μηχανημάτων.</w:t>
      </w:r>
    </w:p>
    <w:p w14:paraId="2155FDCF" w14:textId="77777777" w:rsidR="00951F81" w:rsidRDefault="00951F81" w:rsidP="00951F81">
      <w:pPr>
        <w:tabs>
          <w:tab w:val="clear" w:pos="567"/>
        </w:tabs>
      </w:pPr>
    </w:p>
    <w:p w14:paraId="2155FDD0" w14:textId="77777777" w:rsidR="00951F81" w:rsidRDefault="00951F81" w:rsidP="00951F81">
      <w:pPr>
        <w:tabs>
          <w:tab w:val="clear" w:pos="567"/>
        </w:tabs>
      </w:pPr>
    </w:p>
    <w:p w14:paraId="2155FDD2" w14:textId="77777777" w:rsidR="00951F81" w:rsidRDefault="007079D3" w:rsidP="00951F81">
      <w:pPr>
        <w:keepNext/>
        <w:tabs>
          <w:tab w:val="clear" w:pos="567"/>
        </w:tabs>
        <w:ind w:left="567" w:hanging="567"/>
        <w:rPr>
          <w:b/>
        </w:rPr>
      </w:pPr>
      <w:r>
        <w:rPr>
          <w:b/>
        </w:rPr>
        <w:t>3.</w:t>
      </w:r>
      <w:r>
        <w:rPr>
          <w:b/>
        </w:rPr>
        <w:tab/>
        <w:t xml:space="preserve">Πώς να χρησιμοποιήσετε το </w:t>
      </w:r>
      <w:r w:rsidR="00A8242A" w:rsidRPr="00A8242A">
        <w:rPr>
          <w:b/>
        </w:rPr>
        <w:t>Kefdensis</w:t>
      </w:r>
    </w:p>
    <w:p w14:paraId="2155FDD3" w14:textId="77777777" w:rsidR="00951F81" w:rsidRDefault="00951F81" w:rsidP="00951F81">
      <w:pPr>
        <w:keepNext/>
      </w:pPr>
    </w:p>
    <w:p w14:paraId="2155FDD4" w14:textId="01FC941E" w:rsidR="00951F81" w:rsidRDefault="007079D3" w:rsidP="00951F81">
      <w:pPr>
        <w:tabs>
          <w:tab w:val="clear" w:pos="567"/>
        </w:tabs>
      </w:pPr>
      <w:r>
        <w:t xml:space="preserve">Η συνιστώμενη δόση είναι μία προγεμισμένη σύριγγα των 60 mg χορηγούμενη μια φορά </w:t>
      </w:r>
      <w:r w:rsidR="002F4BEF">
        <w:t xml:space="preserve">κάθε </w:t>
      </w:r>
      <w:r>
        <w:t xml:space="preserve">6 μήνες με εφάπαξ υποδόρια ένεση (κάτω από το δέρμα). Τα καλύτερα σημεία για να κάνετε ένεση είναι το επάνω μέρος των μηρών σας και η κοιλιακή χώρα. Αν σας κάνει την ένεση κάποιος άλλος μπορεί επίσης να χρησιμοποιήσει την εξωτερική πλευρά των μπράτσων σας. Συμβουλευτείτε τον γιατρό σας σχετικά με την ημερομηνία για μια πιθανή επόμενη ένεση. </w:t>
      </w:r>
    </w:p>
    <w:p w14:paraId="2155FDD5" w14:textId="77777777" w:rsidR="00951F81" w:rsidRDefault="00951F81" w:rsidP="00951F81">
      <w:pPr>
        <w:tabs>
          <w:tab w:val="clear" w:pos="567"/>
        </w:tabs>
      </w:pPr>
    </w:p>
    <w:p w14:paraId="2155FDD6" w14:textId="51CAF121" w:rsidR="00951F81" w:rsidRDefault="007079D3" w:rsidP="00951F81">
      <w:pPr>
        <w:tabs>
          <w:tab w:val="clear" w:pos="567"/>
        </w:tabs>
      </w:pPr>
      <w:r>
        <w:t xml:space="preserve">Θα πρέπει επίσης να λαμβάνετε συμπληρώματα ασβεστίου και βιταμίνης D για όσο διάστημα παίρνετε </w:t>
      </w:r>
      <w:r w:rsidR="007A4BFC">
        <w:t>Kefdensis</w:t>
      </w:r>
      <w:r>
        <w:t xml:space="preserve">. </w:t>
      </w:r>
      <w:r w:rsidR="002F4BEF" w:rsidRPr="009608F1">
        <w:t>Ο γιατρός σας θα το συζητήσει αυτό μαζί σας</w:t>
      </w:r>
      <w:r w:rsidR="002F4BEF">
        <w:t>.</w:t>
      </w:r>
    </w:p>
    <w:p w14:paraId="2155FDD7" w14:textId="77777777" w:rsidR="00951F81" w:rsidRDefault="00951F81" w:rsidP="00951F81">
      <w:pPr>
        <w:tabs>
          <w:tab w:val="clear" w:pos="567"/>
        </w:tabs>
      </w:pPr>
    </w:p>
    <w:p w14:paraId="2155FDD8" w14:textId="77777777" w:rsidR="00951F81" w:rsidRDefault="007079D3" w:rsidP="00951F81">
      <w:pPr>
        <w:tabs>
          <w:tab w:val="clear" w:pos="567"/>
        </w:tabs>
      </w:pPr>
      <w:r>
        <w:t xml:space="preserve">Ο γιατρός σας ενδέχεται να αποφασίσει ότι θα ήταν καλύτερο να κάνετε την ένεση του </w:t>
      </w:r>
      <w:r w:rsidR="00A8242A">
        <w:t xml:space="preserve">Kefdensis </w:t>
      </w:r>
      <w:r>
        <w:t xml:space="preserve">εσείς οι ίδιοι ή το άτομο που σας φροντίζει. Ο γιατρός ή κάποιος επαγγελματίας υγείας θα δείξουν σε σας ή στο άτομο που σας φροντίζει πώς να κάνετε την ένεση του </w:t>
      </w:r>
      <w:r w:rsidR="00A8242A">
        <w:t>Kefdensis</w:t>
      </w:r>
      <w:r>
        <w:t xml:space="preserve">. Για περισσότερες οδηγίες σχετικά με την ένεση του </w:t>
      </w:r>
      <w:r w:rsidR="00A8242A">
        <w:t>Kefdensis</w:t>
      </w:r>
      <w:r>
        <w:t>, διαβάστε τη σχετική ενότητα στο τέλος του παρόντος φύλλου οδηγιών.</w:t>
      </w:r>
    </w:p>
    <w:p w14:paraId="2155FDD9" w14:textId="77777777" w:rsidR="00951F81" w:rsidRDefault="00951F81" w:rsidP="00951F81">
      <w:pPr>
        <w:tabs>
          <w:tab w:val="clear" w:pos="567"/>
        </w:tabs>
      </w:pPr>
    </w:p>
    <w:p w14:paraId="2155FDDA" w14:textId="77777777" w:rsidR="00951F81" w:rsidRDefault="007079D3" w:rsidP="00951F81">
      <w:pPr>
        <w:tabs>
          <w:tab w:val="clear" w:pos="567"/>
        </w:tabs>
      </w:pPr>
      <w:r>
        <w:t>Μην ανακινείτε.</w:t>
      </w:r>
    </w:p>
    <w:p w14:paraId="2155FDDB" w14:textId="77777777" w:rsidR="00951F81" w:rsidRDefault="00951F81" w:rsidP="00951F81">
      <w:pPr>
        <w:tabs>
          <w:tab w:val="clear" w:pos="567"/>
        </w:tabs>
      </w:pPr>
    </w:p>
    <w:p w14:paraId="2155FDDC" w14:textId="71915B99" w:rsidR="00951F81" w:rsidRDefault="007079D3" w:rsidP="00951F81">
      <w:pPr>
        <w:keepNext/>
        <w:tabs>
          <w:tab w:val="clear" w:pos="567"/>
        </w:tabs>
        <w:rPr>
          <w:b/>
          <w:bCs/>
        </w:rPr>
      </w:pPr>
      <w:r>
        <w:rPr>
          <w:b/>
        </w:rPr>
        <w:t xml:space="preserve">Εάν ξεχάσετε να </w:t>
      </w:r>
      <w:r w:rsidR="002F4BEF">
        <w:rPr>
          <w:b/>
        </w:rPr>
        <w:t>χρησιμοποιήσετε το</w:t>
      </w:r>
      <w:r>
        <w:rPr>
          <w:b/>
        </w:rPr>
        <w:t xml:space="preserve"> </w:t>
      </w:r>
      <w:r w:rsidR="00A8242A" w:rsidRPr="00A8242A">
        <w:rPr>
          <w:b/>
        </w:rPr>
        <w:t>Kefdensis</w:t>
      </w:r>
    </w:p>
    <w:p w14:paraId="2155FDDD" w14:textId="77777777" w:rsidR="00951F81" w:rsidRDefault="00951F81" w:rsidP="00951F81">
      <w:pPr>
        <w:keepNext/>
      </w:pPr>
    </w:p>
    <w:p w14:paraId="2155FDDE" w14:textId="77777777" w:rsidR="00951F81" w:rsidRDefault="007079D3" w:rsidP="00951F81">
      <w:pPr>
        <w:tabs>
          <w:tab w:val="clear" w:pos="567"/>
        </w:tabs>
      </w:pPr>
      <w:r>
        <w:t xml:space="preserve">Eάν ξεχάσετε κάποια δόση του </w:t>
      </w:r>
      <w:r w:rsidR="00A8242A">
        <w:t>Kefdensis</w:t>
      </w:r>
      <w:r>
        <w:t>, η ένεση πρέπει να γίνει το συντομότερο δυνατό. Στη συνέχεια, οι ενέσεις πρέπει να προγραμματίζονται κάθε 6 μήνες από την ημερομηνία της τελευταίας ένεσης.</w:t>
      </w:r>
    </w:p>
    <w:p w14:paraId="2155FDDF" w14:textId="77777777" w:rsidR="00951F81" w:rsidRDefault="00951F81" w:rsidP="00951F81">
      <w:pPr>
        <w:tabs>
          <w:tab w:val="clear" w:pos="567"/>
        </w:tabs>
      </w:pPr>
    </w:p>
    <w:p w14:paraId="2155FDE0" w14:textId="77777777" w:rsidR="00951F81" w:rsidRDefault="007079D3" w:rsidP="00951F81">
      <w:pPr>
        <w:keepNext/>
        <w:tabs>
          <w:tab w:val="clear" w:pos="567"/>
        </w:tabs>
        <w:rPr>
          <w:b/>
          <w:bCs/>
        </w:rPr>
      </w:pPr>
      <w:r>
        <w:rPr>
          <w:b/>
        </w:rPr>
        <w:t xml:space="preserve">Εάν σταματήσετε να χρησιμοποιείτε το </w:t>
      </w:r>
      <w:r w:rsidR="00A8242A" w:rsidRPr="00A8242A">
        <w:rPr>
          <w:b/>
        </w:rPr>
        <w:t>Kefdensis</w:t>
      </w:r>
    </w:p>
    <w:p w14:paraId="2155FDE1" w14:textId="77777777" w:rsidR="00951F81" w:rsidRDefault="00951F81" w:rsidP="00951F81">
      <w:pPr>
        <w:keepNext/>
      </w:pPr>
    </w:p>
    <w:p w14:paraId="2155FDE2" w14:textId="77777777" w:rsidR="00951F81" w:rsidRDefault="007079D3" w:rsidP="00951F81">
      <w:pPr>
        <w:tabs>
          <w:tab w:val="clear" w:pos="567"/>
        </w:tabs>
      </w:pPr>
      <w:r>
        <w:t xml:space="preserve">Για να αποκομίσετε το μεγαλύτερο δυνατό όφελος από τη θεραπεία σας στη μείωση του κινδύνου καταγμάτων, είναι σημαντικό να χρησιμοποιείτε το </w:t>
      </w:r>
      <w:r w:rsidR="00A8242A">
        <w:t xml:space="preserve">Kefdensis </w:t>
      </w:r>
      <w:r>
        <w:t>για όσο διάστημα σας το συνταγογραφεί ο γιατρός σας. Μην διακόψετε τη θεραπεία σας χωρίς να επικοινωνήσετε με τον γιατρό σας.</w:t>
      </w:r>
    </w:p>
    <w:p w14:paraId="2155FDE3" w14:textId="77777777" w:rsidR="00951F81" w:rsidRDefault="00951F81" w:rsidP="00951F81">
      <w:pPr>
        <w:tabs>
          <w:tab w:val="clear" w:pos="567"/>
        </w:tabs>
      </w:pPr>
    </w:p>
    <w:p w14:paraId="2155FDE4" w14:textId="77777777" w:rsidR="00951F81" w:rsidRDefault="00951F81" w:rsidP="00951F81">
      <w:pPr>
        <w:tabs>
          <w:tab w:val="clear" w:pos="567"/>
        </w:tabs>
      </w:pPr>
    </w:p>
    <w:p w14:paraId="2155FDE5" w14:textId="77777777" w:rsidR="00951F81" w:rsidRDefault="007079D3" w:rsidP="00951F81">
      <w:pPr>
        <w:keepNext/>
        <w:tabs>
          <w:tab w:val="clear" w:pos="567"/>
        </w:tabs>
        <w:ind w:left="567" w:hanging="567"/>
        <w:rPr>
          <w:b/>
        </w:rPr>
      </w:pPr>
      <w:r>
        <w:rPr>
          <w:b/>
        </w:rPr>
        <w:t>4.</w:t>
      </w:r>
      <w:r>
        <w:rPr>
          <w:b/>
        </w:rPr>
        <w:tab/>
        <w:t>Πιθανές ανεπιθύμητες ενέργειες</w:t>
      </w:r>
    </w:p>
    <w:p w14:paraId="2155FDE6" w14:textId="77777777" w:rsidR="00951F81" w:rsidRDefault="00951F81" w:rsidP="00951F81">
      <w:pPr>
        <w:keepNext/>
      </w:pPr>
    </w:p>
    <w:p w14:paraId="2155FDE7" w14:textId="77777777" w:rsidR="00951F81" w:rsidRDefault="007079D3" w:rsidP="00951F81">
      <w:pPr>
        <w:tabs>
          <w:tab w:val="clear" w:pos="567"/>
        </w:tabs>
      </w:pPr>
      <w: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2155FDE8" w14:textId="77777777" w:rsidR="00951F81" w:rsidRDefault="00951F81" w:rsidP="00951F81">
      <w:pPr>
        <w:tabs>
          <w:tab w:val="clear" w:pos="567"/>
        </w:tabs>
      </w:pPr>
    </w:p>
    <w:p w14:paraId="2155FDE9" w14:textId="2D5395BB" w:rsidR="00951F81" w:rsidRDefault="007079D3" w:rsidP="00951F81">
      <w:pPr>
        <w:tabs>
          <w:tab w:val="clear" w:pos="567"/>
        </w:tabs>
      </w:pPr>
      <w:r>
        <w:t xml:space="preserve">Όχι συχνά, ασθενείς που λαμβάνουν </w:t>
      </w:r>
      <w:r w:rsidR="00A050CB">
        <w:t>δενοσουμάμπη</w:t>
      </w:r>
      <w:r w:rsidR="00A8242A" w:rsidRPr="00A8242A">
        <w:t xml:space="preserve"> </w:t>
      </w:r>
      <w:r>
        <w:t xml:space="preserve">μπορεί να εμφανίσουν δερματικές λοιμώξεις (κυρίως κυτταρίτιδα). </w:t>
      </w:r>
      <w:r w:rsidR="001A6088" w:rsidRPr="002C0831">
        <w:rPr>
          <w:b/>
          <w:bCs/>
        </w:rPr>
        <w:t>Παρακαλείστε να ενημερώσετε</w:t>
      </w:r>
      <w:r w:rsidR="001A6088">
        <w:rPr>
          <w:b/>
          <w:bCs/>
        </w:rPr>
        <w:t xml:space="preserve"> </w:t>
      </w:r>
      <w:r>
        <w:rPr>
          <w:b/>
        </w:rPr>
        <w:t>τον γιατρό σας αμέσως</w:t>
      </w:r>
      <w:r>
        <w:t xml:space="preserve"> αν παρουσιάσετε κάποια από τα ακόλουθα συμπτώματα ενώ βρίσκεστε σε αγωγή με </w:t>
      </w:r>
      <w:r w:rsidR="00A8242A">
        <w:t>Kefdensis</w:t>
      </w:r>
      <w:r>
        <w:t>: ερυθρότητα και οίδημα του δέρματος, συχνότερα στην περιοχή του ποδιού, που συνοδεύεται από αίσθημα καύσου και ευαισθησία και πιθανόν από συμπτώματα πυρετού.</w:t>
      </w:r>
    </w:p>
    <w:p w14:paraId="2155FDEA" w14:textId="77777777" w:rsidR="00951F81" w:rsidRDefault="00951F81" w:rsidP="00951F81">
      <w:pPr>
        <w:tabs>
          <w:tab w:val="clear" w:pos="567"/>
        </w:tabs>
      </w:pPr>
    </w:p>
    <w:p w14:paraId="2155FDEB" w14:textId="7AA3EB7D" w:rsidR="00951F81" w:rsidRDefault="007079D3" w:rsidP="00951F81">
      <w:pPr>
        <w:tabs>
          <w:tab w:val="clear" w:pos="567"/>
        </w:tabs>
      </w:pPr>
      <w:r>
        <w:t xml:space="preserve">Σπανίως, ασθενείς που λαμβάνουν </w:t>
      </w:r>
      <w:r w:rsidR="00A050CB">
        <w:t>δενοσουμάμπη</w:t>
      </w:r>
      <w:r w:rsidR="00A8242A" w:rsidRPr="00A8242A">
        <w:t xml:space="preserve"> </w:t>
      </w:r>
      <w:r>
        <w:t xml:space="preserve">μπορούν να αναπτύξουν πόνο στο στόμα και/ή στη γνάθο, οίδημα ή μη επούλωση των πληγών στο στόμα ή στη γνάθο, έκκριση, μούδιασμα ή αίσθημα βάρους στη γνάθο, ή χαλάρωση ενός δοντιού. Αυτά μπορεί να είναι σημεία βλάβης του οστού στη γνάθο (οστεονέκρωση). </w:t>
      </w:r>
      <w:r>
        <w:rPr>
          <w:b/>
        </w:rPr>
        <w:t>Ενημερώστε τον γιατρό σας και τον οδοντίατρό σας αμέσως</w:t>
      </w:r>
      <w:r>
        <w:t xml:space="preserve"> εάν παρουσιάσετε τέτοια συμπτώματα ενόσω είστε σε θεραπεία με </w:t>
      </w:r>
      <w:r w:rsidR="00A8242A">
        <w:t>Kefdensis</w:t>
      </w:r>
      <w:r w:rsidR="00A8242A" w:rsidRPr="00442125">
        <w:t xml:space="preserve"> </w:t>
      </w:r>
      <w:r>
        <w:t>ή μετά τη διακοπή της θεραπείας σας.</w:t>
      </w:r>
    </w:p>
    <w:p w14:paraId="2155FDEC" w14:textId="77777777" w:rsidR="00951F81" w:rsidRDefault="00951F81" w:rsidP="00951F81">
      <w:pPr>
        <w:tabs>
          <w:tab w:val="clear" w:pos="567"/>
        </w:tabs>
      </w:pPr>
    </w:p>
    <w:p w14:paraId="2155FDED" w14:textId="7D8E2254" w:rsidR="00951F81" w:rsidRDefault="007079D3" w:rsidP="00951F81">
      <w:pPr>
        <w:tabs>
          <w:tab w:val="clear" w:pos="567"/>
        </w:tabs>
      </w:pPr>
      <w:r>
        <w:t xml:space="preserve">Σπανίως, ασθενείς που λαμβάνουν </w:t>
      </w:r>
      <w:r w:rsidR="00A050CB">
        <w:t>δενοσουμάμπη</w:t>
      </w:r>
      <w:r w:rsidR="00A8242A" w:rsidRPr="00A8242A">
        <w:t xml:space="preserve"> </w:t>
      </w:r>
      <w:r>
        <w:t xml:space="preserve">μπορούν να έχουν χαμηλά επίπεδα ασβεστίου στο αίμα (υπασβεστιαιμία). Τα εξαιρετικά χαμηλά επίπεδα ασβεστίου μπορεί να οδηγήσουν σε εισαγωγή στο νοσοκομείο και μπορεί να είναι ακόμα και απειλητικά για τη ζωή. Συμπτώματα περιλαμβάνουν σπασμούς, συσπάσεις ή κράμπες στους μύες σας και/ή μουδίασμα ή μυρμήγκιασμα στα δάχτυλα των χεριών, των ποδιών σας ή γύρω από το στόμα σας και/ή επιληπτικές κρίσεις, σύγχυση, ή απώλεια συνείδησης. Εάν κάποιο από αυτά ισχύει για εσάς, </w:t>
      </w:r>
      <w:r>
        <w:rPr>
          <w:b/>
        </w:rPr>
        <w:t>ενημερώστε τον γιατρό σας αμέσως</w:t>
      </w:r>
      <w:r>
        <w:t>. Τα χαμηλά επίπεδα ασβεστίου στο αίμα μπορεί επίσης να οδηγήσουν σε μια αλλαγή του καρδιακού ρυθμού που ονομάζεται παράταση του διαστήματος QT, η οποία φαίνεται στο ηλεκτροκαρδιογράφημα (ΗΚΓ).</w:t>
      </w:r>
    </w:p>
    <w:p w14:paraId="2155FDEE" w14:textId="77777777" w:rsidR="00951F81" w:rsidRDefault="00951F81" w:rsidP="00951F81">
      <w:pPr>
        <w:tabs>
          <w:tab w:val="clear" w:pos="567"/>
        </w:tabs>
      </w:pPr>
    </w:p>
    <w:p w14:paraId="2155FDEF" w14:textId="50C7DD89" w:rsidR="00951F81" w:rsidRDefault="007079D3" w:rsidP="00951F81">
      <w:pPr>
        <w:tabs>
          <w:tab w:val="clear" w:pos="567"/>
        </w:tabs>
      </w:pPr>
      <w:r>
        <w:t xml:space="preserve">Σπάνια ασυνήθιστα κατάγματα του μηριαίου οστού μπορεί να εμφανιστούν σε ασθενείς που λαμβάνουν </w:t>
      </w:r>
      <w:r w:rsidR="00A050CB">
        <w:t>δενοσουμάμπη</w:t>
      </w:r>
      <w:r>
        <w:t xml:space="preserve">. </w:t>
      </w:r>
      <w:r>
        <w:rPr>
          <w:b/>
        </w:rPr>
        <w:t>Επικοινωνήστε με το</w:t>
      </w:r>
      <w:r w:rsidR="001A6088">
        <w:rPr>
          <w:b/>
        </w:rPr>
        <w:t>ν</w:t>
      </w:r>
      <w:r>
        <w:rPr>
          <w:b/>
        </w:rPr>
        <w:t xml:space="preserve"> γιατρό σας</w:t>
      </w:r>
      <w:r>
        <w:t xml:space="preserve"> εάν εμφανίσετε νέο ή ασυνήθιστο πόνο στο ισχίο, στη βουβωνική χώρα ή στο μηρό, καθώς αυτό μπορεί να αποτελεί πρόωρη ένδειξη ενός πιθανού κατάγματος του μηριαίου οστού.</w:t>
      </w:r>
    </w:p>
    <w:p w14:paraId="2155FDF0" w14:textId="77777777" w:rsidR="00951F81" w:rsidRDefault="00951F81" w:rsidP="00951F81">
      <w:pPr>
        <w:tabs>
          <w:tab w:val="clear" w:pos="567"/>
        </w:tabs>
      </w:pPr>
    </w:p>
    <w:p w14:paraId="2155FDF1" w14:textId="4A696134" w:rsidR="00951F81" w:rsidRDefault="007079D3" w:rsidP="00951F81">
      <w:pPr>
        <w:tabs>
          <w:tab w:val="clear" w:pos="567"/>
        </w:tabs>
      </w:pPr>
      <w:r>
        <w:t xml:space="preserve">Σπάνια, μπορεί να εμφανιστούν αλλεργικές αντιδράσεις σε ασθενείς που λαμβάνουν </w:t>
      </w:r>
      <w:r w:rsidR="00A050CB">
        <w:t>δενοσουμάμπη</w:t>
      </w:r>
      <w:r>
        <w:t xml:space="preserve">. Τα συμπτώματα περιλαμβάνουν οίδημα προσώπου, των χειλιών, της γλώσσας, του λαιμού ή άλλων τμημάτων του σώματος. Εξάνθημα, κνησμό ή κνίδωση στο δέρμα, συριγμό ή δυσκολία στην αναπνοή. </w:t>
      </w:r>
      <w:r w:rsidR="001A6088">
        <w:rPr>
          <w:b/>
        </w:rPr>
        <w:t xml:space="preserve">Παρακαλείστε </w:t>
      </w:r>
      <w:r>
        <w:rPr>
          <w:b/>
        </w:rPr>
        <w:t>να ενημερώσετε το</w:t>
      </w:r>
      <w:r w:rsidR="001A6088">
        <w:rPr>
          <w:b/>
        </w:rPr>
        <w:t>ν</w:t>
      </w:r>
      <w:r>
        <w:rPr>
          <w:b/>
        </w:rPr>
        <w:t xml:space="preserve"> γιατρό σας</w:t>
      </w:r>
      <w:r>
        <w:t xml:space="preserve"> εάν εμφανίσετε οποιοδήποτε από αυτά τα συμπτώματα ενώ είστε υπό θεραπεία με </w:t>
      </w:r>
      <w:r w:rsidR="00A8242A">
        <w:t>Kefdensis</w:t>
      </w:r>
      <w:r>
        <w:t>.</w:t>
      </w:r>
    </w:p>
    <w:p w14:paraId="2155FDF2" w14:textId="77777777" w:rsidR="00951F81" w:rsidRDefault="00951F81" w:rsidP="00951F81">
      <w:pPr>
        <w:tabs>
          <w:tab w:val="clear" w:pos="567"/>
        </w:tabs>
      </w:pPr>
    </w:p>
    <w:p w14:paraId="2155FDF3" w14:textId="77777777" w:rsidR="00951F81" w:rsidRDefault="007079D3" w:rsidP="00951F81">
      <w:pPr>
        <w:keepNext/>
      </w:pPr>
      <w:r>
        <w:rPr>
          <w:b/>
        </w:rPr>
        <w:t xml:space="preserve">Πολύ συχνές ανεπιθύμητες ενέργειες </w:t>
      </w:r>
      <w:r>
        <w:t>(μπορούν να επηρεάζουν περισσότερους από 1 στους 10 ανθρώπους):</w:t>
      </w:r>
    </w:p>
    <w:p w14:paraId="2155FDF5" w14:textId="77777777" w:rsidR="00951F81" w:rsidRDefault="007079D3" w:rsidP="00951F81">
      <w:pPr>
        <w:numPr>
          <w:ilvl w:val="0"/>
          <w:numId w:val="54"/>
        </w:numPr>
        <w:tabs>
          <w:tab w:val="clear" w:pos="567"/>
        </w:tabs>
        <w:ind w:left="567" w:hanging="567"/>
      </w:pPr>
      <w:r>
        <w:t>πόνος στα οστά, στις αρθρώσεις, και/ή μυϊκός πόνος που κάποιες φορές είναι έντονος,</w:t>
      </w:r>
    </w:p>
    <w:p w14:paraId="2155FDF6" w14:textId="77777777" w:rsidR="00951F81" w:rsidRDefault="007079D3" w:rsidP="00951F81">
      <w:pPr>
        <w:numPr>
          <w:ilvl w:val="0"/>
          <w:numId w:val="54"/>
        </w:numPr>
        <w:tabs>
          <w:tab w:val="clear" w:pos="567"/>
        </w:tabs>
        <w:ind w:left="567" w:hanging="567"/>
      </w:pPr>
      <w:r>
        <w:t>πόνος στα χέρια ή τα πόδια (πόνος στα άκρα).</w:t>
      </w:r>
    </w:p>
    <w:p w14:paraId="2155FDF7" w14:textId="77777777" w:rsidR="00951F81" w:rsidRDefault="00951F81" w:rsidP="00951F81">
      <w:pPr>
        <w:numPr>
          <w:ilvl w:val="12"/>
          <w:numId w:val="0"/>
        </w:numPr>
        <w:ind w:right="-2"/>
      </w:pPr>
    </w:p>
    <w:p w14:paraId="2155FDF8" w14:textId="77777777" w:rsidR="00951F81" w:rsidRDefault="007079D3" w:rsidP="00951F81">
      <w:pPr>
        <w:keepNext/>
      </w:pPr>
      <w:r>
        <w:rPr>
          <w:b/>
        </w:rPr>
        <w:t xml:space="preserve">Συχνές ανεπιθύμητες ενέργειες </w:t>
      </w:r>
      <w:r>
        <w:t>(μπορούν να επηρεάζουν έως 1 στους 10 ανθρώπους):</w:t>
      </w:r>
    </w:p>
    <w:p w14:paraId="2155FDFA" w14:textId="77777777" w:rsidR="00951F81" w:rsidRDefault="007079D3" w:rsidP="00951F81">
      <w:pPr>
        <w:numPr>
          <w:ilvl w:val="0"/>
          <w:numId w:val="54"/>
        </w:numPr>
        <w:tabs>
          <w:tab w:val="clear" w:pos="567"/>
        </w:tabs>
        <w:ind w:left="567" w:hanging="567"/>
      </w:pPr>
      <w:r>
        <w:t>επώδυνη ούρηση, συχνή ούρηση, αίμα στα ούρα, αδυναμία συγκράτησης των ούρων,</w:t>
      </w:r>
    </w:p>
    <w:p w14:paraId="2155FDFB" w14:textId="77777777" w:rsidR="00951F81" w:rsidRDefault="007079D3" w:rsidP="00951F81">
      <w:pPr>
        <w:numPr>
          <w:ilvl w:val="0"/>
          <w:numId w:val="54"/>
        </w:numPr>
        <w:tabs>
          <w:tab w:val="clear" w:pos="567"/>
        </w:tabs>
        <w:ind w:left="567" w:hanging="567"/>
      </w:pPr>
      <w:r>
        <w:t>λοίμωξη του ανώτερου αναπνευστικού συστήματος,</w:t>
      </w:r>
    </w:p>
    <w:p w14:paraId="2155FDFC" w14:textId="77777777" w:rsidR="00951F81" w:rsidRDefault="007079D3" w:rsidP="00951F81">
      <w:pPr>
        <w:numPr>
          <w:ilvl w:val="0"/>
          <w:numId w:val="54"/>
        </w:numPr>
        <w:tabs>
          <w:tab w:val="clear" w:pos="567"/>
        </w:tabs>
        <w:ind w:left="567" w:hanging="567"/>
      </w:pPr>
      <w:r>
        <w:t>πόνος, αίσθημα μυρμηκίασης ή μούδιασμα που φτάνει μέχρι χαμηλά στο πόδι σας (ισχιαλγία),</w:t>
      </w:r>
    </w:p>
    <w:p w14:paraId="2155FDFD" w14:textId="77777777" w:rsidR="00951F81" w:rsidRDefault="007079D3" w:rsidP="00951F81">
      <w:pPr>
        <w:numPr>
          <w:ilvl w:val="0"/>
          <w:numId w:val="54"/>
        </w:numPr>
        <w:tabs>
          <w:tab w:val="clear" w:pos="567"/>
        </w:tabs>
        <w:ind w:left="567" w:hanging="567"/>
      </w:pPr>
      <w:r>
        <w:t>δυσκοιλιότητα,</w:t>
      </w:r>
    </w:p>
    <w:p w14:paraId="2155FDFE" w14:textId="77777777" w:rsidR="00951F81" w:rsidRDefault="007079D3" w:rsidP="00951F81">
      <w:pPr>
        <w:numPr>
          <w:ilvl w:val="0"/>
          <w:numId w:val="54"/>
        </w:numPr>
        <w:tabs>
          <w:tab w:val="clear" w:pos="567"/>
        </w:tabs>
        <w:ind w:left="567" w:hanging="567"/>
      </w:pPr>
      <w:r>
        <w:t>δυσφορία στην κοιλιά,</w:t>
      </w:r>
    </w:p>
    <w:p w14:paraId="2155FDFF" w14:textId="77777777" w:rsidR="00951F81" w:rsidRDefault="007079D3" w:rsidP="00951F81">
      <w:pPr>
        <w:numPr>
          <w:ilvl w:val="0"/>
          <w:numId w:val="54"/>
        </w:numPr>
        <w:tabs>
          <w:tab w:val="clear" w:pos="567"/>
        </w:tabs>
        <w:ind w:left="567" w:hanging="567"/>
      </w:pPr>
      <w:r>
        <w:t>εξάνθημα,</w:t>
      </w:r>
    </w:p>
    <w:p w14:paraId="2155FE00" w14:textId="77777777" w:rsidR="00951F81" w:rsidRDefault="007079D3" w:rsidP="00951F81">
      <w:pPr>
        <w:numPr>
          <w:ilvl w:val="0"/>
          <w:numId w:val="54"/>
        </w:numPr>
        <w:tabs>
          <w:tab w:val="clear" w:pos="567"/>
        </w:tabs>
        <w:ind w:left="567" w:hanging="567"/>
      </w:pPr>
      <w:r>
        <w:t>δερματοπάθεια που χαρακτηρίζεται από φαγούρα, ερυθρότητα και/ή ξηρότητα (έκζεμα),</w:t>
      </w:r>
    </w:p>
    <w:p w14:paraId="2155FE01" w14:textId="77777777" w:rsidR="00951F81" w:rsidRDefault="007079D3" w:rsidP="00951F81">
      <w:pPr>
        <w:numPr>
          <w:ilvl w:val="0"/>
          <w:numId w:val="54"/>
        </w:numPr>
        <w:tabs>
          <w:tab w:val="clear" w:pos="567"/>
        </w:tabs>
        <w:ind w:left="567" w:hanging="567"/>
      </w:pPr>
      <w:r>
        <w:t>τριχόπτωση (αλωπεκία).</w:t>
      </w:r>
    </w:p>
    <w:p w14:paraId="2155FE02" w14:textId="77777777" w:rsidR="00951F81" w:rsidRDefault="00951F81" w:rsidP="00951F81">
      <w:pPr>
        <w:pStyle w:val="lbltxt"/>
        <w:rPr>
          <w:b/>
          <w:noProof w:val="0"/>
          <w:szCs w:val="22"/>
        </w:rPr>
      </w:pPr>
    </w:p>
    <w:p w14:paraId="2155FE03" w14:textId="77777777" w:rsidR="00951F81" w:rsidRDefault="007079D3" w:rsidP="00951F81">
      <w:pPr>
        <w:keepNext/>
      </w:pPr>
      <w:r>
        <w:rPr>
          <w:b/>
        </w:rPr>
        <w:t xml:space="preserve">Όχι συχνές ανεπιθύμητες ενέργειες </w:t>
      </w:r>
      <w:r>
        <w:t>(μπορούν να επηρεάζουν έως 1 στους 100 ανθρώπους):</w:t>
      </w:r>
    </w:p>
    <w:p w14:paraId="2155FE05" w14:textId="77777777" w:rsidR="00951F81" w:rsidRDefault="007079D3" w:rsidP="00951F81">
      <w:pPr>
        <w:numPr>
          <w:ilvl w:val="0"/>
          <w:numId w:val="54"/>
        </w:numPr>
        <w:tabs>
          <w:tab w:val="clear" w:pos="567"/>
        </w:tabs>
        <w:ind w:left="567" w:hanging="567"/>
      </w:pPr>
      <w:r>
        <w:t>πυρετός, έμετος και κοιλιακό άλγος ή δυσφορία (εκκολπωματίτιδα),</w:t>
      </w:r>
    </w:p>
    <w:p w14:paraId="2155FE06" w14:textId="77777777" w:rsidR="00951F81" w:rsidRDefault="007079D3" w:rsidP="00951F81">
      <w:pPr>
        <w:numPr>
          <w:ilvl w:val="0"/>
          <w:numId w:val="54"/>
        </w:numPr>
        <w:tabs>
          <w:tab w:val="clear" w:pos="567"/>
        </w:tabs>
        <w:ind w:left="567" w:hanging="567"/>
      </w:pPr>
      <w:r>
        <w:t>λοίμωξη του ωτός,</w:t>
      </w:r>
    </w:p>
    <w:p w14:paraId="2155FE07" w14:textId="77777777" w:rsidR="00951F81" w:rsidRDefault="007079D3" w:rsidP="00951F81">
      <w:pPr>
        <w:numPr>
          <w:ilvl w:val="0"/>
          <w:numId w:val="54"/>
        </w:numPr>
        <w:tabs>
          <w:tab w:val="clear" w:pos="567"/>
        </w:tabs>
        <w:ind w:left="567" w:hanging="567"/>
      </w:pPr>
      <w:r>
        <w:t>εξάνθημα που ενδέχεται να εμφανιστεί στο δέρμα ή έλκη στο στόμα (λειχηνοειδή φαρμακευτικά εξανθήματα).</w:t>
      </w:r>
    </w:p>
    <w:p w14:paraId="2155FE08" w14:textId="77777777" w:rsidR="00951F81" w:rsidRDefault="00951F81" w:rsidP="00951F81"/>
    <w:p w14:paraId="2155FE09" w14:textId="77777777" w:rsidR="00951F81" w:rsidRDefault="007079D3" w:rsidP="00951F81">
      <w:pPr>
        <w:keepNext/>
      </w:pPr>
      <w:r>
        <w:rPr>
          <w:b/>
        </w:rPr>
        <w:t>Πολύ σπάνιες ανεπιθύμητες ενέργειες</w:t>
      </w:r>
      <w:r>
        <w:t xml:space="preserve"> (μπορούν να επηρεάζουν έως 1 στους 10.000 ανθρώπους):</w:t>
      </w:r>
    </w:p>
    <w:p w14:paraId="2155FE0B" w14:textId="77777777" w:rsidR="00951F81" w:rsidRDefault="007079D3" w:rsidP="00951F81">
      <w:pPr>
        <w:numPr>
          <w:ilvl w:val="0"/>
          <w:numId w:val="54"/>
        </w:numPr>
        <w:tabs>
          <w:tab w:val="clear" w:pos="567"/>
        </w:tabs>
        <w:ind w:left="567" w:hanging="567"/>
      </w:pPr>
      <w:r>
        <w:t>αλλεργική αντίδραση που μπορεί να προκαλέσει βλάβη στα αιμοφόρα αγγεία κυρίως του δέρματος (π.χ. πορφυρές ή καφεκόκκινες κηλίδες, κνίδωση ή δερματικά έλκη) (αγγειίτιδα από υπερευαισθησία).</w:t>
      </w:r>
    </w:p>
    <w:p w14:paraId="2155FE0C" w14:textId="77777777" w:rsidR="00951F81" w:rsidRDefault="00951F81" w:rsidP="00951F81"/>
    <w:p w14:paraId="2155FE0D" w14:textId="740CA0A1" w:rsidR="00951F81" w:rsidRDefault="007079D3" w:rsidP="00951F81">
      <w:pPr>
        <w:keepNext/>
      </w:pPr>
      <w:r>
        <w:rPr>
          <w:b/>
        </w:rPr>
        <w:t xml:space="preserve">Μη </w:t>
      </w:r>
      <w:r w:rsidR="001A6088">
        <w:rPr>
          <w:b/>
        </w:rPr>
        <w:t>γνωστής συχνότητας</w:t>
      </w:r>
      <w:r w:rsidR="001A6088" w:rsidRPr="0037331B">
        <w:rPr>
          <w:b/>
        </w:rPr>
        <w:t xml:space="preserve"> </w:t>
      </w:r>
      <w:r>
        <w:t>(η συχνότητά τους δεν μπορεί να εκτιμηθεί με βάση τα διαθέσιμα δεδομένα):</w:t>
      </w:r>
    </w:p>
    <w:p w14:paraId="2155FE0F" w14:textId="77777777" w:rsidR="00951F81" w:rsidRDefault="007079D3" w:rsidP="00951F81">
      <w:pPr>
        <w:numPr>
          <w:ilvl w:val="0"/>
          <w:numId w:val="54"/>
        </w:numPr>
        <w:tabs>
          <w:tab w:val="clear" w:pos="567"/>
        </w:tabs>
        <w:ind w:left="567" w:hanging="567"/>
      </w:pPr>
      <w:r>
        <w:t>ενημερώστε τον γιατρό σας εάν έχετε πόνο στο αυτί, έκκριση από το αυτί και/ή λοίμωξη στο αυτί. Αυτά μπορεί να είναι σημάδια οστικής βλάβης στο αυτί.</w:t>
      </w:r>
    </w:p>
    <w:p w14:paraId="2155FE10" w14:textId="77777777" w:rsidR="00951F81" w:rsidRDefault="00951F81" w:rsidP="00951F81"/>
    <w:p w14:paraId="2155FE11" w14:textId="77777777" w:rsidR="00951F81" w:rsidRDefault="007079D3" w:rsidP="00951F81">
      <w:pPr>
        <w:keepNext/>
        <w:tabs>
          <w:tab w:val="clear" w:pos="567"/>
        </w:tabs>
        <w:rPr>
          <w:b/>
          <w:bCs/>
        </w:rPr>
      </w:pPr>
      <w:r>
        <w:rPr>
          <w:b/>
        </w:rPr>
        <w:t>Αναφορά ανεπιθύμητων ενεργειών</w:t>
      </w:r>
    </w:p>
    <w:p w14:paraId="2155FE12" w14:textId="77777777" w:rsidR="00951F81" w:rsidRDefault="00951F81" w:rsidP="00951F81">
      <w:pPr>
        <w:keepNext/>
      </w:pPr>
    </w:p>
    <w:p w14:paraId="2155FE13" w14:textId="7638BB63" w:rsidR="00951F81" w:rsidRDefault="007079D3" w:rsidP="00951F81">
      <w:pPr>
        <w:tabs>
          <w:tab w:val="clear" w:pos="567"/>
        </w:tabs>
      </w:pPr>
      <w:r>
        <w:t>Εάν παρατηρήσετε κάποια ανεπιθύμητη ενέργεια, ενημερώστε τον γιατρό</w:t>
      </w:r>
      <w:r w:rsidR="00A8242A">
        <w:t>,</w:t>
      </w:r>
      <w:r>
        <w:t xml:space="preserve"> τον φαρμακοποιό </w:t>
      </w:r>
      <w:r w:rsidR="00A8242A">
        <w:t>σας ή το</w:t>
      </w:r>
      <w:r w:rsidR="00330FE0">
        <w:t>ν/την</w:t>
      </w:r>
      <w:r w:rsidR="00A8242A">
        <w:t xml:space="preserve"> </w:t>
      </w:r>
      <w:r w:rsidR="001D45E4">
        <w:t xml:space="preserve">νοσοκόμο </w:t>
      </w:r>
      <w:r w:rsidR="00A8242A">
        <w:t>σας</w:t>
      </w:r>
      <w:r>
        <w:t>.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w:t>
      </w:r>
      <w:r w:rsidRPr="00FA2450">
        <w:t xml:space="preserve"> </w:t>
      </w:r>
      <w:r>
        <w:rPr>
          <w:highlight w:val="lightGray"/>
        </w:rPr>
        <w:t xml:space="preserve">του εθνικού συστήματος αναφοράς που αναγράφεται στο </w:t>
      </w:r>
      <w:hyperlink r:id="rId17" w:history="1">
        <w:r w:rsidR="00951F81">
          <w:rPr>
            <w:rStyle w:val="Hyperlink"/>
            <w:highlight w:val="lightGray"/>
          </w:rPr>
          <w:t>Παράρτημα V</w:t>
        </w:r>
      </w:hyperlink>
      <w: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2155FE14" w14:textId="77777777" w:rsidR="00951F81" w:rsidRDefault="00951F81" w:rsidP="00951F81">
      <w:pPr>
        <w:tabs>
          <w:tab w:val="clear" w:pos="567"/>
        </w:tabs>
      </w:pPr>
    </w:p>
    <w:p w14:paraId="2155FE15" w14:textId="77777777" w:rsidR="00951F81" w:rsidRDefault="00951F81" w:rsidP="00951F81">
      <w:pPr>
        <w:tabs>
          <w:tab w:val="clear" w:pos="567"/>
        </w:tabs>
      </w:pPr>
    </w:p>
    <w:p w14:paraId="2155FE16" w14:textId="77777777" w:rsidR="00951F81" w:rsidRDefault="007079D3" w:rsidP="00951F81">
      <w:pPr>
        <w:keepNext/>
        <w:tabs>
          <w:tab w:val="clear" w:pos="567"/>
        </w:tabs>
        <w:ind w:left="567" w:hanging="567"/>
        <w:rPr>
          <w:b/>
        </w:rPr>
      </w:pPr>
      <w:r>
        <w:rPr>
          <w:b/>
        </w:rPr>
        <w:t>5.</w:t>
      </w:r>
      <w:r>
        <w:rPr>
          <w:b/>
        </w:rPr>
        <w:tab/>
        <w:t xml:space="preserve">Πώς να φυλάσσετε το </w:t>
      </w:r>
      <w:r w:rsidR="00A8242A">
        <w:rPr>
          <w:b/>
          <w:bCs/>
        </w:rPr>
        <w:t>Kefdensis</w:t>
      </w:r>
    </w:p>
    <w:p w14:paraId="2155FE17" w14:textId="77777777" w:rsidR="00951F81" w:rsidRDefault="00951F81" w:rsidP="00951F81">
      <w:pPr>
        <w:keepNext/>
      </w:pPr>
    </w:p>
    <w:p w14:paraId="2155FE18" w14:textId="77777777" w:rsidR="00951F81" w:rsidRDefault="007079D3" w:rsidP="00951F81">
      <w:pPr>
        <w:tabs>
          <w:tab w:val="clear" w:pos="567"/>
        </w:tabs>
      </w:pPr>
      <w:r>
        <w:t>Το φάρμακο αυτό πρέπει να φυλάσσεται σε μέρη που δεν το βλέπουν και δεν το φθάνουν τα παιδιά.</w:t>
      </w:r>
    </w:p>
    <w:p w14:paraId="2155FE19" w14:textId="77777777" w:rsidR="00951F81" w:rsidRDefault="00951F81" w:rsidP="00951F81">
      <w:pPr>
        <w:tabs>
          <w:tab w:val="clear" w:pos="567"/>
        </w:tabs>
      </w:pPr>
    </w:p>
    <w:p w14:paraId="2155FE1A" w14:textId="77777777" w:rsidR="00951F81" w:rsidRDefault="007079D3" w:rsidP="00951F81">
      <w:pPr>
        <w:tabs>
          <w:tab w:val="clear" w:pos="567"/>
        </w:tabs>
      </w:pPr>
      <w:r>
        <w:t>Να μη χρησιμοποιείτε αυτό το φάρμακο μετά την ημερομηνία λήξης που αναφέρεται στο κουτί και στην ετικέτα μετά το ΛΗΞΗ/EXP. Η ημερομηνία λήξης είναι η τελευταία ημέρα του μήνα που αναφέρεται εκεί.</w:t>
      </w:r>
    </w:p>
    <w:p w14:paraId="2155FE1B" w14:textId="77777777" w:rsidR="00951F81" w:rsidRDefault="00951F81" w:rsidP="00951F81">
      <w:pPr>
        <w:tabs>
          <w:tab w:val="clear" w:pos="567"/>
        </w:tabs>
      </w:pPr>
    </w:p>
    <w:p w14:paraId="2155FE1C" w14:textId="77777777" w:rsidR="00951F81" w:rsidRDefault="007079D3" w:rsidP="00951F81">
      <w:pPr>
        <w:tabs>
          <w:tab w:val="clear" w:pos="567"/>
        </w:tabs>
      </w:pPr>
      <w:r>
        <w:t>Φυλάσσετε σε ψυγείο (2°C – 8°C).</w:t>
      </w:r>
    </w:p>
    <w:p w14:paraId="2155FE1D" w14:textId="77777777" w:rsidR="00951F81" w:rsidRDefault="007079D3" w:rsidP="00951F81">
      <w:pPr>
        <w:tabs>
          <w:tab w:val="clear" w:pos="567"/>
        </w:tabs>
      </w:pPr>
      <w:r>
        <w:t>Μην καταψύχετε.</w:t>
      </w:r>
    </w:p>
    <w:p w14:paraId="2155FE1E" w14:textId="3C79442E" w:rsidR="00951F81" w:rsidRDefault="007079D3" w:rsidP="00951F81">
      <w:pPr>
        <w:tabs>
          <w:tab w:val="clear" w:pos="567"/>
        </w:tabs>
      </w:pPr>
      <w:r>
        <w:t xml:space="preserve">Κρατήστε την προγεμισμένη σύριγγα </w:t>
      </w:r>
      <w:r w:rsidR="00330FE0">
        <w:t>στο εξωτερικό κουτί</w:t>
      </w:r>
      <w:r>
        <w:t xml:space="preserve"> για να προστατεύεται από το φως.</w:t>
      </w:r>
    </w:p>
    <w:p w14:paraId="2155FE1F" w14:textId="77777777" w:rsidR="00951F81" w:rsidRDefault="00951F81" w:rsidP="00951F81">
      <w:pPr>
        <w:tabs>
          <w:tab w:val="clear" w:pos="567"/>
        </w:tabs>
      </w:pPr>
    </w:p>
    <w:p w14:paraId="2155FE20" w14:textId="2359D0F2" w:rsidR="00951F81" w:rsidRDefault="007079D3" w:rsidP="00951F81">
      <w:pPr>
        <w:tabs>
          <w:tab w:val="clear" w:pos="567"/>
        </w:tabs>
      </w:pPr>
      <w:r>
        <w:t xml:space="preserve">Μπορείτε να αφήσετε την προγεµισµένη σας σύριγγα εκτός ψυγείου μέχρι να φτάσει σε </w:t>
      </w:r>
      <w:r w:rsidR="00330FE0">
        <w:t>θερμοκρασία</w:t>
      </w:r>
      <w:r>
        <w:t xml:space="preserve"> </w:t>
      </w:r>
      <w:r w:rsidR="00330FE0">
        <w:t>δωματίου</w:t>
      </w:r>
      <w:r>
        <w:t xml:space="preserve"> (μέχρι 25°C) πριν από την ένεση. Έτσι η ένεση θα γίνει πιο άνετα. Όταν αφεθεί η σύριγγά σας να φτάσει σε </w:t>
      </w:r>
      <w:r w:rsidR="00330FE0">
        <w:t>θερμοκρασία</w:t>
      </w:r>
      <w:r>
        <w:t xml:space="preserve"> </w:t>
      </w:r>
      <w:r w:rsidR="00330FE0">
        <w:t>δωματίου</w:t>
      </w:r>
      <w:r>
        <w:t xml:space="preserve"> (μέχρι 25°C), θα πρέπει να χρησιμοποιηθεί μέσα σε 30 ημέρες.</w:t>
      </w:r>
    </w:p>
    <w:p w14:paraId="2155FE21" w14:textId="77777777" w:rsidR="00951F81" w:rsidRDefault="00951F81" w:rsidP="00951F81">
      <w:pPr>
        <w:tabs>
          <w:tab w:val="clear" w:pos="567"/>
        </w:tabs>
      </w:pPr>
    </w:p>
    <w:p w14:paraId="2155FE22" w14:textId="47B19EC4" w:rsidR="00951F81" w:rsidRDefault="007079D3" w:rsidP="00951F81">
      <w:pPr>
        <w:tabs>
          <w:tab w:val="clear" w:pos="567"/>
        </w:tabs>
      </w:pPr>
      <w:r>
        <w:t xml:space="preserve">Μην πετάτε φάρμακα στο νερό της αποχέτευσης ή στα </w:t>
      </w:r>
      <w:r w:rsidR="00330FE0">
        <w:t>οικιακά απορρίμματα</w:t>
      </w:r>
      <w: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155FE23" w14:textId="77777777" w:rsidR="00951F81" w:rsidRDefault="00951F81" w:rsidP="00951F81">
      <w:pPr>
        <w:tabs>
          <w:tab w:val="clear" w:pos="567"/>
        </w:tabs>
      </w:pPr>
    </w:p>
    <w:p w14:paraId="2155FE24" w14:textId="77777777" w:rsidR="00951F81" w:rsidRDefault="00951F81" w:rsidP="00951F81">
      <w:pPr>
        <w:tabs>
          <w:tab w:val="clear" w:pos="567"/>
        </w:tabs>
      </w:pPr>
    </w:p>
    <w:p w14:paraId="2155FE25" w14:textId="77777777" w:rsidR="00951F81" w:rsidRDefault="007079D3" w:rsidP="00951F81">
      <w:pPr>
        <w:keepNext/>
        <w:tabs>
          <w:tab w:val="clear" w:pos="567"/>
        </w:tabs>
        <w:ind w:left="567" w:hanging="567"/>
        <w:rPr>
          <w:b/>
        </w:rPr>
      </w:pPr>
      <w:r>
        <w:rPr>
          <w:b/>
        </w:rPr>
        <w:t>6.</w:t>
      </w:r>
      <w:r>
        <w:rPr>
          <w:b/>
        </w:rPr>
        <w:tab/>
        <w:t>Περιεχόμενα της συσκευασίας και λοιπές πληροφορίες</w:t>
      </w:r>
    </w:p>
    <w:p w14:paraId="2155FE26" w14:textId="77777777" w:rsidR="00951F81" w:rsidRDefault="00951F81" w:rsidP="00951F81">
      <w:pPr>
        <w:keepNext/>
      </w:pPr>
    </w:p>
    <w:p w14:paraId="2155FE27" w14:textId="77777777" w:rsidR="00951F81" w:rsidRDefault="007079D3" w:rsidP="00951F81">
      <w:pPr>
        <w:keepNext/>
        <w:tabs>
          <w:tab w:val="clear" w:pos="567"/>
        </w:tabs>
        <w:rPr>
          <w:b/>
          <w:bCs/>
        </w:rPr>
      </w:pPr>
      <w:r>
        <w:rPr>
          <w:b/>
        </w:rPr>
        <w:t xml:space="preserve">Τι περιέχει το </w:t>
      </w:r>
      <w:r w:rsidR="00A8242A">
        <w:rPr>
          <w:b/>
          <w:bCs/>
        </w:rPr>
        <w:t>Kefdensis</w:t>
      </w:r>
    </w:p>
    <w:p w14:paraId="2155FE28" w14:textId="77777777" w:rsidR="00951F81" w:rsidRDefault="00951F81" w:rsidP="00951F81">
      <w:pPr>
        <w:keepNext/>
      </w:pPr>
    </w:p>
    <w:p w14:paraId="2155FE29" w14:textId="3AD8BFD1" w:rsidR="00951F81" w:rsidRPr="00A050CB" w:rsidRDefault="007079D3" w:rsidP="00112B35">
      <w:pPr>
        <w:pStyle w:val="ListParagraph"/>
        <w:numPr>
          <w:ilvl w:val="0"/>
          <w:numId w:val="60"/>
        </w:numPr>
        <w:ind w:left="426"/>
      </w:pPr>
      <w:r w:rsidRPr="00112B35">
        <w:rPr>
          <w:sz w:val="22"/>
          <w:szCs w:val="22"/>
        </w:rPr>
        <w:t xml:space="preserve">Η δραστική ουσία είναι </w:t>
      </w:r>
      <w:r w:rsidR="00C17642">
        <w:rPr>
          <w:sz w:val="22"/>
          <w:szCs w:val="22"/>
        </w:rPr>
        <w:t>η</w:t>
      </w:r>
      <w:r w:rsidR="00C17642" w:rsidRPr="00112B35">
        <w:rPr>
          <w:sz w:val="22"/>
          <w:szCs w:val="22"/>
        </w:rPr>
        <w:t xml:space="preserve"> </w:t>
      </w:r>
      <w:r w:rsidR="00A050CB">
        <w:rPr>
          <w:sz w:val="22"/>
          <w:szCs w:val="22"/>
        </w:rPr>
        <w:t>δενοσουμάμπη</w:t>
      </w:r>
      <w:r w:rsidRPr="00112B35">
        <w:rPr>
          <w:sz w:val="22"/>
          <w:szCs w:val="22"/>
        </w:rPr>
        <w:t xml:space="preserve">. Κάθε προγεμισμένη σύριγγα του 1 ml περιέχει 60 mg </w:t>
      </w:r>
      <w:r w:rsidR="00A050CB">
        <w:rPr>
          <w:sz w:val="22"/>
          <w:szCs w:val="22"/>
        </w:rPr>
        <w:t>δενοσουμάμπη</w:t>
      </w:r>
      <w:r w:rsidR="00C17642">
        <w:rPr>
          <w:sz w:val="22"/>
          <w:szCs w:val="22"/>
        </w:rPr>
        <w:t>ς</w:t>
      </w:r>
      <w:r w:rsidRPr="00112B35">
        <w:rPr>
          <w:sz w:val="22"/>
          <w:szCs w:val="22"/>
        </w:rPr>
        <w:t xml:space="preserve"> (60 mg/ml).</w:t>
      </w:r>
    </w:p>
    <w:p w14:paraId="2155FE2A" w14:textId="06276BCE" w:rsidR="00951F81" w:rsidRPr="00A050CB" w:rsidRDefault="007079D3" w:rsidP="00112B35">
      <w:pPr>
        <w:pStyle w:val="ListParagraph"/>
        <w:numPr>
          <w:ilvl w:val="0"/>
          <w:numId w:val="60"/>
        </w:numPr>
        <w:ind w:left="426"/>
      </w:pPr>
      <w:r w:rsidRPr="00112B35">
        <w:rPr>
          <w:sz w:val="22"/>
          <w:szCs w:val="22"/>
        </w:rPr>
        <w:t xml:space="preserve">Τα άλλα συστατικά είναι </w:t>
      </w:r>
      <w:r w:rsidR="00A8242A" w:rsidRPr="00112B35">
        <w:rPr>
          <w:sz w:val="22"/>
          <w:szCs w:val="22"/>
        </w:rPr>
        <w:t xml:space="preserve">ιστιδίνη, </w:t>
      </w:r>
      <w:r w:rsidR="000C6BB6" w:rsidRPr="000C6BB6">
        <w:rPr>
          <w:sz w:val="22"/>
          <w:szCs w:val="22"/>
        </w:rPr>
        <w:t>ι</w:t>
      </w:r>
      <w:r w:rsidR="0061137C" w:rsidRPr="0061137C">
        <w:rPr>
          <w:sz w:val="22"/>
          <w:szCs w:val="22"/>
        </w:rPr>
        <w:t>στιδίνη υδροχλωρική μονοϋδρική</w:t>
      </w:r>
      <w:r w:rsidR="00A8242A" w:rsidRPr="00112B35">
        <w:rPr>
          <w:sz w:val="22"/>
          <w:szCs w:val="22"/>
        </w:rPr>
        <w:t xml:space="preserve">, σακχαρόζη, </w:t>
      </w:r>
      <w:r w:rsidR="001D45E4" w:rsidRPr="00112B35">
        <w:rPr>
          <w:sz w:val="22"/>
          <w:szCs w:val="22"/>
        </w:rPr>
        <w:t>πολοξαμ</w:t>
      </w:r>
      <w:r w:rsidR="00BE6E8D" w:rsidRPr="00112B35">
        <w:rPr>
          <w:sz w:val="22"/>
          <w:szCs w:val="22"/>
        </w:rPr>
        <w:t>ερές</w:t>
      </w:r>
      <w:r w:rsidR="001D45E4" w:rsidRPr="00112B35">
        <w:rPr>
          <w:sz w:val="22"/>
          <w:szCs w:val="22"/>
        </w:rPr>
        <w:t xml:space="preserve"> </w:t>
      </w:r>
      <w:r w:rsidR="00A8242A" w:rsidRPr="00112B35">
        <w:rPr>
          <w:sz w:val="22"/>
          <w:szCs w:val="22"/>
        </w:rPr>
        <w:t>188 και υδωρ για ενέσιμα</w:t>
      </w:r>
      <w:r w:rsidRPr="00112B35">
        <w:rPr>
          <w:sz w:val="22"/>
          <w:szCs w:val="22"/>
        </w:rPr>
        <w:t>.</w:t>
      </w:r>
    </w:p>
    <w:p w14:paraId="2155FE2B" w14:textId="77777777" w:rsidR="00951F81" w:rsidRDefault="00951F81" w:rsidP="00330FE0">
      <w:pPr>
        <w:ind w:right="-2"/>
      </w:pPr>
    </w:p>
    <w:p w14:paraId="2155FE2C" w14:textId="77777777" w:rsidR="00951F81" w:rsidRDefault="007079D3" w:rsidP="00951F81">
      <w:pPr>
        <w:keepNext/>
        <w:tabs>
          <w:tab w:val="clear" w:pos="567"/>
        </w:tabs>
        <w:rPr>
          <w:b/>
          <w:bCs/>
        </w:rPr>
      </w:pPr>
      <w:r>
        <w:rPr>
          <w:b/>
        </w:rPr>
        <w:t xml:space="preserve">Εμφάνιση του </w:t>
      </w:r>
      <w:r w:rsidR="00A8242A">
        <w:rPr>
          <w:b/>
          <w:bCs/>
        </w:rPr>
        <w:t>Kefdensis</w:t>
      </w:r>
      <w:r w:rsidR="00A8242A" w:rsidRPr="000731A3">
        <w:rPr>
          <w:b/>
          <w:bCs/>
        </w:rPr>
        <w:t xml:space="preserve"> </w:t>
      </w:r>
      <w:r>
        <w:rPr>
          <w:b/>
        </w:rPr>
        <w:t>και περιεχόμενα της συσκευασίας</w:t>
      </w:r>
    </w:p>
    <w:p w14:paraId="2155FE2D" w14:textId="77777777" w:rsidR="00951F81" w:rsidRDefault="00951F81" w:rsidP="00951F81">
      <w:pPr>
        <w:keepNext/>
      </w:pPr>
    </w:p>
    <w:p w14:paraId="2155FE2E" w14:textId="77777777" w:rsidR="00951F81" w:rsidRDefault="007079D3" w:rsidP="00951F81">
      <w:pPr>
        <w:tabs>
          <w:tab w:val="clear" w:pos="567"/>
        </w:tabs>
      </w:pPr>
      <w:r>
        <w:t xml:space="preserve">Το </w:t>
      </w:r>
      <w:r w:rsidR="00A8242A">
        <w:t>Kefdensis</w:t>
      </w:r>
      <w:r w:rsidR="00A8242A" w:rsidRPr="00442125">
        <w:t xml:space="preserve"> </w:t>
      </w:r>
      <w:r>
        <w:t>είναι ένα διαυγές, άχρωμο έως υποκίτρινο ενέσιμο διάλυμα που διατίθεται έτοιμο προς χρήση σε προγεμισμένη σύριγγα.</w:t>
      </w:r>
    </w:p>
    <w:p w14:paraId="2155FE2F" w14:textId="77777777" w:rsidR="00951F81" w:rsidRDefault="00951F81" w:rsidP="00951F81">
      <w:pPr>
        <w:tabs>
          <w:tab w:val="clear" w:pos="567"/>
        </w:tabs>
      </w:pPr>
    </w:p>
    <w:p w14:paraId="2155FE30" w14:textId="77777777" w:rsidR="00951F81" w:rsidRDefault="007079D3" w:rsidP="00951F81">
      <w:pPr>
        <w:keepNext/>
        <w:tabs>
          <w:tab w:val="clear" w:pos="567"/>
        </w:tabs>
      </w:pPr>
      <w:r>
        <w:t>Κάθε συσκευασία περιέχει μία προγεμισμένη σύριγγα με μηχανισμό κάλυψης βελόνας.</w:t>
      </w:r>
    </w:p>
    <w:p w14:paraId="2155FE31" w14:textId="77777777" w:rsidR="00951F81" w:rsidRDefault="00951F81" w:rsidP="00951F81">
      <w:pPr>
        <w:tabs>
          <w:tab w:val="clear" w:pos="567"/>
        </w:tabs>
      </w:pPr>
    </w:p>
    <w:p w14:paraId="2155FE32" w14:textId="137AB26A" w:rsidR="00951F81" w:rsidRDefault="007079D3" w:rsidP="00951F81">
      <w:pPr>
        <w:keepNext/>
        <w:tabs>
          <w:tab w:val="clear" w:pos="567"/>
        </w:tabs>
        <w:rPr>
          <w:b/>
          <w:bCs/>
        </w:rPr>
      </w:pPr>
      <w:r>
        <w:rPr>
          <w:b/>
        </w:rPr>
        <w:t xml:space="preserve">Κάτοχος άδειας κυκλοφορίας </w:t>
      </w:r>
    </w:p>
    <w:p w14:paraId="2155FE33" w14:textId="77777777" w:rsidR="00A8242A" w:rsidRPr="00A8242A" w:rsidRDefault="007079D3" w:rsidP="00A8242A">
      <w:pPr>
        <w:tabs>
          <w:tab w:val="clear" w:pos="567"/>
        </w:tabs>
      </w:pPr>
      <w:r w:rsidRPr="00A8242A">
        <w:rPr>
          <w:lang w:val="de-DE"/>
        </w:rPr>
        <w:t>STADA</w:t>
      </w:r>
      <w:r w:rsidRPr="00A8242A">
        <w:t xml:space="preserve"> </w:t>
      </w:r>
      <w:r w:rsidRPr="00A8242A">
        <w:rPr>
          <w:lang w:val="de-DE"/>
        </w:rPr>
        <w:t>Arzneimittel</w:t>
      </w:r>
      <w:r w:rsidRPr="00A8242A">
        <w:t xml:space="preserve"> </w:t>
      </w:r>
      <w:r w:rsidRPr="00A8242A">
        <w:rPr>
          <w:lang w:val="de-DE"/>
        </w:rPr>
        <w:t>AG</w:t>
      </w:r>
    </w:p>
    <w:p w14:paraId="2155FE34" w14:textId="77777777" w:rsidR="00A8242A" w:rsidRPr="00BB4DA7" w:rsidRDefault="007079D3" w:rsidP="00A8242A">
      <w:pPr>
        <w:tabs>
          <w:tab w:val="clear" w:pos="567"/>
        </w:tabs>
      </w:pPr>
      <w:r w:rsidRPr="00A8242A">
        <w:rPr>
          <w:lang w:val="de-DE"/>
        </w:rPr>
        <w:t>Stadastrasse</w:t>
      </w:r>
      <w:r w:rsidRPr="00BB4DA7">
        <w:t xml:space="preserve"> 2–18</w:t>
      </w:r>
    </w:p>
    <w:p w14:paraId="2155FE35" w14:textId="77777777" w:rsidR="00A8242A" w:rsidRPr="00BB4DA7" w:rsidRDefault="007079D3" w:rsidP="00A8242A">
      <w:pPr>
        <w:tabs>
          <w:tab w:val="clear" w:pos="567"/>
        </w:tabs>
      </w:pPr>
      <w:r w:rsidRPr="00BB4DA7">
        <w:t xml:space="preserve">61118 </w:t>
      </w:r>
      <w:r w:rsidRPr="00A8242A">
        <w:rPr>
          <w:lang w:val="de-DE"/>
        </w:rPr>
        <w:t>Bad</w:t>
      </w:r>
      <w:r w:rsidRPr="00BB4DA7">
        <w:t xml:space="preserve"> </w:t>
      </w:r>
      <w:r w:rsidRPr="00A8242A">
        <w:rPr>
          <w:lang w:val="de-DE"/>
        </w:rPr>
        <w:t>Vilbel</w:t>
      </w:r>
    </w:p>
    <w:p w14:paraId="2155FE36" w14:textId="77777777" w:rsidR="00951F81" w:rsidRDefault="007079D3" w:rsidP="00A8242A">
      <w:pPr>
        <w:tabs>
          <w:tab w:val="clear" w:pos="567"/>
        </w:tabs>
      </w:pPr>
      <w:r>
        <w:t>Γερμανία</w:t>
      </w:r>
    </w:p>
    <w:p w14:paraId="2155FE37" w14:textId="77777777" w:rsidR="00951F81" w:rsidRPr="00A8242A" w:rsidRDefault="00951F81" w:rsidP="00951F81">
      <w:pPr>
        <w:tabs>
          <w:tab w:val="clear" w:pos="567"/>
        </w:tabs>
        <w:rPr>
          <w:lang w:val="da-DK"/>
        </w:rPr>
      </w:pPr>
    </w:p>
    <w:p w14:paraId="2155FE38" w14:textId="77777777" w:rsidR="00951F81" w:rsidRPr="00CC482F" w:rsidRDefault="007079D3" w:rsidP="00951F81">
      <w:pPr>
        <w:keepNext/>
        <w:autoSpaceDE w:val="0"/>
        <w:autoSpaceDN w:val="0"/>
        <w:adjustRightInd w:val="0"/>
        <w:rPr>
          <w:b/>
          <w:bCs/>
          <w:lang w:val="da-DK"/>
        </w:rPr>
      </w:pPr>
      <w:r w:rsidRPr="00CC482F">
        <w:rPr>
          <w:b/>
        </w:rPr>
        <w:t>Παρασκευαστής</w:t>
      </w:r>
    </w:p>
    <w:p w14:paraId="2155FE39" w14:textId="77777777" w:rsidR="00A8242A" w:rsidRPr="00A8242A" w:rsidRDefault="007079D3" w:rsidP="00A8242A">
      <w:pPr>
        <w:tabs>
          <w:tab w:val="clear" w:pos="567"/>
        </w:tabs>
        <w:rPr>
          <w:lang w:val="da-DK"/>
        </w:rPr>
      </w:pPr>
      <w:r w:rsidRPr="00A8242A">
        <w:rPr>
          <w:lang w:val="da-DK"/>
        </w:rPr>
        <w:t>Alvotech hf</w:t>
      </w:r>
    </w:p>
    <w:p w14:paraId="2155FE3A" w14:textId="77777777" w:rsidR="00A8242A" w:rsidRPr="00A8242A" w:rsidRDefault="007079D3" w:rsidP="00A8242A">
      <w:pPr>
        <w:tabs>
          <w:tab w:val="clear" w:pos="567"/>
        </w:tabs>
        <w:rPr>
          <w:lang w:val="da-DK"/>
        </w:rPr>
      </w:pPr>
      <w:r w:rsidRPr="00A8242A">
        <w:rPr>
          <w:lang w:val="da-DK"/>
        </w:rPr>
        <w:t>Sæmundargata 15-19</w:t>
      </w:r>
    </w:p>
    <w:p w14:paraId="2155FE3B" w14:textId="77777777" w:rsidR="00A8242A" w:rsidRPr="00A8242A" w:rsidRDefault="007079D3" w:rsidP="00A8242A">
      <w:pPr>
        <w:tabs>
          <w:tab w:val="clear" w:pos="567"/>
        </w:tabs>
        <w:rPr>
          <w:lang w:val="da-DK"/>
        </w:rPr>
      </w:pPr>
      <w:r w:rsidRPr="00A8242A">
        <w:rPr>
          <w:lang w:val="da-DK"/>
        </w:rPr>
        <w:t>102 Reykjavik</w:t>
      </w:r>
    </w:p>
    <w:p w14:paraId="2155FE3C" w14:textId="77777777" w:rsidR="00951F81" w:rsidRPr="002E6BBB" w:rsidRDefault="007079D3" w:rsidP="00A8242A">
      <w:pPr>
        <w:tabs>
          <w:tab w:val="clear" w:pos="567"/>
        </w:tabs>
        <w:rPr>
          <w:lang w:val="da-DK"/>
        </w:rPr>
      </w:pPr>
      <w:r>
        <w:t>Ισλανδία</w:t>
      </w:r>
    </w:p>
    <w:p w14:paraId="2A9687A0" w14:textId="77777777" w:rsidR="00E47E47" w:rsidRPr="002E6BBB" w:rsidRDefault="00E47E47" w:rsidP="00A8242A">
      <w:pPr>
        <w:tabs>
          <w:tab w:val="clear" w:pos="567"/>
        </w:tabs>
        <w:rPr>
          <w:lang w:val="da-DK"/>
        </w:rPr>
      </w:pPr>
    </w:p>
    <w:p w14:paraId="2D734B34" w14:textId="77777777" w:rsidR="00E47E47" w:rsidRPr="00F05AB6" w:rsidRDefault="00E47E47" w:rsidP="00E47E47">
      <w:pPr>
        <w:spacing w:line="260" w:lineRule="exact"/>
        <w:rPr>
          <w:highlight w:val="lightGray"/>
        </w:rPr>
      </w:pPr>
      <w:r w:rsidRPr="00F05AB6">
        <w:rPr>
          <w:highlight w:val="lightGray"/>
        </w:rPr>
        <w:t>STADA Arzneimittel AG</w:t>
      </w:r>
    </w:p>
    <w:p w14:paraId="3B18DB0A" w14:textId="77777777" w:rsidR="00E47E47" w:rsidRPr="00F05AB6" w:rsidRDefault="00E47E47" w:rsidP="00E47E47">
      <w:pPr>
        <w:spacing w:line="260" w:lineRule="exact"/>
        <w:rPr>
          <w:highlight w:val="lightGray"/>
        </w:rPr>
      </w:pPr>
      <w:r w:rsidRPr="00F05AB6">
        <w:rPr>
          <w:highlight w:val="lightGray"/>
        </w:rPr>
        <w:t>Stadastrasse 2</w:t>
      </w:r>
      <w:r w:rsidRPr="00F05AB6">
        <w:rPr>
          <w:highlight w:val="lightGray"/>
        </w:rPr>
        <w:noBreakHyphen/>
        <w:t>18</w:t>
      </w:r>
    </w:p>
    <w:p w14:paraId="4397DD9B" w14:textId="77777777" w:rsidR="00E47E47" w:rsidRPr="00F05AB6" w:rsidRDefault="00E47E47" w:rsidP="00E47E47">
      <w:pPr>
        <w:spacing w:line="260" w:lineRule="exact"/>
        <w:rPr>
          <w:highlight w:val="lightGray"/>
        </w:rPr>
      </w:pPr>
      <w:r w:rsidRPr="00F05AB6">
        <w:rPr>
          <w:highlight w:val="lightGray"/>
        </w:rPr>
        <w:t>61118 Bad Vilbel</w:t>
      </w:r>
    </w:p>
    <w:p w14:paraId="341D6E62" w14:textId="77777777" w:rsidR="00E47E47" w:rsidRDefault="00E47E47" w:rsidP="00E47E47">
      <w:pPr>
        <w:numPr>
          <w:ilvl w:val="12"/>
          <w:numId w:val="0"/>
        </w:numPr>
        <w:tabs>
          <w:tab w:val="clear" w:pos="567"/>
        </w:tabs>
        <w:ind w:right="-2"/>
      </w:pPr>
      <w:r w:rsidRPr="00F05AB6">
        <w:rPr>
          <w:highlight w:val="lightGray"/>
        </w:rPr>
        <w:t>Γερμανία</w:t>
      </w:r>
    </w:p>
    <w:p w14:paraId="2EFF4836" w14:textId="77777777" w:rsidR="00E47E47" w:rsidRPr="002E6BBB" w:rsidRDefault="00E47E47" w:rsidP="00A8242A">
      <w:pPr>
        <w:tabs>
          <w:tab w:val="clear" w:pos="567"/>
        </w:tabs>
      </w:pPr>
    </w:p>
    <w:p w14:paraId="2155FE3D" w14:textId="77777777" w:rsidR="00A8242A" w:rsidRPr="00A8242A" w:rsidRDefault="00A8242A" w:rsidP="00A8242A">
      <w:pPr>
        <w:tabs>
          <w:tab w:val="clear" w:pos="567"/>
        </w:tabs>
      </w:pPr>
    </w:p>
    <w:p w14:paraId="2155FE3E" w14:textId="77777777" w:rsidR="00951F81" w:rsidRDefault="007079D3" w:rsidP="00951F81">
      <w:pPr>
        <w:keepNext/>
        <w:tabs>
          <w:tab w:val="clear" w:pos="567"/>
        </w:tabs>
      </w:pPr>
      <w: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2155FE3F" w14:textId="77777777" w:rsidR="00951F81" w:rsidRDefault="00951F81" w:rsidP="00951F81">
      <w:pPr>
        <w:keepNext/>
        <w:tabs>
          <w:tab w:val="clear" w:pos="567"/>
        </w:tabs>
      </w:pPr>
    </w:p>
    <w:tbl>
      <w:tblPr>
        <w:tblW w:w="9406" w:type="dxa"/>
        <w:tblInd w:w="8" w:type="dxa"/>
        <w:tblCellMar>
          <w:left w:w="0" w:type="dxa"/>
          <w:right w:w="0" w:type="dxa"/>
        </w:tblCellMar>
        <w:tblLook w:val="04A0" w:firstRow="1" w:lastRow="0" w:firstColumn="1" w:lastColumn="0" w:noHBand="0" w:noVBand="1"/>
      </w:tblPr>
      <w:tblGrid>
        <w:gridCol w:w="4650"/>
        <w:gridCol w:w="4756"/>
      </w:tblGrid>
      <w:tr w:rsidR="00EA09FB" w:rsidRPr="00112B35" w14:paraId="2155FE48" w14:textId="77777777" w:rsidTr="5281FA9D">
        <w:trPr>
          <w:cantSplit/>
        </w:trPr>
        <w:tc>
          <w:tcPr>
            <w:tcW w:w="4650" w:type="dxa"/>
            <w:hideMark/>
          </w:tcPr>
          <w:p w14:paraId="2155FE40" w14:textId="77777777" w:rsidR="00CC482F" w:rsidRPr="000D565D" w:rsidRDefault="007079D3" w:rsidP="001069FF">
            <w:pPr>
              <w:rPr>
                <w:rFonts w:eastAsia="Times New Roman"/>
                <w:color w:val="000000"/>
                <w:szCs w:val="20"/>
                <w:lang w:val="de-DE"/>
              </w:rPr>
            </w:pPr>
            <w:r w:rsidRPr="000D565D">
              <w:rPr>
                <w:rFonts w:eastAsia="Times New Roman"/>
                <w:b/>
                <w:color w:val="000000"/>
                <w:szCs w:val="20"/>
                <w:lang w:val="de-DE"/>
              </w:rPr>
              <w:t>België/Belgique/Belgien</w:t>
            </w:r>
          </w:p>
          <w:p w14:paraId="2155FE41" w14:textId="77777777" w:rsidR="00CC482F" w:rsidRPr="000D565D" w:rsidRDefault="007079D3" w:rsidP="001069FF">
            <w:pPr>
              <w:rPr>
                <w:rFonts w:eastAsia="Times New Roman"/>
                <w:color w:val="000000"/>
                <w:szCs w:val="20"/>
                <w:lang w:val="de-DE"/>
              </w:rPr>
            </w:pPr>
            <w:r w:rsidRPr="000D565D">
              <w:rPr>
                <w:rFonts w:eastAsia="Times New Roman"/>
                <w:color w:val="000000"/>
                <w:szCs w:val="20"/>
                <w:lang w:val="de-DE"/>
              </w:rPr>
              <w:t xml:space="preserve">EG </w:t>
            </w:r>
            <w:r w:rsidRPr="000D565D">
              <w:rPr>
                <w:rFonts w:eastAsia="Times New Roman"/>
                <w:szCs w:val="20"/>
                <w:lang w:val="de-DE" w:eastAsia="hu-HU"/>
              </w:rPr>
              <w:t>(Eurogenerics) NV</w:t>
            </w:r>
          </w:p>
          <w:p w14:paraId="2155FE42" w14:textId="77777777" w:rsidR="00CC482F" w:rsidRPr="0032218E" w:rsidRDefault="007079D3" w:rsidP="001069FF">
            <w:pPr>
              <w:rPr>
                <w:rFonts w:eastAsia="Times New Roman"/>
                <w:color w:val="000000"/>
                <w:szCs w:val="20"/>
              </w:rPr>
            </w:pPr>
            <w:r w:rsidRPr="0032218E">
              <w:rPr>
                <w:rFonts w:eastAsia="Times New Roman"/>
                <w:color w:val="000000"/>
                <w:szCs w:val="20"/>
              </w:rPr>
              <w:t xml:space="preserve">Tél/Tel: +32 </w:t>
            </w:r>
            <w:r>
              <w:rPr>
                <w:rFonts w:eastAsia="Times New Roman"/>
                <w:color w:val="000000"/>
                <w:szCs w:val="20"/>
              </w:rPr>
              <w:t>2</w:t>
            </w:r>
            <w:r w:rsidRPr="0032218E">
              <w:rPr>
                <w:rFonts w:eastAsia="Times New Roman"/>
                <w:color w:val="000000"/>
                <w:szCs w:val="20"/>
              </w:rPr>
              <w:t>4797878</w:t>
            </w:r>
          </w:p>
          <w:p w14:paraId="2155FE43" w14:textId="77777777" w:rsidR="00CC482F" w:rsidRPr="0032218E" w:rsidRDefault="00CC482F" w:rsidP="001069FF">
            <w:pPr>
              <w:rPr>
                <w:rFonts w:eastAsia="Times New Roman"/>
              </w:rPr>
            </w:pPr>
          </w:p>
        </w:tc>
        <w:tc>
          <w:tcPr>
            <w:tcW w:w="4756" w:type="dxa"/>
            <w:hideMark/>
          </w:tcPr>
          <w:p w14:paraId="2155FE44" w14:textId="77777777" w:rsidR="00CC482F" w:rsidRPr="007065FF" w:rsidRDefault="007079D3" w:rsidP="001069FF">
            <w:pPr>
              <w:autoSpaceDE w:val="0"/>
              <w:autoSpaceDN w:val="0"/>
              <w:adjustRightInd w:val="0"/>
              <w:rPr>
                <w:rFonts w:eastAsia="Times New Roman"/>
                <w:color w:val="000000"/>
                <w:szCs w:val="20"/>
                <w:lang w:val="en-US"/>
              </w:rPr>
            </w:pPr>
            <w:r w:rsidRPr="007065FF">
              <w:rPr>
                <w:rFonts w:eastAsia="Times New Roman"/>
                <w:b/>
                <w:color w:val="000000"/>
                <w:szCs w:val="20"/>
                <w:lang w:val="en-US"/>
              </w:rPr>
              <w:t>Lietuva</w:t>
            </w:r>
          </w:p>
          <w:p w14:paraId="2155FE45" w14:textId="77777777" w:rsidR="00CC482F" w:rsidRPr="007065FF" w:rsidRDefault="007079D3" w:rsidP="001069FF">
            <w:pPr>
              <w:autoSpaceDE w:val="0"/>
              <w:autoSpaceDN w:val="0"/>
              <w:adjustRightInd w:val="0"/>
              <w:rPr>
                <w:rFonts w:eastAsia="Times New Roman"/>
                <w:color w:val="000000"/>
                <w:szCs w:val="20"/>
                <w:lang w:val="en-US"/>
              </w:rPr>
            </w:pPr>
            <w:r w:rsidRPr="007065FF">
              <w:rPr>
                <w:rFonts w:eastAsia="Times New Roman"/>
                <w:color w:val="000000"/>
                <w:szCs w:val="20"/>
                <w:lang w:val="en-US"/>
              </w:rPr>
              <w:t>UAB „STADA Baltics“</w:t>
            </w:r>
          </w:p>
          <w:p w14:paraId="2155FE46" w14:textId="77777777" w:rsidR="00CC482F" w:rsidRPr="007065FF" w:rsidRDefault="007079D3" w:rsidP="001069FF">
            <w:pPr>
              <w:autoSpaceDE w:val="0"/>
              <w:autoSpaceDN w:val="0"/>
              <w:adjustRightInd w:val="0"/>
              <w:rPr>
                <w:rFonts w:eastAsia="Times New Roman"/>
                <w:color w:val="000000"/>
                <w:szCs w:val="20"/>
                <w:lang w:val="en-US"/>
              </w:rPr>
            </w:pPr>
            <w:r w:rsidRPr="007065FF">
              <w:rPr>
                <w:rFonts w:eastAsia="Times New Roman"/>
                <w:color w:val="000000"/>
                <w:szCs w:val="20"/>
                <w:lang w:val="en-US"/>
              </w:rPr>
              <w:t>Tel: +370 52603926</w:t>
            </w:r>
          </w:p>
          <w:p w14:paraId="2155FE47" w14:textId="77777777" w:rsidR="00CC482F" w:rsidRPr="007065FF" w:rsidRDefault="00CC482F" w:rsidP="001069FF">
            <w:pPr>
              <w:rPr>
                <w:rFonts w:eastAsia="Times New Roman"/>
                <w:lang w:val="en-US"/>
              </w:rPr>
            </w:pPr>
          </w:p>
        </w:tc>
      </w:tr>
      <w:tr w:rsidR="00EA09FB" w:rsidRPr="00112B35" w14:paraId="2155FE51" w14:textId="77777777" w:rsidTr="5281FA9D">
        <w:trPr>
          <w:cantSplit/>
        </w:trPr>
        <w:tc>
          <w:tcPr>
            <w:tcW w:w="4650" w:type="dxa"/>
            <w:hideMark/>
          </w:tcPr>
          <w:p w14:paraId="2155FE49" w14:textId="77777777" w:rsidR="00CC482F" w:rsidRPr="002524CB" w:rsidRDefault="007079D3" w:rsidP="001069FF">
            <w:pPr>
              <w:autoSpaceDE w:val="0"/>
              <w:autoSpaceDN w:val="0"/>
              <w:adjustRightInd w:val="0"/>
              <w:rPr>
                <w:rFonts w:eastAsia="Times New Roman"/>
                <w:b/>
                <w:bCs/>
                <w:color w:val="000000"/>
                <w:szCs w:val="20"/>
                <w:lang w:val="es-ES"/>
              </w:rPr>
            </w:pPr>
            <w:r w:rsidRPr="0032218E">
              <w:rPr>
                <w:rFonts w:eastAsia="Times New Roman"/>
                <w:b/>
                <w:bCs/>
                <w:color w:val="000000"/>
                <w:szCs w:val="20"/>
              </w:rPr>
              <w:t>България</w:t>
            </w:r>
          </w:p>
          <w:p w14:paraId="2155FE4A" w14:textId="77777777" w:rsidR="00CC482F" w:rsidRPr="002524CB" w:rsidRDefault="007079D3" w:rsidP="001069FF">
            <w:pPr>
              <w:autoSpaceDE w:val="0"/>
              <w:autoSpaceDN w:val="0"/>
              <w:adjustRightInd w:val="0"/>
              <w:rPr>
                <w:rFonts w:eastAsia="Times New Roman"/>
                <w:color w:val="000000"/>
                <w:szCs w:val="20"/>
                <w:lang w:val="es-ES"/>
              </w:rPr>
            </w:pPr>
            <w:r w:rsidRPr="002524CB">
              <w:rPr>
                <w:rFonts w:eastAsia="Times New Roman"/>
                <w:color w:val="000000"/>
                <w:szCs w:val="20"/>
                <w:lang w:val="es-ES"/>
              </w:rPr>
              <w:t>STADA Bulgaria EOOD</w:t>
            </w:r>
          </w:p>
          <w:p w14:paraId="2155FE4B" w14:textId="77777777" w:rsidR="00CC482F" w:rsidRPr="002524CB" w:rsidRDefault="007079D3" w:rsidP="001069FF">
            <w:pPr>
              <w:autoSpaceDE w:val="0"/>
              <w:autoSpaceDN w:val="0"/>
              <w:adjustRightInd w:val="0"/>
              <w:rPr>
                <w:rFonts w:eastAsia="Times New Roman"/>
                <w:color w:val="000000"/>
                <w:szCs w:val="20"/>
                <w:lang w:val="es-ES"/>
              </w:rPr>
            </w:pPr>
            <w:r w:rsidRPr="002524CB">
              <w:rPr>
                <w:rFonts w:eastAsia="Times New Roman"/>
                <w:color w:val="000000"/>
                <w:szCs w:val="20"/>
                <w:lang w:val="es-ES"/>
              </w:rPr>
              <w:t>Te</w:t>
            </w:r>
            <w:r w:rsidRPr="0032218E">
              <w:rPr>
                <w:rFonts w:eastAsia="Times New Roman"/>
                <w:color w:val="000000"/>
                <w:szCs w:val="20"/>
              </w:rPr>
              <w:t>л</w:t>
            </w:r>
            <w:r w:rsidRPr="002524CB">
              <w:rPr>
                <w:rFonts w:eastAsia="Times New Roman"/>
                <w:color w:val="000000"/>
                <w:szCs w:val="20"/>
                <w:lang w:val="es-ES"/>
              </w:rPr>
              <w:t>.: +359 29624626</w:t>
            </w:r>
          </w:p>
          <w:p w14:paraId="2155FE4C" w14:textId="77777777" w:rsidR="00CC482F" w:rsidRPr="002524CB" w:rsidRDefault="00CC482F" w:rsidP="001069FF">
            <w:pPr>
              <w:rPr>
                <w:rFonts w:eastAsia="Times New Roman"/>
                <w:lang w:val="es-ES"/>
              </w:rPr>
            </w:pPr>
          </w:p>
        </w:tc>
        <w:tc>
          <w:tcPr>
            <w:tcW w:w="4756" w:type="dxa"/>
            <w:hideMark/>
          </w:tcPr>
          <w:p w14:paraId="2155FE4D" w14:textId="77777777" w:rsidR="00CC482F" w:rsidRPr="002524CB" w:rsidRDefault="007079D3" w:rsidP="001069FF">
            <w:pPr>
              <w:suppressAutoHyphens/>
              <w:rPr>
                <w:rFonts w:eastAsia="Times New Roman"/>
                <w:color w:val="000000"/>
                <w:szCs w:val="20"/>
                <w:lang w:val="de-DE"/>
              </w:rPr>
            </w:pPr>
            <w:r w:rsidRPr="002524CB">
              <w:rPr>
                <w:rFonts w:eastAsia="Times New Roman"/>
                <w:b/>
                <w:color w:val="000000"/>
                <w:szCs w:val="20"/>
                <w:lang w:val="de-DE"/>
              </w:rPr>
              <w:t>Luxembourg/Luxemburg</w:t>
            </w:r>
          </w:p>
          <w:p w14:paraId="2155FE4E" w14:textId="77777777" w:rsidR="00CC482F" w:rsidRPr="002524CB" w:rsidRDefault="007079D3" w:rsidP="001069FF">
            <w:pPr>
              <w:suppressAutoHyphens/>
              <w:rPr>
                <w:rFonts w:eastAsia="Times New Roman"/>
                <w:color w:val="000000"/>
                <w:szCs w:val="20"/>
                <w:lang w:val="de-DE"/>
              </w:rPr>
            </w:pPr>
            <w:r w:rsidRPr="002524CB">
              <w:rPr>
                <w:rFonts w:eastAsia="Times New Roman"/>
                <w:color w:val="000000"/>
                <w:szCs w:val="20"/>
                <w:lang w:val="de-DE"/>
              </w:rPr>
              <w:t>EG (Eurogenerics) NV</w:t>
            </w:r>
          </w:p>
          <w:p w14:paraId="2155FE4F" w14:textId="77777777" w:rsidR="00CC482F" w:rsidRPr="002524CB" w:rsidRDefault="007079D3" w:rsidP="001069FF">
            <w:pPr>
              <w:suppressAutoHyphens/>
              <w:rPr>
                <w:rFonts w:eastAsia="Times New Roman"/>
                <w:color w:val="000000"/>
                <w:szCs w:val="20"/>
                <w:lang w:val="de-DE"/>
              </w:rPr>
            </w:pPr>
            <w:r w:rsidRPr="002524CB">
              <w:rPr>
                <w:rFonts w:eastAsia="Times New Roman"/>
                <w:color w:val="000000"/>
                <w:szCs w:val="20"/>
                <w:lang w:val="de-DE"/>
              </w:rPr>
              <w:t>Tél/Tel: +32 24797878</w:t>
            </w:r>
          </w:p>
          <w:p w14:paraId="2155FE50" w14:textId="77777777" w:rsidR="00CC482F" w:rsidRPr="002524CB" w:rsidRDefault="00CC482F" w:rsidP="001069FF">
            <w:pPr>
              <w:rPr>
                <w:rFonts w:eastAsia="Times New Roman"/>
                <w:lang w:val="de-DE"/>
              </w:rPr>
            </w:pPr>
          </w:p>
        </w:tc>
      </w:tr>
      <w:tr w:rsidR="00EA09FB" w:rsidRPr="00112B35" w14:paraId="2155FE5A" w14:textId="77777777" w:rsidTr="5281FA9D">
        <w:trPr>
          <w:cantSplit/>
        </w:trPr>
        <w:tc>
          <w:tcPr>
            <w:tcW w:w="4650" w:type="dxa"/>
            <w:hideMark/>
          </w:tcPr>
          <w:p w14:paraId="2155FE52" w14:textId="77777777" w:rsidR="00CC482F" w:rsidRPr="00FF4020" w:rsidRDefault="007079D3" w:rsidP="001069FF">
            <w:pPr>
              <w:suppressAutoHyphens/>
              <w:rPr>
                <w:rFonts w:eastAsia="Times New Roman"/>
                <w:color w:val="000000"/>
                <w:szCs w:val="20"/>
                <w:lang w:val="pl-PL"/>
              </w:rPr>
            </w:pPr>
            <w:r w:rsidRPr="00FF4020">
              <w:rPr>
                <w:rFonts w:eastAsia="Times New Roman"/>
                <w:b/>
                <w:color w:val="000000"/>
                <w:szCs w:val="20"/>
                <w:lang w:val="pl-PL"/>
              </w:rPr>
              <w:t>Česká republika</w:t>
            </w:r>
          </w:p>
          <w:p w14:paraId="2155FE53" w14:textId="77777777" w:rsidR="00CC482F" w:rsidRPr="00FF4020" w:rsidRDefault="007079D3" w:rsidP="001069FF">
            <w:pPr>
              <w:suppressAutoHyphens/>
              <w:rPr>
                <w:rFonts w:eastAsia="Times New Roman"/>
                <w:color w:val="000000"/>
                <w:szCs w:val="20"/>
                <w:lang w:val="pl-PL"/>
              </w:rPr>
            </w:pPr>
            <w:r w:rsidRPr="00FF4020">
              <w:rPr>
                <w:rFonts w:eastAsia="Times New Roman"/>
                <w:color w:val="000000"/>
                <w:szCs w:val="20"/>
                <w:lang w:val="pl-PL"/>
              </w:rPr>
              <w:t>STADA PHARMA CZ s.r.o.</w:t>
            </w:r>
          </w:p>
          <w:p w14:paraId="2155FE54" w14:textId="77777777" w:rsidR="00CC482F" w:rsidRPr="0032218E" w:rsidRDefault="007079D3" w:rsidP="001069FF">
            <w:pPr>
              <w:rPr>
                <w:rFonts w:eastAsia="Times New Roman"/>
                <w:color w:val="000000"/>
                <w:szCs w:val="20"/>
                <w:lang w:eastAsia="cs-CZ"/>
              </w:rPr>
            </w:pPr>
            <w:r w:rsidRPr="0032218E">
              <w:rPr>
                <w:rFonts w:eastAsia="Times New Roman"/>
                <w:color w:val="000000"/>
                <w:szCs w:val="20"/>
              </w:rPr>
              <w:t xml:space="preserve">Tel: </w:t>
            </w:r>
            <w:r w:rsidRPr="0032218E">
              <w:rPr>
                <w:rFonts w:eastAsia="Times New Roman"/>
                <w:color w:val="000000"/>
                <w:szCs w:val="20"/>
                <w:lang w:eastAsia="cs-CZ"/>
              </w:rPr>
              <w:t>+420 257888111</w:t>
            </w:r>
          </w:p>
          <w:p w14:paraId="2155FE55" w14:textId="77777777" w:rsidR="00CC482F" w:rsidRPr="0032218E" w:rsidRDefault="00CC482F" w:rsidP="001069FF">
            <w:pPr>
              <w:rPr>
                <w:rFonts w:eastAsia="Times New Roman"/>
              </w:rPr>
            </w:pPr>
          </w:p>
        </w:tc>
        <w:tc>
          <w:tcPr>
            <w:tcW w:w="4756" w:type="dxa"/>
            <w:hideMark/>
          </w:tcPr>
          <w:p w14:paraId="2155FE56" w14:textId="77777777" w:rsidR="00CC482F" w:rsidRPr="00A92C8A" w:rsidRDefault="007079D3" w:rsidP="001069FF">
            <w:pPr>
              <w:rPr>
                <w:rFonts w:eastAsia="Times New Roman"/>
                <w:b/>
                <w:color w:val="000000"/>
                <w:szCs w:val="20"/>
              </w:rPr>
            </w:pPr>
            <w:r w:rsidRPr="00CC482F">
              <w:rPr>
                <w:rFonts w:eastAsia="Times New Roman"/>
                <w:b/>
                <w:color w:val="000000"/>
                <w:szCs w:val="20"/>
                <w:lang w:val="en-US"/>
              </w:rPr>
              <w:t>Magyarorsz</w:t>
            </w:r>
            <w:r w:rsidRPr="00A92C8A">
              <w:rPr>
                <w:rFonts w:eastAsia="Times New Roman"/>
                <w:b/>
                <w:color w:val="000000"/>
                <w:szCs w:val="20"/>
              </w:rPr>
              <w:t>á</w:t>
            </w:r>
            <w:r w:rsidRPr="00CC482F">
              <w:rPr>
                <w:rFonts w:eastAsia="Times New Roman"/>
                <w:b/>
                <w:color w:val="000000"/>
                <w:szCs w:val="20"/>
                <w:lang w:val="en-US"/>
              </w:rPr>
              <w:t>g</w:t>
            </w:r>
          </w:p>
          <w:p w14:paraId="2155FE57" w14:textId="77777777" w:rsidR="00CC482F" w:rsidRPr="00A92C8A" w:rsidRDefault="007079D3" w:rsidP="001069FF">
            <w:pPr>
              <w:rPr>
                <w:rFonts w:eastAsia="Times New Roman"/>
                <w:color w:val="000000"/>
                <w:szCs w:val="20"/>
              </w:rPr>
            </w:pPr>
            <w:r w:rsidRPr="00CC482F">
              <w:rPr>
                <w:rFonts w:eastAsia="Times New Roman"/>
                <w:color w:val="000000"/>
                <w:szCs w:val="20"/>
                <w:lang w:val="en-US"/>
              </w:rPr>
              <w:t>STADA</w:t>
            </w:r>
            <w:r w:rsidRPr="00A92C8A">
              <w:rPr>
                <w:rFonts w:eastAsia="Times New Roman"/>
                <w:color w:val="000000"/>
                <w:szCs w:val="20"/>
              </w:rPr>
              <w:t xml:space="preserve"> </w:t>
            </w:r>
            <w:r w:rsidRPr="00CC482F">
              <w:rPr>
                <w:rFonts w:eastAsia="Times New Roman"/>
                <w:color w:val="000000"/>
                <w:szCs w:val="20"/>
                <w:lang w:val="en-US"/>
              </w:rPr>
              <w:t>Hungary</w:t>
            </w:r>
            <w:r w:rsidRPr="00A92C8A">
              <w:rPr>
                <w:rFonts w:eastAsia="Times New Roman"/>
                <w:color w:val="000000"/>
                <w:szCs w:val="20"/>
              </w:rPr>
              <w:t xml:space="preserve"> </w:t>
            </w:r>
            <w:r w:rsidRPr="00CC482F">
              <w:rPr>
                <w:rFonts w:eastAsia="Times New Roman"/>
                <w:color w:val="000000"/>
                <w:szCs w:val="20"/>
                <w:lang w:val="en-US"/>
              </w:rPr>
              <w:t>Kft</w:t>
            </w:r>
          </w:p>
          <w:p w14:paraId="2155FE58" w14:textId="77777777" w:rsidR="00CC482F" w:rsidRPr="00A92C8A" w:rsidRDefault="007079D3" w:rsidP="001069FF">
            <w:pPr>
              <w:rPr>
                <w:rFonts w:eastAsia="Times New Roman"/>
                <w:color w:val="000000"/>
                <w:szCs w:val="20"/>
              </w:rPr>
            </w:pPr>
            <w:r w:rsidRPr="00CC482F">
              <w:rPr>
                <w:rFonts w:eastAsia="Times New Roman"/>
                <w:color w:val="000000"/>
                <w:szCs w:val="20"/>
                <w:lang w:val="en-US"/>
              </w:rPr>
              <w:t>Tel</w:t>
            </w:r>
            <w:r w:rsidRPr="00A92C8A">
              <w:rPr>
                <w:rFonts w:eastAsia="Times New Roman"/>
                <w:color w:val="000000"/>
                <w:szCs w:val="20"/>
              </w:rPr>
              <w:t>.: +36 18009747</w:t>
            </w:r>
          </w:p>
          <w:p w14:paraId="2155FE59" w14:textId="77777777" w:rsidR="00CC482F" w:rsidRPr="00A92C8A" w:rsidRDefault="00CC482F" w:rsidP="001069FF">
            <w:pPr>
              <w:rPr>
                <w:rFonts w:eastAsia="Times New Roman"/>
              </w:rPr>
            </w:pPr>
          </w:p>
        </w:tc>
      </w:tr>
      <w:tr w:rsidR="00EA09FB" w:rsidRPr="00112B35" w14:paraId="2155FE63" w14:textId="77777777" w:rsidTr="5281FA9D">
        <w:trPr>
          <w:cantSplit/>
        </w:trPr>
        <w:tc>
          <w:tcPr>
            <w:tcW w:w="4650" w:type="dxa"/>
            <w:hideMark/>
          </w:tcPr>
          <w:p w14:paraId="2155FE5B" w14:textId="77777777" w:rsidR="00CC482F" w:rsidRPr="007065FF" w:rsidRDefault="007079D3" w:rsidP="001069FF">
            <w:pPr>
              <w:rPr>
                <w:rFonts w:eastAsia="Times New Roman"/>
                <w:color w:val="000000"/>
                <w:szCs w:val="20"/>
                <w:lang w:val="en-US"/>
              </w:rPr>
            </w:pPr>
            <w:r w:rsidRPr="007065FF">
              <w:rPr>
                <w:rFonts w:eastAsia="Times New Roman"/>
                <w:b/>
                <w:color w:val="000000"/>
                <w:szCs w:val="20"/>
                <w:lang w:val="en-US"/>
              </w:rPr>
              <w:t>Danmark</w:t>
            </w:r>
          </w:p>
          <w:p w14:paraId="2155FE5C" w14:textId="77777777" w:rsidR="00CC482F" w:rsidRPr="007065FF" w:rsidRDefault="007079D3" w:rsidP="001069FF">
            <w:pPr>
              <w:rPr>
                <w:rFonts w:eastAsia="Times New Roman"/>
                <w:color w:val="000000"/>
                <w:szCs w:val="20"/>
                <w:lang w:val="en-US"/>
              </w:rPr>
            </w:pPr>
            <w:r w:rsidRPr="007065FF">
              <w:rPr>
                <w:rFonts w:eastAsia="Times New Roman"/>
                <w:color w:val="000000"/>
                <w:szCs w:val="20"/>
                <w:lang w:val="en-US"/>
              </w:rPr>
              <w:t>STADA Nordic ApS</w:t>
            </w:r>
          </w:p>
          <w:p w14:paraId="2155FE5D" w14:textId="77777777" w:rsidR="00CC482F" w:rsidRPr="007065FF" w:rsidRDefault="007079D3" w:rsidP="001069FF">
            <w:pPr>
              <w:rPr>
                <w:rFonts w:eastAsia="Times New Roman"/>
                <w:color w:val="000000"/>
                <w:szCs w:val="20"/>
                <w:lang w:val="en-US"/>
              </w:rPr>
            </w:pPr>
            <w:r w:rsidRPr="007065FF">
              <w:rPr>
                <w:rFonts w:eastAsia="Times New Roman"/>
                <w:color w:val="000000"/>
                <w:szCs w:val="20"/>
                <w:lang w:val="en-US"/>
              </w:rPr>
              <w:t>Tlf: +45 44859999</w:t>
            </w:r>
          </w:p>
          <w:p w14:paraId="2155FE5E" w14:textId="77777777" w:rsidR="00CC482F" w:rsidRPr="007065FF" w:rsidRDefault="00CC482F" w:rsidP="001069FF">
            <w:pPr>
              <w:rPr>
                <w:rFonts w:eastAsia="Times New Roman"/>
                <w:lang w:val="en-US"/>
              </w:rPr>
            </w:pPr>
          </w:p>
        </w:tc>
        <w:tc>
          <w:tcPr>
            <w:tcW w:w="4756" w:type="dxa"/>
            <w:hideMark/>
          </w:tcPr>
          <w:p w14:paraId="2155FE5F" w14:textId="77777777" w:rsidR="00CC482F" w:rsidRPr="002524CB" w:rsidRDefault="007079D3" w:rsidP="001069FF">
            <w:pPr>
              <w:rPr>
                <w:rFonts w:eastAsia="Times New Roman"/>
                <w:b/>
                <w:color w:val="000000"/>
                <w:szCs w:val="20"/>
                <w:lang w:val="de-DE"/>
              </w:rPr>
            </w:pPr>
            <w:r w:rsidRPr="5281FA9D">
              <w:rPr>
                <w:rFonts w:eastAsia="Times New Roman"/>
                <w:b/>
                <w:bCs/>
                <w:color w:val="000000" w:themeColor="text1"/>
                <w:lang w:val="de-DE"/>
              </w:rPr>
              <w:t>Malta</w:t>
            </w:r>
          </w:p>
          <w:p w14:paraId="1E59CF4B" w14:textId="3DAE7F4C" w:rsidR="38D6D42B" w:rsidRDefault="007079D3" w:rsidP="5281FA9D">
            <w:pPr>
              <w:rPr>
                <w:rFonts w:eastAsia="Times New Roman"/>
                <w:lang w:val="de-DE"/>
              </w:rPr>
            </w:pPr>
            <w:r w:rsidRPr="5281FA9D">
              <w:rPr>
                <w:rFonts w:eastAsia="Times New Roman"/>
                <w:lang w:val="de-DE"/>
              </w:rPr>
              <w:t>Pharma.MT Ltd.</w:t>
            </w:r>
          </w:p>
          <w:p w14:paraId="04890470" w14:textId="25084C9A" w:rsidR="38D6D42B" w:rsidRDefault="007079D3" w:rsidP="5281FA9D">
            <w:pPr>
              <w:rPr>
                <w:rFonts w:eastAsia="Times New Roman"/>
                <w:lang w:val="de-DE"/>
              </w:rPr>
            </w:pPr>
            <w:r w:rsidRPr="5281FA9D">
              <w:rPr>
                <w:rFonts w:eastAsia="Times New Roman"/>
                <w:lang w:val="de-DE"/>
              </w:rPr>
              <w:t>Tel: + 356 21337008</w:t>
            </w:r>
          </w:p>
          <w:p w14:paraId="2155FE62" w14:textId="77777777" w:rsidR="00CC482F" w:rsidRPr="002524CB" w:rsidRDefault="00CC482F" w:rsidP="001069FF">
            <w:pPr>
              <w:rPr>
                <w:rFonts w:eastAsia="Times New Roman"/>
                <w:lang w:val="de-DE"/>
              </w:rPr>
            </w:pPr>
          </w:p>
        </w:tc>
      </w:tr>
      <w:tr w:rsidR="00EA09FB" w:rsidRPr="00112B35" w14:paraId="2155FE6C" w14:textId="77777777" w:rsidTr="5281FA9D">
        <w:trPr>
          <w:cantSplit/>
        </w:trPr>
        <w:tc>
          <w:tcPr>
            <w:tcW w:w="4650" w:type="dxa"/>
            <w:hideMark/>
          </w:tcPr>
          <w:p w14:paraId="2155FE64" w14:textId="77777777" w:rsidR="00CC482F" w:rsidRPr="0032218E" w:rsidRDefault="007079D3" w:rsidP="001069FF">
            <w:pPr>
              <w:rPr>
                <w:rFonts w:eastAsia="Times New Roman"/>
                <w:color w:val="000000"/>
                <w:szCs w:val="20"/>
              </w:rPr>
            </w:pPr>
            <w:r w:rsidRPr="0032218E">
              <w:rPr>
                <w:rFonts w:eastAsia="Times New Roman"/>
                <w:b/>
                <w:color w:val="000000"/>
                <w:szCs w:val="20"/>
              </w:rPr>
              <w:t>Deutschland</w:t>
            </w:r>
          </w:p>
          <w:p w14:paraId="2155FE65" w14:textId="77777777" w:rsidR="00CC482F" w:rsidRPr="0032218E" w:rsidRDefault="007079D3" w:rsidP="001069FF">
            <w:pPr>
              <w:rPr>
                <w:rFonts w:eastAsia="Times New Roman"/>
                <w:color w:val="000000"/>
                <w:szCs w:val="20"/>
              </w:rPr>
            </w:pPr>
            <w:r w:rsidRPr="0032218E">
              <w:rPr>
                <w:rFonts w:eastAsia="Times New Roman"/>
                <w:color w:val="000000"/>
                <w:szCs w:val="20"/>
              </w:rPr>
              <w:t>STADAPHARM GmbH</w:t>
            </w:r>
          </w:p>
          <w:p w14:paraId="2155FE66" w14:textId="77777777" w:rsidR="00CC482F" w:rsidRPr="0032218E" w:rsidRDefault="007079D3" w:rsidP="001069FF">
            <w:pPr>
              <w:rPr>
                <w:rFonts w:eastAsia="Times New Roman"/>
                <w:color w:val="000000"/>
                <w:szCs w:val="20"/>
              </w:rPr>
            </w:pPr>
            <w:r w:rsidRPr="0032218E">
              <w:rPr>
                <w:rFonts w:eastAsia="Times New Roman"/>
                <w:color w:val="000000"/>
                <w:szCs w:val="20"/>
              </w:rPr>
              <w:t>Tel: +49 61016030</w:t>
            </w:r>
          </w:p>
          <w:p w14:paraId="2155FE67" w14:textId="77777777" w:rsidR="00CC482F" w:rsidRPr="0032218E" w:rsidRDefault="00CC482F" w:rsidP="001069FF">
            <w:pPr>
              <w:rPr>
                <w:rFonts w:eastAsia="Times New Roman"/>
              </w:rPr>
            </w:pPr>
          </w:p>
        </w:tc>
        <w:tc>
          <w:tcPr>
            <w:tcW w:w="4756" w:type="dxa"/>
            <w:hideMark/>
          </w:tcPr>
          <w:p w14:paraId="2155FE68" w14:textId="77777777" w:rsidR="00CC482F" w:rsidRPr="007065FF" w:rsidRDefault="007079D3" w:rsidP="001069FF">
            <w:pPr>
              <w:suppressAutoHyphens/>
              <w:rPr>
                <w:rFonts w:eastAsia="Times New Roman"/>
                <w:color w:val="000000"/>
                <w:szCs w:val="20"/>
                <w:lang w:val="en-US"/>
              </w:rPr>
            </w:pPr>
            <w:r w:rsidRPr="007065FF">
              <w:rPr>
                <w:rFonts w:eastAsia="Times New Roman"/>
                <w:b/>
                <w:color w:val="000000"/>
                <w:szCs w:val="20"/>
                <w:lang w:val="en-US"/>
              </w:rPr>
              <w:t>Nederland</w:t>
            </w:r>
          </w:p>
          <w:p w14:paraId="2155FE69" w14:textId="77777777" w:rsidR="00CC482F" w:rsidRPr="007065FF" w:rsidRDefault="007079D3" w:rsidP="001069FF">
            <w:pPr>
              <w:rPr>
                <w:rFonts w:eastAsia="Times New Roman"/>
                <w:color w:val="000000"/>
                <w:szCs w:val="20"/>
                <w:lang w:val="en-US"/>
              </w:rPr>
            </w:pPr>
            <w:r w:rsidRPr="007065FF">
              <w:rPr>
                <w:rFonts w:eastAsia="Times New Roman"/>
                <w:color w:val="000000"/>
                <w:szCs w:val="20"/>
                <w:lang w:val="en-US"/>
              </w:rPr>
              <w:t>Centrafarm B.V.</w:t>
            </w:r>
          </w:p>
          <w:p w14:paraId="2155FE6A" w14:textId="77777777" w:rsidR="00CC482F" w:rsidRPr="007065FF" w:rsidRDefault="007079D3" w:rsidP="001069FF">
            <w:pPr>
              <w:suppressAutoHyphens/>
              <w:rPr>
                <w:rFonts w:eastAsia="Times New Roman"/>
                <w:color w:val="000000"/>
                <w:szCs w:val="20"/>
                <w:lang w:val="en-US"/>
              </w:rPr>
            </w:pPr>
            <w:r w:rsidRPr="007065FF">
              <w:rPr>
                <w:rFonts w:eastAsia="Times New Roman"/>
                <w:color w:val="000000"/>
                <w:szCs w:val="20"/>
                <w:lang w:val="en-US"/>
              </w:rPr>
              <w:t>Tel.: +31 765081000</w:t>
            </w:r>
          </w:p>
          <w:p w14:paraId="2155FE6B" w14:textId="77777777" w:rsidR="00CC482F" w:rsidRPr="007065FF" w:rsidRDefault="00CC482F" w:rsidP="001069FF">
            <w:pPr>
              <w:rPr>
                <w:rFonts w:eastAsia="Times New Roman"/>
                <w:lang w:val="en-US"/>
              </w:rPr>
            </w:pPr>
          </w:p>
        </w:tc>
      </w:tr>
      <w:tr w:rsidR="00EA09FB" w:rsidRPr="00112B35" w14:paraId="2155FE75" w14:textId="77777777" w:rsidTr="5281FA9D">
        <w:trPr>
          <w:cantSplit/>
        </w:trPr>
        <w:tc>
          <w:tcPr>
            <w:tcW w:w="4650" w:type="dxa"/>
            <w:hideMark/>
          </w:tcPr>
          <w:p w14:paraId="2155FE6D" w14:textId="77777777" w:rsidR="00CC482F" w:rsidRPr="007065FF" w:rsidRDefault="007079D3" w:rsidP="001069FF">
            <w:pPr>
              <w:suppressAutoHyphens/>
              <w:rPr>
                <w:rFonts w:eastAsia="Times New Roman"/>
                <w:b/>
                <w:bCs/>
                <w:color w:val="000000"/>
                <w:szCs w:val="20"/>
                <w:lang w:val="en-US"/>
              </w:rPr>
            </w:pPr>
            <w:r w:rsidRPr="007065FF">
              <w:rPr>
                <w:rFonts w:eastAsia="Times New Roman"/>
                <w:b/>
                <w:bCs/>
                <w:color w:val="000000"/>
                <w:szCs w:val="20"/>
                <w:lang w:val="en-US"/>
              </w:rPr>
              <w:t>Eesti</w:t>
            </w:r>
          </w:p>
          <w:p w14:paraId="2155FE6E" w14:textId="77777777" w:rsidR="00CC482F" w:rsidRPr="007065FF" w:rsidRDefault="007079D3" w:rsidP="001069FF">
            <w:pPr>
              <w:autoSpaceDE w:val="0"/>
              <w:autoSpaceDN w:val="0"/>
              <w:adjustRightInd w:val="0"/>
              <w:rPr>
                <w:rFonts w:eastAsia="Times New Roman"/>
                <w:color w:val="000000"/>
                <w:szCs w:val="20"/>
                <w:lang w:val="en-US"/>
              </w:rPr>
            </w:pPr>
            <w:r w:rsidRPr="007065FF">
              <w:rPr>
                <w:rFonts w:eastAsia="Times New Roman"/>
                <w:color w:val="000000"/>
                <w:szCs w:val="20"/>
                <w:lang w:val="en-US"/>
              </w:rPr>
              <w:t>UAB „STADA Baltics“</w:t>
            </w:r>
          </w:p>
          <w:p w14:paraId="2155FE6F" w14:textId="77777777" w:rsidR="00CC482F" w:rsidRPr="007065FF" w:rsidRDefault="007079D3" w:rsidP="001069FF">
            <w:pPr>
              <w:autoSpaceDE w:val="0"/>
              <w:autoSpaceDN w:val="0"/>
              <w:adjustRightInd w:val="0"/>
              <w:rPr>
                <w:rFonts w:eastAsia="Times New Roman"/>
                <w:color w:val="000000"/>
                <w:szCs w:val="20"/>
                <w:lang w:val="en-US"/>
              </w:rPr>
            </w:pPr>
            <w:r w:rsidRPr="007065FF">
              <w:rPr>
                <w:rFonts w:eastAsia="Times New Roman"/>
                <w:color w:val="000000"/>
                <w:szCs w:val="20"/>
                <w:lang w:val="en-US"/>
              </w:rPr>
              <w:t>Tel: +372 53072153</w:t>
            </w:r>
          </w:p>
          <w:p w14:paraId="2155FE70" w14:textId="77777777" w:rsidR="00CC482F" w:rsidRPr="007065FF" w:rsidRDefault="00CC482F" w:rsidP="001069FF">
            <w:pPr>
              <w:rPr>
                <w:rFonts w:eastAsia="Times New Roman"/>
                <w:lang w:val="en-US"/>
              </w:rPr>
            </w:pPr>
          </w:p>
        </w:tc>
        <w:tc>
          <w:tcPr>
            <w:tcW w:w="4756" w:type="dxa"/>
            <w:hideMark/>
          </w:tcPr>
          <w:p w14:paraId="2155FE71" w14:textId="77777777" w:rsidR="00CC482F" w:rsidRPr="007065FF" w:rsidRDefault="007079D3" w:rsidP="001069FF">
            <w:pPr>
              <w:rPr>
                <w:rFonts w:eastAsia="Times New Roman"/>
                <w:color w:val="000000"/>
                <w:szCs w:val="20"/>
                <w:lang w:val="en-US"/>
              </w:rPr>
            </w:pPr>
            <w:r w:rsidRPr="007065FF">
              <w:rPr>
                <w:rFonts w:eastAsia="Times New Roman"/>
                <w:b/>
                <w:color w:val="000000"/>
                <w:szCs w:val="20"/>
                <w:lang w:val="en-US"/>
              </w:rPr>
              <w:t>Norge</w:t>
            </w:r>
          </w:p>
          <w:p w14:paraId="2155FE72" w14:textId="77777777" w:rsidR="00CC482F" w:rsidRPr="007065FF" w:rsidRDefault="007079D3" w:rsidP="001069FF">
            <w:pPr>
              <w:rPr>
                <w:rFonts w:eastAsia="Times New Roman"/>
                <w:color w:val="000000"/>
                <w:szCs w:val="20"/>
                <w:lang w:val="en-US"/>
              </w:rPr>
            </w:pPr>
            <w:r w:rsidRPr="007065FF">
              <w:rPr>
                <w:rFonts w:eastAsia="Times New Roman"/>
                <w:color w:val="000000"/>
                <w:szCs w:val="20"/>
                <w:lang w:val="en-US"/>
              </w:rPr>
              <w:t>STADA Nordic ApS</w:t>
            </w:r>
          </w:p>
          <w:p w14:paraId="2155FE73" w14:textId="77777777" w:rsidR="00CC482F" w:rsidRPr="007065FF" w:rsidRDefault="007079D3" w:rsidP="001069FF">
            <w:pPr>
              <w:rPr>
                <w:rFonts w:eastAsia="Times New Roman"/>
                <w:color w:val="000000"/>
                <w:szCs w:val="20"/>
                <w:lang w:val="en-US"/>
              </w:rPr>
            </w:pPr>
            <w:r w:rsidRPr="007065FF">
              <w:rPr>
                <w:rFonts w:eastAsia="Times New Roman"/>
                <w:color w:val="000000"/>
                <w:szCs w:val="20"/>
                <w:lang w:val="en-US"/>
              </w:rPr>
              <w:t>Tlf: +45 44859999</w:t>
            </w:r>
          </w:p>
          <w:p w14:paraId="2155FE74" w14:textId="77777777" w:rsidR="00CC482F" w:rsidRPr="007065FF" w:rsidRDefault="00CC482F" w:rsidP="001069FF">
            <w:pPr>
              <w:rPr>
                <w:rFonts w:eastAsia="Times New Roman"/>
                <w:lang w:val="en-US"/>
              </w:rPr>
            </w:pPr>
          </w:p>
        </w:tc>
      </w:tr>
      <w:tr w:rsidR="00EA09FB" w:rsidRPr="00112B35" w14:paraId="2155FE7E" w14:textId="77777777" w:rsidTr="5281FA9D">
        <w:trPr>
          <w:cantSplit/>
        </w:trPr>
        <w:tc>
          <w:tcPr>
            <w:tcW w:w="4650" w:type="dxa"/>
            <w:hideMark/>
          </w:tcPr>
          <w:p w14:paraId="2155FE76" w14:textId="77777777" w:rsidR="00CC482F" w:rsidRPr="002524CB" w:rsidRDefault="007079D3" w:rsidP="001069FF">
            <w:pPr>
              <w:rPr>
                <w:rFonts w:eastAsia="Times New Roman"/>
                <w:color w:val="000000"/>
                <w:szCs w:val="20"/>
                <w:lang w:val="de-DE"/>
              </w:rPr>
            </w:pPr>
            <w:r w:rsidRPr="0032218E">
              <w:rPr>
                <w:rFonts w:eastAsia="Times New Roman"/>
                <w:b/>
                <w:color w:val="000000"/>
                <w:szCs w:val="20"/>
              </w:rPr>
              <w:t>Ελλάδα</w:t>
            </w:r>
          </w:p>
          <w:p w14:paraId="160E22DB" w14:textId="77777777" w:rsidR="00D56F46" w:rsidRPr="00D56F46" w:rsidRDefault="00D56F46" w:rsidP="001069FF">
            <w:pPr>
              <w:rPr>
                <w:ins w:id="5" w:author="YZ" w:date="2026-07-12T16:51:00Z" w16du:dateUtc="2026-07-12T14:51:00Z"/>
                <w:rFonts w:eastAsia="Times New Roman"/>
                <w:color w:val="000000"/>
                <w:szCs w:val="20"/>
                <w:lang w:val="de-DE"/>
                <w:rPrChange w:id="6" w:author="YZ" w:date="2026-07-12T16:51:00Z" w16du:dateUtc="2026-07-12T14:51:00Z">
                  <w:rPr>
                    <w:ins w:id="7" w:author="YZ" w:date="2026-07-12T16:51:00Z" w16du:dateUtc="2026-07-12T14:51:00Z"/>
                    <w:rFonts w:eastAsia="Times New Roman"/>
                    <w:color w:val="000000"/>
                    <w:szCs w:val="20"/>
                    <w:lang w:val="de-DE"/>
                  </w:rPr>
                </w:rPrChange>
              </w:rPr>
            </w:pPr>
            <w:ins w:id="8" w:author="YZ" w:date="2026-07-12T16:51:00Z" w16du:dateUtc="2026-07-12T14:51:00Z">
              <w:r w:rsidRPr="00D56F46">
                <w:rPr>
                  <w:rFonts w:eastAsia="Times New Roman"/>
                  <w:color w:val="000000"/>
                  <w:szCs w:val="20"/>
                  <w:lang w:val="de-DE"/>
                  <w:rPrChange w:id="9" w:author="YZ" w:date="2026-07-12T16:51:00Z" w16du:dateUtc="2026-07-12T14:51:00Z">
                    <w:rPr>
                      <w:rFonts w:eastAsia="Times New Roman"/>
                      <w:color w:val="000000"/>
                      <w:szCs w:val="20"/>
                      <w:lang w:val="de-DE"/>
                    </w:rPr>
                  </w:rPrChange>
                </w:rPr>
                <w:t>Faran S.A.</w:t>
              </w:r>
            </w:ins>
          </w:p>
          <w:p w14:paraId="2155FE77" w14:textId="375BF7E9" w:rsidR="00CC482F" w:rsidRPr="002524CB" w:rsidDel="00D56F46" w:rsidRDefault="00D56F46" w:rsidP="001069FF">
            <w:pPr>
              <w:rPr>
                <w:del w:id="10" w:author="YZ" w:date="2026-07-12T16:51:00Z" w16du:dateUtc="2026-07-12T14:51:00Z"/>
                <w:rFonts w:eastAsia="Times New Roman"/>
                <w:color w:val="000000"/>
                <w:szCs w:val="20"/>
                <w:lang w:val="de-DE"/>
              </w:rPr>
            </w:pPr>
            <w:ins w:id="11" w:author="YZ" w:date="2026-07-12T16:51:00Z" w16du:dateUtc="2026-07-12T14:51:00Z">
              <w:r w:rsidRPr="00D56F46">
                <w:rPr>
                  <w:rFonts w:eastAsia="Times New Roman"/>
                  <w:color w:val="000000"/>
                  <w:szCs w:val="20"/>
                  <w:lang w:val="de-DE"/>
                  <w:rPrChange w:id="12" w:author="YZ" w:date="2026-07-12T16:51:00Z" w16du:dateUtc="2026-07-12T14:51:00Z">
                    <w:rPr>
                      <w:rFonts w:eastAsia="Times New Roman"/>
                      <w:color w:val="000000"/>
                      <w:szCs w:val="20"/>
                      <w:lang w:val="de-DE"/>
                    </w:rPr>
                  </w:rPrChange>
                </w:rPr>
                <w:t>Tel: +30 2106254175</w:t>
              </w:r>
            </w:ins>
            <w:del w:id="13" w:author="YZ" w:date="2026-07-12T16:51:00Z" w16du:dateUtc="2026-07-12T14:51:00Z">
              <w:r w:rsidR="007079D3" w:rsidRPr="002524CB" w:rsidDel="00D56F46">
                <w:rPr>
                  <w:rFonts w:eastAsia="Times New Roman"/>
                  <w:color w:val="000000"/>
                  <w:szCs w:val="20"/>
                  <w:lang w:val="de-DE"/>
                </w:rPr>
                <w:delText>STADA Arzneimittel AG</w:delText>
              </w:r>
            </w:del>
          </w:p>
          <w:p w14:paraId="2155FE79" w14:textId="68407716" w:rsidR="00CC482F" w:rsidRPr="002524CB" w:rsidRDefault="007079D3" w:rsidP="002D7CCB">
            <w:pPr>
              <w:suppressAutoHyphens/>
              <w:rPr>
                <w:rFonts w:eastAsia="Times New Roman"/>
                <w:lang w:val="de-DE"/>
              </w:rPr>
            </w:pPr>
            <w:del w:id="14" w:author="YZ" w:date="2026-07-12T16:51:00Z" w16du:dateUtc="2026-07-12T14:51:00Z">
              <w:r w:rsidRPr="002524CB" w:rsidDel="00D56F46">
                <w:rPr>
                  <w:rFonts w:eastAsia="Times New Roman"/>
                  <w:color w:val="000000"/>
                  <w:szCs w:val="20"/>
                  <w:lang w:val="de-DE"/>
                </w:rPr>
                <w:delText>Tel: +30 2106664667</w:delText>
              </w:r>
            </w:del>
            <w:r w:rsidRPr="002524CB">
              <w:rPr>
                <w:rFonts w:eastAsia="Times New Roman"/>
                <w:color w:val="000000"/>
                <w:szCs w:val="20"/>
                <w:lang w:val="de-DE"/>
              </w:rPr>
              <w:t xml:space="preserve"> </w:t>
            </w:r>
          </w:p>
        </w:tc>
        <w:tc>
          <w:tcPr>
            <w:tcW w:w="4756" w:type="dxa"/>
            <w:hideMark/>
          </w:tcPr>
          <w:p w14:paraId="2155FE7A" w14:textId="77777777" w:rsidR="00CC482F" w:rsidRPr="002524CB" w:rsidRDefault="007079D3" w:rsidP="001069FF">
            <w:pPr>
              <w:suppressAutoHyphens/>
              <w:rPr>
                <w:rFonts w:eastAsia="Times New Roman"/>
                <w:color w:val="000000"/>
                <w:szCs w:val="20"/>
                <w:lang w:val="de-DE"/>
              </w:rPr>
            </w:pPr>
            <w:r w:rsidRPr="002524CB">
              <w:rPr>
                <w:rFonts w:eastAsia="Times New Roman"/>
                <w:b/>
                <w:color w:val="000000"/>
                <w:szCs w:val="20"/>
                <w:lang w:val="de-DE"/>
              </w:rPr>
              <w:t>Österreich</w:t>
            </w:r>
          </w:p>
          <w:p w14:paraId="2155FE7B" w14:textId="77777777" w:rsidR="00CC482F" w:rsidRPr="002524CB" w:rsidRDefault="007079D3" w:rsidP="001069FF">
            <w:pPr>
              <w:suppressAutoHyphens/>
              <w:rPr>
                <w:rFonts w:eastAsia="Times New Roman"/>
                <w:i/>
                <w:color w:val="000000"/>
                <w:szCs w:val="20"/>
                <w:lang w:val="de-DE"/>
              </w:rPr>
            </w:pPr>
            <w:r w:rsidRPr="002524CB">
              <w:rPr>
                <w:rFonts w:eastAsia="Times New Roman"/>
                <w:color w:val="000000"/>
                <w:szCs w:val="20"/>
                <w:lang w:val="de-DE"/>
              </w:rPr>
              <w:t>STADA Arzneimittel GmbH</w:t>
            </w:r>
          </w:p>
          <w:p w14:paraId="2155FE7D" w14:textId="1DE1CE4F" w:rsidR="00CC482F" w:rsidRPr="002524CB" w:rsidRDefault="007079D3" w:rsidP="002D7CCB">
            <w:pPr>
              <w:suppressAutoHyphens/>
              <w:rPr>
                <w:rFonts w:eastAsia="Times New Roman"/>
                <w:lang w:val="de-DE"/>
              </w:rPr>
            </w:pPr>
            <w:r w:rsidRPr="002524CB">
              <w:rPr>
                <w:rFonts w:eastAsia="Times New Roman"/>
                <w:color w:val="000000"/>
                <w:szCs w:val="20"/>
                <w:lang w:val="de-DE"/>
              </w:rPr>
              <w:t>Tel: +43 136785850</w:t>
            </w:r>
          </w:p>
        </w:tc>
      </w:tr>
      <w:tr w:rsidR="00EA09FB" w14:paraId="2155FE87" w14:textId="77777777" w:rsidTr="5281FA9D">
        <w:trPr>
          <w:cantSplit/>
        </w:trPr>
        <w:tc>
          <w:tcPr>
            <w:tcW w:w="4650" w:type="dxa"/>
            <w:hideMark/>
          </w:tcPr>
          <w:p w14:paraId="2155FE7F" w14:textId="77777777" w:rsidR="00CC482F" w:rsidRPr="002524CB" w:rsidRDefault="007079D3" w:rsidP="001069FF">
            <w:pPr>
              <w:suppressAutoHyphens/>
              <w:rPr>
                <w:rFonts w:eastAsia="Times New Roman"/>
                <w:b/>
                <w:color w:val="000000"/>
                <w:szCs w:val="20"/>
                <w:lang w:val="es-ES"/>
              </w:rPr>
            </w:pPr>
            <w:r w:rsidRPr="002524CB">
              <w:rPr>
                <w:rFonts w:eastAsia="Times New Roman"/>
                <w:b/>
                <w:color w:val="000000"/>
                <w:szCs w:val="20"/>
                <w:lang w:val="es-ES"/>
              </w:rPr>
              <w:t>España</w:t>
            </w:r>
          </w:p>
          <w:p w14:paraId="2155FE80" w14:textId="77777777" w:rsidR="00CC482F" w:rsidRPr="002524CB" w:rsidRDefault="007079D3" w:rsidP="001069FF">
            <w:pPr>
              <w:suppressAutoHyphens/>
              <w:rPr>
                <w:rFonts w:eastAsia="Times New Roman"/>
                <w:color w:val="000000"/>
                <w:szCs w:val="20"/>
                <w:lang w:val="es-ES"/>
              </w:rPr>
            </w:pPr>
            <w:r w:rsidRPr="002524CB">
              <w:rPr>
                <w:rFonts w:eastAsia="Times New Roman"/>
                <w:color w:val="000000"/>
                <w:szCs w:val="20"/>
                <w:lang w:val="es-ES"/>
              </w:rPr>
              <w:t>Laboratorio STADA, S.L.</w:t>
            </w:r>
          </w:p>
          <w:p w14:paraId="2155FE81" w14:textId="77777777" w:rsidR="00CC482F" w:rsidRPr="0032218E" w:rsidRDefault="007079D3" w:rsidP="001069FF">
            <w:pPr>
              <w:rPr>
                <w:rFonts w:eastAsia="Times New Roman"/>
                <w:color w:val="000000"/>
                <w:szCs w:val="20"/>
              </w:rPr>
            </w:pPr>
            <w:r w:rsidRPr="0032218E">
              <w:rPr>
                <w:rFonts w:eastAsia="Times New Roman"/>
                <w:color w:val="000000"/>
                <w:szCs w:val="20"/>
              </w:rPr>
              <w:t>Tel: +34 934738889</w:t>
            </w:r>
          </w:p>
          <w:p w14:paraId="2155FE82" w14:textId="77777777" w:rsidR="00CC482F" w:rsidRPr="0032218E" w:rsidRDefault="00CC482F" w:rsidP="001069FF">
            <w:pPr>
              <w:rPr>
                <w:rFonts w:eastAsia="Times New Roman"/>
              </w:rPr>
            </w:pPr>
          </w:p>
        </w:tc>
        <w:tc>
          <w:tcPr>
            <w:tcW w:w="4756" w:type="dxa"/>
            <w:hideMark/>
          </w:tcPr>
          <w:p w14:paraId="2155FE83" w14:textId="77777777" w:rsidR="00CC482F" w:rsidRPr="00FF4020" w:rsidRDefault="007079D3" w:rsidP="001069FF">
            <w:pPr>
              <w:suppressAutoHyphens/>
              <w:rPr>
                <w:rFonts w:eastAsia="Times New Roman"/>
                <w:b/>
                <w:bCs/>
                <w:i/>
                <w:iCs/>
                <w:color w:val="000000"/>
                <w:szCs w:val="20"/>
                <w:lang w:val="pl-PL"/>
              </w:rPr>
            </w:pPr>
            <w:r w:rsidRPr="00FF4020">
              <w:rPr>
                <w:rFonts w:eastAsia="Times New Roman"/>
                <w:b/>
                <w:color w:val="000000"/>
                <w:szCs w:val="20"/>
                <w:lang w:val="pl-PL"/>
              </w:rPr>
              <w:t>Polska</w:t>
            </w:r>
          </w:p>
          <w:p w14:paraId="2155FE84" w14:textId="7ABC9D63" w:rsidR="00CC482F" w:rsidRPr="00FF4020" w:rsidRDefault="007079D3" w:rsidP="001069FF">
            <w:pPr>
              <w:suppressAutoHyphens/>
              <w:rPr>
                <w:rFonts w:eastAsia="Times New Roman"/>
                <w:color w:val="000000"/>
                <w:szCs w:val="20"/>
                <w:lang w:val="pl-PL" w:eastAsia="en-CA"/>
              </w:rPr>
            </w:pPr>
            <w:r w:rsidRPr="00FF4020">
              <w:rPr>
                <w:rFonts w:eastAsia="Times New Roman"/>
                <w:color w:val="000000"/>
                <w:szCs w:val="20"/>
                <w:lang w:val="pl-PL" w:eastAsia="en-CA"/>
              </w:rPr>
              <w:t>STADA Poland Sp. z</w:t>
            </w:r>
            <w:r w:rsidR="00E47E47">
              <w:rPr>
                <w:rFonts w:eastAsia="Times New Roman"/>
                <w:color w:val="000000"/>
                <w:szCs w:val="20"/>
                <w:lang w:val="pl-PL" w:eastAsia="en-CA"/>
              </w:rPr>
              <w:t xml:space="preserve"> </w:t>
            </w:r>
            <w:r w:rsidRPr="00FF4020">
              <w:rPr>
                <w:rFonts w:eastAsia="Times New Roman"/>
                <w:color w:val="000000"/>
                <w:szCs w:val="20"/>
                <w:lang w:val="pl-PL" w:eastAsia="en-CA"/>
              </w:rPr>
              <w:t>o</w:t>
            </w:r>
            <w:r w:rsidR="00E47E47">
              <w:rPr>
                <w:rFonts w:eastAsia="Times New Roman"/>
                <w:color w:val="000000"/>
                <w:szCs w:val="20"/>
                <w:lang w:val="pl-PL" w:eastAsia="en-CA"/>
              </w:rPr>
              <w:t>.</w:t>
            </w:r>
            <w:r w:rsidRPr="00FF4020">
              <w:rPr>
                <w:rFonts w:eastAsia="Times New Roman"/>
                <w:color w:val="000000"/>
                <w:szCs w:val="20"/>
                <w:lang w:val="pl-PL" w:eastAsia="en-CA"/>
              </w:rPr>
              <w:t>o.</w:t>
            </w:r>
          </w:p>
          <w:p w14:paraId="2155FE85" w14:textId="77777777" w:rsidR="00CC482F" w:rsidRPr="0032218E" w:rsidRDefault="007079D3" w:rsidP="001069FF">
            <w:pPr>
              <w:suppressAutoHyphens/>
              <w:rPr>
                <w:rFonts w:eastAsia="Times New Roman"/>
                <w:color w:val="000000"/>
                <w:szCs w:val="20"/>
              </w:rPr>
            </w:pPr>
            <w:r w:rsidRPr="0032218E">
              <w:rPr>
                <w:rFonts w:eastAsia="Times New Roman"/>
                <w:color w:val="000000"/>
                <w:szCs w:val="20"/>
                <w:lang w:eastAsia="en-CA"/>
              </w:rPr>
              <w:t>Tel: +48 227377920</w:t>
            </w:r>
          </w:p>
          <w:p w14:paraId="2155FE86" w14:textId="77777777" w:rsidR="00CC482F" w:rsidRPr="0032218E" w:rsidRDefault="00CC482F" w:rsidP="001069FF">
            <w:pPr>
              <w:rPr>
                <w:rFonts w:eastAsia="Times New Roman"/>
              </w:rPr>
            </w:pPr>
          </w:p>
        </w:tc>
      </w:tr>
      <w:tr w:rsidR="00EA09FB" w14:paraId="2155FE90" w14:textId="77777777" w:rsidTr="5281FA9D">
        <w:trPr>
          <w:cantSplit/>
        </w:trPr>
        <w:tc>
          <w:tcPr>
            <w:tcW w:w="4650" w:type="dxa"/>
            <w:hideMark/>
          </w:tcPr>
          <w:p w14:paraId="2155FE88" w14:textId="77777777" w:rsidR="00CC482F" w:rsidRPr="002524CB" w:rsidRDefault="007079D3" w:rsidP="001069FF">
            <w:pPr>
              <w:suppressAutoHyphens/>
              <w:rPr>
                <w:rFonts w:eastAsia="Times New Roman"/>
                <w:b/>
                <w:color w:val="000000"/>
                <w:szCs w:val="20"/>
                <w:lang w:val="fr-FR"/>
              </w:rPr>
            </w:pPr>
            <w:r w:rsidRPr="002524CB">
              <w:rPr>
                <w:rFonts w:eastAsia="Times New Roman"/>
                <w:b/>
                <w:color w:val="000000"/>
                <w:szCs w:val="20"/>
                <w:lang w:val="fr-FR"/>
              </w:rPr>
              <w:t>France</w:t>
            </w:r>
          </w:p>
          <w:p w14:paraId="2155FE89" w14:textId="77777777" w:rsidR="00CC482F" w:rsidRPr="002524CB" w:rsidRDefault="007079D3" w:rsidP="001069FF">
            <w:pPr>
              <w:rPr>
                <w:rFonts w:eastAsia="Times New Roman"/>
                <w:color w:val="000000"/>
                <w:szCs w:val="20"/>
                <w:lang w:val="fr-FR"/>
              </w:rPr>
            </w:pPr>
            <w:r w:rsidRPr="002524CB">
              <w:rPr>
                <w:rFonts w:eastAsia="Times New Roman"/>
                <w:color w:val="000000"/>
                <w:szCs w:val="20"/>
                <w:lang w:val="fr-FR"/>
              </w:rPr>
              <w:t>EG LABO - Laboratoires EuroGenerics</w:t>
            </w:r>
          </w:p>
          <w:p w14:paraId="2155FE8A" w14:textId="77777777" w:rsidR="00CC482F" w:rsidRPr="002524CB" w:rsidRDefault="007079D3" w:rsidP="001069FF">
            <w:pPr>
              <w:rPr>
                <w:rFonts w:eastAsia="Times New Roman"/>
                <w:color w:val="000000"/>
                <w:szCs w:val="20"/>
                <w:lang w:val="fr-FR"/>
              </w:rPr>
            </w:pPr>
            <w:r w:rsidRPr="002524CB">
              <w:rPr>
                <w:rFonts w:eastAsia="Times New Roman"/>
                <w:color w:val="000000"/>
                <w:szCs w:val="20"/>
                <w:lang w:val="fr-FR"/>
              </w:rPr>
              <w:t>Tél: +33 146948686</w:t>
            </w:r>
          </w:p>
          <w:p w14:paraId="2155FE8B" w14:textId="77777777" w:rsidR="00CC482F" w:rsidRPr="002524CB" w:rsidRDefault="00CC482F" w:rsidP="001069FF">
            <w:pPr>
              <w:rPr>
                <w:rFonts w:eastAsia="Times New Roman"/>
                <w:lang w:val="fr-FR"/>
              </w:rPr>
            </w:pPr>
          </w:p>
        </w:tc>
        <w:tc>
          <w:tcPr>
            <w:tcW w:w="4756" w:type="dxa"/>
            <w:hideMark/>
          </w:tcPr>
          <w:p w14:paraId="2155FE8C" w14:textId="77777777" w:rsidR="00CC482F" w:rsidRPr="0032218E" w:rsidRDefault="007079D3" w:rsidP="001069FF">
            <w:pPr>
              <w:suppressAutoHyphens/>
              <w:rPr>
                <w:rFonts w:eastAsia="Times New Roman"/>
                <w:color w:val="000000"/>
                <w:szCs w:val="20"/>
              </w:rPr>
            </w:pPr>
            <w:r w:rsidRPr="0032218E">
              <w:rPr>
                <w:rFonts w:eastAsia="Times New Roman"/>
                <w:b/>
                <w:color w:val="000000"/>
                <w:szCs w:val="20"/>
              </w:rPr>
              <w:t>Portugal</w:t>
            </w:r>
          </w:p>
          <w:p w14:paraId="2155FE8D" w14:textId="77777777" w:rsidR="00CC482F" w:rsidRPr="0032218E" w:rsidRDefault="007079D3" w:rsidP="001069FF">
            <w:pPr>
              <w:suppressAutoHyphens/>
              <w:rPr>
                <w:rFonts w:eastAsia="Times New Roman"/>
                <w:color w:val="000000"/>
                <w:szCs w:val="20"/>
              </w:rPr>
            </w:pPr>
            <w:r w:rsidRPr="0032218E">
              <w:rPr>
                <w:rFonts w:eastAsia="Times New Roman"/>
                <w:color w:val="000000"/>
                <w:szCs w:val="20"/>
              </w:rPr>
              <w:t>Stada, Lda.</w:t>
            </w:r>
          </w:p>
          <w:p w14:paraId="2155FE8E" w14:textId="77777777" w:rsidR="00CC482F" w:rsidRPr="0032218E" w:rsidRDefault="007079D3" w:rsidP="001069FF">
            <w:pPr>
              <w:suppressAutoHyphens/>
              <w:rPr>
                <w:rFonts w:eastAsia="Times New Roman"/>
                <w:color w:val="000000"/>
                <w:szCs w:val="20"/>
              </w:rPr>
            </w:pPr>
            <w:r w:rsidRPr="0032218E">
              <w:rPr>
                <w:rFonts w:eastAsia="Times New Roman"/>
                <w:color w:val="000000"/>
                <w:szCs w:val="20"/>
              </w:rPr>
              <w:t>Tel: +351 211209870</w:t>
            </w:r>
          </w:p>
          <w:p w14:paraId="2155FE8F" w14:textId="77777777" w:rsidR="00CC482F" w:rsidRPr="0032218E" w:rsidRDefault="00CC482F" w:rsidP="001069FF">
            <w:pPr>
              <w:rPr>
                <w:rFonts w:eastAsia="Times New Roman"/>
              </w:rPr>
            </w:pPr>
          </w:p>
        </w:tc>
      </w:tr>
      <w:tr w:rsidR="00EA09FB" w:rsidRPr="00112B35" w14:paraId="2155FE99" w14:textId="77777777" w:rsidTr="5281FA9D">
        <w:trPr>
          <w:cantSplit/>
        </w:trPr>
        <w:tc>
          <w:tcPr>
            <w:tcW w:w="4650" w:type="dxa"/>
            <w:hideMark/>
          </w:tcPr>
          <w:p w14:paraId="2155FE91" w14:textId="77777777" w:rsidR="00CC482F" w:rsidRPr="00A92C8A" w:rsidRDefault="007079D3" w:rsidP="001069FF">
            <w:pPr>
              <w:rPr>
                <w:rFonts w:eastAsia="Times New Roman"/>
                <w:color w:val="000000"/>
                <w:szCs w:val="20"/>
              </w:rPr>
            </w:pPr>
            <w:r w:rsidRPr="00C52618">
              <w:rPr>
                <w:rFonts w:eastAsia="Times New Roman"/>
                <w:b/>
                <w:color w:val="000000"/>
                <w:szCs w:val="20"/>
                <w:lang w:val="de-DE"/>
              </w:rPr>
              <w:t>Hrvatska</w:t>
            </w:r>
          </w:p>
          <w:p w14:paraId="2155FE92" w14:textId="77777777" w:rsidR="00CC482F" w:rsidRPr="00A92C8A" w:rsidRDefault="007079D3" w:rsidP="001069FF">
            <w:pPr>
              <w:rPr>
                <w:rFonts w:eastAsia="Times New Roman"/>
                <w:color w:val="000000"/>
                <w:szCs w:val="20"/>
              </w:rPr>
            </w:pPr>
            <w:r w:rsidRPr="00C52618">
              <w:rPr>
                <w:rFonts w:eastAsia="Times New Roman"/>
                <w:color w:val="000000"/>
                <w:szCs w:val="20"/>
                <w:lang w:val="de-DE"/>
              </w:rPr>
              <w:t>STADA</w:t>
            </w:r>
            <w:r w:rsidRPr="00A92C8A">
              <w:rPr>
                <w:rFonts w:eastAsia="Times New Roman"/>
                <w:color w:val="000000"/>
                <w:szCs w:val="20"/>
              </w:rPr>
              <w:t xml:space="preserve"> </w:t>
            </w:r>
            <w:r w:rsidRPr="00C52618">
              <w:rPr>
                <w:rFonts w:eastAsia="Times New Roman"/>
                <w:color w:val="000000"/>
                <w:szCs w:val="20"/>
                <w:lang w:val="de-DE"/>
              </w:rPr>
              <w:t>d</w:t>
            </w:r>
            <w:r w:rsidRPr="00A92C8A">
              <w:rPr>
                <w:rFonts w:eastAsia="Times New Roman"/>
                <w:color w:val="000000"/>
                <w:szCs w:val="20"/>
              </w:rPr>
              <w:t>.</w:t>
            </w:r>
            <w:r w:rsidRPr="00C52618">
              <w:rPr>
                <w:rFonts w:eastAsia="Times New Roman"/>
                <w:color w:val="000000"/>
                <w:szCs w:val="20"/>
                <w:lang w:val="de-DE"/>
              </w:rPr>
              <w:t>o</w:t>
            </w:r>
            <w:r w:rsidRPr="00A92C8A">
              <w:rPr>
                <w:rFonts w:eastAsia="Times New Roman"/>
                <w:color w:val="000000"/>
                <w:szCs w:val="20"/>
              </w:rPr>
              <w:t>.</w:t>
            </w:r>
            <w:r w:rsidRPr="00C52618">
              <w:rPr>
                <w:rFonts w:eastAsia="Times New Roman"/>
                <w:color w:val="000000"/>
                <w:szCs w:val="20"/>
                <w:lang w:val="de-DE"/>
              </w:rPr>
              <w:t>o</w:t>
            </w:r>
            <w:r w:rsidRPr="00A92C8A">
              <w:rPr>
                <w:rFonts w:eastAsia="Times New Roman"/>
                <w:color w:val="000000"/>
                <w:szCs w:val="20"/>
              </w:rPr>
              <w:t>.</w:t>
            </w:r>
          </w:p>
          <w:p w14:paraId="2155FE93" w14:textId="77777777" w:rsidR="00CC482F" w:rsidRPr="0032218E" w:rsidRDefault="007079D3" w:rsidP="001069FF">
            <w:pPr>
              <w:rPr>
                <w:rFonts w:eastAsia="Times New Roman"/>
                <w:color w:val="000000"/>
                <w:szCs w:val="20"/>
              </w:rPr>
            </w:pPr>
            <w:r w:rsidRPr="0032218E">
              <w:rPr>
                <w:rFonts w:eastAsia="Times New Roman"/>
                <w:color w:val="000000"/>
                <w:szCs w:val="20"/>
              </w:rPr>
              <w:t>Tel: +385 13764111</w:t>
            </w:r>
          </w:p>
          <w:p w14:paraId="2155FE94" w14:textId="77777777" w:rsidR="00CC482F" w:rsidRPr="0032218E" w:rsidRDefault="00CC482F" w:rsidP="001069FF">
            <w:pPr>
              <w:rPr>
                <w:rFonts w:eastAsia="Times New Roman"/>
              </w:rPr>
            </w:pPr>
          </w:p>
        </w:tc>
        <w:tc>
          <w:tcPr>
            <w:tcW w:w="4756" w:type="dxa"/>
            <w:hideMark/>
          </w:tcPr>
          <w:p w14:paraId="2155FE95" w14:textId="77777777" w:rsidR="00CC482F" w:rsidRPr="002524CB" w:rsidRDefault="007079D3" w:rsidP="001069FF">
            <w:pPr>
              <w:suppressAutoHyphens/>
              <w:rPr>
                <w:rFonts w:eastAsia="Times New Roman"/>
                <w:b/>
                <w:color w:val="000000"/>
                <w:szCs w:val="20"/>
                <w:lang w:val="pt-PT"/>
              </w:rPr>
            </w:pPr>
            <w:r w:rsidRPr="002524CB">
              <w:rPr>
                <w:rFonts w:eastAsia="Times New Roman"/>
                <w:b/>
                <w:color w:val="000000"/>
                <w:szCs w:val="20"/>
                <w:lang w:val="pt-PT"/>
              </w:rPr>
              <w:t>România</w:t>
            </w:r>
          </w:p>
          <w:p w14:paraId="2155FE96" w14:textId="77777777" w:rsidR="00CC482F" w:rsidRPr="002524CB" w:rsidRDefault="007079D3" w:rsidP="001069FF">
            <w:pPr>
              <w:suppressAutoHyphens/>
              <w:rPr>
                <w:rFonts w:eastAsia="Times New Roman"/>
                <w:color w:val="000000"/>
                <w:szCs w:val="20"/>
                <w:lang w:val="pt-PT"/>
              </w:rPr>
            </w:pPr>
            <w:r w:rsidRPr="002524CB">
              <w:rPr>
                <w:rFonts w:eastAsia="Times New Roman"/>
                <w:color w:val="000000"/>
                <w:szCs w:val="20"/>
                <w:lang w:val="pt-PT"/>
              </w:rPr>
              <w:t>STADA M&amp;D SRL</w:t>
            </w:r>
          </w:p>
          <w:p w14:paraId="2155FE97" w14:textId="77777777" w:rsidR="00CC482F" w:rsidRPr="002524CB" w:rsidRDefault="007079D3" w:rsidP="001069FF">
            <w:pPr>
              <w:suppressAutoHyphens/>
              <w:rPr>
                <w:rFonts w:eastAsia="Times New Roman"/>
                <w:color w:val="000000"/>
                <w:szCs w:val="20"/>
                <w:lang w:val="pt-PT"/>
              </w:rPr>
            </w:pPr>
            <w:r w:rsidRPr="002524CB">
              <w:rPr>
                <w:rFonts w:eastAsia="Times New Roman"/>
                <w:color w:val="000000"/>
                <w:szCs w:val="20"/>
                <w:lang w:val="pt-PT"/>
              </w:rPr>
              <w:t>Tel: +40 213160640</w:t>
            </w:r>
          </w:p>
          <w:p w14:paraId="2155FE98" w14:textId="77777777" w:rsidR="00CC482F" w:rsidRPr="002524CB" w:rsidRDefault="00CC482F" w:rsidP="001069FF">
            <w:pPr>
              <w:rPr>
                <w:rFonts w:eastAsia="Times New Roman"/>
                <w:lang w:val="pt-PT"/>
              </w:rPr>
            </w:pPr>
          </w:p>
        </w:tc>
      </w:tr>
      <w:tr w:rsidR="00EA09FB" w14:paraId="2155FEA2" w14:textId="77777777" w:rsidTr="5281FA9D">
        <w:trPr>
          <w:cantSplit/>
        </w:trPr>
        <w:tc>
          <w:tcPr>
            <w:tcW w:w="4650" w:type="dxa"/>
            <w:hideMark/>
          </w:tcPr>
          <w:p w14:paraId="2155FE9A" w14:textId="77777777" w:rsidR="00CC482F" w:rsidRPr="00CC482F" w:rsidRDefault="007079D3" w:rsidP="001069FF">
            <w:pPr>
              <w:rPr>
                <w:rFonts w:eastAsia="Times New Roman"/>
                <w:color w:val="000000"/>
                <w:szCs w:val="20"/>
                <w:lang w:val="en-US"/>
              </w:rPr>
            </w:pPr>
            <w:r w:rsidRPr="000C6BB6">
              <w:rPr>
                <w:rFonts w:eastAsia="Times New Roman"/>
                <w:color w:val="000000"/>
                <w:szCs w:val="20"/>
                <w:lang w:val="en-US"/>
              </w:rPr>
              <w:br w:type="page"/>
            </w:r>
            <w:r w:rsidRPr="00CC482F">
              <w:rPr>
                <w:rFonts w:eastAsia="Times New Roman"/>
                <w:b/>
                <w:color w:val="000000"/>
                <w:szCs w:val="20"/>
                <w:lang w:val="en-US"/>
              </w:rPr>
              <w:t>Ireland</w:t>
            </w:r>
          </w:p>
          <w:p w14:paraId="2155FE9B" w14:textId="77777777" w:rsidR="00CC482F" w:rsidRPr="00CC482F" w:rsidRDefault="007079D3" w:rsidP="001069FF">
            <w:pPr>
              <w:rPr>
                <w:rFonts w:eastAsia="Times New Roman"/>
                <w:color w:val="000000"/>
                <w:szCs w:val="20"/>
                <w:lang w:val="en-US"/>
              </w:rPr>
            </w:pPr>
            <w:r w:rsidRPr="00CC482F">
              <w:rPr>
                <w:rFonts w:eastAsia="Times New Roman"/>
                <w:color w:val="000000"/>
                <w:szCs w:val="20"/>
                <w:lang w:val="en-US"/>
              </w:rPr>
              <w:t>Clonmel Healthcare Ltd.</w:t>
            </w:r>
          </w:p>
          <w:p w14:paraId="2155FE9C" w14:textId="77777777" w:rsidR="00CC482F" w:rsidRPr="00CC482F" w:rsidRDefault="007079D3" w:rsidP="001069FF">
            <w:pPr>
              <w:rPr>
                <w:rFonts w:eastAsia="Times New Roman"/>
                <w:color w:val="000000"/>
                <w:szCs w:val="20"/>
                <w:lang w:val="en-US"/>
              </w:rPr>
            </w:pPr>
            <w:r w:rsidRPr="00CC482F">
              <w:rPr>
                <w:rFonts w:eastAsia="Times New Roman"/>
                <w:color w:val="000000"/>
                <w:szCs w:val="20"/>
                <w:lang w:val="en-US"/>
              </w:rPr>
              <w:t>Tel: +353 526177777</w:t>
            </w:r>
          </w:p>
          <w:p w14:paraId="2155FE9D" w14:textId="77777777" w:rsidR="00CC482F" w:rsidRPr="00CC482F" w:rsidRDefault="00CC482F" w:rsidP="001069FF">
            <w:pPr>
              <w:rPr>
                <w:rFonts w:eastAsia="Times New Roman"/>
                <w:lang w:val="en-US"/>
              </w:rPr>
            </w:pPr>
          </w:p>
        </w:tc>
        <w:tc>
          <w:tcPr>
            <w:tcW w:w="4756" w:type="dxa"/>
            <w:hideMark/>
          </w:tcPr>
          <w:p w14:paraId="2155FE9E" w14:textId="77777777" w:rsidR="00CC482F" w:rsidRPr="002524CB" w:rsidRDefault="007079D3" w:rsidP="001069FF">
            <w:pPr>
              <w:rPr>
                <w:rFonts w:eastAsia="Times New Roman"/>
                <w:color w:val="000000"/>
                <w:szCs w:val="20"/>
                <w:lang w:val="it-IT"/>
              </w:rPr>
            </w:pPr>
            <w:r w:rsidRPr="002524CB">
              <w:rPr>
                <w:rFonts w:eastAsia="Times New Roman"/>
                <w:b/>
                <w:color w:val="000000"/>
                <w:szCs w:val="20"/>
                <w:lang w:val="it-IT"/>
              </w:rPr>
              <w:t>Slovenija</w:t>
            </w:r>
          </w:p>
          <w:p w14:paraId="2155FE9F" w14:textId="77777777" w:rsidR="00CC482F" w:rsidRPr="002524CB" w:rsidRDefault="007079D3" w:rsidP="001069FF">
            <w:pPr>
              <w:rPr>
                <w:rFonts w:eastAsia="Times New Roman"/>
                <w:color w:val="000000"/>
                <w:szCs w:val="20"/>
                <w:lang w:val="it-IT"/>
              </w:rPr>
            </w:pPr>
            <w:r w:rsidRPr="002524CB">
              <w:rPr>
                <w:rFonts w:eastAsia="Times New Roman"/>
                <w:color w:val="000000"/>
                <w:szCs w:val="20"/>
                <w:lang w:val="it-IT"/>
              </w:rPr>
              <w:t>Stada d.o.o.</w:t>
            </w:r>
          </w:p>
          <w:p w14:paraId="2155FEA0" w14:textId="77777777" w:rsidR="00CC482F" w:rsidRPr="0032218E" w:rsidRDefault="007079D3" w:rsidP="001069FF">
            <w:pPr>
              <w:rPr>
                <w:rFonts w:eastAsia="Times New Roman"/>
                <w:color w:val="000000"/>
                <w:szCs w:val="20"/>
              </w:rPr>
            </w:pPr>
            <w:r w:rsidRPr="0032218E">
              <w:rPr>
                <w:rFonts w:eastAsia="Times New Roman"/>
                <w:color w:val="000000"/>
                <w:szCs w:val="20"/>
              </w:rPr>
              <w:t>Tel: +386 15896710</w:t>
            </w:r>
          </w:p>
          <w:p w14:paraId="2155FEA1" w14:textId="77777777" w:rsidR="00CC482F" w:rsidRPr="0032218E" w:rsidRDefault="00CC482F" w:rsidP="001069FF">
            <w:pPr>
              <w:rPr>
                <w:rFonts w:eastAsia="Times New Roman"/>
              </w:rPr>
            </w:pPr>
          </w:p>
        </w:tc>
      </w:tr>
      <w:tr w:rsidR="00EA09FB" w14:paraId="2155FEAB" w14:textId="77777777" w:rsidTr="5281FA9D">
        <w:trPr>
          <w:cantSplit/>
        </w:trPr>
        <w:tc>
          <w:tcPr>
            <w:tcW w:w="4650" w:type="dxa"/>
            <w:hideMark/>
          </w:tcPr>
          <w:p w14:paraId="2155FEA3" w14:textId="77777777" w:rsidR="00CC482F" w:rsidRPr="002524CB" w:rsidRDefault="007079D3" w:rsidP="001069FF">
            <w:pPr>
              <w:rPr>
                <w:rFonts w:eastAsia="Times New Roman"/>
                <w:b/>
                <w:color w:val="000000"/>
                <w:szCs w:val="20"/>
                <w:lang w:val="de-DE"/>
              </w:rPr>
            </w:pPr>
            <w:r w:rsidRPr="002524CB">
              <w:rPr>
                <w:rFonts w:eastAsia="Times New Roman"/>
                <w:b/>
                <w:color w:val="000000"/>
                <w:szCs w:val="20"/>
                <w:lang w:val="de-DE"/>
              </w:rPr>
              <w:t>Ísland</w:t>
            </w:r>
          </w:p>
          <w:p w14:paraId="2155FEA4" w14:textId="77777777" w:rsidR="00CC482F" w:rsidRPr="002524CB" w:rsidRDefault="007079D3" w:rsidP="001069FF">
            <w:pPr>
              <w:rPr>
                <w:rFonts w:eastAsia="Times New Roman"/>
                <w:color w:val="000000"/>
                <w:szCs w:val="20"/>
                <w:lang w:val="de-DE"/>
              </w:rPr>
            </w:pPr>
            <w:r w:rsidRPr="002524CB">
              <w:rPr>
                <w:rFonts w:eastAsia="Times New Roman"/>
                <w:color w:val="000000"/>
                <w:szCs w:val="20"/>
                <w:lang w:val="de-DE"/>
              </w:rPr>
              <w:t>STADA Arzneimittel AG</w:t>
            </w:r>
          </w:p>
          <w:p w14:paraId="2155FEA5" w14:textId="77777777" w:rsidR="00CC482F" w:rsidRPr="002524CB" w:rsidRDefault="007079D3" w:rsidP="001069FF">
            <w:pPr>
              <w:suppressAutoHyphens/>
              <w:rPr>
                <w:rFonts w:eastAsia="Times New Roman"/>
                <w:color w:val="000000"/>
                <w:szCs w:val="20"/>
                <w:lang w:val="de-DE"/>
              </w:rPr>
            </w:pPr>
            <w:r w:rsidRPr="002524CB">
              <w:rPr>
                <w:rFonts w:eastAsia="Times New Roman"/>
                <w:color w:val="000000"/>
                <w:szCs w:val="20"/>
                <w:lang w:val="de-DE"/>
              </w:rPr>
              <w:t>Sími: +49 61016030</w:t>
            </w:r>
          </w:p>
          <w:p w14:paraId="2155FEA6" w14:textId="77777777" w:rsidR="00CC482F" w:rsidRPr="002524CB" w:rsidRDefault="00CC482F" w:rsidP="001069FF">
            <w:pPr>
              <w:rPr>
                <w:rFonts w:eastAsia="Times New Roman"/>
                <w:lang w:val="de-DE"/>
              </w:rPr>
            </w:pPr>
          </w:p>
        </w:tc>
        <w:tc>
          <w:tcPr>
            <w:tcW w:w="4756" w:type="dxa"/>
            <w:hideMark/>
          </w:tcPr>
          <w:p w14:paraId="2155FEA7" w14:textId="77777777" w:rsidR="00CC482F" w:rsidRPr="002524CB" w:rsidRDefault="007079D3" w:rsidP="001069FF">
            <w:pPr>
              <w:suppressAutoHyphens/>
              <w:rPr>
                <w:rFonts w:eastAsia="Times New Roman"/>
                <w:b/>
                <w:color w:val="000000"/>
                <w:szCs w:val="20"/>
                <w:lang w:val="de-DE"/>
              </w:rPr>
            </w:pPr>
            <w:r w:rsidRPr="002524CB">
              <w:rPr>
                <w:rFonts w:eastAsia="Times New Roman"/>
                <w:b/>
                <w:color w:val="000000"/>
                <w:szCs w:val="20"/>
                <w:lang w:val="de-DE"/>
              </w:rPr>
              <w:t>Slovenská republika</w:t>
            </w:r>
          </w:p>
          <w:p w14:paraId="2155FEA8" w14:textId="77777777" w:rsidR="00CC482F" w:rsidRPr="002524CB" w:rsidRDefault="007079D3" w:rsidP="001069FF">
            <w:pPr>
              <w:rPr>
                <w:rFonts w:eastAsia="Times New Roman"/>
                <w:color w:val="000000"/>
                <w:szCs w:val="20"/>
                <w:lang w:val="de-DE"/>
              </w:rPr>
            </w:pPr>
            <w:r w:rsidRPr="002524CB">
              <w:rPr>
                <w:rFonts w:eastAsia="Times New Roman"/>
                <w:color w:val="000000"/>
                <w:szCs w:val="20"/>
                <w:lang w:val="de-DE"/>
              </w:rPr>
              <w:t>STADA PHARMA Slovakia, s.r.o.</w:t>
            </w:r>
          </w:p>
          <w:p w14:paraId="2155FEA9" w14:textId="77777777" w:rsidR="00CC482F" w:rsidRPr="0032218E" w:rsidRDefault="007079D3" w:rsidP="001069FF">
            <w:pPr>
              <w:rPr>
                <w:rFonts w:eastAsia="Times New Roman"/>
                <w:color w:val="000000"/>
                <w:szCs w:val="20"/>
              </w:rPr>
            </w:pPr>
            <w:r w:rsidRPr="0032218E">
              <w:rPr>
                <w:rFonts w:eastAsia="Times New Roman"/>
                <w:color w:val="000000"/>
                <w:szCs w:val="20"/>
              </w:rPr>
              <w:t>Tel: +421 252621933</w:t>
            </w:r>
          </w:p>
          <w:p w14:paraId="2155FEAA" w14:textId="77777777" w:rsidR="00CC482F" w:rsidRPr="0032218E" w:rsidRDefault="00CC482F" w:rsidP="001069FF">
            <w:pPr>
              <w:rPr>
                <w:rFonts w:eastAsia="Times New Roman"/>
              </w:rPr>
            </w:pPr>
          </w:p>
        </w:tc>
      </w:tr>
      <w:tr w:rsidR="00EA09FB" w14:paraId="2155FEB4" w14:textId="77777777" w:rsidTr="5281FA9D">
        <w:trPr>
          <w:cantSplit/>
        </w:trPr>
        <w:tc>
          <w:tcPr>
            <w:tcW w:w="4650" w:type="dxa"/>
            <w:hideMark/>
          </w:tcPr>
          <w:p w14:paraId="2155FEAC" w14:textId="77777777" w:rsidR="00CC482F" w:rsidRPr="0032218E" w:rsidRDefault="007079D3" w:rsidP="001069FF">
            <w:pPr>
              <w:rPr>
                <w:rFonts w:eastAsia="Times New Roman"/>
                <w:color w:val="000000"/>
                <w:szCs w:val="20"/>
              </w:rPr>
            </w:pPr>
            <w:r w:rsidRPr="0032218E">
              <w:rPr>
                <w:rFonts w:eastAsia="Times New Roman"/>
                <w:b/>
                <w:color w:val="000000"/>
                <w:szCs w:val="20"/>
              </w:rPr>
              <w:t>Italia</w:t>
            </w:r>
          </w:p>
          <w:p w14:paraId="2155FEAD" w14:textId="77777777" w:rsidR="00CC482F" w:rsidRPr="0032218E" w:rsidRDefault="007079D3" w:rsidP="001069FF">
            <w:pPr>
              <w:autoSpaceDE w:val="0"/>
              <w:autoSpaceDN w:val="0"/>
              <w:rPr>
                <w:rFonts w:eastAsia="Times New Roman"/>
                <w:bCs/>
                <w:color w:val="000000"/>
                <w:szCs w:val="20"/>
              </w:rPr>
            </w:pPr>
            <w:r w:rsidRPr="0032218E">
              <w:rPr>
                <w:rFonts w:eastAsia="Times New Roman"/>
                <w:bCs/>
                <w:color w:val="000000"/>
                <w:szCs w:val="20"/>
              </w:rPr>
              <w:t>EG SpA</w:t>
            </w:r>
          </w:p>
          <w:p w14:paraId="2155FEAE" w14:textId="77777777" w:rsidR="00CC482F" w:rsidRPr="0032218E" w:rsidRDefault="007079D3" w:rsidP="001069FF">
            <w:pPr>
              <w:rPr>
                <w:rFonts w:eastAsia="Times New Roman"/>
                <w:bCs/>
                <w:color w:val="000000"/>
                <w:szCs w:val="20"/>
              </w:rPr>
            </w:pPr>
            <w:r w:rsidRPr="0032218E">
              <w:rPr>
                <w:rFonts w:eastAsia="Times New Roman"/>
                <w:bCs/>
                <w:color w:val="000000"/>
                <w:szCs w:val="20"/>
              </w:rPr>
              <w:t>Tel: +39 028310371</w:t>
            </w:r>
          </w:p>
          <w:p w14:paraId="2155FEAF" w14:textId="77777777" w:rsidR="00CC482F" w:rsidRPr="0032218E" w:rsidRDefault="00CC482F" w:rsidP="001069FF">
            <w:pPr>
              <w:rPr>
                <w:rFonts w:eastAsia="Times New Roman"/>
              </w:rPr>
            </w:pPr>
          </w:p>
        </w:tc>
        <w:tc>
          <w:tcPr>
            <w:tcW w:w="4756" w:type="dxa"/>
            <w:hideMark/>
          </w:tcPr>
          <w:p w14:paraId="2155FEB0" w14:textId="77777777" w:rsidR="00CC482F" w:rsidRPr="000D565D" w:rsidRDefault="007079D3" w:rsidP="001069FF">
            <w:pPr>
              <w:suppressAutoHyphens/>
              <w:rPr>
                <w:rFonts w:eastAsia="Times New Roman"/>
                <w:color w:val="000000"/>
                <w:szCs w:val="20"/>
                <w:lang w:val="fi-FI"/>
              </w:rPr>
            </w:pPr>
            <w:r w:rsidRPr="000D565D">
              <w:rPr>
                <w:rFonts w:eastAsia="Times New Roman"/>
                <w:b/>
                <w:color w:val="000000"/>
                <w:szCs w:val="20"/>
                <w:lang w:val="fi-FI"/>
              </w:rPr>
              <w:t>Suomi/Finland</w:t>
            </w:r>
          </w:p>
          <w:p w14:paraId="2155FEB1" w14:textId="77777777" w:rsidR="00CC482F" w:rsidRPr="000D565D" w:rsidRDefault="007079D3" w:rsidP="001069FF">
            <w:pPr>
              <w:rPr>
                <w:rFonts w:eastAsia="Times New Roman"/>
                <w:color w:val="000000"/>
                <w:szCs w:val="20"/>
                <w:lang w:val="fi-FI"/>
              </w:rPr>
            </w:pPr>
            <w:r w:rsidRPr="000D565D">
              <w:rPr>
                <w:rFonts w:eastAsia="Times New Roman"/>
                <w:color w:val="000000"/>
                <w:szCs w:val="20"/>
                <w:lang w:val="fi-FI" w:eastAsia="da-DK"/>
              </w:rPr>
              <w:t>STADA Nordic ApS, Suomen sivuliike</w:t>
            </w:r>
          </w:p>
          <w:p w14:paraId="2155FEB2" w14:textId="77777777" w:rsidR="00CC482F" w:rsidRPr="002524CB" w:rsidRDefault="007079D3" w:rsidP="001069FF">
            <w:pPr>
              <w:rPr>
                <w:rFonts w:eastAsia="Times New Roman"/>
                <w:color w:val="000000"/>
                <w:szCs w:val="20"/>
                <w:lang w:val="de-DE"/>
              </w:rPr>
            </w:pPr>
            <w:r w:rsidRPr="002524CB">
              <w:rPr>
                <w:rFonts w:eastAsia="Times New Roman"/>
                <w:color w:val="000000"/>
                <w:szCs w:val="20"/>
                <w:lang w:val="de-DE"/>
              </w:rPr>
              <w:t>Puh/Tel: +358 207416888</w:t>
            </w:r>
          </w:p>
          <w:p w14:paraId="2155FEB3" w14:textId="77777777" w:rsidR="00CC482F" w:rsidRPr="002524CB" w:rsidRDefault="00CC482F" w:rsidP="001069FF">
            <w:pPr>
              <w:rPr>
                <w:rFonts w:eastAsia="Times New Roman"/>
                <w:lang w:val="de-DE"/>
              </w:rPr>
            </w:pPr>
          </w:p>
        </w:tc>
      </w:tr>
      <w:tr w:rsidR="00EA09FB" w:rsidRPr="00112B35" w14:paraId="2155FEBD" w14:textId="77777777" w:rsidTr="5281FA9D">
        <w:trPr>
          <w:cantSplit/>
        </w:trPr>
        <w:tc>
          <w:tcPr>
            <w:tcW w:w="4650" w:type="dxa"/>
            <w:hideMark/>
          </w:tcPr>
          <w:p w14:paraId="2155FEB5" w14:textId="77777777" w:rsidR="00CC482F" w:rsidRPr="00A92C8A" w:rsidRDefault="007079D3" w:rsidP="001069FF">
            <w:pPr>
              <w:rPr>
                <w:rFonts w:eastAsia="Times New Roman"/>
                <w:b/>
                <w:color w:val="000000"/>
                <w:szCs w:val="20"/>
              </w:rPr>
            </w:pPr>
            <w:r w:rsidRPr="0032218E">
              <w:rPr>
                <w:rFonts w:eastAsia="Times New Roman"/>
                <w:b/>
                <w:color w:val="000000"/>
                <w:szCs w:val="20"/>
              </w:rPr>
              <w:t>Κύπρος</w:t>
            </w:r>
          </w:p>
          <w:p w14:paraId="2155FEB6" w14:textId="77777777" w:rsidR="00CC482F" w:rsidRPr="00A92C8A" w:rsidRDefault="007079D3" w:rsidP="001069FF">
            <w:pPr>
              <w:rPr>
                <w:rFonts w:eastAsia="Times New Roman"/>
                <w:color w:val="000000"/>
                <w:szCs w:val="20"/>
              </w:rPr>
            </w:pPr>
            <w:r w:rsidRPr="00C52618">
              <w:rPr>
                <w:rFonts w:eastAsia="Times New Roman"/>
                <w:color w:val="000000"/>
                <w:szCs w:val="20"/>
                <w:lang w:val="de-DE"/>
              </w:rPr>
              <w:t>STADA</w:t>
            </w:r>
            <w:r w:rsidRPr="00A92C8A">
              <w:rPr>
                <w:rFonts w:eastAsia="Times New Roman"/>
                <w:color w:val="000000"/>
                <w:szCs w:val="20"/>
              </w:rPr>
              <w:t xml:space="preserve"> </w:t>
            </w:r>
            <w:r w:rsidRPr="00C52618">
              <w:rPr>
                <w:rFonts w:eastAsia="Times New Roman"/>
                <w:color w:val="000000"/>
                <w:szCs w:val="20"/>
                <w:lang w:val="de-DE"/>
              </w:rPr>
              <w:t>Arzneimittel</w:t>
            </w:r>
            <w:r w:rsidRPr="00A92C8A">
              <w:rPr>
                <w:rFonts w:eastAsia="Times New Roman"/>
                <w:color w:val="000000"/>
                <w:szCs w:val="20"/>
              </w:rPr>
              <w:t xml:space="preserve"> </w:t>
            </w:r>
            <w:r w:rsidRPr="00C52618">
              <w:rPr>
                <w:rFonts w:eastAsia="Times New Roman"/>
                <w:color w:val="000000"/>
                <w:szCs w:val="20"/>
                <w:lang w:val="de-DE"/>
              </w:rPr>
              <w:t>AG</w:t>
            </w:r>
          </w:p>
          <w:p w14:paraId="2155FEB7" w14:textId="77777777" w:rsidR="00CC482F" w:rsidRPr="00A92C8A" w:rsidRDefault="007079D3" w:rsidP="001069FF">
            <w:pPr>
              <w:suppressAutoHyphens/>
              <w:rPr>
                <w:rFonts w:eastAsia="Times New Roman"/>
                <w:color w:val="000000"/>
                <w:szCs w:val="20"/>
              </w:rPr>
            </w:pPr>
            <w:r w:rsidRPr="0032218E">
              <w:rPr>
                <w:rFonts w:eastAsia="Times New Roman"/>
                <w:color w:val="000000"/>
                <w:szCs w:val="20"/>
              </w:rPr>
              <w:t>Τηλ</w:t>
            </w:r>
            <w:r w:rsidRPr="00A92C8A">
              <w:rPr>
                <w:rFonts w:eastAsia="Times New Roman"/>
                <w:color w:val="000000"/>
                <w:szCs w:val="20"/>
              </w:rPr>
              <w:t>: +30 2106664667</w:t>
            </w:r>
          </w:p>
          <w:p w14:paraId="2155FEB8" w14:textId="77777777" w:rsidR="00CC482F" w:rsidRPr="00A92C8A" w:rsidRDefault="00CC482F" w:rsidP="001069FF">
            <w:pPr>
              <w:rPr>
                <w:rFonts w:eastAsia="Times New Roman"/>
              </w:rPr>
            </w:pPr>
          </w:p>
        </w:tc>
        <w:tc>
          <w:tcPr>
            <w:tcW w:w="4756" w:type="dxa"/>
            <w:hideMark/>
          </w:tcPr>
          <w:p w14:paraId="2155FEB9" w14:textId="77777777" w:rsidR="00CC482F" w:rsidRPr="002524CB" w:rsidRDefault="007079D3" w:rsidP="001069FF">
            <w:pPr>
              <w:suppressAutoHyphens/>
              <w:rPr>
                <w:rFonts w:eastAsia="Times New Roman"/>
                <w:b/>
                <w:color w:val="000000"/>
                <w:szCs w:val="20"/>
                <w:lang w:val="de-DE"/>
              </w:rPr>
            </w:pPr>
            <w:r w:rsidRPr="002524CB">
              <w:rPr>
                <w:rFonts w:eastAsia="Times New Roman"/>
                <w:b/>
                <w:color w:val="000000"/>
                <w:szCs w:val="20"/>
                <w:lang w:val="de-DE"/>
              </w:rPr>
              <w:t>Sverige</w:t>
            </w:r>
          </w:p>
          <w:p w14:paraId="2155FEBA" w14:textId="77777777" w:rsidR="00CC482F" w:rsidRPr="002524CB" w:rsidRDefault="007079D3" w:rsidP="001069FF">
            <w:pPr>
              <w:rPr>
                <w:rFonts w:eastAsia="Times New Roman"/>
                <w:color w:val="000000"/>
                <w:szCs w:val="20"/>
                <w:lang w:val="de-DE"/>
              </w:rPr>
            </w:pPr>
            <w:r w:rsidRPr="002524CB">
              <w:rPr>
                <w:rFonts w:eastAsia="Times New Roman"/>
                <w:color w:val="000000"/>
                <w:szCs w:val="20"/>
                <w:lang w:val="de-DE"/>
              </w:rPr>
              <w:t>STADA Nordic ApS</w:t>
            </w:r>
          </w:p>
          <w:p w14:paraId="2155FEBB" w14:textId="77777777" w:rsidR="00CC482F" w:rsidRPr="002524CB" w:rsidRDefault="007079D3" w:rsidP="001069FF">
            <w:pPr>
              <w:rPr>
                <w:rFonts w:eastAsia="Times New Roman"/>
                <w:color w:val="000000"/>
                <w:szCs w:val="20"/>
                <w:lang w:val="de-DE"/>
              </w:rPr>
            </w:pPr>
            <w:r w:rsidRPr="002524CB">
              <w:rPr>
                <w:rFonts w:eastAsia="Times New Roman"/>
                <w:color w:val="000000"/>
                <w:szCs w:val="20"/>
                <w:lang w:val="de-DE"/>
              </w:rPr>
              <w:t>Tel: +45 44859999</w:t>
            </w:r>
          </w:p>
          <w:p w14:paraId="2155FEBC" w14:textId="77777777" w:rsidR="00CC482F" w:rsidRPr="002524CB" w:rsidRDefault="00CC482F" w:rsidP="001069FF">
            <w:pPr>
              <w:rPr>
                <w:rFonts w:eastAsia="Times New Roman"/>
                <w:lang w:val="de-DE"/>
              </w:rPr>
            </w:pPr>
          </w:p>
        </w:tc>
      </w:tr>
      <w:tr w:rsidR="00EA09FB" w:rsidRPr="00112B35" w14:paraId="2155FEC3" w14:textId="77777777" w:rsidTr="5281FA9D">
        <w:trPr>
          <w:cantSplit/>
        </w:trPr>
        <w:tc>
          <w:tcPr>
            <w:tcW w:w="4650" w:type="dxa"/>
            <w:hideMark/>
          </w:tcPr>
          <w:p w14:paraId="2155FEBE" w14:textId="77777777" w:rsidR="00CC482F" w:rsidRPr="00C52618" w:rsidRDefault="007079D3" w:rsidP="001069FF">
            <w:pPr>
              <w:rPr>
                <w:rFonts w:eastAsia="Times New Roman"/>
                <w:b/>
                <w:color w:val="000000"/>
                <w:szCs w:val="20"/>
                <w:lang w:val="es-ES"/>
              </w:rPr>
            </w:pPr>
            <w:r w:rsidRPr="00C52618">
              <w:rPr>
                <w:rFonts w:eastAsia="Times New Roman"/>
                <w:b/>
                <w:color w:val="000000"/>
                <w:szCs w:val="20"/>
                <w:lang w:val="es-ES"/>
              </w:rPr>
              <w:t>Latvija</w:t>
            </w:r>
          </w:p>
          <w:p w14:paraId="2155FEBF" w14:textId="77777777" w:rsidR="00CC482F" w:rsidRPr="00C52618" w:rsidRDefault="007079D3" w:rsidP="001069FF">
            <w:pPr>
              <w:autoSpaceDE w:val="0"/>
              <w:autoSpaceDN w:val="0"/>
              <w:adjustRightInd w:val="0"/>
              <w:rPr>
                <w:rFonts w:eastAsia="Times New Roman"/>
                <w:color w:val="000000"/>
                <w:szCs w:val="20"/>
                <w:lang w:val="es-ES"/>
              </w:rPr>
            </w:pPr>
            <w:r w:rsidRPr="00C52618">
              <w:rPr>
                <w:rFonts w:eastAsia="Times New Roman"/>
                <w:color w:val="000000"/>
                <w:szCs w:val="20"/>
                <w:lang w:val="es-ES"/>
              </w:rPr>
              <w:t>UAB „STADA Baltics“</w:t>
            </w:r>
          </w:p>
          <w:p w14:paraId="2155FEC0" w14:textId="77777777" w:rsidR="00CC482F" w:rsidRPr="00C52618" w:rsidRDefault="007079D3" w:rsidP="001069FF">
            <w:pPr>
              <w:autoSpaceDE w:val="0"/>
              <w:autoSpaceDN w:val="0"/>
              <w:adjustRightInd w:val="0"/>
              <w:rPr>
                <w:rFonts w:eastAsia="Times New Roman"/>
                <w:color w:val="000000"/>
                <w:szCs w:val="20"/>
                <w:lang w:val="es-ES"/>
              </w:rPr>
            </w:pPr>
            <w:r w:rsidRPr="00C52618">
              <w:rPr>
                <w:rFonts w:eastAsia="Times New Roman"/>
                <w:color w:val="000000"/>
                <w:szCs w:val="20"/>
                <w:lang w:val="es-ES"/>
              </w:rPr>
              <w:t>Tel: +371 28016404</w:t>
            </w:r>
          </w:p>
          <w:p w14:paraId="2155FEC1" w14:textId="77777777" w:rsidR="00CC482F" w:rsidRPr="00C52618" w:rsidRDefault="00CC482F" w:rsidP="001069FF">
            <w:pPr>
              <w:rPr>
                <w:rFonts w:eastAsia="Times New Roman"/>
                <w:lang w:val="es-ES"/>
              </w:rPr>
            </w:pPr>
          </w:p>
        </w:tc>
        <w:tc>
          <w:tcPr>
            <w:tcW w:w="4756" w:type="dxa"/>
            <w:hideMark/>
          </w:tcPr>
          <w:p w14:paraId="2155FEC2" w14:textId="77777777" w:rsidR="00CC482F" w:rsidRPr="00C52618" w:rsidRDefault="00CC482F" w:rsidP="001069FF">
            <w:pPr>
              <w:suppressAutoHyphens/>
              <w:rPr>
                <w:rFonts w:eastAsia="Times New Roman"/>
                <w:lang w:val="es-ES"/>
              </w:rPr>
            </w:pPr>
          </w:p>
        </w:tc>
      </w:tr>
    </w:tbl>
    <w:p w14:paraId="2155FEC4" w14:textId="77777777" w:rsidR="00951F81" w:rsidRPr="00B729FF" w:rsidRDefault="00951F81" w:rsidP="005F6340">
      <w:pPr>
        <w:numPr>
          <w:ilvl w:val="12"/>
          <w:numId w:val="0"/>
        </w:numPr>
        <w:rPr>
          <w:b/>
          <w:lang w:val="pt-PT"/>
        </w:rPr>
      </w:pPr>
    </w:p>
    <w:p w14:paraId="2155FEC5" w14:textId="77777777" w:rsidR="00CC482F" w:rsidRPr="00B729FF" w:rsidRDefault="00CC482F" w:rsidP="005F6340">
      <w:pPr>
        <w:numPr>
          <w:ilvl w:val="12"/>
          <w:numId w:val="0"/>
        </w:numPr>
        <w:rPr>
          <w:b/>
          <w:lang w:val="pt-PT"/>
        </w:rPr>
      </w:pPr>
    </w:p>
    <w:p w14:paraId="2155FEC6" w14:textId="77777777" w:rsidR="00951F81" w:rsidRDefault="007079D3" w:rsidP="00951F81">
      <w:pPr>
        <w:keepNext/>
        <w:tabs>
          <w:tab w:val="clear" w:pos="567"/>
        </w:tabs>
        <w:rPr>
          <w:b/>
          <w:bCs/>
        </w:rPr>
      </w:pPr>
      <w:r>
        <w:rPr>
          <w:b/>
        </w:rPr>
        <w:t>Το παρόν φύλλο οδηγιών χρήσης αναθεωρήθηκε για τελευταία φορά στις.</w:t>
      </w:r>
    </w:p>
    <w:p w14:paraId="2155FEC7" w14:textId="77777777" w:rsidR="00951F81" w:rsidRDefault="00951F81" w:rsidP="00B06A44">
      <w:pPr>
        <w:keepNext/>
      </w:pPr>
    </w:p>
    <w:p w14:paraId="2155FEC8" w14:textId="77777777" w:rsidR="00951F81" w:rsidRDefault="007079D3" w:rsidP="00951F81">
      <w:pPr>
        <w:keepNext/>
        <w:tabs>
          <w:tab w:val="clear" w:pos="567"/>
        </w:tabs>
        <w:rPr>
          <w:b/>
          <w:bCs/>
        </w:rPr>
      </w:pPr>
      <w:r>
        <w:rPr>
          <w:b/>
        </w:rPr>
        <w:t>Άλλες πηγές πληροφοριών</w:t>
      </w:r>
    </w:p>
    <w:p w14:paraId="2155FEC9" w14:textId="77777777" w:rsidR="00951F81" w:rsidRDefault="00951F81" w:rsidP="00951F81">
      <w:pPr>
        <w:keepNext/>
        <w:tabs>
          <w:tab w:val="clear" w:pos="567"/>
        </w:tabs>
      </w:pPr>
    </w:p>
    <w:p w14:paraId="2155FECA" w14:textId="77777777" w:rsidR="00951F81" w:rsidRDefault="007079D3" w:rsidP="00B06A44">
      <w:pPr>
        <w:keepNext/>
        <w:tabs>
          <w:tab w:val="clear" w:pos="567"/>
        </w:tabs>
      </w:pPr>
      <w:r>
        <w:t xml:space="preserve">Λεπτομερείς πληροφορίες στοιχεία για το παρόν φαρμακευτικό προϊόν είναι διαθέσιμες στο δικτυακό τόπο του Ευρωπαϊκού Οργανισμού Φαρμάκων: </w:t>
      </w:r>
      <w:hyperlink r:id="rId18" w:history="1">
        <w:r w:rsidR="00951F81">
          <w:rPr>
            <w:rStyle w:val="Hyperlink"/>
          </w:rPr>
          <w:t>http://www.ema.europa.eu/</w:t>
        </w:r>
      </w:hyperlink>
    </w:p>
    <w:p w14:paraId="2155FECB" w14:textId="77777777" w:rsidR="00951F81" w:rsidRDefault="00951F81" w:rsidP="00951F81">
      <w:pPr>
        <w:tabs>
          <w:tab w:val="clear" w:pos="567"/>
        </w:tabs>
      </w:pPr>
    </w:p>
    <w:p w14:paraId="2155FECC" w14:textId="77777777" w:rsidR="00D934CD" w:rsidRPr="00CC482F" w:rsidRDefault="007079D3" w:rsidP="007065FF">
      <w:pPr>
        <w:keepNext/>
        <w:numPr>
          <w:ilvl w:val="12"/>
          <w:numId w:val="0"/>
        </w:numPr>
        <w:tabs>
          <w:tab w:val="clear" w:pos="567"/>
          <w:tab w:val="left" w:pos="0"/>
        </w:tabs>
      </w:pPr>
      <w:r w:rsidRPr="00CC482F">
        <w:t>Λεπτομερείς πληροφορίες σχετικά με αυτό το φάρμακο, συμπεριλαμβανομένου ενός βίντεο σχετικά με τον τρόπο χρήσης της προγεμισμένης σύριγγας, είναι διαθέσιμες σαρώνοντας τον παρακάτω QR κωδικό ή το εξωτερικό κουτί με ένα smartphone. Οι ίδιες πληροφορίες είναι επίσης διαθέσιμες στην ακόλουθη διεύθυνση URL: Kefdensispatients.com</w:t>
      </w:r>
    </w:p>
    <w:p w14:paraId="2155FECD" w14:textId="77777777" w:rsidR="00D934CD" w:rsidRPr="00CC482F" w:rsidRDefault="00D934CD" w:rsidP="00D934CD">
      <w:pPr>
        <w:keepNext/>
        <w:numPr>
          <w:ilvl w:val="12"/>
          <w:numId w:val="0"/>
        </w:numPr>
        <w:ind w:left="567" w:hanging="567"/>
      </w:pPr>
    </w:p>
    <w:p w14:paraId="2155FECE" w14:textId="77777777" w:rsidR="00951F81" w:rsidRDefault="007079D3" w:rsidP="00D934CD">
      <w:pPr>
        <w:keepNext/>
        <w:numPr>
          <w:ilvl w:val="12"/>
          <w:numId w:val="0"/>
        </w:numPr>
        <w:ind w:left="567" w:hanging="567"/>
        <w:rPr>
          <w:rFonts w:eastAsia="MS Mincho"/>
          <w:b/>
          <w:bCs/>
        </w:rPr>
      </w:pPr>
      <w:r w:rsidRPr="007065FF">
        <w:rPr>
          <w:highlight w:val="lightGray"/>
        </w:rPr>
        <w:t>QR κωδικός που πρέπει να συμπεριληφθεί</w:t>
      </w:r>
      <w:r>
        <w:br w:type="page"/>
      </w:r>
    </w:p>
    <w:tbl>
      <w:tblPr>
        <w:tblStyle w:val="TableGrid0"/>
        <w:tblW w:w="5000" w:type="pct"/>
        <w:tblInd w:w="0" w:type="dxa"/>
        <w:tblCellMar>
          <w:top w:w="85" w:type="dxa"/>
          <w:left w:w="85" w:type="dxa"/>
          <w:bottom w:w="85" w:type="dxa"/>
          <w:right w:w="85" w:type="dxa"/>
        </w:tblCellMar>
        <w:tblLook w:val="04A0" w:firstRow="1" w:lastRow="0" w:firstColumn="1" w:lastColumn="0" w:noHBand="0" w:noVBand="1"/>
      </w:tblPr>
      <w:tblGrid>
        <w:gridCol w:w="4563"/>
        <w:gridCol w:w="4498"/>
      </w:tblGrid>
      <w:tr w:rsidR="00EA09FB" w14:paraId="2155FED0" w14:textId="77777777" w:rsidTr="001069FF">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2155FECF" w14:textId="77777777" w:rsidR="005233C3" w:rsidRPr="007065FF" w:rsidRDefault="007079D3" w:rsidP="001069FF">
            <w:pPr>
              <w:ind w:right="-2"/>
              <w:jc w:val="center"/>
              <w:rPr>
                <w:rFonts w:ascii="Times New Roman" w:hAnsi="Times New Roman" w:cs="Times New Roman"/>
              </w:rPr>
            </w:pPr>
            <w:r w:rsidRPr="00AB32F0">
              <w:rPr>
                <w:rFonts w:ascii="Times New Roman" w:hAnsi="Times New Roman" w:cs="Times New Roman"/>
              </w:rPr>
              <w:t>Οδηγίες χρήσης:</w:t>
            </w:r>
          </w:p>
        </w:tc>
      </w:tr>
      <w:tr w:rsidR="00EA09FB" w14:paraId="2155FED2" w14:textId="77777777" w:rsidTr="001069FF">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2155FED1" w14:textId="77777777" w:rsidR="005233C3" w:rsidRPr="007065FF" w:rsidRDefault="007079D3" w:rsidP="001069FF">
            <w:pPr>
              <w:ind w:right="109"/>
              <w:jc w:val="center"/>
              <w:rPr>
                <w:rFonts w:ascii="Times New Roman" w:hAnsi="Times New Roman" w:cs="Times New Roman"/>
              </w:rPr>
            </w:pPr>
            <w:r w:rsidRPr="00AB32F0">
              <w:rPr>
                <w:rFonts w:ascii="Times New Roman" w:hAnsi="Times New Roman" w:cs="Times New Roman"/>
              </w:rPr>
              <w:t>Οδηγός για τα εξαρτήματα</w:t>
            </w:r>
          </w:p>
        </w:tc>
      </w:tr>
      <w:tr w:rsidR="00EA09FB" w14:paraId="2155FED5" w14:textId="77777777" w:rsidTr="001069FF">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2155FED3" w14:textId="77777777" w:rsidR="005233C3" w:rsidRPr="007065FF" w:rsidRDefault="007079D3" w:rsidP="001069FF">
            <w:pPr>
              <w:ind w:right="109"/>
              <w:jc w:val="center"/>
              <w:rPr>
                <w:rFonts w:ascii="Times New Roman" w:hAnsi="Times New Roman" w:cs="Times New Roman"/>
              </w:rPr>
            </w:pPr>
            <w:r w:rsidRPr="00AB32F0">
              <w:rPr>
                <w:rFonts w:ascii="Times New Roman" w:hAnsi="Times New Roman" w:cs="Times New Roman"/>
              </w:rPr>
              <w:t xml:space="preserve">Πριν τη </w:t>
            </w:r>
            <w:r w:rsidR="00C879A2" w:rsidRPr="00AB32F0">
              <w:rPr>
                <w:rFonts w:ascii="Times New Roman" w:hAnsi="Times New Roman" w:cs="Times New Roman"/>
              </w:rPr>
              <w:t>χρήση</w:t>
            </w:r>
          </w:p>
        </w:tc>
        <w:tc>
          <w:tcPr>
            <w:tcW w:w="4498" w:type="dxa"/>
            <w:tcBorders>
              <w:top w:val="single" w:sz="4" w:space="0" w:color="000000"/>
              <w:left w:val="single" w:sz="4" w:space="0" w:color="000000"/>
              <w:bottom w:val="single" w:sz="4" w:space="0" w:color="000000"/>
              <w:right w:val="single" w:sz="4" w:space="0" w:color="000000"/>
            </w:tcBorders>
            <w:vAlign w:val="center"/>
          </w:tcPr>
          <w:p w14:paraId="2155FED4" w14:textId="77777777" w:rsidR="005233C3" w:rsidRPr="007065FF" w:rsidRDefault="007079D3" w:rsidP="001069FF">
            <w:pPr>
              <w:ind w:right="108"/>
              <w:jc w:val="center"/>
              <w:rPr>
                <w:rFonts w:ascii="Times New Roman" w:hAnsi="Times New Roman" w:cs="Times New Roman"/>
              </w:rPr>
            </w:pPr>
            <w:r w:rsidRPr="00AB32F0">
              <w:rPr>
                <w:rFonts w:ascii="Times New Roman" w:hAnsi="Times New Roman" w:cs="Times New Roman"/>
              </w:rPr>
              <w:t xml:space="preserve">Μετά τη </w:t>
            </w:r>
            <w:r w:rsidR="00C879A2" w:rsidRPr="00AB32F0">
              <w:rPr>
                <w:rFonts w:ascii="Times New Roman" w:hAnsi="Times New Roman" w:cs="Times New Roman"/>
              </w:rPr>
              <w:t>χρήση</w:t>
            </w:r>
          </w:p>
        </w:tc>
      </w:tr>
      <w:tr w:rsidR="00EA09FB" w14:paraId="2155FED8" w14:textId="77777777" w:rsidTr="001069FF">
        <w:trPr>
          <w:trHeight w:val="20"/>
        </w:trPr>
        <w:tc>
          <w:tcPr>
            <w:tcW w:w="4562" w:type="dxa"/>
            <w:tcBorders>
              <w:top w:val="single" w:sz="4" w:space="0" w:color="000000"/>
              <w:left w:val="single" w:sz="4" w:space="0" w:color="000000"/>
              <w:bottom w:val="single" w:sz="4" w:space="0" w:color="000000"/>
              <w:right w:val="single" w:sz="4" w:space="0" w:color="000000"/>
            </w:tcBorders>
          </w:tcPr>
          <w:p w14:paraId="2155FED6" w14:textId="516BD860" w:rsidR="005233C3" w:rsidRPr="007065FF" w:rsidRDefault="007079D3" w:rsidP="001069FF">
            <w:pPr>
              <w:rPr>
                <w:rFonts w:ascii="Times New Roman" w:hAnsi="Times New Roman" w:cs="Times New Roman"/>
              </w:rPr>
            </w:pPr>
            <w:r w:rsidRPr="00E25C7D">
              <w:rPr>
                <w:noProof/>
                <w:lang w:val="pl-PL" w:eastAsia="pl-PL"/>
              </w:rPr>
              <mc:AlternateContent>
                <mc:Choice Requires="wps">
                  <w:drawing>
                    <wp:anchor distT="45720" distB="45720" distL="114300" distR="114300" simplePos="0" relativeHeight="251658258" behindDoc="0" locked="0" layoutInCell="1" allowOverlap="1" wp14:anchorId="4DE5EDBC" wp14:editId="08DE2270">
                      <wp:simplePos x="0" y="0"/>
                      <wp:positionH relativeFrom="column">
                        <wp:posOffset>1309370</wp:posOffset>
                      </wp:positionH>
                      <wp:positionV relativeFrom="paragraph">
                        <wp:posOffset>1004570</wp:posOffset>
                      </wp:positionV>
                      <wp:extent cx="1216025" cy="241300"/>
                      <wp:effectExtent l="0" t="0" r="3175"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241300"/>
                              </a:xfrm>
                              <a:prstGeom prst="rect">
                                <a:avLst/>
                              </a:prstGeom>
                              <a:noFill/>
                              <a:ln w="9525">
                                <a:noFill/>
                                <a:miter lim="800000"/>
                                <a:headEnd/>
                                <a:tailEnd/>
                              </a:ln>
                            </wps:spPr>
                            <wps:txbx>
                              <w:txbxContent>
                                <w:p w14:paraId="3927BE61" w14:textId="77777777" w:rsidR="005233C3" w:rsidRPr="005233C3" w:rsidRDefault="007079D3" w:rsidP="005233C3">
                                  <w:r>
                                    <w:rPr>
                                      <w:b/>
                                      <w:bCs/>
                                    </w:rPr>
                                    <w:t>Λαβές δακτύλ</w:t>
                                  </w:r>
                                  <w:r w:rsidR="00162F75">
                                    <w:rPr>
                                      <w:b/>
                                      <w:bCs/>
                                    </w:rPr>
                                    <w:t>ων</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DE5EDBC" id="_x0000_t202" coordsize="21600,21600" o:spt="202" path="m,l,21600r21600,l21600,xe">
                      <v:stroke joinstyle="miter"/>
                      <v:path gradientshapeok="t" o:connecttype="rect"/>
                    </v:shapetype>
                    <v:shape id="Text Box 2" o:spid="_x0000_s1026" type="#_x0000_t202" style="position:absolute;margin-left:103.1pt;margin-top:79.1pt;width:95.75pt;height:19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" filled="f" stroked="f">
                      <v:textbox style="mso-fit-shape-to-text:t" inset="0,0,0,0">
                        <w:txbxContent>
                          <w:p w14:paraId="3927BE61" w14:textId="77777777" w:rsidR="005233C3" w:rsidRPr="005233C3" w:rsidRDefault="007079D3" w:rsidP="005233C3">
                            <w:r>
                              <w:rPr>
                                <w:b/>
                                <w:bCs/>
                              </w:rPr>
                              <w:t>Λαβές δακτύλ</w:t>
                            </w:r>
                            <w:r w:rsidR="00162F75">
                              <w:rPr>
                                <w:b/>
                                <w:bCs/>
                              </w:rPr>
                              <w:t>ων</w:t>
                            </w:r>
                          </w:p>
                        </w:txbxContent>
                      </v:textbox>
                      <w10:wrap type="square"/>
                    </v:shape>
                  </w:pict>
                </mc:Fallback>
              </mc:AlternateContent>
            </w:r>
            <w:r w:rsidR="00A0341E" w:rsidRPr="00E25C7D">
              <w:rPr>
                <w:noProof/>
                <w:lang w:val="pl-PL" w:eastAsia="pl-PL"/>
              </w:rPr>
              <mc:AlternateContent>
                <mc:Choice Requires="wps">
                  <w:drawing>
                    <wp:anchor distT="45720" distB="45720" distL="114300" distR="114300" simplePos="0" relativeHeight="251658260" behindDoc="0" locked="0" layoutInCell="1" allowOverlap="1" wp14:anchorId="4CDBCDB2" wp14:editId="276F098C">
                      <wp:simplePos x="0" y="0"/>
                      <wp:positionH relativeFrom="column">
                        <wp:posOffset>1308735</wp:posOffset>
                      </wp:positionH>
                      <wp:positionV relativeFrom="paragraph">
                        <wp:posOffset>2443480</wp:posOffset>
                      </wp:positionV>
                      <wp:extent cx="1216025" cy="445135"/>
                      <wp:effectExtent l="0" t="0" r="3175" b="12065"/>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45135"/>
                              </a:xfrm>
                              <a:prstGeom prst="rect">
                                <a:avLst/>
                              </a:prstGeom>
                              <a:noFill/>
                              <a:ln w="9525">
                                <a:noFill/>
                                <a:miter lim="800000"/>
                                <a:headEnd/>
                                <a:tailEnd/>
                              </a:ln>
                            </wps:spPr>
                            <wps:txbx>
                              <w:txbxContent>
                                <w:p w14:paraId="5C92E67D" w14:textId="77777777" w:rsidR="005233C3" w:rsidRPr="005233C3" w:rsidRDefault="007079D3" w:rsidP="005233C3">
                                  <w:r w:rsidRPr="005233C3">
                                    <w:rPr>
                                      <w:b/>
                                      <w:bCs/>
                                    </w:rPr>
                                    <w:t xml:space="preserve">Ημερομηνία λήξης </w:t>
                                  </w:r>
                                  <w:r w:rsidRPr="005233C3">
                                    <w:t>στην ετικέτα</w:t>
                                  </w:r>
                                </w:p>
                                <w:p w14:paraId="0AA1250D" w14:textId="77777777" w:rsidR="005233C3" w:rsidRPr="004B4F59" w:rsidRDefault="005233C3" w:rsidP="005233C3"/>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4CDBCDB2" id="_x0000_s1027" type="#_x0000_t202" style="position:absolute;margin-left:103.05pt;margin-top:192.4pt;width:95.75pt;height:35.0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" filled="f" stroked="f">
                      <v:textbox inset="0,0,0,0">
                        <w:txbxContent>
                          <w:p w14:paraId="5C92E67D" w14:textId="77777777" w:rsidR="005233C3" w:rsidRPr="005233C3" w:rsidRDefault="007079D3" w:rsidP="005233C3">
                            <w:r w:rsidRPr="005233C3">
                              <w:rPr>
                                <w:b/>
                                <w:bCs/>
                              </w:rPr>
                              <w:t xml:space="preserve">Ημερομηνία λήξης </w:t>
                            </w:r>
                            <w:r w:rsidRPr="005233C3">
                              <w:t>στην ετικέτα</w:t>
                            </w:r>
                          </w:p>
                          <w:p w14:paraId="0AA1250D" w14:textId="77777777" w:rsidR="005233C3" w:rsidRPr="004B4F59" w:rsidRDefault="005233C3" w:rsidP="005233C3"/>
                        </w:txbxContent>
                      </v:textbox>
                      <w10:wrap type="square"/>
                    </v:shape>
                  </w:pict>
                </mc:Fallback>
              </mc:AlternateContent>
            </w:r>
            <w:r w:rsidR="00A0341E" w:rsidRPr="00E25C7D">
              <w:rPr>
                <w:noProof/>
                <w:lang w:val="pl-PL" w:eastAsia="pl-PL"/>
              </w:rPr>
              <w:drawing>
                <wp:anchor distT="0" distB="0" distL="114300" distR="114300" simplePos="0" relativeHeight="251658255" behindDoc="1" locked="0" layoutInCell="1" allowOverlap="1" wp14:anchorId="69CDF834" wp14:editId="1DB7D383">
                  <wp:simplePos x="0" y="0"/>
                  <wp:positionH relativeFrom="column">
                    <wp:posOffset>-50800</wp:posOffset>
                  </wp:positionH>
                  <wp:positionV relativeFrom="paragraph">
                    <wp:posOffset>4445</wp:posOffset>
                  </wp:positionV>
                  <wp:extent cx="1701800" cy="416623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341E" w:rsidRPr="00E25C7D">
              <w:rPr>
                <w:noProof/>
                <w:lang w:val="pl-PL" w:eastAsia="pl-PL"/>
              </w:rPr>
              <mc:AlternateContent>
                <mc:Choice Requires="wps">
                  <w:drawing>
                    <wp:anchor distT="45720" distB="45720" distL="114300" distR="114300" simplePos="0" relativeHeight="251658261" behindDoc="0" locked="0" layoutInCell="1" allowOverlap="1" wp14:anchorId="3039FC4B" wp14:editId="3B908976">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4BC470B7" w14:textId="77777777" w:rsidR="005233C3" w:rsidRPr="00EC6C6F" w:rsidRDefault="007079D3" w:rsidP="005233C3">
                                  <w:r>
                                    <w:rPr>
                                      <w:b/>
                                      <w:bCs/>
                                    </w:rPr>
                                    <w:t>Κύλινδρος σύριγγας</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039FC4B" id="_x0000_s1028" type="#_x0000_t202" style="position:absolute;margin-left:102.95pt;margin-top:236.3pt;width:88.5pt;height:19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" filled="f" stroked="f">
                      <v:textbox style="mso-fit-shape-to-text:t" inset="0,0,0,0">
                        <w:txbxContent>
                          <w:p w14:paraId="4BC470B7" w14:textId="77777777" w:rsidR="005233C3" w:rsidRPr="00EC6C6F" w:rsidRDefault="007079D3" w:rsidP="005233C3">
                            <w:r>
                              <w:rPr>
                                <w:b/>
                                <w:bCs/>
                              </w:rPr>
                              <w:t>Κύλινδρος σύριγγας</w:t>
                            </w:r>
                          </w:p>
                        </w:txbxContent>
                      </v:textbox>
                      <w10:wrap type="square"/>
                    </v:shape>
                  </w:pict>
                </mc:Fallback>
              </mc:AlternateContent>
            </w:r>
            <w:r w:rsidR="00A0341E" w:rsidRPr="00E25C7D">
              <w:rPr>
                <w:noProof/>
                <w:lang w:val="pl-PL" w:eastAsia="pl-PL"/>
              </w:rPr>
              <mc:AlternateContent>
                <mc:Choice Requires="wps">
                  <w:drawing>
                    <wp:anchor distT="45720" distB="45720" distL="114300" distR="114300" simplePos="0" relativeHeight="251658262" behindDoc="0" locked="0" layoutInCell="1" allowOverlap="1" wp14:anchorId="32F640E5" wp14:editId="2C24608B">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7C657D33" w14:textId="0EA9A3FC" w:rsidR="005233C3" w:rsidRPr="007065FF" w:rsidRDefault="007079D3" w:rsidP="005233C3">
                                  <w:pPr>
                                    <w:rPr>
                                      <w:b/>
                                      <w:bCs/>
                                    </w:rPr>
                                  </w:pPr>
                                  <w:r>
                                    <w:rPr>
                                      <w:b/>
                                      <w:bCs/>
                                    </w:rPr>
                                    <w:t>Γκρι</w:t>
                                  </w:r>
                                  <w:r w:rsidRPr="007065FF">
                                    <w:rPr>
                                      <w:b/>
                                      <w:bCs/>
                                    </w:rPr>
                                    <w:t xml:space="preserve"> </w:t>
                                  </w:r>
                                  <w:r w:rsidR="00330FE0">
                                    <w:rPr>
                                      <w:b/>
                                      <w:bCs/>
                                    </w:rPr>
                                    <w:t>πώμα</w:t>
                                  </w:r>
                                  <w:r w:rsidR="00330FE0" w:rsidRPr="007065FF">
                                    <w:rPr>
                                      <w:b/>
                                      <w:bCs/>
                                    </w:rPr>
                                    <w:t xml:space="preserve"> </w:t>
                                  </w:r>
                                  <w:r>
                                    <w:rPr>
                                      <w:b/>
                                      <w:bCs/>
                                    </w:rPr>
                                    <w:t>βελόνας</w:t>
                                  </w:r>
                                </w:p>
                                <w:p w14:paraId="5C8107CF" w14:textId="1D04B811" w:rsidR="005233C3" w:rsidRPr="00DB3FB3" w:rsidRDefault="007079D3" w:rsidP="005233C3">
                                  <w:r>
                                    <w:rPr>
                                      <w:b/>
                                      <w:bCs/>
                                    </w:rPr>
                                    <w:t>Σημαντικό</w:t>
                                  </w:r>
                                  <w:r w:rsidRPr="00DB3FB3">
                                    <w:rPr>
                                      <w:b/>
                                      <w:bCs/>
                                    </w:rPr>
                                    <w:t xml:space="preserve">: </w:t>
                                  </w:r>
                                  <w:r w:rsidR="00DB3FB3" w:rsidRPr="00DB3FB3">
                                    <w:t xml:space="preserve">Κρατήστε το γκρι </w:t>
                                  </w:r>
                                  <w:r w:rsidR="00330FE0">
                                    <w:t xml:space="preserve">πώμα </w:t>
                                  </w:r>
                                  <w:r w:rsidR="00DB3FB3" w:rsidRPr="00DB3FB3">
                                    <w:t>βελόνας μέχρι να είστε έτοιμοι για την ένεση.</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640E5" id="_x0000_s1029" type="#_x0000_t202" style="position:absolute;margin-left:102.95pt;margin-top:276.8pt;width:112.5pt;height:19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" filled="f" stroked="f">
                      <v:textbox style="mso-fit-shape-to-text:t" inset="0,0,0,0">
                        <w:txbxContent>
                          <w:p w14:paraId="7C657D33" w14:textId="0EA9A3FC" w:rsidR="005233C3" w:rsidRPr="007065FF" w:rsidRDefault="007079D3" w:rsidP="005233C3">
                            <w:pPr>
                              <w:rPr>
                                <w:b/>
                                <w:bCs/>
                              </w:rPr>
                            </w:pPr>
                            <w:r>
                              <w:rPr>
                                <w:b/>
                                <w:bCs/>
                              </w:rPr>
                              <w:t>Γκρι</w:t>
                            </w:r>
                            <w:r w:rsidRPr="007065FF">
                              <w:rPr>
                                <w:b/>
                                <w:bCs/>
                              </w:rPr>
                              <w:t xml:space="preserve"> </w:t>
                            </w:r>
                            <w:r w:rsidR="00330FE0">
                              <w:rPr>
                                <w:b/>
                                <w:bCs/>
                              </w:rPr>
                              <w:t>πώμα</w:t>
                            </w:r>
                            <w:r w:rsidR="00330FE0" w:rsidRPr="007065FF">
                              <w:rPr>
                                <w:b/>
                                <w:bCs/>
                              </w:rPr>
                              <w:t xml:space="preserve"> </w:t>
                            </w:r>
                            <w:r>
                              <w:rPr>
                                <w:b/>
                                <w:bCs/>
                              </w:rPr>
                              <w:t>βελόνας</w:t>
                            </w:r>
                          </w:p>
                          <w:p w14:paraId="5C8107CF" w14:textId="1D04B811" w:rsidR="005233C3" w:rsidRPr="00DB3FB3" w:rsidRDefault="007079D3" w:rsidP="005233C3">
                            <w:r>
                              <w:rPr>
                                <w:b/>
                                <w:bCs/>
                              </w:rPr>
                              <w:t>Σημαντικό</w:t>
                            </w:r>
                            <w:r w:rsidRPr="00DB3FB3">
                              <w:rPr>
                                <w:b/>
                                <w:bCs/>
                              </w:rPr>
                              <w:t xml:space="preserve">: </w:t>
                            </w:r>
                            <w:r w:rsidR="00DB3FB3" w:rsidRPr="00DB3FB3">
                              <w:t xml:space="preserve">Κρατήστε το γκρι </w:t>
                            </w:r>
                            <w:r w:rsidR="00330FE0">
                              <w:t xml:space="preserve">πώμα </w:t>
                            </w:r>
                            <w:r w:rsidR="00DB3FB3" w:rsidRPr="00DB3FB3">
                              <w:t>βελόνας μέχρι να είστε έτοιμοι για την ένεση.</w:t>
                            </w:r>
                          </w:p>
                        </w:txbxContent>
                      </v:textbox>
                      <w10:wrap type="square"/>
                    </v:shape>
                  </w:pict>
                </mc:Fallback>
              </mc:AlternateContent>
            </w:r>
            <w:r w:rsidR="00A0341E" w:rsidRPr="00E25C7D">
              <w:rPr>
                <w:noProof/>
                <w:lang w:val="pl-PL" w:eastAsia="pl-PL"/>
              </w:rPr>
              <mc:AlternateContent>
                <mc:Choice Requires="wps">
                  <w:drawing>
                    <wp:anchor distT="45720" distB="45720" distL="114300" distR="114300" simplePos="0" relativeHeight="251658259" behindDoc="0" locked="0" layoutInCell="1" allowOverlap="1" wp14:anchorId="0A9875B0" wp14:editId="15E79577">
                      <wp:simplePos x="0" y="0"/>
                      <wp:positionH relativeFrom="column">
                        <wp:posOffset>1306830</wp:posOffset>
                      </wp:positionH>
                      <wp:positionV relativeFrom="paragraph">
                        <wp:posOffset>1884045</wp:posOffset>
                      </wp:positionV>
                      <wp:extent cx="831850" cy="241300"/>
                      <wp:effectExtent l="0" t="0" r="6350"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0800D83D" w14:textId="77777777" w:rsidR="005233C3" w:rsidRPr="004B4F59" w:rsidRDefault="007079D3" w:rsidP="005233C3">
                                  <w:r>
                                    <w:rPr>
                                      <w:b/>
                                      <w:bCs/>
                                    </w:rPr>
                                    <w:t>Διάφανος μηχανισμός κάλυψης</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A9875B0" id="_x0000_s1030" type="#_x0000_t202" style="position:absolute;margin-left:102.9pt;margin-top:148.35pt;width:65.5pt;height:19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" filled="f" stroked="f">
                      <v:textbox style="mso-fit-shape-to-text:t" inset="0,0,0,0">
                        <w:txbxContent>
                          <w:p w14:paraId="0800D83D" w14:textId="77777777" w:rsidR="005233C3" w:rsidRPr="004B4F59" w:rsidRDefault="007079D3" w:rsidP="005233C3">
                            <w:r>
                              <w:rPr>
                                <w:b/>
                                <w:bCs/>
                              </w:rPr>
                              <w:t>Διάφανος μηχανισμός κάλυψης</w:t>
                            </w:r>
                          </w:p>
                        </w:txbxContent>
                      </v:textbox>
                      <w10:wrap type="square"/>
                    </v:shape>
                  </w:pict>
                </mc:Fallback>
              </mc:AlternateContent>
            </w:r>
            <w:r w:rsidR="00A0341E" w:rsidRPr="00E25C7D">
              <w:rPr>
                <w:noProof/>
                <w:lang w:val="pl-PL" w:eastAsia="pl-PL"/>
              </w:rPr>
              <mc:AlternateContent>
                <mc:Choice Requires="wps">
                  <w:drawing>
                    <wp:anchor distT="45720" distB="45720" distL="114300" distR="114300" simplePos="0" relativeHeight="251658257" behindDoc="0" locked="0" layoutInCell="1" allowOverlap="1" wp14:anchorId="705DB65E" wp14:editId="562A2092">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3A55034E" w14:textId="77777777" w:rsidR="005233C3" w:rsidRPr="005233C3" w:rsidRDefault="007079D3" w:rsidP="005233C3">
                                  <w:pPr>
                                    <w:rPr>
                                      <w:b/>
                                      <w:bCs/>
                                    </w:rPr>
                                  </w:pPr>
                                  <w:r>
                                    <w:rPr>
                                      <w:b/>
                                      <w:bCs/>
                                    </w:rPr>
                                    <w:t>Έμβολο</w:t>
                                  </w:r>
                                </w:p>
                                <w:p w14:paraId="6A6CA5D1" w14:textId="77777777" w:rsidR="005233C3" w:rsidRPr="005233C3" w:rsidRDefault="007079D3" w:rsidP="005233C3">
                                  <w:r w:rsidRPr="005233C3">
                                    <w:rPr>
                                      <w:b/>
                                      <w:bCs/>
                                    </w:rPr>
                                    <w:t xml:space="preserve">Μην </w:t>
                                  </w:r>
                                  <w:r w:rsidRPr="00C879A2">
                                    <w:t>κρατάτε και μην τραβάτε το έμβολο σε καμία περίπτωση.</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05DB65E" id="_x0000_s1031" type="#_x0000_t202" style="position:absolute;margin-left:102.95pt;margin-top:2.8pt;width:109pt;height:45.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3A55034E" w14:textId="77777777" w:rsidR="005233C3" w:rsidRPr="005233C3" w:rsidRDefault="007079D3" w:rsidP="005233C3">
                            <w:pPr>
                              <w:rPr>
                                <w:b/>
                                <w:bCs/>
                              </w:rPr>
                            </w:pPr>
                            <w:r>
                              <w:rPr>
                                <w:b/>
                                <w:bCs/>
                              </w:rPr>
                              <w:t>Έμβολο</w:t>
                            </w:r>
                          </w:p>
                          <w:p w14:paraId="6A6CA5D1" w14:textId="77777777" w:rsidR="005233C3" w:rsidRPr="005233C3" w:rsidRDefault="007079D3" w:rsidP="005233C3">
                            <w:r w:rsidRPr="005233C3">
                              <w:rPr>
                                <w:b/>
                                <w:bCs/>
                              </w:rPr>
                              <w:t xml:space="preserve">Μην </w:t>
                            </w:r>
                            <w:r w:rsidRPr="00C879A2">
                              <w:t>κρατάτε και μην τραβάτε το έμβολο σε καμία περίπτωση.</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2155FED7" w14:textId="77777777" w:rsidR="005233C3" w:rsidRPr="007065FF" w:rsidRDefault="007079D3" w:rsidP="001069FF">
            <w:pPr>
              <w:rPr>
                <w:rFonts w:ascii="Times New Roman" w:hAnsi="Times New Roman" w:cs="Times New Roman"/>
              </w:rPr>
            </w:pPr>
            <w:r w:rsidRPr="00E25C7D">
              <w:rPr>
                <w:noProof/>
                <w:lang w:val="pl-PL" w:eastAsia="pl-PL"/>
              </w:rPr>
              <mc:AlternateContent>
                <mc:Choice Requires="wps">
                  <w:drawing>
                    <wp:anchor distT="45720" distB="45720" distL="114300" distR="114300" simplePos="0" relativeHeight="251658265" behindDoc="0" locked="0" layoutInCell="1" allowOverlap="1" wp14:anchorId="29305496" wp14:editId="3E29C646">
                      <wp:simplePos x="0" y="0"/>
                      <wp:positionH relativeFrom="column">
                        <wp:posOffset>635000</wp:posOffset>
                      </wp:positionH>
                      <wp:positionV relativeFrom="paragraph">
                        <wp:posOffset>3542665</wp:posOffset>
                      </wp:positionV>
                      <wp:extent cx="923925" cy="241300"/>
                      <wp:effectExtent l="0" t="0" r="9525" b="1905"/>
                      <wp:wrapSquare wrapText="bothSides"/>
                      <wp:docPr id="550154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08C9F60E" w14:textId="77777777" w:rsidR="005233C3" w:rsidRPr="00DB3FB3" w:rsidRDefault="007079D3" w:rsidP="005233C3">
                                  <w:r w:rsidRPr="00DB3FB3">
                                    <w:t xml:space="preserve">Η βελόνα εισέρχεται </w:t>
                                  </w:r>
                                  <w:r>
                                    <w:t>στον διάφανο μηχανισμό κάλυψης</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9305496" id="Text Box 5" o:spid="_x0000_s1032" type="#_x0000_t202" style="position:absolute;margin-left:50pt;margin-top:278.95pt;width:72.75pt;height:19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" filled="f" stroked="f">
                      <v:textbox style="mso-fit-shape-to-text:t" inset="0,0,0,0">
                        <w:txbxContent>
                          <w:p w14:paraId="08C9F60E" w14:textId="77777777" w:rsidR="005233C3" w:rsidRPr="00DB3FB3" w:rsidRDefault="007079D3" w:rsidP="005233C3">
                            <w:r w:rsidRPr="00DB3FB3">
                              <w:t xml:space="preserve">Η βελόνα εισέρχεται </w:t>
                            </w:r>
                            <w:r>
                              <w:t>στον διάφανο μηχανισμό κάλυψης</w:t>
                            </w:r>
                          </w:p>
                        </w:txbxContent>
                      </v:textbox>
                      <w10:wrap type="square"/>
                    </v:shape>
                  </w:pict>
                </mc:Fallback>
              </mc:AlternateContent>
            </w:r>
            <w:r w:rsidRPr="00E25C7D">
              <w:rPr>
                <w:noProof/>
                <w:lang w:val="pl-PL" w:eastAsia="pl-PL"/>
              </w:rPr>
              <mc:AlternateContent>
                <mc:Choice Requires="wps">
                  <w:drawing>
                    <wp:anchor distT="45720" distB="45720" distL="114300" distR="114300" simplePos="0" relativeHeight="251658264" behindDoc="0" locked="0" layoutInCell="1" allowOverlap="1" wp14:anchorId="63A845B7" wp14:editId="498778F6">
                      <wp:simplePos x="0" y="0"/>
                      <wp:positionH relativeFrom="column">
                        <wp:posOffset>1387475</wp:posOffset>
                      </wp:positionH>
                      <wp:positionV relativeFrom="paragraph">
                        <wp:posOffset>680085</wp:posOffset>
                      </wp:positionV>
                      <wp:extent cx="923925" cy="241300"/>
                      <wp:effectExtent l="0" t="0" r="9525"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1757B300" w14:textId="77777777" w:rsidR="005233C3" w:rsidRPr="00812AE0" w:rsidRDefault="007079D3" w:rsidP="005233C3">
                                  <w:r>
                                    <w:t>Ενεργοποιείται το ελατήριο ασφαλείας</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3A845B7" id="Text Box 3" o:spid="_x0000_s1033" type="#_x0000_t202" style="position:absolute;margin-left:109.25pt;margin-top:53.55pt;width:72.75pt;height:19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" filled="f" stroked="f">
                      <v:textbox style="mso-fit-shape-to-text:t" inset="0,0,0,0">
                        <w:txbxContent>
                          <w:p w14:paraId="1757B300" w14:textId="77777777" w:rsidR="005233C3" w:rsidRPr="00812AE0" w:rsidRDefault="007079D3" w:rsidP="005233C3">
                            <w:r>
                              <w:t>Ενεργοποιείται το ελατήριο ασφαλείας</w:t>
                            </w:r>
                          </w:p>
                        </w:txbxContent>
                      </v:textbox>
                      <w10:wrap type="square"/>
                    </v:shape>
                  </w:pict>
                </mc:Fallback>
              </mc:AlternateContent>
            </w:r>
            <w:r w:rsidRPr="00E25C7D">
              <w:rPr>
                <w:noProof/>
                <w:lang w:val="pl-PL" w:eastAsia="pl-PL"/>
              </w:rPr>
              <mc:AlternateContent>
                <mc:Choice Requires="wps">
                  <w:drawing>
                    <wp:anchor distT="45720" distB="45720" distL="114300" distR="114300" simplePos="0" relativeHeight="251658263" behindDoc="0" locked="0" layoutInCell="1" allowOverlap="1" wp14:anchorId="6D385C64" wp14:editId="263D5F2B">
                      <wp:simplePos x="0" y="0"/>
                      <wp:positionH relativeFrom="column">
                        <wp:posOffset>1303020</wp:posOffset>
                      </wp:positionH>
                      <wp:positionV relativeFrom="paragraph">
                        <wp:posOffset>116205</wp:posOffset>
                      </wp:positionV>
                      <wp:extent cx="923925" cy="24130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3892CAF0" w14:textId="77777777" w:rsidR="005233C3" w:rsidRPr="00812AE0" w:rsidRDefault="007079D3" w:rsidP="005233C3">
                                  <w:r>
                                    <w:t>Το έμβολο κλειδώνει</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D385C64" id="_x0000_s1034" type="#_x0000_t202" style="position:absolute;margin-left:102.6pt;margin-top:9.15pt;width:72.75pt;height:19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" filled="f" stroked="f">
                      <v:textbox style="mso-fit-shape-to-text:t" inset="0,0,0,0">
                        <w:txbxContent>
                          <w:p w14:paraId="3892CAF0" w14:textId="77777777" w:rsidR="005233C3" w:rsidRPr="00812AE0" w:rsidRDefault="007079D3" w:rsidP="005233C3">
                            <w:r>
                              <w:t>Το έμβολο κλειδώνει</w:t>
                            </w:r>
                          </w:p>
                        </w:txbxContent>
                      </v:textbox>
                      <w10:wrap type="square"/>
                    </v:shape>
                  </w:pict>
                </mc:Fallback>
              </mc:AlternateContent>
            </w:r>
            <w:r w:rsidRPr="00E25C7D">
              <w:rPr>
                <w:noProof/>
                <w:lang w:val="pl-PL" w:eastAsia="pl-PL"/>
              </w:rPr>
              <w:drawing>
                <wp:anchor distT="0" distB="0" distL="114300" distR="114300" simplePos="0" relativeHeight="251658256" behindDoc="1" locked="0" layoutInCell="1" allowOverlap="1" wp14:anchorId="1B78AB65" wp14:editId="7F54130F">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2155FED9" w14:textId="77777777" w:rsidR="00951F81"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559"/>
        <w:gridCol w:w="8401"/>
      </w:tblGrid>
      <w:tr w:rsidR="00EA09FB" w14:paraId="2155FEDC" w14:textId="77777777" w:rsidTr="006829AE">
        <w:trPr>
          <w:cantSplit/>
          <w:trHeight w:val="57"/>
        </w:trPr>
        <w:tc>
          <w:tcPr>
            <w:tcW w:w="5000" w:type="pct"/>
            <w:gridSpan w:val="2"/>
            <w:tcBorders>
              <w:bottom w:val="single" w:sz="4" w:space="0" w:color="auto"/>
            </w:tcBorders>
            <w:tcMar>
              <w:top w:w="57" w:type="dxa"/>
              <w:left w:w="57" w:type="dxa"/>
              <w:bottom w:w="57" w:type="dxa"/>
              <w:right w:w="57" w:type="dxa"/>
            </w:tcMar>
          </w:tcPr>
          <w:p w14:paraId="2155FEDB" w14:textId="77777777" w:rsidR="00951F81" w:rsidRDefault="007079D3" w:rsidP="007065FF">
            <w:pPr>
              <w:jc w:val="center"/>
              <w:rPr>
                <w:b/>
                <w:bCs/>
              </w:rPr>
            </w:pPr>
            <w:r>
              <w:rPr>
                <w:b/>
              </w:rPr>
              <w:t>Σημαντικό</w:t>
            </w:r>
          </w:p>
        </w:tc>
      </w:tr>
      <w:tr w:rsidR="00EA09FB" w14:paraId="2155FEDE" w14:textId="77777777" w:rsidTr="006829AE">
        <w:trPr>
          <w:cantSplit/>
          <w:trHeight w:val="57"/>
        </w:trPr>
        <w:tc>
          <w:tcPr>
            <w:tcW w:w="5000" w:type="pct"/>
            <w:gridSpan w:val="2"/>
            <w:tcBorders>
              <w:bottom w:val="nil"/>
            </w:tcBorders>
            <w:tcMar>
              <w:top w:w="57" w:type="dxa"/>
              <w:left w:w="57" w:type="dxa"/>
              <w:bottom w:w="57" w:type="dxa"/>
              <w:right w:w="57" w:type="dxa"/>
            </w:tcMar>
          </w:tcPr>
          <w:p w14:paraId="2155FEDD" w14:textId="77777777" w:rsidR="00951F81" w:rsidRDefault="007079D3" w:rsidP="007065FF">
            <w:pPr>
              <w:tabs>
                <w:tab w:val="clear" w:pos="567"/>
              </w:tabs>
              <w:rPr>
                <w:b/>
                <w:bCs/>
              </w:rPr>
            </w:pPr>
            <w:r>
              <w:rPr>
                <w:b/>
              </w:rPr>
              <w:t xml:space="preserve">Πριν χρησιμοποιήσετε την προγεμισμένη σύριγγα </w:t>
            </w:r>
            <w:r w:rsidR="00D934CD">
              <w:rPr>
                <w:b/>
              </w:rPr>
              <w:t>Kefdensis</w:t>
            </w:r>
            <w:r w:rsidR="00D934CD" w:rsidRPr="00442125">
              <w:rPr>
                <w:b/>
              </w:rPr>
              <w:t xml:space="preserve"> </w:t>
            </w:r>
            <w:r>
              <w:rPr>
                <w:b/>
              </w:rPr>
              <w:t>με αυτόματο μηχανισμό κάλυψης βελόνας, διαβάστε αυτές τις σημαντικές πληροφορίες:</w:t>
            </w:r>
          </w:p>
        </w:tc>
      </w:tr>
      <w:tr w:rsidR="00EA09FB" w14:paraId="2155FEE1" w14:textId="77777777" w:rsidTr="006829AE">
        <w:trPr>
          <w:cantSplit/>
          <w:trHeight w:val="57"/>
        </w:trPr>
        <w:tc>
          <w:tcPr>
            <w:tcW w:w="312" w:type="pct"/>
            <w:tcBorders>
              <w:top w:val="nil"/>
              <w:bottom w:val="nil"/>
              <w:right w:val="nil"/>
            </w:tcBorders>
          </w:tcPr>
          <w:p w14:paraId="2155FEDF" w14:textId="77777777" w:rsidR="00951F81" w:rsidRDefault="00951F81" w:rsidP="007065FF">
            <w:pPr>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2155FEE0" w14:textId="77777777" w:rsidR="00951F81" w:rsidRDefault="007079D3" w:rsidP="007065FF">
            <w:r>
              <w:t>Είναι σημαντικό να μην επιχειρήσετε να κάνετε ένεση μόνος σας παρά μόνο εάν έχετε λάβει ειδική εκπαίδευση από τον γιατρό ή τον επαγγελματία υγείας σας.</w:t>
            </w:r>
          </w:p>
        </w:tc>
      </w:tr>
      <w:tr w:rsidR="00EA09FB" w14:paraId="2155FEE4" w14:textId="77777777" w:rsidTr="006829AE">
        <w:trPr>
          <w:cantSplit/>
          <w:trHeight w:val="57"/>
        </w:trPr>
        <w:tc>
          <w:tcPr>
            <w:tcW w:w="312" w:type="pct"/>
            <w:tcBorders>
              <w:top w:val="nil"/>
              <w:bottom w:val="nil"/>
              <w:right w:val="nil"/>
            </w:tcBorders>
          </w:tcPr>
          <w:p w14:paraId="2155FEE2" w14:textId="77777777" w:rsidR="00951F81" w:rsidRDefault="00951F81" w:rsidP="007065FF">
            <w:pPr>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2155FEE3" w14:textId="77777777" w:rsidR="00951F81" w:rsidRDefault="007079D3" w:rsidP="007065FF">
            <w:r>
              <w:t xml:space="preserve">Το </w:t>
            </w:r>
            <w:r w:rsidR="00D934CD">
              <w:t>Kefdensis</w:t>
            </w:r>
            <w:r w:rsidR="00D934CD" w:rsidRPr="00442125">
              <w:t xml:space="preserve"> </w:t>
            </w:r>
            <w:r>
              <w:t>χορηγείται ως ένεση στον ιστό ακριβώς κάτω από το δέρμα (υποδόρια ένεση).</w:t>
            </w:r>
          </w:p>
        </w:tc>
      </w:tr>
      <w:tr w:rsidR="00EA09FB" w14:paraId="2155FEE7" w14:textId="77777777" w:rsidTr="006829AE">
        <w:trPr>
          <w:cantSplit/>
          <w:trHeight w:val="57"/>
        </w:trPr>
        <w:tc>
          <w:tcPr>
            <w:tcW w:w="312" w:type="pct"/>
            <w:tcBorders>
              <w:top w:val="nil"/>
              <w:bottom w:val="nil"/>
              <w:right w:val="nil"/>
            </w:tcBorders>
          </w:tcPr>
          <w:p w14:paraId="2155FEE5" w14:textId="77777777" w:rsidR="00951F81" w:rsidRDefault="007079D3" w:rsidP="007065FF">
            <w:r>
              <w:rPr>
                <w:noProof/>
              </w:rPr>
              <w:drawing>
                <wp:anchor distT="0" distB="0" distL="114300" distR="114300" simplePos="0" relativeHeight="251658240" behindDoc="0" locked="0" layoutInCell="1" allowOverlap="1" wp14:anchorId="576C30B1" wp14:editId="6C94D515">
                  <wp:simplePos x="0" y="0"/>
                  <wp:positionH relativeFrom="column">
                    <wp:posOffset>14605</wp:posOffset>
                  </wp:positionH>
                  <wp:positionV relativeFrom="paragraph">
                    <wp:posOffset>22225</wp:posOffset>
                  </wp:positionV>
                  <wp:extent cx="119380" cy="119380"/>
                  <wp:effectExtent l="0" t="0" r="0" b="0"/>
                  <wp:wrapNone/>
                  <wp:docPr id="39"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6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155FEE6" w14:textId="42BD4764" w:rsidR="00951F81" w:rsidRDefault="007079D3" w:rsidP="007065FF">
            <w:r>
              <w:rPr>
                <w:b/>
              </w:rPr>
              <w:t>Μην</w:t>
            </w:r>
            <w:r>
              <w:t xml:space="preserve"> αφαιρείτε το γκρι </w:t>
            </w:r>
            <w:r w:rsidR="00330FE0">
              <w:t xml:space="preserve">πώμα </w:t>
            </w:r>
            <w:r>
              <w:t>της βελόνας από την προγεμισμένη σύριγγα παρά μόνο εφόσον είστε έτοιμοι για την ένεση.</w:t>
            </w:r>
          </w:p>
        </w:tc>
      </w:tr>
      <w:tr w:rsidR="00EA09FB" w14:paraId="2155FEEA" w14:textId="77777777" w:rsidTr="006829AE">
        <w:trPr>
          <w:cantSplit/>
          <w:trHeight w:val="57"/>
        </w:trPr>
        <w:tc>
          <w:tcPr>
            <w:tcW w:w="312" w:type="pct"/>
            <w:tcBorders>
              <w:top w:val="nil"/>
              <w:bottom w:val="nil"/>
              <w:right w:val="nil"/>
            </w:tcBorders>
          </w:tcPr>
          <w:p w14:paraId="2155FEE8" w14:textId="77777777" w:rsidR="00951F81" w:rsidRDefault="007079D3" w:rsidP="007065FF">
            <w:r>
              <w:rPr>
                <w:noProof/>
              </w:rPr>
              <w:drawing>
                <wp:anchor distT="0" distB="0" distL="114300" distR="114300" simplePos="0" relativeHeight="251658241" behindDoc="0" locked="0" layoutInCell="1" allowOverlap="1" wp14:anchorId="24BF7E37" wp14:editId="6159D9EC">
                  <wp:simplePos x="0" y="0"/>
                  <wp:positionH relativeFrom="column">
                    <wp:posOffset>14605</wp:posOffset>
                  </wp:positionH>
                  <wp:positionV relativeFrom="paragraph">
                    <wp:posOffset>22225</wp:posOffset>
                  </wp:positionV>
                  <wp:extent cx="119380" cy="119380"/>
                  <wp:effectExtent l="0" t="0" r="0" b="0"/>
                  <wp:wrapNone/>
                  <wp:docPr id="40"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7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155FEE9" w14:textId="77777777" w:rsidR="00951F81" w:rsidRDefault="007079D3" w:rsidP="007065FF">
            <w:r>
              <w:rPr>
                <w:b/>
              </w:rPr>
              <w:t xml:space="preserve">Μην </w:t>
            </w:r>
            <w:r>
              <w:t>χρησιμοποιήσετε την προγεμισμένη σύριγγα εάν έχει πέσει σε σκληρή επιφάνεια. Χρησιμοποιήστε μια νέα προγεμισμένη σύριγγα και ενημερώστε τον γιατρό ή τον επαγγελματία υγείας σας.</w:t>
            </w:r>
          </w:p>
        </w:tc>
      </w:tr>
      <w:tr w:rsidR="00EA09FB" w14:paraId="2155FEED" w14:textId="77777777" w:rsidTr="006829AE">
        <w:trPr>
          <w:cantSplit/>
          <w:trHeight w:val="57"/>
        </w:trPr>
        <w:tc>
          <w:tcPr>
            <w:tcW w:w="312" w:type="pct"/>
            <w:tcBorders>
              <w:top w:val="nil"/>
              <w:bottom w:val="nil"/>
              <w:right w:val="nil"/>
            </w:tcBorders>
          </w:tcPr>
          <w:p w14:paraId="2155FEEB" w14:textId="77777777" w:rsidR="00951F81" w:rsidRDefault="007079D3" w:rsidP="007065FF">
            <w:r>
              <w:rPr>
                <w:noProof/>
              </w:rPr>
              <w:drawing>
                <wp:anchor distT="0" distB="0" distL="114300" distR="114300" simplePos="0" relativeHeight="251658242" behindDoc="0" locked="0" layoutInCell="1" allowOverlap="1" wp14:anchorId="4F0A19AF" wp14:editId="51883E71">
                  <wp:simplePos x="0" y="0"/>
                  <wp:positionH relativeFrom="column">
                    <wp:posOffset>14605</wp:posOffset>
                  </wp:positionH>
                  <wp:positionV relativeFrom="paragraph">
                    <wp:posOffset>22225</wp:posOffset>
                  </wp:positionV>
                  <wp:extent cx="119380" cy="119380"/>
                  <wp:effectExtent l="0" t="0" r="0" b="0"/>
                  <wp:wrapNone/>
                  <wp:docPr id="41"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7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155FEEC" w14:textId="77777777" w:rsidR="00951F81" w:rsidRDefault="007079D3" w:rsidP="007065FF">
            <w:r>
              <w:rPr>
                <w:b/>
              </w:rPr>
              <w:t>Μην</w:t>
            </w:r>
            <w:r>
              <w:t xml:space="preserve"> επιχειρήσετε να ενεργοποιήσετε την προγεμισμένη σύριγγα πριν από την ένεση.</w:t>
            </w:r>
          </w:p>
        </w:tc>
      </w:tr>
      <w:tr w:rsidR="00EA09FB" w14:paraId="2155FEF0" w14:textId="77777777" w:rsidTr="006829AE">
        <w:trPr>
          <w:cantSplit/>
          <w:trHeight w:val="57"/>
        </w:trPr>
        <w:tc>
          <w:tcPr>
            <w:tcW w:w="312" w:type="pct"/>
            <w:tcBorders>
              <w:top w:val="nil"/>
              <w:bottom w:val="nil"/>
              <w:right w:val="nil"/>
            </w:tcBorders>
          </w:tcPr>
          <w:p w14:paraId="2155FEEE" w14:textId="77777777" w:rsidR="00951F81" w:rsidRDefault="007079D3" w:rsidP="007065FF">
            <w:r>
              <w:rPr>
                <w:noProof/>
              </w:rPr>
              <w:drawing>
                <wp:anchor distT="0" distB="0" distL="114300" distR="114300" simplePos="0" relativeHeight="251658243" behindDoc="0" locked="0" layoutInCell="1" allowOverlap="1" wp14:anchorId="72D05628" wp14:editId="3D8625F5">
                  <wp:simplePos x="0" y="0"/>
                  <wp:positionH relativeFrom="column">
                    <wp:posOffset>14605</wp:posOffset>
                  </wp:positionH>
                  <wp:positionV relativeFrom="paragraph">
                    <wp:posOffset>22225</wp:posOffset>
                  </wp:positionV>
                  <wp:extent cx="119380" cy="119380"/>
                  <wp:effectExtent l="0" t="0" r="0" b="0"/>
                  <wp:wrapNone/>
                  <wp:docPr id="42"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79"/>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155FEEF" w14:textId="77777777" w:rsidR="00951F81" w:rsidRDefault="007079D3" w:rsidP="007065FF">
            <w:r>
              <w:rPr>
                <w:b/>
              </w:rPr>
              <w:t>Μην</w:t>
            </w:r>
            <w:r>
              <w:t xml:space="preserve"> επιχειρήσετε να αφαιρέσετε το διαφανή μηχανισμό κάλυψης βελόνας από την προγεμισμένη σύριγγα.</w:t>
            </w:r>
          </w:p>
        </w:tc>
      </w:tr>
      <w:tr w:rsidR="00EA09FB" w14:paraId="2155FEF2" w14:textId="77777777" w:rsidTr="006829AE">
        <w:trPr>
          <w:cantSplit/>
          <w:trHeight w:val="57"/>
        </w:trPr>
        <w:tc>
          <w:tcPr>
            <w:tcW w:w="5000" w:type="pct"/>
            <w:gridSpan w:val="2"/>
            <w:tcBorders>
              <w:top w:val="nil"/>
            </w:tcBorders>
            <w:tcMar>
              <w:top w:w="57" w:type="dxa"/>
              <w:left w:w="57" w:type="dxa"/>
              <w:bottom w:w="57" w:type="dxa"/>
              <w:right w:w="57" w:type="dxa"/>
            </w:tcMar>
          </w:tcPr>
          <w:p w14:paraId="2155FEF1" w14:textId="77777777" w:rsidR="00951F81" w:rsidRDefault="007079D3" w:rsidP="007065FF">
            <w:r>
              <w:t>Καλέστε τον γιατρό σας ή τον επαγγελματία υγείας σας, εάν έχετε οποιεσδήποτε ερωτήσεις.</w:t>
            </w:r>
          </w:p>
        </w:tc>
      </w:tr>
    </w:tbl>
    <w:p w14:paraId="2155FEF3" w14:textId="77777777" w:rsidR="00951F81" w:rsidRDefault="00951F81" w:rsidP="00C1011B"/>
    <w:p w14:paraId="72A68FB4" w14:textId="77777777" w:rsidR="00C1011B" w:rsidRDefault="00C1011B" w:rsidP="007065FF"/>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9"/>
        <w:gridCol w:w="21"/>
        <w:gridCol w:w="8387"/>
      </w:tblGrid>
      <w:tr w:rsidR="00EA09FB" w14:paraId="2155FEF5" w14:textId="77777777" w:rsidTr="006829AE">
        <w:trPr>
          <w:cantSplit/>
          <w:trHeight w:val="57"/>
        </w:trPr>
        <w:tc>
          <w:tcPr>
            <w:tcW w:w="5000" w:type="pct"/>
            <w:gridSpan w:val="3"/>
            <w:tcBorders>
              <w:top w:val="single" w:sz="4" w:space="0" w:color="auto"/>
            </w:tcBorders>
            <w:tcMar>
              <w:top w:w="28" w:type="dxa"/>
              <w:left w:w="57" w:type="dxa"/>
              <w:bottom w:w="28" w:type="dxa"/>
              <w:right w:w="57" w:type="dxa"/>
            </w:tcMar>
          </w:tcPr>
          <w:p w14:paraId="2155FEF4" w14:textId="77777777" w:rsidR="00951F81" w:rsidRDefault="007079D3" w:rsidP="007065FF">
            <w:pPr>
              <w:jc w:val="center"/>
            </w:pPr>
            <w:r>
              <w:t xml:space="preserve">Βήμα 1: </w:t>
            </w:r>
            <w:r>
              <w:rPr>
                <w:b/>
              </w:rPr>
              <w:t>Προετοιμαστείτε</w:t>
            </w:r>
          </w:p>
        </w:tc>
      </w:tr>
      <w:tr w:rsidR="00EA09FB" w14:paraId="2155FEF8" w14:textId="77777777" w:rsidTr="006829AE">
        <w:trPr>
          <w:cantSplit/>
          <w:trHeight w:val="57"/>
        </w:trPr>
        <w:tc>
          <w:tcPr>
            <w:tcW w:w="313" w:type="pct"/>
            <w:gridSpan w:val="2"/>
            <w:tcBorders>
              <w:bottom w:val="single" w:sz="4" w:space="0" w:color="auto"/>
            </w:tcBorders>
            <w:tcMar>
              <w:top w:w="28" w:type="dxa"/>
              <w:left w:w="57" w:type="dxa"/>
              <w:bottom w:w="28" w:type="dxa"/>
              <w:right w:w="57" w:type="dxa"/>
            </w:tcMar>
          </w:tcPr>
          <w:p w14:paraId="2155FEF6" w14:textId="77777777" w:rsidR="00951F81" w:rsidRDefault="007079D3" w:rsidP="007065FF">
            <w:r>
              <w:t>A</w:t>
            </w:r>
          </w:p>
        </w:tc>
        <w:tc>
          <w:tcPr>
            <w:tcW w:w="4687" w:type="pct"/>
            <w:tcBorders>
              <w:bottom w:val="single" w:sz="4" w:space="0" w:color="auto"/>
            </w:tcBorders>
            <w:tcMar>
              <w:top w:w="28" w:type="dxa"/>
              <w:left w:w="57" w:type="dxa"/>
              <w:bottom w:w="28" w:type="dxa"/>
              <w:right w:w="57" w:type="dxa"/>
            </w:tcMar>
          </w:tcPr>
          <w:p w14:paraId="2155FEF7" w14:textId="77777777" w:rsidR="00951F81" w:rsidRDefault="007079D3" w:rsidP="007065FF">
            <w:r>
              <w:t>Αφαιρέστε το δίσκο της προγεμισμένης σύριγγας από τη συσκευασία και συγκεντρώστε τα απαραίτητα αναλώσιμα για την ένεση σας: μαντηλάκια εμποτισμένα με οινόπνευμα, μπάλες βαμβακιού ή επίθεμα γάζας, αυτοκόλλητο επίδεσμο και δοχείο απόρριψης αιχμηρών αντικειμένων (δεν συμπεριλαμβάνεται).</w:t>
            </w:r>
          </w:p>
        </w:tc>
      </w:tr>
      <w:tr w:rsidR="00EA09FB" w14:paraId="2155FEFC" w14:textId="77777777" w:rsidTr="006829AE">
        <w:trPr>
          <w:cantSplit/>
          <w:trHeight w:val="57"/>
        </w:trPr>
        <w:tc>
          <w:tcPr>
            <w:tcW w:w="5000" w:type="pct"/>
            <w:gridSpan w:val="3"/>
            <w:tcBorders>
              <w:bottom w:val="nil"/>
            </w:tcBorders>
            <w:tcMar>
              <w:top w:w="28" w:type="dxa"/>
              <w:left w:w="57" w:type="dxa"/>
              <w:bottom w:w="28" w:type="dxa"/>
              <w:right w:w="57" w:type="dxa"/>
            </w:tcMar>
          </w:tcPr>
          <w:p w14:paraId="2155FEF9" w14:textId="77777777" w:rsidR="00951F81" w:rsidRDefault="007079D3" w:rsidP="005A10E5">
            <w:pPr>
              <w:keepNext/>
            </w:pPr>
            <w:r>
              <w:t>Για μια πιο άνετη ένεση, αφήστε την προγεμισμένη σύριγγα σε θερμοκρασία δωματίου για περίπου 30 λεπτά πριν από την ένεση. Πλύνετε σχολαστικά τα χέρια σας με σαπούνι και νερό.</w:t>
            </w:r>
          </w:p>
          <w:p w14:paraId="2155FEFA" w14:textId="77777777" w:rsidR="00951F81" w:rsidRDefault="00951F81" w:rsidP="005A10E5">
            <w:pPr>
              <w:keepNext/>
            </w:pPr>
          </w:p>
          <w:p w14:paraId="2155FEFB" w14:textId="77777777" w:rsidR="00951F81" w:rsidRDefault="007079D3" w:rsidP="005A10E5">
            <w:pPr>
              <w:keepNext/>
            </w:pPr>
            <w:r>
              <w:t>Τοποθετήστε τη νέα προγεμισμένη σύριγγα και τα υπόλοιπα αναλώσιμα πάνω σε μια καθαρή, με καλό φωτισμό επιφάνεια.</w:t>
            </w:r>
          </w:p>
        </w:tc>
      </w:tr>
      <w:tr w:rsidR="00EA09FB" w14:paraId="2155FEFF" w14:textId="77777777" w:rsidTr="006829AE">
        <w:trPr>
          <w:cantSplit/>
          <w:trHeight w:val="57"/>
        </w:trPr>
        <w:tc>
          <w:tcPr>
            <w:tcW w:w="301" w:type="pct"/>
            <w:tcBorders>
              <w:top w:val="nil"/>
              <w:bottom w:val="nil"/>
              <w:right w:val="nil"/>
            </w:tcBorders>
            <w:tcMar>
              <w:top w:w="28" w:type="dxa"/>
              <w:left w:w="57" w:type="dxa"/>
              <w:bottom w:w="28" w:type="dxa"/>
              <w:right w:w="57" w:type="dxa"/>
            </w:tcMar>
          </w:tcPr>
          <w:p w14:paraId="2155FEFD" w14:textId="77777777" w:rsidR="00951F81" w:rsidRDefault="007079D3" w:rsidP="005A10E5">
            <w:pPr>
              <w:keepNext/>
              <w:suppressAutoHyphens/>
              <w:autoSpaceDE w:val="0"/>
              <w:autoSpaceDN w:val="0"/>
              <w:adjustRightInd w:val="0"/>
              <w:textAlignment w:val="center"/>
            </w:pPr>
            <w:r>
              <w:rPr>
                <w:noProof/>
              </w:rPr>
              <w:drawing>
                <wp:anchor distT="0" distB="0" distL="114300" distR="114300" simplePos="0" relativeHeight="251658244" behindDoc="0" locked="0" layoutInCell="1" allowOverlap="1" wp14:anchorId="5E6AF15B" wp14:editId="47BA2998">
                  <wp:simplePos x="0" y="0"/>
                  <wp:positionH relativeFrom="column">
                    <wp:posOffset>14605</wp:posOffset>
                  </wp:positionH>
                  <wp:positionV relativeFrom="paragraph">
                    <wp:posOffset>22225</wp:posOffset>
                  </wp:positionV>
                  <wp:extent cx="119380" cy="119380"/>
                  <wp:effectExtent l="0" t="0" r="0" b="0"/>
                  <wp:wrapNone/>
                  <wp:docPr id="4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80"/>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155FEFE" w14:textId="77777777" w:rsidR="00951F81" w:rsidRDefault="007079D3" w:rsidP="005A10E5">
            <w:pPr>
              <w:keepNext/>
            </w:pPr>
            <w:r>
              <w:rPr>
                <w:b/>
              </w:rPr>
              <w:t>Μην</w:t>
            </w:r>
            <w:r>
              <w:t xml:space="preserve"> επιχειρήσετε να θερμάνετε τη προγεμισμένη σύριγγα με οποιοδήποτε μέσο θερμότητας όπως ζεστό νερό ή φούρνο μικροκυμάτων.</w:t>
            </w:r>
          </w:p>
        </w:tc>
      </w:tr>
      <w:tr w:rsidR="00EA09FB" w14:paraId="2155FF02" w14:textId="77777777" w:rsidTr="006829AE">
        <w:trPr>
          <w:cantSplit/>
          <w:trHeight w:val="57"/>
        </w:trPr>
        <w:tc>
          <w:tcPr>
            <w:tcW w:w="301" w:type="pct"/>
            <w:tcBorders>
              <w:top w:val="nil"/>
              <w:bottom w:val="nil"/>
              <w:right w:val="nil"/>
            </w:tcBorders>
            <w:tcMar>
              <w:top w:w="28" w:type="dxa"/>
              <w:left w:w="57" w:type="dxa"/>
              <w:bottom w:w="28" w:type="dxa"/>
              <w:right w:w="57" w:type="dxa"/>
            </w:tcMar>
          </w:tcPr>
          <w:p w14:paraId="2155FF00" w14:textId="77777777" w:rsidR="00951F81" w:rsidRDefault="007079D3" w:rsidP="005A10E5">
            <w:pPr>
              <w:keepNext/>
              <w:suppressAutoHyphens/>
              <w:autoSpaceDE w:val="0"/>
              <w:autoSpaceDN w:val="0"/>
              <w:adjustRightInd w:val="0"/>
              <w:textAlignment w:val="center"/>
            </w:pPr>
            <w:r>
              <w:rPr>
                <w:noProof/>
              </w:rPr>
              <w:drawing>
                <wp:anchor distT="0" distB="0" distL="114300" distR="114300" simplePos="0" relativeHeight="251658245" behindDoc="0" locked="0" layoutInCell="1" allowOverlap="1" wp14:anchorId="4BDA7785" wp14:editId="17281837">
                  <wp:simplePos x="0" y="0"/>
                  <wp:positionH relativeFrom="column">
                    <wp:posOffset>14605</wp:posOffset>
                  </wp:positionH>
                  <wp:positionV relativeFrom="paragraph">
                    <wp:posOffset>22225</wp:posOffset>
                  </wp:positionV>
                  <wp:extent cx="119380" cy="119380"/>
                  <wp:effectExtent l="0" t="0" r="0" b="0"/>
                  <wp:wrapNone/>
                  <wp:docPr id="44"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28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155FF01" w14:textId="77777777" w:rsidR="00951F81" w:rsidRDefault="007079D3" w:rsidP="005A10E5">
            <w:pPr>
              <w:keepNext/>
            </w:pPr>
            <w:r>
              <w:rPr>
                <w:b/>
              </w:rPr>
              <w:t>Μην</w:t>
            </w:r>
            <w:r>
              <w:t xml:space="preserve"> αφήνετε την προγεμισμένη σύριγγα απ’ ευθείας εκτεθειμένη στο ηλιακό φως.</w:t>
            </w:r>
          </w:p>
        </w:tc>
      </w:tr>
      <w:tr w:rsidR="00EA09FB" w14:paraId="2155FF05" w14:textId="77777777" w:rsidTr="006829AE">
        <w:trPr>
          <w:cantSplit/>
          <w:trHeight w:val="57"/>
        </w:trPr>
        <w:tc>
          <w:tcPr>
            <w:tcW w:w="301" w:type="pct"/>
            <w:tcBorders>
              <w:top w:val="nil"/>
              <w:bottom w:val="nil"/>
              <w:right w:val="nil"/>
            </w:tcBorders>
            <w:tcMar>
              <w:top w:w="28" w:type="dxa"/>
              <w:left w:w="57" w:type="dxa"/>
              <w:bottom w:w="28" w:type="dxa"/>
              <w:right w:w="57" w:type="dxa"/>
            </w:tcMar>
          </w:tcPr>
          <w:p w14:paraId="2155FF03" w14:textId="77777777" w:rsidR="00951F81" w:rsidRDefault="007079D3" w:rsidP="005A10E5">
            <w:pPr>
              <w:keepNext/>
              <w:suppressAutoHyphens/>
              <w:autoSpaceDE w:val="0"/>
              <w:autoSpaceDN w:val="0"/>
              <w:adjustRightInd w:val="0"/>
              <w:textAlignment w:val="center"/>
            </w:pPr>
            <w:r>
              <w:rPr>
                <w:noProof/>
              </w:rPr>
              <w:drawing>
                <wp:anchor distT="0" distB="0" distL="114300" distR="114300" simplePos="0" relativeHeight="251658246" behindDoc="0" locked="0" layoutInCell="1" allowOverlap="1" wp14:anchorId="7835A2DC" wp14:editId="3CB5CA8F">
                  <wp:simplePos x="0" y="0"/>
                  <wp:positionH relativeFrom="column">
                    <wp:posOffset>14605</wp:posOffset>
                  </wp:positionH>
                  <wp:positionV relativeFrom="paragraph">
                    <wp:posOffset>22225</wp:posOffset>
                  </wp:positionV>
                  <wp:extent cx="119380" cy="119380"/>
                  <wp:effectExtent l="0" t="0" r="0" b="0"/>
                  <wp:wrapNone/>
                  <wp:docPr id="45"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8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155FF04" w14:textId="77777777" w:rsidR="00951F81" w:rsidRDefault="007079D3" w:rsidP="005A10E5">
            <w:pPr>
              <w:keepNext/>
            </w:pPr>
            <w:r>
              <w:rPr>
                <w:b/>
              </w:rPr>
              <w:t>Μην</w:t>
            </w:r>
            <w:r>
              <w:t xml:space="preserve"> ανακινείτε την προγεμισμένη σύριγγα.</w:t>
            </w:r>
          </w:p>
        </w:tc>
      </w:tr>
      <w:tr w:rsidR="00EA09FB" w14:paraId="2155FF08" w14:textId="77777777" w:rsidTr="006829AE">
        <w:trPr>
          <w:cantSplit/>
          <w:trHeight w:val="57"/>
        </w:trPr>
        <w:tc>
          <w:tcPr>
            <w:tcW w:w="301" w:type="pct"/>
            <w:tcBorders>
              <w:top w:val="nil"/>
              <w:bottom w:val="single" w:sz="4" w:space="0" w:color="auto"/>
              <w:right w:val="nil"/>
            </w:tcBorders>
            <w:tcMar>
              <w:top w:w="28" w:type="dxa"/>
              <w:left w:w="57" w:type="dxa"/>
              <w:bottom w:w="28" w:type="dxa"/>
              <w:right w:w="57" w:type="dxa"/>
            </w:tcMar>
          </w:tcPr>
          <w:p w14:paraId="2155FF06" w14:textId="77777777" w:rsidR="00951F81" w:rsidRDefault="00951F81" w:rsidP="005A10E5">
            <w:pPr>
              <w:keepNext/>
              <w:numPr>
                <w:ilvl w:val="0"/>
                <w:numId w:val="54"/>
              </w:numPr>
              <w:tabs>
                <w:tab w:val="clear" w:pos="567"/>
              </w:tabs>
              <w:ind w:left="567" w:hanging="567"/>
            </w:pPr>
          </w:p>
        </w:tc>
        <w:tc>
          <w:tcPr>
            <w:tcW w:w="4699" w:type="pct"/>
            <w:gridSpan w:val="2"/>
            <w:tcBorders>
              <w:top w:val="nil"/>
              <w:left w:val="nil"/>
              <w:bottom w:val="single" w:sz="4" w:space="0" w:color="auto"/>
            </w:tcBorders>
            <w:tcMar>
              <w:left w:w="0" w:type="dxa"/>
            </w:tcMar>
          </w:tcPr>
          <w:p w14:paraId="2155FF07" w14:textId="77777777" w:rsidR="00951F81" w:rsidRDefault="007079D3" w:rsidP="005A10E5">
            <w:pPr>
              <w:keepNext/>
              <w:rPr>
                <w:b/>
                <w:bCs/>
              </w:rPr>
            </w:pPr>
            <w:r>
              <w:rPr>
                <w:b/>
              </w:rPr>
              <w:t>Φυλάσσετε την προγεμισμένη σύριγγα σε μέρη που δεν την βλέπουν και δεν την φθάνουν τα παιδιά.</w:t>
            </w:r>
          </w:p>
        </w:tc>
      </w:tr>
    </w:tbl>
    <w:p w14:paraId="2155FF09" w14:textId="77777777" w:rsidR="00951F81" w:rsidRDefault="00951F81" w:rsidP="00951F81"/>
    <w:tbl>
      <w:tblPr>
        <w:tblW w:w="491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6"/>
        <w:gridCol w:w="14"/>
        <w:gridCol w:w="8348"/>
      </w:tblGrid>
      <w:tr w:rsidR="00EA09FB" w14:paraId="2155FF0C" w14:textId="77777777" w:rsidTr="006829AE">
        <w:trPr>
          <w:cantSplit/>
          <w:trHeight w:val="57"/>
        </w:trPr>
        <w:tc>
          <w:tcPr>
            <w:tcW w:w="309" w:type="pct"/>
            <w:gridSpan w:val="2"/>
            <w:tcMar>
              <w:top w:w="28" w:type="dxa"/>
              <w:left w:w="57" w:type="dxa"/>
              <w:bottom w:w="28" w:type="dxa"/>
              <w:right w:w="57" w:type="dxa"/>
            </w:tcMar>
          </w:tcPr>
          <w:p w14:paraId="2155FF0A" w14:textId="77777777" w:rsidR="00951F81" w:rsidRDefault="007079D3" w:rsidP="00F80507">
            <w:r>
              <w:t>B</w:t>
            </w:r>
          </w:p>
        </w:tc>
        <w:tc>
          <w:tcPr>
            <w:tcW w:w="4691" w:type="pct"/>
            <w:tcMar>
              <w:left w:w="57" w:type="dxa"/>
            </w:tcMar>
          </w:tcPr>
          <w:p w14:paraId="2155FF0B" w14:textId="77777777" w:rsidR="00951F81" w:rsidRDefault="007079D3" w:rsidP="00F80507">
            <w:r>
              <w:t>Ανοίξτε το δίσκο, αφαιρώντας το κάλυμμα. Πιάστε και τραβήξτε την προγεμισμένη σύριγγα από το διαφανή μηχανισμό κάλυψης βελόνας ώστε να την αφαιρέσετε από τον δίσκο.</w:t>
            </w:r>
          </w:p>
        </w:tc>
      </w:tr>
      <w:tr w:rsidR="00EA09FB" w14:paraId="2155FF0E" w14:textId="77777777" w:rsidTr="006829AE">
        <w:trPr>
          <w:cantSplit/>
          <w:trHeight w:val="57"/>
        </w:trPr>
        <w:tc>
          <w:tcPr>
            <w:tcW w:w="5000" w:type="pct"/>
            <w:gridSpan w:val="3"/>
            <w:tcBorders>
              <w:bottom w:val="nil"/>
            </w:tcBorders>
            <w:tcMar>
              <w:top w:w="28" w:type="dxa"/>
              <w:left w:w="57" w:type="dxa"/>
              <w:bottom w:w="28" w:type="dxa"/>
              <w:right w:w="57" w:type="dxa"/>
            </w:tcMar>
          </w:tcPr>
          <w:p w14:paraId="2155FF0D" w14:textId="77777777" w:rsidR="00951F81" w:rsidRDefault="007079D3" w:rsidP="00F80507">
            <w:pPr>
              <w:suppressAutoHyphens/>
              <w:autoSpaceDE w:val="0"/>
              <w:autoSpaceDN w:val="0"/>
              <w:adjustRightInd w:val="0"/>
              <w:jc w:val="center"/>
              <w:textAlignment w:val="center"/>
            </w:pPr>
            <w:r>
              <w:rPr>
                <w:noProof/>
                <w:lang w:val="pl-PL" w:eastAsia="pl-PL"/>
              </w:rPr>
              <mc:AlternateContent>
                <mc:Choice Requires="wps">
                  <w:drawing>
                    <wp:anchor distT="0" distB="0" distL="114300" distR="114300" simplePos="0" relativeHeight="251658271" behindDoc="0" locked="0" layoutInCell="1" allowOverlap="1" wp14:anchorId="25289483" wp14:editId="20D620C9">
                      <wp:simplePos x="0" y="0"/>
                      <wp:positionH relativeFrom="column">
                        <wp:posOffset>2252980</wp:posOffset>
                      </wp:positionH>
                      <wp:positionV relativeFrom="paragraph">
                        <wp:posOffset>2779395</wp:posOffset>
                      </wp:positionV>
                      <wp:extent cx="1025581" cy="341519"/>
                      <wp:effectExtent l="0" t="0" r="0" b="1905"/>
                      <wp:wrapNone/>
                      <wp:docPr id="1960650477" name="Πλαίσιο κειμένου 6"/>
                      <wp:cNvGraphicFramePr/>
                      <a:graphic xmlns:a="http://schemas.openxmlformats.org/drawingml/2006/main">
                        <a:graphicData uri="http://schemas.microsoft.com/office/word/2010/wordprocessingShape">
                          <wps:wsp>
                            <wps:cNvSpPr txBox="1"/>
                            <wps:spPr>
                              <a:xfrm>
                                <a:off x="0" y="0"/>
                                <a:ext cx="1025581" cy="341519"/>
                              </a:xfrm>
                              <a:prstGeom prst="rect">
                                <a:avLst/>
                              </a:prstGeom>
                              <a:noFill/>
                              <a:ln w="6350">
                                <a:noFill/>
                              </a:ln>
                            </wps:spPr>
                            <wps:txbx>
                              <w:txbxContent>
                                <w:p w14:paraId="7613BA93" w14:textId="77777777" w:rsidR="00DB3FB3" w:rsidRDefault="007079D3">
                                  <w:r>
                                    <w:rPr>
                                      <w:b/>
                                    </w:rPr>
                                    <w:t>Πιάστε εδώ</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5289483" id="Πλαίσιο κειμένου 6" o:spid="_x0000_s1035" type="#_x0000_t202" style="position:absolute;left:0;text-align:left;margin-left:177.4pt;margin-top:218.85pt;width:80.75pt;height:26.9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" filled="f" stroked="f" strokeweight=".5pt">
                      <v:textbox>
                        <w:txbxContent>
                          <w:p w14:paraId="7613BA93" w14:textId="77777777" w:rsidR="00DB3FB3" w:rsidRDefault="007079D3">
                            <w:r>
                              <w:rPr>
                                <w:b/>
                              </w:rPr>
                              <w:t>Πιάστε εδώ</w:t>
                            </w:r>
                          </w:p>
                        </w:txbxContent>
                      </v:textbox>
                    </v:shape>
                  </w:pict>
                </mc:Fallback>
              </mc:AlternateContent>
            </w:r>
            <w:r w:rsidRPr="0067252F">
              <w:rPr>
                <w:noProof/>
                <w:lang w:val="pl-PL" w:eastAsia="pl-PL"/>
              </w:rPr>
              <w:drawing>
                <wp:anchor distT="0" distB="0" distL="114300" distR="114300" simplePos="0" relativeHeight="251658266" behindDoc="1" locked="0" layoutInCell="1" allowOverlap="1" wp14:anchorId="51B48587" wp14:editId="157362F6">
                  <wp:simplePos x="0" y="0"/>
                  <wp:positionH relativeFrom="margin">
                    <wp:posOffset>1263015</wp:posOffset>
                  </wp:positionH>
                  <wp:positionV relativeFrom="paragraph">
                    <wp:posOffset>257175</wp:posOffset>
                  </wp:positionV>
                  <wp:extent cx="3060000" cy="2907646"/>
                  <wp:effectExtent l="0" t="0" r="7620" b="7620"/>
                  <wp:wrapTopAndBottom/>
                  <wp:docPr id="19978380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38064"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p>
        </w:tc>
      </w:tr>
      <w:tr w:rsidR="00EA09FB" w14:paraId="2155FF10" w14:textId="77777777" w:rsidTr="006829AE">
        <w:trPr>
          <w:cantSplit/>
          <w:trHeight w:val="57"/>
        </w:trPr>
        <w:tc>
          <w:tcPr>
            <w:tcW w:w="5000" w:type="pct"/>
            <w:gridSpan w:val="3"/>
            <w:tcBorders>
              <w:top w:val="nil"/>
              <w:bottom w:val="nil"/>
            </w:tcBorders>
            <w:tcMar>
              <w:top w:w="28" w:type="dxa"/>
              <w:left w:w="57" w:type="dxa"/>
              <w:bottom w:w="28" w:type="dxa"/>
              <w:right w:w="57" w:type="dxa"/>
            </w:tcMar>
          </w:tcPr>
          <w:p w14:paraId="2155FF0F" w14:textId="77777777" w:rsidR="00951F81" w:rsidRDefault="00951F81" w:rsidP="00F80507">
            <w:pPr>
              <w:jc w:val="center"/>
              <w:rPr>
                <w:b/>
                <w:bCs/>
              </w:rPr>
            </w:pPr>
          </w:p>
        </w:tc>
      </w:tr>
      <w:tr w:rsidR="00EA09FB" w14:paraId="2155FF12" w14:textId="77777777" w:rsidTr="006829AE">
        <w:trPr>
          <w:cantSplit/>
          <w:trHeight w:val="57"/>
        </w:trPr>
        <w:tc>
          <w:tcPr>
            <w:tcW w:w="5000" w:type="pct"/>
            <w:gridSpan w:val="3"/>
            <w:tcBorders>
              <w:top w:val="nil"/>
              <w:left w:val="single" w:sz="4" w:space="0" w:color="auto"/>
              <w:bottom w:val="nil"/>
            </w:tcBorders>
            <w:tcMar>
              <w:top w:w="28" w:type="dxa"/>
              <w:left w:w="57" w:type="dxa"/>
              <w:bottom w:w="28" w:type="dxa"/>
              <w:right w:w="57" w:type="dxa"/>
            </w:tcMar>
          </w:tcPr>
          <w:p w14:paraId="2155FF11" w14:textId="77777777" w:rsidR="00951F81" w:rsidRDefault="007079D3" w:rsidP="00F80507">
            <w:r>
              <w:t>Για λόγους ασφάλειας:</w:t>
            </w:r>
          </w:p>
        </w:tc>
      </w:tr>
      <w:tr w:rsidR="00EA09FB" w14:paraId="2155FF15" w14:textId="77777777" w:rsidTr="006829AE">
        <w:trPr>
          <w:cantSplit/>
          <w:trHeight w:val="57"/>
        </w:trPr>
        <w:tc>
          <w:tcPr>
            <w:tcW w:w="301" w:type="pct"/>
            <w:tcBorders>
              <w:top w:val="nil"/>
              <w:left w:val="single" w:sz="4" w:space="0" w:color="auto"/>
              <w:bottom w:val="nil"/>
              <w:right w:val="nil"/>
            </w:tcBorders>
            <w:tcMar>
              <w:top w:w="28" w:type="dxa"/>
              <w:left w:w="57" w:type="dxa"/>
              <w:bottom w:w="28" w:type="dxa"/>
              <w:right w:w="57" w:type="dxa"/>
            </w:tcMar>
          </w:tcPr>
          <w:p w14:paraId="2155FF13" w14:textId="77777777" w:rsidR="00951F81" w:rsidRDefault="007079D3" w:rsidP="00F80507">
            <w:pPr>
              <w:suppressAutoHyphens/>
              <w:autoSpaceDE w:val="0"/>
              <w:autoSpaceDN w:val="0"/>
              <w:adjustRightInd w:val="0"/>
              <w:textAlignment w:val="center"/>
            </w:pPr>
            <w:r>
              <w:rPr>
                <w:noProof/>
              </w:rPr>
              <w:drawing>
                <wp:anchor distT="0" distB="0" distL="114300" distR="114300" simplePos="0" relativeHeight="251658247" behindDoc="0" locked="0" layoutInCell="1" allowOverlap="1" wp14:anchorId="06A845D2" wp14:editId="008B4396">
                  <wp:simplePos x="0" y="0"/>
                  <wp:positionH relativeFrom="column">
                    <wp:posOffset>14605</wp:posOffset>
                  </wp:positionH>
                  <wp:positionV relativeFrom="paragraph">
                    <wp:posOffset>22225</wp:posOffset>
                  </wp:positionV>
                  <wp:extent cx="119380" cy="119380"/>
                  <wp:effectExtent l="0" t="0" r="0" b="0"/>
                  <wp:wrapNone/>
                  <wp:docPr id="46"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8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155FF14" w14:textId="77777777" w:rsidR="00951F81" w:rsidRDefault="007079D3" w:rsidP="00F80507">
            <w:pPr>
              <w:pStyle w:val="ListParagraph"/>
              <w:suppressAutoHyphens/>
              <w:autoSpaceDE w:val="0"/>
              <w:autoSpaceDN w:val="0"/>
              <w:adjustRightInd w:val="0"/>
              <w:ind w:left="0"/>
              <w:textAlignment w:val="center"/>
              <w:rPr>
                <w:sz w:val="22"/>
                <w:szCs w:val="22"/>
              </w:rPr>
            </w:pPr>
            <w:r>
              <w:rPr>
                <w:b/>
                <w:sz w:val="22"/>
              </w:rPr>
              <w:t>Μην</w:t>
            </w:r>
            <w:r>
              <w:rPr>
                <w:sz w:val="22"/>
              </w:rPr>
              <w:t xml:space="preserve"> πιάνετε την προγεμισμένη σύριγγα από τη ράβδο του εμβόλου.</w:t>
            </w:r>
          </w:p>
        </w:tc>
      </w:tr>
      <w:tr w:rsidR="00EA09FB" w14:paraId="2155FF18" w14:textId="77777777" w:rsidTr="006829AE">
        <w:trPr>
          <w:cantSplit/>
          <w:trHeight w:val="57"/>
        </w:trPr>
        <w:tc>
          <w:tcPr>
            <w:tcW w:w="301" w:type="pct"/>
            <w:tcBorders>
              <w:top w:val="nil"/>
              <w:left w:val="single" w:sz="4" w:space="0" w:color="auto"/>
              <w:bottom w:val="single" w:sz="4" w:space="0" w:color="auto"/>
              <w:right w:val="nil"/>
            </w:tcBorders>
            <w:tcMar>
              <w:top w:w="28" w:type="dxa"/>
              <w:left w:w="57" w:type="dxa"/>
              <w:bottom w:w="28" w:type="dxa"/>
              <w:right w:w="57" w:type="dxa"/>
            </w:tcMar>
          </w:tcPr>
          <w:p w14:paraId="2155FF16" w14:textId="77777777" w:rsidR="00951F81" w:rsidRDefault="007079D3" w:rsidP="00F80507">
            <w:pPr>
              <w:suppressAutoHyphens/>
              <w:autoSpaceDE w:val="0"/>
              <w:autoSpaceDN w:val="0"/>
              <w:adjustRightInd w:val="0"/>
              <w:textAlignment w:val="center"/>
            </w:pPr>
            <w:r>
              <w:rPr>
                <w:noProof/>
              </w:rPr>
              <w:drawing>
                <wp:anchor distT="0" distB="0" distL="114300" distR="114300" simplePos="0" relativeHeight="251658248" behindDoc="0" locked="0" layoutInCell="1" allowOverlap="1" wp14:anchorId="79AC911A" wp14:editId="6C479AD0">
                  <wp:simplePos x="0" y="0"/>
                  <wp:positionH relativeFrom="column">
                    <wp:posOffset>14605</wp:posOffset>
                  </wp:positionH>
                  <wp:positionV relativeFrom="paragraph">
                    <wp:posOffset>22225</wp:posOffset>
                  </wp:positionV>
                  <wp:extent cx="119380" cy="119380"/>
                  <wp:effectExtent l="0" t="0" r="0" b="0"/>
                  <wp:wrapNone/>
                  <wp:docPr id="47"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84"/>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single" w:sz="4" w:space="0" w:color="auto"/>
            </w:tcBorders>
            <w:tcMar>
              <w:left w:w="0" w:type="dxa"/>
            </w:tcMar>
          </w:tcPr>
          <w:p w14:paraId="2155FF17" w14:textId="7268B133" w:rsidR="00951F81" w:rsidRDefault="007079D3" w:rsidP="00F80507">
            <w:pPr>
              <w:suppressAutoHyphens/>
              <w:autoSpaceDE w:val="0"/>
              <w:autoSpaceDN w:val="0"/>
              <w:adjustRightInd w:val="0"/>
              <w:textAlignment w:val="center"/>
            </w:pPr>
            <w:r>
              <w:rPr>
                <w:b/>
              </w:rPr>
              <w:t xml:space="preserve">Μην </w:t>
            </w:r>
            <w:r>
              <w:t xml:space="preserve">πιάνετε το γκρι </w:t>
            </w:r>
            <w:r w:rsidR="00330FE0">
              <w:t xml:space="preserve">πώμα </w:t>
            </w:r>
            <w:r>
              <w:t>της βελόνας.</w:t>
            </w:r>
          </w:p>
        </w:tc>
      </w:tr>
    </w:tbl>
    <w:p w14:paraId="2155FF19" w14:textId="77777777" w:rsidR="00951F81" w:rsidRDefault="00951F81" w:rsidP="00951F81"/>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3"/>
        <w:gridCol w:w="2688"/>
        <w:gridCol w:w="5676"/>
      </w:tblGrid>
      <w:tr w:rsidR="00EA09FB" w14:paraId="2155FF1C" w14:textId="77777777" w:rsidTr="006829AE">
        <w:trPr>
          <w:cantSplit/>
          <w:trHeight w:val="57"/>
        </w:trPr>
        <w:tc>
          <w:tcPr>
            <w:tcW w:w="326" w:type="pct"/>
            <w:tcBorders>
              <w:bottom w:val="single" w:sz="4" w:space="0" w:color="auto"/>
            </w:tcBorders>
            <w:tcMar>
              <w:top w:w="28" w:type="dxa"/>
              <w:left w:w="57" w:type="dxa"/>
              <w:bottom w:w="28" w:type="dxa"/>
              <w:right w:w="57" w:type="dxa"/>
            </w:tcMar>
          </w:tcPr>
          <w:p w14:paraId="2155FF1A" w14:textId="77777777" w:rsidR="00951F81" w:rsidRDefault="007079D3" w:rsidP="006829AE">
            <w:pPr>
              <w:keepNext/>
            </w:pPr>
            <w:r>
              <w:t>Γ</w:t>
            </w:r>
          </w:p>
        </w:tc>
        <w:tc>
          <w:tcPr>
            <w:tcW w:w="4674" w:type="pct"/>
            <w:gridSpan w:val="2"/>
            <w:tcBorders>
              <w:bottom w:val="single" w:sz="4" w:space="0" w:color="auto"/>
            </w:tcBorders>
            <w:tcMar>
              <w:left w:w="57" w:type="dxa"/>
              <w:right w:w="57" w:type="dxa"/>
            </w:tcMar>
          </w:tcPr>
          <w:p w14:paraId="2155FF1B" w14:textId="77777777" w:rsidR="00951F81" w:rsidRDefault="007079D3" w:rsidP="006829AE">
            <w:pPr>
              <w:keepNext/>
            </w:pPr>
            <w:r>
              <w:t>Ελέγξτε το φάρμακο και την προγεμισμένη σύριγγα.</w:t>
            </w:r>
          </w:p>
        </w:tc>
      </w:tr>
      <w:tr w:rsidR="00EA09FB" w14:paraId="2155FF1F" w14:textId="77777777" w:rsidTr="006829AE">
        <w:trPr>
          <w:cantSplit/>
          <w:trHeight w:val="57"/>
        </w:trPr>
        <w:tc>
          <w:tcPr>
            <w:tcW w:w="1828" w:type="pct"/>
            <w:gridSpan w:val="2"/>
            <w:tcBorders>
              <w:bottom w:val="nil"/>
              <w:right w:val="nil"/>
            </w:tcBorders>
            <w:tcMar>
              <w:top w:w="28" w:type="dxa"/>
              <w:left w:w="57" w:type="dxa"/>
              <w:bottom w:w="28" w:type="dxa"/>
              <w:right w:w="57" w:type="dxa"/>
            </w:tcMar>
          </w:tcPr>
          <w:p w14:paraId="2155FF1D" w14:textId="77777777" w:rsidR="00951F81" w:rsidRDefault="00951F81" w:rsidP="006829AE">
            <w:pPr>
              <w:keepNext/>
              <w:suppressAutoHyphens/>
              <w:autoSpaceDE w:val="0"/>
              <w:autoSpaceDN w:val="0"/>
              <w:adjustRightInd w:val="0"/>
              <w:textAlignment w:val="center"/>
              <w:rPr>
                <w:lang w:eastAsia="zh-TW"/>
              </w:rPr>
            </w:pPr>
          </w:p>
        </w:tc>
        <w:tc>
          <w:tcPr>
            <w:tcW w:w="3172" w:type="pct"/>
            <w:tcBorders>
              <w:left w:val="nil"/>
              <w:bottom w:val="nil"/>
            </w:tcBorders>
          </w:tcPr>
          <w:p w14:paraId="2155FF1E" w14:textId="77777777" w:rsidR="00951F81" w:rsidRDefault="00951F81" w:rsidP="006829AE">
            <w:pPr>
              <w:keepNext/>
            </w:pPr>
          </w:p>
        </w:tc>
      </w:tr>
      <w:tr w:rsidR="00EA09FB" w14:paraId="2155FF21" w14:textId="77777777" w:rsidTr="006829AE">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2155FF20" w14:textId="245CA446" w:rsidR="00951F81" w:rsidRDefault="007079D3" w:rsidP="006829AE">
            <w:pPr>
              <w:keepNext/>
              <w:suppressAutoHyphens/>
              <w:autoSpaceDE w:val="0"/>
              <w:autoSpaceDN w:val="0"/>
              <w:adjustRightInd w:val="0"/>
              <w:textAlignment w:val="center"/>
            </w:pPr>
            <w:r>
              <w:rPr>
                <w:noProof/>
                <w:lang w:val="pl-PL" w:eastAsia="pl-PL"/>
              </w:rPr>
              <mc:AlternateContent>
                <mc:Choice Requires="wps">
                  <w:drawing>
                    <wp:anchor distT="0" distB="0" distL="114300" distR="114300" simplePos="0" relativeHeight="251658268" behindDoc="0" locked="0" layoutInCell="1" allowOverlap="1" wp14:anchorId="120B196C" wp14:editId="4EDB0173">
                      <wp:simplePos x="0" y="0"/>
                      <wp:positionH relativeFrom="column">
                        <wp:posOffset>2195830</wp:posOffset>
                      </wp:positionH>
                      <wp:positionV relativeFrom="paragraph">
                        <wp:posOffset>2390775</wp:posOffset>
                      </wp:positionV>
                      <wp:extent cx="1518340" cy="475643"/>
                      <wp:effectExtent l="0" t="0" r="0" b="635"/>
                      <wp:wrapNone/>
                      <wp:docPr id="1160748658" name="Πλαίσιο κειμένου 1"/>
                      <wp:cNvGraphicFramePr/>
                      <a:graphic xmlns:a="http://schemas.openxmlformats.org/drawingml/2006/main">
                        <a:graphicData uri="http://schemas.microsoft.com/office/word/2010/wordprocessingShape">
                          <wps:wsp>
                            <wps:cNvSpPr txBox="1"/>
                            <wps:spPr>
                              <a:xfrm>
                                <a:off x="0" y="0"/>
                                <a:ext cx="1518340" cy="475643"/>
                              </a:xfrm>
                              <a:prstGeom prst="rect">
                                <a:avLst/>
                              </a:prstGeom>
                              <a:noFill/>
                              <a:ln w="6350">
                                <a:noFill/>
                              </a:ln>
                            </wps:spPr>
                            <wps:txbx>
                              <w:txbxContent>
                                <w:p w14:paraId="7B24AB50" w14:textId="77777777" w:rsidR="00DB3FB3" w:rsidRDefault="007079D3">
                                  <w:r>
                                    <w:t>Ετικέτα και ημερομηνία λήξης</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20B196C" id="Πλαίσιο κειμένου 1" o:spid="_x0000_s1036" type="#_x0000_t202" style="position:absolute;margin-left:172.9pt;margin-top:188.25pt;width:119.55pt;height:37.4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" filled="f" stroked="f" strokeweight=".5pt">
                      <v:textbox>
                        <w:txbxContent>
                          <w:p w14:paraId="7B24AB50" w14:textId="77777777" w:rsidR="00DB3FB3" w:rsidRDefault="007079D3">
                            <w:r>
                              <w:t>Ετικέτα και ημερομηνία λήξης</w:t>
                            </w:r>
                          </w:p>
                        </w:txbxContent>
                      </v:textbox>
                    </v:shape>
                  </w:pict>
                </mc:Fallback>
              </mc:AlternateContent>
            </w:r>
            <w:r>
              <w:rPr>
                <w:noProof/>
                <w:lang w:val="pl-PL" w:eastAsia="pl-PL"/>
              </w:rPr>
              <mc:AlternateContent>
                <mc:Choice Requires="wps">
                  <w:drawing>
                    <wp:anchor distT="0" distB="0" distL="114300" distR="114300" simplePos="0" relativeHeight="251658270" behindDoc="0" locked="0" layoutInCell="1" allowOverlap="1" wp14:anchorId="42D381FA" wp14:editId="472E2E8F">
                      <wp:simplePos x="0" y="0"/>
                      <wp:positionH relativeFrom="column">
                        <wp:posOffset>1134745</wp:posOffset>
                      </wp:positionH>
                      <wp:positionV relativeFrom="paragraph">
                        <wp:posOffset>1029335</wp:posOffset>
                      </wp:positionV>
                      <wp:extent cx="755071" cy="659654"/>
                      <wp:effectExtent l="0" t="0" r="0" b="7620"/>
                      <wp:wrapNone/>
                      <wp:docPr id="500444414" name="Πλαίσιο κειμένου 5"/>
                      <wp:cNvGraphicFramePr/>
                      <a:graphic xmlns:a="http://schemas.openxmlformats.org/drawingml/2006/main">
                        <a:graphicData uri="http://schemas.microsoft.com/office/word/2010/wordprocessingShape">
                          <wps:wsp>
                            <wps:cNvSpPr txBox="1"/>
                            <wps:spPr>
                              <a:xfrm>
                                <a:off x="0" y="0"/>
                                <a:ext cx="755071" cy="659654"/>
                              </a:xfrm>
                              <a:prstGeom prst="rect">
                                <a:avLst/>
                              </a:prstGeom>
                              <a:noFill/>
                              <a:ln w="6350">
                                <a:noFill/>
                              </a:ln>
                            </wps:spPr>
                            <wps:txbx>
                              <w:txbxContent>
                                <w:p w14:paraId="77826D6A" w14:textId="40510AEF" w:rsidR="00DB3FB3" w:rsidRPr="00DB3FB3" w:rsidRDefault="007079D3" w:rsidP="00DB3FB3">
                                  <w:pPr>
                                    <w:rPr>
                                      <w:lang w:val="en-US"/>
                                    </w:rPr>
                                  </w:pPr>
                                  <w:r w:rsidRPr="00DB3FB3">
                                    <w:t>Γκρι</w:t>
                                  </w:r>
                                  <w:r w:rsidRPr="00DB3FB3">
                                    <w:rPr>
                                      <w:lang w:val="en-US"/>
                                    </w:rPr>
                                    <w:t xml:space="preserve"> </w:t>
                                  </w:r>
                                  <w:r w:rsidR="00330FE0">
                                    <w:t>πώμα</w:t>
                                  </w:r>
                                  <w:r w:rsidR="00330FE0" w:rsidRPr="00DB3FB3">
                                    <w:rPr>
                                      <w:lang w:val="en-US"/>
                                    </w:rPr>
                                    <w:t xml:space="preserve"> </w:t>
                                  </w:r>
                                  <w:r w:rsidRPr="00DB3FB3">
                                    <w:t>βελόνας</w:t>
                                  </w:r>
                                </w:p>
                                <w:p w14:paraId="61AC7650" w14:textId="77777777" w:rsidR="00DB3FB3" w:rsidRDefault="00DB3FB3"/>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2D381FA" id="Πλαίσιο κειμένου 5" o:spid="_x0000_s1037" type="#_x0000_t202" style="position:absolute;margin-left:89.35pt;margin-top:81.05pt;width:59.45pt;height:51.9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" filled="f" stroked="f" strokeweight=".5pt">
                      <v:textbox>
                        <w:txbxContent>
                          <w:p w14:paraId="77826D6A" w14:textId="40510AEF" w:rsidR="00DB3FB3" w:rsidRPr="00DB3FB3" w:rsidRDefault="007079D3" w:rsidP="00DB3FB3">
                            <w:pPr>
                              <w:rPr>
                                <w:lang w:val="en-US"/>
                              </w:rPr>
                            </w:pPr>
                            <w:r w:rsidRPr="00DB3FB3">
                              <w:t>Γκρι</w:t>
                            </w:r>
                            <w:r w:rsidRPr="00DB3FB3">
                              <w:rPr>
                                <w:lang w:val="en-US"/>
                              </w:rPr>
                              <w:t xml:space="preserve"> </w:t>
                            </w:r>
                            <w:r w:rsidR="00330FE0">
                              <w:t>πώμα</w:t>
                            </w:r>
                            <w:r w:rsidR="00330FE0" w:rsidRPr="00DB3FB3">
                              <w:rPr>
                                <w:lang w:val="en-US"/>
                              </w:rPr>
                              <w:t xml:space="preserve"> </w:t>
                            </w:r>
                            <w:r w:rsidRPr="00DB3FB3">
                              <w:t>βελόνας</w:t>
                            </w:r>
                          </w:p>
                          <w:p w14:paraId="61AC7650" w14:textId="77777777" w:rsidR="00DB3FB3" w:rsidRDefault="00DB3FB3"/>
                        </w:txbxContent>
                      </v:textbox>
                    </v:shape>
                  </w:pict>
                </mc:Fallback>
              </mc:AlternateContent>
            </w:r>
            <w:r>
              <w:rPr>
                <w:noProof/>
                <w:lang w:val="pl-PL" w:eastAsia="pl-PL"/>
              </w:rPr>
              <mc:AlternateContent>
                <mc:Choice Requires="wps">
                  <w:drawing>
                    <wp:anchor distT="0" distB="0" distL="114300" distR="114300" simplePos="0" relativeHeight="251658269" behindDoc="0" locked="0" layoutInCell="1" allowOverlap="1" wp14:anchorId="51BCFC84" wp14:editId="5A302240">
                      <wp:simplePos x="0" y="0"/>
                      <wp:positionH relativeFrom="column">
                        <wp:posOffset>1798320</wp:posOffset>
                      </wp:positionH>
                      <wp:positionV relativeFrom="paragraph">
                        <wp:posOffset>511175</wp:posOffset>
                      </wp:positionV>
                      <wp:extent cx="747423" cy="278296"/>
                      <wp:effectExtent l="0" t="0" r="0" b="7620"/>
                      <wp:wrapNone/>
                      <wp:docPr id="1614517994" name="Πλαίσιο κειμένου 2"/>
                      <wp:cNvGraphicFramePr/>
                      <a:graphic xmlns:a="http://schemas.openxmlformats.org/drawingml/2006/main">
                        <a:graphicData uri="http://schemas.microsoft.com/office/word/2010/wordprocessingShape">
                          <wps:wsp>
                            <wps:cNvSpPr txBox="1"/>
                            <wps:spPr>
                              <a:xfrm>
                                <a:off x="0" y="0"/>
                                <a:ext cx="747423" cy="278296"/>
                              </a:xfrm>
                              <a:prstGeom prst="rect">
                                <a:avLst/>
                              </a:prstGeom>
                              <a:noFill/>
                              <a:ln w="6350">
                                <a:noFill/>
                              </a:ln>
                            </wps:spPr>
                            <wps:txbx>
                              <w:txbxContent>
                                <w:p w14:paraId="7F03B171" w14:textId="77777777" w:rsidR="00DB3FB3" w:rsidRDefault="007079D3">
                                  <w:r>
                                    <w:t>Φάρμακο</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51BCFC84" id="Πλαίσιο κειμένου 2" o:spid="_x0000_s1038" type="#_x0000_t202" style="position:absolute;margin-left:141.6pt;margin-top:40.25pt;width:58.85pt;height:21.9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" filled="f" stroked="f" strokeweight=".5pt">
                      <v:textbox>
                        <w:txbxContent>
                          <w:p w14:paraId="7F03B171" w14:textId="77777777" w:rsidR="00DB3FB3" w:rsidRDefault="007079D3">
                            <w:r>
                              <w:t>Φάρμακο</w:t>
                            </w:r>
                          </w:p>
                        </w:txbxContent>
                      </v:textbox>
                    </v:shape>
                  </w:pict>
                </mc:Fallback>
              </mc:AlternateContent>
            </w:r>
            <w:r w:rsidRPr="005745AE">
              <w:rPr>
                <w:noProof/>
                <w:lang w:val="pl-PL" w:eastAsia="pl-PL"/>
              </w:rPr>
              <w:drawing>
                <wp:anchor distT="0" distB="0" distL="114300" distR="114300" simplePos="0" relativeHeight="251658267" behindDoc="1" locked="0" layoutInCell="1" allowOverlap="1" wp14:anchorId="039EEA57" wp14:editId="0290AD1A">
                  <wp:simplePos x="0" y="0"/>
                  <wp:positionH relativeFrom="margin">
                    <wp:posOffset>1139190</wp:posOffset>
                  </wp:positionH>
                  <wp:positionV relativeFrom="paragraph">
                    <wp:posOffset>103505</wp:posOffset>
                  </wp:positionV>
                  <wp:extent cx="3060000" cy="2734396"/>
                  <wp:effectExtent l="0" t="0" r="7620" b="8890"/>
                  <wp:wrapTopAndBottom/>
                  <wp:docPr id="17515743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74366"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p>
        </w:tc>
      </w:tr>
      <w:tr w:rsidR="00EA09FB" w14:paraId="2155FF24" w14:textId="77777777" w:rsidTr="006829AE">
        <w:trPr>
          <w:cantSplit/>
          <w:trHeight w:val="57"/>
        </w:trPr>
        <w:tc>
          <w:tcPr>
            <w:tcW w:w="326" w:type="pct"/>
            <w:tcBorders>
              <w:bottom w:val="nil"/>
              <w:right w:val="nil"/>
            </w:tcBorders>
            <w:tcMar>
              <w:top w:w="28" w:type="dxa"/>
              <w:left w:w="57" w:type="dxa"/>
              <w:bottom w:w="28" w:type="dxa"/>
              <w:right w:w="57" w:type="dxa"/>
            </w:tcMar>
          </w:tcPr>
          <w:p w14:paraId="2155FF22" w14:textId="77777777" w:rsidR="00951F81" w:rsidRDefault="007079D3" w:rsidP="006829AE">
            <w:pPr>
              <w:keepNext/>
              <w:suppressAutoHyphens/>
              <w:autoSpaceDE w:val="0"/>
              <w:autoSpaceDN w:val="0"/>
              <w:adjustRightInd w:val="0"/>
              <w:textAlignment w:val="center"/>
            </w:pPr>
            <w:r>
              <w:rPr>
                <w:noProof/>
              </w:rPr>
              <w:drawing>
                <wp:anchor distT="0" distB="0" distL="114300" distR="114300" simplePos="0" relativeHeight="251658249" behindDoc="0" locked="0" layoutInCell="1" allowOverlap="1" wp14:anchorId="034D7958" wp14:editId="4E34CF9B">
                  <wp:simplePos x="0" y="0"/>
                  <wp:positionH relativeFrom="column">
                    <wp:posOffset>14605</wp:posOffset>
                  </wp:positionH>
                  <wp:positionV relativeFrom="paragraph">
                    <wp:posOffset>22225</wp:posOffset>
                  </wp:positionV>
                  <wp:extent cx="119380" cy="119380"/>
                  <wp:effectExtent l="0" t="0" r="0" b="0"/>
                  <wp:wrapNone/>
                  <wp:docPr id="48"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85"/>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74" w:type="pct"/>
            <w:gridSpan w:val="2"/>
            <w:tcBorders>
              <w:left w:val="nil"/>
              <w:bottom w:val="nil"/>
            </w:tcBorders>
            <w:tcMar>
              <w:left w:w="0" w:type="dxa"/>
            </w:tcMar>
          </w:tcPr>
          <w:p w14:paraId="2155FF23" w14:textId="77777777" w:rsidR="00951F81" w:rsidRDefault="007079D3" w:rsidP="006829AE">
            <w:pPr>
              <w:keepNext/>
            </w:pPr>
            <w:r>
              <w:rPr>
                <w:b/>
              </w:rPr>
              <w:t xml:space="preserve">Μην </w:t>
            </w:r>
            <w:r>
              <w:t>χρησιμοποιήσετε την προγεμισμένη σύριγγα εάν:</w:t>
            </w:r>
          </w:p>
        </w:tc>
      </w:tr>
      <w:tr w:rsidR="00EA09FB" w14:paraId="2155FF29" w14:textId="77777777" w:rsidTr="006829AE">
        <w:trPr>
          <w:cantSplit/>
          <w:trHeight w:val="57"/>
        </w:trPr>
        <w:tc>
          <w:tcPr>
            <w:tcW w:w="5000" w:type="pct"/>
            <w:gridSpan w:val="3"/>
            <w:tcBorders>
              <w:top w:val="nil"/>
              <w:bottom w:val="nil"/>
            </w:tcBorders>
            <w:tcMar>
              <w:top w:w="28" w:type="dxa"/>
              <w:left w:w="567" w:type="dxa"/>
              <w:bottom w:w="28" w:type="dxa"/>
              <w:right w:w="57" w:type="dxa"/>
            </w:tcMar>
          </w:tcPr>
          <w:p w14:paraId="2155FF25" w14:textId="77777777" w:rsidR="00951F81" w:rsidRDefault="007079D3" w:rsidP="006829AE">
            <w:pPr>
              <w:keepNext/>
              <w:numPr>
                <w:ilvl w:val="0"/>
                <w:numId w:val="54"/>
              </w:numPr>
              <w:tabs>
                <w:tab w:val="clear" w:pos="567"/>
              </w:tabs>
              <w:ind w:left="567" w:hanging="567"/>
            </w:pPr>
            <w:r>
              <w:t>Το φάρμακο είναι νεφελώδες ή υπάρχουν σωματίδια μέσα σε αυτό. Πρέπει να είναι ένα διαυγές, άχρωμο έως υποκίτρινο διάλυμα.</w:t>
            </w:r>
          </w:p>
          <w:p w14:paraId="2155FF26" w14:textId="77777777" w:rsidR="00951F81" w:rsidRDefault="007079D3" w:rsidP="006829AE">
            <w:pPr>
              <w:keepNext/>
              <w:numPr>
                <w:ilvl w:val="0"/>
                <w:numId w:val="54"/>
              </w:numPr>
              <w:tabs>
                <w:tab w:val="clear" w:pos="567"/>
              </w:tabs>
              <w:ind w:left="567" w:hanging="567"/>
            </w:pPr>
            <w:r>
              <w:t>Οποιοδήποτε μέρος φαίνεται ραγισμένο ή σπασμένο.</w:t>
            </w:r>
          </w:p>
          <w:p w14:paraId="2155FF27" w14:textId="3562E49E" w:rsidR="00951F81" w:rsidRDefault="007079D3" w:rsidP="006829AE">
            <w:pPr>
              <w:keepNext/>
              <w:numPr>
                <w:ilvl w:val="0"/>
                <w:numId w:val="54"/>
              </w:numPr>
              <w:tabs>
                <w:tab w:val="clear" w:pos="567"/>
              </w:tabs>
              <w:ind w:left="567" w:hanging="567"/>
            </w:pPr>
            <w:r>
              <w:t xml:space="preserve">Λείπει το γκρι </w:t>
            </w:r>
            <w:r w:rsidR="00330FE0">
              <w:t xml:space="preserve">πώμα </w:t>
            </w:r>
            <w:r>
              <w:t>της βελόνας ή δεν είναι ασφαλώς προσαρτημένο.</w:t>
            </w:r>
          </w:p>
          <w:p w14:paraId="2155FF28" w14:textId="77777777" w:rsidR="00951F81" w:rsidRDefault="007079D3" w:rsidP="006829AE">
            <w:pPr>
              <w:keepNext/>
              <w:numPr>
                <w:ilvl w:val="0"/>
                <w:numId w:val="54"/>
              </w:numPr>
              <w:tabs>
                <w:tab w:val="clear" w:pos="567"/>
              </w:tabs>
              <w:ind w:left="567" w:hanging="567"/>
            </w:pPr>
            <w:r>
              <w:t>Η ημερομηνία λήξης που αναγράφεται στην ετικέτα έχει παρέλθει της τελευταίας ημέρας του μήνα που αναγράφεται.</w:t>
            </w:r>
          </w:p>
        </w:tc>
      </w:tr>
      <w:tr w:rsidR="00EA09FB" w14:paraId="2155FF2B" w14:textId="77777777" w:rsidTr="006829AE">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2155FF2A" w14:textId="2DE95B3D" w:rsidR="00951F81" w:rsidRDefault="007079D3" w:rsidP="006829AE">
            <w:pPr>
              <w:keepNext/>
            </w:pPr>
            <w:r>
              <w:t xml:space="preserve">Σε όλες τις περιπτώσεις, </w:t>
            </w:r>
            <w:r w:rsidR="00330FE0">
              <w:t xml:space="preserve">παρακαλείστε όπως </w:t>
            </w:r>
            <w:r>
              <w:t>ζητήσ</w:t>
            </w:r>
            <w:r w:rsidR="00330FE0">
              <w:t>ε</w:t>
            </w:r>
            <w:r>
              <w:t>τε τη βοήθεια του γιατρού, ή του επαγγελματία υγείας σας.</w:t>
            </w:r>
          </w:p>
        </w:tc>
      </w:tr>
    </w:tbl>
    <w:p w14:paraId="2155FF2C" w14:textId="77777777" w:rsidR="00951F81" w:rsidRDefault="00951F81" w:rsidP="00951F81"/>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529"/>
        <w:gridCol w:w="3090"/>
        <w:gridCol w:w="2642"/>
      </w:tblGrid>
      <w:tr w:rsidR="00EA09FB" w14:paraId="2155FF2E" w14:textId="77777777" w:rsidTr="006829AE">
        <w:trPr>
          <w:cantSplit/>
          <w:trHeight w:val="57"/>
        </w:trPr>
        <w:tc>
          <w:tcPr>
            <w:tcW w:w="5000" w:type="pct"/>
            <w:gridSpan w:val="4"/>
            <w:tcMar>
              <w:top w:w="28" w:type="dxa"/>
              <w:bottom w:w="28" w:type="dxa"/>
            </w:tcMar>
          </w:tcPr>
          <w:p w14:paraId="2155FF2D" w14:textId="77777777" w:rsidR="00951F81" w:rsidRDefault="007079D3" w:rsidP="005A10E5">
            <w:pPr>
              <w:keepNext/>
              <w:jc w:val="center"/>
            </w:pPr>
            <w:r>
              <w:t xml:space="preserve">Βήμα 2: </w:t>
            </w:r>
            <w:r>
              <w:rPr>
                <w:b/>
              </w:rPr>
              <w:t>Ετοιμαστείτε</w:t>
            </w:r>
          </w:p>
        </w:tc>
      </w:tr>
      <w:tr w:rsidR="00EA09FB" w14:paraId="2155FF31" w14:textId="77777777" w:rsidTr="006829AE">
        <w:trPr>
          <w:cantSplit/>
          <w:trHeight w:val="57"/>
        </w:trPr>
        <w:tc>
          <w:tcPr>
            <w:tcW w:w="332" w:type="pct"/>
            <w:tcBorders>
              <w:bottom w:val="single" w:sz="4" w:space="0" w:color="auto"/>
            </w:tcBorders>
            <w:tcMar>
              <w:left w:w="57" w:type="dxa"/>
            </w:tcMar>
          </w:tcPr>
          <w:p w14:paraId="2155FF2F" w14:textId="77777777" w:rsidR="00951F81" w:rsidRDefault="007079D3" w:rsidP="005A10E5">
            <w:pPr>
              <w:keepNext/>
            </w:pPr>
            <w:r>
              <w:t>A</w:t>
            </w:r>
          </w:p>
        </w:tc>
        <w:tc>
          <w:tcPr>
            <w:tcW w:w="4668" w:type="pct"/>
            <w:gridSpan w:val="3"/>
            <w:tcBorders>
              <w:bottom w:val="single" w:sz="4" w:space="0" w:color="auto"/>
            </w:tcBorders>
            <w:tcMar>
              <w:top w:w="28" w:type="dxa"/>
              <w:left w:w="57" w:type="dxa"/>
              <w:bottom w:w="28" w:type="dxa"/>
              <w:right w:w="57" w:type="dxa"/>
            </w:tcMar>
          </w:tcPr>
          <w:p w14:paraId="2155FF30" w14:textId="77777777" w:rsidR="00951F81" w:rsidRDefault="007079D3" w:rsidP="005A10E5">
            <w:pPr>
              <w:keepNext/>
            </w:pPr>
            <w:r>
              <w:t>Πλύνετε σχολαστικά τα χέρια σας. Προετοιμάστε και καθαρίστε το σημείο της ένεσης.</w:t>
            </w:r>
          </w:p>
        </w:tc>
      </w:tr>
      <w:tr w:rsidR="00EA09FB" w14:paraId="2155FF35" w14:textId="77777777" w:rsidTr="006829AE">
        <w:trPr>
          <w:cantSplit/>
          <w:trHeight w:val="1219"/>
        </w:trPr>
        <w:tc>
          <w:tcPr>
            <w:tcW w:w="1761" w:type="pct"/>
            <w:gridSpan w:val="2"/>
            <w:vMerge w:val="restart"/>
            <w:tcBorders>
              <w:bottom w:val="nil"/>
              <w:right w:val="nil"/>
            </w:tcBorders>
            <w:tcMar>
              <w:top w:w="28" w:type="dxa"/>
              <w:left w:w="57" w:type="dxa"/>
              <w:bottom w:w="28" w:type="dxa"/>
              <w:right w:w="57" w:type="dxa"/>
            </w:tcMar>
            <w:vAlign w:val="bottom"/>
          </w:tcPr>
          <w:p w14:paraId="2155FF32" w14:textId="77777777" w:rsidR="00951F81" w:rsidRDefault="007079D3" w:rsidP="005A10E5">
            <w:pPr>
              <w:keepNext/>
              <w:rPr>
                <w:b/>
                <w:bCs/>
              </w:rPr>
            </w:pPr>
            <w:r>
              <w:rPr>
                <w:b/>
              </w:rPr>
              <w:t>Μπορείτε να χρησιμοποιήσετε:</w:t>
            </w:r>
          </w:p>
        </w:tc>
        <w:tc>
          <w:tcPr>
            <w:tcW w:w="1746" w:type="pct"/>
            <w:vMerge w:val="restart"/>
            <w:tcBorders>
              <w:left w:val="nil"/>
              <w:bottom w:val="nil"/>
              <w:right w:val="nil"/>
            </w:tcBorders>
            <w:tcMar>
              <w:top w:w="28" w:type="dxa"/>
              <w:left w:w="57" w:type="dxa"/>
              <w:bottom w:w="28" w:type="dxa"/>
              <w:right w:w="57" w:type="dxa"/>
            </w:tcMar>
          </w:tcPr>
          <w:p w14:paraId="2155FF33" w14:textId="36A66BE6" w:rsidR="00951F81" w:rsidRDefault="007079D3" w:rsidP="005A10E5">
            <w:pPr>
              <w:keepNext/>
            </w:pPr>
            <w:r>
              <w:rPr>
                <w:b/>
                <w:noProof/>
                <w:lang w:val="pl-PL" w:eastAsia="pl-PL"/>
              </w:rPr>
              <mc:AlternateContent>
                <mc:Choice Requires="wps">
                  <w:drawing>
                    <wp:anchor distT="0" distB="0" distL="114300" distR="114300" simplePos="0" relativeHeight="251658275" behindDoc="0" locked="0" layoutInCell="1" allowOverlap="1" wp14:anchorId="5B0D4558" wp14:editId="272A2394">
                      <wp:simplePos x="0" y="0"/>
                      <wp:positionH relativeFrom="column">
                        <wp:posOffset>-180230</wp:posOffset>
                      </wp:positionH>
                      <wp:positionV relativeFrom="paragraph">
                        <wp:posOffset>1077015</wp:posOffset>
                      </wp:positionV>
                      <wp:extent cx="779228" cy="341906"/>
                      <wp:effectExtent l="0" t="0" r="0" b="1270"/>
                      <wp:wrapNone/>
                      <wp:docPr id="244010436" name="Πλαίσιο κειμένου 9"/>
                      <wp:cNvGraphicFramePr/>
                      <a:graphic xmlns:a="http://schemas.openxmlformats.org/drawingml/2006/main">
                        <a:graphicData uri="http://schemas.microsoft.com/office/word/2010/wordprocessingShape">
                          <wps:wsp>
                            <wps:cNvSpPr txBox="1"/>
                            <wps:spPr>
                              <a:xfrm>
                                <a:off x="0" y="0"/>
                                <a:ext cx="779228" cy="341906"/>
                              </a:xfrm>
                              <a:prstGeom prst="rect">
                                <a:avLst/>
                              </a:prstGeom>
                              <a:noFill/>
                              <a:ln w="6350">
                                <a:noFill/>
                              </a:ln>
                            </wps:spPr>
                            <wps:txbx>
                              <w:txbxContent>
                                <w:p w14:paraId="524D34CE" w14:textId="77777777" w:rsidR="00DB3FB3" w:rsidRPr="00DB3FB3" w:rsidRDefault="007079D3">
                                  <w:pPr>
                                    <w:rPr>
                                      <w:b/>
                                      <w:bCs/>
                                      <w:sz w:val="16"/>
                                      <w:szCs w:val="16"/>
                                    </w:rPr>
                                  </w:pPr>
                                  <w:r w:rsidRPr="00DB3FB3">
                                    <w:rPr>
                                      <w:b/>
                                      <w:bCs/>
                                      <w:sz w:val="16"/>
                                      <w:szCs w:val="16"/>
                                    </w:rPr>
                                    <w:t>Επάνω μέρος μηρών</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B0D4558" id="Πλαίσιο κειμένου 9" o:spid="_x0000_s1039" type="#_x0000_t202" style="position:absolute;margin-left:-14.2pt;margin-top:84.8pt;width:61.35pt;height:26.9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" filled="f" stroked="f" strokeweight=".5pt">
                      <v:textbox>
                        <w:txbxContent>
                          <w:p w14:paraId="524D34CE" w14:textId="77777777" w:rsidR="00DB3FB3" w:rsidRPr="00DB3FB3" w:rsidRDefault="007079D3">
                            <w:pPr>
                              <w:rPr>
                                <w:b/>
                                <w:bCs/>
                                <w:sz w:val="16"/>
                                <w:szCs w:val="16"/>
                              </w:rPr>
                            </w:pPr>
                            <w:r w:rsidRPr="00DB3FB3">
                              <w:rPr>
                                <w:b/>
                                <w:bCs/>
                                <w:sz w:val="16"/>
                                <w:szCs w:val="16"/>
                              </w:rPr>
                              <w:t>Επάνω μέρος μηρών</w:t>
                            </w:r>
                          </w:p>
                        </w:txbxContent>
                      </v:textbox>
                    </v:shape>
                  </w:pict>
                </mc:Fallback>
              </mc:AlternateContent>
            </w:r>
            <w:r>
              <w:rPr>
                <w:b/>
                <w:noProof/>
                <w:lang w:val="pl-PL" w:eastAsia="pl-PL"/>
              </w:rPr>
              <mc:AlternateContent>
                <mc:Choice Requires="wps">
                  <w:drawing>
                    <wp:anchor distT="0" distB="0" distL="114300" distR="114300" simplePos="0" relativeHeight="251658274" behindDoc="0" locked="0" layoutInCell="1" allowOverlap="1" wp14:anchorId="16A399BE" wp14:editId="1D4DD19C">
                      <wp:simplePos x="0" y="0"/>
                      <wp:positionH relativeFrom="column">
                        <wp:posOffset>50358</wp:posOffset>
                      </wp:positionH>
                      <wp:positionV relativeFrom="paragraph">
                        <wp:posOffset>615840</wp:posOffset>
                      </wp:positionV>
                      <wp:extent cx="564543" cy="326003"/>
                      <wp:effectExtent l="0" t="0" r="0" b="0"/>
                      <wp:wrapNone/>
                      <wp:docPr id="7118126" name="Πλαίσιο κειμένου 8"/>
                      <wp:cNvGraphicFramePr/>
                      <a:graphic xmlns:a="http://schemas.openxmlformats.org/drawingml/2006/main">
                        <a:graphicData uri="http://schemas.microsoft.com/office/word/2010/wordprocessingShape">
                          <wps:wsp>
                            <wps:cNvSpPr txBox="1"/>
                            <wps:spPr>
                              <a:xfrm>
                                <a:off x="0" y="0"/>
                                <a:ext cx="564543" cy="326003"/>
                              </a:xfrm>
                              <a:prstGeom prst="rect">
                                <a:avLst/>
                              </a:prstGeom>
                              <a:noFill/>
                              <a:ln w="6350">
                                <a:noFill/>
                              </a:ln>
                            </wps:spPr>
                            <wps:txbx>
                              <w:txbxContent>
                                <w:p w14:paraId="6AA8301C" w14:textId="77777777" w:rsidR="00DB3FB3" w:rsidRPr="00DB3FB3" w:rsidRDefault="007079D3">
                                  <w:pPr>
                                    <w:rPr>
                                      <w:b/>
                                      <w:bCs/>
                                      <w:sz w:val="12"/>
                                      <w:szCs w:val="12"/>
                                    </w:rPr>
                                  </w:pPr>
                                  <w:r w:rsidRPr="00DB3FB3">
                                    <w:rPr>
                                      <w:b/>
                                      <w:bCs/>
                                      <w:sz w:val="12"/>
                                      <w:szCs w:val="12"/>
                                    </w:rPr>
                                    <w:t>Κοιλιακή χώρα</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16A399BE" id="Πλαίσιο κειμένου 8" o:spid="_x0000_s1040" type="#_x0000_t202" style="position:absolute;margin-left:3.95pt;margin-top:48.5pt;width:44.45pt;height:25.6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" filled="f" stroked="f" strokeweight=".5pt">
                      <v:textbox>
                        <w:txbxContent>
                          <w:p w14:paraId="6AA8301C" w14:textId="77777777" w:rsidR="00DB3FB3" w:rsidRPr="00DB3FB3" w:rsidRDefault="007079D3">
                            <w:pPr>
                              <w:rPr>
                                <w:b/>
                                <w:bCs/>
                                <w:sz w:val="12"/>
                                <w:szCs w:val="12"/>
                              </w:rPr>
                            </w:pPr>
                            <w:r w:rsidRPr="00DB3FB3">
                              <w:rPr>
                                <w:b/>
                                <w:bCs/>
                                <w:sz w:val="12"/>
                                <w:szCs w:val="12"/>
                              </w:rPr>
                              <w:t>Κοιλιακή χώρα</w:t>
                            </w:r>
                          </w:p>
                        </w:txbxContent>
                      </v:textbox>
                    </v:shape>
                  </w:pict>
                </mc:Fallback>
              </mc:AlternateContent>
            </w:r>
            <w:r>
              <w:rPr>
                <w:b/>
                <w:noProof/>
                <w:lang w:val="pl-PL" w:eastAsia="pl-PL"/>
              </w:rPr>
              <mc:AlternateContent>
                <mc:Choice Requires="wps">
                  <w:drawing>
                    <wp:anchor distT="0" distB="0" distL="114300" distR="114300" simplePos="0" relativeHeight="251658273" behindDoc="0" locked="0" layoutInCell="1" allowOverlap="1" wp14:anchorId="4D6F215E" wp14:editId="3B5FE8DE">
                      <wp:simplePos x="0" y="0"/>
                      <wp:positionH relativeFrom="column">
                        <wp:posOffset>34456</wp:posOffset>
                      </wp:positionH>
                      <wp:positionV relativeFrom="paragraph">
                        <wp:posOffset>51297</wp:posOffset>
                      </wp:positionV>
                      <wp:extent cx="596347" cy="286247"/>
                      <wp:effectExtent l="0" t="0" r="0" b="0"/>
                      <wp:wrapNone/>
                      <wp:docPr id="913351979" name="Πλαίσιο κειμένου 7"/>
                      <wp:cNvGraphicFramePr/>
                      <a:graphic xmlns:a="http://schemas.openxmlformats.org/drawingml/2006/main">
                        <a:graphicData uri="http://schemas.microsoft.com/office/word/2010/wordprocessingShape">
                          <wps:wsp>
                            <wps:cNvSpPr txBox="1"/>
                            <wps:spPr>
                              <a:xfrm>
                                <a:off x="0" y="0"/>
                                <a:ext cx="596347" cy="286247"/>
                              </a:xfrm>
                              <a:prstGeom prst="rect">
                                <a:avLst/>
                              </a:prstGeom>
                              <a:noFill/>
                              <a:ln w="6350">
                                <a:noFill/>
                              </a:ln>
                            </wps:spPr>
                            <wps:txbx>
                              <w:txbxContent>
                                <w:p w14:paraId="220B4D3A" w14:textId="77777777" w:rsidR="00DB3FB3" w:rsidRPr="00DB3FB3" w:rsidRDefault="007079D3">
                                  <w:pPr>
                                    <w:rPr>
                                      <w:b/>
                                      <w:bCs/>
                                      <w:sz w:val="14"/>
                                      <w:szCs w:val="14"/>
                                    </w:rPr>
                                  </w:pPr>
                                  <w:r w:rsidRPr="00DB3FB3">
                                    <w:rPr>
                                      <w:b/>
                                      <w:bCs/>
                                      <w:sz w:val="14"/>
                                      <w:szCs w:val="14"/>
                                    </w:rPr>
                                    <w:t>Μπράτσο</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4D6F215E" id="Πλαίσιο κειμένου 7" o:spid="_x0000_s1041" type="#_x0000_t202" style="position:absolute;margin-left:2.7pt;margin-top:4.05pt;width:46.95pt;height:2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" filled="f" stroked="f" strokeweight=".5pt">
                      <v:textbox>
                        <w:txbxContent>
                          <w:p w14:paraId="220B4D3A" w14:textId="77777777" w:rsidR="00DB3FB3" w:rsidRPr="00DB3FB3" w:rsidRDefault="007079D3">
                            <w:pPr>
                              <w:rPr>
                                <w:b/>
                                <w:bCs/>
                                <w:sz w:val="14"/>
                                <w:szCs w:val="14"/>
                              </w:rPr>
                            </w:pPr>
                            <w:r w:rsidRPr="00DB3FB3">
                              <w:rPr>
                                <w:b/>
                                <w:bCs/>
                                <w:sz w:val="14"/>
                                <w:szCs w:val="14"/>
                              </w:rPr>
                              <w:t>Μπράτσο</w:t>
                            </w:r>
                          </w:p>
                        </w:txbxContent>
                      </v:textbox>
                    </v:shape>
                  </w:pict>
                </mc:Fallback>
              </mc:AlternateContent>
            </w:r>
            <w:r w:rsidRPr="00530692">
              <w:rPr>
                <w:b/>
                <w:noProof/>
                <w:lang w:val="pl-PL" w:eastAsia="pl-PL"/>
              </w:rPr>
              <w:drawing>
                <wp:anchor distT="0" distB="0" distL="114300" distR="114300" simplePos="0" relativeHeight="251658272" behindDoc="0" locked="0" layoutInCell="1" allowOverlap="1" wp14:anchorId="69755EB1" wp14:editId="56BEA888">
                  <wp:simplePos x="0" y="0"/>
                  <wp:positionH relativeFrom="margin">
                    <wp:posOffset>-35726</wp:posOffset>
                  </wp:positionH>
                  <wp:positionV relativeFrom="paragraph">
                    <wp:posOffset>7952</wp:posOffset>
                  </wp:positionV>
                  <wp:extent cx="1966595" cy="1876425"/>
                  <wp:effectExtent l="0" t="0" r="0" b="9525"/>
                  <wp:wrapTopAndBottom/>
                  <wp:docPr id="15245666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66614" name=""/>
                          <pic:cNvPicPr/>
                        </pic:nvPicPr>
                        <pic:blipFill>
                          <a:blip r:embed="rId24">
                            <a:extLst>
                              <a:ext uri="{28A0092B-C50C-407E-A947-70E740481C1C}">
                                <a14:useLocalDpi xmlns:a14="http://schemas.microsoft.com/office/drawing/2010/main" val="0"/>
                              </a:ext>
                            </a:extLst>
                          </a:blip>
                          <a:stretch>
                            <a:fillRect/>
                          </a:stretch>
                        </pic:blipFill>
                        <pic:spPr>
                          <a:xfrm>
                            <a:off x="0" y="0"/>
                            <a:ext cx="1966595" cy="1876425"/>
                          </a:xfrm>
                          <a:prstGeom prst="rect">
                            <a:avLst/>
                          </a:prstGeom>
                        </pic:spPr>
                      </pic:pic>
                    </a:graphicData>
                  </a:graphic>
                  <wp14:sizeRelH relativeFrom="margin">
                    <wp14:pctWidth>0</wp14:pctWidth>
                  </wp14:sizeRelH>
                  <wp14:sizeRelV relativeFrom="margin">
                    <wp14:pctHeight>0</wp14:pctHeight>
                  </wp14:sizeRelV>
                </wp:anchor>
              </w:drawing>
            </w:r>
          </w:p>
        </w:tc>
        <w:tc>
          <w:tcPr>
            <w:tcW w:w="1493" w:type="pct"/>
            <w:tcBorders>
              <w:left w:val="nil"/>
              <w:bottom w:val="nil"/>
            </w:tcBorders>
            <w:tcMar>
              <w:top w:w="28" w:type="dxa"/>
              <w:left w:w="57" w:type="dxa"/>
              <w:bottom w:w="28" w:type="dxa"/>
              <w:right w:w="57" w:type="dxa"/>
            </w:tcMar>
            <w:vAlign w:val="bottom"/>
          </w:tcPr>
          <w:p w14:paraId="2155FF34"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EA09FB" w14:paraId="2155FF39" w14:textId="77777777" w:rsidTr="006829AE">
        <w:trPr>
          <w:cantSplit/>
          <w:trHeight w:val="376"/>
        </w:trPr>
        <w:tc>
          <w:tcPr>
            <w:tcW w:w="1761" w:type="pct"/>
            <w:gridSpan w:val="2"/>
            <w:vMerge/>
            <w:tcBorders>
              <w:top w:val="nil"/>
              <w:bottom w:val="nil"/>
              <w:right w:val="nil"/>
            </w:tcBorders>
            <w:tcMar>
              <w:top w:w="28" w:type="dxa"/>
              <w:left w:w="57" w:type="dxa"/>
              <w:bottom w:w="28" w:type="dxa"/>
              <w:right w:w="57" w:type="dxa"/>
            </w:tcMar>
            <w:vAlign w:val="bottom"/>
          </w:tcPr>
          <w:p w14:paraId="2155FF36" w14:textId="77777777" w:rsidR="00951F81" w:rsidRDefault="00951F81" w:rsidP="005A10E5">
            <w:pPr>
              <w:keepNext/>
              <w:suppressAutoHyphens/>
              <w:autoSpaceDE w:val="0"/>
              <w:autoSpaceDN w:val="0"/>
              <w:adjustRightInd w:val="0"/>
              <w:textAlignment w:val="center"/>
              <w:rPr>
                <w:b/>
                <w:bCs/>
              </w:rPr>
            </w:pPr>
          </w:p>
        </w:tc>
        <w:tc>
          <w:tcPr>
            <w:tcW w:w="1746" w:type="pct"/>
            <w:vMerge/>
            <w:tcBorders>
              <w:top w:val="nil"/>
              <w:left w:val="nil"/>
              <w:bottom w:val="nil"/>
              <w:right w:val="nil"/>
            </w:tcBorders>
            <w:tcMar>
              <w:top w:w="28" w:type="dxa"/>
              <w:left w:w="57" w:type="dxa"/>
              <w:bottom w:w="28" w:type="dxa"/>
              <w:right w:w="57" w:type="dxa"/>
            </w:tcMar>
          </w:tcPr>
          <w:p w14:paraId="2155FF37"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lang w:val="en-GB" w:eastAsia="zh-TW"/>
              </w:rPr>
            </w:pPr>
          </w:p>
        </w:tc>
        <w:tc>
          <w:tcPr>
            <w:tcW w:w="1493" w:type="pct"/>
            <w:tcBorders>
              <w:top w:val="nil"/>
              <w:left w:val="nil"/>
              <w:bottom w:val="nil"/>
            </w:tcBorders>
            <w:tcMar>
              <w:top w:w="28" w:type="dxa"/>
              <w:left w:w="57" w:type="dxa"/>
              <w:bottom w:w="28" w:type="dxa"/>
              <w:right w:w="57" w:type="dxa"/>
            </w:tcMar>
          </w:tcPr>
          <w:p w14:paraId="2155FF38"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lang w:val="en-GB"/>
              </w:rPr>
            </w:pPr>
          </w:p>
        </w:tc>
      </w:tr>
      <w:tr w:rsidR="00EA09FB" w14:paraId="2155FF3D" w14:textId="77777777" w:rsidTr="006829AE">
        <w:trPr>
          <w:cantSplit/>
          <w:trHeight w:val="1172"/>
        </w:trPr>
        <w:tc>
          <w:tcPr>
            <w:tcW w:w="1761" w:type="pct"/>
            <w:gridSpan w:val="2"/>
            <w:vMerge/>
            <w:tcBorders>
              <w:top w:val="nil"/>
              <w:bottom w:val="nil"/>
              <w:right w:val="nil"/>
            </w:tcBorders>
            <w:tcMar>
              <w:top w:w="28" w:type="dxa"/>
              <w:left w:w="57" w:type="dxa"/>
              <w:bottom w:w="28" w:type="dxa"/>
              <w:right w:w="57" w:type="dxa"/>
            </w:tcMar>
            <w:vAlign w:val="bottom"/>
          </w:tcPr>
          <w:p w14:paraId="2155FF3A" w14:textId="77777777" w:rsidR="00951F81" w:rsidRDefault="00951F81" w:rsidP="005A10E5">
            <w:pPr>
              <w:keepNext/>
              <w:suppressAutoHyphens/>
              <w:autoSpaceDE w:val="0"/>
              <w:autoSpaceDN w:val="0"/>
              <w:adjustRightInd w:val="0"/>
              <w:textAlignment w:val="center"/>
              <w:rPr>
                <w:b/>
                <w:bCs/>
              </w:rPr>
            </w:pPr>
          </w:p>
        </w:tc>
        <w:tc>
          <w:tcPr>
            <w:tcW w:w="1746" w:type="pct"/>
            <w:vMerge/>
            <w:tcBorders>
              <w:top w:val="nil"/>
              <w:left w:val="nil"/>
              <w:bottom w:val="nil"/>
              <w:right w:val="nil"/>
            </w:tcBorders>
            <w:tcMar>
              <w:top w:w="28" w:type="dxa"/>
              <w:left w:w="57" w:type="dxa"/>
              <w:bottom w:w="28" w:type="dxa"/>
              <w:right w:w="57" w:type="dxa"/>
            </w:tcMar>
          </w:tcPr>
          <w:p w14:paraId="2155FF3B"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lang w:val="en-GB" w:eastAsia="zh-TW"/>
              </w:rPr>
            </w:pPr>
          </w:p>
        </w:tc>
        <w:tc>
          <w:tcPr>
            <w:tcW w:w="1493" w:type="pct"/>
            <w:tcBorders>
              <w:top w:val="nil"/>
              <w:left w:val="nil"/>
              <w:bottom w:val="nil"/>
            </w:tcBorders>
            <w:tcMar>
              <w:top w:w="28" w:type="dxa"/>
              <w:left w:w="57" w:type="dxa"/>
              <w:bottom w:w="28" w:type="dxa"/>
              <w:right w:w="57" w:type="dxa"/>
            </w:tcMar>
          </w:tcPr>
          <w:p w14:paraId="2155FF3C"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EA09FB" w14:paraId="2155FF41" w14:textId="77777777" w:rsidTr="006829AE">
        <w:trPr>
          <w:cantSplit/>
          <w:trHeight w:val="57"/>
        </w:trPr>
        <w:tc>
          <w:tcPr>
            <w:tcW w:w="1761" w:type="pct"/>
            <w:gridSpan w:val="2"/>
            <w:vMerge/>
            <w:tcBorders>
              <w:top w:val="nil"/>
              <w:bottom w:val="nil"/>
              <w:right w:val="nil"/>
            </w:tcBorders>
            <w:tcMar>
              <w:top w:w="28" w:type="dxa"/>
              <w:left w:w="57" w:type="dxa"/>
              <w:bottom w:w="28" w:type="dxa"/>
              <w:right w:w="57" w:type="dxa"/>
            </w:tcMar>
            <w:vAlign w:val="bottom"/>
          </w:tcPr>
          <w:p w14:paraId="2155FF3E" w14:textId="77777777" w:rsidR="00951F81" w:rsidRDefault="00951F81" w:rsidP="005A10E5">
            <w:pPr>
              <w:keepNext/>
              <w:suppressAutoHyphens/>
              <w:autoSpaceDE w:val="0"/>
              <w:autoSpaceDN w:val="0"/>
              <w:adjustRightInd w:val="0"/>
              <w:textAlignment w:val="center"/>
              <w:rPr>
                <w:b/>
                <w:bCs/>
              </w:rPr>
            </w:pPr>
          </w:p>
        </w:tc>
        <w:tc>
          <w:tcPr>
            <w:tcW w:w="1746" w:type="pct"/>
            <w:vMerge/>
            <w:tcBorders>
              <w:top w:val="nil"/>
              <w:left w:val="nil"/>
              <w:bottom w:val="nil"/>
              <w:right w:val="nil"/>
            </w:tcBorders>
            <w:tcMar>
              <w:top w:w="28" w:type="dxa"/>
              <w:left w:w="57" w:type="dxa"/>
              <w:bottom w:w="28" w:type="dxa"/>
              <w:right w:w="57" w:type="dxa"/>
            </w:tcMar>
          </w:tcPr>
          <w:p w14:paraId="2155FF3F"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lang w:val="en-GB" w:eastAsia="zh-TW"/>
              </w:rPr>
            </w:pPr>
          </w:p>
        </w:tc>
        <w:tc>
          <w:tcPr>
            <w:tcW w:w="1493" w:type="pct"/>
            <w:tcBorders>
              <w:top w:val="nil"/>
              <w:left w:val="nil"/>
              <w:bottom w:val="nil"/>
            </w:tcBorders>
            <w:tcMar>
              <w:top w:w="28" w:type="dxa"/>
              <w:left w:w="57" w:type="dxa"/>
              <w:bottom w:w="28" w:type="dxa"/>
              <w:right w:w="57" w:type="dxa"/>
            </w:tcMar>
          </w:tcPr>
          <w:p w14:paraId="2155FF40"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EA09FB" w14:paraId="2155FF45" w14:textId="77777777" w:rsidTr="006829AE">
        <w:trPr>
          <w:cantSplit/>
          <w:trHeight w:val="57"/>
        </w:trPr>
        <w:tc>
          <w:tcPr>
            <w:tcW w:w="5000" w:type="pct"/>
            <w:gridSpan w:val="4"/>
            <w:tcBorders>
              <w:top w:val="nil"/>
              <w:bottom w:val="nil"/>
            </w:tcBorders>
            <w:tcMar>
              <w:top w:w="28" w:type="dxa"/>
              <w:left w:w="57" w:type="dxa"/>
              <w:bottom w:w="28" w:type="dxa"/>
              <w:right w:w="57" w:type="dxa"/>
            </w:tcMar>
          </w:tcPr>
          <w:p w14:paraId="2155FF42" w14:textId="77777777" w:rsidR="00951F81" w:rsidRDefault="007079D3" w:rsidP="005A10E5">
            <w:pPr>
              <w:keepNext/>
              <w:numPr>
                <w:ilvl w:val="0"/>
                <w:numId w:val="54"/>
              </w:numPr>
              <w:tabs>
                <w:tab w:val="clear" w:pos="567"/>
              </w:tabs>
              <w:ind w:left="567" w:hanging="567"/>
            </w:pPr>
            <w:r>
              <w:t>Το επάνω μέρος των μηρών σας.</w:t>
            </w:r>
          </w:p>
          <w:p w14:paraId="2155FF43" w14:textId="77777777" w:rsidR="00951F81" w:rsidRDefault="007079D3" w:rsidP="005A10E5">
            <w:pPr>
              <w:keepNext/>
              <w:numPr>
                <w:ilvl w:val="0"/>
                <w:numId w:val="54"/>
              </w:numPr>
              <w:tabs>
                <w:tab w:val="clear" w:pos="567"/>
              </w:tabs>
              <w:ind w:left="567" w:hanging="567"/>
            </w:pPr>
            <w:r>
              <w:t>Την κοιλιακή χώρα, εκτός από την περιοχή 5 cm (2</w:t>
            </w:r>
            <w:r>
              <w:noBreakHyphen/>
              <w:t>ίντσες) ακριβώς γύρω από τον αφαλό.</w:t>
            </w:r>
          </w:p>
          <w:p w14:paraId="2155FF44" w14:textId="77777777" w:rsidR="00951F81" w:rsidRDefault="007079D3" w:rsidP="005A10E5">
            <w:pPr>
              <w:keepNext/>
              <w:numPr>
                <w:ilvl w:val="0"/>
                <w:numId w:val="54"/>
              </w:numPr>
              <w:tabs>
                <w:tab w:val="clear" w:pos="567"/>
              </w:tabs>
              <w:ind w:left="567" w:hanging="567"/>
            </w:pPr>
            <w:r>
              <w:t>Την εξωτερική περιοχή των μπράτσων (μόνο στην περίπτωση που σας κάνει την ένεση κάποιος άλλος).</w:t>
            </w:r>
          </w:p>
        </w:tc>
      </w:tr>
      <w:tr w:rsidR="00EA09FB" w14:paraId="2155FF47" w14:textId="77777777" w:rsidTr="006829AE">
        <w:trPr>
          <w:cantSplit/>
          <w:trHeight w:val="57"/>
        </w:trPr>
        <w:tc>
          <w:tcPr>
            <w:tcW w:w="5000" w:type="pct"/>
            <w:gridSpan w:val="4"/>
            <w:tcBorders>
              <w:top w:val="nil"/>
              <w:bottom w:val="nil"/>
            </w:tcBorders>
            <w:tcMar>
              <w:top w:w="28" w:type="dxa"/>
              <w:left w:w="57" w:type="dxa"/>
              <w:bottom w:w="28" w:type="dxa"/>
              <w:right w:w="57" w:type="dxa"/>
            </w:tcMar>
          </w:tcPr>
          <w:p w14:paraId="2155FF46" w14:textId="77777777" w:rsidR="00951F81" w:rsidRDefault="007079D3" w:rsidP="005A10E5">
            <w:pPr>
              <w:keepNext/>
            </w:pPr>
            <w:r>
              <w:t>Καθαρίστε την περιοχή της ένεσης χρησιμοποιώντας ένα μαντηλάκι με οινόπνευμα. Αφήστε το δέρμα σας να στεγνώσει.</w:t>
            </w:r>
          </w:p>
        </w:tc>
      </w:tr>
      <w:tr w:rsidR="00EA09FB" w14:paraId="2155FF4A" w14:textId="77777777" w:rsidTr="006829AE">
        <w:trPr>
          <w:cantSplit/>
          <w:trHeight w:val="57"/>
        </w:trPr>
        <w:tc>
          <w:tcPr>
            <w:tcW w:w="332" w:type="pct"/>
            <w:tcBorders>
              <w:top w:val="nil"/>
              <w:bottom w:val="nil"/>
              <w:right w:val="nil"/>
            </w:tcBorders>
            <w:tcMar>
              <w:top w:w="28" w:type="dxa"/>
              <w:left w:w="57" w:type="dxa"/>
              <w:bottom w:w="28" w:type="dxa"/>
              <w:right w:w="57" w:type="dxa"/>
            </w:tcMar>
          </w:tcPr>
          <w:p w14:paraId="2155FF48" w14:textId="77777777" w:rsidR="00951F81" w:rsidRDefault="007079D3"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58250" behindDoc="0" locked="0" layoutInCell="1" allowOverlap="1" wp14:anchorId="6B544963" wp14:editId="1B904EF5">
                  <wp:simplePos x="0" y="0"/>
                  <wp:positionH relativeFrom="column">
                    <wp:posOffset>14605</wp:posOffset>
                  </wp:positionH>
                  <wp:positionV relativeFrom="paragraph">
                    <wp:posOffset>22225</wp:posOffset>
                  </wp:positionV>
                  <wp:extent cx="119380" cy="119380"/>
                  <wp:effectExtent l="0" t="0" r="0" b="0"/>
                  <wp:wrapNone/>
                  <wp:docPr id="4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86"/>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68" w:type="pct"/>
            <w:gridSpan w:val="3"/>
            <w:tcBorders>
              <w:top w:val="nil"/>
              <w:left w:val="nil"/>
              <w:bottom w:val="nil"/>
            </w:tcBorders>
            <w:tcMar>
              <w:left w:w="0" w:type="dxa"/>
            </w:tcMar>
          </w:tcPr>
          <w:p w14:paraId="2155FF49" w14:textId="77777777" w:rsidR="00951F81" w:rsidRDefault="007079D3" w:rsidP="005A10E5">
            <w:pPr>
              <w:keepNext/>
              <w:ind w:left="107"/>
            </w:pPr>
            <w:r>
              <w:rPr>
                <w:b/>
              </w:rPr>
              <w:t xml:space="preserve">Μην </w:t>
            </w:r>
            <w:r>
              <w:t>αγγίζετε την περιοχή της ένεσης πριν από την ένεση.</w:t>
            </w:r>
          </w:p>
        </w:tc>
      </w:tr>
      <w:tr w:rsidR="00EA09FB" w14:paraId="2155FF4D" w14:textId="77777777" w:rsidTr="006829AE">
        <w:trPr>
          <w:cantSplit/>
          <w:trHeight w:val="57"/>
        </w:trPr>
        <w:tc>
          <w:tcPr>
            <w:tcW w:w="332" w:type="pct"/>
            <w:tcBorders>
              <w:top w:val="nil"/>
              <w:bottom w:val="single" w:sz="4" w:space="0" w:color="auto"/>
              <w:right w:val="nil"/>
            </w:tcBorders>
            <w:tcMar>
              <w:top w:w="28" w:type="dxa"/>
              <w:left w:w="57" w:type="dxa"/>
              <w:bottom w:w="28" w:type="dxa"/>
              <w:right w:w="57" w:type="dxa"/>
            </w:tcMar>
          </w:tcPr>
          <w:p w14:paraId="2155FF4B" w14:textId="77777777" w:rsidR="00951F81" w:rsidRDefault="007079D3"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0A31C760" wp14:editId="32BA7475">
                  <wp:extent cx="271780" cy="27178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271780" cy="271780"/>
                          </a:xfrm>
                          <a:prstGeom prst="rect">
                            <a:avLst/>
                          </a:prstGeom>
                          <a:noFill/>
                          <a:ln>
                            <a:noFill/>
                          </a:ln>
                        </pic:spPr>
                      </pic:pic>
                    </a:graphicData>
                  </a:graphic>
                </wp:inline>
              </w:drawing>
            </w:r>
          </w:p>
        </w:tc>
        <w:tc>
          <w:tcPr>
            <w:tcW w:w="4668" w:type="pct"/>
            <w:gridSpan w:val="3"/>
            <w:tcBorders>
              <w:top w:val="nil"/>
              <w:left w:val="nil"/>
              <w:bottom w:val="single" w:sz="4" w:space="0" w:color="auto"/>
            </w:tcBorders>
          </w:tcPr>
          <w:p w14:paraId="2155FF4C" w14:textId="77777777" w:rsidR="00951F81" w:rsidRDefault="007079D3" w:rsidP="005A10E5">
            <w:pPr>
              <w:keepNext/>
            </w:pPr>
            <w:r>
              <w:rPr>
                <w:b/>
              </w:rPr>
              <w:t>Μην</w:t>
            </w:r>
            <w:r>
              <w:t xml:space="preserve"> ενίετε σε περιοχές όπου το δέρμα είναι ευαίσθητο, μελανιασμένο, ερυθρό, ή σκληρό. Αποφύγετε να ενέσετε σε περιοχές με ουλές ή σημάδια τάσης.</w:t>
            </w:r>
          </w:p>
        </w:tc>
      </w:tr>
    </w:tbl>
    <w:p w14:paraId="2155FF4E" w14:textId="78932D76"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8353"/>
      </w:tblGrid>
      <w:tr w:rsidR="00EA09FB" w14:paraId="2155FF51" w14:textId="77777777" w:rsidTr="006829AE">
        <w:trPr>
          <w:cantSplit/>
          <w:trHeight w:val="57"/>
        </w:trPr>
        <w:tc>
          <w:tcPr>
            <w:tcW w:w="332" w:type="pct"/>
            <w:tcMar>
              <w:top w:w="28" w:type="dxa"/>
              <w:left w:w="57" w:type="dxa"/>
              <w:bottom w:w="28" w:type="dxa"/>
              <w:right w:w="57" w:type="dxa"/>
            </w:tcMar>
          </w:tcPr>
          <w:p w14:paraId="2155FF4F" w14:textId="77777777" w:rsidR="00951F81" w:rsidRDefault="007079D3" w:rsidP="006829AE">
            <w:pPr>
              <w:keepNext/>
            </w:pPr>
            <w:r>
              <w:t>B</w:t>
            </w:r>
          </w:p>
        </w:tc>
        <w:tc>
          <w:tcPr>
            <w:tcW w:w="4668" w:type="pct"/>
            <w:tcMar>
              <w:left w:w="57" w:type="dxa"/>
              <w:right w:w="57" w:type="dxa"/>
            </w:tcMar>
          </w:tcPr>
          <w:p w14:paraId="2155FF50" w14:textId="6C5E04D4" w:rsidR="00951F81" w:rsidRDefault="007079D3" w:rsidP="006829AE">
            <w:pPr>
              <w:keepNext/>
            </w:pPr>
            <w:r>
              <w:t xml:space="preserve">Τραβήξτε προσεκτικά το γκρι </w:t>
            </w:r>
            <w:r w:rsidR="00330FE0">
              <w:t xml:space="preserve">πώμα </w:t>
            </w:r>
            <w:r>
              <w:t>της βελόνας προς τα έξω και μακριά από το σώμα σας.</w:t>
            </w:r>
          </w:p>
        </w:tc>
      </w:tr>
      <w:tr w:rsidR="00EA09FB" w14:paraId="2155FF53" w14:textId="77777777" w:rsidTr="006829AE">
        <w:trPr>
          <w:cantSplit/>
          <w:trHeight w:val="57"/>
        </w:trPr>
        <w:tc>
          <w:tcPr>
            <w:tcW w:w="5000" w:type="pct"/>
            <w:gridSpan w:val="2"/>
            <w:tcBorders>
              <w:bottom w:val="single" w:sz="4" w:space="0" w:color="auto"/>
            </w:tcBorders>
            <w:tcMar>
              <w:top w:w="28" w:type="dxa"/>
              <w:left w:w="57" w:type="dxa"/>
              <w:bottom w:w="28" w:type="dxa"/>
              <w:right w:w="57" w:type="dxa"/>
            </w:tcMar>
          </w:tcPr>
          <w:p w14:paraId="2155FF52" w14:textId="77777777" w:rsidR="00951F81" w:rsidRDefault="007079D3" w:rsidP="006829AE">
            <w:pPr>
              <w:pStyle w:val="BULLETED"/>
              <w:keepNext/>
              <w:widowControl/>
              <w:numPr>
                <w:ilvl w:val="0"/>
                <w:numId w:val="0"/>
              </w:numPr>
              <w:tabs>
                <w:tab w:val="clear" w:pos="810"/>
              </w:tabs>
              <w:spacing w:before="0" w:line="240" w:lineRule="auto"/>
              <w:rPr>
                <w:color w:val="auto"/>
                <w:sz w:val="22"/>
                <w:szCs w:val="22"/>
              </w:rPr>
            </w:pPr>
            <w:r w:rsidRPr="00175354">
              <w:rPr>
                <w:noProof/>
                <w:lang w:val="pl-PL" w:eastAsia="pl-PL"/>
              </w:rPr>
              <w:drawing>
                <wp:anchor distT="0" distB="0" distL="114300" distR="114300" simplePos="0" relativeHeight="251658276" behindDoc="0" locked="0" layoutInCell="1" allowOverlap="1" wp14:anchorId="36128A64" wp14:editId="0053E8A9">
                  <wp:simplePos x="0" y="0"/>
                  <wp:positionH relativeFrom="margin">
                    <wp:posOffset>1102360</wp:posOffset>
                  </wp:positionH>
                  <wp:positionV relativeFrom="paragraph">
                    <wp:posOffset>78740</wp:posOffset>
                  </wp:positionV>
                  <wp:extent cx="3060000" cy="290537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26">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bl>
    <w:p w14:paraId="2155FF54" w14:textId="77777777" w:rsidR="00951F81"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8367"/>
      </w:tblGrid>
      <w:tr w:rsidR="00EA09FB" w14:paraId="2155FF57" w14:textId="77777777" w:rsidTr="006829AE">
        <w:trPr>
          <w:cantSplit/>
          <w:trHeight w:val="57"/>
        </w:trPr>
        <w:tc>
          <w:tcPr>
            <w:tcW w:w="331" w:type="pct"/>
            <w:tcMar>
              <w:top w:w="28" w:type="dxa"/>
              <w:left w:w="57" w:type="dxa"/>
              <w:bottom w:w="28" w:type="dxa"/>
              <w:right w:w="57" w:type="dxa"/>
            </w:tcMar>
          </w:tcPr>
          <w:p w14:paraId="2155FF55" w14:textId="77777777" w:rsidR="00951F81" w:rsidRDefault="007079D3" w:rsidP="005A10E5">
            <w:pPr>
              <w:keepNext/>
            </w:pPr>
            <w:r>
              <w:t>Γ</w:t>
            </w:r>
          </w:p>
        </w:tc>
        <w:tc>
          <w:tcPr>
            <w:tcW w:w="4669" w:type="pct"/>
            <w:tcMar>
              <w:left w:w="57" w:type="dxa"/>
              <w:right w:w="57" w:type="dxa"/>
            </w:tcMar>
          </w:tcPr>
          <w:p w14:paraId="2155FF56" w14:textId="77777777" w:rsidR="00951F81" w:rsidRDefault="007079D3" w:rsidP="005A10E5">
            <w:pPr>
              <w:keepNext/>
            </w:pPr>
            <w:r>
              <w:t>Ανασηκώστε με τσίμπημα το σημείο της ένεσης για να δημιουργήσετε μια σφιχτή επιφάνεια.</w:t>
            </w:r>
          </w:p>
        </w:tc>
      </w:tr>
      <w:tr w:rsidR="00EA09FB" w14:paraId="2155FF59" w14:textId="77777777" w:rsidTr="006829AE">
        <w:trPr>
          <w:cantSplit/>
          <w:trHeight w:val="57"/>
        </w:trPr>
        <w:tc>
          <w:tcPr>
            <w:tcW w:w="5000" w:type="pct"/>
            <w:gridSpan w:val="2"/>
            <w:tcBorders>
              <w:bottom w:val="nil"/>
            </w:tcBorders>
            <w:tcMar>
              <w:top w:w="28" w:type="dxa"/>
              <w:left w:w="57" w:type="dxa"/>
              <w:bottom w:w="28" w:type="dxa"/>
              <w:right w:w="57" w:type="dxa"/>
            </w:tcMar>
          </w:tcPr>
          <w:p w14:paraId="2155FF58" w14:textId="77777777" w:rsidR="00951F81" w:rsidRDefault="007079D3"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658277" behindDoc="0" locked="0" layoutInCell="1" allowOverlap="1" wp14:anchorId="2E115611" wp14:editId="6A1F8644">
                  <wp:simplePos x="0" y="0"/>
                  <wp:positionH relativeFrom="margin">
                    <wp:posOffset>1273810</wp:posOffset>
                  </wp:positionH>
                  <wp:positionV relativeFrom="paragraph">
                    <wp:posOffset>154305</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27">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p>
        </w:tc>
      </w:tr>
      <w:tr w:rsidR="00EA09FB" w14:paraId="2155FF5C" w14:textId="77777777" w:rsidTr="006829AE">
        <w:trPr>
          <w:cantSplit/>
          <w:trHeight w:val="57"/>
        </w:trPr>
        <w:tc>
          <w:tcPr>
            <w:tcW w:w="331" w:type="pct"/>
            <w:tcBorders>
              <w:top w:val="nil"/>
              <w:right w:val="nil"/>
            </w:tcBorders>
            <w:tcMar>
              <w:top w:w="28" w:type="dxa"/>
              <w:left w:w="57" w:type="dxa"/>
              <w:bottom w:w="28" w:type="dxa"/>
              <w:right w:w="57" w:type="dxa"/>
            </w:tcMar>
          </w:tcPr>
          <w:p w14:paraId="2155FF5A" w14:textId="77777777" w:rsidR="00951F81" w:rsidRDefault="007079D3"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566EE0DA" wp14:editId="76B4F896">
                  <wp:extent cx="271780" cy="27178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271780" cy="271780"/>
                          </a:xfrm>
                          <a:prstGeom prst="rect">
                            <a:avLst/>
                          </a:prstGeom>
                          <a:noFill/>
                          <a:ln>
                            <a:noFill/>
                          </a:ln>
                        </pic:spPr>
                      </pic:pic>
                    </a:graphicData>
                  </a:graphic>
                </wp:inline>
              </w:drawing>
            </w:r>
          </w:p>
        </w:tc>
        <w:tc>
          <w:tcPr>
            <w:tcW w:w="4669" w:type="pct"/>
            <w:tcBorders>
              <w:top w:val="nil"/>
              <w:left w:val="nil"/>
            </w:tcBorders>
            <w:vAlign w:val="center"/>
          </w:tcPr>
          <w:p w14:paraId="2155FF5B" w14:textId="77777777" w:rsidR="00951F81" w:rsidRDefault="007079D3" w:rsidP="005A10E5">
            <w:pPr>
              <w:keepNext/>
            </w:pPr>
            <w:r>
              <w:t>Είναι σημαντικό να κρατήσετε το δέρμα ανασηκωμένο κατά την διάρκεια της ένεσης.</w:t>
            </w:r>
          </w:p>
        </w:tc>
      </w:tr>
    </w:tbl>
    <w:p w14:paraId="2155FF5D" w14:textId="77777777" w:rsidR="00951F81" w:rsidRDefault="00951F81" w:rsidP="00951F81"/>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268"/>
      </w:tblGrid>
      <w:tr w:rsidR="00EA09FB" w14:paraId="2155FF5F" w14:textId="77777777" w:rsidTr="006829AE">
        <w:trPr>
          <w:cantSplit/>
          <w:trHeight w:val="57"/>
        </w:trPr>
        <w:tc>
          <w:tcPr>
            <w:tcW w:w="5000" w:type="pct"/>
            <w:gridSpan w:val="2"/>
            <w:tcBorders>
              <w:bottom w:val="single" w:sz="4" w:space="0" w:color="auto"/>
            </w:tcBorders>
            <w:tcMar>
              <w:top w:w="28" w:type="dxa"/>
              <w:left w:w="57" w:type="dxa"/>
              <w:bottom w:w="28" w:type="dxa"/>
            </w:tcMar>
          </w:tcPr>
          <w:p w14:paraId="2155FF5E" w14:textId="77777777" w:rsidR="00951F81" w:rsidRDefault="007079D3" w:rsidP="005A10E5">
            <w:pPr>
              <w:keepNext/>
              <w:jc w:val="center"/>
            </w:pPr>
            <w:r>
              <w:t xml:space="preserve">Βήμα 3: </w:t>
            </w:r>
            <w:r>
              <w:rPr>
                <w:b/>
              </w:rPr>
              <w:t>Χορηγήστε</w:t>
            </w:r>
          </w:p>
        </w:tc>
      </w:tr>
      <w:tr w:rsidR="00EA09FB" w14:paraId="2155FF62" w14:textId="77777777" w:rsidTr="006829AE">
        <w:trPr>
          <w:cantSplit/>
          <w:trHeight w:val="57"/>
        </w:trPr>
        <w:tc>
          <w:tcPr>
            <w:tcW w:w="354" w:type="pct"/>
            <w:tcBorders>
              <w:bottom w:val="single" w:sz="4" w:space="0" w:color="auto"/>
            </w:tcBorders>
            <w:tcMar>
              <w:top w:w="28" w:type="dxa"/>
              <w:left w:w="57" w:type="dxa"/>
              <w:bottom w:w="28" w:type="dxa"/>
            </w:tcMar>
          </w:tcPr>
          <w:p w14:paraId="2155FF60" w14:textId="77777777" w:rsidR="00951F81" w:rsidRDefault="007079D3" w:rsidP="005A10E5">
            <w:pPr>
              <w:keepNext/>
            </w:pPr>
            <w:r>
              <w:t>A</w:t>
            </w:r>
          </w:p>
        </w:tc>
        <w:tc>
          <w:tcPr>
            <w:tcW w:w="4646" w:type="pct"/>
            <w:tcBorders>
              <w:bottom w:val="single" w:sz="4" w:space="0" w:color="auto"/>
            </w:tcBorders>
            <w:tcMar>
              <w:left w:w="57" w:type="dxa"/>
              <w:right w:w="57" w:type="dxa"/>
            </w:tcMar>
          </w:tcPr>
          <w:p w14:paraId="2155FF61" w14:textId="77777777" w:rsidR="00951F81" w:rsidRDefault="007079D3" w:rsidP="005A10E5">
            <w:pPr>
              <w:keepNext/>
            </w:pPr>
            <w:r>
              <w:t>Κρατήστε το δέρμα ανασηκωμένο. ΕΙΣΑΓΕΤΕ τη βελόνα στο δέρμα.</w:t>
            </w:r>
          </w:p>
        </w:tc>
      </w:tr>
      <w:tr w:rsidR="00EA09FB" w14:paraId="2155FF64" w14:textId="77777777" w:rsidTr="006829AE">
        <w:trPr>
          <w:cantSplit/>
          <w:trHeight w:val="57"/>
        </w:trPr>
        <w:tc>
          <w:tcPr>
            <w:tcW w:w="5000" w:type="pct"/>
            <w:gridSpan w:val="2"/>
            <w:tcBorders>
              <w:top w:val="single" w:sz="4" w:space="0" w:color="auto"/>
              <w:bottom w:val="nil"/>
            </w:tcBorders>
            <w:tcMar>
              <w:top w:w="28" w:type="dxa"/>
              <w:left w:w="57" w:type="dxa"/>
              <w:bottom w:w="28" w:type="dxa"/>
            </w:tcMar>
          </w:tcPr>
          <w:p w14:paraId="2155FF63" w14:textId="77777777" w:rsidR="00951F81" w:rsidRDefault="007079D3"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658278" behindDoc="0" locked="0" layoutInCell="1" allowOverlap="1" wp14:anchorId="17B19A31" wp14:editId="1374FB7B">
                  <wp:simplePos x="0" y="0"/>
                  <wp:positionH relativeFrom="margin">
                    <wp:posOffset>1273810</wp:posOffset>
                  </wp:positionH>
                  <wp:positionV relativeFrom="paragraph">
                    <wp:posOffset>95885</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28">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p>
        </w:tc>
      </w:tr>
      <w:tr w:rsidR="00EA09FB" w14:paraId="2155FF67" w14:textId="77777777" w:rsidTr="006829AE">
        <w:trPr>
          <w:cantSplit/>
          <w:trHeight w:val="57"/>
        </w:trPr>
        <w:tc>
          <w:tcPr>
            <w:tcW w:w="354" w:type="pct"/>
            <w:tcBorders>
              <w:top w:val="nil"/>
              <w:bottom w:val="single" w:sz="4" w:space="0" w:color="auto"/>
              <w:right w:val="nil"/>
            </w:tcBorders>
            <w:tcMar>
              <w:top w:w="28" w:type="dxa"/>
              <w:left w:w="57" w:type="dxa"/>
              <w:bottom w:w="28" w:type="dxa"/>
            </w:tcMar>
          </w:tcPr>
          <w:p w14:paraId="2155FF65" w14:textId="77777777" w:rsidR="00951F81" w:rsidRDefault="007079D3"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58251" behindDoc="0" locked="0" layoutInCell="1" allowOverlap="1" wp14:anchorId="09E06192" wp14:editId="000BE740">
                  <wp:simplePos x="0" y="0"/>
                  <wp:positionH relativeFrom="column">
                    <wp:posOffset>14605</wp:posOffset>
                  </wp:positionH>
                  <wp:positionV relativeFrom="paragraph">
                    <wp:posOffset>22225</wp:posOffset>
                  </wp:positionV>
                  <wp:extent cx="119380" cy="119380"/>
                  <wp:effectExtent l="0" t="0" r="0" b="0"/>
                  <wp:wrapNone/>
                  <wp:docPr id="5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8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tcPr>
          <w:p w14:paraId="2155FF66" w14:textId="77777777" w:rsidR="00951F81" w:rsidRDefault="007079D3" w:rsidP="005A10E5">
            <w:pPr>
              <w:keepNext/>
            </w:pPr>
            <w:r>
              <w:rPr>
                <w:b/>
              </w:rPr>
              <w:t>Μην</w:t>
            </w:r>
            <w:r>
              <w:t xml:space="preserve"> αγγίξετε την καθαρή περιοχή του δέρματος.</w:t>
            </w:r>
          </w:p>
        </w:tc>
      </w:tr>
    </w:tbl>
    <w:p w14:paraId="2155FF68" w14:textId="77777777"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347"/>
        <w:gridCol w:w="7979"/>
      </w:tblGrid>
      <w:tr w:rsidR="00EA09FB" w14:paraId="2155FF6B" w14:textId="77777777" w:rsidTr="006829AE">
        <w:trPr>
          <w:cantSplit/>
          <w:trHeight w:val="57"/>
        </w:trPr>
        <w:tc>
          <w:tcPr>
            <w:tcW w:w="347" w:type="pct"/>
            <w:tcBorders>
              <w:bottom w:val="single" w:sz="4" w:space="0" w:color="auto"/>
            </w:tcBorders>
            <w:tcMar>
              <w:top w:w="28" w:type="dxa"/>
              <w:left w:w="57" w:type="dxa"/>
              <w:bottom w:w="28" w:type="dxa"/>
            </w:tcMar>
          </w:tcPr>
          <w:p w14:paraId="2155FF69" w14:textId="77777777" w:rsidR="00951F81" w:rsidRDefault="007079D3" w:rsidP="005A10E5">
            <w:pPr>
              <w:keepNext/>
            </w:pPr>
            <w:r>
              <w:t>B</w:t>
            </w:r>
          </w:p>
        </w:tc>
        <w:tc>
          <w:tcPr>
            <w:tcW w:w="4653" w:type="pct"/>
            <w:gridSpan w:val="2"/>
            <w:tcBorders>
              <w:bottom w:val="single" w:sz="4" w:space="0" w:color="auto"/>
            </w:tcBorders>
            <w:tcMar>
              <w:left w:w="57" w:type="dxa"/>
              <w:right w:w="57" w:type="dxa"/>
            </w:tcMar>
          </w:tcPr>
          <w:p w14:paraId="2155FF6A" w14:textId="6DEC38C4" w:rsidR="00951F81" w:rsidRDefault="007079D3" w:rsidP="005A10E5">
            <w:pPr>
              <w:keepNext/>
            </w:pPr>
            <w:r>
              <w:t xml:space="preserve">ΠΙΕΣΤΕ το έμβολο ασκώντας αργή και σταθερή πίεση </w:t>
            </w:r>
            <w:r w:rsidR="00330FE0">
              <w:t xml:space="preserve">μέχρι να </w:t>
            </w:r>
            <w:r>
              <w:t>ακούσετε ή να νιώσετε ένα «κλικ». Πιέστε το έμβολο μέχρι το τέρμα ώστε να κουμπώσει.</w:t>
            </w:r>
          </w:p>
        </w:tc>
      </w:tr>
      <w:tr w:rsidR="00EA09FB" w14:paraId="2155FF75" w14:textId="77777777" w:rsidTr="006829AE">
        <w:trPr>
          <w:cantSplit/>
          <w:trHeight w:val="57"/>
        </w:trPr>
        <w:tc>
          <w:tcPr>
            <w:tcW w:w="5000" w:type="pct"/>
            <w:gridSpan w:val="3"/>
            <w:tcBorders>
              <w:bottom w:val="nil"/>
            </w:tcBorders>
            <w:tcMar>
              <w:top w:w="28" w:type="dxa"/>
              <w:left w:w="57" w:type="dxa"/>
              <w:bottom w:w="28" w:type="dxa"/>
            </w:tcMar>
          </w:tcPr>
          <w:tbl>
            <w:tblPr>
              <w:tblW w:w="9222" w:type="dxa"/>
              <w:tblLayout w:type="fixed"/>
              <w:tblCellMar>
                <w:left w:w="0" w:type="dxa"/>
                <w:right w:w="0" w:type="dxa"/>
              </w:tblCellMar>
              <w:tblLook w:val="04A0" w:firstRow="1" w:lastRow="0" w:firstColumn="1" w:lastColumn="0" w:noHBand="0" w:noVBand="1"/>
            </w:tblPr>
            <w:tblGrid>
              <w:gridCol w:w="1413"/>
              <w:gridCol w:w="7809"/>
            </w:tblGrid>
            <w:tr w:rsidR="00EA09FB" w14:paraId="2155FF6D" w14:textId="77777777" w:rsidTr="006829AE">
              <w:trPr>
                <w:trHeight w:val="335"/>
              </w:trPr>
              <w:tc>
                <w:tcPr>
                  <w:tcW w:w="9222" w:type="dxa"/>
                  <w:gridSpan w:val="2"/>
                  <w:tcMar>
                    <w:top w:w="0" w:type="dxa"/>
                    <w:left w:w="0" w:type="dxa"/>
                    <w:bottom w:w="0" w:type="dxa"/>
                    <w:right w:w="0" w:type="dxa"/>
                  </w:tcMar>
                  <w:vAlign w:val="bottom"/>
                </w:tcPr>
                <w:p w14:paraId="2155FF6C" w14:textId="77777777" w:rsidR="00951F81" w:rsidRDefault="00951F81" w:rsidP="005A10E5">
                  <w:pPr>
                    <w:pStyle w:val="BULLETED"/>
                    <w:keepNext/>
                    <w:widowControl/>
                    <w:numPr>
                      <w:ilvl w:val="0"/>
                      <w:numId w:val="0"/>
                    </w:numPr>
                    <w:tabs>
                      <w:tab w:val="clear" w:pos="810"/>
                    </w:tabs>
                    <w:snapToGrid w:val="0"/>
                    <w:spacing w:before="0" w:line="240" w:lineRule="auto"/>
                    <w:rPr>
                      <w:b/>
                      <w:color w:val="auto"/>
                      <w:sz w:val="10"/>
                      <w:szCs w:val="10"/>
                    </w:rPr>
                  </w:pPr>
                </w:p>
              </w:tc>
            </w:tr>
            <w:tr w:rsidR="00EA09FB" w14:paraId="2155FF71" w14:textId="77777777" w:rsidTr="006829AE">
              <w:trPr>
                <w:gridAfter w:val="1"/>
                <w:wAfter w:w="7809" w:type="dxa"/>
                <w:trHeight w:val="569"/>
              </w:trPr>
              <w:tc>
                <w:tcPr>
                  <w:tcW w:w="1413" w:type="dxa"/>
                  <w:tcBorders>
                    <w:right w:val="single" w:sz="2" w:space="0" w:color="auto"/>
                  </w:tcBorders>
                  <w:tcMar>
                    <w:top w:w="0" w:type="dxa"/>
                    <w:left w:w="0" w:type="dxa"/>
                    <w:bottom w:w="0" w:type="dxa"/>
                    <w:right w:w="0" w:type="dxa"/>
                  </w:tcMar>
                </w:tcPr>
                <w:p w14:paraId="2155FF6E" w14:textId="7F5BB89F" w:rsidR="00304594" w:rsidRDefault="00304594" w:rsidP="007065FF">
                  <w:pPr>
                    <w:pStyle w:val="BULLETED"/>
                    <w:keepNext/>
                    <w:widowControl/>
                    <w:numPr>
                      <w:ilvl w:val="0"/>
                      <w:numId w:val="0"/>
                    </w:numPr>
                    <w:tabs>
                      <w:tab w:val="clear" w:pos="810"/>
                    </w:tabs>
                    <w:spacing w:before="0" w:line="240" w:lineRule="auto"/>
                    <w:rPr>
                      <w:color w:val="auto"/>
                      <w:sz w:val="22"/>
                      <w:szCs w:val="22"/>
                    </w:rPr>
                  </w:pPr>
                </w:p>
              </w:tc>
            </w:tr>
            <w:tr w:rsidR="00EA09FB" w14:paraId="2155FF73" w14:textId="77777777" w:rsidTr="006829AE">
              <w:trPr>
                <w:trHeight w:val="3963"/>
              </w:trPr>
              <w:tc>
                <w:tcPr>
                  <w:tcW w:w="9222" w:type="dxa"/>
                  <w:gridSpan w:val="2"/>
                  <w:noWrap/>
                  <w:tcMar>
                    <w:top w:w="0" w:type="dxa"/>
                    <w:left w:w="0" w:type="dxa"/>
                    <w:bottom w:w="0" w:type="dxa"/>
                    <w:right w:w="0" w:type="dxa"/>
                  </w:tcMar>
                </w:tcPr>
                <w:p w14:paraId="2155FF72" w14:textId="77777777" w:rsidR="00951F81" w:rsidRDefault="007079D3" w:rsidP="005A10E5">
                  <w:pPr>
                    <w:pStyle w:val="BULLETED"/>
                    <w:keepNext/>
                    <w:widowControl/>
                    <w:numPr>
                      <w:ilvl w:val="0"/>
                      <w:numId w:val="0"/>
                    </w:numPr>
                    <w:tabs>
                      <w:tab w:val="clear" w:pos="810"/>
                    </w:tabs>
                    <w:snapToGrid w:val="0"/>
                    <w:spacing w:before="0" w:line="240" w:lineRule="auto"/>
                    <w:jc w:val="both"/>
                    <w:rPr>
                      <w:color w:val="auto"/>
                      <w:sz w:val="2"/>
                      <w:szCs w:val="2"/>
                    </w:rPr>
                  </w:pPr>
                  <w:r w:rsidRPr="00304F28">
                    <w:rPr>
                      <w:noProof/>
                      <w:lang w:val="pl-PL" w:eastAsia="pl-PL"/>
                    </w:rPr>
                    <w:drawing>
                      <wp:anchor distT="0" distB="0" distL="114300" distR="114300" simplePos="0" relativeHeight="251658279" behindDoc="0" locked="0" layoutInCell="1" allowOverlap="1" wp14:anchorId="63B3211E" wp14:editId="6A0A75CE">
                        <wp:simplePos x="0" y="0"/>
                        <wp:positionH relativeFrom="margin">
                          <wp:posOffset>872881</wp:posOffset>
                        </wp:positionH>
                        <wp:positionV relativeFrom="paragraph">
                          <wp:posOffset>0</wp:posOffset>
                        </wp:positionV>
                        <wp:extent cx="3344154" cy="3132455"/>
                        <wp:effectExtent l="0" t="0" r="889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29">
                                  <a:extLst>
                                    <a:ext uri="{28A0092B-C50C-407E-A947-70E740481C1C}">
                                      <a14:useLocalDpi xmlns:a14="http://schemas.microsoft.com/office/drawing/2010/main" val="0"/>
                                    </a:ext>
                                  </a:extLst>
                                </a:blip>
                                <a:stretch>
                                  <a:fillRect/>
                                </a:stretch>
                              </pic:blipFill>
                              <pic:spPr>
                                <a:xfrm>
                                  <a:off x="0" y="0"/>
                                  <a:ext cx="3344853" cy="3133110"/>
                                </a:xfrm>
                                <a:prstGeom prst="rect">
                                  <a:avLst/>
                                </a:prstGeom>
                              </pic:spPr>
                            </pic:pic>
                          </a:graphicData>
                        </a:graphic>
                        <wp14:sizeRelH relativeFrom="margin">
                          <wp14:pctWidth>0</wp14:pctWidth>
                        </wp14:sizeRelH>
                        <wp14:sizeRelV relativeFrom="margin">
                          <wp14:pctHeight>0</wp14:pctHeight>
                        </wp14:sizeRelV>
                      </wp:anchor>
                    </w:drawing>
                  </w:r>
                </w:p>
              </w:tc>
            </w:tr>
          </w:tbl>
          <w:p w14:paraId="2155FF74" w14:textId="77777777" w:rsidR="00951F81" w:rsidRPr="00112B35" w:rsidRDefault="00951F81" w:rsidP="005A10E5">
            <w:pPr>
              <w:pStyle w:val="BULLETED"/>
              <w:keepNext/>
              <w:widowControl/>
              <w:numPr>
                <w:ilvl w:val="0"/>
                <w:numId w:val="0"/>
              </w:numPr>
              <w:tabs>
                <w:tab w:val="clear" w:pos="810"/>
              </w:tabs>
              <w:spacing w:before="60" w:line="240" w:lineRule="auto"/>
              <w:rPr>
                <w:color w:val="auto"/>
                <w:sz w:val="22"/>
                <w:szCs w:val="22"/>
              </w:rPr>
            </w:pPr>
          </w:p>
        </w:tc>
      </w:tr>
      <w:tr w:rsidR="00EA09FB" w14:paraId="2155FF78" w14:textId="77777777" w:rsidTr="006829AE">
        <w:trPr>
          <w:cantSplit/>
          <w:trHeight w:val="57"/>
        </w:trPr>
        <w:tc>
          <w:tcPr>
            <w:tcW w:w="541" w:type="pct"/>
            <w:gridSpan w:val="2"/>
            <w:tcBorders>
              <w:top w:val="nil"/>
              <w:bottom w:val="single" w:sz="4" w:space="0" w:color="auto"/>
              <w:right w:val="nil"/>
            </w:tcBorders>
            <w:tcMar>
              <w:top w:w="28" w:type="dxa"/>
              <w:left w:w="57" w:type="dxa"/>
              <w:bottom w:w="28" w:type="dxa"/>
            </w:tcMar>
          </w:tcPr>
          <w:p w14:paraId="2155FF76" w14:textId="7CC6B8B3" w:rsidR="00951F81" w:rsidRDefault="00951F81" w:rsidP="005A10E5">
            <w:pPr>
              <w:pStyle w:val="BULLETED"/>
              <w:keepNext/>
              <w:widowControl/>
              <w:numPr>
                <w:ilvl w:val="0"/>
                <w:numId w:val="0"/>
              </w:numPr>
              <w:tabs>
                <w:tab w:val="clear" w:pos="810"/>
              </w:tabs>
              <w:spacing w:before="60" w:line="240" w:lineRule="auto"/>
              <w:rPr>
                <w:color w:val="auto"/>
                <w:sz w:val="22"/>
                <w:szCs w:val="22"/>
              </w:rPr>
            </w:pPr>
          </w:p>
        </w:tc>
        <w:tc>
          <w:tcPr>
            <w:tcW w:w="4459" w:type="pct"/>
            <w:tcBorders>
              <w:top w:val="nil"/>
              <w:left w:val="nil"/>
              <w:bottom w:val="single" w:sz="4" w:space="0" w:color="auto"/>
            </w:tcBorders>
            <w:vAlign w:val="center"/>
          </w:tcPr>
          <w:p w14:paraId="2155FF77" w14:textId="55D51E2A" w:rsidR="00951F81" w:rsidRDefault="00951F81" w:rsidP="005A10E5">
            <w:pPr>
              <w:keepNext/>
            </w:pPr>
          </w:p>
        </w:tc>
      </w:tr>
    </w:tbl>
    <w:p w14:paraId="2155FF79" w14:textId="77777777"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314"/>
      </w:tblGrid>
      <w:tr w:rsidR="00EA09FB" w14:paraId="2155FF7C" w14:textId="77777777" w:rsidTr="006829AE">
        <w:trPr>
          <w:cantSplit/>
          <w:trHeight w:val="57"/>
        </w:trPr>
        <w:tc>
          <w:tcPr>
            <w:tcW w:w="354" w:type="pct"/>
            <w:tcBorders>
              <w:bottom w:val="single" w:sz="4" w:space="0" w:color="auto"/>
            </w:tcBorders>
            <w:tcMar>
              <w:top w:w="28" w:type="dxa"/>
              <w:left w:w="57" w:type="dxa"/>
              <w:bottom w:w="28" w:type="dxa"/>
            </w:tcMar>
            <w:vAlign w:val="center"/>
          </w:tcPr>
          <w:p w14:paraId="2155FF7A" w14:textId="77777777" w:rsidR="00951F81" w:rsidRDefault="007079D3" w:rsidP="005A10E5">
            <w:pPr>
              <w:keepNext/>
            </w:pPr>
            <w:r>
              <w:t>Γ</w:t>
            </w:r>
          </w:p>
        </w:tc>
        <w:tc>
          <w:tcPr>
            <w:tcW w:w="4646" w:type="pct"/>
            <w:tcBorders>
              <w:bottom w:val="single" w:sz="4" w:space="0" w:color="auto"/>
            </w:tcBorders>
            <w:tcMar>
              <w:top w:w="28" w:type="dxa"/>
              <w:left w:w="57" w:type="dxa"/>
              <w:bottom w:w="28" w:type="dxa"/>
              <w:right w:w="57" w:type="dxa"/>
            </w:tcMar>
            <w:vAlign w:val="center"/>
          </w:tcPr>
          <w:p w14:paraId="2155FF7B" w14:textId="77777777" w:rsidR="00951F81" w:rsidRDefault="007079D3" w:rsidP="005A10E5">
            <w:pPr>
              <w:keepNext/>
            </w:pPr>
            <w:r>
              <w:t>ΑΦΗΣΤΕ τον αντίχειρά σας. Έπειτα ΣΗΚΩΣΤΕ τη σύριγγα από το δέρμα σας.</w:t>
            </w:r>
          </w:p>
        </w:tc>
      </w:tr>
      <w:tr w:rsidR="00EA09FB" w14:paraId="2155FF7E" w14:textId="77777777" w:rsidTr="006829AE">
        <w:trPr>
          <w:cantSplit/>
          <w:trHeight w:val="57"/>
        </w:trPr>
        <w:tc>
          <w:tcPr>
            <w:tcW w:w="5000" w:type="pct"/>
            <w:gridSpan w:val="2"/>
            <w:tcBorders>
              <w:bottom w:val="nil"/>
            </w:tcBorders>
            <w:tcMar>
              <w:top w:w="28" w:type="dxa"/>
              <w:left w:w="57" w:type="dxa"/>
              <w:bottom w:w="28" w:type="dxa"/>
            </w:tcMar>
          </w:tcPr>
          <w:p w14:paraId="2155FF7D" w14:textId="77777777" w:rsidR="00951F81" w:rsidRDefault="007079D3" w:rsidP="005A10E5">
            <w:pPr>
              <w:pStyle w:val="BULLETED"/>
              <w:keepNext/>
              <w:widowControl/>
              <w:numPr>
                <w:ilvl w:val="0"/>
                <w:numId w:val="0"/>
              </w:numPr>
              <w:tabs>
                <w:tab w:val="clear" w:pos="810"/>
              </w:tabs>
              <w:spacing w:before="0" w:line="240" w:lineRule="auto"/>
              <w:jc w:val="center"/>
              <w:rPr>
                <w:color w:val="auto"/>
                <w:sz w:val="22"/>
                <w:szCs w:val="22"/>
              </w:rPr>
            </w:pPr>
            <w:r w:rsidRPr="00304F28">
              <w:rPr>
                <w:noProof/>
                <w:lang w:val="pl-PL" w:eastAsia="pl-PL"/>
              </w:rPr>
              <w:drawing>
                <wp:anchor distT="0" distB="0" distL="114300" distR="114300" simplePos="0" relativeHeight="251658280" behindDoc="0" locked="0" layoutInCell="1" allowOverlap="1" wp14:anchorId="2E565B9E" wp14:editId="420598EF">
                  <wp:simplePos x="0" y="0"/>
                  <wp:positionH relativeFrom="margin">
                    <wp:posOffset>-2540</wp:posOffset>
                  </wp:positionH>
                  <wp:positionV relativeFrom="paragraph">
                    <wp:posOffset>158115</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30">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tc>
      </w:tr>
      <w:tr w:rsidR="00EA09FB" w14:paraId="2155FF80" w14:textId="77777777" w:rsidTr="006829AE">
        <w:trPr>
          <w:cantSplit/>
          <w:trHeight w:val="57"/>
        </w:trPr>
        <w:tc>
          <w:tcPr>
            <w:tcW w:w="5000" w:type="pct"/>
            <w:gridSpan w:val="2"/>
            <w:tcBorders>
              <w:top w:val="nil"/>
              <w:bottom w:val="nil"/>
            </w:tcBorders>
            <w:tcMar>
              <w:top w:w="28" w:type="dxa"/>
              <w:left w:w="57" w:type="dxa"/>
              <w:bottom w:w="28" w:type="dxa"/>
            </w:tcMar>
          </w:tcPr>
          <w:p w14:paraId="2155FF7F" w14:textId="77777777" w:rsidR="00951F81" w:rsidRDefault="007079D3" w:rsidP="005A10E5">
            <w:pPr>
              <w:keepNext/>
            </w:pPr>
            <w:r>
              <w:t>Μετά την απελευθέρωση του εμβόλου, ο μηχανισμός κάλυψης της προγεμισμένης σύριγγας θα καλύψει με ασφάλεια τη βελόνα της ένεσης.</w:t>
            </w:r>
          </w:p>
        </w:tc>
      </w:tr>
      <w:tr w:rsidR="00EA09FB" w14:paraId="2155FF83" w14:textId="77777777" w:rsidTr="006829AE">
        <w:trPr>
          <w:cantSplit/>
          <w:trHeight w:val="57"/>
        </w:trPr>
        <w:tc>
          <w:tcPr>
            <w:tcW w:w="354" w:type="pct"/>
            <w:tcBorders>
              <w:top w:val="nil"/>
              <w:bottom w:val="single" w:sz="4" w:space="0" w:color="auto"/>
              <w:right w:val="nil"/>
            </w:tcBorders>
            <w:tcMar>
              <w:top w:w="28" w:type="dxa"/>
              <w:left w:w="57" w:type="dxa"/>
              <w:bottom w:w="28" w:type="dxa"/>
            </w:tcMar>
          </w:tcPr>
          <w:p w14:paraId="2155FF81" w14:textId="77777777" w:rsidR="00951F81" w:rsidRDefault="007079D3"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58252" behindDoc="0" locked="0" layoutInCell="1" allowOverlap="1" wp14:anchorId="6BC8EF2D" wp14:editId="168C6FD6">
                  <wp:simplePos x="0" y="0"/>
                  <wp:positionH relativeFrom="column">
                    <wp:posOffset>14605</wp:posOffset>
                  </wp:positionH>
                  <wp:positionV relativeFrom="paragraph">
                    <wp:posOffset>22225</wp:posOffset>
                  </wp:positionV>
                  <wp:extent cx="119380" cy="119380"/>
                  <wp:effectExtent l="0" t="0" r="0" b="0"/>
                  <wp:wrapNone/>
                  <wp:docPr id="5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8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vAlign w:val="center"/>
          </w:tcPr>
          <w:p w14:paraId="2155FF82" w14:textId="1A4AABDE" w:rsidR="00951F81" w:rsidRDefault="007079D3" w:rsidP="005A10E5">
            <w:pPr>
              <w:keepNext/>
            </w:pPr>
            <w:r>
              <w:rPr>
                <w:b/>
              </w:rPr>
              <w:t xml:space="preserve">Μην </w:t>
            </w:r>
            <w:r>
              <w:t xml:space="preserve">επανατοποθετείτε το γκρι </w:t>
            </w:r>
            <w:r w:rsidR="00330FE0">
              <w:t xml:space="preserve">πώμα </w:t>
            </w:r>
            <w:r>
              <w:t>σε χρησιμοποιημένες προγεμισμένες σύριγγες.</w:t>
            </w:r>
          </w:p>
        </w:tc>
      </w:tr>
    </w:tbl>
    <w:p w14:paraId="2155FF84" w14:textId="77777777"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1"/>
      </w:tblGrid>
      <w:tr w:rsidR="00EA09FB" w14:paraId="2155FF86" w14:textId="77777777" w:rsidTr="006829AE">
        <w:trPr>
          <w:cantSplit/>
          <w:trHeight w:val="57"/>
        </w:trPr>
        <w:tc>
          <w:tcPr>
            <w:tcW w:w="5000" w:type="pct"/>
            <w:gridSpan w:val="2"/>
            <w:tcMar>
              <w:top w:w="28" w:type="dxa"/>
              <w:left w:w="57" w:type="dxa"/>
              <w:bottom w:w="28" w:type="dxa"/>
              <w:right w:w="57" w:type="dxa"/>
            </w:tcMar>
          </w:tcPr>
          <w:p w14:paraId="2155FF85" w14:textId="77777777" w:rsidR="00951F81" w:rsidRDefault="007079D3" w:rsidP="005A10E5">
            <w:pPr>
              <w:keepNext/>
              <w:jc w:val="center"/>
            </w:pPr>
            <w:r>
              <w:t xml:space="preserve">Βήμα 4: </w:t>
            </w:r>
            <w:r>
              <w:rPr>
                <w:b/>
              </w:rPr>
              <w:t>Μόλις τελειώσετε</w:t>
            </w:r>
          </w:p>
        </w:tc>
      </w:tr>
      <w:tr w:rsidR="00EA09FB" w14:paraId="2155FF89" w14:textId="77777777" w:rsidTr="006829AE">
        <w:trPr>
          <w:cantSplit/>
          <w:trHeight w:val="57"/>
        </w:trPr>
        <w:tc>
          <w:tcPr>
            <w:tcW w:w="294" w:type="pct"/>
            <w:tcBorders>
              <w:bottom w:val="single" w:sz="4" w:space="0" w:color="auto"/>
            </w:tcBorders>
            <w:tcMar>
              <w:top w:w="28" w:type="dxa"/>
              <w:left w:w="57" w:type="dxa"/>
              <w:bottom w:w="28" w:type="dxa"/>
              <w:right w:w="57" w:type="dxa"/>
            </w:tcMar>
          </w:tcPr>
          <w:p w14:paraId="2155FF87" w14:textId="77777777" w:rsidR="00951F81" w:rsidRDefault="007079D3" w:rsidP="005A10E5">
            <w:pPr>
              <w:keepNext/>
            </w:pPr>
            <w:r>
              <w:t>A</w:t>
            </w:r>
          </w:p>
        </w:tc>
        <w:tc>
          <w:tcPr>
            <w:tcW w:w="4706" w:type="pct"/>
            <w:tcBorders>
              <w:bottom w:val="single" w:sz="4" w:space="0" w:color="auto"/>
            </w:tcBorders>
            <w:tcMar>
              <w:left w:w="57" w:type="dxa"/>
              <w:right w:w="57" w:type="dxa"/>
            </w:tcMar>
          </w:tcPr>
          <w:p w14:paraId="2155FF88" w14:textId="77777777" w:rsidR="00951F81" w:rsidRDefault="007079D3" w:rsidP="005A10E5">
            <w:pPr>
              <w:keepNext/>
            </w:pPr>
            <w:r>
              <w:t>Απορρίψτε τις χρησιμοποιημένες προγεμισμένες σύριγγες και άλλα αναλώσιμα αντικείμενα σε δοχείο απόρριψης αιχμηρών αντικειμένων.</w:t>
            </w:r>
          </w:p>
        </w:tc>
      </w:tr>
      <w:tr w:rsidR="00EA09FB" w14:paraId="2155FF8B" w14:textId="77777777" w:rsidTr="006829AE">
        <w:trPr>
          <w:cantSplit/>
          <w:trHeight w:val="57"/>
        </w:trPr>
        <w:tc>
          <w:tcPr>
            <w:tcW w:w="5000" w:type="pct"/>
            <w:gridSpan w:val="2"/>
            <w:tcBorders>
              <w:bottom w:val="nil"/>
            </w:tcBorders>
            <w:tcMar>
              <w:top w:w="28" w:type="dxa"/>
              <w:left w:w="57" w:type="dxa"/>
              <w:bottom w:w="28" w:type="dxa"/>
              <w:right w:w="57" w:type="dxa"/>
            </w:tcMar>
          </w:tcPr>
          <w:p w14:paraId="2155FF8A" w14:textId="77777777" w:rsidR="00951F81" w:rsidRDefault="007079D3" w:rsidP="005A10E5">
            <w:pPr>
              <w:pStyle w:val="BULLETED"/>
              <w:keepNext/>
              <w:widowControl/>
              <w:numPr>
                <w:ilvl w:val="0"/>
                <w:numId w:val="0"/>
              </w:numPr>
              <w:spacing w:before="0" w:line="240" w:lineRule="auto"/>
              <w:jc w:val="center"/>
              <w:rPr>
                <w:color w:val="auto"/>
                <w:sz w:val="22"/>
                <w:szCs w:val="22"/>
              </w:rPr>
            </w:pPr>
            <w:r w:rsidRPr="00304F28">
              <w:rPr>
                <w:noProof/>
                <w:lang w:val="pl-PL" w:eastAsia="pl-PL"/>
              </w:rPr>
              <w:drawing>
                <wp:anchor distT="0" distB="0" distL="114300" distR="114300" simplePos="0" relativeHeight="251658281" behindDoc="0" locked="0" layoutInCell="1" allowOverlap="1" wp14:anchorId="24AB1A2B" wp14:editId="5317AAA7">
                  <wp:simplePos x="0" y="0"/>
                  <wp:positionH relativeFrom="margin">
                    <wp:posOffset>1273810</wp:posOffset>
                  </wp:positionH>
                  <wp:positionV relativeFrom="paragraph">
                    <wp:posOffset>0</wp:posOffset>
                  </wp:positionV>
                  <wp:extent cx="3060000" cy="2906494"/>
                  <wp:effectExtent l="0" t="0" r="7620" b="825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31">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tc>
      </w:tr>
      <w:tr w:rsidR="00EA09FB" w14:paraId="2155FF8F" w14:textId="77777777" w:rsidTr="006829AE">
        <w:trPr>
          <w:cantSplit/>
          <w:trHeight w:val="57"/>
        </w:trPr>
        <w:tc>
          <w:tcPr>
            <w:tcW w:w="5000" w:type="pct"/>
            <w:gridSpan w:val="2"/>
            <w:tcBorders>
              <w:top w:val="nil"/>
              <w:bottom w:val="nil"/>
            </w:tcBorders>
            <w:tcMar>
              <w:top w:w="28" w:type="dxa"/>
              <w:left w:w="57" w:type="dxa"/>
              <w:bottom w:w="28" w:type="dxa"/>
              <w:right w:w="57" w:type="dxa"/>
            </w:tcMar>
          </w:tcPr>
          <w:p w14:paraId="2155FF8C" w14:textId="606D841C" w:rsidR="00951F81" w:rsidRDefault="007079D3" w:rsidP="005A10E5">
            <w:pPr>
              <w:keepNext/>
            </w:pPr>
            <w:r>
              <w:t>Τα φάρμακα θα πρέπει να απορρίπτονται σύμφωνα με τις κατά τόπους ισχύουσες</w:t>
            </w:r>
            <w:r w:rsidR="00330FE0">
              <w:t xml:space="preserve"> σχετικές</w:t>
            </w:r>
            <w:r>
              <w:t xml:space="preserve"> διατάξεις. Ρωτήστε τον φαρμακοποιό σας πώς να πετάξετε τα φάρμακα που δεν χρειάζονται πια. Αυτά τα μέτρα θα βοηθήσουν στην προστασία του περιβάλλοντος.</w:t>
            </w:r>
          </w:p>
          <w:p w14:paraId="2155FF8D" w14:textId="77777777" w:rsidR="00951F81" w:rsidRDefault="00951F81" w:rsidP="005A10E5">
            <w:pPr>
              <w:keepNext/>
            </w:pPr>
          </w:p>
          <w:p w14:paraId="2155FF8E" w14:textId="3DB03672" w:rsidR="00951F81" w:rsidRDefault="007079D3" w:rsidP="005A10E5">
            <w:pPr>
              <w:keepNext/>
            </w:pPr>
            <w:r>
              <w:t xml:space="preserve">Φυλάσσετε το δοχείο απόρριψης συριγγών και αιχμηρών αντικειμένων σε θέση που δεν το </w:t>
            </w:r>
            <w:r w:rsidR="00B757A3">
              <w:t xml:space="preserve">βλέπουν και δεν το </w:t>
            </w:r>
            <w:r>
              <w:t>φθάνουν τα παιδιά.</w:t>
            </w:r>
          </w:p>
        </w:tc>
      </w:tr>
      <w:tr w:rsidR="00EA09FB" w14:paraId="2155FF92" w14:textId="77777777" w:rsidTr="006829AE">
        <w:trPr>
          <w:cantSplit/>
          <w:trHeight w:val="57"/>
        </w:trPr>
        <w:tc>
          <w:tcPr>
            <w:tcW w:w="294" w:type="pct"/>
            <w:tcBorders>
              <w:top w:val="nil"/>
              <w:bottom w:val="nil"/>
              <w:right w:val="nil"/>
            </w:tcBorders>
            <w:tcMar>
              <w:top w:w="28" w:type="dxa"/>
              <w:left w:w="57" w:type="dxa"/>
              <w:bottom w:w="28" w:type="dxa"/>
              <w:right w:w="57" w:type="dxa"/>
            </w:tcMar>
          </w:tcPr>
          <w:p w14:paraId="2155FF90" w14:textId="77777777" w:rsidR="00951F81" w:rsidRDefault="007079D3"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58253" behindDoc="0" locked="0" layoutInCell="1" allowOverlap="1" wp14:anchorId="4DFAAA00" wp14:editId="245899F8">
                  <wp:simplePos x="0" y="0"/>
                  <wp:positionH relativeFrom="column">
                    <wp:posOffset>14605</wp:posOffset>
                  </wp:positionH>
                  <wp:positionV relativeFrom="paragraph">
                    <wp:posOffset>22225</wp:posOffset>
                  </wp:positionV>
                  <wp:extent cx="119380" cy="119380"/>
                  <wp:effectExtent l="0" t="0" r="0" b="0"/>
                  <wp:wrapNone/>
                  <wp:docPr id="5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89"/>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nil"/>
            </w:tcBorders>
            <w:tcMar>
              <w:left w:w="0" w:type="dxa"/>
              <w:right w:w="57" w:type="dxa"/>
            </w:tcMar>
          </w:tcPr>
          <w:p w14:paraId="2155FF91" w14:textId="77777777" w:rsidR="00951F81" w:rsidRDefault="007079D3" w:rsidP="005A10E5">
            <w:pPr>
              <w:keepNext/>
            </w:pPr>
            <w:r>
              <w:rPr>
                <w:b/>
              </w:rPr>
              <w:t xml:space="preserve">Μην </w:t>
            </w:r>
            <w:r>
              <w:t>ξαναχρησιμοποιήσετε την προγεμισμένη σύριγγα.</w:t>
            </w:r>
          </w:p>
        </w:tc>
      </w:tr>
      <w:tr w:rsidR="00EA09FB" w14:paraId="2155FF95" w14:textId="77777777" w:rsidTr="006829AE">
        <w:trPr>
          <w:cantSplit/>
          <w:trHeight w:val="57"/>
        </w:trPr>
        <w:tc>
          <w:tcPr>
            <w:tcW w:w="294" w:type="pct"/>
            <w:tcBorders>
              <w:top w:val="nil"/>
              <w:bottom w:val="single" w:sz="4" w:space="0" w:color="auto"/>
              <w:right w:val="nil"/>
            </w:tcBorders>
            <w:tcMar>
              <w:top w:w="28" w:type="dxa"/>
              <w:left w:w="57" w:type="dxa"/>
              <w:bottom w:w="28" w:type="dxa"/>
              <w:right w:w="57" w:type="dxa"/>
            </w:tcMar>
          </w:tcPr>
          <w:p w14:paraId="2155FF93" w14:textId="77777777" w:rsidR="00951F81" w:rsidRDefault="007079D3"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58254" behindDoc="0" locked="0" layoutInCell="1" allowOverlap="1" wp14:anchorId="76177C02" wp14:editId="7DFD4C6A">
                  <wp:simplePos x="0" y="0"/>
                  <wp:positionH relativeFrom="column">
                    <wp:posOffset>14605</wp:posOffset>
                  </wp:positionH>
                  <wp:positionV relativeFrom="paragraph">
                    <wp:posOffset>22225</wp:posOffset>
                  </wp:positionV>
                  <wp:extent cx="119380" cy="119380"/>
                  <wp:effectExtent l="0" t="0" r="0" b="0"/>
                  <wp:wrapNone/>
                  <wp:docPr id="53"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90"/>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single" w:sz="4" w:space="0" w:color="auto"/>
            </w:tcBorders>
            <w:tcMar>
              <w:left w:w="0" w:type="dxa"/>
              <w:right w:w="57" w:type="dxa"/>
            </w:tcMar>
          </w:tcPr>
          <w:p w14:paraId="2155FF94" w14:textId="2C25823D" w:rsidR="00951F81" w:rsidRDefault="007079D3" w:rsidP="005A10E5">
            <w:pPr>
              <w:keepNext/>
            </w:pPr>
            <w:r>
              <w:rPr>
                <w:b/>
              </w:rPr>
              <w:t xml:space="preserve">Μην </w:t>
            </w:r>
            <w:r>
              <w:t xml:space="preserve">ανακυκλώσετε τις προγεμισμένες σύριγγες και μην τις πετάξετε στα οικιακά </w:t>
            </w:r>
            <w:r w:rsidR="00B757A3">
              <w:t>απορρίμματα</w:t>
            </w:r>
            <w:r>
              <w:t>.</w:t>
            </w:r>
          </w:p>
        </w:tc>
      </w:tr>
    </w:tbl>
    <w:p w14:paraId="2155FF96" w14:textId="77777777"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1"/>
      </w:tblGrid>
      <w:tr w:rsidR="00EA09FB" w14:paraId="2155FF99" w14:textId="77777777" w:rsidTr="006829AE">
        <w:trPr>
          <w:cantSplit/>
          <w:trHeight w:val="57"/>
        </w:trPr>
        <w:tc>
          <w:tcPr>
            <w:tcW w:w="294" w:type="pct"/>
            <w:tcMar>
              <w:top w:w="28" w:type="dxa"/>
              <w:left w:w="57" w:type="dxa"/>
              <w:bottom w:w="28" w:type="dxa"/>
              <w:right w:w="57" w:type="dxa"/>
            </w:tcMar>
          </w:tcPr>
          <w:p w14:paraId="2155FF97" w14:textId="77777777" w:rsidR="00951F81" w:rsidRDefault="007079D3" w:rsidP="005A10E5">
            <w:pPr>
              <w:keepNext/>
            </w:pPr>
            <w:r>
              <w:t>B</w:t>
            </w:r>
          </w:p>
        </w:tc>
        <w:tc>
          <w:tcPr>
            <w:tcW w:w="4706" w:type="pct"/>
            <w:tcMar>
              <w:left w:w="57" w:type="dxa"/>
              <w:right w:w="57" w:type="dxa"/>
            </w:tcMar>
          </w:tcPr>
          <w:p w14:paraId="2155FF98" w14:textId="77777777" w:rsidR="00951F81" w:rsidRDefault="007079D3" w:rsidP="005A10E5">
            <w:pPr>
              <w:keepNext/>
            </w:pPr>
            <w:r>
              <w:t>Ελέγξτε το σημείο χορήγησης.</w:t>
            </w:r>
          </w:p>
        </w:tc>
      </w:tr>
      <w:tr w:rsidR="00EA09FB" w14:paraId="2155FF9B" w14:textId="77777777" w:rsidTr="006829AE">
        <w:trPr>
          <w:cantSplit/>
          <w:trHeight w:val="57"/>
        </w:trPr>
        <w:tc>
          <w:tcPr>
            <w:tcW w:w="5000" w:type="pct"/>
            <w:gridSpan w:val="2"/>
            <w:tcMar>
              <w:top w:w="28" w:type="dxa"/>
              <w:left w:w="57" w:type="dxa"/>
              <w:bottom w:w="28" w:type="dxa"/>
              <w:right w:w="57" w:type="dxa"/>
            </w:tcMar>
          </w:tcPr>
          <w:p w14:paraId="2155FF9A" w14:textId="77777777" w:rsidR="00951F81" w:rsidRDefault="007079D3" w:rsidP="005A10E5">
            <w:pPr>
              <w:keepNext/>
            </w:pPr>
            <w:r>
              <w:t xml:space="preserve">Αν παρατηρήστε μία κηλίδα αίματος μπορείτε να πιέσετε πάνω στο σημείο της ένεσης ένα κομμάτι βαμβάκι ή ένα επίθεμα γάζας. </w:t>
            </w:r>
            <w:r>
              <w:rPr>
                <w:b/>
              </w:rPr>
              <w:t>Μην</w:t>
            </w:r>
            <w:r>
              <w:t xml:space="preserve"> τρίβετε το σημείο της ένεσης. Αν χρειάζεται, μπορείτε να καλύψετε το σημείο της ένεσης με ένα αυτοκόλλητο επίδεσμο.</w:t>
            </w:r>
          </w:p>
        </w:tc>
      </w:tr>
    </w:tbl>
    <w:p w14:paraId="2155FF9C" w14:textId="7E2D11F0" w:rsidR="00951F81" w:rsidRDefault="00951F81" w:rsidP="00DB3FB3"/>
    <w:sectPr w:rsidR="00951F81" w:rsidSect="007065FF">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41E2" w14:textId="77777777" w:rsidR="002D1A40" w:rsidRDefault="002D1A40">
      <w:r>
        <w:separator/>
      </w:r>
    </w:p>
  </w:endnote>
  <w:endnote w:type="continuationSeparator" w:id="0">
    <w:p w14:paraId="5D51428A" w14:textId="77777777" w:rsidR="002D1A40" w:rsidRDefault="002D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FFFD" w14:textId="77777777" w:rsidR="006829AE" w:rsidRPr="00463A1B" w:rsidRDefault="007079D3"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separate"/>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00C83FAB">
      <w:rPr>
        <w:rFonts w:ascii="Arial" w:hAnsi="Arial" w:cs="Arial"/>
        <w:noProof/>
        <w:sz w:val="16"/>
      </w:rPr>
      <w:t>49</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FFFE" w14:textId="77777777" w:rsidR="006829AE" w:rsidRPr="00D364A0" w:rsidRDefault="007079D3">
    <w:pPr>
      <w:pStyle w:val="Footer"/>
      <w:tabs>
        <w:tab w:val="clear" w:pos="8930"/>
        <w:tab w:val="right" w:pos="8931"/>
      </w:tabs>
      <w:ind w:right="96"/>
      <w:jc w:val="center"/>
    </w:pPr>
    <w:r>
      <w:fldChar w:fldCharType="begin"/>
    </w:r>
    <w:r>
      <w:instrText xml:space="preserve"> EQ </w:instrText>
    </w:r>
    <w:r>
      <w:fldChar w:fldCharType="separate"/>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2155FFFF" w14:textId="77777777" w:rsidR="006829AE" w:rsidRDefault="006829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A73CA" w14:textId="77777777" w:rsidR="002D1A40" w:rsidRDefault="002D1A40">
      <w:r>
        <w:separator/>
      </w:r>
    </w:p>
  </w:footnote>
  <w:footnote w:type="continuationSeparator" w:id="0">
    <w:p w14:paraId="3696551D" w14:textId="77777777" w:rsidR="002D1A40" w:rsidRDefault="002D1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3.45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2F9E1462">
      <w:start w:val="1"/>
      <w:numFmt w:val="decimal"/>
      <w:lvlText w:val="%1."/>
      <w:lvlJc w:val="left"/>
      <w:pPr>
        <w:ind w:left="720" w:hanging="360"/>
      </w:pPr>
    </w:lvl>
    <w:lvl w:ilvl="1" w:tplc="6FEE5812" w:tentative="1">
      <w:start w:val="1"/>
      <w:numFmt w:val="lowerLetter"/>
      <w:lvlText w:val="%2."/>
      <w:lvlJc w:val="left"/>
      <w:pPr>
        <w:ind w:left="1440" w:hanging="360"/>
      </w:pPr>
    </w:lvl>
    <w:lvl w:ilvl="2" w:tplc="45E01C52" w:tentative="1">
      <w:start w:val="1"/>
      <w:numFmt w:val="lowerRoman"/>
      <w:lvlText w:val="%3."/>
      <w:lvlJc w:val="right"/>
      <w:pPr>
        <w:ind w:left="2160" w:hanging="180"/>
      </w:pPr>
    </w:lvl>
    <w:lvl w:ilvl="3" w:tplc="F01C046E" w:tentative="1">
      <w:start w:val="1"/>
      <w:numFmt w:val="decimal"/>
      <w:lvlText w:val="%4."/>
      <w:lvlJc w:val="left"/>
      <w:pPr>
        <w:ind w:left="2880" w:hanging="360"/>
      </w:pPr>
    </w:lvl>
    <w:lvl w:ilvl="4" w:tplc="6290C056" w:tentative="1">
      <w:start w:val="1"/>
      <w:numFmt w:val="lowerLetter"/>
      <w:lvlText w:val="%5."/>
      <w:lvlJc w:val="left"/>
      <w:pPr>
        <w:ind w:left="3600" w:hanging="360"/>
      </w:pPr>
    </w:lvl>
    <w:lvl w:ilvl="5" w:tplc="2140D5CC" w:tentative="1">
      <w:start w:val="1"/>
      <w:numFmt w:val="lowerRoman"/>
      <w:lvlText w:val="%6."/>
      <w:lvlJc w:val="right"/>
      <w:pPr>
        <w:ind w:left="4320" w:hanging="180"/>
      </w:pPr>
    </w:lvl>
    <w:lvl w:ilvl="6" w:tplc="82EC1B70" w:tentative="1">
      <w:start w:val="1"/>
      <w:numFmt w:val="decimal"/>
      <w:lvlText w:val="%7."/>
      <w:lvlJc w:val="left"/>
      <w:pPr>
        <w:ind w:left="5040" w:hanging="360"/>
      </w:pPr>
    </w:lvl>
    <w:lvl w:ilvl="7" w:tplc="11F4084C" w:tentative="1">
      <w:start w:val="1"/>
      <w:numFmt w:val="lowerLetter"/>
      <w:lvlText w:val="%8."/>
      <w:lvlJc w:val="left"/>
      <w:pPr>
        <w:ind w:left="5760" w:hanging="360"/>
      </w:pPr>
    </w:lvl>
    <w:lvl w:ilvl="8" w:tplc="CBD65B5A"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CA3A87B8">
      <w:start w:val="1"/>
      <w:numFmt w:val="bullet"/>
      <w:lvlText w:val=""/>
      <w:lvlJc w:val="left"/>
      <w:pPr>
        <w:tabs>
          <w:tab w:val="num" w:pos="567"/>
        </w:tabs>
        <w:ind w:left="567" w:hanging="567"/>
      </w:pPr>
      <w:rPr>
        <w:rFonts w:ascii="Symbol" w:hAnsi="Symbol" w:hint="default"/>
      </w:rPr>
    </w:lvl>
    <w:lvl w:ilvl="1" w:tplc="290E8ADA">
      <w:start w:val="1"/>
      <w:numFmt w:val="bullet"/>
      <w:lvlText w:val="o"/>
      <w:lvlJc w:val="left"/>
      <w:pPr>
        <w:ind w:left="1440" w:hanging="360"/>
      </w:pPr>
      <w:rPr>
        <w:rFonts w:ascii="Courier New" w:hAnsi="Courier New" w:cs="Courier New" w:hint="default"/>
      </w:rPr>
    </w:lvl>
    <w:lvl w:ilvl="2" w:tplc="537C32D0" w:tentative="1">
      <w:start w:val="1"/>
      <w:numFmt w:val="bullet"/>
      <w:lvlText w:val=""/>
      <w:lvlJc w:val="left"/>
      <w:pPr>
        <w:ind w:left="2160" w:hanging="360"/>
      </w:pPr>
      <w:rPr>
        <w:rFonts w:ascii="Wingdings" w:hAnsi="Wingdings" w:hint="default"/>
      </w:rPr>
    </w:lvl>
    <w:lvl w:ilvl="3" w:tplc="BED81904" w:tentative="1">
      <w:start w:val="1"/>
      <w:numFmt w:val="bullet"/>
      <w:lvlText w:val=""/>
      <w:lvlJc w:val="left"/>
      <w:pPr>
        <w:ind w:left="2880" w:hanging="360"/>
      </w:pPr>
      <w:rPr>
        <w:rFonts w:ascii="Symbol" w:hAnsi="Symbol" w:hint="default"/>
      </w:rPr>
    </w:lvl>
    <w:lvl w:ilvl="4" w:tplc="1646C57C" w:tentative="1">
      <w:start w:val="1"/>
      <w:numFmt w:val="bullet"/>
      <w:lvlText w:val="o"/>
      <w:lvlJc w:val="left"/>
      <w:pPr>
        <w:ind w:left="3600" w:hanging="360"/>
      </w:pPr>
      <w:rPr>
        <w:rFonts w:ascii="Courier New" w:hAnsi="Courier New" w:cs="Courier New" w:hint="default"/>
      </w:rPr>
    </w:lvl>
    <w:lvl w:ilvl="5" w:tplc="D36A31C0" w:tentative="1">
      <w:start w:val="1"/>
      <w:numFmt w:val="bullet"/>
      <w:lvlText w:val=""/>
      <w:lvlJc w:val="left"/>
      <w:pPr>
        <w:ind w:left="4320" w:hanging="360"/>
      </w:pPr>
      <w:rPr>
        <w:rFonts w:ascii="Wingdings" w:hAnsi="Wingdings" w:hint="default"/>
      </w:rPr>
    </w:lvl>
    <w:lvl w:ilvl="6" w:tplc="E5AA6136" w:tentative="1">
      <w:start w:val="1"/>
      <w:numFmt w:val="bullet"/>
      <w:lvlText w:val=""/>
      <w:lvlJc w:val="left"/>
      <w:pPr>
        <w:ind w:left="5040" w:hanging="360"/>
      </w:pPr>
      <w:rPr>
        <w:rFonts w:ascii="Symbol" w:hAnsi="Symbol" w:hint="default"/>
      </w:rPr>
    </w:lvl>
    <w:lvl w:ilvl="7" w:tplc="A7DACC04" w:tentative="1">
      <w:start w:val="1"/>
      <w:numFmt w:val="bullet"/>
      <w:lvlText w:val="o"/>
      <w:lvlJc w:val="left"/>
      <w:pPr>
        <w:ind w:left="5760" w:hanging="360"/>
      </w:pPr>
      <w:rPr>
        <w:rFonts w:ascii="Courier New" w:hAnsi="Courier New" w:cs="Courier New" w:hint="default"/>
      </w:rPr>
    </w:lvl>
    <w:lvl w:ilvl="8" w:tplc="6D6C3F70"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7B56ED70">
      <w:start w:val="6"/>
      <w:numFmt w:val="decimal"/>
      <w:lvlText w:val="%1."/>
      <w:lvlJc w:val="left"/>
      <w:pPr>
        <w:ind w:left="360" w:hanging="360"/>
      </w:pPr>
      <w:rPr>
        <w:rFonts w:hint="default"/>
      </w:rPr>
    </w:lvl>
    <w:lvl w:ilvl="1" w:tplc="7FF0C2E8" w:tentative="1">
      <w:start w:val="1"/>
      <w:numFmt w:val="lowerLetter"/>
      <w:lvlText w:val="%2."/>
      <w:lvlJc w:val="left"/>
      <w:pPr>
        <w:ind w:left="1440" w:hanging="360"/>
      </w:pPr>
    </w:lvl>
    <w:lvl w:ilvl="2" w:tplc="F42CF17E" w:tentative="1">
      <w:start w:val="1"/>
      <w:numFmt w:val="lowerRoman"/>
      <w:lvlText w:val="%3."/>
      <w:lvlJc w:val="right"/>
      <w:pPr>
        <w:ind w:left="2160" w:hanging="180"/>
      </w:pPr>
    </w:lvl>
    <w:lvl w:ilvl="3" w:tplc="06067BD8" w:tentative="1">
      <w:start w:val="1"/>
      <w:numFmt w:val="decimal"/>
      <w:lvlText w:val="%4."/>
      <w:lvlJc w:val="left"/>
      <w:pPr>
        <w:ind w:left="2880" w:hanging="360"/>
      </w:pPr>
    </w:lvl>
    <w:lvl w:ilvl="4" w:tplc="90021A1A" w:tentative="1">
      <w:start w:val="1"/>
      <w:numFmt w:val="lowerLetter"/>
      <w:lvlText w:val="%5."/>
      <w:lvlJc w:val="left"/>
      <w:pPr>
        <w:ind w:left="3600" w:hanging="360"/>
      </w:pPr>
    </w:lvl>
    <w:lvl w:ilvl="5" w:tplc="A7560992" w:tentative="1">
      <w:start w:val="1"/>
      <w:numFmt w:val="lowerRoman"/>
      <w:lvlText w:val="%6."/>
      <w:lvlJc w:val="right"/>
      <w:pPr>
        <w:ind w:left="4320" w:hanging="180"/>
      </w:pPr>
    </w:lvl>
    <w:lvl w:ilvl="6" w:tplc="9920E8EA" w:tentative="1">
      <w:start w:val="1"/>
      <w:numFmt w:val="decimal"/>
      <w:lvlText w:val="%7."/>
      <w:lvlJc w:val="left"/>
      <w:pPr>
        <w:ind w:left="5040" w:hanging="360"/>
      </w:pPr>
    </w:lvl>
    <w:lvl w:ilvl="7" w:tplc="0D446714" w:tentative="1">
      <w:start w:val="1"/>
      <w:numFmt w:val="lowerLetter"/>
      <w:lvlText w:val="%8."/>
      <w:lvlJc w:val="left"/>
      <w:pPr>
        <w:ind w:left="5760" w:hanging="360"/>
      </w:pPr>
    </w:lvl>
    <w:lvl w:ilvl="8" w:tplc="0ACEC74A"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2F9CC8C6">
      <w:start w:val="1"/>
      <w:numFmt w:val="decimal"/>
      <w:lvlText w:val="%1."/>
      <w:lvlJc w:val="left"/>
      <w:pPr>
        <w:ind w:left="930" w:hanging="570"/>
      </w:pPr>
      <w:rPr>
        <w:rFonts w:hint="default"/>
      </w:rPr>
    </w:lvl>
    <w:lvl w:ilvl="1" w:tplc="FE107200">
      <w:numFmt w:val="bullet"/>
      <w:lvlText w:val="•"/>
      <w:lvlJc w:val="left"/>
      <w:pPr>
        <w:ind w:left="1650" w:hanging="570"/>
      </w:pPr>
      <w:rPr>
        <w:rFonts w:ascii="Times New Roman" w:eastAsia="Times New Roman" w:hAnsi="Times New Roman" w:cs="Times New Roman" w:hint="default"/>
      </w:rPr>
    </w:lvl>
    <w:lvl w:ilvl="2" w:tplc="D120568C" w:tentative="1">
      <w:start w:val="1"/>
      <w:numFmt w:val="lowerRoman"/>
      <w:lvlText w:val="%3."/>
      <w:lvlJc w:val="right"/>
      <w:pPr>
        <w:ind w:left="2160" w:hanging="180"/>
      </w:pPr>
    </w:lvl>
    <w:lvl w:ilvl="3" w:tplc="C7B279B4" w:tentative="1">
      <w:start w:val="1"/>
      <w:numFmt w:val="decimal"/>
      <w:lvlText w:val="%4."/>
      <w:lvlJc w:val="left"/>
      <w:pPr>
        <w:ind w:left="2880" w:hanging="360"/>
      </w:pPr>
    </w:lvl>
    <w:lvl w:ilvl="4" w:tplc="883494BE" w:tentative="1">
      <w:start w:val="1"/>
      <w:numFmt w:val="lowerLetter"/>
      <w:lvlText w:val="%5."/>
      <w:lvlJc w:val="left"/>
      <w:pPr>
        <w:ind w:left="3600" w:hanging="360"/>
      </w:pPr>
    </w:lvl>
    <w:lvl w:ilvl="5" w:tplc="ACB07B12" w:tentative="1">
      <w:start w:val="1"/>
      <w:numFmt w:val="lowerRoman"/>
      <w:lvlText w:val="%6."/>
      <w:lvlJc w:val="right"/>
      <w:pPr>
        <w:ind w:left="4320" w:hanging="180"/>
      </w:pPr>
    </w:lvl>
    <w:lvl w:ilvl="6" w:tplc="DA1E43EE" w:tentative="1">
      <w:start w:val="1"/>
      <w:numFmt w:val="decimal"/>
      <w:lvlText w:val="%7."/>
      <w:lvlJc w:val="left"/>
      <w:pPr>
        <w:ind w:left="5040" w:hanging="360"/>
      </w:pPr>
    </w:lvl>
    <w:lvl w:ilvl="7" w:tplc="60146ABA" w:tentative="1">
      <w:start w:val="1"/>
      <w:numFmt w:val="lowerLetter"/>
      <w:lvlText w:val="%8."/>
      <w:lvlJc w:val="left"/>
      <w:pPr>
        <w:ind w:left="5760" w:hanging="360"/>
      </w:pPr>
    </w:lvl>
    <w:lvl w:ilvl="8" w:tplc="CBE8F9A8"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428E9684">
      <w:start w:val="1"/>
      <w:numFmt w:val="bullet"/>
      <w:lvlText w:val=""/>
      <w:lvlJc w:val="left"/>
      <w:pPr>
        <w:tabs>
          <w:tab w:val="num" w:pos="720"/>
        </w:tabs>
        <w:ind w:left="720" w:hanging="360"/>
      </w:pPr>
      <w:rPr>
        <w:rFonts w:ascii="Symbol" w:hAnsi="Symbol" w:hint="default"/>
      </w:rPr>
    </w:lvl>
    <w:lvl w:ilvl="1" w:tplc="B856460E" w:tentative="1">
      <w:start w:val="1"/>
      <w:numFmt w:val="bullet"/>
      <w:lvlText w:val="o"/>
      <w:lvlJc w:val="left"/>
      <w:pPr>
        <w:tabs>
          <w:tab w:val="num" w:pos="1440"/>
        </w:tabs>
        <w:ind w:left="1440" w:hanging="360"/>
      </w:pPr>
      <w:rPr>
        <w:rFonts w:ascii="Courier New" w:hAnsi="Courier New" w:cs="Courier New" w:hint="default"/>
      </w:rPr>
    </w:lvl>
    <w:lvl w:ilvl="2" w:tplc="F124B63E" w:tentative="1">
      <w:start w:val="1"/>
      <w:numFmt w:val="bullet"/>
      <w:lvlText w:val=""/>
      <w:lvlJc w:val="left"/>
      <w:pPr>
        <w:tabs>
          <w:tab w:val="num" w:pos="2160"/>
        </w:tabs>
        <w:ind w:left="2160" w:hanging="360"/>
      </w:pPr>
      <w:rPr>
        <w:rFonts w:ascii="Wingdings" w:hAnsi="Wingdings" w:hint="default"/>
      </w:rPr>
    </w:lvl>
    <w:lvl w:ilvl="3" w:tplc="EF08A9C4" w:tentative="1">
      <w:start w:val="1"/>
      <w:numFmt w:val="bullet"/>
      <w:lvlText w:val=""/>
      <w:lvlJc w:val="left"/>
      <w:pPr>
        <w:tabs>
          <w:tab w:val="num" w:pos="2880"/>
        </w:tabs>
        <w:ind w:left="2880" w:hanging="360"/>
      </w:pPr>
      <w:rPr>
        <w:rFonts w:ascii="Symbol" w:hAnsi="Symbol" w:hint="default"/>
      </w:rPr>
    </w:lvl>
    <w:lvl w:ilvl="4" w:tplc="565C701C" w:tentative="1">
      <w:start w:val="1"/>
      <w:numFmt w:val="bullet"/>
      <w:lvlText w:val="o"/>
      <w:lvlJc w:val="left"/>
      <w:pPr>
        <w:tabs>
          <w:tab w:val="num" w:pos="3600"/>
        </w:tabs>
        <w:ind w:left="3600" w:hanging="360"/>
      </w:pPr>
      <w:rPr>
        <w:rFonts w:ascii="Courier New" w:hAnsi="Courier New" w:cs="Courier New" w:hint="default"/>
      </w:rPr>
    </w:lvl>
    <w:lvl w:ilvl="5" w:tplc="4428300E" w:tentative="1">
      <w:start w:val="1"/>
      <w:numFmt w:val="bullet"/>
      <w:lvlText w:val=""/>
      <w:lvlJc w:val="left"/>
      <w:pPr>
        <w:tabs>
          <w:tab w:val="num" w:pos="4320"/>
        </w:tabs>
        <w:ind w:left="4320" w:hanging="360"/>
      </w:pPr>
      <w:rPr>
        <w:rFonts w:ascii="Wingdings" w:hAnsi="Wingdings" w:hint="default"/>
      </w:rPr>
    </w:lvl>
    <w:lvl w:ilvl="6" w:tplc="D94EFCBA" w:tentative="1">
      <w:start w:val="1"/>
      <w:numFmt w:val="bullet"/>
      <w:lvlText w:val=""/>
      <w:lvlJc w:val="left"/>
      <w:pPr>
        <w:tabs>
          <w:tab w:val="num" w:pos="5040"/>
        </w:tabs>
        <w:ind w:left="5040" w:hanging="360"/>
      </w:pPr>
      <w:rPr>
        <w:rFonts w:ascii="Symbol" w:hAnsi="Symbol" w:hint="default"/>
      </w:rPr>
    </w:lvl>
    <w:lvl w:ilvl="7" w:tplc="F942E566" w:tentative="1">
      <w:start w:val="1"/>
      <w:numFmt w:val="bullet"/>
      <w:lvlText w:val="o"/>
      <w:lvlJc w:val="left"/>
      <w:pPr>
        <w:tabs>
          <w:tab w:val="num" w:pos="5760"/>
        </w:tabs>
        <w:ind w:left="5760" w:hanging="360"/>
      </w:pPr>
      <w:rPr>
        <w:rFonts w:ascii="Courier New" w:hAnsi="Courier New" w:cs="Courier New" w:hint="default"/>
      </w:rPr>
    </w:lvl>
    <w:lvl w:ilvl="8" w:tplc="FFC49C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1310B1F8">
      <w:start w:val="1"/>
      <w:numFmt w:val="bullet"/>
      <w:pStyle w:val="BULLETED"/>
      <w:lvlText w:val=""/>
      <w:lvlJc w:val="left"/>
      <w:pPr>
        <w:ind w:left="3366" w:hanging="360"/>
      </w:pPr>
      <w:rPr>
        <w:rFonts w:ascii="Symbol" w:hAnsi="Symbol" w:hint="default"/>
      </w:rPr>
    </w:lvl>
    <w:lvl w:ilvl="1" w:tplc="E6A6FCAA" w:tentative="1">
      <w:start w:val="1"/>
      <w:numFmt w:val="bullet"/>
      <w:lvlText w:val="o"/>
      <w:lvlJc w:val="left"/>
      <w:pPr>
        <w:ind w:left="4086" w:hanging="360"/>
      </w:pPr>
      <w:rPr>
        <w:rFonts w:ascii="Courier New" w:hAnsi="Courier New" w:hint="default"/>
      </w:rPr>
    </w:lvl>
    <w:lvl w:ilvl="2" w:tplc="C4A0C19E" w:tentative="1">
      <w:start w:val="1"/>
      <w:numFmt w:val="bullet"/>
      <w:lvlText w:val=""/>
      <w:lvlJc w:val="left"/>
      <w:pPr>
        <w:ind w:left="4806" w:hanging="360"/>
      </w:pPr>
      <w:rPr>
        <w:rFonts w:ascii="Wingdings" w:hAnsi="Wingdings" w:hint="default"/>
      </w:rPr>
    </w:lvl>
    <w:lvl w:ilvl="3" w:tplc="4C50FDE8" w:tentative="1">
      <w:start w:val="1"/>
      <w:numFmt w:val="bullet"/>
      <w:lvlText w:val=""/>
      <w:lvlJc w:val="left"/>
      <w:pPr>
        <w:ind w:left="5526" w:hanging="360"/>
      </w:pPr>
      <w:rPr>
        <w:rFonts w:ascii="Symbol" w:hAnsi="Symbol" w:hint="default"/>
      </w:rPr>
    </w:lvl>
    <w:lvl w:ilvl="4" w:tplc="4D145CCA" w:tentative="1">
      <w:start w:val="1"/>
      <w:numFmt w:val="bullet"/>
      <w:lvlText w:val="o"/>
      <w:lvlJc w:val="left"/>
      <w:pPr>
        <w:ind w:left="6246" w:hanging="360"/>
      </w:pPr>
      <w:rPr>
        <w:rFonts w:ascii="Courier New" w:hAnsi="Courier New" w:hint="default"/>
      </w:rPr>
    </w:lvl>
    <w:lvl w:ilvl="5" w:tplc="43CEC5D4" w:tentative="1">
      <w:start w:val="1"/>
      <w:numFmt w:val="bullet"/>
      <w:lvlText w:val=""/>
      <w:lvlJc w:val="left"/>
      <w:pPr>
        <w:ind w:left="6966" w:hanging="360"/>
      </w:pPr>
      <w:rPr>
        <w:rFonts w:ascii="Wingdings" w:hAnsi="Wingdings" w:hint="default"/>
      </w:rPr>
    </w:lvl>
    <w:lvl w:ilvl="6" w:tplc="09160098" w:tentative="1">
      <w:start w:val="1"/>
      <w:numFmt w:val="bullet"/>
      <w:lvlText w:val=""/>
      <w:lvlJc w:val="left"/>
      <w:pPr>
        <w:ind w:left="7686" w:hanging="360"/>
      </w:pPr>
      <w:rPr>
        <w:rFonts w:ascii="Symbol" w:hAnsi="Symbol" w:hint="default"/>
      </w:rPr>
    </w:lvl>
    <w:lvl w:ilvl="7" w:tplc="0A9C8498" w:tentative="1">
      <w:start w:val="1"/>
      <w:numFmt w:val="bullet"/>
      <w:lvlText w:val="o"/>
      <w:lvlJc w:val="left"/>
      <w:pPr>
        <w:ind w:left="8406" w:hanging="360"/>
      </w:pPr>
      <w:rPr>
        <w:rFonts w:ascii="Courier New" w:hAnsi="Courier New" w:hint="default"/>
      </w:rPr>
    </w:lvl>
    <w:lvl w:ilvl="8" w:tplc="2070CADC"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988E2690">
      <w:start w:val="1"/>
      <w:numFmt w:val="bullet"/>
      <w:lvlText w:val=""/>
      <w:lvlJc w:val="left"/>
      <w:pPr>
        <w:ind w:left="720" w:hanging="360"/>
      </w:pPr>
      <w:rPr>
        <w:rFonts w:ascii="Symbol" w:hAnsi="Symbol" w:hint="default"/>
      </w:rPr>
    </w:lvl>
    <w:lvl w:ilvl="1" w:tplc="ACD62B42" w:tentative="1">
      <w:start w:val="1"/>
      <w:numFmt w:val="bullet"/>
      <w:lvlText w:val="o"/>
      <w:lvlJc w:val="left"/>
      <w:pPr>
        <w:ind w:left="1440" w:hanging="360"/>
      </w:pPr>
      <w:rPr>
        <w:rFonts w:ascii="Courier New" w:hAnsi="Courier New" w:cs="Courier New" w:hint="default"/>
      </w:rPr>
    </w:lvl>
    <w:lvl w:ilvl="2" w:tplc="0874C94A" w:tentative="1">
      <w:start w:val="1"/>
      <w:numFmt w:val="bullet"/>
      <w:lvlText w:val=""/>
      <w:lvlJc w:val="left"/>
      <w:pPr>
        <w:ind w:left="2160" w:hanging="360"/>
      </w:pPr>
      <w:rPr>
        <w:rFonts w:ascii="Wingdings" w:hAnsi="Wingdings" w:hint="default"/>
      </w:rPr>
    </w:lvl>
    <w:lvl w:ilvl="3" w:tplc="A6EA09CC" w:tentative="1">
      <w:start w:val="1"/>
      <w:numFmt w:val="bullet"/>
      <w:lvlText w:val=""/>
      <w:lvlJc w:val="left"/>
      <w:pPr>
        <w:ind w:left="2880" w:hanging="360"/>
      </w:pPr>
      <w:rPr>
        <w:rFonts w:ascii="Symbol" w:hAnsi="Symbol" w:hint="default"/>
      </w:rPr>
    </w:lvl>
    <w:lvl w:ilvl="4" w:tplc="425C25BA" w:tentative="1">
      <w:start w:val="1"/>
      <w:numFmt w:val="bullet"/>
      <w:lvlText w:val="o"/>
      <w:lvlJc w:val="left"/>
      <w:pPr>
        <w:ind w:left="3600" w:hanging="360"/>
      </w:pPr>
      <w:rPr>
        <w:rFonts w:ascii="Courier New" w:hAnsi="Courier New" w:cs="Courier New" w:hint="default"/>
      </w:rPr>
    </w:lvl>
    <w:lvl w:ilvl="5" w:tplc="A710BFF0" w:tentative="1">
      <w:start w:val="1"/>
      <w:numFmt w:val="bullet"/>
      <w:lvlText w:val=""/>
      <w:lvlJc w:val="left"/>
      <w:pPr>
        <w:ind w:left="4320" w:hanging="360"/>
      </w:pPr>
      <w:rPr>
        <w:rFonts w:ascii="Wingdings" w:hAnsi="Wingdings" w:hint="default"/>
      </w:rPr>
    </w:lvl>
    <w:lvl w:ilvl="6" w:tplc="FCBC8086" w:tentative="1">
      <w:start w:val="1"/>
      <w:numFmt w:val="bullet"/>
      <w:lvlText w:val=""/>
      <w:lvlJc w:val="left"/>
      <w:pPr>
        <w:ind w:left="5040" w:hanging="360"/>
      </w:pPr>
      <w:rPr>
        <w:rFonts w:ascii="Symbol" w:hAnsi="Symbol" w:hint="default"/>
      </w:rPr>
    </w:lvl>
    <w:lvl w:ilvl="7" w:tplc="1A28DB3E" w:tentative="1">
      <w:start w:val="1"/>
      <w:numFmt w:val="bullet"/>
      <w:lvlText w:val="o"/>
      <w:lvlJc w:val="left"/>
      <w:pPr>
        <w:ind w:left="5760" w:hanging="360"/>
      </w:pPr>
      <w:rPr>
        <w:rFonts w:ascii="Courier New" w:hAnsi="Courier New" w:cs="Courier New" w:hint="default"/>
      </w:rPr>
    </w:lvl>
    <w:lvl w:ilvl="8" w:tplc="74A68FC6"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5EC2B9A8">
      <w:start w:val="3"/>
      <w:numFmt w:val="decimal"/>
      <w:lvlText w:val="%1."/>
      <w:lvlJc w:val="left"/>
      <w:pPr>
        <w:tabs>
          <w:tab w:val="num" w:pos="570"/>
        </w:tabs>
        <w:ind w:left="570" w:hanging="570"/>
      </w:pPr>
      <w:rPr>
        <w:rFonts w:hint="default"/>
      </w:rPr>
    </w:lvl>
    <w:lvl w:ilvl="1" w:tplc="15E0794A" w:tentative="1">
      <w:start w:val="1"/>
      <w:numFmt w:val="lowerLetter"/>
      <w:lvlText w:val="%2."/>
      <w:lvlJc w:val="left"/>
      <w:pPr>
        <w:ind w:left="1440" w:hanging="360"/>
      </w:pPr>
    </w:lvl>
    <w:lvl w:ilvl="2" w:tplc="9F30849E" w:tentative="1">
      <w:start w:val="1"/>
      <w:numFmt w:val="lowerRoman"/>
      <w:lvlText w:val="%3."/>
      <w:lvlJc w:val="right"/>
      <w:pPr>
        <w:ind w:left="2160" w:hanging="180"/>
      </w:pPr>
    </w:lvl>
    <w:lvl w:ilvl="3" w:tplc="2AEAC370" w:tentative="1">
      <w:start w:val="1"/>
      <w:numFmt w:val="decimal"/>
      <w:lvlText w:val="%4."/>
      <w:lvlJc w:val="left"/>
      <w:pPr>
        <w:ind w:left="2880" w:hanging="360"/>
      </w:pPr>
    </w:lvl>
    <w:lvl w:ilvl="4" w:tplc="33AA6E18" w:tentative="1">
      <w:start w:val="1"/>
      <w:numFmt w:val="lowerLetter"/>
      <w:lvlText w:val="%5."/>
      <w:lvlJc w:val="left"/>
      <w:pPr>
        <w:ind w:left="3600" w:hanging="360"/>
      </w:pPr>
    </w:lvl>
    <w:lvl w:ilvl="5" w:tplc="0C987CB6" w:tentative="1">
      <w:start w:val="1"/>
      <w:numFmt w:val="lowerRoman"/>
      <w:lvlText w:val="%6."/>
      <w:lvlJc w:val="right"/>
      <w:pPr>
        <w:ind w:left="4320" w:hanging="180"/>
      </w:pPr>
    </w:lvl>
    <w:lvl w:ilvl="6" w:tplc="D2D6EC04" w:tentative="1">
      <w:start w:val="1"/>
      <w:numFmt w:val="decimal"/>
      <w:lvlText w:val="%7."/>
      <w:lvlJc w:val="left"/>
      <w:pPr>
        <w:ind w:left="5040" w:hanging="360"/>
      </w:pPr>
    </w:lvl>
    <w:lvl w:ilvl="7" w:tplc="E9C2781A" w:tentative="1">
      <w:start w:val="1"/>
      <w:numFmt w:val="lowerLetter"/>
      <w:lvlText w:val="%8."/>
      <w:lvlJc w:val="left"/>
      <w:pPr>
        <w:ind w:left="5760" w:hanging="360"/>
      </w:pPr>
    </w:lvl>
    <w:lvl w:ilvl="8" w:tplc="F276216E"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2814E538">
      <w:start w:val="1"/>
      <w:numFmt w:val="decimal"/>
      <w:lvlText w:val="%1."/>
      <w:lvlJc w:val="left"/>
      <w:pPr>
        <w:ind w:left="360" w:hanging="360"/>
      </w:pPr>
    </w:lvl>
    <w:lvl w:ilvl="1" w:tplc="2826A78C" w:tentative="1">
      <w:start w:val="1"/>
      <w:numFmt w:val="lowerLetter"/>
      <w:lvlText w:val="%2."/>
      <w:lvlJc w:val="left"/>
      <w:pPr>
        <w:ind w:left="1080" w:hanging="360"/>
      </w:pPr>
    </w:lvl>
    <w:lvl w:ilvl="2" w:tplc="1B5AB384" w:tentative="1">
      <w:start w:val="1"/>
      <w:numFmt w:val="lowerRoman"/>
      <w:lvlText w:val="%3."/>
      <w:lvlJc w:val="right"/>
      <w:pPr>
        <w:ind w:left="1800" w:hanging="180"/>
      </w:pPr>
    </w:lvl>
    <w:lvl w:ilvl="3" w:tplc="6FF20490" w:tentative="1">
      <w:start w:val="1"/>
      <w:numFmt w:val="decimal"/>
      <w:lvlText w:val="%4."/>
      <w:lvlJc w:val="left"/>
      <w:pPr>
        <w:ind w:left="2520" w:hanging="360"/>
      </w:pPr>
    </w:lvl>
    <w:lvl w:ilvl="4" w:tplc="71D6AB7A" w:tentative="1">
      <w:start w:val="1"/>
      <w:numFmt w:val="lowerLetter"/>
      <w:lvlText w:val="%5."/>
      <w:lvlJc w:val="left"/>
      <w:pPr>
        <w:ind w:left="3240" w:hanging="360"/>
      </w:pPr>
    </w:lvl>
    <w:lvl w:ilvl="5" w:tplc="0038A758" w:tentative="1">
      <w:start w:val="1"/>
      <w:numFmt w:val="lowerRoman"/>
      <w:lvlText w:val="%6."/>
      <w:lvlJc w:val="right"/>
      <w:pPr>
        <w:ind w:left="3960" w:hanging="180"/>
      </w:pPr>
    </w:lvl>
    <w:lvl w:ilvl="6" w:tplc="55087754" w:tentative="1">
      <w:start w:val="1"/>
      <w:numFmt w:val="decimal"/>
      <w:lvlText w:val="%7."/>
      <w:lvlJc w:val="left"/>
      <w:pPr>
        <w:ind w:left="4680" w:hanging="360"/>
      </w:pPr>
    </w:lvl>
    <w:lvl w:ilvl="7" w:tplc="2B64DF90" w:tentative="1">
      <w:start w:val="1"/>
      <w:numFmt w:val="lowerLetter"/>
      <w:lvlText w:val="%8."/>
      <w:lvlJc w:val="left"/>
      <w:pPr>
        <w:ind w:left="5400" w:hanging="360"/>
      </w:pPr>
    </w:lvl>
    <w:lvl w:ilvl="8" w:tplc="173EEEEA"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56E2A804">
      <w:start w:val="1"/>
      <w:numFmt w:val="bullet"/>
      <w:lvlText w:val="-"/>
      <w:lvlJc w:val="left"/>
      <w:pPr>
        <w:tabs>
          <w:tab w:val="num" w:pos="567"/>
        </w:tabs>
        <w:ind w:left="567" w:hanging="567"/>
      </w:pPr>
      <w:rPr>
        <w:rFonts w:ascii="Times New Roman" w:hAnsi="Times New Roman" w:cs="Times New Roman" w:hint="default"/>
        <w:sz w:val="20"/>
        <w:szCs w:val="20"/>
      </w:rPr>
    </w:lvl>
    <w:lvl w:ilvl="1" w:tplc="39F250EA" w:tentative="1">
      <w:start w:val="1"/>
      <w:numFmt w:val="bullet"/>
      <w:lvlText w:val="o"/>
      <w:lvlJc w:val="left"/>
      <w:pPr>
        <w:tabs>
          <w:tab w:val="num" w:pos="1440"/>
        </w:tabs>
        <w:ind w:left="1440" w:hanging="360"/>
      </w:pPr>
      <w:rPr>
        <w:rFonts w:ascii="Courier New" w:hAnsi="Courier New" w:cs="Courier New" w:hint="default"/>
      </w:rPr>
    </w:lvl>
    <w:lvl w:ilvl="2" w:tplc="B07E852E" w:tentative="1">
      <w:start w:val="1"/>
      <w:numFmt w:val="bullet"/>
      <w:lvlText w:val=""/>
      <w:lvlJc w:val="left"/>
      <w:pPr>
        <w:tabs>
          <w:tab w:val="num" w:pos="2160"/>
        </w:tabs>
        <w:ind w:left="2160" w:hanging="360"/>
      </w:pPr>
      <w:rPr>
        <w:rFonts w:ascii="Wingdings" w:hAnsi="Wingdings" w:hint="default"/>
      </w:rPr>
    </w:lvl>
    <w:lvl w:ilvl="3" w:tplc="B3463872" w:tentative="1">
      <w:start w:val="1"/>
      <w:numFmt w:val="bullet"/>
      <w:lvlText w:val=""/>
      <w:lvlJc w:val="left"/>
      <w:pPr>
        <w:tabs>
          <w:tab w:val="num" w:pos="2880"/>
        </w:tabs>
        <w:ind w:left="2880" w:hanging="360"/>
      </w:pPr>
      <w:rPr>
        <w:rFonts w:ascii="Symbol" w:hAnsi="Symbol" w:hint="default"/>
      </w:rPr>
    </w:lvl>
    <w:lvl w:ilvl="4" w:tplc="F7FC2582" w:tentative="1">
      <w:start w:val="1"/>
      <w:numFmt w:val="bullet"/>
      <w:lvlText w:val="o"/>
      <w:lvlJc w:val="left"/>
      <w:pPr>
        <w:tabs>
          <w:tab w:val="num" w:pos="3600"/>
        </w:tabs>
        <w:ind w:left="3600" w:hanging="360"/>
      </w:pPr>
      <w:rPr>
        <w:rFonts w:ascii="Courier New" w:hAnsi="Courier New" w:cs="Courier New" w:hint="default"/>
      </w:rPr>
    </w:lvl>
    <w:lvl w:ilvl="5" w:tplc="3E269E84" w:tentative="1">
      <w:start w:val="1"/>
      <w:numFmt w:val="bullet"/>
      <w:lvlText w:val=""/>
      <w:lvlJc w:val="left"/>
      <w:pPr>
        <w:tabs>
          <w:tab w:val="num" w:pos="4320"/>
        </w:tabs>
        <w:ind w:left="4320" w:hanging="360"/>
      </w:pPr>
      <w:rPr>
        <w:rFonts w:ascii="Wingdings" w:hAnsi="Wingdings" w:hint="default"/>
      </w:rPr>
    </w:lvl>
    <w:lvl w:ilvl="6" w:tplc="9D961D62" w:tentative="1">
      <w:start w:val="1"/>
      <w:numFmt w:val="bullet"/>
      <w:lvlText w:val=""/>
      <w:lvlJc w:val="left"/>
      <w:pPr>
        <w:tabs>
          <w:tab w:val="num" w:pos="5040"/>
        </w:tabs>
        <w:ind w:left="5040" w:hanging="360"/>
      </w:pPr>
      <w:rPr>
        <w:rFonts w:ascii="Symbol" w:hAnsi="Symbol" w:hint="default"/>
      </w:rPr>
    </w:lvl>
    <w:lvl w:ilvl="7" w:tplc="8C82C16E" w:tentative="1">
      <w:start w:val="1"/>
      <w:numFmt w:val="bullet"/>
      <w:lvlText w:val="o"/>
      <w:lvlJc w:val="left"/>
      <w:pPr>
        <w:tabs>
          <w:tab w:val="num" w:pos="5760"/>
        </w:tabs>
        <w:ind w:left="5760" w:hanging="360"/>
      </w:pPr>
      <w:rPr>
        <w:rFonts w:ascii="Courier New" w:hAnsi="Courier New" w:cs="Courier New" w:hint="default"/>
      </w:rPr>
    </w:lvl>
    <w:lvl w:ilvl="8" w:tplc="0A081E1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A2E85142">
      <w:start w:val="1"/>
      <w:numFmt w:val="bullet"/>
      <w:lvlText w:val=""/>
      <w:lvlJc w:val="left"/>
      <w:pPr>
        <w:ind w:left="720" w:hanging="360"/>
      </w:pPr>
      <w:rPr>
        <w:rFonts w:ascii="Symbol" w:hAnsi="Symbol" w:hint="default"/>
      </w:rPr>
    </w:lvl>
    <w:lvl w:ilvl="1" w:tplc="AAA2A8BA" w:tentative="1">
      <w:start w:val="1"/>
      <w:numFmt w:val="bullet"/>
      <w:lvlText w:val="o"/>
      <w:lvlJc w:val="left"/>
      <w:pPr>
        <w:ind w:left="1440" w:hanging="360"/>
      </w:pPr>
      <w:rPr>
        <w:rFonts w:ascii="Courier New" w:hAnsi="Courier New" w:cs="Courier New" w:hint="default"/>
      </w:rPr>
    </w:lvl>
    <w:lvl w:ilvl="2" w:tplc="7BEED20E" w:tentative="1">
      <w:start w:val="1"/>
      <w:numFmt w:val="bullet"/>
      <w:lvlText w:val=""/>
      <w:lvlJc w:val="left"/>
      <w:pPr>
        <w:ind w:left="2160" w:hanging="360"/>
      </w:pPr>
      <w:rPr>
        <w:rFonts w:ascii="Wingdings" w:hAnsi="Wingdings" w:hint="default"/>
      </w:rPr>
    </w:lvl>
    <w:lvl w:ilvl="3" w:tplc="1E2C04A6" w:tentative="1">
      <w:start w:val="1"/>
      <w:numFmt w:val="bullet"/>
      <w:lvlText w:val=""/>
      <w:lvlJc w:val="left"/>
      <w:pPr>
        <w:ind w:left="2880" w:hanging="360"/>
      </w:pPr>
      <w:rPr>
        <w:rFonts w:ascii="Symbol" w:hAnsi="Symbol" w:hint="default"/>
      </w:rPr>
    </w:lvl>
    <w:lvl w:ilvl="4" w:tplc="A9B8A65C" w:tentative="1">
      <w:start w:val="1"/>
      <w:numFmt w:val="bullet"/>
      <w:lvlText w:val="o"/>
      <w:lvlJc w:val="left"/>
      <w:pPr>
        <w:ind w:left="3600" w:hanging="360"/>
      </w:pPr>
      <w:rPr>
        <w:rFonts w:ascii="Courier New" w:hAnsi="Courier New" w:cs="Courier New" w:hint="default"/>
      </w:rPr>
    </w:lvl>
    <w:lvl w:ilvl="5" w:tplc="B6382832" w:tentative="1">
      <w:start w:val="1"/>
      <w:numFmt w:val="bullet"/>
      <w:lvlText w:val=""/>
      <w:lvlJc w:val="left"/>
      <w:pPr>
        <w:ind w:left="4320" w:hanging="360"/>
      </w:pPr>
      <w:rPr>
        <w:rFonts w:ascii="Wingdings" w:hAnsi="Wingdings" w:hint="default"/>
      </w:rPr>
    </w:lvl>
    <w:lvl w:ilvl="6" w:tplc="6EF4E9A8" w:tentative="1">
      <w:start w:val="1"/>
      <w:numFmt w:val="bullet"/>
      <w:lvlText w:val=""/>
      <w:lvlJc w:val="left"/>
      <w:pPr>
        <w:ind w:left="5040" w:hanging="360"/>
      </w:pPr>
      <w:rPr>
        <w:rFonts w:ascii="Symbol" w:hAnsi="Symbol" w:hint="default"/>
      </w:rPr>
    </w:lvl>
    <w:lvl w:ilvl="7" w:tplc="8C10E326" w:tentative="1">
      <w:start w:val="1"/>
      <w:numFmt w:val="bullet"/>
      <w:lvlText w:val="o"/>
      <w:lvlJc w:val="left"/>
      <w:pPr>
        <w:ind w:left="5760" w:hanging="360"/>
      </w:pPr>
      <w:rPr>
        <w:rFonts w:ascii="Courier New" w:hAnsi="Courier New" w:cs="Courier New" w:hint="default"/>
      </w:rPr>
    </w:lvl>
    <w:lvl w:ilvl="8" w:tplc="CD9EB1B2" w:tentative="1">
      <w:start w:val="1"/>
      <w:numFmt w:val="bullet"/>
      <w:lvlText w:val=""/>
      <w:lvlJc w:val="left"/>
      <w:pPr>
        <w:ind w:left="6480" w:hanging="360"/>
      </w:pPr>
      <w:rPr>
        <w:rFonts w:ascii="Wingdings" w:hAnsi="Wingdings" w:hint="default"/>
      </w:rPr>
    </w:lvl>
  </w:abstractNum>
  <w:abstractNum w:abstractNumId="16" w15:restartNumberingAfterBreak="0">
    <w:nsid w:val="1B455BEC"/>
    <w:multiLevelType w:val="hybridMultilevel"/>
    <w:tmpl w:val="7B560E0E"/>
    <w:lvl w:ilvl="0" w:tplc="B8F2C11E">
      <w:start w:val="1"/>
      <w:numFmt w:val="bullet"/>
      <w:lvlText w:val=""/>
      <w:lvlJc w:val="left"/>
      <w:pPr>
        <w:ind w:left="720" w:hanging="360"/>
      </w:pPr>
      <w:rPr>
        <w:rFonts w:ascii="Symbol" w:hAnsi="Symbol" w:hint="default"/>
      </w:rPr>
    </w:lvl>
    <w:lvl w:ilvl="1" w:tplc="3EC2F7C2" w:tentative="1">
      <w:start w:val="1"/>
      <w:numFmt w:val="bullet"/>
      <w:lvlText w:val="o"/>
      <w:lvlJc w:val="left"/>
      <w:pPr>
        <w:ind w:left="1440" w:hanging="360"/>
      </w:pPr>
      <w:rPr>
        <w:rFonts w:ascii="Courier New" w:hAnsi="Courier New" w:cs="Courier New" w:hint="default"/>
      </w:rPr>
    </w:lvl>
    <w:lvl w:ilvl="2" w:tplc="752A4284" w:tentative="1">
      <w:start w:val="1"/>
      <w:numFmt w:val="bullet"/>
      <w:lvlText w:val=""/>
      <w:lvlJc w:val="left"/>
      <w:pPr>
        <w:ind w:left="2160" w:hanging="360"/>
      </w:pPr>
      <w:rPr>
        <w:rFonts w:ascii="Wingdings" w:hAnsi="Wingdings" w:hint="default"/>
      </w:rPr>
    </w:lvl>
    <w:lvl w:ilvl="3" w:tplc="488CA032" w:tentative="1">
      <w:start w:val="1"/>
      <w:numFmt w:val="bullet"/>
      <w:lvlText w:val=""/>
      <w:lvlJc w:val="left"/>
      <w:pPr>
        <w:ind w:left="2880" w:hanging="360"/>
      </w:pPr>
      <w:rPr>
        <w:rFonts w:ascii="Symbol" w:hAnsi="Symbol" w:hint="default"/>
      </w:rPr>
    </w:lvl>
    <w:lvl w:ilvl="4" w:tplc="0A664908" w:tentative="1">
      <w:start w:val="1"/>
      <w:numFmt w:val="bullet"/>
      <w:lvlText w:val="o"/>
      <w:lvlJc w:val="left"/>
      <w:pPr>
        <w:ind w:left="3600" w:hanging="360"/>
      </w:pPr>
      <w:rPr>
        <w:rFonts w:ascii="Courier New" w:hAnsi="Courier New" w:cs="Courier New" w:hint="default"/>
      </w:rPr>
    </w:lvl>
    <w:lvl w:ilvl="5" w:tplc="215AD470" w:tentative="1">
      <w:start w:val="1"/>
      <w:numFmt w:val="bullet"/>
      <w:lvlText w:val=""/>
      <w:lvlJc w:val="left"/>
      <w:pPr>
        <w:ind w:left="4320" w:hanging="360"/>
      </w:pPr>
      <w:rPr>
        <w:rFonts w:ascii="Wingdings" w:hAnsi="Wingdings" w:hint="default"/>
      </w:rPr>
    </w:lvl>
    <w:lvl w:ilvl="6" w:tplc="83141D98" w:tentative="1">
      <w:start w:val="1"/>
      <w:numFmt w:val="bullet"/>
      <w:lvlText w:val=""/>
      <w:lvlJc w:val="left"/>
      <w:pPr>
        <w:ind w:left="5040" w:hanging="360"/>
      </w:pPr>
      <w:rPr>
        <w:rFonts w:ascii="Symbol" w:hAnsi="Symbol" w:hint="default"/>
      </w:rPr>
    </w:lvl>
    <w:lvl w:ilvl="7" w:tplc="DA0CABD4" w:tentative="1">
      <w:start w:val="1"/>
      <w:numFmt w:val="bullet"/>
      <w:lvlText w:val="o"/>
      <w:lvlJc w:val="left"/>
      <w:pPr>
        <w:ind w:left="5760" w:hanging="360"/>
      </w:pPr>
      <w:rPr>
        <w:rFonts w:ascii="Courier New" w:hAnsi="Courier New" w:cs="Courier New" w:hint="default"/>
      </w:rPr>
    </w:lvl>
    <w:lvl w:ilvl="8" w:tplc="6B7E476E"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D836E48"/>
    <w:multiLevelType w:val="hybridMultilevel"/>
    <w:tmpl w:val="F9D61088"/>
    <w:lvl w:ilvl="0" w:tplc="C12A18BC">
      <w:start w:val="1"/>
      <w:numFmt w:val="bullet"/>
      <w:lvlText w:val=""/>
      <w:lvlJc w:val="left"/>
      <w:pPr>
        <w:ind w:left="720" w:hanging="360"/>
      </w:pPr>
      <w:rPr>
        <w:rFonts w:ascii="Symbol" w:hAnsi="Symbol" w:hint="default"/>
      </w:rPr>
    </w:lvl>
    <w:lvl w:ilvl="1" w:tplc="5CEE7C8C" w:tentative="1">
      <w:start w:val="1"/>
      <w:numFmt w:val="bullet"/>
      <w:lvlText w:val="o"/>
      <w:lvlJc w:val="left"/>
      <w:pPr>
        <w:ind w:left="1440" w:hanging="360"/>
      </w:pPr>
      <w:rPr>
        <w:rFonts w:ascii="Courier New" w:hAnsi="Courier New" w:cs="Courier New" w:hint="default"/>
      </w:rPr>
    </w:lvl>
    <w:lvl w:ilvl="2" w:tplc="8FFC3424" w:tentative="1">
      <w:start w:val="1"/>
      <w:numFmt w:val="bullet"/>
      <w:lvlText w:val=""/>
      <w:lvlJc w:val="left"/>
      <w:pPr>
        <w:ind w:left="2160" w:hanging="360"/>
      </w:pPr>
      <w:rPr>
        <w:rFonts w:ascii="Wingdings" w:hAnsi="Wingdings" w:hint="default"/>
      </w:rPr>
    </w:lvl>
    <w:lvl w:ilvl="3" w:tplc="B6FA0656" w:tentative="1">
      <w:start w:val="1"/>
      <w:numFmt w:val="bullet"/>
      <w:lvlText w:val=""/>
      <w:lvlJc w:val="left"/>
      <w:pPr>
        <w:ind w:left="2880" w:hanging="360"/>
      </w:pPr>
      <w:rPr>
        <w:rFonts w:ascii="Symbol" w:hAnsi="Symbol" w:hint="default"/>
      </w:rPr>
    </w:lvl>
    <w:lvl w:ilvl="4" w:tplc="87FE8828" w:tentative="1">
      <w:start w:val="1"/>
      <w:numFmt w:val="bullet"/>
      <w:lvlText w:val="o"/>
      <w:lvlJc w:val="left"/>
      <w:pPr>
        <w:ind w:left="3600" w:hanging="360"/>
      </w:pPr>
      <w:rPr>
        <w:rFonts w:ascii="Courier New" w:hAnsi="Courier New" w:cs="Courier New" w:hint="default"/>
      </w:rPr>
    </w:lvl>
    <w:lvl w:ilvl="5" w:tplc="F468E6B6" w:tentative="1">
      <w:start w:val="1"/>
      <w:numFmt w:val="bullet"/>
      <w:lvlText w:val=""/>
      <w:lvlJc w:val="left"/>
      <w:pPr>
        <w:ind w:left="4320" w:hanging="360"/>
      </w:pPr>
      <w:rPr>
        <w:rFonts w:ascii="Wingdings" w:hAnsi="Wingdings" w:hint="default"/>
      </w:rPr>
    </w:lvl>
    <w:lvl w:ilvl="6" w:tplc="6116F090" w:tentative="1">
      <w:start w:val="1"/>
      <w:numFmt w:val="bullet"/>
      <w:lvlText w:val=""/>
      <w:lvlJc w:val="left"/>
      <w:pPr>
        <w:ind w:left="5040" w:hanging="360"/>
      </w:pPr>
      <w:rPr>
        <w:rFonts w:ascii="Symbol" w:hAnsi="Symbol" w:hint="default"/>
      </w:rPr>
    </w:lvl>
    <w:lvl w:ilvl="7" w:tplc="79A2AB62" w:tentative="1">
      <w:start w:val="1"/>
      <w:numFmt w:val="bullet"/>
      <w:lvlText w:val="o"/>
      <w:lvlJc w:val="left"/>
      <w:pPr>
        <w:ind w:left="5760" w:hanging="360"/>
      </w:pPr>
      <w:rPr>
        <w:rFonts w:ascii="Courier New" w:hAnsi="Courier New" w:cs="Courier New" w:hint="default"/>
      </w:rPr>
    </w:lvl>
    <w:lvl w:ilvl="8" w:tplc="450C567E" w:tentative="1">
      <w:start w:val="1"/>
      <w:numFmt w:val="bullet"/>
      <w:lvlText w:val=""/>
      <w:lvlJc w:val="left"/>
      <w:pPr>
        <w:ind w:left="6480" w:hanging="360"/>
      </w:pPr>
      <w:rPr>
        <w:rFonts w:ascii="Wingdings" w:hAnsi="Wingdings" w:hint="default"/>
      </w:rPr>
    </w:lvl>
  </w:abstractNum>
  <w:abstractNum w:abstractNumId="19"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F5E15C4"/>
    <w:multiLevelType w:val="hybridMultilevel"/>
    <w:tmpl w:val="7CD67E44"/>
    <w:lvl w:ilvl="0" w:tplc="F96EB7AC">
      <w:start w:val="7"/>
      <w:numFmt w:val="decimal"/>
      <w:lvlText w:val="%1."/>
      <w:lvlJc w:val="left"/>
      <w:pPr>
        <w:tabs>
          <w:tab w:val="num" w:pos="720"/>
        </w:tabs>
        <w:ind w:left="720" w:hanging="360"/>
      </w:pPr>
      <w:rPr>
        <w:rFonts w:hint="default"/>
      </w:rPr>
    </w:lvl>
    <w:lvl w:ilvl="1" w:tplc="FA86AC28" w:tentative="1">
      <w:start w:val="1"/>
      <w:numFmt w:val="lowerLetter"/>
      <w:lvlText w:val="%2."/>
      <w:lvlJc w:val="left"/>
      <w:pPr>
        <w:ind w:left="1440" w:hanging="360"/>
      </w:pPr>
    </w:lvl>
    <w:lvl w:ilvl="2" w:tplc="0D28FC48" w:tentative="1">
      <w:start w:val="1"/>
      <w:numFmt w:val="lowerRoman"/>
      <w:lvlText w:val="%3."/>
      <w:lvlJc w:val="right"/>
      <w:pPr>
        <w:ind w:left="2160" w:hanging="180"/>
      </w:pPr>
    </w:lvl>
    <w:lvl w:ilvl="3" w:tplc="F19227E6" w:tentative="1">
      <w:start w:val="1"/>
      <w:numFmt w:val="decimal"/>
      <w:lvlText w:val="%4."/>
      <w:lvlJc w:val="left"/>
      <w:pPr>
        <w:ind w:left="2880" w:hanging="360"/>
      </w:pPr>
    </w:lvl>
    <w:lvl w:ilvl="4" w:tplc="0DBC558E" w:tentative="1">
      <w:start w:val="1"/>
      <w:numFmt w:val="lowerLetter"/>
      <w:lvlText w:val="%5."/>
      <w:lvlJc w:val="left"/>
      <w:pPr>
        <w:ind w:left="3600" w:hanging="360"/>
      </w:pPr>
    </w:lvl>
    <w:lvl w:ilvl="5" w:tplc="8FF87EEE" w:tentative="1">
      <w:start w:val="1"/>
      <w:numFmt w:val="lowerRoman"/>
      <w:lvlText w:val="%6."/>
      <w:lvlJc w:val="right"/>
      <w:pPr>
        <w:ind w:left="4320" w:hanging="180"/>
      </w:pPr>
    </w:lvl>
    <w:lvl w:ilvl="6" w:tplc="D0CA8B4C" w:tentative="1">
      <w:start w:val="1"/>
      <w:numFmt w:val="decimal"/>
      <w:lvlText w:val="%7."/>
      <w:lvlJc w:val="left"/>
      <w:pPr>
        <w:ind w:left="5040" w:hanging="360"/>
      </w:pPr>
    </w:lvl>
    <w:lvl w:ilvl="7" w:tplc="641E2FFC" w:tentative="1">
      <w:start w:val="1"/>
      <w:numFmt w:val="lowerLetter"/>
      <w:lvlText w:val="%8."/>
      <w:lvlJc w:val="left"/>
      <w:pPr>
        <w:ind w:left="5760" w:hanging="360"/>
      </w:pPr>
    </w:lvl>
    <w:lvl w:ilvl="8" w:tplc="2D905F50" w:tentative="1">
      <w:start w:val="1"/>
      <w:numFmt w:val="lowerRoman"/>
      <w:lvlText w:val="%9."/>
      <w:lvlJc w:val="right"/>
      <w:pPr>
        <w:ind w:left="6480" w:hanging="180"/>
      </w:p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07B46F8"/>
    <w:multiLevelType w:val="hybridMultilevel"/>
    <w:tmpl w:val="BA386FA2"/>
    <w:lvl w:ilvl="0" w:tplc="97E23666">
      <w:start w:val="5"/>
      <w:numFmt w:val="decimal"/>
      <w:lvlText w:val="%1."/>
      <w:lvlJc w:val="left"/>
      <w:pPr>
        <w:tabs>
          <w:tab w:val="num" w:pos="570"/>
        </w:tabs>
        <w:ind w:left="570" w:hanging="570"/>
      </w:pPr>
      <w:rPr>
        <w:rFonts w:hint="default"/>
      </w:rPr>
    </w:lvl>
    <w:lvl w:ilvl="1" w:tplc="4386D210" w:tentative="1">
      <w:start w:val="1"/>
      <w:numFmt w:val="lowerLetter"/>
      <w:lvlText w:val="%2."/>
      <w:lvlJc w:val="left"/>
      <w:pPr>
        <w:ind w:left="1440" w:hanging="360"/>
      </w:pPr>
    </w:lvl>
    <w:lvl w:ilvl="2" w:tplc="3F3076EA" w:tentative="1">
      <w:start w:val="1"/>
      <w:numFmt w:val="lowerRoman"/>
      <w:lvlText w:val="%3."/>
      <w:lvlJc w:val="right"/>
      <w:pPr>
        <w:ind w:left="2160" w:hanging="180"/>
      </w:pPr>
    </w:lvl>
    <w:lvl w:ilvl="3" w:tplc="91BEA072" w:tentative="1">
      <w:start w:val="1"/>
      <w:numFmt w:val="decimal"/>
      <w:lvlText w:val="%4."/>
      <w:lvlJc w:val="left"/>
      <w:pPr>
        <w:ind w:left="2880" w:hanging="360"/>
      </w:pPr>
    </w:lvl>
    <w:lvl w:ilvl="4" w:tplc="E71A5D22" w:tentative="1">
      <w:start w:val="1"/>
      <w:numFmt w:val="lowerLetter"/>
      <w:lvlText w:val="%5."/>
      <w:lvlJc w:val="left"/>
      <w:pPr>
        <w:ind w:left="3600" w:hanging="360"/>
      </w:pPr>
    </w:lvl>
    <w:lvl w:ilvl="5" w:tplc="35C40452" w:tentative="1">
      <w:start w:val="1"/>
      <w:numFmt w:val="lowerRoman"/>
      <w:lvlText w:val="%6."/>
      <w:lvlJc w:val="right"/>
      <w:pPr>
        <w:ind w:left="4320" w:hanging="180"/>
      </w:pPr>
    </w:lvl>
    <w:lvl w:ilvl="6" w:tplc="2ACE9B38" w:tentative="1">
      <w:start w:val="1"/>
      <w:numFmt w:val="decimal"/>
      <w:lvlText w:val="%7."/>
      <w:lvlJc w:val="left"/>
      <w:pPr>
        <w:ind w:left="5040" w:hanging="360"/>
      </w:pPr>
    </w:lvl>
    <w:lvl w:ilvl="7" w:tplc="27426A86" w:tentative="1">
      <w:start w:val="1"/>
      <w:numFmt w:val="lowerLetter"/>
      <w:lvlText w:val="%8."/>
      <w:lvlJc w:val="left"/>
      <w:pPr>
        <w:ind w:left="5760" w:hanging="360"/>
      </w:pPr>
    </w:lvl>
    <w:lvl w:ilvl="8" w:tplc="0BBA4E4E" w:tentative="1">
      <w:start w:val="1"/>
      <w:numFmt w:val="lowerRoman"/>
      <w:lvlText w:val="%9."/>
      <w:lvlJc w:val="right"/>
      <w:pPr>
        <w:ind w:left="6480" w:hanging="180"/>
      </w:pPr>
    </w:lvl>
  </w:abstractNum>
  <w:abstractNum w:abstractNumId="24" w15:restartNumberingAfterBreak="0">
    <w:nsid w:val="243A054C"/>
    <w:multiLevelType w:val="hybridMultilevel"/>
    <w:tmpl w:val="C41E6E4C"/>
    <w:lvl w:ilvl="0" w:tplc="8EB67546">
      <w:start w:val="1"/>
      <w:numFmt w:val="bullet"/>
      <w:lvlText w:val=""/>
      <w:lvlJc w:val="left"/>
      <w:pPr>
        <w:tabs>
          <w:tab w:val="num" w:pos="567"/>
        </w:tabs>
        <w:ind w:left="567" w:hanging="567"/>
      </w:pPr>
      <w:rPr>
        <w:rFonts w:ascii="Symbol" w:hAnsi="Symbol" w:cs="Times New Roman" w:hint="default"/>
        <w:sz w:val="20"/>
        <w:szCs w:val="20"/>
      </w:rPr>
    </w:lvl>
    <w:lvl w:ilvl="1" w:tplc="804447D0" w:tentative="1">
      <w:start w:val="1"/>
      <w:numFmt w:val="bullet"/>
      <w:lvlText w:val="o"/>
      <w:lvlJc w:val="left"/>
      <w:pPr>
        <w:tabs>
          <w:tab w:val="num" w:pos="1440"/>
        </w:tabs>
        <w:ind w:left="1440" w:hanging="360"/>
      </w:pPr>
      <w:rPr>
        <w:rFonts w:ascii="Courier New" w:hAnsi="Courier New" w:cs="Courier New" w:hint="default"/>
      </w:rPr>
    </w:lvl>
    <w:lvl w:ilvl="2" w:tplc="538EF58C" w:tentative="1">
      <w:start w:val="1"/>
      <w:numFmt w:val="bullet"/>
      <w:lvlText w:val=""/>
      <w:lvlJc w:val="left"/>
      <w:pPr>
        <w:tabs>
          <w:tab w:val="num" w:pos="2160"/>
        </w:tabs>
        <w:ind w:left="2160" w:hanging="360"/>
      </w:pPr>
      <w:rPr>
        <w:rFonts w:ascii="Wingdings" w:hAnsi="Wingdings" w:hint="default"/>
      </w:rPr>
    </w:lvl>
    <w:lvl w:ilvl="3" w:tplc="9E72F452" w:tentative="1">
      <w:start w:val="1"/>
      <w:numFmt w:val="bullet"/>
      <w:lvlText w:val=""/>
      <w:lvlJc w:val="left"/>
      <w:pPr>
        <w:tabs>
          <w:tab w:val="num" w:pos="2880"/>
        </w:tabs>
        <w:ind w:left="2880" w:hanging="360"/>
      </w:pPr>
      <w:rPr>
        <w:rFonts w:ascii="Symbol" w:hAnsi="Symbol" w:hint="default"/>
      </w:rPr>
    </w:lvl>
    <w:lvl w:ilvl="4" w:tplc="88B28CAE" w:tentative="1">
      <w:start w:val="1"/>
      <w:numFmt w:val="bullet"/>
      <w:lvlText w:val="o"/>
      <w:lvlJc w:val="left"/>
      <w:pPr>
        <w:tabs>
          <w:tab w:val="num" w:pos="3600"/>
        </w:tabs>
        <w:ind w:left="3600" w:hanging="360"/>
      </w:pPr>
      <w:rPr>
        <w:rFonts w:ascii="Courier New" w:hAnsi="Courier New" w:cs="Courier New" w:hint="default"/>
      </w:rPr>
    </w:lvl>
    <w:lvl w:ilvl="5" w:tplc="5DEEFF3A" w:tentative="1">
      <w:start w:val="1"/>
      <w:numFmt w:val="bullet"/>
      <w:lvlText w:val=""/>
      <w:lvlJc w:val="left"/>
      <w:pPr>
        <w:tabs>
          <w:tab w:val="num" w:pos="4320"/>
        </w:tabs>
        <w:ind w:left="4320" w:hanging="360"/>
      </w:pPr>
      <w:rPr>
        <w:rFonts w:ascii="Wingdings" w:hAnsi="Wingdings" w:hint="default"/>
      </w:rPr>
    </w:lvl>
    <w:lvl w:ilvl="6" w:tplc="D8A0F97C" w:tentative="1">
      <w:start w:val="1"/>
      <w:numFmt w:val="bullet"/>
      <w:lvlText w:val=""/>
      <w:lvlJc w:val="left"/>
      <w:pPr>
        <w:tabs>
          <w:tab w:val="num" w:pos="5040"/>
        </w:tabs>
        <w:ind w:left="5040" w:hanging="360"/>
      </w:pPr>
      <w:rPr>
        <w:rFonts w:ascii="Symbol" w:hAnsi="Symbol" w:hint="default"/>
      </w:rPr>
    </w:lvl>
    <w:lvl w:ilvl="7" w:tplc="C3B45912" w:tentative="1">
      <w:start w:val="1"/>
      <w:numFmt w:val="bullet"/>
      <w:lvlText w:val="o"/>
      <w:lvlJc w:val="left"/>
      <w:pPr>
        <w:tabs>
          <w:tab w:val="num" w:pos="5760"/>
        </w:tabs>
        <w:ind w:left="5760" w:hanging="360"/>
      </w:pPr>
      <w:rPr>
        <w:rFonts w:ascii="Courier New" w:hAnsi="Courier New" w:cs="Courier New" w:hint="default"/>
      </w:rPr>
    </w:lvl>
    <w:lvl w:ilvl="8" w:tplc="74E625F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0F2362"/>
    <w:multiLevelType w:val="hybridMultilevel"/>
    <w:tmpl w:val="D7D8352E"/>
    <w:lvl w:ilvl="0" w:tplc="3FECCA96">
      <w:start w:val="1"/>
      <w:numFmt w:val="bullet"/>
      <w:lvlText w:val=""/>
      <w:lvlJc w:val="left"/>
      <w:pPr>
        <w:tabs>
          <w:tab w:val="num" w:pos="360"/>
        </w:tabs>
        <w:ind w:left="360" w:hanging="360"/>
      </w:pPr>
      <w:rPr>
        <w:rFonts w:ascii="Symbol" w:hAnsi="Symbol" w:hint="default"/>
      </w:rPr>
    </w:lvl>
    <w:lvl w:ilvl="1" w:tplc="79F41180" w:tentative="1">
      <w:start w:val="1"/>
      <w:numFmt w:val="bullet"/>
      <w:lvlText w:val="o"/>
      <w:lvlJc w:val="left"/>
      <w:pPr>
        <w:tabs>
          <w:tab w:val="num" w:pos="1440"/>
        </w:tabs>
        <w:ind w:left="1440" w:hanging="360"/>
      </w:pPr>
      <w:rPr>
        <w:rFonts w:ascii="Courier New" w:hAnsi="Courier New" w:cs="Courier New" w:hint="default"/>
      </w:rPr>
    </w:lvl>
    <w:lvl w:ilvl="2" w:tplc="D5EC4754" w:tentative="1">
      <w:start w:val="1"/>
      <w:numFmt w:val="bullet"/>
      <w:lvlText w:val=""/>
      <w:lvlJc w:val="left"/>
      <w:pPr>
        <w:tabs>
          <w:tab w:val="num" w:pos="2160"/>
        </w:tabs>
        <w:ind w:left="2160" w:hanging="360"/>
      </w:pPr>
      <w:rPr>
        <w:rFonts w:ascii="Wingdings" w:hAnsi="Wingdings" w:hint="default"/>
      </w:rPr>
    </w:lvl>
    <w:lvl w:ilvl="3" w:tplc="D5386A20" w:tentative="1">
      <w:start w:val="1"/>
      <w:numFmt w:val="bullet"/>
      <w:lvlText w:val=""/>
      <w:lvlJc w:val="left"/>
      <w:pPr>
        <w:tabs>
          <w:tab w:val="num" w:pos="2880"/>
        </w:tabs>
        <w:ind w:left="2880" w:hanging="360"/>
      </w:pPr>
      <w:rPr>
        <w:rFonts w:ascii="Symbol" w:hAnsi="Symbol" w:hint="default"/>
      </w:rPr>
    </w:lvl>
    <w:lvl w:ilvl="4" w:tplc="DBF03554" w:tentative="1">
      <w:start w:val="1"/>
      <w:numFmt w:val="bullet"/>
      <w:lvlText w:val="o"/>
      <w:lvlJc w:val="left"/>
      <w:pPr>
        <w:tabs>
          <w:tab w:val="num" w:pos="3600"/>
        </w:tabs>
        <w:ind w:left="3600" w:hanging="360"/>
      </w:pPr>
      <w:rPr>
        <w:rFonts w:ascii="Courier New" w:hAnsi="Courier New" w:cs="Courier New" w:hint="default"/>
      </w:rPr>
    </w:lvl>
    <w:lvl w:ilvl="5" w:tplc="54B89CF2" w:tentative="1">
      <w:start w:val="1"/>
      <w:numFmt w:val="bullet"/>
      <w:lvlText w:val=""/>
      <w:lvlJc w:val="left"/>
      <w:pPr>
        <w:tabs>
          <w:tab w:val="num" w:pos="4320"/>
        </w:tabs>
        <w:ind w:left="4320" w:hanging="360"/>
      </w:pPr>
      <w:rPr>
        <w:rFonts w:ascii="Wingdings" w:hAnsi="Wingdings" w:hint="default"/>
      </w:rPr>
    </w:lvl>
    <w:lvl w:ilvl="6" w:tplc="9B5E071A" w:tentative="1">
      <w:start w:val="1"/>
      <w:numFmt w:val="bullet"/>
      <w:lvlText w:val=""/>
      <w:lvlJc w:val="left"/>
      <w:pPr>
        <w:tabs>
          <w:tab w:val="num" w:pos="5040"/>
        </w:tabs>
        <w:ind w:left="5040" w:hanging="360"/>
      </w:pPr>
      <w:rPr>
        <w:rFonts w:ascii="Symbol" w:hAnsi="Symbol" w:hint="default"/>
      </w:rPr>
    </w:lvl>
    <w:lvl w:ilvl="7" w:tplc="E0EC5846" w:tentative="1">
      <w:start w:val="1"/>
      <w:numFmt w:val="bullet"/>
      <w:lvlText w:val="o"/>
      <w:lvlJc w:val="left"/>
      <w:pPr>
        <w:tabs>
          <w:tab w:val="num" w:pos="5760"/>
        </w:tabs>
        <w:ind w:left="5760" w:hanging="360"/>
      </w:pPr>
      <w:rPr>
        <w:rFonts w:ascii="Courier New" w:hAnsi="Courier New" w:cs="Courier New" w:hint="default"/>
      </w:rPr>
    </w:lvl>
    <w:lvl w:ilvl="8" w:tplc="08DADBF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9F2CC0"/>
    <w:multiLevelType w:val="hybridMultilevel"/>
    <w:tmpl w:val="0E3EB9CC"/>
    <w:lvl w:ilvl="0" w:tplc="BD12D9CC">
      <w:start w:val="1"/>
      <w:numFmt w:val="bullet"/>
      <w:lvlText w:val=""/>
      <w:lvlJc w:val="left"/>
      <w:pPr>
        <w:ind w:left="720" w:hanging="360"/>
      </w:pPr>
      <w:rPr>
        <w:rFonts w:ascii="Symbol" w:hAnsi="Symbol" w:hint="default"/>
      </w:rPr>
    </w:lvl>
    <w:lvl w:ilvl="1" w:tplc="28A4695A" w:tentative="1">
      <w:start w:val="1"/>
      <w:numFmt w:val="bullet"/>
      <w:lvlText w:val="o"/>
      <w:lvlJc w:val="left"/>
      <w:pPr>
        <w:ind w:left="1440" w:hanging="360"/>
      </w:pPr>
      <w:rPr>
        <w:rFonts w:ascii="Courier New" w:hAnsi="Courier New" w:cs="Courier New" w:hint="default"/>
      </w:rPr>
    </w:lvl>
    <w:lvl w:ilvl="2" w:tplc="FD8CA00A" w:tentative="1">
      <w:start w:val="1"/>
      <w:numFmt w:val="bullet"/>
      <w:lvlText w:val=""/>
      <w:lvlJc w:val="left"/>
      <w:pPr>
        <w:ind w:left="2160" w:hanging="360"/>
      </w:pPr>
      <w:rPr>
        <w:rFonts w:ascii="Wingdings" w:hAnsi="Wingdings" w:hint="default"/>
      </w:rPr>
    </w:lvl>
    <w:lvl w:ilvl="3" w:tplc="1F8E0756" w:tentative="1">
      <w:start w:val="1"/>
      <w:numFmt w:val="bullet"/>
      <w:lvlText w:val=""/>
      <w:lvlJc w:val="left"/>
      <w:pPr>
        <w:ind w:left="2880" w:hanging="360"/>
      </w:pPr>
      <w:rPr>
        <w:rFonts w:ascii="Symbol" w:hAnsi="Symbol" w:hint="default"/>
      </w:rPr>
    </w:lvl>
    <w:lvl w:ilvl="4" w:tplc="AB8A484C" w:tentative="1">
      <w:start w:val="1"/>
      <w:numFmt w:val="bullet"/>
      <w:lvlText w:val="o"/>
      <w:lvlJc w:val="left"/>
      <w:pPr>
        <w:ind w:left="3600" w:hanging="360"/>
      </w:pPr>
      <w:rPr>
        <w:rFonts w:ascii="Courier New" w:hAnsi="Courier New" w:cs="Courier New" w:hint="default"/>
      </w:rPr>
    </w:lvl>
    <w:lvl w:ilvl="5" w:tplc="1B48DCA0" w:tentative="1">
      <w:start w:val="1"/>
      <w:numFmt w:val="bullet"/>
      <w:lvlText w:val=""/>
      <w:lvlJc w:val="left"/>
      <w:pPr>
        <w:ind w:left="4320" w:hanging="360"/>
      </w:pPr>
      <w:rPr>
        <w:rFonts w:ascii="Wingdings" w:hAnsi="Wingdings" w:hint="default"/>
      </w:rPr>
    </w:lvl>
    <w:lvl w:ilvl="6" w:tplc="7E18FD02" w:tentative="1">
      <w:start w:val="1"/>
      <w:numFmt w:val="bullet"/>
      <w:lvlText w:val=""/>
      <w:lvlJc w:val="left"/>
      <w:pPr>
        <w:ind w:left="5040" w:hanging="360"/>
      </w:pPr>
      <w:rPr>
        <w:rFonts w:ascii="Symbol" w:hAnsi="Symbol" w:hint="default"/>
      </w:rPr>
    </w:lvl>
    <w:lvl w:ilvl="7" w:tplc="036C8268" w:tentative="1">
      <w:start w:val="1"/>
      <w:numFmt w:val="bullet"/>
      <w:lvlText w:val="o"/>
      <w:lvlJc w:val="left"/>
      <w:pPr>
        <w:ind w:left="5760" w:hanging="360"/>
      </w:pPr>
      <w:rPr>
        <w:rFonts w:ascii="Courier New" w:hAnsi="Courier New" w:cs="Courier New" w:hint="default"/>
      </w:rPr>
    </w:lvl>
    <w:lvl w:ilvl="8" w:tplc="36D62BE6" w:tentative="1">
      <w:start w:val="1"/>
      <w:numFmt w:val="bullet"/>
      <w:lvlText w:val=""/>
      <w:lvlJc w:val="left"/>
      <w:pPr>
        <w:ind w:left="6480" w:hanging="360"/>
      </w:pPr>
      <w:rPr>
        <w:rFonts w:ascii="Wingdings" w:hAnsi="Wingdings" w:hint="default"/>
      </w:rPr>
    </w:lvl>
  </w:abstractNum>
  <w:abstractNum w:abstractNumId="27"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8" w15:restartNumberingAfterBreak="0">
    <w:nsid w:val="2BC43FC8"/>
    <w:multiLevelType w:val="hybridMultilevel"/>
    <w:tmpl w:val="D5664704"/>
    <w:lvl w:ilvl="0" w:tplc="57E08FE2">
      <w:start w:val="1"/>
      <w:numFmt w:val="bullet"/>
      <w:lvlText w:val=""/>
      <w:lvlJc w:val="left"/>
      <w:pPr>
        <w:ind w:left="567" w:hanging="567"/>
      </w:pPr>
      <w:rPr>
        <w:rFonts w:ascii="Symbol" w:hAnsi="Symbol" w:hint="default"/>
      </w:rPr>
    </w:lvl>
    <w:lvl w:ilvl="1" w:tplc="725E1D3A" w:tentative="1">
      <w:start w:val="1"/>
      <w:numFmt w:val="bullet"/>
      <w:lvlText w:val="o"/>
      <w:lvlJc w:val="left"/>
      <w:pPr>
        <w:ind w:left="1080" w:hanging="360"/>
      </w:pPr>
      <w:rPr>
        <w:rFonts w:ascii="Courier New" w:hAnsi="Courier New" w:cs="Courier New" w:hint="default"/>
      </w:rPr>
    </w:lvl>
    <w:lvl w:ilvl="2" w:tplc="9BCAFD4A" w:tentative="1">
      <w:start w:val="1"/>
      <w:numFmt w:val="bullet"/>
      <w:lvlText w:val=""/>
      <w:lvlJc w:val="left"/>
      <w:pPr>
        <w:ind w:left="1800" w:hanging="360"/>
      </w:pPr>
      <w:rPr>
        <w:rFonts w:ascii="Wingdings" w:hAnsi="Wingdings" w:hint="default"/>
      </w:rPr>
    </w:lvl>
    <w:lvl w:ilvl="3" w:tplc="BB509C36" w:tentative="1">
      <w:start w:val="1"/>
      <w:numFmt w:val="bullet"/>
      <w:lvlText w:val=""/>
      <w:lvlJc w:val="left"/>
      <w:pPr>
        <w:ind w:left="2520" w:hanging="360"/>
      </w:pPr>
      <w:rPr>
        <w:rFonts w:ascii="Symbol" w:hAnsi="Symbol" w:hint="default"/>
      </w:rPr>
    </w:lvl>
    <w:lvl w:ilvl="4" w:tplc="5C08070E" w:tentative="1">
      <w:start w:val="1"/>
      <w:numFmt w:val="bullet"/>
      <w:lvlText w:val="o"/>
      <w:lvlJc w:val="left"/>
      <w:pPr>
        <w:ind w:left="3240" w:hanging="360"/>
      </w:pPr>
      <w:rPr>
        <w:rFonts w:ascii="Courier New" w:hAnsi="Courier New" w:cs="Courier New" w:hint="default"/>
      </w:rPr>
    </w:lvl>
    <w:lvl w:ilvl="5" w:tplc="221030FC" w:tentative="1">
      <w:start w:val="1"/>
      <w:numFmt w:val="bullet"/>
      <w:lvlText w:val=""/>
      <w:lvlJc w:val="left"/>
      <w:pPr>
        <w:ind w:left="3960" w:hanging="360"/>
      </w:pPr>
      <w:rPr>
        <w:rFonts w:ascii="Wingdings" w:hAnsi="Wingdings" w:hint="default"/>
      </w:rPr>
    </w:lvl>
    <w:lvl w:ilvl="6" w:tplc="7CFC5FF6" w:tentative="1">
      <w:start w:val="1"/>
      <w:numFmt w:val="bullet"/>
      <w:lvlText w:val=""/>
      <w:lvlJc w:val="left"/>
      <w:pPr>
        <w:ind w:left="4680" w:hanging="360"/>
      </w:pPr>
      <w:rPr>
        <w:rFonts w:ascii="Symbol" w:hAnsi="Symbol" w:hint="default"/>
      </w:rPr>
    </w:lvl>
    <w:lvl w:ilvl="7" w:tplc="C5DC0EE0" w:tentative="1">
      <w:start w:val="1"/>
      <w:numFmt w:val="bullet"/>
      <w:lvlText w:val="o"/>
      <w:lvlJc w:val="left"/>
      <w:pPr>
        <w:ind w:left="5400" w:hanging="360"/>
      </w:pPr>
      <w:rPr>
        <w:rFonts w:ascii="Courier New" w:hAnsi="Courier New" w:cs="Courier New" w:hint="default"/>
      </w:rPr>
    </w:lvl>
    <w:lvl w:ilvl="8" w:tplc="07F83896" w:tentative="1">
      <w:start w:val="1"/>
      <w:numFmt w:val="bullet"/>
      <w:lvlText w:val=""/>
      <w:lvlJc w:val="left"/>
      <w:pPr>
        <w:ind w:left="6120" w:hanging="360"/>
      </w:pPr>
      <w:rPr>
        <w:rFonts w:ascii="Wingdings" w:hAnsi="Wingdings" w:hint="default"/>
      </w:rPr>
    </w:lvl>
  </w:abstractNum>
  <w:abstractNum w:abstractNumId="29"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30" w15:restartNumberingAfterBreak="0">
    <w:nsid w:val="2C4F210F"/>
    <w:multiLevelType w:val="hybridMultilevel"/>
    <w:tmpl w:val="0F185534"/>
    <w:lvl w:ilvl="0" w:tplc="03D44C14">
      <w:start w:val="1"/>
      <w:numFmt w:val="bullet"/>
      <w:lvlText w:val=""/>
      <w:lvlJc w:val="left"/>
      <w:pPr>
        <w:ind w:left="720" w:hanging="360"/>
      </w:pPr>
      <w:rPr>
        <w:rFonts w:ascii="Symbol" w:hAnsi="Symbol" w:hint="default"/>
      </w:rPr>
    </w:lvl>
    <w:lvl w:ilvl="1" w:tplc="2AD81EBE" w:tentative="1">
      <w:start w:val="1"/>
      <w:numFmt w:val="bullet"/>
      <w:lvlText w:val="o"/>
      <w:lvlJc w:val="left"/>
      <w:pPr>
        <w:ind w:left="1440" w:hanging="360"/>
      </w:pPr>
      <w:rPr>
        <w:rFonts w:ascii="Courier New" w:hAnsi="Courier New" w:cs="Courier New" w:hint="default"/>
      </w:rPr>
    </w:lvl>
    <w:lvl w:ilvl="2" w:tplc="B2421786" w:tentative="1">
      <w:start w:val="1"/>
      <w:numFmt w:val="bullet"/>
      <w:lvlText w:val=""/>
      <w:lvlJc w:val="left"/>
      <w:pPr>
        <w:ind w:left="2160" w:hanging="360"/>
      </w:pPr>
      <w:rPr>
        <w:rFonts w:ascii="Wingdings" w:hAnsi="Wingdings" w:hint="default"/>
      </w:rPr>
    </w:lvl>
    <w:lvl w:ilvl="3" w:tplc="CC1252EE" w:tentative="1">
      <w:start w:val="1"/>
      <w:numFmt w:val="bullet"/>
      <w:lvlText w:val=""/>
      <w:lvlJc w:val="left"/>
      <w:pPr>
        <w:ind w:left="2880" w:hanging="360"/>
      </w:pPr>
      <w:rPr>
        <w:rFonts w:ascii="Symbol" w:hAnsi="Symbol" w:hint="default"/>
      </w:rPr>
    </w:lvl>
    <w:lvl w:ilvl="4" w:tplc="D0D038E0" w:tentative="1">
      <w:start w:val="1"/>
      <w:numFmt w:val="bullet"/>
      <w:lvlText w:val="o"/>
      <w:lvlJc w:val="left"/>
      <w:pPr>
        <w:ind w:left="3600" w:hanging="360"/>
      </w:pPr>
      <w:rPr>
        <w:rFonts w:ascii="Courier New" w:hAnsi="Courier New" w:cs="Courier New" w:hint="default"/>
      </w:rPr>
    </w:lvl>
    <w:lvl w:ilvl="5" w:tplc="6F184824" w:tentative="1">
      <w:start w:val="1"/>
      <w:numFmt w:val="bullet"/>
      <w:lvlText w:val=""/>
      <w:lvlJc w:val="left"/>
      <w:pPr>
        <w:ind w:left="4320" w:hanging="360"/>
      </w:pPr>
      <w:rPr>
        <w:rFonts w:ascii="Wingdings" w:hAnsi="Wingdings" w:hint="default"/>
      </w:rPr>
    </w:lvl>
    <w:lvl w:ilvl="6" w:tplc="E084E9BC" w:tentative="1">
      <w:start w:val="1"/>
      <w:numFmt w:val="bullet"/>
      <w:lvlText w:val=""/>
      <w:lvlJc w:val="left"/>
      <w:pPr>
        <w:ind w:left="5040" w:hanging="360"/>
      </w:pPr>
      <w:rPr>
        <w:rFonts w:ascii="Symbol" w:hAnsi="Symbol" w:hint="default"/>
      </w:rPr>
    </w:lvl>
    <w:lvl w:ilvl="7" w:tplc="6F988F8C" w:tentative="1">
      <w:start w:val="1"/>
      <w:numFmt w:val="bullet"/>
      <w:lvlText w:val="o"/>
      <w:lvlJc w:val="left"/>
      <w:pPr>
        <w:ind w:left="5760" w:hanging="360"/>
      </w:pPr>
      <w:rPr>
        <w:rFonts w:ascii="Courier New" w:hAnsi="Courier New" w:cs="Courier New" w:hint="default"/>
      </w:rPr>
    </w:lvl>
    <w:lvl w:ilvl="8" w:tplc="77AC9772" w:tentative="1">
      <w:start w:val="1"/>
      <w:numFmt w:val="bullet"/>
      <w:lvlText w:val=""/>
      <w:lvlJc w:val="left"/>
      <w:pPr>
        <w:ind w:left="6480" w:hanging="360"/>
      </w:pPr>
      <w:rPr>
        <w:rFonts w:ascii="Wingdings" w:hAnsi="Wingdings" w:hint="default"/>
      </w:rPr>
    </w:lvl>
  </w:abstractNum>
  <w:abstractNum w:abstractNumId="31" w15:restartNumberingAfterBreak="0">
    <w:nsid w:val="2E541609"/>
    <w:multiLevelType w:val="hybridMultilevel"/>
    <w:tmpl w:val="1E5AABE8"/>
    <w:lvl w:ilvl="0" w:tplc="A4B0780C">
      <w:start w:val="1"/>
      <w:numFmt w:val="decimal"/>
      <w:lvlText w:val="%1."/>
      <w:lvlJc w:val="left"/>
      <w:pPr>
        <w:tabs>
          <w:tab w:val="num" w:pos="570"/>
        </w:tabs>
        <w:ind w:left="570" w:hanging="570"/>
      </w:pPr>
      <w:rPr>
        <w:rFonts w:hint="default"/>
      </w:rPr>
    </w:lvl>
    <w:lvl w:ilvl="1" w:tplc="FF3E8602" w:tentative="1">
      <w:start w:val="1"/>
      <w:numFmt w:val="lowerLetter"/>
      <w:lvlText w:val="%2."/>
      <w:lvlJc w:val="left"/>
      <w:pPr>
        <w:tabs>
          <w:tab w:val="num" w:pos="1080"/>
        </w:tabs>
        <w:ind w:left="1080" w:hanging="360"/>
      </w:pPr>
    </w:lvl>
    <w:lvl w:ilvl="2" w:tplc="6562CE14" w:tentative="1">
      <w:start w:val="1"/>
      <w:numFmt w:val="lowerRoman"/>
      <w:lvlText w:val="%3."/>
      <w:lvlJc w:val="right"/>
      <w:pPr>
        <w:tabs>
          <w:tab w:val="num" w:pos="1800"/>
        </w:tabs>
        <w:ind w:left="1800" w:hanging="180"/>
      </w:pPr>
    </w:lvl>
    <w:lvl w:ilvl="3" w:tplc="4C502914" w:tentative="1">
      <w:start w:val="1"/>
      <w:numFmt w:val="decimal"/>
      <w:lvlText w:val="%4."/>
      <w:lvlJc w:val="left"/>
      <w:pPr>
        <w:tabs>
          <w:tab w:val="num" w:pos="2520"/>
        </w:tabs>
        <w:ind w:left="2520" w:hanging="360"/>
      </w:pPr>
    </w:lvl>
    <w:lvl w:ilvl="4" w:tplc="385EF750" w:tentative="1">
      <w:start w:val="1"/>
      <w:numFmt w:val="lowerLetter"/>
      <w:lvlText w:val="%5."/>
      <w:lvlJc w:val="left"/>
      <w:pPr>
        <w:tabs>
          <w:tab w:val="num" w:pos="3240"/>
        </w:tabs>
        <w:ind w:left="3240" w:hanging="360"/>
      </w:pPr>
    </w:lvl>
    <w:lvl w:ilvl="5" w:tplc="6E72A6C4" w:tentative="1">
      <w:start w:val="1"/>
      <w:numFmt w:val="lowerRoman"/>
      <w:lvlText w:val="%6."/>
      <w:lvlJc w:val="right"/>
      <w:pPr>
        <w:tabs>
          <w:tab w:val="num" w:pos="3960"/>
        </w:tabs>
        <w:ind w:left="3960" w:hanging="180"/>
      </w:pPr>
    </w:lvl>
    <w:lvl w:ilvl="6" w:tplc="2F6E11DC" w:tentative="1">
      <w:start w:val="1"/>
      <w:numFmt w:val="decimal"/>
      <w:lvlText w:val="%7."/>
      <w:lvlJc w:val="left"/>
      <w:pPr>
        <w:tabs>
          <w:tab w:val="num" w:pos="4680"/>
        </w:tabs>
        <w:ind w:left="4680" w:hanging="360"/>
      </w:pPr>
    </w:lvl>
    <w:lvl w:ilvl="7" w:tplc="7A9E8B46" w:tentative="1">
      <w:start w:val="1"/>
      <w:numFmt w:val="lowerLetter"/>
      <w:lvlText w:val="%8."/>
      <w:lvlJc w:val="left"/>
      <w:pPr>
        <w:tabs>
          <w:tab w:val="num" w:pos="5400"/>
        </w:tabs>
        <w:ind w:left="5400" w:hanging="360"/>
      </w:pPr>
    </w:lvl>
    <w:lvl w:ilvl="8" w:tplc="89761990" w:tentative="1">
      <w:start w:val="1"/>
      <w:numFmt w:val="lowerRoman"/>
      <w:lvlText w:val="%9."/>
      <w:lvlJc w:val="right"/>
      <w:pPr>
        <w:tabs>
          <w:tab w:val="num" w:pos="6120"/>
        </w:tabs>
        <w:ind w:left="6120" w:hanging="180"/>
      </w:pPr>
    </w:lvl>
  </w:abstractNum>
  <w:abstractNum w:abstractNumId="32" w15:restartNumberingAfterBreak="0">
    <w:nsid w:val="2E5E0729"/>
    <w:multiLevelType w:val="hybridMultilevel"/>
    <w:tmpl w:val="C40C781C"/>
    <w:lvl w:ilvl="0" w:tplc="40B4A7FA">
      <w:start w:val="1"/>
      <w:numFmt w:val="bullet"/>
      <w:lvlText w:val=""/>
      <w:lvlJc w:val="left"/>
      <w:pPr>
        <w:ind w:left="720" w:hanging="360"/>
      </w:pPr>
      <w:rPr>
        <w:rFonts w:ascii="Symbol" w:hAnsi="Symbol" w:hint="default"/>
      </w:rPr>
    </w:lvl>
    <w:lvl w:ilvl="1" w:tplc="9E8013CA" w:tentative="1">
      <w:start w:val="1"/>
      <w:numFmt w:val="bullet"/>
      <w:lvlText w:val="o"/>
      <w:lvlJc w:val="left"/>
      <w:pPr>
        <w:ind w:left="1440" w:hanging="360"/>
      </w:pPr>
      <w:rPr>
        <w:rFonts w:ascii="Courier New" w:hAnsi="Courier New" w:cs="Courier New" w:hint="default"/>
      </w:rPr>
    </w:lvl>
    <w:lvl w:ilvl="2" w:tplc="7B665898" w:tentative="1">
      <w:start w:val="1"/>
      <w:numFmt w:val="bullet"/>
      <w:lvlText w:val=""/>
      <w:lvlJc w:val="left"/>
      <w:pPr>
        <w:ind w:left="2160" w:hanging="360"/>
      </w:pPr>
      <w:rPr>
        <w:rFonts w:ascii="Wingdings" w:hAnsi="Wingdings" w:hint="default"/>
      </w:rPr>
    </w:lvl>
    <w:lvl w:ilvl="3" w:tplc="521215F8" w:tentative="1">
      <w:start w:val="1"/>
      <w:numFmt w:val="bullet"/>
      <w:lvlText w:val=""/>
      <w:lvlJc w:val="left"/>
      <w:pPr>
        <w:ind w:left="2880" w:hanging="360"/>
      </w:pPr>
      <w:rPr>
        <w:rFonts w:ascii="Symbol" w:hAnsi="Symbol" w:hint="default"/>
      </w:rPr>
    </w:lvl>
    <w:lvl w:ilvl="4" w:tplc="43521F74" w:tentative="1">
      <w:start w:val="1"/>
      <w:numFmt w:val="bullet"/>
      <w:lvlText w:val="o"/>
      <w:lvlJc w:val="left"/>
      <w:pPr>
        <w:ind w:left="3600" w:hanging="360"/>
      </w:pPr>
      <w:rPr>
        <w:rFonts w:ascii="Courier New" w:hAnsi="Courier New" w:cs="Courier New" w:hint="default"/>
      </w:rPr>
    </w:lvl>
    <w:lvl w:ilvl="5" w:tplc="FA648A1C" w:tentative="1">
      <w:start w:val="1"/>
      <w:numFmt w:val="bullet"/>
      <w:lvlText w:val=""/>
      <w:lvlJc w:val="left"/>
      <w:pPr>
        <w:ind w:left="4320" w:hanging="360"/>
      </w:pPr>
      <w:rPr>
        <w:rFonts w:ascii="Wingdings" w:hAnsi="Wingdings" w:hint="default"/>
      </w:rPr>
    </w:lvl>
    <w:lvl w:ilvl="6" w:tplc="DBC4694C" w:tentative="1">
      <w:start w:val="1"/>
      <w:numFmt w:val="bullet"/>
      <w:lvlText w:val=""/>
      <w:lvlJc w:val="left"/>
      <w:pPr>
        <w:ind w:left="5040" w:hanging="360"/>
      </w:pPr>
      <w:rPr>
        <w:rFonts w:ascii="Symbol" w:hAnsi="Symbol" w:hint="default"/>
      </w:rPr>
    </w:lvl>
    <w:lvl w:ilvl="7" w:tplc="F4B09AA8" w:tentative="1">
      <w:start w:val="1"/>
      <w:numFmt w:val="bullet"/>
      <w:lvlText w:val="o"/>
      <w:lvlJc w:val="left"/>
      <w:pPr>
        <w:ind w:left="5760" w:hanging="360"/>
      </w:pPr>
      <w:rPr>
        <w:rFonts w:ascii="Courier New" w:hAnsi="Courier New" w:cs="Courier New" w:hint="default"/>
      </w:rPr>
    </w:lvl>
    <w:lvl w:ilvl="8" w:tplc="CB18E9EE" w:tentative="1">
      <w:start w:val="1"/>
      <w:numFmt w:val="bullet"/>
      <w:lvlText w:val=""/>
      <w:lvlJc w:val="left"/>
      <w:pPr>
        <w:ind w:left="6480" w:hanging="360"/>
      </w:pPr>
      <w:rPr>
        <w:rFonts w:ascii="Wingdings" w:hAnsi="Wingdings" w:hint="default"/>
      </w:rPr>
    </w:lvl>
  </w:abstractNum>
  <w:abstractNum w:abstractNumId="33" w15:restartNumberingAfterBreak="0">
    <w:nsid w:val="2F3F4851"/>
    <w:multiLevelType w:val="hybridMultilevel"/>
    <w:tmpl w:val="1966AB26"/>
    <w:lvl w:ilvl="0" w:tplc="DDD4BC4C">
      <w:start w:val="1"/>
      <w:numFmt w:val="bullet"/>
      <w:lvlText w:val=""/>
      <w:lvlJc w:val="left"/>
      <w:pPr>
        <w:ind w:left="720" w:hanging="360"/>
      </w:pPr>
      <w:rPr>
        <w:rFonts w:ascii="Symbol" w:hAnsi="Symbol" w:hint="default"/>
      </w:rPr>
    </w:lvl>
    <w:lvl w:ilvl="1" w:tplc="3DFEC6EC" w:tentative="1">
      <w:start w:val="1"/>
      <w:numFmt w:val="bullet"/>
      <w:lvlText w:val="o"/>
      <w:lvlJc w:val="left"/>
      <w:pPr>
        <w:ind w:left="1440" w:hanging="360"/>
      </w:pPr>
      <w:rPr>
        <w:rFonts w:ascii="Courier New" w:hAnsi="Courier New" w:cs="Courier New" w:hint="default"/>
      </w:rPr>
    </w:lvl>
    <w:lvl w:ilvl="2" w:tplc="C698466C" w:tentative="1">
      <w:start w:val="1"/>
      <w:numFmt w:val="bullet"/>
      <w:lvlText w:val=""/>
      <w:lvlJc w:val="left"/>
      <w:pPr>
        <w:ind w:left="2160" w:hanging="360"/>
      </w:pPr>
      <w:rPr>
        <w:rFonts w:ascii="Wingdings" w:hAnsi="Wingdings" w:hint="default"/>
      </w:rPr>
    </w:lvl>
    <w:lvl w:ilvl="3" w:tplc="12E8BC1A" w:tentative="1">
      <w:start w:val="1"/>
      <w:numFmt w:val="bullet"/>
      <w:lvlText w:val=""/>
      <w:lvlJc w:val="left"/>
      <w:pPr>
        <w:ind w:left="2880" w:hanging="360"/>
      </w:pPr>
      <w:rPr>
        <w:rFonts w:ascii="Symbol" w:hAnsi="Symbol" w:hint="default"/>
      </w:rPr>
    </w:lvl>
    <w:lvl w:ilvl="4" w:tplc="D5AA8104" w:tentative="1">
      <w:start w:val="1"/>
      <w:numFmt w:val="bullet"/>
      <w:lvlText w:val="o"/>
      <w:lvlJc w:val="left"/>
      <w:pPr>
        <w:ind w:left="3600" w:hanging="360"/>
      </w:pPr>
      <w:rPr>
        <w:rFonts w:ascii="Courier New" w:hAnsi="Courier New" w:cs="Courier New" w:hint="default"/>
      </w:rPr>
    </w:lvl>
    <w:lvl w:ilvl="5" w:tplc="1AB4D124" w:tentative="1">
      <w:start w:val="1"/>
      <w:numFmt w:val="bullet"/>
      <w:lvlText w:val=""/>
      <w:lvlJc w:val="left"/>
      <w:pPr>
        <w:ind w:left="4320" w:hanging="360"/>
      </w:pPr>
      <w:rPr>
        <w:rFonts w:ascii="Wingdings" w:hAnsi="Wingdings" w:hint="default"/>
      </w:rPr>
    </w:lvl>
    <w:lvl w:ilvl="6" w:tplc="0D20D98A" w:tentative="1">
      <w:start w:val="1"/>
      <w:numFmt w:val="bullet"/>
      <w:lvlText w:val=""/>
      <w:lvlJc w:val="left"/>
      <w:pPr>
        <w:ind w:left="5040" w:hanging="360"/>
      </w:pPr>
      <w:rPr>
        <w:rFonts w:ascii="Symbol" w:hAnsi="Symbol" w:hint="default"/>
      </w:rPr>
    </w:lvl>
    <w:lvl w:ilvl="7" w:tplc="253483E6" w:tentative="1">
      <w:start w:val="1"/>
      <w:numFmt w:val="bullet"/>
      <w:lvlText w:val="o"/>
      <w:lvlJc w:val="left"/>
      <w:pPr>
        <w:ind w:left="5760" w:hanging="360"/>
      </w:pPr>
      <w:rPr>
        <w:rFonts w:ascii="Courier New" w:hAnsi="Courier New" w:cs="Courier New" w:hint="default"/>
      </w:rPr>
    </w:lvl>
    <w:lvl w:ilvl="8" w:tplc="B4466D80" w:tentative="1">
      <w:start w:val="1"/>
      <w:numFmt w:val="bullet"/>
      <w:lvlText w:val=""/>
      <w:lvlJc w:val="left"/>
      <w:pPr>
        <w:ind w:left="6480" w:hanging="360"/>
      </w:pPr>
      <w:rPr>
        <w:rFonts w:ascii="Wingdings" w:hAnsi="Wingdings" w:hint="default"/>
      </w:rPr>
    </w:lvl>
  </w:abstractNum>
  <w:abstractNum w:abstractNumId="3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8F848AA"/>
    <w:multiLevelType w:val="hybridMultilevel"/>
    <w:tmpl w:val="CD9A1C04"/>
    <w:lvl w:ilvl="0" w:tplc="6AC8EC86">
      <w:start w:val="1"/>
      <w:numFmt w:val="bullet"/>
      <w:lvlText w:val=""/>
      <w:lvlJc w:val="left"/>
      <w:pPr>
        <w:ind w:left="720" w:hanging="360"/>
      </w:pPr>
      <w:rPr>
        <w:rFonts w:ascii="Symbol" w:hAnsi="Symbol" w:hint="default"/>
      </w:rPr>
    </w:lvl>
    <w:lvl w:ilvl="1" w:tplc="6EC037A6" w:tentative="1">
      <w:start w:val="1"/>
      <w:numFmt w:val="bullet"/>
      <w:lvlText w:val="o"/>
      <w:lvlJc w:val="left"/>
      <w:pPr>
        <w:ind w:left="1440" w:hanging="360"/>
      </w:pPr>
      <w:rPr>
        <w:rFonts w:ascii="Courier New" w:hAnsi="Courier New" w:cs="Courier New" w:hint="default"/>
      </w:rPr>
    </w:lvl>
    <w:lvl w:ilvl="2" w:tplc="412C9126" w:tentative="1">
      <w:start w:val="1"/>
      <w:numFmt w:val="bullet"/>
      <w:lvlText w:val=""/>
      <w:lvlJc w:val="left"/>
      <w:pPr>
        <w:ind w:left="2160" w:hanging="360"/>
      </w:pPr>
      <w:rPr>
        <w:rFonts w:ascii="Wingdings" w:hAnsi="Wingdings" w:hint="default"/>
      </w:rPr>
    </w:lvl>
    <w:lvl w:ilvl="3" w:tplc="C67AC85C" w:tentative="1">
      <w:start w:val="1"/>
      <w:numFmt w:val="bullet"/>
      <w:lvlText w:val=""/>
      <w:lvlJc w:val="left"/>
      <w:pPr>
        <w:ind w:left="2880" w:hanging="360"/>
      </w:pPr>
      <w:rPr>
        <w:rFonts w:ascii="Symbol" w:hAnsi="Symbol" w:hint="default"/>
      </w:rPr>
    </w:lvl>
    <w:lvl w:ilvl="4" w:tplc="1902E826" w:tentative="1">
      <w:start w:val="1"/>
      <w:numFmt w:val="bullet"/>
      <w:lvlText w:val="o"/>
      <w:lvlJc w:val="left"/>
      <w:pPr>
        <w:ind w:left="3600" w:hanging="360"/>
      </w:pPr>
      <w:rPr>
        <w:rFonts w:ascii="Courier New" w:hAnsi="Courier New" w:cs="Courier New" w:hint="default"/>
      </w:rPr>
    </w:lvl>
    <w:lvl w:ilvl="5" w:tplc="860E475E" w:tentative="1">
      <w:start w:val="1"/>
      <w:numFmt w:val="bullet"/>
      <w:lvlText w:val=""/>
      <w:lvlJc w:val="left"/>
      <w:pPr>
        <w:ind w:left="4320" w:hanging="360"/>
      </w:pPr>
      <w:rPr>
        <w:rFonts w:ascii="Wingdings" w:hAnsi="Wingdings" w:hint="default"/>
      </w:rPr>
    </w:lvl>
    <w:lvl w:ilvl="6" w:tplc="78945016" w:tentative="1">
      <w:start w:val="1"/>
      <w:numFmt w:val="bullet"/>
      <w:lvlText w:val=""/>
      <w:lvlJc w:val="left"/>
      <w:pPr>
        <w:ind w:left="5040" w:hanging="360"/>
      </w:pPr>
      <w:rPr>
        <w:rFonts w:ascii="Symbol" w:hAnsi="Symbol" w:hint="default"/>
      </w:rPr>
    </w:lvl>
    <w:lvl w:ilvl="7" w:tplc="D6A401C2" w:tentative="1">
      <w:start w:val="1"/>
      <w:numFmt w:val="bullet"/>
      <w:lvlText w:val="o"/>
      <w:lvlJc w:val="left"/>
      <w:pPr>
        <w:ind w:left="5760" w:hanging="360"/>
      </w:pPr>
      <w:rPr>
        <w:rFonts w:ascii="Courier New" w:hAnsi="Courier New" w:cs="Courier New" w:hint="default"/>
      </w:rPr>
    </w:lvl>
    <w:lvl w:ilvl="8" w:tplc="C1183F8A" w:tentative="1">
      <w:start w:val="1"/>
      <w:numFmt w:val="bullet"/>
      <w:lvlText w:val=""/>
      <w:lvlJc w:val="left"/>
      <w:pPr>
        <w:ind w:left="6480" w:hanging="360"/>
      </w:pPr>
      <w:rPr>
        <w:rFonts w:ascii="Wingdings" w:hAnsi="Wingdings" w:hint="default"/>
      </w:rPr>
    </w:lvl>
  </w:abstractNum>
  <w:abstractNum w:abstractNumId="36" w15:restartNumberingAfterBreak="0">
    <w:nsid w:val="42A500FF"/>
    <w:multiLevelType w:val="hybridMultilevel"/>
    <w:tmpl w:val="17DCC6AE"/>
    <w:lvl w:ilvl="0" w:tplc="4F246614">
      <w:start w:val="1"/>
      <w:numFmt w:val="decimal"/>
      <w:lvlText w:val="%1."/>
      <w:lvlJc w:val="left"/>
      <w:pPr>
        <w:ind w:left="360" w:hanging="360"/>
      </w:pPr>
    </w:lvl>
    <w:lvl w:ilvl="1" w:tplc="AC920E7A" w:tentative="1">
      <w:start w:val="1"/>
      <w:numFmt w:val="lowerLetter"/>
      <w:lvlText w:val="%2."/>
      <w:lvlJc w:val="left"/>
      <w:pPr>
        <w:ind w:left="1080" w:hanging="360"/>
      </w:pPr>
    </w:lvl>
    <w:lvl w:ilvl="2" w:tplc="D480EF7C" w:tentative="1">
      <w:start w:val="1"/>
      <w:numFmt w:val="lowerRoman"/>
      <w:lvlText w:val="%3."/>
      <w:lvlJc w:val="right"/>
      <w:pPr>
        <w:ind w:left="1800" w:hanging="180"/>
      </w:pPr>
    </w:lvl>
    <w:lvl w:ilvl="3" w:tplc="E82C7702" w:tentative="1">
      <w:start w:val="1"/>
      <w:numFmt w:val="decimal"/>
      <w:lvlText w:val="%4."/>
      <w:lvlJc w:val="left"/>
      <w:pPr>
        <w:ind w:left="2520" w:hanging="360"/>
      </w:pPr>
    </w:lvl>
    <w:lvl w:ilvl="4" w:tplc="277AE5EA" w:tentative="1">
      <w:start w:val="1"/>
      <w:numFmt w:val="lowerLetter"/>
      <w:lvlText w:val="%5."/>
      <w:lvlJc w:val="left"/>
      <w:pPr>
        <w:ind w:left="3240" w:hanging="360"/>
      </w:pPr>
    </w:lvl>
    <w:lvl w:ilvl="5" w:tplc="E10052BA" w:tentative="1">
      <w:start w:val="1"/>
      <w:numFmt w:val="lowerRoman"/>
      <w:lvlText w:val="%6."/>
      <w:lvlJc w:val="right"/>
      <w:pPr>
        <w:ind w:left="3960" w:hanging="180"/>
      </w:pPr>
    </w:lvl>
    <w:lvl w:ilvl="6" w:tplc="19202150" w:tentative="1">
      <w:start w:val="1"/>
      <w:numFmt w:val="decimal"/>
      <w:lvlText w:val="%7."/>
      <w:lvlJc w:val="left"/>
      <w:pPr>
        <w:ind w:left="4680" w:hanging="360"/>
      </w:pPr>
    </w:lvl>
    <w:lvl w:ilvl="7" w:tplc="7598EDBA" w:tentative="1">
      <w:start w:val="1"/>
      <w:numFmt w:val="lowerLetter"/>
      <w:lvlText w:val="%8."/>
      <w:lvlJc w:val="left"/>
      <w:pPr>
        <w:ind w:left="5400" w:hanging="360"/>
      </w:pPr>
    </w:lvl>
    <w:lvl w:ilvl="8" w:tplc="9CDAF240" w:tentative="1">
      <w:start w:val="1"/>
      <w:numFmt w:val="lowerRoman"/>
      <w:lvlText w:val="%9."/>
      <w:lvlJc w:val="right"/>
      <w:pPr>
        <w:ind w:left="6120" w:hanging="180"/>
      </w:pPr>
    </w:lvl>
  </w:abstractNum>
  <w:abstractNum w:abstractNumId="37" w15:restartNumberingAfterBreak="0">
    <w:nsid w:val="43E32B8E"/>
    <w:multiLevelType w:val="hybridMultilevel"/>
    <w:tmpl w:val="AF8C2B84"/>
    <w:lvl w:ilvl="0" w:tplc="FF866586">
      <w:start w:val="1"/>
      <w:numFmt w:val="bullet"/>
      <w:lvlText w:val=""/>
      <w:lvlJc w:val="left"/>
      <w:pPr>
        <w:ind w:left="360" w:hanging="360"/>
      </w:pPr>
      <w:rPr>
        <w:rFonts w:ascii="Symbol" w:hAnsi="Symbol" w:hint="default"/>
      </w:rPr>
    </w:lvl>
    <w:lvl w:ilvl="1" w:tplc="276A6DE8">
      <w:numFmt w:val="bullet"/>
      <w:lvlText w:val="•"/>
      <w:lvlJc w:val="left"/>
      <w:pPr>
        <w:ind w:left="1290" w:hanging="570"/>
      </w:pPr>
      <w:rPr>
        <w:rFonts w:ascii="Times New Roman" w:eastAsia="Times New Roman" w:hAnsi="Times New Roman" w:cs="Times New Roman" w:hint="default"/>
      </w:rPr>
    </w:lvl>
    <w:lvl w:ilvl="2" w:tplc="CB30821E" w:tentative="1">
      <w:start w:val="1"/>
      <w:numFmt w:val="bullet"/>
      <w:lvlText w:val=""/>
      <w:lvlJc w:val="left"/>
      <w:pPr>
        <w:ind w:left="1800" w:hanging="360"/>
      </w:pPr>
      <w:rPr>
        <w:rFonts w:ascii="Wingdings" w:hAnsi="Wingdings" w:hint="default"/>
      </w:rPr>
    </w:lvl>
    <w:lvl w:ilvl="3" w:tplc="504A7E22" w:tentative="1">
      <w:start w:val="1"/>
      <w:numFmt w:val="bullet"/>
      <w:lvlText w:val=""/>
      <w:lvlJc w:val="left"/>
      <w:pPr>
        <w:ind w:left="2520" w:hanging="360"/>
      </w:pPr>
      <w:rPr>
        <w:rFonts w:ascii="Symbol" w:hAnsi="Symbol" w:hint="default"/>
      </w:rPr>
    </w:lvl>
    <w:lvl w:ilvl="4" w:tplc="77FC75E8" w:tentative="1">
      <w:start w:val="1"/>
      <w:numFmt w:val="bullet"/>
      <w:lvlText w:val="o"/>
      <w:lvlJc w:val="left"/>
      <w:pPr>
        <w:ind w:left="3240" w:hanging="360"/>
      </w:pPr>
      <w:rPr>
        <w:rFonts w:ascii="Courier New" w:hAnsi="Courier New" w:hint="default"/>
      </w:rPr>
    </w:lvl>
    <w:lvl w:ilvl="5" w:tplc="C55E43A2" w:tentative="1">
      <w:start w:val="1"/>
      <w:numFmt w:val="bullet"/>
      <w:lvlText w:val=""/>
      <w:lvlJc w:val="left"/>
      <w:pPr>
        <w:ind w:left="3960" w:hanging="360"/>
      </w:pPr>
      <w:rPr>
        <w:rFonts w:ascii="Wingdings" w:hAnsi="Wingdings" w:hint="default"/>
      </w:rPr>
    </w:lvl>
    <w:lvl w:ilvl="6" w:tplc="17C6538C" w:tentative="1">
      <w:start w:val="1"/>
      <w:numFmt w:val="bullet"/>
      <w:lvlText w:val=""/>
      <w:lvlJc w:val="left"/>
      <w:pPr>
        <w:ind w:left="4680" w:hanging="360"/>
      </w:pPr>
      <w:rPr>
        <w:rFonts w:ascii="Symbol" w:hAnsi="Symbol" w:hint="default"/>
      </w:rPr>
    </w:lvl>
    <w:lvl w:ilvl="7" w:tplc="B72811AA" w:tentative="1">
      <w:start w:val="1"/>
      <w:numFmt w:val="bullet"/>
      <w:lvlText w:val="o"/>
      <w:lvlJc w:val="left"/>
      <w:pPr>
        <w:ind w:left="5400" w:hanging="360"/>
      </w:pPr>
      <w:rPr>
        <w:rFonts w:ascii="Courier New" w:hAnsi="Courier New" w:hint="default"/>
      </w:rPr>
    </w:lvl>
    <w:lvl w:ilvl="8" w:tplc="FBE62966" w:tentative="1">
      <w:start w:val="1"/>
      <w:numFmt w:val="bullet"/>
      <w:lvlText w:val=""/>
      <w:lvlJc w:val="left"/>
      <w:pPr>
        <w:ind w:left="6120" w:hanging="360"/>
      </w:pPr>
      <w:rPr>
        <w:rFonts w:ascii="Wingdings" w:hAnsi="Wingdings" w:hint="default"/>
      </w:rPr>
    </w:lvl>
  </w:abstractNum>
  <w:abstractNum w:abstractNumId="38" w15:restartNumberingAfterBreak="0">
    <w:nsid w:val="4DEB733F"/>
    <w:multiLevelType w:val="hybridMultilevel"/>
    <w:tmpl w:val="E7229F22"/>
    <w:lvl w:ilvl="0" w:tplc="3510285C">
      <w:start w:val="1"/>
      <w:numFmt w:val="bullet"/>
      <w:lvlText w:val=""/>
      <w:lvlJc w:val="left"/>
      <w:pPr>
        <w:tabs>
          <w:tab w:val="num" w:pos="567"/>
        </w:tabs>
        <w:ind w:left="567" w:hanging="567"/>
      </w:pPr>
      <w:rPr>
        <w:rFonts w:ascii="Symbol" w:hAnsi="Symbol" w:cs="Times New Roman" w:hint="default"/>
        <w:sz w:val="20"/>
        <w:szCs w:val="20"/>
      </w:rPr>
    </w:lvl>
    <w:lvl w:ilvl="1" w:tplc="9A0C2EB6" w:tentative="1">
      <w:start w:val="1"/>
      <w:numFmt w:val="bullet"/>
      <w:lvlText w:val="o"/>
      <w:lvlJc w:val="left"/>
      <w:pPr>
        <w:tabs>
          <w:tab w:val="num" w:pos="1440"/>
        </w:tabs>
        <w:ind w:left="1440" w:hanging="360"/>
      </w:pPr>
      <w:rPr>
        <w:rFonts w:ascii="Courier New" w:hAnsi="Courier New" w:cs="Courier New" w:hint="default"/>
      </w:rPr>
    </w:lvl>
    <w:lvl w:ilvl="2" w:tplc="8608605E" w:tentative="1">
      <w:start w:val="1"/>
      <w:numFmt w:val="bullet"/>
      <w:lvlText w:val=""/>
      <w:lvlJc w:val="left"/>
      <w:pPr>
        <w:tabs>
          <w:tab w:val="num" w:pos="2160"/>
        </w:tabs>
        <w:ind w:left="2160" w:hanging="360"/>
      </w:pPr>
      <w:rPr>
        <w:rFonts w:ascii="Wingdings" w:hAnsi="Wingdings" w:hint="default"/>
      </w:rPr>
    </w:lvl>
    <w:lvl w:ilvl="3" w:tplc="9490E82E" w:tentative="1">
      <w:start w:val="1"/>
      <w:numFmt w:val="bullet"/>
      <w:lvlText w:val=""/>
      <w:lvlJc w:val="left"/>
      <w:pPr>
        <w:tabs>
          <w:tab w:val="num" w:pos="2880"/>
        </w:tabs>
        <w:ind w:left="2880" w:hanging="360"/>
      </w:pPr>
      <w:rPr>
        <w:rFonts w:ascii="Symbol" w:hAnsi="Symbol" w:hint="default"/>
      </w:rPr>
    </w:lvl>
    <w:lvl w:ilvl="4" w:tplc="E772B864" w:tentative="1">
      <w:start w:val="1"/>
      <w:numFmt w:val="bullet"/>
      <w:lvlText w:val="o"/>
      <w:lvlJc w:val="left"/>
      <w:pPr>
        <w:tabs>
          <w:tab w:val="num" w:pos="3600"/>
        </w:tabs>
        <w:ind w:left="3600" w:hanging="360"/>
      </w:pPr>
      <w:rPr>
        <w:rFonts w:ascii="Courier New" w:hAnsi="Courier New" w:cs="Courier New" w:hint="default"/>
      </w:rPr>
    </w:lvl>
    <w:lvl w:ilvl="5" w:tplc="4B28AA2A" w:tentative="1">
      <w:start w:val="1"/>
      <w:numFmt w:val="bullet"/>
      <w:lvlText w:val=""/>
      <w:lvlJc w:val="left"/>
      <w:pPr>
        <w:tabs>
          <w:tab w:val="num" w:pos="4320"/>
        </w:tabs>
        <w:ind w:left="4320" w:hanging="360"/>
      </w:pPr>
      <w:rPr>
        <w:rFonts w:ascii="Wingdings" w:hAnsi="Wingdings" w:hint="default"/>
      </w:rPr>
    </w:lvl>
    <w:lvl w:ilvl="6" w:tplc="B792EC60" w:tentative="1">
      <w:start w:val="1"/>
      <w:numFmt w:val="bullet"/>
      <w:lvlText w:val=""/>
      <w:lvlJc w:val="left"/>
      <w:pPr>
        <w:tabs>
          <w:tab w:val="num" w:pos="5040"/>
        </w:tabs>
        <w:ind w:left="5040" w:hanging="360"/>
      </w:pPr>
      <w:rPr>
        <w:rFonts w:ascii="Symbol" w:hAnsi="Symbol" w:hint="default"/>
      </w:rPr>
    </w:lvl>
    <w:lvl w:ilvl="7" w:tplc="AD6691E8" w:tentative="1">
      <w:start w:val="1"/>
      <w:numFmt w:val="bullet"/>
      <w:lvlText w:val="o"/>
      <w:lvlJc w:val="left"/>
      <w:pPr>
        <w:tabs>
          <w:tab w:val="num" w:pos="5760"/>
        </w:tabs>
        <w:ind w:left="5760" w:hanging="360"/>
      </w:pPr>
      <w:rPr>
        <w:rFonts w:ascii="Courier New" w:hAnsi="Courier New" w:cs="Courier New" w:hint="default"/>
      </w:rPr>
    </w:lvl>
    <w:lvl w:ilvl="8" w:tplc="F404D9B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46159E"/>
    <w:multiLevelType w:val="hybridMultilevel"/>
    <w:tmpl w:val="2F22BBBA"/>
    <w:lvl w:ilvl="0" w:tplc="F50A3A24">
      <w:start w:val="1"/>
      <w:numFmt w:val="bullet"/>
      <w:lvlText w:val=""/>
      <w:lvlJc w:val="left"/>
      <w:pPr>
        <w:ind w:left="360" w:hanging="360"/>
      </w:pPr>
      <w:rPr>
        <w:rFonts w:ascii="Symbol" w:hAnsi="Symbol" w:hint="default"/>
      </w:rPr>
    </w:lvl>
    <w:lvl w:ilvl="1" w:tplc="03D08F80" w:tentative="1">
      <w:start w:val="1"/>
      <w:numFmt w:val="bullet"/>
      <w:lvlText w:val="o"/>
      <w:lvlJc w:val="left"/>
      <w:pPr>
        <w:ind w:left="1080" w:hanging="360"/>
      </w:pPr>
      <w:rPr>
        <w:rFonts w:ascii="Courier New" w:hAnsi="Courier New" w:cs="Courier New" w:hint="default"/>
      </w:rPr>
    </w:lvl>
    <w:lvl w:ilvl="2" w:tplc="CD829D7C" w:tentative="1">
      <w:start w:val="1"/>
      <w:numFmt w:val="bullet"/>
      <w:lvlText w:val=""/>
      <w:lvlJc w:val="left"/>
      <w:pPr>
        <w:ind w:left="1800" w:hanging="360"/>
      </w:pPr>
      <w:rPr>
        <w:rFonts w:ascii="Wingdings" w:hAnsi="Wingdings" w:hint="default"/>
      </w:rPr>
    </w:lvl>
    <w:lvl w:ilvl="3" w:tplc="2BACBFDE" w:tentative="1">
      <w:start w:val="1"/>
      <w:numFmt w:val="bullet"/>
      <w:lvlText w:val=""/>
      <w:lvlJc w:val="left"/>
      <w:pPr>
        <w:ind w:left="2520" w:hanging="360"/>
      </w:pPr>
      <w:rPr>
        <w:rFonts w:ascii="Symbol" w:hAnsi="Symbol" w:hint="default"/>
      </w:rPr>
    </w:lvl>
    <w:lvl w:ilvl="4" w:tplc="31D65DA6" w:tentative="1">
      <w:start w:val="1"/>
      <w:numFmt w:val="bullet"/>
      <w:lvlText w:val="o"/>
      <w:lvlJc w:val="left"/>
      <w:pPr>
        <w:ind w:left="3240" w:hanging="360"/>
      </w:pPr>
      <w:rPr>
        <w:rFonts w:ascii="Courier New" w:hAnsi="Courier New" w:cs="Courier New" w:hint="default"/>
      </w:rPr>
    </w:lvl>
    <w:lvl w:ilvl="5" w:tplc="02E208D8" w:tentative="1">
      <w:start w:val="1"/>
      <w:numFmt w:val="bullet"/>
      <w:lvlText w:val=""/>
      <w:lvlJc w:val="left"/>
      <w:pPr>
        <w:ind w:left="3960" w:hanging="360"/>
      </w:pPr>
      <w:rPr>
        <w:rFonts w:ascii="Wingdings" w:hAnsi="Wingdings" w:hint="default"/>
      </w:rPr>
    </w:lvl>
    <w:lvl w:ilvl="6" w:tplc="B044C098" w:tentative="1">
      <w:start w:val="1"/>
      <w:numFmt w:val="bullet"/>
      <w:lvlText w:val=""/>
      <w:lvlJc w:val="left"/>
      <w:pPr>
        <w:ind w:left="4680" w:hanging="360"/>
      </w:pPr>
      <w:rPr>
        <w:rFonts w:ascii="Symbol" w:hAnsi="Symbol" w:hint="default"/>
      </w:rPr>
    </w:lvl>
    <w:lvl w:ilvl="7" w:tplc="1C986E5A" w:tentative="1">
      <w:start w:val="1"/>
      <w:numFmt w:val="bullet"/>
      <w:lvlText w:val="o"/>
      <w:lvlJc w:val="left"/>
      <w:pPr>
        <w:ind w:left="5400" w:hanging="360"/>
      </w:pPr>
      <w:rPr>
        <w:rFonts w:ascii="Courier New" w:hAnsi="Courier New" w:cs="Courier New" w:hint="default"/>
      </w:rPr>
    </w:lvl>
    <w:lvl w:ilvl="8" w:tplc="15E41630" w:tentative="1">
      <w:start w:val="1"/>
      <w:numFmt w:val="bullet"/>
      <w:lvlText w:val=""/>
      <w:lvlJc w:val="left"/>
      <w:pPr>
        <w:ind w:left="6120" w:hanging="360"/>
      </w:pPr>
      <w:rPr>
        <w:rFonts w:ascii="Wingdings" w:hAnsi="Wingdings" w:hint="default"/>
      </w:rPr>
    </w:lvl>
  </w:abstractNum>
  <w:abstractNum w:abstractNumId="40" w15:restartNumberingAfterBreak="0">
    <w:nsid w:val="561C34AA"/>
    <w:multiLevelType w:val="hybridMultilevel"/>
    <w:tmpl w:val="6FD483DA"/>
    <w:lvl w:ilvl="0" w:tplc="BCDCEAE4">
      <w:start w:val="7"/>
      <w:numFmt w:val="decimal"/>
      <w:lvlText w:val="%1."/>
      <w:lvlJc w:val="left"/>
      <w:pPr>
        <w:tabs>
          <w:tab w:val="num" w:pos="360"/>
        </w:tabs>
        <w:ind w:left="360" w:hanging="360"/>
      </w:pPr>
      <w:rPr>
        <w:rFonts w:hint="default"/>
      </w:rPr>
    </w:lvl>
    <w:lvl w:ilvl="1" w:tplc="B25C19A6" w:tentative="1">
      <w:start w:val="1"/>
      <w:numFmt w:val="lowerLetter"/>
      <w:lvlText w:val="%2."/>
      <w:lvlJc w:val="left"/>
      <w:pPr>
        <w:ind w:left="1080" w:hanging="360"/>
      </w:pPr>
    </w:lvl>
    <w:lvl w:ilvl="2" w:tplc="36A497A6" w:tentative="1">
      <w:start w:val="1"/>
      <w:numFmt w:val="lowerRoman"/>
      <w:lvlText w:val="%3."/>
      <w:lvlJc w:val="right"/>
      <w:pPr>
        <w:ind w:left="1800" w:hanging="180"/>
      </w:pPr>
    </w:lvl>
    <w:lvl w:ilvl="3" w:tplc="388E1AD0" w:tentative="1">
      <w:start w:val="1"/>
      <w:numFmt w:val="decimal"/>
      <w:lvlText w:val="%4."/>
      <w:lvlJc w:val="left"/>
      <w:pPr>
        <w:ind w:left="2520" w:hanging="360"/>
      </w:pPr>
    </w:lvl>
    <w:lvl w:ilvl="4" w:tplc="FD5A00F2" w:tentative="1">
      <w:start w:val="1"/>
      <w:numFmt w:val="lowerLetter"/>
      <w:lvlText w:val="%5."/>
      <w:lvlJc w:val="left"/>
      <w:pPr>
        <w:ind w:left="3240" w:hanging="360"/>
      </w:pPr>
    </w:lvl>
    <w:lvl w:ilvl="5" w:tplc="912478A0" w:tentative="1">
      <w:start w:val="1"/>
      <w:numFmt w:val="lowerRoman"/>
      <w:lvlText w:val="%6."/>
      <w:lvlJc w:val="right"/>
      <w:pPr>
        <w:ind w:left="3960" w:hanging="180"/>
      </w:pPr>
    </w:lvl>
    <w:lvl w:ilvl="6" w:tplc="1AD608A8" w:tentative="1">
      <w:start w:val="1"/>
      <w:numFmt w:val="decimal"/>
      <w:lvlText w:val="%7."/>
      <w:lvlJc w:val="left"/>
      <w:pPr>
        <w:ind w:left="4680" w:hanging="360"/>
      </w:pPr>
    </w:lvl>
    <w:lvl w:ilvl="7" w:tplc="616A7D90" w:tentative="1">
      <w:start w:val="1"/>
      <w:numFmt w:val="lowerLetter"/>
      <w:lvlText w:val="%8."/>
      <w:lvlJc w:val="left"/>
      <w:pPr>
        <w:ind w:left="5400" w:hanging="360"/>
      </w:pPr>
    </w:lvl>
    <w:lvl w:ilvl="8" w:tplc="83FE2EB4" w:tentative="1">
      <w:start w:val="1"/>
      <w:numFmt w:val="lowerRoman"/>
      <w:lvlText w:val="%9."/>
      <w:lvlJc w:val="right"/>
      <w:pPr>
        <w:ind w:left="6120" w:hanging="180"/>
      </w:pPr>
    </w:lvl>
  </w:abstractNum>
  <w:abstractNum w:abstractNumId="41" w15:restartNumberingAfterBreak="0">
    <w:nsid w:val="58295A0D"/>
    <w:multiLevelType w:val="hybridMultilevel"/>
    <w:tmpl w:val="F1447DA4"/>
    <w:lvl w:ilvl="0" w:tplc="8496F1B8">
      <w:start w:val="1"/>
      <w:numFmt w:val="bullet"/>
      <w:lvlText w:val=""/>
      <w:lvlJc w:val="left"/>
      <w:pPr>
        <w:ind w:left="720" w:hanging="360"/>
      </w:pPr>
      <w:rPr>
        <w:rFonts w:ascii="Symbol" w:hAnsi="Symbol" w:hint="default"/>
      </w:rPr>
    </w:lvl>
    <w:lvl w:ilvl="1" w:tplc="A120C372" w:tentative="1">
      <w:start w:val="1"/>
      <w:numFmt w:val="bullet"/>
      <w:lvlText w:val="o"/>
      <w:lvlJc w:val="left"/>
      <w:pPr>
        <w:ind w:left="1440" w:hanging="360"/>
      </w:pPr>
      <w:rPr>
        <w:rFonts w:ascii="Courier New" w:hAnsi="Courier New" w:cs="Courier New" w:hint="default"/>
      </w:rPr>
    </w:lvl>
    <w:lvl w:ilvl="2" w:tplc="90F45218" w:tentative="1">
      <w:start w:val="1"/>
      <w:numFmt w:val="bullet"/>
      <w:lvlText w:val=""/>
      <w:lvlJc w:val="left"/>
      <w:pPr>
        <w:ind w:left="2160" w:hanging="360"/>
      </w:pPr>
      <w:rPr>
        <w:rFonts w:ascii="Wingdings" w:hAnsi="Wingdings" w:hint="default"/>
      </w:rPr>
    </w:lvl>
    <w:lvl w:ilvl="3" w:tplc="D10AFFB0" w:tentative="1">
      <w:start w:val="1"/>
      <w:numFmt w:val="bullet"/>
      <w:lvlText w:val=""/>
      <w:lvlJc w:val="left"/>
      <w:pPr>
        <w:ind w:left="2880" w:hanging="360"/>
      </w:pPr>
      <w:rPr>
        <w:rFonts w:ascii="Symbol" w:hAnsi="Symbol" w:hint="default"/>
      </w:rPr>
    </w:lvl>
    <w:lvl w:ilvl="4" w:tplc="90127326" w:tentative="1">
      <w:start w:val="1"/>
      <w:numFmt w:val="bullet"/>
      <w:lvlText w:val="o"/>
      <w:lvlJc w:val="left"/>
      <w:pPr>
        <w:ind w:left="3600" w:hanging="360"/>
      </w:pPr>
      <w:rPr>
        <w:rFonts w:ascii="Courier New" w:hAnsi="Courier New" w:cs="Courier New" w:hint="default"/>
      </w:rPr>
    </w:lvl>
    <w:lvl w:ilvl="5" w:tplc="1546944A" w:tentative="1">
      <w:start w:val="1"/>
      <w:numFmt w:val="bullet"/>
      <w:lvlText w:val=""/>
      <w:lvlJc w:val="left"/>
      <w:pPr>
        <w:ind w:left="4320" w:hanging="360"/>
      </w:pPr>
      <w:rPr>
        <w:rFonts w:ascii="Wingdings" w:hAnsi="Wingdings" w:hint="default"/>
      </w:rPr>
    </w:lvl>
    <w:lvl w:ilvl="6" w:tplc="3E0255B6" w:tentative="1">
      <w:start w:val="1"/>
      <w:numFmt w:val="bullet"/>
      <w:lvlText w:val=""/>
      <w:lvlJc w:val="left"/>
      <w:pPr>
        <w:ind w:left="5040" w:hanging="360"/>
      </w:pPr>
      <w:rPr>
        <w:rFonts w:ascii="Symbol" w:hAnsi="Symbol" w:hint="default"/>
      </w:rPr>
    </w:lvl>
    <w:lvl w:ilvl="7" w:tplc="9E3830D4" w:tentative="1">
      <w:start w:val="1"/>
      <w:numFmt w:val="bullet"/>
      <w:lvlText w:val="o"/>
      <w:lvlJc w:val="left"/>
      <w:pPr>
        <w:ind w:left="5760" w:hanging="360"/>
      </w:pPr>
      <w:rPr>
        <w:rFonts w:ascii="Courier New" w:hAnsi="Courier New" w:cs="Courier New" w:hint="default"/>
      </w:rPr>
    </w:lvl>
    <w:lvl w:ilvl="8" w:tplc="ADBC76DE" w:tentative="1">
      <w:start w:val="1"/>
      <w:numFmt w:val="bullet"/>
      <w:lvlText w:val=""/>
      <w:lvlJc w:val="left"/>
      <w:pPr>
        <w:ind w:left="6480" w:hanging="360"/>
      </w:pPr>
      <w:rPr>
        <w:rFonts w:ascii="Wingdings" w:hAnsi="Wingdings" w:hint="default"/>
      </w:rPr>
    </w:lvl>
  </w:abstractNum>
  <w:abstractNum w:abstractNumId="42" w15:restartNumberingAfterBreak="0">
    <w:nsid w:val="5C283ACA"/>
    <w:multiLevelType w:val="hybridMultilevel"/>
    <w:tmpl w:val="E2F4513E"/>
    <w:lvl w:ilvl="0" w:tplc="FD88DC6C">
      <w:start w:val="1"/>
      <w:numFmt w:val="decimal"/>
      <w:lvlText w:val="%1."/>
      <w:lvlJc w:val="left"/>
      <w:pPr>
        <w:ind w:left="360" w:hanging="360"/>
      </w:pPr>
    </w:lvl>
    <w:lvl w:ilvl="1" w:tplc="975663DA" w:tentative="1">
      <w:start w:val="1"/>
      <w:numFmt w:val="lowerLetter"/>
      <w:lvlText w:val="%2."/>
      <w:lvlJc w:val="left"/>
      <w:pPr>
        <w:ind w:left="1080" w:hanging="360"/>
      </w:pPr>
    </w:lvl>
    <w:lvl w:ilvl="2" w:tplc="F9CA61E2" w:tentative="1">
      <w:start w:val="1"/>
      <w:numFmt w:val="lowerRoman"/>
      <w:lvlText w:val="%3."/>
      <w:lvlJc w:val="right"/>
      <w:pPr>
        <w:ind w:left="1800" w:hanging="180"/>
      </w:pPr>
    </w:lvl>
    <w:lvl w:ilvl="3" w:tplc="A53210CA" w:tentative="1">
      <w:start w:val="1"/>
      <w:numFmt w:val="decimal"/>
      <w:lvlText w:val="%4."/>
      <w:lvlJc w:val="left"/>
      <w:pPr>
        <w:ind w:left="2520" w:hanging="360"/>
      </w:pPr>
    </w:lvl>
    <w:lvl w:ilvl="4" w:tplc="999C5A54" w:tentative="1">
      <w:start w:val="1"/>
      <w:numFmt w:val="lowerLetter"/>
      <w:lvlText w:val="%5."/>
      <w:lvlJc w:val="left"/>
      <w:pPr>
        <w:ind w:left="3240" w:hanging="360"/>
      </w:pPr>
    </w:lvl>
    <w:lvl w:ilvl="5" w:tplc="9A6A6352" w:tentative="1">
      <w:start w:val="1"/>
      <w:numFmt w:val="lowerRoman"/>
      <w:lvlText w:val="%6."/>
      <w:lvlJc w:val="right"/>
      <w:pPr>
        <w:ind w:left="3960" w:hanging="180"/>
      </w:pPr>
    </w:lvl>
    <w:lvl w:ilvl="6" w:tplc="C596A49C" w:tentative="1">
      <w:start w:val="1"/>
      <w:numFmt w:val="decimal"/>
      <w:lvlText w:val="%7."/>
      <w:lvlJc w:val="left"/>
      <w:pPr>
        <w:ind w:left="4680" w:hanging="360"/>
      </w:pPr>
    </w:lvl>
    <w:lvl w:ilvl="7" w:tplc="5F4A1FE8" w:tentative="1">
      <w:start w:val="1"/>
      <w:numFmt w:val="lowerLetter"/>
      <w:lvlText w:val="%8."/>
      <w:lvlJc w:val="left"/>
      <w:pPr>
        <w:ind w:left="5400" w:hanging="360"/>
      </w:pPr>
    </w:lvl>
    <w:lvl w:ilvl="8" w:tplc="711E199A" w:tentative="1">
      <w:start w:val="1"/>
      <w:numFmt w:val="lowerRoman"/>
      <w:lvlText w:val="%9."/>
      <w:lvlJc w:val="right"/>
      <w:pPr>
        <w:ind w:left="6120" w:hanging="180"/>
      </w:pPr>
    </w:lvl>
  </w:abstractNum>
  <w:abstractNum w:abstractNumId="43" w15:restartNumberingAfterBreak="0">
    <w:nsid w:val="623305B0"/>
    <w:multiLevelType w:val="hybridMultilevel"/>
    <w:tmpl w:val="58BCB07C"/>
    <w:lvl w:ilvl="0" w:tplc="1BA86ACC">
      <w:start w:val="1"/>
      <w:numFmt w:val="bullet"/>
      <w:lvlText w:val="-"/>
      <w:lvlJc w:val="left"/>
      <w:pPr>
        <w:ind w:left="720" w:hanging="360"/>
      </w:pPr>
      <w:rPr>
        <w:rFonts w:ascii="Times New Roman" w:hAnsi="Times New Roman" w:cs="Times New Roman" w:hint="default"/>
      </w:rPr>
    </w:lvl>
    <w:lvl w:ilvl="1" w:tplc="ABD4855A" w:tentative="1">
      <w:start w:val="1"/>
      <w:numFmt w:val="bullet"/>
      <w:lvlText w:val="o"/>
      <w:lvlJc w:val="left"/>
      <w:pPr>
        <w:ind w:left="1440" w:hanging="360"/>
      </w:pPr>
      <w:rPr>
        <w:rFonts w:ascii="Courier New" w:hAnsi="Courier New" w:cs="Courier New" w:hint="default"/>
      </w:rPr>
    </w:lvl>
    <w:lvl w:ilvl="2" w:tplc="34D2D562" w:tentative="1">
      <w:start w:val="1"/>
      <w:numFmt w:val="bullet"/>
      <w:lvlText w:val=""/>
      <w:lvlJc w:val="left"/>
      <w:pPr>
        <w:ind w:left="2160" w:hanging="360"/>
      </w:pPr>
      <w:rPr>
        <w:rFonts w:ascii="Wingdings" w:hAnsi="Wingdings" w:hint="default"/>
      </w:rPr>
    </w:lvl>
    <w:lvl w:ilvl="3" w:tplc="92483A6C" w:tentative="1">
      <w:start w:val="1"/>
      <w:numFmt w:val="bullet"/>
      <w:lvlText w:val=""/>
      <w:lvlJc w:val="left"/>
      <w:pPr>
        <w:ind w:left="2880" w:hanging="360"/>
      </w:pPr>
      <w:rPr>
        <w:rFonts w:ascii="Symbol" w:hAnsi="Symbol" w:hint="default"/>
      </w:rPr>
    </w:lvl>
    <w:lvl w:ilvl="4" w:tplc="9DBEFA4E" w:tentative="1">
      <w:start w:val="1"/>
      <w:numFmt w:val="bullet"/>
      <w:lvlText w:val="o"/>
      <w:lvlJc w:val="left"/>
      <w:pPr>
        <w:ind w:left="3600" w:hanging="360"/>
      </w:pPr>
      <w:rPr>
        <w:rFonts w:ascii="Courier New" w:hAnsi="Courier New" w:cs="Courier New" w:hint="default"/>
      </w:rPr>
    </w:lvl>
    <w:lvl w:ilvl="5" w:tplc="0F36DDD4" w:tentative="1">
      <w:start w:val="1"/>
      <w:numFmt w:val="bullet"/>
      <w:lvlText w:val=""/>
      <w:lvlJc w:val="left"/>
      <w:pPr>
        <w:ind w:left="4320" w:hanging="360"/>
      </w:pPr>
      <w:rPr>
        <w:rFonts w:ascii="Wingdings" w:hAnsi="Wingdings" w:hint="default"/>
      </w:rPr>
    </w:lvl>
    <w:lvl w:ilvl="6" w:tplc="96D60E38" w:tentative="1">
      <w:start w:val="1"/>
      <w:numFmt w:val="bullet"/>
      <w:lvlText w:val=""/>
      <w:lvlJc w:val="left"/>
      <w:pPr>
        <w:ind w:left="5040" w:hanging="360"/>
      </w:pPr>
      <w:rPr>
        <w:rFonts w:ascii="Symbol" w:hAnsi="Symbol" w:hint="default"/>
      </w:rPr>
    </w:lvl>
    <w:lvl w:ilvl="7" w:tplc="FECA1FD4" w:tentative="1">
      <w:start w:val="1"/>
      <w:numFmt w:val="bullet"/>
      <w:lvlText w:val="o"/>
      <w:lvlJc w:val="left"/>
      <w:pPr>
        <w:ind w:left="5760" w:hanging="360"/>
      </w:pPr>
      <w:rPr>
        <w:rFonts w:ascii="Courier New" w:hAnsi="Courier New" w:cs="Courier New" w:hint="default"/>
      </w:rPr>
    </w:lvl>
    <w:lvl w:ilvl="8" w:tplc="7E22521A" w:tentative="1">
      <w:start w:val="1"/>
      <w:numFmt w:val="bullet"/>
      <w:lvlText w:val=""/>
      <w:lvlJc w:val="left"/>
      <w:pPr>
        <w:ind w:left="6480" w:hanging="360"/>
      </w:pPr>
      <w:rPr>
        <w:rFonts w:ascii="Wingdings" w:hAnsi="Wingdings" w:hint="default"/>
      </w:rPr>
    </w:lvl>
  </w:abstractNum>
  <w:abstractNum w:abstractNumId="44" w15:restartNumberingAfterBreak="0">
    <w:nsid w:val="63520A46"/>
    <w:multiLevelType w:val="hybridMultilevel"/>
    <w:tmpl w:val="9B629212"/>
    <w:lvl w:ilvl="0" w:tplc="E48449CA">
      <w:start w:val="1"/>
      <w:numFmt w:val="bullet"/>
      <w:lvlText w:val=""/>
      <w:lvlJc w:val="left"/>
      <w:pPr>
        <w:ind w:left="720" w:hanging="360"/>
      </w:pPr>
      <w:rPr>
        <w:rFonts w:ascii="Symbol" w:hAnsi="Symbol" w:hint="default"/>
      </w:rPr>
    </w:lvl>
    <w:lvl w:ilvl="1" w:tplc="48008668" w:tentative="1">
      <w:start w:val="1"/>
      <w:numFmt w:val="bullet"/>
      <w:lvlText w:val="o"/>
      <w:lvlJc w:val="left"/>
      <w:pPr>
        <w:ind w:left="1440" w:hanging="360"/>
      </w:pPr>
      <w:rPr>
        <w:rFonts w:ascii="Courier New" w:hAnsi="Courier New" w:cs="Courier New" w:hint="default"/>
      </w:rPr>
    </w:lvl>
    <w:lvl w:ilvl="2" w:tplc="C2606ED2" w:tentative="1">
      <w:start w:val="1"/>
      <w:numFmt w:val="bullet"/>
      <w:lvlText w:val=""/>
      <w:lvlJc w:val="left"/>
      <w:pPr>
        <w:ind w:left="2160" w:hanging="360"/>
      </w:pPr>
      <w:rPr>
        <w:rFonts w:ascii="Wingdings" w:hAnsi="Wingdings" w:hint="default"/>
      </w:rPr>
    </w:lvl>
    <w:lvl w:ilvl="3" w:tplc="E0B2CF2C" w:tentative="1">
      <w:start w:val="1"/>
      <w:numFmt w:val="bullet"/>
      <w:lvlText w:val=""/>
      <w:lvlJc w:val="left"/>
      <w:pPr>
        <w:ind w:left="2880" w:hanging="360"/>
      </w:pPr>
      <w:rPr>
        <w:rFonts w:ascii="Symbol" w:hAnsi="Symbol" w:hint="default"/>
      </w:rPr>
    </w:lvl>
    <w:lvl w:ilvl="4" w:tplc="4D88B190" w:tentative="1">
      <w:start w:val="1"/>
      <w:numFmt w:val="bullet"/>
      <w:lvlText w:val="o"/>
      <w:lvlJc w:val="left"/>
      <w:pPr>
        <w:ind w:left="3600" w:hanging="360"/>
      </w:pPr>
      <w:rPr>
        <w:rFonts w:ascii="Courier New" w:hAnsi="Courier New" w:cs="Courier New" w:hint="default"/>
      </w:rPr>
    </w:lvl>
    <w:lvl w:ilvl="5" w:tplc="648490BE" w:tentative="1">
      <w:start w:val="1"/>
      <w:numFmt w:val="bullet"/>
      <w:lvlText w:val=""/>
      <w:lvlJc w:val="left"/>
      <w:pPr>
        <w:ind w:left="4320" w:hanging="360"/>
      </w:pPr>
      <w:rPr>
        <w:rFonts w:ascii="Wingdings" w:hAnsi="Wingdings" w:hint="default"/>
      </w:rPr>
    </w:lvl>
    <w:lvl w:ilvl="6" w:tplc="53E27080" w:tentative="1">
      <w:start w:val="1"/>
      <w:numFmt w:val="bullet"/>
      <w:lvlText w:val=""/>
      <w:lvlJc w:val="left"/>
      <w:pPr>
        <w:ind w:left="5040" w:hanging="360"/>
      </w:pPr>
      <w:rPr>
        <w:rFonts w:ascii="Symbol" w:hAnsi="Symbol" w:hint="default"/>
      </w:rPr>
    </w:lvl>
    <w:lvl w:ilvl="7" w:tplc="41EA2F2C" w:tentative="1">
      <w:start w:val="1"/>
      <w:numFmt w:val="bullet"/>
      <w:lvlText w:val="o"/>
      <w:lvlJc w:val="left"/>
      <w:pPr>
        <w:ind w:left="5760" w:hanging="360"/>
      </w:pPr>
      <w:rPr>
        <w:rFonts w:ascii="Courier New" w:hAnsi="Courier New" w:cs="Courier New" w:hint="default"/>
      </w:rPr>
    </w:lvl>
    <w:lvl w:ilvl="8" w:tplc="FFE0D858" w:tentative="1">
      <w:start w:val="1"/>
      <w:numFmt w:val="bullet"/>
      <w:lvlText w:val=""/>
      <w:lvlJc w:val="left"/>
      <w:pPr>
        <w:ind w:left="6480" w:hanging="360"/>
      </w:pPr>
      <w:rPr>
        <w:rFonts w:ascii="Wingdings" w:hAnsi="Wingdings" w:hint="default"/>
      </w:rPr>
    </w:lvl>
  </w:abstractNum>
  <w:abstractNum w:abstractNumId="45" w15:restartNumberingAfterBreak="0">
    <w:nsid w:val="66395350"/>
    <w:multiLevelType w:val="hybridMultilevel"/>
    <w:tmpl w:val="ACC0B8C4"/>
    <w:lvl w:ilvl="0" w:tplc="9858FBD0">
      <w:start w:val="1"/>
      <w:numFmt w:val="bullet"/>
      <w:lvlText w:val=""/>
      <w:lvlJc w:val="left"/>
      <w:pPr>
        <w:tabs>
          <w:tab w:val="num" w:pos="567"/>
        </w:tabs>
        <w:ind w:left="567" w:hanging="567"/>
      </w:pPr>
      <w:rPr>
        <w:rFonts w:ascii="Symbol" w:hAnsi="Symbol" w:hint="default"/>
      </w:rPr>
    </w:lvl>
    <w:lvl w:ilvl="1" w:tplc="FD6A70BC" w:tentative="1">
      <w:start w:val="1"/>
      <w:numFmt w:val="bullet"/>
      <w:lvlText w:val="o"/>
      <w:lvlJc w:val="left"/>
      <w:pPr>
        <w:ind w:left="1440" w:hanging="360"/>
      </w:pPr>
      <w:rPr>
        <w:rFonts w:ascii="Courier New" w:hAnsi="Courier New" w:cs="Courier New" w:hint="default"/>
      </w:rPr>
    </w:lvl>
    <w:lvl w:ilvl="2" w:tplc="7C8EBCE8" w:tentative="1">
      <w:start w:val="1"/>
      <w:numFmt w:val="bullet"/>
      <w:lvlText w:val=""/>
      <w:lvlJc w:val="left"/>
      <w:pPr>
        <w:ind w:left="2160" w:hanging="360"/>
      </w:pPr>
      <w:rPr>
        <w:rFonts w:ascii="Wingdings" w:hAnsi="Wingdings" w:hint="default"/>
      </w:rPr>
    </w:lvl>
    <w:lvl w:ilvl="3" w:tplc="9D8C9250" w:tentative="1">
      <w:start w:val="1"/>
      <w:numFmt w:val="bullet"/>
      <w:lvlText w:val=""/>
      <w:lvlJc w:val="left"/>
      <w:pPr>
        <w:ind w:left="2880" w:hanging="360"/>
      </w:pPr>
      <w:rPr>
        <w:rFonts w:ascii="Symbol" w:hAnsi="Symbol" w:hint="default"/>
      </w:rPr>
    </w:lvl>
    <w:lvl w:ilvl="4" w:tplc="85B4AC9A" w:tentative="1">
      <w:start w:val="1"/>
      <w:numFmt w:val="bullet"/>
      <w:lvlText w:val="o"/>
      <w:lvlJc w:val="left"/>
      <w:pPr>
        <w:ind w:left="3600" w:hanging="360"/>
      </w:pPr>
      <w:rPr>
        <w:rFonts w:ascii="Courier New" w:hAnsi="Courier New" w:cs="Courier New" w:hint="default"/>
      </w:rPr>
    </w:lvl>
    <w:lvl w:ilvl="5" w:tplc="FFE24E1E" w:tentative="1">
      <w:start w:val="1"/>
      <w:numFmt w:val="bullet"/>
      <w:lvlText w:val=""/>
      <w:lvlJc w:val="left"/>
      <w:pPr>
        <w:ind w:left="4320" w:hanging="360"/>
      </w:pPr>
      <w:rPr>
        <w:rFonts w:ascii="Wingdings" w:hAnsi="Wingdings" w:hint="default"/>
      </w:rPr>
    </w:lvl>
    <w:lvl w:ilvl="6" w:tplc="2B94127A" w:tentative="1">
      <w:start w:val="1"/>
      <w:numFmt w:val="bullet"/>
      <w:lvlText w:val=""/>
      <w:lvlJc w:val="left"/>
      <w:pPr>
        <w:ind w:left="5040" w:hanging="360"/>
      </w:pPr>
      <w:rPr>
        <w:rFonts w:ascii="Symbol" w:hAnsi="Symbol" w:hint="default"/>
      </w:rPr>
    </w:lvl>
    <w:lvl w:ilvl="7" w:tplc="24228EA0" w:tentative="1">
      <w:start w:val="1"/>
      <w:numFmt w:val="bullet"/>
      <w:lvlText w:val="o"/>
      <w:lvlJc w:val="left"/>
      <w:pPr>
        <w:ind w:left="5760" w:hanging="360"/>
      </w:pPr>
      <w:rPr>
        <w:rFonts w:ascii="Courier New" w:hAnsi="Courier New" w:cs="Courier New" w:hint="default"/>
      </w:rPr>
    </w:lvl>
    <w:lvl w:ilvl="8" w:tplc="00D2CC7A" w:tentative="1">
      <w:start w:val="1"/>
      <w:numFmt w:val="bullet"/>
      <w:lvlText w:val=""/>
      <w:lvlJc w:val="left"/>
      <w:pPr>
        <w:ind w:left="6480" w:hanging="360"/>
      </w:pPr>
      <w:rPr>
        <w:rFonts w:ascii="Wingdings" w:hAnsi="Wingdings" w:hint="default"/>
      </w:rPr>
    </w:lvl>
  </w:abstractNum>
  <w:abstractNum w:abstractNumId="46"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7" w15:restartNumberingAfterBreak="0">
    <w:nsid w:val="6863746B"/>
    <w:multiLevelType w:val="hybridMultilevel"/>
    <w:tmpl w:val="D6261E62"/>
    <w:lvl w:ilvl="0" w:tplc="40928916">
      <w:start w:val="1"/>
      <w:numFmt w:val="decimal"/>
      <w:lvlText w:val="%1."/>
      <w:lvlJc w:val="left"/>
      <w:pPr>
        <w:tabs>
          <w:tab w:val="num" w:pos="720"/>
        </w:tabs>
        <w:ind w:left="720" w:hanging="360"/>
      </w:pPr>
    </w:lvl>
    <w:lvl w:ilvl="1" w:tplc="7604DEF8" w:tentative="1">
      <w:start w:val="1"/>
      <w:numFmt w:val="lowerLetter"/>
      <w:lvlText w:val="%2."/>
      <w:lvlJc w:val="left"/>
      <w:pPr>
        <w:tabs>
          <w:tab w:val="num" w:pos="1440"/>
        </w:tabs>
        <w:ind w:left="1440" w:hanging="360"/>
      </w:pPr>
    </w:lvl>
    <w:lvl w:ilvl="2" w:tplc="8690BFBC" w:tentative="1">
      <w:start w:val="1"/>
      <w:numFmt w:val="lowerRoman"/>
      <w:lvlText w:val="%3."/>
      <w:lvlJc w:val="right"/>
      <w:pPr>
        <w:tabs>
          <w:tab w:val="num" w:pos="2160"/>
        </w:tabs>
        <w:ind w:left="2160" w:hanging="180"/>
      </w:pPr>
    </w:lvl>
    <w:lvl w:ilvl="3" w:tplc="3314D22C" w:tentative="1">
      <w:start w:val="1"/>
      <w:numFmt w:val="decimal"/>
      <w:lvlText w:val="%4."/>
      <w:lvlJc w:val="left"/>
      <w:pPr>
        <w:tabs>
          <w:tab w:val="num" w:pos="2880"/>
        </w:tabs>
        <w:ind w:left="2880" w:hanging="360"/>
      </w:pPr>
    </w:lvl>
    <w:lvl w:ilvl="4" w:tplc="77E86B6A" w:tentative="1">
      <w:start w:val="1"/>
      <w:numFmt w:val="lowerLetter"/>
      <w:lvlText w:val="%5."/>
      <w:lvlJc w:val="left"/>
      <w:pPr>
        <w:tabs>
          <w:tab w:val="num" w:pos="3600"/>
        </w:tabs>
        <w:ind w:left="3600" w:hanging="360"/>
      </w:pPr>
    </w:lvl>
    <w:lvl w:ilvl="5" w:tplc="52E21D92" w:tentative="1">
      <w:start w:val="1"/>
      <w:numFmt w:val="lowerRoman"/>
      <w:lvlText w:val="%6."/>
      <w:lvlJc w:val="right"/>
      <w:pPr>
        <w:tabs>
          <w:tab w:val="num" w:pos="4320"/>
        </w:tabs>
        <w:ind w:left="4320" w:hanging="180"/>
      </w:pPr>
    </w:lvl>
    <w:lvl w:ilvl="6" w:tplc="B40262F0" w:tentative="1">
      <w:start w:val="1"/>
      <w:numFmt w:val="decimal"/>
      <w:lvlText w:val="%7."/>
      <w:lvlJc w:val="left"/>
      <w:pPr>
        <w:tabs>
          <w:tab w:val="num" w:pos="5040"/>
        </w:tabs>
        <w:ind w:left="5040" w:hanging="360"/>
      </w:pPr>
    </w:lvl>
    <w:lvl w:ilvl="7" w:tplc="26669E9A" w:tentative="1">
      <w:start w:val="1"/>
      <w:numFmt w:val="lowerLetter"/>
      <w:lvlText w:val="%8."/>
      <w:lvlJc w:val="left"/>
      <w:pPr>
        <w:tabs>
          <w:tab w:val="num" w:pos="5760"/>
        </w:tabs>
        <w:ind w:left="5760" w:hanging="360"/>
      </w:pPr>
    </w:lvl>
    <w:lvl w:ilvl="8" w:tplc="F4389126" w:tentative="1">
      <w:start w:val="1"/>
      <w:numFmt w:val="lowerRoman"/>
      <w:lvlText w:val="%9."/>
      <w:lvlJc w:val="right"/>
      <w:pPr>
        <w:tabs>
          <w:tab w:val="num" w:pos="6480"/>
        </w:tabs>
        <w:ind w:left="6480" w:hanging="180"/>
      </w:pPr>
    </w:lvl>
  </w:abstractNum>
  <w:abstractNum w:abstractNumId="48"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A712CC1"/>
    <w:multiLevelType w:val="hybridMultilevel"/>
    <w:tmpl w:val="4B3A7070"/>
    <w:lvl w:ilvl="0" w:tplc="D8FE11E8">
      <w:start w:val="1"/>
      <w:numFmt w:val="bullet"/>
      <w:lvlText w:val=""/>
      <w:lvlJc w:val="left"/>
      <w:pPr>
        <w:ind w:left="720" w:hanging="360"/>
      </w:pPr>
      <w:rPr>
        <w:rFonts w:ascii="Symbol" w:hAnsi="Symbol" w:hint="default"/>
      </w:rPr>
    </w:lvl>
    <w:lvl w:ilvl="1" w:tplc="4A2E3576" w:tentative="1">
      <w:start w:val="1"/>
      <w:numFmt w:val="bullet"/>
      <w:lvlText w:val="o"/>
      <w:lvlJc w:val="left"/>
      <w:pPr>
        <w:ind w:left="1440" w:hanging="360"/>
      </w:pPr>
      <w:rPr>
        <w:rFonts w:ascii="Courier New" w:hAnsi="Courier New" w:cs="Courier New" w:hint="default"/>
      </w:rPr>
    </w:lvl>
    <w:lvl w:ilvl="2" w:tplc="4CBC4542" w:tentative="1">
      <w:start w:val="1"/>
      <w:numFmt w:val="bullet"/>
      <w:lvlText w:val=""/>
      <w:lvlJc w:val="left"/>
      <w:pPr>
        <w:ind w:left="2160" w:hanging="360"/>
      </w:pPr>
      <w:rPr>
        <w:rFonts w:ascii="Wingdings" w:hAnsi="Wingdings" w:hint="default"/>
      </w:rPr>
    </w:lvl>
    <w:lvl w:ilvl="3" w:tplc="81C4BFCC" w:tentative="1">
      <w:start w:val="1"/>
      <w:numFmt w:val="bullet"/>
      <w:lvlText w:val=""/>
      <w:lvlJc w:val="left"/>
      <w:pPr>
        <w:ind w:left="2880" w:hanging="360"/>
      </w:pPr>
      <w:rPr>
        <w:rFonts w:ascii="Symbol" w:hAnsi="Symbol" w:hint="default"/>
      </w:rPr>
    </w:lvl>
    <w:lvl w:ilvl="4" w:tplc="9C68B4C8" w:tentative="1">
      <w:start w:val="1"/>
      <w:numFmt w:val="bullet"/>
      <w:lvlText w:val="o"/>
      <w:lvlJc w:val="left"/>
      <w:pPr>
        <w:ind w:left="3600" w:hanging="360"/>
      </w:pPr>
      <w:rPr>
        <w:rFonts w:ascii="Courier New" w:hAnsi="Courier New" w:cs="Courier New" w:hint="default"/>
      </w:rPr>
    </w:lvl>
    <w:lvl w:ilvl="5" w:tplc="F63AD45E" w:tentative="1">
      <w:start w:val="1"/>
      <w:numFmt w:val="bullet"/>
      <w:lvlText w:val=""/>
      <w:lvlJc w:val="left"/>
      <w:pPr>
        <w:ind w:left="4320" w:hanging="360"/>
      </w:pPr>
      <w:rPr>
        <w:rFonts w:ascii="Wingdings" w:hAnsi="Wingdings" w:hint="default"/>
      </w:rPr>
    </w:lvl>
    <w:lvl w:ilvl="6" w:tplc="D7F8D4B0" w:tentative="1">
      <w:start w:val="1"/>
      <w:numFmt w:val="bullet"/>
      <w:lvlText w:val=""/>
      <w:lvlJc w:val="left"/>
      <w:pPr>
        <w:ind w:left="5040" w:hanging="360"/>
      </w:pPr>
      <w:rPr>
        <w:rFonts w:ascii="Symbol" w:hAnsi="Symbol" w:hint="default"/>
      </w:rPr>
    </w:lvl>
    <w:lvl w:ilvl="7" w:tplc="EF1CB20C" w:tentative="1">
      <w:start w:val="1"/>
      <w:numFmt w:val="bullet"/>
      <w:lvlText w:val="o"/>
      <w:lvlJc w:val="left"/>
      <w:pPr>
        <w:ind w:left="5760" w:hanging="360"/>
      </w:pPr>
      <w:rPr>
        <w:rFonts w:ascii="Courier New" w:hAnsi="Courier New" w:cs="Courier New" w:hint="default"/>
      </w:rPr>
    </w:lvl>
    <w:lvl w:ilvl="8" w:tplc="25847F0A" w:tentative="1">
      <w:start w:val="1"/>
      <w:numFmt w:val="bullet"/>
      <w:lvlText w:val=""/>
      <w:lvlJc w:val="left"/>
      <w:pPr>
        <w:ind w:left="6480" w:hanging="360"/>
      </w:pPr>
      <w:rPr>
        <w:rFonts w:ascii="Wingdings" w:hAnsi="Wingdings" w:hint="default"/>
      </w:rPr>
    </w:lvl>
  </w:abstractNum>
  <w:abstractNum w:abstractNumId="5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DF4775E"/>
    <w:multiLevelType w:val="hybridMultilevel"/>
    <w:tmpl w:val="29E6BE36"/>
    <w:lvl w:ilvl="0" w:tplc="134E0508">
      <w:start w:val="1"/>
      <w:numFmt w:val="bullet"/>
      <w:lvlText w:val=""/>
      <w:lvlJc w:val="left"/>
      <w:pPr>
        <w:tabs>
          <w:tab w:val="num" w:pos="720"/>
        </w:tabs>
        <w:ind w:left="720" w:hanging="360"/>
      </w:pPr>
      <w:rPr>
        <w:rFonts w:ascii="Symbol" w:hAnsi="Symbol" w:hint="default"/>
      </w:rPr>
    </w:lvl>
    <w:lvl w:ilvl="1" w:tplc="5FD0078C" w:tentative="1">
      <w:start w:val="1"/>
      <w:numFmt w:val="bullet"/>
      <w:lvlText w:val="o"/>
      <w:lvlJc w:val="left"/>
      <w:pPr>
        <w:tabs>
          <w:tab w:val="num" w:pos="1440"/>
        </w:tabs>
        <w:ind w:left="1440" w:hanging="360"/>
      </w:pPr>
      <w:rPr>
        <w:rFonts w:ascii="Courier New" w:hAnsi="Courier New" w:cs="Courier New" w:hint="default"/>
      </w:rPr>
    </w:lvl>
    <w:lvl w:ilvl="2" w:tplc="F47A9482" w:tentative="1">
      <w:start w:val="1"/>
      <w:numFmt w:val="bullet"/>
      <w:lvlText w:val=""/>
      <w:lvlJc w:val="left"/>
      <w:pPr>
        <w:tabs>
          <w:tab w:val="num" w:pos="2160"/>
        </w:tabs>
        <w:ind w:left="2160" w:hanging="360"/>
      </w:pPr>
      <w:rPr>
        <w:rFonts w:ascii="Wingdings" w:hAnsi="Wingdings" w:hint="default"/>
      </w:rPr>
    </w:lvl>
    <w:lvl w:ilvl="3" w:tplc="EDDCC8D4" w:tentative="1">
      <w:start w:val="1"/>
      <w:numFmt w:val="bullet"/>
      <w:lvlText w:val=""/>
      <w:lvlJc w:val="left"/>
      <w:pPr>
        <w:tabs>
          <w:tab w:val="num" w:pos="2880"/>
        </w:tabs>
        <w:ind w:left="2880" w:hanging="360"/>
      </w:pPr>
      <w:rPr>
        <w:rFonts w:ascii="Symbol" w:hAnsi="Symbol" w:hint="default"/>
      </w:rPr>
    </w:lvl>
    <w:lvl w:ilvl="4" w:tplc="F2AC361C" w:tentative="1">
      <w:start w:val="1"/>
      <w:numFmt w:val="bullet"/>
      <w:lvlText w:val="o"/>
      <w:lvlJc w:val="left"/>
      <w:pPr>
        <w:tabs>
          <w:tab w:val="num" w:pos="3600"/>
        </w:tabs>
        <w:ind w:left="3600" w:hanging="360"/>
      </w:pPr>
      <w:rPr>
        <w:rFonts w:ascii="Courier New" w:hAnsi="Courier New" w:cs="Courier New" w:hint="default"/>
      </w:rPr>
    </w:lvl>
    <w:lvl w:ilvl="5" w:tplc="2DAC9E24" w:tentative="1">
      <w:start w:val="1"/>
      <w:numFmt w:val="bullet"/>
      <w:lvlText w:val=""/>
      <w:lvlJc w:val="left"/>
      <w:pPr>
        <w:tabs>
          <w:tab w:val="num" w:pos="4320"/>
        </w:tabs>
        <w:ind w:left="4320" w:hanging="360"/>
      </w:pPr>
      <w:rPr>
        <w:rFonts w:ascii="Wingdings" w:hAnsi="Wingdings" w:hint="default"/>
      </w:rPr>
    </w:lvl>
    <w:lvl w:ilvl="6" w:tplc="3D80B8BE" w:tentative="1">
      <w:start w:val="1"/>
      <w:numFmt w:val="bullet"/>
      <w:lvlText w:val=""/>
      <w:lvlJc w:val="left"/>
      <w:pPr>
        <w:tabs>
          <w:tab w:val="num" w:pos="5040"/>
        </w:tabs>
        <w:ind w:left="5040" w:hanging="360"/>
      </w:pPr>
      <w:rPr>
        <w:rFonts w:ascii="Symbol" w:hAnsi="Symbol" w:hint="default"/>
      </w:rPr>
    </w:lvl>
    <w:lvl w:ilvl="7" w:tplc="D27EC926" w:tentative="1">
      <w:start w:val="1"/>
      <w:numFmt w:val="bullet"/>
      <w:lvlText w:val="o"/>
      <w:lvlJc w:val="left"/>
      <w:pPr>
        <w:tabs>
          <w:tab w:val="num" w:pos="5760"/>
        </w:tabs>
        <w:ind w:left="5760" w:hanging="360"/>
      </w:pPr>
      <w:rPr>
        <w:rFonts w:ascii="Courier New" w:hAnsi="Courier New" w:cs="Courier New" w:hint="default"/>
      </w:rPr>
    </w:lvl>
    <w:lvl w:ilvl="8" w:tplc="4246F17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5142FA"/>
    <w:multiLevelType w:val="hybridMultilevel"/>
    <w:tmpl w:val="ACF01E30"/>
    <w:lvl w:ilvl="0" w:tplc="B1905852">
      <w:start w:val="1"/>
      <w:numFmt w:val="bullet"/>
      <w:lvlText w:val=""/>
      <w:lvlJc w:val="left"/>
      <w:pPr>
        <w:tabs>
          <w:tab w:val="num" w:pos="567"/>
        </w:tabs>
        <w:ind w:left="567" w:hanging="567"/>
      </w:pPr>
      <w:rPr>
        <w:rFonts w:ascii="Symbol" w:hAnsi="Symbol" w:hint="default"/>
        <w:sz w:val="20"/>
        <w:szCs w:val="20"/>
      </w:rPr>
    </w:lvl>
    <w:lvl w:ilvl="1" w:tplc="9D3A4C86">
      <w:start w:val="1"/>
      <w:numFmt w:val="bullet"/>
      <w:lvlText w:val=""/>
      <w:lvlJc w:val="left"/>
      <w:pPr>
        <w:tabs>
          <w:tab w:val="num" w:pos="1440"/>
        </w:tabs>
        <w:ind w:left="1440" w:hanging="360"/>
      </w:pPr>
      <w:rPr>
        <w:rFonts w:ascii="Symbol" w:hAnsi="Symbol" w:hint="default"/>
        <w:sz w:val="20"/>
        <w:szCs w:val="20"/>
      </w:rPr>
    </w:lvl>
    <w:lvl w:ilvl="2" w:tplc="17044094" w:tentative="1">
      <w:start w:val="1"/>
      <w:numFmt w:val="bullet"/>
      <w:lvlText w:val=""/>
      <w:lvlJc w:val="left"/>
      <w:pPr>
        <w:tabs>
          <w:tab w:val="num" w:pos="2160"/>
        </w:tabs>
        <w:ind w:left="2160" w:hanging="360"/>
      </w:pPr>
      <w:rPr>
        <w:rFonts w:ascii="Wingdings" w:hAnsi="Wingdings" w:hint="default"/>
      </w:rPr>
    </w:lvl>
    <w:lvl w:ilvl="3" w:tplc="FFB68FAC" w:tentative="1">
      <w:start w:val="1"/>
      <w:numFmt w:val="bullet"/>
      <w:lvlText w:val=""/>
      <w:lvlJc w:val="left"/>
      <w:pPr>
        <w:tabs>
          <w:tab w:val="num" w:pos="2880"/>
        </w:tabs>
        <w:ind w:left="2880" w:hanging="360"/>
      </w:pPr>
      <w:rPr>
        <w:rFonts w:ascii="Symbol" w:hAnsi="Symbol" w:hint="default"/>
      </w:rPr>
    </w:lvl>
    <w:lvl w:ilvl="4" w:tplc="5B8A1660" w:tentative="1">
      <w:start w:val="1"/>
      <w:numFmt w:val="bullet"/>
      <w:lvlText w:val="o"/>
      <w:lvlJc w:val="left"/>
      <w:pPr>
        <w:tabs>
          <w:tab w:val="num" w:pos="3600"/>
        </w:tabs>
        <w:ind w:left="3600" w:hanging="360"/>
      </w:pPr>
      <w:rPr>
        <w:rFonts w:ascii="Courier New" w:hAnsi="Courier New" w:cs="Courier New" w:hint="default"/>
      </w:rPr>
    </w:lvl>
    <w:lvl w:ilvl="5" w:tplc="D1F8A42C" w:tentative="1">
      <w:start w:val="1"/>
      <w:numFmt w:val="bullet"/>
      <w:lvlText w:val=""/>
      <w:lvlJc w:val="left"/>
      <w:pPr>
        <w:tabs>
          <w:tab w:val="num" w:pos="4320"/>
        </w:tabs>
        <w:ind w:left="4320" w:hanging="360"/>
      </w:pPr>
      <w:rPr>
        <w:rFonts w:ascii="Wingdings" w:hAnsi="Wingdings" w:hint="default"/>
      </w:rPr>
    </w:lvl>
    <w:lvl w:ilvl="6" w:tplc="BB80B13C" w:tentative="1">
      <w:start w:val="1"/>
      <w:numFmt w:val="bullet"/>
      <w:lvlText w:val=""/>
      <w:lvlJc w:val="left"/>
      <w:pPr>
        <w:tabs>
          <w:tab w:val="num" w:pos="5040"/>
        </w:tabs>
        <w:ind w:left="5040" w:hanging="360"/>
      </w:pPr>
      <w:rPr>
        <w:rFonts w:ascii="Symbol" w:hAnsi="Symbol" w:hint="default"/>
      </w:rPr>
    </w:lvl>
    <w:lvl w:ilvl="7" w:tplc="B9AC8A54" w:tentative="1">
      <w:start w:val="1"/>
      <w:numFmt w:val="bullet"/>
      <w:lvlText w:val="o"/>
      <w:lvlJc w:val="left"/>
      <w:pPr>
        <w:tabs>
          <w:tab w:val="num" w:pos="5760"/>
        </w:tabs>
        <w:ind w:left="5760" w:hanging="360"/>
      </w:pPr>
      <w:rPr>
        <w:rFonts w:ascii="Courier New" w:hAnsi="Courier New" w:cs="Courier New" w:hint="default"/>
      </w:rPr>
    </w:lvl>
    <w:lvl w:ilvl="8" w:tplc="2CA6267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9337D0"/>
    <w:multiLevelType w:val="hybridMultilevel"/>
    <w:tmpl w:val="B42CA676"/>
    <w:lvl w:ilvl="0" w:tplc="CF9624AA">
      <w:start w:val="1"/>
      <w:numFmt w:val="bullet"/>
      <w:lvlText w:val=""/>
      <w:lvlJc w:val="left"/>
      <w:pPr>
        <w:tabs>
          <w:tab w:val="num" w:pos="720"/>
        </w:tabs>
        <w:ind w:left="720" w:hanging="360"/>
      </w:pPr>
      <w:rPr>
        <w:rFonts w:ascii="Symbol" w:hAnsi="Symbol" w:hint="default"/>
      </w:rPr>
    </w:lvl>
    <w:lvl w:ilvl="1" w:tplc="03C05E76" w:tentative="1">
      <w:start w:val="1"/>
      <w:numFmt w:val="bullet"/>
      <w:lvlText w:val="o"/>
      <w:lvlJc w:val="left"/>
      <w:pPr>
        <w:tabs>
          <w:tab w:val="num" w:pos="1440"/>
        </w:tabs>
        <w:ind w:left="1440" w:hanging="360"/>
      </w:pPr>
      <w:rPr>
        <w:rFonts w:ascii="Courier New" w:hAnsi="Courier New" w:cs="Courier New" w:hint="default"/>
      </w:rPr>
    </w:lvl>
    <w:lvl w:ilvl="2" w:tplc="2F32133A" w:tentative="1">
      <w:start w:val="1"/>
      <w:numFmt w:val="bullet"/>
      <w:lvlText w:val=""/>
      <w:lvlJc w:val="left"/>
      <w:pPr>
        <w:tabs>
          <w:tab w:val="num" w:pos="2160"/>
        </w:tabs>
        <w:ind w:left="2160" w:hanging="360"/>
      </w:pPr>
      <w:rPr>
        <w:rFonts w:ascii="Wingdings" w:hAnsi="Wingdings" w:hint="default"/>
      </w:rPr>
    </w:lvl>
    <w:lvl w:ilvl="3" w:tplc="1F00AE30" w:tentative="1">
      <w:start w:val="1"/>
      <w:numFmt w:val="bullet"/>
      <w:lvlText w:val=""/>
      <w:lvlJc w:val="left"/>
      <w:pPr>
        <w:tabs>
          <w:tab w:val="num" w:pos="2880"/>
        </w:tabs>
        <w:ind w:left="2880" w:hanging="360"/>
      </w:pPr>
      <w:rPr>
        <w:rFonts w:ascii="Symbol" w:hAnsi="Symbol" w:hint="default"/>
      </w:rPr>
    </w:lvl>
    <w:lvl w:ilvl="4" w:tplc="1BD287A8" w:tentative="1">
      <w:start w:val="1"/>
      <w:numFmt w:val="bullet"/>
      <w:lvlText w:val="o"/>
      <w:lvlJc w:val="left"/>
      <w:pPr>
        <w:tabs>
          <w:tab w:val="num" w:pos="3600"/>
        </w:tabs>
        <w:ind w:left="3600" w:hanging="360"/>
      </w:pPr>
      <w:rPr>
        <w:rFonts w:ascii="Courier New" w:hAnsi="Courier New" w:cs="Courier New" w:hint="default"/>
      </w:rPr>
    </w:lvl>
    <w:lvl w:ilvl="5" w:tplc="E2A0ACC2" w:tentative="1">
      <w:start w:val="1"/>
      <w:numFmt w:val="bullet"/>
      <w:lvlText w:val=""/>
      <w:lvlJc w:val="left"/>
      <w:pPr>
        <w:tabs>
          <w:tab w:val="num" w:pos="4320"/>
        </w:tabs>
        <w:ind w:left="4320" w:hanging="360"/>
      </w:pPr>
      <w:rPr>
        <w:rFonts w:ascii="Wingdings" w:hAnsi="Wingdings" w:hint="default"/>
      </w:rPr>
    </w:lvl>
    <w:lvl w:ilvl="6" w:tplc="0DDAD0E6" w:tentative="1">
      <w:start w:val="1"/>
      <w:numFmt w:val="bullet"/>
      <w:lvlText w:val=""/>
      <w:lvlJc w:val="left"/>
      <w:pPr>
        <w:tabs>
          <w:tab w:val="num" w:pos="5040"/>
        </w:tabs>
        <w:ind w:left="5040" w:hanging="360"/>
      </w:pPr>
      <w:rPr>
        <w:rFonts w:ascii="Symbol" w:hAnsi="Symbol" w:hint="default"/>
      </w:rPr>
    </w:lvl>
    <w:lvl w:ilvl="7" w:tplc="C5C6F504" w:tentative="1">
      <w:start w:val="1"/>
      <w:numFmt w:val="bullet"/>
      <w:lvlText w:val="o"/>
      <w:lvlJc w:val="left"/>
      <w:pPr>
        <w:tabs>
          <w:tab w:val="num" w:pos="5760"/>
        </w:tabs>
        <w:ind w:left="5760" w:hanging="360"/>
      </w:pPr>
      <w:rPr>
        <w:rFonts w:ascii="Courier New" w:hAnsi="Courier New" w:cs="Courier New" w:hint="default"/>
      </w:rPr>
    </w:lvl>
    <w:lvl w:ilvl="8" w:tplc="6406C1A0"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B70F1E"/>
    <w:multiLevelType w:val="hybridMultilevel"/>
    <w:tmpl w:val="F99A3FF8"/>
    <w:lvl w:ilvl="0" w:tplc="A47A4CC4">
      <w:start w:val="1"/>
      <w:numFmt w:val="bullet"/>
      <w:lvlText w:val=""/>
      <w:lvlJc w:val="left"/>
      <w:pPr>
        <w:tabs>
          <w:tab w:val="num" w:pos="567"/>
        </w:tabs>
        <w:ind w:left="567" w:hanging="567"/>
      </w:pPr>
      <w:rPr>
        <w:rFonts w:ascii="Symbol" w:hAnsi="Symbol" w:hint="default"/>
        <w:sz w:val="20"/>
        <w:szCs w:val="20"/>
      </w:rPr>
    </w:lvl>
    <w:lvl w:ilvl="1" w:tplc="8FC27F16">
      <w:start w:val="1"/>
      <w:numFmt w:val="bullet"/>
      <w:lvlText w:val=""/>
      <w:lvlJc w:val="left"/>
      <w:pPr>
        <w:tabs>
          <w:tab w:val="num" w:pos="1440"/>
        </w:tabs>
        <w:ind w:left="1440" w:hanging="360"/>
      </w:pPr>
      <w:rPr>
        <w:rFonts w:ascii="Symbol" w:hAnsi="Symbol" w:hint="default"/>
      </w:rPr>
    </w:lvl>
    <w:lvl w:ilvl="2" w:tplc="F678F5DA" w:tentative="1">
      <w:start w:val="1"/>
      <w:numFmt w:val="bullet"/>
      <w:lvlText w:val=""/>
      <w:lvlJc w:val="left"/>
      <w:pPr>
        <w:tabs>
          <w:tab w:val="num" w:pos="2160"/>
        </w:tabs>
        <w:ind w:left="2160" w:hanging="360"/>
      </w:pPr>
      <w:rPr>
        <w:rFonts w:ascii="Wingdings" w:hAnsi="Wingdings" w:hint="default"/>
      </w:rPr>
    </w:lvl>
    <w:lvl w:ilvl="3" w:tplc="49ACBED0" w:tentative="1">
      <w:start w:val="1"/>
      <w:numFmt w:val="bullet"/>
      <w:lvlText w:val=""/>
      <w:lvlJc w:val="left"/>
      <w:pPr>
        <w:tabs>
          <w:tab w:val="num" w:pos="2880"/>
        </w:tabs>
        <w:ind w:left="2880" w:hanging="360"/>
      </w:pPr>
      <w:rPr>
        <w:rFonts w:ascii="Symbol" w:hAnsi="Symbol" w:hint="default"/>
      </w:rPr>
    </w:lvl>
    <w:lvl w:ilvl="4" w:tplc="D06EBF2A" w:tentative="1">
      <w:start w:val="1"/>
      <w:numFmt w:val="bullet"/>
      <w:lvlText w:val="o"/>
      <w:lvlJc w:val="left"/>
      <w:pPr>
        <w:tabs>
          <w:tab w:val="num" w:pos="3600"/>
        </w:tabs>
        <w:ind w:left="3600" w:hanging="360"/>
      </w:pPr>
      <w:rPr>
        <w:rFonts w:ascii="Courier New" w:hAnsi="Courier New" w:cs="Courier New" w:hint="default"/>
      </w:rPr>
    </w:lvl>
    <w:lvl w:ilvl="5" w:tplc="23C22B96" w:tentative="1">
      <w:start w:val="1"/>
      <w:numFmt w:val="bullet"/>
      <w:lvlText w:val=""/>
      <w:lvlJc w:val="left"/>
      <w:pPr>
        <w:tabs>
          <w:tab w:val="num" w:pos="4320"/>
        </w:tabs>
        <w:ind w:left="4320" w:hanging="360"/>
      </w:pPr>
      <w:rPr>
        <w:rFonts w:ascii="Wingdings" w:hAnsi="Wingdings" w:hint="default"/>
      </w:rPr>
    </w:lvl>
    <w:lvl w:ilvl="6" w:tplc="797857BA" w:tentative="1">
      <w:start w:val="1"/>
      <w:numFmt w:val="bullet"/>
      <w:lvlText w:val=""/>
      <w:lvlJc w:val="left"/>
      <w:pPr>
        <w:tabs>
          <w:tab w:val="num" w:pos="5040"/>
        </w:tabs>
        <w:ind w:left="5040" w:hanging="360"/>
      </w:pPr>
      <w:rPr>
        <w:rFonts w:ascii="Symbol" w:hAnsi="Symbol" w:hint="default"/>
      </w:rPr>
    </w:lvl>
    <w:lvl w:ilvl="7" w:tplc="1466D814" w:tentative="1">
      <w:start w:val="1"/>
      <w:numFmt w:val="bullet"/>
      <w:lvlText w:val="o"/>
      <w:lvlJc w:val="left"/>
      <w:pPr>
        <w:tabs>
          <w:tab w:val="num" w:pos="5760"/>
        </w:tabs>
        <w:ind w:left="5760" w:hanging="360"/>
      </w:pPr>
      <w:rPr>
        <w:rFonts w:ascii="Courier New" w:hAnsi="Courier New" w:cs="Courier New" w:hint="default"/>
      </w:rPr>
    </w:lvl>
    <w:lvl w:ilvl="8" w:tplc="2EC80A0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397293"/>
    <w:multiLevelType w:val="hybridMultilevel"/>
    <w:tmpl w:val="9B187E6E"/>
    <w:lvl w:ilvl="0" w:tplc="5B18361A">
      <w:start w:val="8"/>
      <w:numFmt w:val="decimal"/>
      <w:lvlText w:val="%1."/>
      <w:lvlJc w:val="left"/>
      <w:pPr>
        <w:tabs>
          <w:tab w:val="num" w:pos="360"/>
        </w:tabs>
        <w:ind w:left="360" w:hanging="360"/>
      </w:pPr>
      <w:rPr>
        <w:rFonts w:hint="default"/>
      </w:rPr>
    </w:lvl>
    <w:lvl w:ilvl="1" w:tplc="FD7C2456" w:tentative="1">
      <w:start w:val="1"/>
      <w:numFmt w:val="lowerLetter"/>
      <w:lvlText w:val="%2."/>
      <w:lvlJc w:val="left"/>
      <w:pPr>
        <w:ind w:left="1440" w:hanging="360"/>
      </w:pPr>
    </w:lvl>
    <w:lvl w:ilvl="2" w:tplc="807CB0C6" w:tentative="1">
      <w:start w:val="1"/>
      <w:numFmt w:val="lowerRoman"/>
      <w:lvlText w:val="%3."/>
      <w:lvlJc w:val="right"/>
      <w:pPr>
        <w:ind w:left="2160" w:hanging="180"/>
      </w:pPr>
    </w:lvl>
    <w:lvl w:ilvl="3" w:tplc="34945CE0" w:tentative="1">
      <w:start w:val="1"/>
      <w:numFmt w:val="decimal"/>
      <w:lvlText w:val="%4."/>
      <w:lvlJc w:val="left"/>
      <w:pPr>
        <w:ind w:left="2880" w:hanging="360"/>
      </w:pPr>
    </w:lvl>
    <w:lvl w:ilvl="4" w:tplc="8E689AB8" w:tentative="1">
      <w:start w:val="1"/>
      <w:numFmt w:val="lowerLetter"/>
      <w:lvlText w:val="%5."/>
      <w:lvlJc w:val="left"/>
      <w:pPr>
        <w:ind w:left="3600" w:hanging="360"/>
      </w:pPr>
    </w:lvl>
    <w:lvl w:ilvl="5" w:tplc="05BA0866" w:tentative="1">
      <w:start w:val="1"/>
      <w:numFmt w:val="lowerRoman"/>
      <w:lvlText w:val="%6."/>
      <w:lvlJc w:val="right"/>
      <w:pPr>
        <w:ind w:left="4320" w:hanging="180"/>
      </w:pPr>
    </w:lvl>
    <w:lvl w:ilvl="6" w:tplc="AA6EB578" w:tentative="1">
      <w:start w:val="1"/>
      <w:numFmt w:val="decimal"/>
      <w:lvlText w:val="%7."/>
      <w:lvlJc w:val="left"/>
      <w:pPr>
        <w:ind w:left="5040" w:hanging="360"/>
      </w:pPr>
    </w:lvl>
    <w:lvl w:ilvl="7" w:tplc="7402D1E8" w:tentative="1">
      <w:start w:val="1"/>
      <w:numFmt w:val="lowerLetter"/>
      <w:lvlText w:val="%8."/>
      <w:lvlJc w:val="left"/>
      <w:pPr>
        <w:ind w:left="5760" w:hanging="360"/>
      </w:pPr>
    </w:lvl>
    <w:lvl w:ilvl="8" w:tplc="4E823990" w:tentative="1">
      <w:start w:val="1"/>
      <w:numFmt w:val="lowerRoman"/>
      <w:lvlText w:val="%9."/>
      <w:lvlJc w:val="right"/>
      <w:pPr>
        <w:ind w:left="6480" w:hanging="180"/>
      </w:pPr>
    </w:lvl>
  </w:abstractNum>
  <w:abstractNum w:abstractNumId="56" w15:restartNumberingAfterBreak="0">
    <w:nsid w:val="745942F9"/>
    <w:multiLevelType w:val="hybridMultilevel"/>
    <w:tmpl w:val="6FD483DA"/>
    <w:lvl w:ilvl="0" w:tplc="9E48CF2C">
      <w:start w:val="7"/>
      <w:numFmt w:val="decimal"/>
      <w:lvlText w:val="%1."/>
      <w:lvlJc w:val="left"/>
      <w:pPr>
        <w:tabs>
          <w:tab w:val="num" w:pos="360"/>
        </w:tabs>
        <w:ind w:left="360" w:hanging="360"/>
      </w:pPr>
      <w:rPr>
        <w:rFonts w:hint="default"/>
      </w:rPr>
    </w:lvl>
    <w:lvl w:ilvl="1" w:tplc="791A5EF0" w:tentative="1">
      <w:start w:val="1"/>
      <w:numFmt w:val="lowerLetter"/>
      <w:lvlText w:val="%2."/>
      <w:lvlJc w:val="left"/>
      <w:pPr>
        <w:ind w:left="1080" w:hanging="360"/>
      </w:pPr>
    </w:lvl>
    <w:lvl w:ilvl="2" w:tplc="B1FA4DFC" w:tentative="1">
      <w:start w:val="1"/>
      <w:numFmt w:val="lowerRoman"/>
      <w:lvlText w:val="%3."/>
      <w:lvlJc w:val="right"/>
      <w:pPr>
        <w:ind w:left="1800" w:hanging="180"/>
      </w:pPr>
    </w:lvl>
    <w:lvl w:ilvl="3" w:tplc="1B947E3C" w:tentative="1">
      <w:start w:val="1"/>
      <w:numFmt w:val="decimal"/>
      <w:lvlText w:val="%4."/>
      <w:lvlJc w:val="left"/>
      <w:pPr>
        <w:ind w:left="2520" w:hanging="360"/>
      </w:pPr>
    </w:lvl>
    <w:lvl w:ilvl="4" w:tplc="4AAC2140" w:tentative="1">
      <w:start w:val="1"/>
      <w:numFmt w:val="lowerLetter"/>
      <w:lvlText w:val="%5."/>
      <w:lvlJc w:val="left"/>
      <w:pPr>
        <w:ind w:left="3240" w:hanging="360"/>
      </w:pPr>
    </w:lvl>
    <w:lvl w:ilvl="5" w:tplc="EAC407BE" w:tentative="1">
      <w:start w:val="1"/>
      <w:numFmt w:val="lowerRoman"/>
      <w:lvlText w:val="%6."/>
      <w:lvlJc w:val="right"/>
      <w:pPr>
        <w:ind w:left="3960" w:hanging="180"/>
      </w:pPr>
    </w:lvl>
    <w:lvl w:ilvl="6" w:tplc="3E44FFA0" w:tentative="1">
      <w:start w:val="1"/>
      <w:numFmt w:val="decimal"/>
      <w:lvlText w:val="%7."/>
      <w:lvlJc w:val="left"/>
      <w:pPr>
        <w:ind w:left="4680" w:hanging="360"/>
      </w:pPr>
    </w:lvl>
    <w:lvl w:ilvl="7" w:tplc="2C5C4CD8" w:tentative="1">
      <w:start w:val="1"/>
      <w:numFmt w:val="lowerLetter"/>
      <w:lvlText w:val="%8."/>
      <w:lvlJc w:val="left"/>
      <w:pPr>
        <w:ind w:left="5400" w:hanging="360"/>
      </w:pPr>
    </w:lvl>
    <w:lvl w:ilvl="8" w:tplc="4F8066C0" w:tentative="1">
      <w:start w:val="1"/>
      <w:numFmt w:val="lowerRoman"/>
      <w:lvlText w:val="%9."/>
      <w:lvlJc w:val="right"/>
      <w:pPr>
        <w:ind w:left="6120" w:hanging="180"/>
      </w:pPr>
    </w:lvl>
  </w:abstractNum>
  <w:abstractNum w:abstractNumId="57" w15:restartNumberingAfterBreak="0">
    <w:nsid w:val="74CF77A7"/>
    <w:multiLevelType w:val="hybridMultilevel"/>
    <w:tmpl w:val="E2F4513E"/>
    <w:lvl w:ilvl="0" w:tplc="306E5C10">
      <w:start w:val="1"/>
      <w:numFmt w:val="decimal"/>
      <w:lvlText w:val="%1."/>
      <w:lvlJc w:val="left"/>
      <w:pPr>
        <w:ind w:left="360" w:hanging="360"/>
      </w:pPr>
    </w:lvl>
    <w:lvl w:ilvl="1" w:tplc="2620277C" w:tentative="1">
      <w:start w:val="1"/>
      <w:numFmt w:val="lowerLetter"/>
      <w:lvlText w:val="%2."/>
      <w:lvlJc w:val="left"/>
      <w:pPr>
        <w:ind w:left="1080" w:hanging="360"/>
      </w:pPr>
    </w:lvl>
    <w:lvl w:ilvl="2" w:tplc="3692F324" w:tentative="1">
      <w:start w:val="1"/>
      <w:numFmt w:val="lowerRoman"/>
      <w:lvlText w:val="%3."/>
      <w:lvlJc w:val="right"/>
      <w:pPr>
        <w:ind w:left="1800" w:hanging="180"/>
      </w:pPr>
    </w:lvl>
    <w:lvl w:ilvl="3" w:tplc="31A2895E" w:tentative="1">
      <w:start w:val="1"/>
      <w:numFmt w:val="decimal"/>
      <w:lvlText w:val="%4."/>
      <w:lvlJc w:val="left"/>
      <w:pPr>
        <w:ind w:left="2520" w:hanging="360"/>
      </w:pPr>
    </w:lvl>
    <w:lvl w:ilvl="4" w:tplc="59522852" w:tentative="1">
      <w:start w:val="1"/>
      <w:numFmt w:val="lowerLetter"/>
      <w:lvlText w:val="%5."/>
      <w:lvlJc w:val="left"/>
      <w:pPr>
        <w:ind w:left="3240" w:hanging="360"/>
      </w:pPr>
    </w:lvl>
    <w:lvl w:ilvl="5" w:tplc="58C4BE5C" w:tentative="1">
      <w:start w:val="1"/>
      <w:numFmt w:val="lowerRoman"/>
      <w:lvlText w:val="%6."/>
      <w:lvlJc w:val="right"/>
      <w:pPr>
        <w:ind w:left="3960" w:hanging="180"/>
      </w:pPr>
    </w:lvl>
    <w:lvl w:ilvl="6" w:tplc="6F72FAFC" w:tentative="1">
      <w:start w:val="1"/>
      <w:numFmt w:val="decimal"/>
      <w:lvlText w:val="%7."/>
      <w:lvlJc w:val="left"/>
      <w:pPr>
        <w:ind w:left="4680" w:hanging="360"/>
      </w:pPr>
    </w:lvl>
    <w:lvl w:ilvl="7" w:tplc="4766A618" w:tentative="1">
      <w:start w:val="1"/>
      <w:numFmt w:val="lowerLetter"/>
      <w:lvlText w:val="%8."/>
      <w:lvlJc w:val="left"/>
      <w:pPr>
        <w:ind w:left="5400" w:hanging="360"/>
      </w:pPr>
    </w:lvl>
    <w:lvl w:ilvl="8" w:tplc="4EFA4D76" w:tentative="1">
      <w:start w:val="1"/>
      <w:numFmt w:val="lowerRoman"/>
      <w:lvlText w:val="%9."/>
      <w:lvlJc w:val="right"/>
      <w:pPr>
        <w:ind w:left="6120" w:hanging="180"/>
      </w:pPr>
    </w:lvl>
  </w:abstractNum>
  <w:abstractNum w:abstractNumId="58"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39782830">
    <w:abstractNumId w:val="50"/>
  </w:num>
  <w:num w:numId="2" w16cid:durableId="835530968">
    <w:abstractNumId w:val="34"/>
  </w:num>
  <w:num w:numId="3" w16cid:durableId="1840387679">
    <w:abstractNumId w:val="22"/>
  </w:num>
  <w:num w:numId="4" w16cid:durableId="600260728">
    <w:abstractNumId w:val="21"/>
  </w:num>
  <w:num w:numId="5" w16cid:durableId="773987094">
    <w:abstractNumId w:val="13"/>
  </w:num>
  <w:num w:numId="6" w16cid:durableId="75831300">
    <w:abstractNumId w:val="58"/>
  </w:num>
  <w:num w:numId="7" w16cid:durableId="1115516696">
    <w:abstractNumId w:val="19"/>
  </w:num>
  <w:num w:numId="8" w16cid:durableId="860050713">
    <w:abstractNumId w:val="48"/>
  </w:num>
  <w:num w:numId="9" w16cid:durableId="745497918">
    <w:abstractNumId w:val="27"/>
  </w:num>
  <w:num w:numId="10" w16cid:durableId="959804334">
    <w:abstractNumId w:val="1"/>
  </w:num>
  <w:num w:numId="11" w16cid:durableId="967318097">
    <w:abstractNumId w:val="0"/>
    <w:lvlOverride w:ilvl="0">
      <w:lvl w:ilvl="0">
        <w:start w:val="1"/>
        <w:numFmt w:val="bullet"/>
        <w:lvlText w:val="-"/>
        <w:legacy w:legacy="1" w:legacySpace="0" w:legacyIndent="360"/>
        <w:lvlJc w:val="left"/>
        <w:pPr>
          <w:ind w:left="360" w:hanging="360"/>
        </w:pPr>
      </w:lvl>
    </w:lvlOverride>
  </w:num>
  <w:num w:numId="12" w16cid:durableId="1514027630">
    <w:abstractNumId w:val="46"/>
  </w:num>
  <w:num w:numId="13" w16cid:durableId="352656129">
    <w:abstractNumId w:val="31"/>
  </w:num>
  <w:num w:numId="14" w16cid:durableId="1019695553">
    <w:abstractNumId w:val="54"/>
  </w:num>
  <w:num w:numId="15" w16cid:durableId="1658261673">
    <w:abstractNumId w:val="14"/>
  </w:num>
  <w:num w:numId="16" w16cid:durableId="1351687830">
    <w:abstractNumId w:val="52"/>
  </w:num>
  <w:num w:numId="17" w16cid:durableId="81730488">
    <w:abstractNumId w:val="38"/>
  </w:num>
  <w:num w:numId="18" w16cid:durableId="1035034808">
    <w:abstractNumId w:val="17"/>
  </w:num>
  <w:num w:numId="19" w16cid:durableId="1745226649">
    <w:abstractNumId w:val="29"/>
  </w:num>
  <w:num w:numId="20" w16cid:durableId="632441732">
    <w:abstractNumId w:val="3"/>
  </w:num>
  <w:num w:numId="21" w16cid:durableId="245388493">
    <w:abstractNumId w:val="47"/>
  </w:num>
  <w:num w:numId="22" w16cid:durableId="204486794">
    <w:abstractNumId w:val="24"/>
  </w:num>
  <w:num w:numId="23" w16cid:durableId="1200244568">
    <w:abstractNumId w:val="25"/>
  </w:num>
  <w:num w:numId="24" w16cid:durableId="1087196404">
    <w:abstractNumId w:val="51"/>
  </w:num>
  <w:num w:numId="25" w16cid:durableId="1665233513">
    <w:abstractNumId w:val="7"/>
  </w:num>
  <w:num w:numId="26" w16cid:durableId="1916552555">
    <w:abstractNumId w:val="8"/>
  </w:num>
  <w:num w:numId="27" w16cid:durableId="465776694">
    <w:abstractNumId w:val="0"/>
    <w:lvlOverride w:ilvl="0">
      <w:lvl w:ilvl="0">
        <w:start w:val="1"/>
        <w:numFmt w:val="bullet"/>
        <w:lvlText w:val="-"/>
        <w:legacy w:legacy="1" w:legacySpace="0" w:legacyIndent="360"/>
        <w:lvlJc w:val="left"/>
        <w:pPr>
          <w:ind w:left="360" w:hanging="360"/>
        </w:pPr>
      </w:lvl>
    </w:lvlOverride>
  </w:num>
  <w:num w:numId="28" w16cid:durableId="1330014146">
    <w:abstractNumId w:val="39"/>
  </w:num>
  <w:num w:numId="29" w16cid:durableId="1175027700">
    <w:abstractNumId w:val="11"/>
  </w:num>
  <w:num w:numId="30" w16cid:durableId="689257485">
    <w:abstractNumId w:val="53"/>
  </w:num>
  <w:num w:numId="31" w16cid:durableId="191767620">
    <w:abstractNumId w:val="9"/>
  </w:num>
  <w:num w:numId="32" w16cid:durableId="1891769592">
    <w:abstractNumId w:val="28"/>
  </w:num>
  <w:num w:numId="33" w16cid:durableId="616448353">
    <w:abstractNumId w:val="45"/>
  </w:num>
  <w:num w:numId="34" w16cid:durableId="1517303902">
    <w:abstractNumId w:val="4"/>
  </w:num>
  <w:num w:numId="35" w16cid:durableId="142429215">
    <w:abstractNumId w:val="10"/>
  </w:num>
  <w:num w:numId="36" w16cid:durableId="1577012965">
    <w:abstractNumId w:val="35"/>
  </w:num>
  <w:num w:numId="37" w16cid:durableId="1903640284">
    <w:abstractNumId w:val="37"/>
  </w:num>
  <w:num w:numId="38" w16cid:durableId="261183308">
    <w:abstractNumId w:val="49"/>
  </w:num>
  <w:num w:numId="39" w16cid:durableId="1879658742">
    <w:abstractNumId w:val="15"/>
  </w:num>
  <w:num w:numId="40" w16cid:durableId="580259332">
    <w:abstractNumId w:val="33"/>
  </w:num>
  <w:num w:numId="41" w16cid:durableId="853808690">
    <w:abstractNumId w:val="23"/>
  </w:num>
  <w:num w:numId="42" w16cid:durableId="965088456">
    <w:abstractNumId w:val="6"/>
  </w:num>
  <w:num w:numId="43" w16cid:durableId="1715158029">
    <w:abstractNumId w:val="57"/>
  </w:num>
  <w:num w:numId="44" w16cid:durableId="1046685204">
    <w:abstractNumId w:val="2"/>
  </w:num>
  <w:num w:numId="45" w16cid:durableId="1719864165">
    <w:abstractNumId w:val="36"/>
  </w:num>
  <w:num w:numId="46" w16cid:durableId="2097705557">
    <w:abstractNumId w:val="5"/>
  </w:num>
  <w:num w:numId="47" w16cid:durableId="989946001">
    <w:abstractNumId w:val="40"/>
  </w:num>
  <w:num w:numId="48" w16cid:durableId="970094997">
    <w:abstractNumId w:val="20"/>
  </w:num>
  <w:num w:numId="49" w16cid:durableId="1533617586">
    <w:abstractNumId w:val="56"/>
  </w:num>
  <w:num w:numId="50" w16cid:durableId="1294293332">
    <w:abstractNumId w:val="55"/>
  </w:num>
  <w:num w:numId="51" w16cid:durableId="1779523911">
    <w:abstractNumId w:val="42"/>
  </w:num>
  <w:num w:numId="52" w16cid:durableId="292366315">
    <w:abstractNumId w:val="12"/>
  </w:num>
  <w:num w:numId="53" w16cid:durableId="1345086718">
    <w:abstractNumId w:val="32"/>
  </w:num>
  <w:num w:numId="54" w16cid:durableId="537203268">
    <w:abstractNumId w:val="30"/>
  </w:num>
  <w:num w:numId="55" w16cid:durableId="2062097934">
    <w:abstractNumId w:val="26"/>
  </w:num>
  <w:num w:numId="56" w16cid:durableId="1132554046">
    <w:abstractNumId w:val="43"/>
  </w:num>
  <w:num w:numId="57" w16cid:durableId="1920943841">
    <w:abstractNumId w:val="44"/>
  </w:num>
  <w:num w:numId="58" w16cid:durableId="1902401666">
    <w:abstractNumId w:val="16"/>
  </w:num>
  <w:num w:numId="59" w16cid:durableId="1601060301">
    <w:abstractNumId w:val="18"/>
  </w:num>
  <w:num w:numId="60" w16cid:durableId="2126340932">
    <w:abstractNumId w:val="4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Z">
    <w15:presenceInfo w15:providerId="None" w15:userId="Y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05D41"/>
    <w:rsid w:val="00010746"/>
    <w:rsid w:val="000139CB"/>
    <w:rsid w:val="00014F4A"/>
    <w:rsid w:val="00016C89"/>
    <w:rsid w:val="0001794F"/>
    <w:rsid w:val="00017CE1"/>
    <w:rsid w:val="00017D88"/>
    <w:rsid w:val="00020257"/>
    <w:rsid w:val="0002185E"/>
    <w:rsid w:val="00022A78"/>
    <w:rsid w:val="00022F7A"/>
    <w:rsid w:val="000239F8"/>
    <w:rsid w:val="00023BE0"/>
    <w:rsid w:val="00024B36"/>
    <w:rsid w:val="000252FB"/>
    <w:rsid w:val="000267A0"/>
    <w:rsid w:val="00027E6B"/>
    <w:rsid w:val="000304BA"/>
    <w:rsid w:val="00030536"/>
    <w:rsid w:val="000308F1"/>
    <w:rsid w:val="00030FC6"/>
    <w:rsid w:val="0003165E"/>
    <w:rsid w:val="000331D8"/>
    <w:rsid w:val="00033CBD"/>
    <w:rsid w:val="00033F55"/>
    <w:rsid w:val="00042245"/>
    <w:rsid w:val="00042C47"/>
    <w:rsid w:val="0004321A"/>
    <w:rsid w:val="00043BA2"/>
    <w:rsid w:val="0004423C"/>
    <w:rsid w:val="000451A6"/>
    <w:rsid w:val="00046171"/>
    <w:rsid w:val="00046929"/>
    <w:rsid w:val="000471F1"/>
    <w:rsid w:val="00047748"/>
    <w:rsid w:val="00053150"/>
    <w:rsid w:val="00053CE5"/>
    <w:rsid w:val="000540B8"/>
    <w:rsid w:val="00055153"/>
    <w:rsid w:val="0005683F"/>
    <w:rsid w:val="000636A8"/>
    <w:rsid w:val="0006658D"/>
    <w:rsid w:val="000675CA"/>
    <w:rsid w:val="000702E8"/>
    <w:rsid w:val="00070483"/>
    <w:rsid w:val="00071108"/>
    <w:rsid w:val="000731A3"/>
    <w:rsid w:val="00073A3B"/>
    <w:rsid w:val="000743B6"/>
    <w:rsid w:val="00074A66"/>
    <w:rsid w:val="00074AA9"/>
    <w:rsid w:val="00074BAC"/>
    <w:rsid w:val="0007656E"/>
    <w:rsid w:val="00076B25"/>
    <w:rsid w:val="0008020A"/>
    <w:rsid w:val="000803C1"/>
    <w:rsid w:val="000806DD"/>
    <w:rsid w:val="00080C15"/>
    <w:rsid w:val="00081A47"/>
    <w:rsid w:val="000828BF"/>
    <w:rsid w:val="0008478A"/>
    <w:rsid w:val="00084EAB"/>
    <w:rsid w:val="00084ED6"/>
    <w:rsid w:val="00085792"/>
    <w:rsid w:val="00085F6A"/>
    <w:rsid w:val="00086B9E"/>
    <w:rsid w:val="00086F4D"/>
    <w:rsid w:val="00087883"/>
    <w:rsid w:val="00091513"/>
    <w:rsid w:val="00092B2B"/>
    <w:rsid w:val="00092BAE"/>
    <w:rsid w:val="0009329A"/>
    <w:rsid w:val="00096097"/>
    <w:rsid w:val="000A1C5A"/>
    <w:rsid w:val="000A370A"/>
    <w:rsid w:val="000A6641"/>
    <w:rsid w:val="000A7A9A"/>
    <w:rsid w:val="000A7D42"/>
    <w:rsid w:val="000A7E22"/>
    <w:rsid w:val="000A7FCE"/>
    <w:rsid w:val="000B1429"/>
    <w:rsid w:val="000B7C9E"/>
    <w:rsid w:val="000C454F"/>
    <w:rsid w:val="000C6AB1"/>
    <w:rsid w:val="000C6BB6"/>
    <w:rsid w:val="000D121E"/>
    <w:rsid w:val="000D1CDC"/>
    <w:rsid w:val="000D29E9"/>
    <w:rsid w:val="000D3F93"/>
    <w:rsid w:val="000D4158"/>
    <w:rsid w:val="000D565D"/>
    <w:rsid w:val="000D5B3E"/>
    <w:rsid w:val="000D5C39"/>
    <w:rsid w:val="000D6C0B"/>
    <w:rsid w:val="000E0610"/>
    <w:rsid w:val="000E129B"/>
    <w:rsid w:val="000E1563"/>
    <w:rsid w:val="000E3DC2"/>
    <w:rsid w:val="000E4004"/>
    <w:rsid w:val="000E4C92"/>
    <w:rsid w:val="000E53BA"/>
    <w:rsid w:val="000E57A6"/>
    <w:rsid w:val="000E65B1"/>
    <w:rsid w:val="000E7BB9"/>
    <w:rsid w:val="000F0277"/>
    <w:rsid w:val="000F0F39"/>
    <w:rsid w:val="000F2042"/>
    <w:rsid w:val="000F3A5B"/>
    <w:rsid w:val="000F3E57"/>
    <w:rsid w:val="001019D8"/>
    <w:rsid w:val="00101E2E"/>
    <w:rsid w:val="00104562"/>
    <w:rsid w:val="00105FE9"/>
    <w:rsid w:val="001069FF"/>
    <w:rsid w:val="00106C0F"/>
    <w:rsid w:val="00107DA4"/>
    <w:rsid w:val="00110044"/>
    <w:rsid w:val="0011073B"/>
    <w:rsid w:val="0011117C"/>
    <w:rsid w:val="0011220E"/>
    <w:rsid w:val="0011244A"/>
    <w:rsid w:val="00112B35"/>
    <w:rsid w:val="001176A6"/>
    <w:rsid w:val="00120834"/>
    <w:rsid w:val="001218D8"/>
    <w:rsid w:val="00121DEE"/>
    <w:rsid w:val="00123F5B"/>
    <w:rsid w:val="0012465F"/>
    <w:rsid w:val="001257D2"/>
    <w:rsid w:val="00125B23"/>
    <w:rsid w:val="001304E1"/>
    <w:rsid w:val="00130DA4"/>
    <w:rsid w:val="00130E73"/>
    <w:rsid w:val="00131255"/>
    <w:rsid w:val="0013214E"/>
    <w:rsid w:val="00132CCE"/>
    <w:rsid w:val="0013525F"/>
    <w:rsid w:val="00140BD1"/>
    <w:rsid w:val="00142605"/>
    <w:rsid w:val="001434DB"/>
    <w:rsid w:val="001444F9"/>
    <w:rsid w:val="00145F0F"/>
    <w:rsid w:val="00145F24"/>
    <w:rsid w:val="00146B38"/>
    <w:rsid w:val="00151489"/>
    <w:rsid w:val="001514EA"/>
    <w:rsid w:val="00151538"/>
    <w:rsid w:val="00151B64"/>
    <w:rsid w:val="00151CED"/>
    <w:rsid w:val="00153917"/>
    <w:rsid w:val="001541F7"/>
    <w:rsid w:val="00154ABB"/>
    <w:rsid w:val="001550AA"/>
    <w:rsid w:val="00155A9E"/>
    <w:rsid w:val="001571D5"/>
    <w:rsid w:val="00157DA9"/>
    <w:rsid w:val="00161EEB"/>
    <w:rsid w:val="00162F75"/>
    <w:rsid w:val="00164105"/>
    <w:rsid w:val="00164B93"/>
    <w:rsid w:val="00166D11"/>
    <w:rsid w:val="0017003D"/>
    <w:rsid w:val="001704E7"/>
    <w:rsid w:val="00170558"/>
    <w:rsid w:val="00170616"/>
    <w:rsid w:val="001712A0"/>
    <w:rsid w:val="00171368"/>
    <w:rsid w:val="0017147C"/>
    <w:rsid w:val="00171B00"/>
    <w:rsid w:val="001735EA"/>
    <w:rsid w:val="001742DA"/>
    <w:rsid w:val="001746CE"/>
    <w:rsid w:val="00174ABF"/>
    <w:rsid w:val="0017571B"/>
    <w:rsid w:val="00176FD0"/>
    <w:rsid w:val="001773B9"/>
    <w:rsid w:val="001778E4"/>
    <w:rsid w:val="00177EBD"/>
    <w:rsid w:val="00177F49"/>
    <w:rsid w:val="0018177D"/>
    <w:rsid w:val="00181C4E"/>
    <w:rsid w:val="001828BA"/>
    <w:rsid w:val="00183F7E"/>
    <w:rsid w:val="0018450B"/>
    <w:rsid w:val="00185157"/>
    <w:rsid w:val="0018530D"/>
    <w:rsid w:val="0018683C"/>
    <w:rsid w:val="00190E15"/>
    <w:rsid w:val="0019129C"/>
    <w:rsid w:val="00192094"/>
    <w:rsid w:val="00192516"/>
    <w:rsid w:val="0019272C"/>
    <w:rsid w:val="001A06C8"/>
    <w:rsid w:val="001A0B55"/>
    <w:rsid w:val="001A2A51"/>
    <w:rsid w:val="001A371B"/>
    <w:rsid w:val="001A4A99"/>
    <w:rsid w:val="001A4BCB"/>
    <w:rsid w:val="001A52A5"/>
    <w:rsid w:val="001A5931"/>
    <w:rsid w:val="001A5A88"/>
    <w:rsid w:val="001A6088"/>
    <w:rsid w:val="001A6F24"/>
    <w:rsid w:val="001B2529"/>
    <w:rsid w:val="001B2B97"/>
    <w:rsid w:val="001B3E6F"/>
    <w:rsid w:val="001B6C45"/>
    <w:rsid w:val="001B7BA5"/>
    <w:rsid w:val="001C242A"/>
    <w:rsid w:val="001C253C"/>
    <w:rsid w:val="001C2651"/>
    <w:rsid w:val="001C27D0"/>
    <w:rsid w:val="001C6450"/>
    <w:rsid w:val="001C6D37"/>
    <w:rsid w:val="001C704C"/>
    <w:rsid w:val="001C7759"/>
    <w:rsid w:val="001D03FE"/>
    <w:rsid w:val="001D053D"/>
    <w:rsid w:val="001D13A5"/>
    <w:rsid w:val="001D16D5"/>
    <w:rsid w:val="001D1E25"/>
    <w:rsid w:val="001D2430"/>
    <w:rsid w:val="001D26E4"/>
    <w:rsid w:val="001D272E"/>
    <w:rsid w:val="001D45E4"/>
    <w:rsid w:val="001D47FC"/>
    <w:rsid w:val="001D5DBA"/>
    <w:rsid w:val="001D7336"/>
    <w:rsid w:val="001D7EBF"/>
    <w:rsid w:val="001E1124"/>
    <w:rsid w:val="001E1D64"/>
    <w:rsid w:val="001E304D"/>
    <w:rsid w:val="001E5F45"/>
    <w:rsid w:val="001F01DB"/>
    <w:rsid w:val="001F24BD"/>
    <w:rsid w:val="001F27C0"/>
    <w:rsid w:val="001F76E7"/>
    <w:rsid w:val="00200E31"/>
    <w:rsid w:val="00202B7C"/>
    <w:rsid w:val="00202DF8"/>
    <w:rsid w:val="00203018"/>
    <w:rsid w:val="00207B5F"/>
    <w:rsid w:val="0021038D"/>
    <w:rsid w:val="00210844"/>
    <w:rsid w:val="00212E9A"/>
    <w:rsid w:val="00215403"/>
    <w:rsid w:val="00216211"/>
    <w:rsid w:val="00216A2F"/>
    <w:rsid w:val="002176A4"/>
    <w:rsid w:val="00220C70"/>
    <w:rsid w:val="00222B2B"/>
    <w:rsid w:val="00223986"/>
    <w:rsid w:val="00224831"/>
    <w:rsid w:val="00225894"/>
    <w:rsid w:val="00226058"/>
    <w:rsid w:val="00227A8E"/>
    <w:rsid w:val="0023078C"/>
    <w:rsid w:val="00233FFD"/>
    <w:rsid w:val="00234B11"/>
    <w:rsid w:val="00237B97"/>
    <w:rsid w:val="002409B1"/>
    <w:rsid w:val="00240EDC"/>
    <w:rsid w:val="00241EEB"/>
    <w:rsid w:val="0024391D"/>
    <w:rsid w:val="00243D11"/>
    <w:rsid w:val="002476C3"/>
    <w:rsid w:val="002479B4"/>
    <w:rsid w:val="00250757"/>
    <w:rsid w:val="00250AC1"/>
    <w:rsid w:val="00252372"/>
    <w:rsid w:val="0025247B"/>
    <w:rsid w:val="002524CB"/>
    <w:rsid w:val="002534FB"/>
    <w:rsid w:val="00253972"/>
    <w:rsid w:val="0025429A"/>
    <w:rsid w:val="00254B43"/>
    <w:rsid w:val="00254CFD"/>
    <w:rsid w:val="0025669A"/>
    <w:rsid w:val="00256D12"/>
    <w:rsid w:val="002578B0"/>
    <w:rsid w:val="0026079B"/>
    <w:rsid w:val="00260CC3"/>
    <w:rsid w:val="00260EDE"/>
    <w:rsid w:val="0026164B"/>
    <w:rsid w:val="00261835"/>
    <w:rsid w:val="00262479"/>
    <w:rsid w:val="00262FEC"/>
    <w:rsid w:val="00263E8A"/>
    <w:rsid w:val="0026400B"/>
    <w:rsid w:val="00264BD6"/>
    <w:rsid w:val="002650BD"/>
    <w:rsid w:val="0026611A"/>
    <w:rsid w:val="00267FAC"/>
    <w:rsid w:val="0027072E"/>
    <w:rsid w:val="00271BA8"/>
    <w:rsid w:val="00271ECF"/>
    <w:rsid w:val="002723A8"/>
    <w:rsid w:val="00272612"/>
    <w:rsid w:val="00272E90"/>
    <w:rsid w:val="002730D9"/>
    <w:rsid w:val="00276DB5"/>
    <w:rsid w:val="00282101"/>
    <w:rsid w:val="0028348E"/>
    <w:rsid w:val="002839B3"/>
    <w:rsid w:val="00283B8E"/>
    <w:rsid w:val="00284602"/>
    <w:rsid w:val="00284A41"/>
    <w:rsid w:val="00284FBB"/>
    <w:rsid w:val="0028513B"/>
    <w:rsid w:val="002851D7"/>
    <w:rsid w:val="00285ECC"/>
    <w:rsid w:val="00286D15"/>
    <w:rsid w:val="00286F93"/>
    <w:rsid w:val="002872B0"/>
    <w:rsid w:val="002908C3"/>
    <w:rsid w:val="00290A80"/>
    <w:rsid w:val="002926C0"/>
    <w:rsid w:val="00294E47"/>
    <w:rsid w:val="0029617F"/>
    <w:rsid w:val="002966DF"/>
    <w:rsid w:val="002A385F"/>
    <w:rsid w:val="002A40AD"/>
    <w:rsid w:val="002A429B"/>
    <w:rsid w:val="002A5784"/>
    <w:rsid w:val="002A5F7F"/>
    <w:rsid w:val="002B1704"/>
    <w:rsid w:val="002B1D4E"/>
    <w:rsid w:val="002B1EA3"/>
    <w:rsid w:val="002B4B55"/>
    <w:rsid w:val="002B525F"/>
    <w:rsid w:val="002B7455"/>
    <w:rsid w:val="002C07EC"/>
    <w:rsid w:val="002C0831"/>
    <w:rsid w:val="002C1D27"/>
    <w:rsid w:val="002C23AB"/>
    <w:rsid w:val="002C2616"/>
    <w:rsid w:val="002C2B65"/>
    <w:rsid w:val="002C455F"/>
    <w:rsid w:val="002C7394"/>
    <w:rsid w:val="002C7BCD"/>
    <w:rsid w:val="002D003E"/>
    <w:rsid w:val="002D1296"/>
    <w:rsid w:val="002D1A40"/>
    <w:rsid w:val="002D1FE1"/>
    <w:rsid w:val="002D27AA"/>
    <w:rsid w:val="002D45C7"/>
    <w:rsid w:val="002D5916"/>
    <w:rsid w:val="002D682E"/>
    <w:rsid w:val="002D7CCB"/>
    <w:rsid w:val="002E1AF1"/>
    <w:rsid w:val="002E1C81"/>
    <w:rsid w:val="002E2281"/>
    <w:rsid w:val="002E3196"/>
    <w:rsid w:val="002E540C"/>
    <w:rsid w:val="002E5861"/>
    <w:rsid w:val="002E5C1E"/>
    <w:rsid w:val="002E5DBA"/>
    <w:rsid w:val="002E6BBB"/>
    <w:rsid w:val="002E7CDB"/>
    <w:rsid w:val="002F1576"/>
    <w:rsid w:val="002F357A"/>
    <w:rsid w:val="002F463A"/>
    <w:rsid w:val="002F4BEF"/>
    <w:rsid w:val="002F5859"/>
    <w:rsid w:val="002F61D8"/>
    <w:rsid w:val="002F6B21"/>
    <w:rsid w:val="00300F45"/>
    <w:rsid w:val="00301C6B"/>
    <w:rsid w:val="00303011"/>
    <w:rsid w:val="00304594"/>
    <w:rsid w:val="003047FF"/>
    <w:rsid w:val="003050CD"/>
    <w:rsid w:val="00305CD0"/>
    <w:rsid w:val="00306FD3"/>
    <w:rsid w:val="00307BCD"/>
    <w:rsid w:val="00311824"/>
    <w:rsid w:val="00311899"/>
    <w:rsid w:val="003123D9"/>
    <w:rsid w:val="0031467B"/>
    <w:rsid w:val="00315365"/>
    <w:rsid w:val="00316157"/>
    <w:rsid w:val="0032218E"/>
    <w:rsid w:val="00323A98"/>
    <w:rsid w:val="00325458"/>
    <w:rsid w:val="00330331"/>
    <w:rsid w:val="00330FE0"/>
    <w:rsid w:val="003331E1"/>
    <w:rsid w:val="00333488"/>
    <w:rsid w:val="003343C1"/>
    <w:rsid w:val="00334F3C"/>
    <w:rsid w:val="0033590D"/>
    <w:rsid w:val="0033663A"/>
    <w:rsid w:val="00336B20"/>
    <w:rsid w:val="00341752"/>
    <w:rsid w:val="003420D3"/>
    <w:rsid w:val="0034359F"/>
    <w:rsid w:val="003445BC"/>
    <w:rsid w:val="0034537A"/>
    <w:rsid w:val="00346342"/>
    <w:rsid w:val="0034742F"/>
    <w:rsid w:val="0034753A"/>
    <w:rsid w:val="00347980"/>
    <w:rsid w:val="003510C7"/>
    <w:rsid w:val="00356435"/>
    <w:rsid w:val="00356AD0"/>
    <w:rsid w:val="00357068"/>
    <w:rsid w:val="0035719F"/>
    <w:rsid w:val="00364B40"/>
    <w:rsid w:val="00365253"/>
    <w:rsid w:val="00365A14"/>
    <w:rsid w:val="003661F1"/>
    <w:rsid w:val="0037058C"/>
    <w:rsid w:val="00370D00"/>
    <w:rsid w:val="00370F37"/>
    <w:rsid w:val="0037331B"/>
    <w:rsid w:val="003737E8"/>
    <w:rsid w:val="00375FAA"/>
    <w:rsid w:val="003769EE"/>
    <w:rsid w:val="0038133D"/>
    <w:rsid w:val="0038171B"/>
    <w:rsid w:val="003826D0"/>
    <w:rsid w:val="00382BC2"/>
    <w:rsid w:val="003839D5"/>
    <w:rsid w:val="00384B6F"/>
    <w:rsid w:val="00385059"/>
    <w:rsid w:val="003856CA"/>
    <w:rsid w:val="00386DFE"/>
    <w:rsid w:val="00387028"/>
    <w:rsid w:val="00387068"/>
    <w:rsid w:val="0038750B"/>
    <w:rsid w:val="003901DF"/>
    <w:rsid w:val="003909DE"/>
    <w:rsid w:val="00390CB7"/>
    <w:rsid w:val="00391BDF"/>
    <w:rsid w:val="00392382"/>
    <w:rsid w:val="00392653"/>
    <w:rsid w:val="003936C8"/>
    <w:rsid w:val="00393FAE"/>
    <w:rsid w:val="003946CC"/>
    <w:rsid w:val="00394CCD"/>
    <w:rsid w:val="00395165"/>
    <w:rsid w:val="00395FD8"/>
    <w:rsid w:val="0039643F"/>
    <w:rsid w:val="003974A9"/>
    <w:rsid w:val="00397619"/>
    <w:rsid w:val="003A0EB1"/>
    <w:rsid w:val="003B0291"/>
    <w:rsid w:val="003B1662"/>
    <w:rsid w:val="003B271B"/>
    <w:rsid w:val="003B39F4"/>
    <w:rsid w:val="003B4B70"/>
    <w:rsid w:val="003B4DE8"/>
    <w:rsid w:val="003B7343"/>
    <w:rsid w:val="003B7A5C"/>
    <w:rsid w:val="003C0814"/>
    <w:rsid w:val="003C0DAF"/>
    <w:rsid w:val="003C280C"/>
    <w:rsid w:val="003C410D"/>
    <w:rsid w:val="003C508C"/>
    <w:rsid w:val="003C5546"/>
    <w:rsid w:val="003C60F3"/>
    <w:rsid w:val="003C6810"/>
    <w:rsid w:val="003C6C78"/>
    <w:rsid w:val="003C6E0E"/>
    <w:rsid w:val="003C7EFB"/>
    <w:rsid w:val="003D00E6"/>
    <w:rsid w:val="003D0970"/>
    <w:rsid w:val="003D0FA7"/>
    <w:rsid w:val="003D5E2C"/>
    <w:rsid w:val="003D5F37"/>
    <w:rsid w:val="003D70CF"/>
    <w:rsid w:val="003E0906"/>
    <w:rsid w:val="003E24B7"/>
    <w:rsid w:val="003E2C78"/>
    <w:rsid w:val="003E3A13"/>
    <w:rsid w:val="003E3A3B"/>
    <w:rsid w:val="003E6568"/>
    <w:rsid w:val="003F0642"/>
    <w:rsid w:val="003F0A34"/>
    <w:rsid w:val="003F26F6"/>
    <w:rsid w:val="003F2741"/>
    <w:rsid w:val="003F5BA9"/>
    <w:rsid w:val="003F5E1D"/>
    <w:rsid w:val="003F62C9"/>
    <w:rsid w:val="003F6AD7"/>
    <w:rsid w:val="003F6F18"/>
    <w:rsid w:val="0040061E"/>
    <w:rsid w:val="00402AAF"/>
    <w:rsid w:val="00403517"/>
    <w:rsid w:val="004039DB"/>
    <w:rsid w:val="0040450D"/>
    <w:rsid w:val="004050DB"/>
    <w:rsid w:val="00405385"/>
    <w:rsid w:val="00407A45"/>
    <w:rsid w:val="004103A2"/>
    <w:rsid w:val="0041270A"/>
    <w:rsid w:val="004144B8"/>
    <w:rsid w:val="00414EF3"/>
    <w:rsid w:val="00415D15"/>
    <w:rsid w:val="00415DB2"/>
    <w:rsid w:val="004207B8"/>
    <w:rsid w:val="00420B9A"/>
    <w:rsid w:val="00421132"/>
    <w:rsid w:val="00423D1F"/>
    <w:rsid w:val="00426451"/>
    <w:rsid w:val="00427567"/>
    <w:rsid w:val="00427F72"/>
    <w:rsid w:val="00430D99"/>
    <w:rsid w:val="00431060"/>
    <w:rsid w:val="00431758"/>
    <w:rsid w:val="0043216C"/>
    <w:rsid w:val="00434AA6"/>
    <w:rsid w:val="00434EFF"/>
    <w:rsid w:val="00435442"/>
    <w:rsid w:val="004374A8"/>
    <w:rsid w:val="0043765E"/>
    <w:rsid w:val="0044133D"/>
    <w:rsid w:val="00442125"/>
    <w:rsid w:val="004424B9"/>
    <w:rsid w:val="004439BF"/>
    <w:rsid w:val="00443D59"/>
    <w:rsid w:val="004444D9"/>
    <w:rsid w:val="0044509E"/>
    <w:rsid w:val="004466EA"/>
    <w:rsid w:val="004469C3"/>
    <w:rsid w:val="00447E6B"/>
    <w:rsid w:val="00454854"/>
    <w:rsid w:val="0045537A"/>
    <w:rsid w:val="00455EE8"/>
    <w:rsid w:val="0045645D"/>
    <w:rsid w:val="00456592"/>
    <w:rsid w:val="00457B91"/>
    <w:rsid w:val="00460788"/>
    <w:rsid w:val="004609FB"/>
    <w:rsid w:val="00460A0C"/>
    <w:rsid w:val="0046107E"/>
    <w:rsid w:val="0046214E"/>
    <w:rsid w:val="00463A1B"/>
    <w:rsid w:val="00467221"/>
    <w:rsid w:val="00470128"/>
    <w:rsid w:val="0047019C"/>
    <w:rsid w:val="00470735"/>
    <w:rsid w:val="0047673E"/>
    <w:rsid w:val="00480F37"/>
    <w:rsid w:val="00482FB2"/>
    <w:rsid w:val="00484998"/>
    <w:rsid w:val="00486695"/>
    <w:rsid w:val="004917C4"/>
    <w:rsid w:val="00492B8B"/>
    <w:rsid w:val="0049304B"/>
    <w:rsid w:val="0049304D"/>
    <w:rsid w:val="00494A5A"/>
    <w:rsid w:val="00496A2F"/>
    <w:rsid w:val="004971CF"/>
    <w:rsid w:val="004A1202"/>
    <w:rsid w:val="004A1EC5"/>
    <w:rsid w:val="004A23FC"/>
    <w:rsid w:val="004A31C2"/>
    <w:rsid w:val="004A4658"/>
    <w:rsid w:val="004A5CC6"/>
    <w:rsid w:val="004A61B9"/>
    <w:rsid w:val="004A70D0"/>
    <w:rsid w:val="004A7A04"/>
    <w:rsid w:val="004B015E"/>
    <w:rsid w:val="004B09C5"/>
    <w:rsid w:val="004B2367"/>
    <w:rsid w:val="004B39BB"/>
    <w:rsid w:val="004B4F59"/>
    <w:rsid w:val="004B5455"/>
    <w:rsid w:val="004B7A56"/>
    <w:rsid w:val="004C046F"/>
    <w:rsid w:val="004C1DEE"/>
    <w:rsid w:val="004C2642"/>
    <w:rsid w:val="004C37A6"/>
    <w:rsid w:val="004C4930"/>
    <w:rsid w:val="004D05A3"/>
    <w:rsid w:val="004D1912"/>
    <w:rsid w:val="004D4590"/>
    <w:rsid w:val="004D4AE0"/>
    <w:rsid w:val="004D7E06"/>
    <w:rsid w:val="004E0B94"/>
    <w:rsid w:val="004E0DE6"/>
    <w:rsid w:val="004E2181"/>
    <w:rsid w:val="004E300A"/>
    <w:rsid w:val="004E3BD3"/>
    <w:rsid w:val="004E4D49"/>
    <w:rsid w:val="004E6103"/>
    <w:rsid w:val="004E7E55"/>
    <w:rsid w:val="004F1E02"/>
    <w:rsid w:val="004F7580"/>
    <w:rsid w:val="00502193"/>
    <w:rsid w:val="00502346"/>
    <w:rsid w:val="00502A61"/>
    <w:rsid w:val="00503EAF"/>
    <w:rsid w:val="0050412D"/>
    <w:rsid w:val="0050480F"/>
    <w:rsid w:val="0050626B"/>
    <w:rsid w:val="0050635E"/>
    <w:rsid w:val="00506539"/>
    <w:rsid w:val="005079AB"/>
    <w:rsid w:val="00511EFE"/>
    <w:rsid w:val="0051227B"/>
    <w:rsid w:val="00512B71"/>
    <w:rsid w:val="00512C14"/>
    <w:rsid w:val="00513A66"/>
    <w:rsid w:val="00513AC0"/>
    <w:rsid w:val="00513D77"/>
    <w:rsid w:val="00513F9D"/>
    <w:rsid w:val="00515D72"/>
    <w:rsid w:val="005163F3"/>
    <w:rsid w:val="005166D3"/>
    <w:rsid w:val="005207CE"/>
    <w:rsid w:val="0052167B"/>
    <w:rsid w:val="00521E30"/>
    <w:rsid w:val="005233C3"/>
    <w:rsid w:val="00523406"/>
    <w:rsid w:val="005239E8"/>
    <w:rsid w:val="005300A6"/>
    <w:rsid w:val="00531950"/>
    <w:rsid w:val="00531E6E"/>
    <w:rsid w:val="00531FCD"/>
    <w:rsid w:val="00532614"/>
    <w:rsid w:val="0053262B"/>
    <w:rsid w:val="0053394E"/>
    <w:rsid w:val="00534818"/>
    <w:rsid w:val="00537D4D"/>
    <w:rsid w:val="00540270"/>
    <w:rsid w:val="00540CC2"/>
    <w:rsid w:val="00541997"/>
    <w:rsid w:val="0054217C"/>
    <w:rsid w:val="00542618"/>
    <w:rsid w:val="00543A49"/>
    <w:rsid w:val="0054401F"/>
    <w:rsid w:val="00545347"/>
    <w:rsid w:val="00545824"/>
    <w:rsid w:val="00545E71"/>
    <w:rsid w:val="00546236"/>
    <w:rsid w:val="0054637A"/>
    <w:rsid w:val="00546B5A"/>
    <w:rsid w:val="0055112C"/>
    <w:rsid w:val="0055138B"/>
    <w:rsid w:val="0055215B"/>
    <w:rsid w:val="005527CB"/>
    <w:rsid w:val="00553ECF"/>
    <w:rsid w:val="005542A6"/>
    <w:rsid w:val="00555733"/>
    <w:rsid w:val="005564EF"/>
    <w:rsid w:val="00556CD9"/>
    <w:rsid w:val="00556EDC"/>
    <w:rsid w:val="00557EB8"/>
    <w:rsid w:val="00565075"/>
    <w:rsid w:val="005660AA"/>
    <w:rsid w:val="00570BE6"/>
    <w:rsid w:val="00570F5D"/>
    <w:rsid w:val="00570F8A"/>
    <w:rsid w:val="005712B1"/>
    <w:rsid w:val="005713C3"/>
    <w:rsid w:val="00572031"/>
    <w:rsid w:val="005727E1"/>
    <w:rsid w:val="00573A7B"/>
    <w:rsid w:val="005748C1"/>
    <w:rsid w:val="0057506B"/>
    <w:rsid w:val="005765CB"/>
    <w:rsid w:val="00576EF9"/>
    <w:rsid w:val="005773C3"/>
    <w:rsid w:val="00577D3D"/>
    <w:rsid w:val="00580267"/>
    <w:rsid w:val="0058246E"/>
    <w:rsid w:val="00583511"/>
    <w:rsid w:val="00584322"/>
    <w:rsid w:val="005844F0"/>
    <w:rsid w:val="005850A2"/>
    <w:rsid w:val="00590205"/>
    <w:rsid w:val="0059029C"/>
    <w:rsid w:val="005912A2"/>
    <w:rsid w:val="005943F9"/>
    <w:rsid w:val="00595BBB"/>
    <w:rsid w:val="00597CB3"/>
    <w:rsid w:val="005A07F5"/>
    <w:rsid w:val="005A10E5"/>
    <w:rsid w:val="005A4886"/>
    <w:rsid w:val="005A4963"/>
    <w:rsid w:val="005A6F8B"/>
    <w:rsid w:val="005A78C9"/>
    <w:rsid w:val="005B3367"/>
    <w:rsid w:val="005B3534"/>
    <w:rsid w:val="005B3BA7"/>
    <w:rsid w:val="005B5976"/>
    <w:rsid w:val="005B6AB6"/>
    <w:rsid w:val="005B6E10"/>
    <w:rsid w:val="005B768D"/>
    <w:rsid w:val="005B7A51"/>
    <w:rsid w:val="005B7D63"/>
    <w:rsid w:val="005C041F"/>
    <w:rsid w:val="005C2D22"/>
    <w:rsid w:val="005C305E"/>
    <w:rsid w:val="005C3FEA"/>
    <w:rsid w:val="005C41B7"/>
    <w:rsid w:val="005C47A5"/>
    <w:rsid w:val="005D370F"/>
    <w:rsid w:val="005D5C2F"/>
    <w:rsid w:val="005D77D3"/>
    <w:rsid w:val="005D7ABD"/>
    <w:rsid w:val="005E5A84"/>
    <w:rsid w:val="005E5DF4"/>
    <w:rsid w:val="005F1242"/>
    <w:rsid w:val="005F2506"/>
    <w:rsid w:val="005F6340"/>
    <w:rsid w:val="005F6B3F"/>
    <w:rsid w:val="005F719A"/>
    <w:rsid w:val="005F7D81"/>
    <w:rsid w:val="00600C45"/>
    <w:rsid w:val="00601719"/>
    <w:rsid w:val="00601A36"/>
    <w:rsid w:val="00603171"/>
    <w:rsid w:val="0060439F"/>
    <w:rsid w:val="00605B82"/>
    <w:rsid w:val="006079AB"/>
    <w:rsid w:val="00607A0C"/>
    <w:rsid w:val="00607C10"/>
    <w:rsid w:val="00610748"/>
    <w:rsid w:val="0061137C"/>
    <w:rsid w:val="006119B3"/>
    <w:rsid w:val="006126B7"/>
    <w:rsid w:val="006138A2"/>
    <w:rsid w:val="006167DC"/>
    <w:rsid w:val="00617973"/>
    <w:rsid w:val="00617D01"/>
    <w:rsid w:val="00620328"/>
    <w:rsid w:val="0062052B"/>
    <w:rsid w:val="00620DDA"/>
    <w:rsid w:val="00620EB8"/>
    <w:rsid w:val="00621A05"/>
    <w:rsid w:val="00626E73"/>
    <w:rsid w:val="00630A19"/>
    <w:rsid w:val="00630E37"/>
    <w:rsid w:val="006312C3"/>
    <w:rsid w:val="00631948"/>
    <w:rsid w:val="00632169"/>
    <w:rsid w:val="00634F14"/>
    <w:rsid w:val="00635CB3"/>
    <w:rsid w:val="00635E3F"/>
    <w:rsid w:val="006369FF"/>
    <w:rsid w:val="00637AAB"/>
    <w:rsid w:val="006401D2"/>
    <w:rsid w:val="006426EA"/>
    <w:rsid w:val="0064292F"/>
    <w:rsid w:val="00645A91"/>
    <w:rsid w:val="00650335"/>
    <w:rsid w:val="00654166"/>
    <w:rsid w:val="006547AA"/>
    <w:rsid w:val="006553D0"/>
    <w:rsid w:val="006606E8"/>
    <w:rsid w:val="00660D79"/>
    <w:rsid w:val="0066191A"/>
    <w:rsid w:val="00662C55"/>
    <w:rsid w:val="00663B5E"/>
    <w:rsid w:val="006658CD"/>
    <w:rsid w:val="00666C7C"/>
    <w:rsid w:val="00666F4D"/>
    <w:rsid w:val="00667DFA"/>
    <w:rsid w:val="0067031D"/>
    <w:rsid w:val="00670FB0"/>
    <w:rsid w:val="0067229A"/>
    <w:rsid w:val="00673029"/>
    <w:rsid w:val="00673985"/>
    <w:rsid w:val="00675C43"/>
    <w:rsid w:val="00676E1B"/>
    <w:rsid w:val="00677126"/>
    <w:rsid w:val="00680B23"/>
    <w:rsid w:val="00681E81"/>
    <w:rsid w:val="00682756"/>
    <w:rsid w:val="00682758"/>
    <w:rsid w:val="006829AE"/>
    <w:rsid w:val="0068312B"/>
    <w:rsid w:val="00683555"/>
    <w:rsid w:val="0068384A"/>
    <w:rsid w:val="00683D37"/>
    <w:rsid w:val="00683F11"/>
    <w:rsid w:val="006842DA"/>
    <w:rsid w:val="00685410"/>
    <w:rsid w:val="0069202F"/>
    <w:rsid w:val="00692E63"/>
    <w:rsid w:val="0069335B"/>
    <w:rsid w:val="00696486"/>
    <w:rsid w:val="006968AD"/>
    <w:rsid w:val="00696D9F"/>
    <w:rsid w:val="0069755A"/>
    <w:rsid w:val="00697D1B"/>
    <w:rsid w:val="006A04A4"/>
    <w:rsid w:val="006A0CEE"/>
    <w:rsid w:val="006A12AB"/>
    <w:rsid w:val="006A17D4"/>
    <w:rsid w:val="006A1E6E"/>
    <w:rsid w:val="006A21CD"/>
    <w:rsid w:val="006A3142"/>
    <w:rsid w:val="006A3C2F"/>
    <w:rsid w:val="006A5C2E"/>
    <w:rsid w:val="006A6CB0"/>
    <w:rsid w:val="006B0507"/>
    <w:rsid w:val="006B2053"/>
    <w:rsid w:val="006B4203"/>
    <w:rsid w:val="006B580F"/>
    <w:rsid w:val="006B592F"/>
    <w:rsid w:val="006B70C1"/>
    <w:rsid w:val="006B79BF"/>
    <w:rsid w:val="006C15EE"/>
    <w:rsid w:val="006C4A6F"/>
    <w:rsid w:val="006C5D21"/>
    <w:rsid w:val="006C6ECE"/>
    <w:rsid w:val="006C6FD9"/>
    <w:rsid w:val="006D023A"/>
    <w:rsid w:val="006D19EB"/>
    <w:rsid w:val="006D3004"/>
    <w:rsid w:val="006D6245"/>
    <w:rsid w:val="006D7371"/>
    <w:rsid w:val="006E0369"/>
    <w:rsid w:val="006E2DD1"/>
    <w:rsid w:val="006E30D3"/>
    <w:rsid w:val="006E32CF"/>
    <w:rsid w:val="006E6621"/>
    <w:rsid w:val="006E69E2"/>
    <w:rsid w:val="006F14FC"/>
    <w:rsid w:val="006F3E45"/>
    <w:rsid w:val="006F5C0A"/>
    <w:rsid w:val="006F6052"/>
    <w:rsid w:val="006F60B2"/>
    <w:rsid w:val="006F6ACA"/>
    <w:rsid w:val="006F777D"/>
    <w:rsid w:val="00701B19"/>
    <w:rsid w:val="00702A4F"/>
    <w:rsid w:val="007039B1"/>
    <w:rsid w:val="00705215"/>
    <w:rsid w:val="0070614D"/>
    <w:rsid w:val="007064D1"/>
    <w:rsid w:val="007065FF"/>
    <w:rsid w:val="007067D5"/>
    <w:rsid w:val="00707432"/>
    <w:rsid w:val="007079D3"/>
    <w:rsid w:val="00710638"/>
    <w:rsid w:val="00715473"/>
    <w:rsid w:val="00715BBF"/>
    <w:rsid w:val="007207EE"/>
    <w:rsid w:val="00725A2D"/>
    <w:rsid w:val="007274D8"/>
    <w:rsid w:val="00730998"/>
    <w:rsid w:val="007340B6"/>
    <w:rsid w:val="0073453F"/>
    <w:rsid w:val="00736455"/>
    <w:rsid w:val="00741A7D"/>
    <w:rsid w:val="007429AD"/>
    <w:rsid w:val="0074341B"/>
    <w:rsid w:val="00744AA7"/>
    <w:rsid w:val="0074576A"/>
    <w:rsid w:val="0074665A"/>
    <w:rsid w:val="00750787"/>
    <w:rsid w:val="00751313"/>
    <w:rsid w:val="00753546"/>
    <w:rsid w:val="00753EA5"/>
    <w:rsid w:val="00754990"/>
    <w:rsid w:val="00757A3E"/>
    <w:rsid w:val="0076008C"/>
    <w:rsid w:val="00764AFE"/>
    <w:rsid w:val="00764FAF"/>
    <w:rsid w:val="00765B7F"/>
    <w:rsid w:val="00766B75"/>
    <w:rsid w:val="00767E83"/>
    <w:rsid w:val="00771809"/>
    <w:rsid w:val="00772E28"/>
    <w:rsid w:val="007746E7"/>
    <w:rsid w:val="00775CD9"/>
    <w:rsid w:val="00776FB8"/>
    <w:rsid w:val="00781071"/>
    <w:rsid w:val="0078184E"/>
    <w:rsid w:val="00782678"/>
    <w:rsid w:val="00782929"/>
    <w:rsid w:val="00782D78"/>
    <w:rsid w:val="00783401"/>
    <w:rsid w:val="00783F3E"/>
    <w:rsid w:val="00786674"/>
    <w:rsid w:val="00787154"/>
    <w:rsid w:val="00787EB8"/>
    <w:rsid w:val="0079026B"/>
    <w:rsid w:val="00791027"/>
    <w:rsid w:val="007910B9"/>
    <w:rsid w:val="007930BD"/>
    <w:rsid w:val="00793B5C"/>
    <w:rsid w:val="00793CD9"/>
    <w:rsid w:val="007947DA"/>
    <w:rsid w:val="007967F0"/>
    <w:rsid w:val="00796DEC"/>
    <w:rsid w:val="007A07AF"/>
    <w:rsid w:val="007A09DF"/>
    <w:rsid w:val="007A0B47"/>
    <w:rsid w:val="007A0BB2"/>
    <w:rsid w:val="007A16C4"/>
    <w:rsid w:val="007A255F"/>
    <w:rsid w:val="007A4BFC"/>
    <w:rsid w:val="007A5B45"/>
    <w:rsid w:val="007A6528"/>
    <w:rsid w:val="007A70A7"/>
    <w:rsid w:val="007A7CED"/>
    <w:rsid w:val="007B0C7E"/>
    <w:rsid w:val="007B1823"/>
    <w:rsid w:val="007B2137"/>
    <w:rsid w:val="007B21F7"/>
    <w:rsid w:val="007B2A55"/>
    <w:rsid w:val="007B31F2"/>
    <w:rsid w:val="007B456B"/>
    <w:rsid w:val="007B5D4C"/>
    <w:rsid w:val="007B6756"/>
    <w:rsid w:val="007B7D22"/>
    <w:rsid w:val="007C1B45"/>
    <w:rsid w:val="007C264C"/>
    <w:rsid w:val="007C4974"/>
    <w:rsid w:val="007C4F37"/>
    <w:rsid w:val="007D2F3D"/>
    <w:rsid w:val="007D3CC0"/>
    <w:rsid w:val="007D7AF6"/>
    <w:rsid w:val="007E0F77"/>
    <w:rsid w:val="007E1C60"/>
    <w:rsid w:val="007E2131"/>
    <w:rsid w:val="007E35DB"/>
    <w:rsid w:val="007E3A1A"/>
    <w:rsid w:val="007E53D0"/>
    <w:rsid w:val="007E5A93"/>
    <w:rsid w:val="007F18D8"/>
    <w:rsid w:val="007F4444"/>
    <w:rsid w:val="007F49ED"/>
    <w:rsid w:val="007F4A78"/>
    <w:rsid w:val="007F615E"/>
    <w:rsid w:val="007F6CA6"/>
    <w:rsid w:val="007F7749"/>
    <w:rsid w:val="0080087F"/>
    <w:rsid w:val="008011D6"/>
    <w:rsid w:val="00801635"/>
    <w:rsid w:val="008038D4"/>
    <w:rsid w:val="00805F26"/>
    <w:rsid w:val="0081033D"/>
    <w:rsid w:val="008111A8"/>
    <w:rsid w:val="00812AE0"/>
    <w:rsid w:val="008132C0"/>
    <w:rsid w:val="008141AE"/>
    <w:rsid w:val="00814BDE"/>
    <w:rsid w:val="0081632F"/>
    <w:rsid w:val="00816FE9"/>
    <w:rsid w:val="0082029B"/>
    <w:rsid w:val="008203F7"/>
    <w:rsid w:val="00821A88"/>
    <w:rsid w:val="00821F56"/>
    <w:rsid w:val="00822173"/>
    <w:rsid w:val="0082295E"/>
    <w:rsid w:val="0082430B"/>
    <w:rsid w:val="00825B2E"/>
    <w:rsid w:val="0083198F"/>
    <w:rsid w:val="008320CE"/>
    <w:rsid w:val="008332E9"/>
    <w:rsid w:val="00834859"/>
    <w:rsid w:val="00834B99"/>
    <w:rsid w:val="0083571E"/>
    <w:rsid w:val="00835F12"/>
    <w:rsid w:val="00836604"/>
    <w:rsid w:val="00840675"/>
    <w:rsid w:val="0084221F"/>
    <w:rsid w:val="00842C98"/>
    <w:rsid w:val="00842F0F"/>
    <w:rsid w:val="00844BC4"/>
    <w:rsid w:val="00845B88"/>
    <w:rsid w:val="00845C42"/>
    <w:rsid w:val="00846E74"/>
    <w:rsid w:val="00847B2B"/>
    <w:rsid w:val="008506B2"/>
    <w:rsid w:val="00854732"/>
    <w:rsid w:val="00857AA9"/>
    <w:rsid w:val="00857CFA"/>
    <w:rsid w:val="008603DE"/>
    <w:rsid w:val="008604A5"/>
    <w:rsid w:val="00861842"/>
    <w:rsid w:val="0086249C"/>
    <w:rsid w:val="00866169"/>
    <w:rsid w:val="00866C7D"/>
    <w:rsid w:val="00866E26"/>
    <w:rsid w:val="008701A6"/>
    <w:rsid w:val="00870635"/>
    <w:rsid w:val="0087200F"/>
    <w:rsid w:val="00872484"/>
    <w:rsid w:val="0087371C"/>
    <w:rsid w:val="00876575"/>
    <w:rsid w:val="008766C5"/>
    <w:rsid w:val="00877662"/>
    <w:rsid w:val="00880B13"/>
    <w:rsid w:val="008814A7"/>
    <w:rsid w:val="008825E1"/>
    <w:rsid w:val="008828A9"/>
    <w:rsid w:val="0088377F"/>
    <w:rsid w:val="0088390B"/>
    <w:rsid w:val="0088443E"/>
    <w:rsid w:val="00884E6E"/>
    <w:rsid w:val="00885203"/>
    <w:rsid w:val="00886ECF"/>
    <w:rsid w:val="008870FE"/>
    <w:rsid w:val="0088725D"/>
    <w:rsid w:val="0089083C"/>
    <w:rsid w:val="00892389"/>
    <w:rsid w:val="00894085"/>
    <w:rsid w:val="00896B0E"/>
    <w:rsid w:val="00896B6D"/>
    <w:rsid w:val="00897E79"/>
    <w:rsid w:val="008A3961"/>
    <w:rsid w:val="008A4DB3"/>
    <w:rsid w:val="008A5448"/>
    <w:rsid w:val="008B22B4"/>
    <w:rsid w:val="008B4ED7"/>
    <w:rsid w:val="008B680C"/>
    <w:rsid w:val="008B6872"/>
    <w:rsid w:val="008B68D7"/>
    <w:rsid w:val="008B6BBF"/>
    <w:rsid w:val="008C3202"/>
    <w:rsid w:val="008C399E"/>
    <w:rsid w:val="008C5ACD"/>
    <w:rsid w:val="008C61C9"/>
    <w:rsid w:val="008C6FD9"/>
    <w:rsid w:val="008D2947"/>
    <w:rsid w:val="008D2CB3"/>
    <w:rsid w:val="008D2D4C"/>
    <w:rsid w:val="008D33A8"/>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2B03"/>
    <w:rsid w:val="00903C99"/>
    <w:rsid w:val="009040E3"/>
    <w:rsid w:val="00904945"/>
    <w:rsid w:val="00906A1D"/>
    <w:rsid w:val="00907BCD"/>
    <w:rsid w:val="009125CD"/>
    <w:rsid w:val="00912906"/>
    <w:rsid w:val="009141D7"/>
    <w:rsid w:val="00915994"/>
    <w:rsid w:val="00915A41"/>
    <w:rsid w:val="00915A56"/>
    <w:rsid w:val="00920C0C"/>
    <w:rsid w:val="009214A2"/>
    <w:rsid w:val="009247D4"/>
    <w:rsid w:val="00925343"/>
    <w:rsid w:val="00926A1A"/>
    <w:rsid w:val="00926B2A"/>
    <w:rsid w:val="0092748E"/>
    <w:rsid w:val="00927DFC"/>
    <w:rsid w:val="0093094E"/>
    <w:rsid w:val="0093516D"/>
    <w:rsid w:val="00935D11"/>
    <w:rsid w:val="00940216"/>
    <w:rsid w:val="00941359"/>
    <w:rsid w:val="00941571"/>
    <w:rsid w:val="00942BF7"/>
    <w:rsid w:val="009436C7"/>
    <w:rsid w:val="00943A8E"/>
    <w:rsid w:val="00946139"/>
    <w:rsid w:val="00946823"/>
    <w:rsid w:val="00946B73"/>
    <w:rsid w:val="00947CF3"/>
    <w:rsid w:val="00951F81"/>
    <w:rsid w:val="00952113"/>
    <w:rsid w:val="00952BCE"/>
    <w:rsid w:val="009530D5"/>
    <w:rsid w:val="009551E0"/>
    <w:rsid w:val="00960173"/>
    <w:rsid w:val="0096019B"/>
    <w:rsid w:val="009608F1"/>
    <w:rsid w:val="009608FC"/>
    <w:rsid w:val="00962743"/>
    <w:rsid w:val="00971888"/>
    <w:rsid w:val="0097208F"/>
    <w:rsid w:val="00972A28"/>
    <w:rsid w:val="00972A53"/>
    <w:rsid w:val="009732F7"/>
    <w:rsid w:val="00973357"/>
    <w:rsid w:val="00981922"/>
    <w:rsid w:val="00982F4B"/>
    <w:rsid w:val="00983B38"/>
    <w:rsid w:val="009858FB"/>
    <w:rsid w:val="00985DD9"/>
    <w:rsid w:val="009872DC"/>
    <w:rsid w:val="00987702"/>
    <w:rsid w:val="009921A0"/>
    <w:rsid w:val="009921F2"/>
    <w:rsid w:val="00992811"/>
    <w:rsid w:val="00992A6A"/>
    <w:rsid w:val="00997081"/>
    <w:rsid w:val="009970B7"/>
    <w:rsid w:val="009A1AD8"/>
    <w:rsid w:val="009A3971"/>
    <w:rsid w:val="009A3ADB"/>
    <w:rsid w:val="009A3D9B"/>
    <w:rsid w:val="009A42B2"/>
    <w:rsid w:val="009A6895"/>
    <w:rsid w:val="009A72A7"/>
    <w:rsid w:val="009B0D43"/>
    <w:rsid w:val="009B2F2A"/>
    <w:rsid w:val="009B4759"/>
    <w:rsid w:val="009B636C"/>
    <w:rsid w:val="009B727C"/>
    <w:rsid w:val="009C0F29"/>
    <w:rsid w:val="009C1C4D"/>
    <w:rsid w:val="009C2622"/>
    <w:rsid w:val="009C46BE"/>
    <w:rsid w:val="009C6C95"/>
    <w:rsid w:val="009D2A31"/>
    <w:rsid w:val="009D2B9A"/>
    <w:rsid w:val="009D2BE6"/>
    <w:rsid w:val="009D2C70"/>
    <w:rsid w:val="009D2E14"/>
    <w:rsid w:val="009D3B7C"/>
    <w:rsid w:val="009D4537"/>
    <w:rsid w:val="009D45F1"/>
    <w:rsid w:val="009D6983"/>
    <w:rsid w:val="009E151E"/>
    <w:rsid w:val="009E32EE"/>
    <w:rsid w:val="009E53AD"/>
    <w:rsid w:val="009F00A4"/>
    <w:rsid w:val="009F1093"/>
    <w:rsid w:val="009F1574"/>
    <w:rsid w:val="009F3EB0"/>
    <w:rsid w:val="009F617D"/>
    <w:rsid w:val="009F6344"/>
    <w:rsid w:val="009F71BA"/>
    <w:rsid w:val="009F7BC4"/>
    <w:rsid w:val="00A00D43"/>
    <w:rsid w:val="00A0183F"/>
    <w:rsid w:val="00A02FB5"/>
    <w:rsid w:val="00A0341E"/>
    <w:rsid w:val="00A044DA"/>
    <w:rsid w:val="00A050CB"/>
    <w:rsid w:val="00A0539D"/>
    <w:rsid w:val="00A058A4"/>
    <w:rsid w:val="00A0700F"/>
    <w:rsid w:val="00A076AD"/>
    <w:rsid w:val="00A115D1"/>
    <w:rsid w:val="00A117AB"/>
    <w:rsid w:val="00A1208F"/>
    <w:rsid w:val="00A13BD6"/>
    <w:rsid w:val="00A147EB"/>
    <w:rsid w:val="00A14BC4"/>
    <w:rsid w:val="00A17190"/>
    <w:rsid w:val="00A25636"/>
    <w:rsid w:val="00A3163F"/>
    <w:rsid w:val="00A31D4E"/>
    <w:rsid w:val="00A32FA9"/>
    <w:rsid w:val="00A34E14"/>
    <w:rsid w:val="00A34E95"/>
    <w:rsid w:val="00A36F4E"/>
    <w:rsid w:val="00A37B08"/>
    <w:rsid w:val="00A42278"/>
    <w:rsid w:val="00A42F14"/>
    <w:rsid w:val="00A45700"/>
    <w:rsid w:val="00A4614C"/>
    <w:rsid w:val="00A463D4"/>
    <w:rsid w:val="00A47120"/>
    <w:rsid w:val="00A47BFC"/>
    <w:rsid w:val="00A500E9"/>
    <w:rsid w:val="00A517BF"/>
    <w:rsid w:val="00A51C83"/>
    <w:rsid w:val="00A523B2"/>
    <w:rsid w:val="00A52FA1"/>
    <w:rsid w:val="00A54747"/>
    <w:rsid w:val="00A55898"/>
    <w:rsid w:val="00A56542"/>
    <w:rsid w:val="00A56E01"/>
    <w:rsid w:val="00A6016E"/>
    <w:rsid w:val="00A62AA7"/>
    <w:rsid w:val="00A62B0D"/>
    <w:rsid w:val="00A63AC4"/>
    <w:rsid w:val="00A6401A"/>
    <w:rsid w:val="00A65947"/>
    <w:rsid w:val="00A67918"/>
    <w:rsid w:val="00A7073B"/>
    <w:rsid w:val="00A7491A"/>
    <w:rsid w:val="00A765FB"/>
    <w:rsid w:val="00A77D74"/>
    <w:rsid w:val="00A80D3F"/>
    <w:rsid w:val="00A8136B"/>
    <w:rsid w:val="00A8242A"/>
    <w:rsid w:val="00A8252F"/>
    <w:rsid w:val="00A833BC"/>
    <w:rsid w:val="00A83640"/>
    <w:rsid w:val="00A84AF1"/>
    <w:rsid w:val="00A85DC6"/>
    <w:rsid w:val="00A86FFE"/>
    <w:rsid w:val="00A87138"/>
    <w:rsid w:val="00A92C8A"/>
    <w:rsid w:val="00A93501"/>
    <w:rsid w:val="00A936C3"/>
    <w:rsid w:val="00A95DA0"/>
    <w:rsid w:val="00A96604"/>
    <w:rsid w:val="00A9674B"/>
    <w:rsid w:val="00A96A0B"/>
    <w:rsid w:val="00A96BB4"/>
    <w:rsid w:val="00A96DDF"/>
    <w:rsid w:val="00AA2738"/>
    <w:rsid w:val="00AA6DD1"/>
    <w:rsid w:val="00AB1319"/>
    <w:rsid w:val="00AB22CF"/>
    <w:rsid w:val="00AB32F0"/>
    <w:rsid w:val="00AB3641"/>
    <w:rsid w:val="00AB50C7"/>
    <w:rsid w:val="00AB5662"/>
    <w:rsid w:val="00AC0184"/>
    <w:rsid w:val="00AC24E6"/>
    <w:rsid w:val="00AC25E1"/>
    <w:rsid w:val="00AC2FCD"/>
    <w:rsid w:val="00AC40D3"/>
    <w:rsid w:val="00AD2606"/>
    <w:rsid w:val="00AE18D6"/>
    <w:rsid w:val="00AE1DEB"/>
    <w:rsid w:val="00AE5429"/>
    <w:rsid w:val="00AE7565"/>
    <w:rsid w:val="00AF0488"/>
    <w:rsid w:val="00AF0909"/>
    <w:rsid w:val="00AF18CA"/>
    <w:rsid w:val="00AF2389"/>
    <w:rsid w:val="00AF2F8B"/>
    <w:rsid w:val="00AF3664"/>
    <w:rsid w:val="00AF46E4"/>
    <w:rsid w:val="00AF4F00"/>
    <w:rsid w:val="00AF6E41"/>
    <w:rsid w:val="00B05948"/>
    <w:rsid w:val="00B06A44"/>
    <w:rsid w:val="00B10B14"/>
    <w:rsid w:val="00B10CAE"/>
    <w:rsid w:val="00B16069"/>
    <w:rsid w:val="00B1658B"/>
    <w:rsid w:val="00B20AB2"/>
    <w:rsid w:val="00B227C6"/>
    <w:rsid w:val="00B22B59"/>
    <w:rsid w:val="00B22B6B"/>
    <w:rsid w:val="00B23D47"/>
    <w:rsid w:val="00B26E3A"/>
    <w:rsid w:val="00B30AD1"/>
    <w:rsid w:val="00B329A8"/>
    <w:rsid w:val="00B34C76"/>
    <w:rsid w:val="00B34CCA"/>
    <w:rsid w:val="00B35DF8"/>
    <w:rsid w:val="00B4004B"/>
    <w:rsid w:val="00B401CC"/>
    <w:rsid w:val="00B40929"/>
    <w:rsid w:val="00B4276E"/>
    <w:rsid w:val="00B42DC6"/>
    <w:rsid w:val="00B44840"/>
    <w:rsid w:val="00B45714"/>
    <w:rsid w:val="00B45A6D"/>
    <w:rsid w:val="00B45EBE"/>
    <w:rsid w:val="00B52BA7"/>
    <w:rsid w:val="00B5435E"/>
    <w:rsid w:val="00B55B56"/>
    <w:rsid w:val="00B55F81"/>
    <w:rsid w:val="00B562B4"/>
    <w:rsid w:val="00B56935"/>
    <w:rsid w:val="00B57CCC"/>
    <w:rsid w:val="00B60469"/>
    <w:rsid w:val="00B60519"/>
    <w:rsid w:val="00B60617"/>
    <w:rsid w:val="00B61A24"/>
    <w:rsid w:val="00B62158"/>
    <w:rsid w:val="00B63DB1"/>
    <w:rsid w:val="00B63F39"/>
    <w:rsid w:val="00B66030"/>
    <w:rsid w:val="00B67848"/>
    <w:rsid w:val="00B729FF"/>
    <w:rsid w:val="00B730DD"/>
    <w:rsid w:val="00B738DE"/>
    <w:rsid w:val="00B73E17"/>
    <w:rsid w:val="00B7510B"/>
    <w:rsid w:val="00B751E6"/>
    <w:rsid w:val="00B75396"/>
    <w:rsid w:val="00B757A3"/>
    <w:rsid w:val="00B81A21"/>
    <w:rsid w:val="00B81A38"/>
    <w:rsid w:val="00B82A76"/>
    <w:rsid w:val="00B85D78"/>
    <w:rsid w:val="00B85EBE"/>
    <w:rsid w:val="00B90D5A"/>
    <w:rsid w:val="00B9145E"/>
    <w:rsid w:val="00B922CF"/>
    <w:rsid w:val="00B93C59"/>
    <w:rsid w:val="00B947F4"/>
    <w:rsid w:val="00B94B0A"/>
    <w:rsid w:val="00B9660B"/>
    <w:rsid w:val="00B97978"/>
    <w:rsid w:val="00B97BCE"/>
    <w:rsid w:val="00BA1C6C"/>
    <w:rsid w:val="00BA347A"/>
    <w:rsid w:val="00BA5733"/>
    <w:rsid w:val="00BA71B6"/>
    <w:rsid w:val="00BB2B95"/>
    <w:rsid w:val="00BB4DA7"/>
    <w:rsid w:val="00BB50DC"/>
    <w:rsid w:val="00BB527A"/>
    <w:rsid w:val="00BC29D2"/>
    <w:rsid w:val="00BC617A"/>
    <w:rsid w:val="00BC6FC7"/>
    <w:rsid w:val="00BC7CF7"/>
    <w:rsid w:val="00BD493B"/>
    <w:rsid w:val="00BD5DEE"/>
    <w:rsid w:val="00BD6E48"/>
    <w:rsid w:val="00BD71F2"/>
    <w:rsid w:val="00BD765D"/>
    <w:rsid w:val="00BD7EB3"/>
    <w:rsid w:val="00BE0489"/>
    <w:rsid w:val="00BE0FAD"/>
    <w:rsid w:val="00BE114A"/>
    <w:rsid w:val="00BE318D"/>
    <w:rsid w:val="00BE5A7E"/>
    <w:rsid w:val="00BE67EE"/>
    <w:rsid w:val="00BE6E8D"/>
    <w:rsid w:val="00BE776A"/>
    <w:rsid w:val="00BF0C34"/>
    <w:rsid w:val="00BF0CF4"/>
    <w:rsid w:val="00BF1C5E"/>
    <w:rsid w:val="00BF2579"/>
    <w:rsid w:val="00BF5188"/>
    <w:rsid w:val="00BF7EB6"/>
    <w:rsid w:val="00C0019C"/>
    <w:rsid w:val="00C02775"/>
    <w:rsid w:val="00C03566"/>
    <w:rsid w:val="00C04E53"/>
    <w:rsid w:val="00C0591C"/>
    <w:rsid w:val="00C05A87"/>
    <w:rsid w:val="00C072BC"/>
    <w:rsid w:val="00C0769E"/>
    <w:rsid w:val="00C07938"/>
    <w:rsid w:val="00C07DAC"/>
    <w:rsid w:val="00C1011B"/>
    <w:rsid w:val="00C108F9"/>
    <w:rsid w:val="00C10974"/>
    <w:rsid w:val="00C1397F"/>
    <w:rsid w:val="00C14AC8"/>
    <w:rsid w:val="00C156E4"/>
    <w:rsid w:val="00C165BE"/>
    <w:rsid w:val="00C16E5E"/>
    <w:rsid w:val="00C175EC"/>
    <w:rsid w:val="00C17642"/>
    <w:rsid w:val="00C1779E"/>
    <w:rsid w:val="00C17ED0"/>
    <w:rsid w:val="00C2015D"/>
    <w:rsid w:val="00C203D4"/>
    <w:rsid w:val="00C21A59"/>
    <w:rsid w:val="00C223B7"/>
    <w:rsid w:val="00C2322D"/>
    <w:rsid w:val="00C24067"/>
    <w:rsid w:val="00C244D9"/>
    <w:rsid w:val="00C24D93"/>
    <w:rsid w:val="00C31260"/>
    <w:rsid w:val="00C31BD2"/>
    <w:rsid w:val="00C345B1"/>
    <w:rsid w:val="00C36B40"/>
    <w:rsid w:val="00C36C15"/>
    <w:rsid w:val="00C37052"/>
    <w:rsid w:val="00C40C6B"/>
    <w:rsid w:val="00C41E1E"/>
    <w:rsid w:val="00C42CB7"/>
    <w:rsid w:val="00C442AB"/>
    <w:rsid w:val="00C44C25"/>
    <w:rsid w:val="00C45987"/>
    <w:rsid w:val="00C45C7F"/>
    <w:rsid w:val="00C46641"/>
    <w:rsid w:val="00C467BA"/>
    <w:rsid w:val="00C50925"/>
    <w:rsid w:val="00C51021"/>
    <w:rsid w:val="00C52618"/>
    <w:rsid w:val="00C526DB"/>
    <w:rsid w:val="00C5397F"/>
    <w:rsid w:val="00C54D68"/>
    <w:rsid w:val="00C5731C"/>
    <w:rsid w:val="00C57400"/>
    <w:rsid w:val="00C60143"/>
    <w:rsid w:val="00C60392"/>
    <w:rsid w:val="00C609B1"/>
    <w:rsid w:val="00C60CA0"/>
    <w:rsid w:val="00C60D71"/>
    <w:rsid w:val="00C6227F"/>
    <w:rsid w:val="00C646B5"/>
    <w:rsid w:val="00C650F5"/>
    <w:rsid w:val="00C70305"/>
    <w:rsid w:val="00C7330E"/>
    <w:rsid w:val="00C749CD"/>
    <w:rsid w:val="00C756E9"/>
    <w:rsid w:val="00C75B20"/>
    <w:rsid w:val="00C825FE"/>
    <w:rsid w:val="00C82A54"/>
    <w:rsid w:val="00C83FAB"/>
    <w:rsid w:val="00C851DF"/>
    <w:rsid w:val="00C854C1"/>
    <w:rsid w:val="00C85791"/>
    <w:rsid w:val="00C868C7"/>
    <w:rsid w:val="00C879A2"/>
    <w:rsid w:val="00C87D2B"/>
    <w:rsid w:val="00C9070B"/>
    <w:rsid w:val="00C91DF4"/>
    <w:rsid w:val="00C921A7"/>
    <w:rsid w:val="00C9342A"/>
    <w:rsid w:val="00C942BE"/>
    <w:rsid w:val="00C94696"/>
    <w:rsid w:val="00C94D08"/>
    <w:rsid w:val="00C9738C"/>
    <w:rsid w:val="00C975BD"/>
    <w:rsid w:val="00CA080E"/>
    <w:rsid w:val="00CA3A5D"/>
    <w:rsid w:val="00CA6F89"/>
    <w:rsid w:val="00CA70B1"/>
    <w:rsid w:val="00CB04D0"/>
    <w:rsid w:val="00CB050D"/>
    <w:rsid w:val="00CB052C"/>
    <w:rsid w:val="00CB07A6"/>
    <w:rsid w:val="00CB2868"/>
    <w:rsid w:val="00CB3A6D"/>
    <w:rsid w:val="00CB4CAF"/>
    <w:rsid w:val="00CB627A"/>
    <w:rsid w:val="00CB6286"/>
    <w:rsid w:val="00CB6357"/>
    <w:rsid w:val="00CB648D"/>
    <w:rsid w:val="00CB6EC3"/>
    <w:rsid w:val="00CB7033"/>
    <w:rsid w:val="00CC211E"/>
    <w:rsid w:val="00CC3A37"/>
    <w:rsid w:val="00CC4376"/>
    <w:rsid w:val="00CC482F"/>
    <w:rsid w:val="00CC4FD3"/>
    <w:rsid w:val="00CC5509"/>
    <w:rsid w:val="00CD0319"/>
    <w:rsid w:val="00CD19B2"/>
    <w:rsid w:val="00CD25F7"/>
    <w:rsid w:val="00CD38BE"/>
    <w:rsid w:val="00CD4AAE"/>
    <w:rsid w:val="00CD4BF3"/>
    <w:rsid w:val="00CD7841"/>
    <w:rsid w:val="00CE1174"/>
    <w:rsid w:val="00CE16C7"/>
    <w:rsid w:val="00CE1A50"/>
    <w:rsid w:val="00CE2764"/>
    <w:rsid w:val="00CE3B33"/>
    <w:rsid w:val="00CE46F0"/>
    <w:rsid w:val="00CE4850"/>
    <w:rsid w:val="00CE4ADA"/>
    <w:rsid w:val="00CE5943"/>
    <w:rsid w:val="00CE5DCE"/>
    <w:rsid w:val="00CE6442"/>
    <w:rsid w:val="00CF047C"/>
    <w:rsid w:val="00CF052D"/>
    <w:rsid w:val="00CF203D"/>
    <w:rsid w:val="00CF26EF"/>
    <w:rsid w:val="00CF358D"/>
    <w:rsid w:val="00CF470B"/>
    <w:rsid w:val="00CF4965"/>
    <w:rsid w:val="00D004A8"/>
    <w:rsid w:val="00D0232D"/>
    <w:rsid w:val="00D02CFC"/>
    <w:rsid w:val="00D02E77"/>
    <w:rsid w:val="00D0743B"/>
    <w:rsid w:val="00D152B9"/>
    <w:rsid w:val="00D1549F"/>
    <w:rsid w:val="00D16E20"/>
    <w:rsid w:val="00D17A14"/>
    <w:rsid w:val="00D20D4D"/>
    <w:rsid w:val="00D24EB2"/>
    <w:rsid w:val="00D2663C"/>
    <w:rsid w:val="00D305B4"/>
    <w:rsid w:val="00D3188E"/>
    <w:rsid w:val="00D329A6"/>
    <w:rsid w:val="00D329DB"/>
    <w:rsid w:val="00D337AB"/>
    <w:rsid w:val="00D33E81"/>
    <w:rsid w:val="00D364A0"/>
    <w:rsid w:val="00D36FA8"/>
    <w:rsid w:val="00D41560"/>
    <w:rsid w:val="00D45025"/>
    <w:rsid w:val="00D45170"/>
    <w:rsid w:val="00D475CF"/>
    <w:rsid w:val="00D50047"/>
    <w:rsid w:val="00D501D7"/>
    <w:rsid w:val="00D51225"/>
    <w:rsid w:val="00D51524"/>
    <w:rsid w:val="00D5172C"/>
    <w:rsid w:val="00D51C48"/>
    <w:rsid w:val="00D5523B"/>
    <w:rsid w:val="00D55BAB"/>
    <w:rsid w:val="00D55DAF"/>
    <w:rsid w:val="00D55E30"/>
    <w:rsid w:val="00D56F46"/>
    <w:rsid w:val="00D62F9F"/>
    <w:rsid w:val="00D65C15"/>
    <w:rsid w:val="00D65D1E"/>
    <w:rsid w:val="00D66BC5"/>
    <w:rsid w:val="00D6776F"/>
    <w:rsid w:val="00D67D34"/>
    <w:rsid w:val="00D700AF"/>
    <w:rsid w:val="00D711D8"/>
    <w:rsid w:val="00D76F42"/>
    <w:rsid w:val="00D77D63"/>
    <w:rsid w:val="00D80954"/>
    <w:rsid w:val="00D821C6"/>
    <w:rsid w:val="00D85058"/>
    <w:rsid w:val="00D87845"/>
    <w:rsid w:val="00D92459"/>
    <w:rsid w:val="00D934CD"/>
    <w:rsid w:val="00D941EA"/>
    <w:rsid w:val="00D95822"/>
    <w:rsid w:val="00D95E57"/>
    <w:rsid w:val="00DA0DFA"/>
    <w:rsid w:val="00DA5DEC"/>
    <w:rsid w:val="00DA6115"/>
    <w:rsid w:val="00DA6977"/>
    <w:rsid w:val="00DB05D8"/>
    <w:rsid w:val="00DB223B"/>
    <w:rsid w:val="00DB3BE5"/>
    <w:rsid w:val="00DB3FB3"/>
    <w:rsid w:val="00DB4416"/>
    <w:rsid w:val="00DB5658"/>
    <w:rsid w:val="00DB780B"/>
    <w:rsid w:val="00DC06BC"/>
    <w:rsid w:val="00DC117E"/>
    <w:rsid w:val="00DC16E0"/>
    <w:rsid w:val="00DC2499"/>
    <w:rsid w:val="00DC31C9"/>
    <w:rsid w:val="00DC5842"/>
    <w:rsid w:val="00DC68AC"/>
    <w:rsid w:val="00DC68CE"/>
    <w:rsid w:val="00DD1080"/>
    <w:rsid w:val="00DD1675"/>
    <w:rsid w:val="00DD1B9B"/>
    <w:rsid w:val="00DD4271"/>
    <w:rsid w:val="00DD4E08"/>
    <w:rsid w:val="00DD644A"/>
    <w:rsid w:val="00DE0863"/>
    <w:rsid w:val="00DE153E"/>
    <w:rsid w:val="00DE1BD6"/>
    <w:rsid w:val="00DE3232"/>
    <w:rsid w:val="00DE7858"/>
    <w:rsid w:val="00DE7911"/>
    <w:rsid w:val="00DF0760"/>
    <w:rsid w:val="00DF2089"/>
    <w:rsid w:val="00DF26AB"/>
    <w:rsid w:val="00DF3394"/>
    <w:rsid w:val="00DF4895"/>
    <w:rsid w:val="00DF692D"/>
    <w:rsid w:val="00DF6C5A"/>
    <w:rsid w:val="00DF7D6E"/>
    <w:rsid w:val="00E004AB"/>
    <w:rsid w:val="00E01BF7"/>
    <w:rsid w:val="00E03059"/>
    <w:rsid w:val="00E03BB4"/>
    <w:rsid w:val="00E03C73"/>
    <w:rsid w:val="00E04223"/>
    <w:rsid w:val="00E066C9"/>
    <w:rsid w:val="00E070C4"/>
    <w:rsid w:val="00E1069A"/>
    <w:rsid w:val="00E10E42"/>
    <w:rsid w:val="00E113CC"/>
    <w:rsid w:val="00E12724"/>
    <w:rsid w:val="00E127C0"/>
    <w:rsid w:val="00E12EE0"/>
    <w:rsid w:val="00E155B8"/>
    <w:rsid w:val="00E166B3"/>
    <w:rsid w:val="00E169E3"/>
    <w:rsid w:val="00E16AD0"/>
    <w:rsid w:val="00E226DF"/>
    <w:rsid w:val="00E22803"/>
    <w:rsid w:val="00E22884"/>
    <w:rsid w:val="00E23394"/>
    <w:rsid w:val="00E23C7E"/>
    <w:rsid w:val="00E24BBD"/>
    <w:rsid w:val="00E25C7D"/>
    <w:rsid w:val="00E265B0"/>
    <w:rsid w:val="00E26AA3"/>
    <w:rsid w:val="00E27684"/>
    <w:rsid w:val="00E27EC3"/>
    <w:rsid w:val="00E30845"/>
    <w:rsid w:val="00E30E15"/>
    <w:rsid w:val="00E317CF"/>
    <w:rsid w:val="00E35252"/>
    <w:rsid w:val="00E35DF6"/>
    <w:rsid w:val="00E37371"/>
    <w:rsid w:val="00E4039C"/>
    <w:rsid w:val="00E40BA3"/>
    <w:rsid w:val="00E40D7D"/>
    <w:rsid w:val="00E41528"/>
    <w:rsid w:val="00E41DB2"/>
    <w:rsid w:val="00E46943"/>
    <w:rsid w:val="00E47B85"/>
    <w:rsid w:val="00E47E47"/>
    <w:rsid w:val="00E50A41"/>
    <w:rsid w:val="00E50EED"/>
    <w:rsid w:val="00E51971"/>
    <w:rsid w:val="00E51D93"/>
    <w:rsid w:val="00E525F5"/>
    <w:rsid w:val="00E54693"/>
    <w:rsid w:val="00E55912"/>
    <w:rsid w:val="00E603A1"/>
    <w:rsid w:val="00E702D8"/>
    <w:rsid w:val="00E703DD"/>
    <w:rsid w:val="00E72251"/>
    <w:rsid w:val="00E731DC"/>
    <w:rsid w:val="00E74FC9"/>
    <w:rsid w:val="00E752B3"/>
    <w:rsid w:val="00E75EA6"/>
    <w:rsid w:val="00E7662C"/>
    <w:rsid w:val="00E76D1C"/>
    <w:rsid w:val="00E77AC7"/>
    <w:rsid w:val="00E80DE9"/>
    <w:rsid w:val="00E826C4"/>
    <w:rsid w:val="00E85628"/>
    <w:rsid w:val="00E87B41"/>
    <w:rsid w:val="00E87C25"/>
    <w:rsid w:val="00E9030C"/>
    <w:rsid w:val="00E926B5"/>
    <w:rsid w:val="00E93E2B"/>
    <w:rsid w:val="00E969ED"/>
    <w:rsid w:val="00E97749"/>
    <w:rsid w:val="00EA09FB"/>
    <w:rsid w:val="00EA1DCD"/>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C63E8"/>
    <w:rsid w:val="00EC6C6F"/>
    <w:rsid w:val="00ED14D1"/>
    <w:rsid w:val="00ED391C"/>
    <w:rsid w:val="00ED6F4B"/>
    <w:rsid w:val="00ED7A0A"/>
    <w:rsid w:val="00EE1575"/>
    <w:rsid w:val="00EE1606"/>
    <w:rsid w:val="00EE2C00"/>
    <w:rsid w:val="00EE3AB1"/>
    <w:rsid w:val="00EE3E2E"/>
    <w:rsid w:val="00EE695D"/>
    <w:rsid w:val="00EF0ABE"/>
    <w:rsid w:val="00EF16FD"/>
    <w:rsid w:val="00EF2D6C"/>
    <w:rsid w:val="00EF3DB7"/>
    <w:rsid w:val="00EF42C2"/>
    <w:rsid w:val="00EF4A9D"/>
    <w:rsid w:val="00EF5968"/>
    <w:rsid w:val="00F00B70"/>
    <w:rsid w:val="00F024F0"/>
    <w:rsid w:val="00F0590E"/>
    <w:rsid w:val="00F05BE6"/>
    <w:rsid w:val="00F05C25"/>
    <w:rsid w:val="00F10C30"/>
    <w:rsid w:val="00F1348C"/>
    <w:rsid w:val="00F16704"/>
    <w:rsid w:val="00F169FF"/>
    <w:rsid w:val="00F16AEC"/>
    <w:rsid w:val="00F16BEF"/>
    <w:rsid w:val="00F17AA3"/>
    <w:rsid w:val="00F20747"/>
    <w:rsid w:val="00F21E83"/>
    <w:rsid w:val="00F23292"/>
    <w:rsid w:val="00F24300"/>
    <w:rsid w:val="00F2620E"/>
    <w:rsid w:val="00F27B1C"/>
    <w:rsid w:val="00F31D40"/>
    <w:rsid w:val="00F33051"/>
    <w:rsid w:val="00F335A0"/>
    <w:rsid w:val="00F3370F"/>
    <w:rsid w:val="00F33D07"/>
    <w:rsid w:val="00F347F7"/>
    <w:rsid w:val="00F36A30"/>
    <w:rsid w:val="00F37451"/>
    <w:rsid w:val="00F40D36"/>
    <w:rsid w:val="00F41B80"/>
    <w:rsid w:val="00F41C50"/>
    <w:rsid w:val="00F41DF9"/>
    <w:rsid w:val="00F42C74"/>
    <w:rsid w:val="00F4340B"/>
    <w:rsid w:val="00F43642"/>
    <w:rsid w:val="00F4447E"/>
    <w:rsid w:val="00F4474B"/>
    <w:rsid w:val="00F50580"/>
    <w:rsid w:val="00F51D48"/>
    <w:rsid w:val="00F51F01"/>
    <w:rsid w:val="00F51F12"/>
    <w:rsid w:val="00F526DD"/>
    <w:rsid w:val="00F548D5"/>
    <w:rsid w:val="00F54E93"/>
    <w:rsid w:val="00F54EEB"/>
    <w:rsid w:val="00F57D48"/>
    <w:rsid w:val="00F6279B"/>
    <w:rsid w:val="00F62824"/>
    <w:rsid w:val="00F6661F"/>
    <w:rsid w:val="00F67825"/>
    <w:rsid w:val="00F71582"/>
    <w:rsid w:val="00F72305"/>
    <w:rsid w:val="00F759FC"/>
    <w:rsid w:val="00F75A5C"/>
    <w:rsid w:val="00F80507"/>
    <w:rsid w:val="00F81F44"/>
    <w:rsid w:val="00F823A9"/>
    <w:rsid w:val="00F825C3"/>
    <w:rsid w:val="00F82CBC"/>
    <w:rsid w:val="00F86F7D"/>
    <w:rsid w:val="00F87457"/>
    <w:rsid w:val="00F87D43"/>
    <w:rsid w:val="00F90D17"/>
    <w:rsid w:val="00F91032"/>
    <w:rsid w:val="00F915F4"/>
    <w:rsid w:val="00F940B8"/>
    <w:rsid w:val="00F94BF7"/>
    <w:rsid w:val="00F97182"/>
    <w:rsid w:val="00F9767C"/>
    <w:rsid w:val="00F976B8"/>
    <w:rsid w:val="00FA2450"/>
    <w:rsid w:val="00FA6870"/>
    <w:rsid w:val="00FA71CB"/>
    <w:rsid w:val="00FB0E67"/>
    <w:rsid w:val="00FB23FD"/>
    <w:rsid w:val="00FB2877"/>
    <w:rsid w:val="00FB35A1"/>
    <w:rsid w:val="00FB41FC"/>
    <w:rsid w:val="00FB4C58"/>
    <w:rsid w:val="00FB57E6"/>
    <w:rsid w:val="00FB5DA6"/>
    <w:rsid w:val="00FB6B74"/>
    <w:rsid w:val="00FB7C0C"/>
    <w:rsid w:val="00FC041A"/>
    <w:rsid w:val="00FC3177"/>
    <w:rsid w:val="00FC4610"/>
    <w:rsid w:val="00FC4856"/>
    <w:rsid w:val="00FC59D3"/>
    <w:rsid w:val="00FC6039"/>
    <w:rsid w:val="00FC65AA"/>
    <w:rsid w:val="00FC67BB"/>
    <w:rsid w:val="00FC7175"/>
    <w:rsid w:val="00FD003F"/>
    <w:rsid w:val="00FD05F2"/>
    <w:rsid w:val="00FD1172"/>
    <w:rsid w:val="00FD211D"/>
    <w:rsid w:val="00FD4614"/>
    <w:rsid w:val="00FD4FAA"/>
    <w:rsid w:val="00FD54C0"/>
    <w:rsid w:val="00FE032D"/>
    <w:rsid w:val="00FE060E"/>
    <w:rsid w:val="00FE1158"/>
    <w:rsid w:val="00FE22DC"/>
    <w:rsid w:val="00FE2985"/>
    <w:rsid w:val="00FE29AF"/>
    <w:rsid w:val="00FE4860"/>
    <w:rsid w:val="00FF0CBD"/>
    <w:rsid w:val="00FF0F3D"/>
    <w:rsid w:val="00FF28F7"/>
    <w:rsid w:val="00FF4020"/>
    <w:rsid w:val="00FF415C"/>
    <w:rsid w:val="00FF5B4C"/>
    <w:rsid w:val="00FF5C67"/>
    <w:rsid w:val="00FF63A5"/>
    <w:rsid w:val="00FF77AC"/>
    <w:rsid w:val="0449D20F"/>
    <w:rsid w:val="069DD474"/>
    <w:rsid w:val="0849035E"/>
    <w:rsid w:val="1DC46BE8"/>
    <w:rsid w:val="26E05B17"/>
    <w:rsid w:val="38D6D42B"/>
    <w:rsid w:val="3B1A8F21"/>
    <w:rsid w:val="4A15EF32"/>
    <w:rsid w:val="4BA13CEF"/>
    <w:rsid w:val="5281FA9D"/>
    <w:rsid w:val="53768B97"/>
    <w:rsid w:val="71A2DFB8"/>
    <w:rsid w:val="73073586"/>
    <w:rsid w:val="772E088D"/>
    <w:rsid w:val="7A9DDD5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55F9B6"/>
  <w14:defaultImageDpi w14:val="32767"/>
  <w15:chartTrackingRefBased/>
  <w15:docId w15:val="{C04DED5D-F628-4F8F-AD4D-FF16F732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3F"/>
    <w:pPr>
      <w:tabs>
        <w:tab w:val="left" w:pos="567"/>
      </w:tabs>
    </w:pPr>
    <w:rPr>
      <w:rFonts w:eastAsia="PMingLiU"/>
      <w:sz w:val="22"/>
      <w:szCs w:val="22"/>
      <w:lang w:val="el-GR"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qFormat/>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el-GR"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el-GR"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el-GR" w:eastAsia="en-US"/>
    </w:rPr>
  </w:style>
  <w:style w:type="character" w:customStyle="1" w:styleId="SidhuvudChar1">
    <w:name w:val="Sidhuvud Char1"/>
    <w:rPr>
      <w:rFonts w:ascii="Helvetica" w:hAnsi="Helvetica"/>
      <w:lang w:val="el-GR"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el-GR"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el-GR"/>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el-GR"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el-GR"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el-GR" w:eastAsia="en-US"/>
    </w:rPr>
  </w:style>
  <w:style w:type="character" w:customStyle="1" w:styleId="z3988">
    <w:name w:val="z3988"/>
    <w:basedOn w:val="DefaultParagraphFont"/>
  </w:style>
  <w:style w:type="character" w:customStyle="1" w:styleId="SidhuvudChar2">
    <w:name w:val="Sidhuvud Char2"/>
    <w:rPr>
      <w:rFonts w:ascii="Helvetica" w:hAnsi="Helvetica"/>
      <w:lang w:val="el-GR"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link w:val="TitleBChar"/>
    <w:qFormat/>
    <w:rsid w:val="00BF5188"/>
    <w:pPr>
      <w:keepNext/>
      <w:tabs>
        <w:tab w:val="clear" w:pos="567"/>
      </w:tabs>
      <w:ind w:left="567" w:hanging="567"/>
    </w:pPr>
    <w:rPr>
      <w:b/>
      <w:bCs/>
    </w:rPr>
  </w:style>
  <w:style w:type="character" w:customStyle="1" w:styleId="CommentTextChar">
    <w:name w:val="Comment Text Char"/>
    <w:link w:val="CommentText"/>
    <w:rsid w:val="006606E8"/>
    <w:rPr>
      <w:lang w:val="el-GR"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el-GR" w:eastAsia="ja-JP"/>
    </w:rPr>
  </w:style>
  <w:style w:type="paragraph" w:styleId="ListParagraph">
    <w:name w:val="List Paragraph"/>
    <w:basedOn w:val="Normal"/>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el-GR"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el-GR"/>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el-GR" w:eastAsia="en-US"/>
    </w:rPr>
  </w:style>
  <w:style w:type="character" w:customStyle="1" w:styleId="Heading2Char">
    <w:name w:val="Heading 2 Char"/>
    <w:link w:val="Heading2"/>
    <w:rsid w:val="00951F81"/>
    <w:rPr>
      <w:rFonts w:ascii="Helvetica" w:eastAsia="PMingLiU" w:hAnsi="Helvetica"/>
      <w:b/>
      <w:i/>
      <w:sz w:val="24"/>
      <w:szCs w:val="22"/>
      <w:lang w:val="el-GR" w:eastAsia="en-US"/>
    </w:rPr>
  </w:style>
  <w:style w:type="character" w:customStyle="1" w:styleId="Heading3Char">
    <w:name w:val="Heading 3 Char"/>
    <w:link w:val="Heading3"/>
    <w:rsid w:val="00951F81"/>
    <w:rPr>
      <w:rFonts w:eastAsia="PMingLiU"/>
      <w:b/>
      <w:kern w:val="28"/>
      <w:sz w:val="24"/>
      <w:szCs w:val="22"/>
      <w:lang w:val="el-GR" w:eastAsia="en-US"/>
    </w:rPr>
  </w:style>
  <w:style w:type="character" w:customStyle="1" w:styleId="Heading4Char">
    <w:name w:val="Heading 4 Char"/>
    <w:link w:val="Heading4"/>
    <w:rsid w:val="00951F81"/>
    <w:rPr>
      <w:rFonts w:eastAsia="PMingLiU"/>
      <w:b/>
      <w:noProof/>
      <w:sz w:val="22"/>
      <w:szCs w:val="22"/>
      <w:lang w:val="el-GR" w:eastAsia="en-US"/>
    </w:rPr>
  </w:style>
  <w:style w:type="character" w:customStyle="1" w:styleId="Heading5Char">
    <w:name w:val="Heading 5 Char"/>
    <w:link w:val="Heading5"/>
    <w:rsid w:val="00951F81"/>
    <w:rPr>
      <w:rFonts w:eastAsia="PMingLiU"/>
      <w:noProof/>
      <w:sz w:val="22"/>
      <w:szCs w:val="22"/>
      <w:lang w:val="el-GR" w:eastAsia="en-US"/>
    </w:rPr>
  </w:style>
  <w:style w:type="character" w:customStyle="1" w:styleId="Heading6Char">
    <w:name w:val="Heading 6 Char"/>
    <w:link w:val="Heading6"/>
    <w:rsid w:val="00951F81"/>
    <w:rPr>
      <w:rFonts w:eastAsia="PMingLiU"/>
      <w:i/>
      <w:sz w:val="22"/>
      <w:szCs w:val="22"/>
      <w:lang w:val="el-GR" w:eastAsia="en-US"/>
    </w:rPr>
  </w:style>
  <w:style w:type="character" w:customStyle="1" w:styleId="Heading7Char">
    <w:name w:val="Heading 7 Char"/>
    <w:link w:val="Heading7"/>
    <w:rsid w:val="00951F81"/>
    <w:rPr>
      <w:rFonts w:eastAsia="PMingLiU"/>
      <w:i/>
      <w:sz w:val="22"/>
      <w:szCs w:val="22"/>
      <w:lang w:val="el-GR" w:eastAsia="en-US"/>
    </w:rPr>
  </w:style>
  <w:style w:type="character" w:customStyle="1" w:styleId="Heading8Char">
    <w:name w:val="Heading 8 Char"/>
    <w:link w:val="Heading8"/>
    <w:rsid w:val="00951F81"/>
    <w:rPr>
      <w:rFonts w:eastAsia="PMingLiU"/>
      <w:b/>
      <w:i/>
      <w:sz w:val="22"/>
      <w:szCs w:val="22"/>
      <w:lang w:val="el-GR" w:eastAsia="en-US"/>
    </w:rPr>
  </w:style>
  <w:style w:type="character" w:customStyle="1" w:styleId="Heading9Char">
    <w:name w:val="Heading 9 Char"/>
    <w:link w:val="Heading9"/>
    <w:rsid w:val="00951F81"/>
    <w:rPr>
      <w:rFonts w:eastAsia="PMingLiU"/>
      <w:b/>
      <w:i/>
      <w:sz w:val="22"/>
      <w:szCs w:val="22"/>
      <w:lang w:val="el-GR" w:eastAsia="en-US"/>
    </w:rPr>
  </w:style>
  <w:style w:type="character" w:customStyle="1" w:styleId="HeaderChar">
    <w:name w:val="Header Char"/>
    <w:link w:val="Header"/>
    <w:rsid w:val="00951F81"/>
    <w:rPr>
      <w:rFonts w:ascii="Helvetica" w:eastAsia="PMingLiU" w:hAnsi="Helvetica"/>
      <w:szCs w:val="22"/>
      <w:lang w:val="el-GR" w:eastAsia="en-US"/>
    </w:rPr>
  </w:style>
  <w:style w:type="character" w:customStyle="1" w:styleId="FooterChar">
    <w:name w:val="Footer Char"/>
    <w:link w:val="Footer"/>
    <w:rsid w:val="00951F81"/>
    <w:rPr>
      <w:rFonts w:eastAsia="PMingLiU"/>
      <w:sz w:val="22"/>
      <w:szCs w:val="22"/>
      <w:lang w:val="el-GR" w:eastAsia="en-US"/>
    </w:rPr>
  </w:style>
  <w:style w:type="character" w:customStyle="1" w:styleId="BodyTextIndentChar">
    <w:name w:val="Body Text Indent Char"/>
    <w:link w:val="BodyTextIndent"/>
    <w:rsid w:val="00951F81"/>
    <w:rPr>
      <w:rFonts w:eastAsia="PMingLiU"/>
      <w:sz w:val="22"/>
      <w:szCs w:val="22"/>
      <w:lang w:val="el-GR" w:eastAsia="en-GB"/>
    </w:rPr>
  </w:style>
  <w:style w:type="character" w:customStyle="1" w:styleId="BodyText3Char">
    <w:name w:val="Body Text 3 Char"/>
    <w:link w:val="BodyText3"/>
    <w:rsid w:val="00951F81"/>
    <w:rPr>
      <w:rFonts w:eastAsia="PMingLiU"/>
      <w:color w:val="0000FF"/>
      <w:sz w:val="22"/>
      <w:szCs w:val="22"/>
      <w:lang w:val="el-GR" w:eastAsia="en-GB"/>
    </w:rPr>
  </w:style>
  <w:style w:type="character" w:customStyle="1" w:styleId="BodyTextIndent2Char">
    <w:name w:val="Body Text Indent 2 Char"/>
    <w:link w:val="BodyTextIndent2"/>
    <w:rsid w:val="00951F81"/>
    <w:rPr>
      <w:rFonts w:eastAsia="PMingLiU"/>
      <w:b/>
      <w:bCs/>
      <w:color w:val="0000FF"/>
      <w:sz w:val="22"/>
      <w:szCs w:val="22"/>
      <w:lang w:val="el-GR" w:eastAsia="en-US"/>
    </w:rPr>
  </w:style>
  <w:style w:type="character" w:customStyle="1" w:styleId="BodyTextChar">
    <w:name w:val="Body Text Char"/>
    <w:link w:val="BodyText"/>
    <w:rsid w:val="00951F81"/>
    <w:rPr>
      <w:rFonts w:eastAsia="PMingLiU"/>
      <w:i/>
      <w:color w:val="008000"/>
      <w:sz w:val="22"/>
      <w:szCs w:val="22"/>
      <w:lang w:val="el-GR" w:eastAsia="en-US"/>
    </w:rPr>
  </w:style>
  <w:style w:type="character" w:customStyle="1" w:styleId="BodyText2Char">
    <w:name w:val="Body Text 2 Char"/>
    <w:link w:val="BodyText2"/>
    <w:rsid w:val="00951F81"/>
    <w:rPr>
      <w:rFonts w:eastAsia="PMingLiU"/>
      <w:b/>
      <w:bCs/>
      <w:color w:val="0000FF"/>
      <w:sz w:val="22"/>
      <w:szCs w:val="22"/>
      <w:u w:val="single"/>
      <w:lang w:val="el-GR"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el-GR" w:eastAsia="en-US"/>
    </w:rPr>
  </w:style>
  <w:style w:type="character" w:customStyle="1" w:styleId="BodyTextIndent3Char">
    <w:name w:val="Body Text Indent 3 Char"/>
    <w:link w:val="BodyTextIndent3"/>
    <w:rsid w:val="00951F81"/>
    <w:rPr>
      <w:rFonts w:eastAsia="PMingLiU"/>
      <w:sz w:val="22"/>
      <w:szCs w:val="21"/>
      <w:lang w:val="el-GR" w:eastAsia="en-US"/>
    </w:rPr>
  </w:style>
  <w:style w:type="character" w:customStyle="1" w:styleId="BalloonTextChar">
    <w:name w:val="Balloon Text Char"/>
    <w:link w:val="BalloonText"/>
    <w:semiHidden/>
    <w:rsid w:val="00951F81"/>
    <w:rPr>
      <w:rFonts w:ascii="Tahoma" w:eastAsia="PMingLiU" w:hAnsi="Tahoma" w:cs="Tahoma"/>
      <w:sz w:val="16"/>
      <w:szCs w:val="16"/>
      <w:lang w:val="el-GR"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el-GR" w:eastAsia="en-US"/>
    </w:rPr>
  </w:style>
  <w:style w:type="character" w:customStyle="1" w:styleId="CommentSubjectChar">
    <w:name w:val="Comment Subject Char"/>
    <w:link w:val="CommentSubject"/>
    <w:semiHidden/>
    <w:rsid w:val="00951F81"/>
    <w:rPr>
      <w:rFonts w:eastAsia="PMingLiU"/>
      <w:b/>
      <w:bCs/>
      <w:szCs w:val="22"/>
      <w:lang w:val="el-GR"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el-GR" w:eastAsia="en-US"/>
    </w:rPr>
  </w:style>
  <w:style w:type="character" w:styleId="LineNumber">
    <w:name w:val="line number"/>
    <w:basedOn w:val="DefaultParagraphFont"/>
    <w:rsid w:val="003D70CF"/>
  </w:style>
  <w:style w:type="character" w:customStyle="1" w:styleId="UnresolvedMention1">
    <w:name w:val="Unresolved Mention1"/>
    <w:basedOn w:val="DefaultParagraphFont"/>
    <w:uiPriority w:val="99"/>
    <w:semiHidden/>
    <w:unhideWhenUsed/>
    <w:rsid w:val="00CC482F"/>
    <w:rPr>
      <w:color w:val="605E5C"/>
      <w:shd w:val="clear" w:color="auto" w:fill="E1DFDD"/>
    </w:rPr>
  </w:style>
  <w:style w:type="table" w:customStyle="1" w:styleId="TableGrid0">
    <w:name w:val="TableGrid"/>
    <w:rsid w:val="005233C3"/>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 w:type="character" w:styleId="UnresolvedMention">
    <w:name w:val="Unresolved Mention"/>
    <w:basedOn w:val="DefaultParagraphFont"/>
    <w:rsid w:val="00C9070B"/>
    <w:rPr>
      <w:color w:val="605E5C"/>
      <w:shd w:val="clear" w:color="auto" w:fill="E1DFDD"/>
    </w:rPr>
  </w:style>
  <w:style w:type="paragraph" w:customStyle="1" w:styleId="Heading10">
    <w:name w:val="Heading 10"/>
    <w:basedOn w:val="TitleB"/>
    <w:link w:val="Heading10Char"/>
    <w:qFormat/>
    <w:rsid w:val="009858FB"/>
    <w:pPr>
      <w:jc w:val="center"/>
    </w:pPr>
  </w:style>
  <w:style w:type="character" w:customStyle="1" w:styleId="TitleBChar">
    <w:name w:val="Title B Char"/>
    <w:basedOn w:val="DefaultParagraphFont"/>
    <w:link w:val="TitleB"/>
    <w:rsid w:val="009858FB"/>
    <w:rPr>
      <w:rFonts w:eastAsia="PMingLiU"/>
      <w:b/>
      <w:bCs/>
      <w:sz w:val="22"/>
      <w:szCs w:val="22"/>
      <w:lang w:val="el-GR" w:eastAsia="en-US"/>
    </w:rPr>
  </w:style>
  <w:style w:type="character" w:customStyle="1" w:styleId="Heading10Char">
    <w:name w:val="Heading 10 Char"/>
    <w:basedOn w:val="TitleBChar"/>
    <w:link w:val="Heading10"/>
    <w:rsid w:val="009858FB"/>
    <w:rPr>
      <w:rFonts w:eastAsia="PMingLiU"/>
      <w:b/>
      <w:bCs/>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protect.checkpoint.com/v2/___http://www.ema.europa.eu/___.YzJlOnBoYXJvczpjOm86MmJkMzNmYjM2ZjFhZTRlNWM4ZGRhZjc5ODAyNGQ2ZGU6NjplN2E5OjczNzgwOTI1ZjMwMzI1NTUyOWFiNzNiN2FkYzZmMWVjNzg5ZjVlMTQzNWNmZjNlZjUyZjgyZWQ1NDQzYjFmMWI6cDpUOkY" TargetMode="External"/><Relationship Id="rId26" Type="http://schemas.openxmlformats.org/officeDocument/2006/relationships/image" Target="media/image10.png"/><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hyperlink" Target="https://protect.checkpoint.com/v2/___https://www.ema.europa.eu/documents/template-form/qrd-appendix-v-adverse-drug-reaction-reporting-details_en.docx___.YzJlOnBoYXJvczpjOm86MmJkMzNmYjM2ZjFhZTRlNWM4ZGRhZjc5ODAyNGQ2ZGU6NjoyYzUwOjVkZjYxZTgwZDYzZTAyMjZjNWQwYTVlNDk5MGJiODgxODY4ODAwNDkyMWEyOTQwYjQxNjJkYWEzMjllNDc4YTk6cDpUOkY" TargetMode="External"/><Relationship Id="rId25" Type="http://schemas.openxmlformats.org/officeDocument/2006/relationships/image" Target="media/image9.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rotect.checkpoint.com/v2/___http://www.ema.europa.eu/___.YzJlOnBoYXJvczpjOm86MmJkMzNmYjM2ZjFhZTRlNWM4ZGRhZjc5ODAyNGQ2ZGU6NjplN2E5OjczNzgwOTI1ZjMwMzI1NTUyOWFiNzNiN2FkYzZmMWVjNzg5ZjVlMTQzNWNmZjNlZjUyZjgyZWQ1NDQzYjFmMWI6cDpUOkY" TargetMode="Externa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footer" Target="footer1.xml"/><Relationship Id="rId37"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protect.checkpoint.com/v2/r02/___https://www.ema.europa.eu___.YzJlOnBoYXJvczpjOm86NzUxMDc2MmU3ZGIxNjE4YzYzNjBjZTIzYTEwNTNhOGE6NzoyMTcxOmVmMDI1MDFiNGU3ZDZlNjIzYjdiYzQ3NDk1NjQ3MmVlZjdmYjdlMTkxNWE1MWQ2MTkwZDEzOWVlODQ5ZDc0NWY6cDpGOkY"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tect.checkpoint.com/v2/___https://www.ema.europa.eu/documents/template-form/qrd-appendix-v-adverse-drug-reaction-reporting-details_en.docx___.YzJlOnBoYXJvczpjOm86MmJkMzNmYjM2ZjFhZTRlNWM4ZGRhZjc5ODAyNGQ2ZGU6NjoyYzUwOjVkZjYxZTgwZDYzZTAyMjZjNWQwYTVlNDk5MGJiODgxODY4ODAwNDkyMWEyOTQwYjQxNjJkYWEzMjllNDc4YTk6cDpUOkY"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EMADOC-1700519818-3331977</_dlc_DocId>
    <_dlc_DocIdUrl xmlns="a034c160-bfb7-45f5-8632-2eb7e0508071">
      <Url>https://euema.sharepoint.com/sites/CRM/_layouts/15/DocIdRedir.aspx?ID=EMADOC-1700519818-3331977</Url>
      <Description>EMADOC-1700519818-3331977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4DCB082-8B85-4BF7-A029-8E858AC59801}">
  <ds:schemaRefs>
    <ds:schemaRef ds:uri="http://schemas.openxmlformats.org/officeDocument/2006/bibliography"/>
  </ds:schemaRefs>
</ds:datastoreItem>
</file>

<file path=customXml/itemProps3.xml><?xml version="1.0" encoding="utf-8"?>
<ds:datastoreItem xmlns:ds="http://schemas.openxmlformats.org/officeDocument/2006/customXml" ds:itemID="{69C995E2-399A-481D-BF6E-6B7EB40F773A}"/>
</file>

<file path=customXml/itemProps4.xml><?xml version="1.0" encoding="utf-8"?>
<ds:datastoreItem xmlns:ds="http://schemas.openxmlformats.org/officeDocument/2006/customXml" ds:itemID="{4BE96CCE-65D6-4D8E-BC8C-ACB1643E927B}">
  <ds:schemaRefs>
    <ds:schemaRef ds:uri="http://schemas.microsoft.com/office/2006/metadata/properties"/>
    <ds:schemaRef ds:uri="http://schemas.microsoft.com/office/infopath/2007/PartnerControls"/>
    <ds:schemaRef ds:uri="457195d8-cbb9-49fb-9814-c734bae6a29e"/>
    <ds:schemaRef ds:uri="2c351114-a3c4-4360-988e-0f81ad30c99a"/>
  </ds:schemaRefs>
</ds:datastoreItem>
</file>

<file path=customXml/itemProps5.xml><?xml version="1.0" encoding="utf-8"?>
<ds:datastoreItem xmlns:ds="http://schemas.openxmlformats.org/officeDocument/2006/customXml" ds:itemID="{D2BCD32E-A25B-4D0A-82D7-BC2C35BD9780}">
  <ds:schemaRefs>
    <ds:schemaRef ds:uri="http://schemas.microsoft.com/sharepoint/v3/contenttype/forms"/>
  </ds:schemaRefs>
</ds:datastoreItem>
</file>

<file path=customXml/itemProps6.xml><?xml version="1.0" encoding="utf-8"?>
<ds:datastoreItem xmlns:ds="http://schemas.openxmlformats.org/officeDocument/2006/customXml" ds:itemID="{A5A257E1-4B02-4789-A4DD-7949AF5B04DE}"/>
</file>

<file path=docMetadata/LabelInfo.xml><?xml version="1.0" encoding="utf-8"?>
<clbl:labelList xmlns:clbl="http://schemas.microsoft.com/office/2020/mipLabelMetadata">
  <clbl:label id="{7fee6c34-351b-447a-8ebe-64a82d3917cb}" enabled="0" method="" siteId="{7fee6c34-351b-447a-8ebe-64a82d3917c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11907</Words>
  <Characters>71669</Characters>
  <Application>Microsoft Office Word</Application>
  <DocSecurity>0</DocSecurity>
  <Lines>2088</Lines>
  <Paragraphs>768</Paragraphs>
  <ScaleCrop>false</ScaleCrop>
  <HeadingPairs>
    <vt:vector size="2" baseType="variant">
      <vt:variant>
        <vt:lpstr>Title</vt:lpstr>
      </vt:variant>
      <vt:variant>
        <vt:i4>1</vt:i4>
      </vt:variant>
    </vt:vector>
  </HeadingPairs>
  <TitlesOfParts>
    <vt:vector size="1" baseType="lpstr">
      <vt:lpstr>Kefdensis, INN-denosumab</vt:lpstr>
    </vt:vector>
  </TitlesOfParts>
  <Manager/>
  <Company/>
  <LinksUpToDate>false</LinksUpToDate>
  <CharactersWithSpaces>82894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YZ</cp:lastModifiedBy>
  <cp:revision>3</cp:revision>
  <dcterms:created xsi:type="dcterms:W3CDTF">2026-07-02T12:31:00Z</dcterms:created>
  <dcterms:modified xsi:type="dcterms:W3CDTF">2026-07-12T14:51:00Z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64eaddd2-ae02-4ccf-9f56-dbf3dc2fa07d</vt:lpwstr>
  </property>
</Properties>
</file>