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rPr>
          <w:szCs w:val="24"/>
          <w:lang w:val="el-GR"/>
        </w:rPr>
      </w:pPr>
      <w:bookmarkStart w:id="0" w:name="_GoBack"/>
      <w:bookmarkEnd w:id="0"/>
      <w:r>
        <w:rPr>
          <w:szCs w:val="24"/>
          <w:lang w:val="el-GR"/>
        </w:rPr>
        <w:t xml:space="preserve">Το παρόν έγγραφο αποτελεί τις εγκεκριμένες πληροφορίες προϊόντος για το </w:t>
      </w:r>
      <w:r>
        <w:rPr>
          <w:noProof/>
          <w:szCs w:val="22"/>
          <w:lang w:val="en-US"/>
        </w:rPr>
        <w:t>Zyllt</w:t>
      </w:r>
      <w:r>
        <w:rPr>
          <w:szCs w:val="24"/>
          <w:lang w:val="el-GR"/>
        </w:rPr>
        <w:t>, ενώ επισημαίνονται οι αλλαγές που επήλθαν στις πληροφορίες προϊόντος σε συνέχεια της προηγούμενης διαδικασίας (</w:t>
      </w:r>
      <w:r>
        <w:rPr>
          <w:lang w:val="en-US"/>
        </w:rPr>
        <w:t>EMEA</w:t>
      </w:r>
      <w:r>
        <w:rPr>
          <w:lang w:val="el-GR"/>
        </w:rPr>
        <w:t>/</w:t>
      </w:r>
      <w:r>
        <w:rPr>
          <w:lang w:val="en-US"/>
        </w:rPr>
        <w:t>H</w:t>
      </w:r>
      <w:r>
        <w:rPr>
          <w:lang w:val="el-GR"/>
        </w:rPr>
        <w:t>/</w:t>
      </w:r>
      <w:r>
        <w:rPr>
          <w:lang w:val="en-US"/>
        </w:rPr>
        <w:t>C</w:t>
      </w:r>
      <w:r>
        <w:rPr>
          <w:lang w:val="el-GR"/>
        </w:rPr>
        <w:t>/001058/</w:t>
      </w:r>
      <w:r>
        <w:rPr>
          <w:lang w:val="en-US"/>
        </w:rPr>
        <w:t>IB</w:t>
      </w:r>
      <w:r>
        <w:rPr>
          <w:lang w:val="el-GR"/>
        </w:rPr>
        <w:t>/0045/</w:t>
      </w:r>
      <w:r>
        <w:rPr>
          <w:lang w:val="en-US"/>
        </w:rPr>
        <w:t>G</w:t>
      </w:r>
      <w:r>
        <w:rPr>
          <w:szCs w:val="24"/>
          <w:lang w:val="el-GR"/>
        </w:rPr>
        <w:t>).</w:t>
      </w:r>
    </w:p>
    <w:p>
      <w:pPr>
        <w:pBdr>
          <w:top w:val="single" w:sz="4" w:space="1" w:color="auto"/>
          <w:left w:val="single" w:sz="4" w:space="4" w:color="auto"/>
          <w:bottom w:val="single" w:sz="4" w:space="1" w:color="auto"/>
          <w:right w:val="single" w:sz="4" w:space="4" w:color="auto"/>
        </w:pBdr>
        <w:rPr>
          <w:szCs w:val="24"/>
          <w:lang w:val="el-GR"/>
        </w:rPr>
      </w:pPr>
    </w:p>
    <w:p>
      <w:pPr>
        <w:pBdr>
          <w:top w:val="single" w:sz="4" w:space="1" w:color="auto"/>
          <w:left w:val="single" w:sz="4" w:space="4" w:color="auto"/>
          <w:bottom w:val="single" w:sz="4" w:space="1" w:color="auto"/>
          <w:right w:val="single" w:sz="4" w:space="4" w:color="auto"/>
        </w:pBdr>
        <w:rPr>
          <w:b/>
          <w:noProof/>
          <w:szCs w:val="22"/>
          <w:lang w:val="el-GR"/>
        </w:rPr>
      </w:pPr>
      <w:r>
        <w:rPr>
          <w:szCs w:val="24"/>
          <w:lang w:val="el-GR"/>
        </w:rPr>
        <w:t xml:space="preserve">Για περισσότερες πληροφορίες, βλ. τον δικτυακό τόπο του Ευρωπαϊκού Οργανισμού Φαρμάκων: </w:t>
      </w:r>
      <w:hyperlink r:id="rId8" w:history="1">
        <w:r>
          <w:rPr>
            <w:rStyle w:val="Hyperlink"/>
            <w:b/>
            <w:noProof/>
            <w:szCs w:val="24"/>
            <w:lang w:val="bg-BG"/>
          </w:rPr>
          <w:t>https://www.ema.europa.eu/en/medicines/human/epar/Zyllt</w:t>
        </w:r>
      </w:hyperlink>
    </w:p>
    <w:p>
      <w:pPr>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el-GR"/>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b/>
          <w:noProof/>
          <w:szCs w:val="22"/>
          <w:lang w:val="el-GR"/>
        </w:rPr>
      </w:pPr>
      <w:r>
        <w:rPr>
          <w:b/>
          <w:noProof/>
          <w:szCs w:val="22"/>
          <w:lang w:val="el-GR"/>
        </w:rPr>
        <w:t>ΠΑΡΑΡΤΗΜΑ Ι</w:t>
      </w:r>
    </w:p>
    <w:p>
      <w:pPr>
        <w:widowControl w:val="0"/>
        <w:spacing w:line="240" w:lineRule="auto"/>
        <w:jc w:val="center"/>
        <w:rPr>
          <w:b/>
          <w:noProof/>
          <w:szCs w:val="22"/>
          <w:lang w:val="el-GR"/>
        </w:rPr>
      </w:pPr>
    </w:p>
    <w:p>
      <w:pPr>
        <w:pStyle w:val="TitleA"/>
        <w:widowControl w:val="0"/>
      </w:pPr>
      <w:r>
        <w:t>ΠΕΡΙΛΗΨΗ ΤΩΝ ΧΑΡΑΚΤΗΡΙΣΤΙΚΩΝ ΤΟΥ ΠΡΟΪΟΝΤΟΣ</w:t>
      </w:r>
    </w:p>
    <w:p>
      <w:pPr>
        <w:widowControl w:val="0"/>
        <w:tabs>
          <w:tab w:val="clear" w:pos="567"/>
        </w:tabs>
        <w:spacing w:line="240" w:lineRule="auto"/>
        <w:ind w:left="567" w:hanging="567"/>
        <w:rPr>
          <w:noProof/>
          <w:szCs w:val="22"/>
          <w:lang w:val="el-GR"/>
        </w:rPr>
      </w:pPr>
      <w:r>
        <w:rPr>
          <w:noProof/>
          <w:szCs w:val="22"/>
          <w:lang w:val="el-GR"/>
        </w:rPr>
        <w:br w:type="page"/>
      </w:r>
      <w:r>
        <w:rPr>
          <w:b/>
          <w:noProof/>
          <w:szCs w:val="22"/>
          <w:lang w:val="el-GR"/>
        </w:rPr>
        <w:lastRenderedPageBreak/>
        <w:t>1.</w:t>
      </w:r>
      <w:r>
        <w:rPr>
          <w:b/>
          <w:noProof/>
          <w:szCs w:val="22"/>
          <w:lang w:val="el-GR"/>
        </w:rPr>
        <w:tab/>
        <w:t>ΟΝΟΜΑΣΙΑ ΤΟΥ ΦΑΡΜΑΚΕΥΤΙΚΟΥ ΠΡΟΪΟΝΤΟΣ</w:t>
      </w:r>
    </w:p>
    <w:p>
      <w:pPr>
        <w:widowControl w:val="0"/>
        <w:spacing w:line="240" w:lineRule="auto"/>
        <w:rPr>
          <w:noProof/>
          <w:szCs w:val="22"/>
          <w:lang w:val="el-GR"/>
        </w:rPr>
      </w:pPr>
    </w:p>
    <w:p>
      <w:pPr>
        <w:widowControl w:val="0"/>
        <w:spacing w:line="240" w:lineRule="auto"/>
        <w:rPr>
          <w:noProof/>
          <w:szCs w:val="22"/>
          <w:lang w:val="el-GR"/>
        </w:rPr>
      </w:pPr>
      <w:r>
        <w:rPr>
          <w:noProof/>
          <w:szCs w:val="22"/>
          <w:lang w:val="el-GR"/>
        </w:rPr>
        <w:t>Zyllt 75 mg</w:t>
      </w:r>
      <w:r>
        <w:rPr>
          <w:color w:val="000000"/>
          <w:szCs w:val="22"/>
          <w:lang w:val="el-GR"/>
        </w:rPr>
        <w:t xml:space="preserve"> επικαλυμμένα με λεπτό υμένιο δισκία</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b/>
          <w:lang w:val="el-GR"/>
        </w:rPr>
      </w:pPr>
      <w:r>
        <w:rPr>
          <w:b/>
          <w:noProof/>
          <w:szCs w:val="22"/>
          <w:lang w:val="el-GR"/>
        </w:rPr>
        <w:t>2.</w:t>
      </w:r>
      <w:r>
        <w:rPr>
          <w:b/>
          <w:noProof/>
          <w:szCs w:val="22"/>
          <w:lang w:val="el-GR"/>
        </w:rPr>
        <w:tab/>
        <w:t>ΠΟΙΟΤΙΚΗ ΚΑΙ ΠΟΣΟΤΙΚΗ ΣΥΝΘΕΣΗ</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Κάθε επικαλυμμένο με λεπτό υμένιο δισκίο περιέχει </w:t>
      </w:r>
      <w:r>
        <w:rPr>
          <w:noProof/>
          <w:szCs w:val="22"/>
          <w:lang w:val="el-GR"/>
        </w:rPr>
        <w:t>75 mg</w:t>
      </w:r>
      <w:r>
        <w:rPr>
          <w:color w:val="000000"/>
          <w:szCs w:val="22"/>
          <w:lang w:val="el-GR"/>
        </w:rPr>
        <w:t xml:space="preserve"> κλοπιδογρέλης (ως όξινο θειικό άλας).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u w:val="single"/>
          <w:lang w:val="el-GR"/>
        </w:rPr>
      </w:pPr>
      <w:r>
        <w:rPr>
          <w:color w:val="000000"/>
          <w:szCs w:val="22"/>
          <w:u w:val="single"/>
          <w:lang w:val="el-GR"/>
        </w:rPr>
        <w:t>Έκδοχο</w:t>
      </w:r>
      <w:r>
        <w:rPr>
          <w:szCs w:val="22"/>
          <w:u w:val="single"/>
          <w:lang w:val="el-GR"/>
        </w:rPr>
        <w:t xml:space="preserve"> με </w:t>
      </w:r>
      <w:r>
        <w:rPr>
          <w:u w:val="single"/>
          <w:lang w:val="el-GR"/>
        </w:rPr>
        <w:t>γνωστή δράση</w:t>
      </w:r>
      <w:r>
        <w:rPr>
          <w:color w:val="000000"/>
          <w:szCs w:val="22"/>
          <w:u w:val="single"/>
          <w:lang w:val="el-GR"/>
        </w:rPr>
        <w:t>:</w:t>
      </w:r>
    </w:p>
    <w:p>
      <w:pPr>
        <w:widowControl w:val="0"/>
        <w:autoSpaceDE w:val="0"/>
        <w:autoSpaceDN w:val="0"/>
        <w:adjustRightInd w:val="0"/>
        <w:spacing w:line="240" w:lineRule="auto"/>
        <w:rPr>
          <w:color w:val="000000"/>
          <w:szCs w:val="22"/>
          <w:lang w:val="el-GR"/>
        </w:rPr>
      </w:pPr>
      <w:r>
        <w:rPr>
          <w:caps/>
          <w:color w:val="000000"/>
          <w:szCs w:val="22"/>
          <w:lang w:val="el-GR"/>
        </w:rPr>
        <w:t>κ</w:t>
      </w:r>
      <w:r>
        <w:rPr>
          <w:color w:val="000000"/>
          <w:szCs w:val="22"/>
          <w:lang w:val="el-GR"/>
        </w:rPr>
        <w:t>άθε επικαλυμμένο με λεπτό υμένιο δισκίο περιέχει 108,125 mg λακτόζης.</w:t>
      </w:r>
    </w:p>
    <w:p>
      <w:pPr>
        <w:widowControl w:val="0"/>
        <w:autoSpaceDE w:val="0"/>
        <w:autoSpaceDN w:val="0"/>
        <w:adjustRightInd w:val="0"/>
        <w:spacing w:line="240" w:lineRule="auto"/>
        <w:rPr>
          <w:color w:val="000000"/>
          <w:szCs w:val="22"/>
          <w:lang w:val="el-GR"/>
        </w:rPr>
      </w:pPr>
    </w:p>
    <w:p>
      <w:pPr>
        <w:widowControl w:val="0"/>
        <w:spacing w:line="240" w:lineRule="auto"/>
        <w:rPr>
          <w:noProof/>
          <w:szCs w:val="22"/>
          <w:lang w:val="el-GR"/>
        </w:rPr>
      </w:pPr>
      <w:r>
        <w:rPr>
          <w:color w:val="000000"/>
          <w:szCs w:val="22"/>
          <w:lang w:val="el-GR"/>
        </w:rPr>
        <w:t>Για τον πλήρη κατάλογο των εκδόχων, βλ. παράγραφο 6.1.</w:t>
      </w:r>
    </w:p>
    <w:p>
      <w:pPr>
        <w:pStyle w:val="Header"/>
        <w:tabs>
          <w:tab w:val="clear" w:pos="4153"/>
          <w:tab w:val="clear" w:pos="8306"/>
        </w:tabs>
        <w:spacing w:line="240" w:lineRule="auto"/>
        <w:rPr>
          <w:noProof/>
          <w:szCs w:val="22"/>
        </w:rPr>
      </w:pPr>
    </w:p>
    <w:p>
      <w:pPr>
        <w:widowControl w:val="0"/>
        <w:spacing w:line="240" w:lineRule="auto"/>
        <w:rPr>
          <w:noProof/>
          <w:szCs w:val="22"/>
          <w:lang w:val="el-GR"/>
        </w:rPr>
      </w:pPr>
    </w:p>
    <w:p>
      <w:pPr>
        <w:widowControl w:val="0"/>
        <w:tabs>
          <w:tab w:val="clear" w:pos="567"/>
        </w:tabs>
        <w:spacing w:line="240" w:lineRule="auto"/>
        <w:ind w:left="567" w:hanging="567"/>
        <w:rPr>
          <w:b/>
          <w:lang w:val="el-GR"/>
        </w:rPr>
      </w:pPr>
      <w:r>
        <w:rPr>
          <w:b/>
          <w:noProof/>
          <w:szCs w:val="22"/>
          <w:lang w:val="el-GR"/>
        </w:rPr>
        <w:t>3.</w:t>
      </w:r>
      <w:r>
        <w:rPr>
          <w:b/>
          <w:noProof/>
          <w:szCs w:val="22"/>
          <w:lang w:val="el-GR"/>
        </w:rPr>
        <w:tab/>
        <w:t>ΦΑΡΜΑΚΟΤΕΧΝΙΚΗ ΜΟΡΦΗ</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Επικαλυμμένο με λεπτό υμένιο δισκίο.</w:t>
      </w:r>
    </w:p>
    <w:p>
      <w:pPr>
        <w:widowControl w:val="0"/>
        <w:spacing w:line="240" w:lineRule="auto"/>
        <w:rPr>
          <w:noProof/>
          <w:szCs w:val="22"/>
          <w:lang w:val="el-GR"/>
        </w:rPr>
      </w:pPr>
      <w:r>
        <w:rPr>
          <w:color w:val="000000"/>
          <w:szCs w:val="22"/>
          <w:lang w:val="el-GR"/>
        </w:rPr>
        <w:t>Ροζ, στρογγυλά και ελαφρώς κυρτά επικαλυμμένα με λεπτό υμένιο δισκία</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b/>
          <w:lang w:val="el-GR"/>
        </w:rPr>
      </w:pPr>
      <w:r>
        <w:rPr>
          <w:b/>
          <w:noProof/>
          <w:szCs w:val="22"/>
          <w:lang w:val="el-GR"/>
        </w:rPr>
        <w:t>4.</w:t>
      </w:r>
      <w:r>
        <w:rPr>
          <w:b/>
          <w:noProof/>
          <w:szCs w:val="22"/>
          <w:lang w:val="el-GR"/>
        </w:rPr>
        <w:tab/>
        <w:t>ΚΛΙΝΙΚΕΣ ΠΛΗΡΟΦΟΡΙΕΣ</w:t>
      </w:r>
    </w:p>
    <w:p>
      <w:pPr>
        <w:widowControl w:val="0"/>
        <w:tabs>
          <w:tab w:val="clear" w:pos="567"/>
        </w:tabs>
        <w:spacing w:line="240" w:lineRule="auto"/>
        <w:ind w:left="567" w:hanging="567"/>
        <w:rPr>
          <w:b/>
          <w:lang w:val="el-GR"/>
        </w:rPr>
      </w:pPr>
    </w:p>
    <w:p>
      <w:pPr>
        <w:widowControl w:val="0"/>
        <w:tabs>
          <w:tab w:val="clear" w:pos="567"/>
        </w:tabs>
        <w:spacing w:line="240" w:lineRule="auto"/>
        <w:ind w:left="567" w:hanging="567"/>
        <w:rPr>
          <w:b/>
          <w:lang w:val="el-GR"/>
        </w:rPr>
      </w:pPr>
      <w:r>
        <w:rPr>
          <w:b/>
          <w:noProof/>
          <w:szCs w:val="22"/>
          <w:lang w:val="el-GR"/>
        </w:rPr>
        <w:t>4.1</w:t>
      </w:r>
      <w:r>
        <w:rPr>
          <w:b/>
          <w:noProof/>
          <w:szCs w:val="22"/>
          <w:lang w:val="el-GR"/>
        </w:rPr>
        <w:tab/>
        <w:t>Θεραπευτικές ενδείξεις</w:t>
      </w:r>
    </w:p>
    <w:p>
      <w:pPr>
        <w:widowControl w:val="0"/>
        <w:spacing w:line="240" w:lineRule="auto"/>
        <w:rPr>
          <w:noProof/>
          <w:szCs w:val="22"/>
          <w:lang w:val="el-GR"/>
        </w:rPr>
      </w:pPr>
    </w:p>
    <w:p>
      <w:pPr>
        <w:widowControl w:val="0"/>
        <w:spacing w:line="240" w:lineRule="auto"/>
        <w:rPr>
          <w:i/>
          <w:szCs w:val="22"/>
          <w:lang w:val="el-GR"/>
        </w:rPr>
      </w:pPr>
      <w:r>
        <w:rPr>
          <w:i/>
          <w:szCs w:val="22"/>
          <w:lang w:val="el-GR"/>
        </w:rPr>
        <w:t>Δευτερογενής πρόληψη αθηροθρομβωτικών επεισοδίων</w:t>
      </w:r>
    </w:p>
    <w:p>
      <w:pPr>
        <w:widowControl w:val="0"/>
        <w:spacing w:line="240" w:lineRule="auto"/>
        <w:rPr>
          <w:szCs w:val="22"/>
          <w:lang w:val="el-GR"/>
        </w:rPr>
      </w:pPr>
      <w:r>
        <w:rPr>
          <w:szCs w:val="22"/>
          <w:lang w:val="el-GR"/>
        </w:rPr>
        <w:t>Η κλοπιδογρέλη ενδείκνυται σε:</w:t>
      </w:r>
    </w:p>
    <w:p>
      <w:pPr>
        <w:widowControl w:val="0"/>
        <w:spacing w:line="240" w:lineRule="auto"/>
        <w:rPr>
          <w:szCs w:val="22"/>
          <w:lang w:val="el-GR"/>
        </w:rPr>
      </w:pPr>
    </w:p>
    <w:p>
      <w:pPr>
        <w:widowControl w:val="0"/>
        <w:numPr>
          <w:ilvl w:val="0"/>
          <w:numId w:val="33"/>
        </w:numPr>
        <w:tabs>
          <w:tab w:val="clear" w:pos="567"/>
        </w:tabs>
        <w:autoSpaceDE w:val="0"/>
        <w:autoSpaceDN w:val="0"/>
        <w:adjustRightInd w:val="0"/>
        <w:spacing w:line="240" w:lineRule="auto"/>
        <w:ind w:left="567" w:hanging="567"/>
        <w:rPr>
          <w:color w:val="000000"/>
          <w:szCs w:val="22"/>
          <w:lang w:val="el-GR"/>
        </w:rPr>
      </w:pPr>
      <w:r>
        <w:rPr>
          <w:szCs w:val="22"/>
          <w:lang w:val="el-GR"/>
        </w:rPr>
        <w:t>Ενήλικες α</w:t>
      </w:r>
      <w:r>
        <w:rPr>
          <w:color w:val="000000"/>
          <w:szCs w:val="22"/>
          <w:lang w:val="el-GR"/>
        </w:rPr>
        <w:t>σθενείς με έμφραγμα του μυοκαρδίου (από λίγες ημέρες μέχρι λιγότερο από 35 ημέρες), ισχαιμικό αγγειακό εγκεφαλικό επεισόδιο (από 7 ημέρες μέχρι λιγότερο από 6 μήνες) ή εγκατεστημένη περιφερική αρτηριακή νόσο.</w:t>
      </w:r>
    </w:p>
    <w:p>
      <w:pPr>
        <w:widowControl w:val="0"/>
        <w:tabs>
          <w:tab w:val="clear" w:pos="567"/>
        </w:tabs>
        <w:autoSpaceDE w:val="0"/>
        <w:autoSpaceDN w:val="0"/>
        <w:adjustRightInd w:val="0"/>
        <w:spacing w:line="240" w:lineRule="auto"/>
        <w:ind w:left="567" w:hanging="567"/>
        <w:rPr>
          <w:color w:val="000000"/>
          <w:szCs w:val="22"/>
          <w:lang w:val="el-GR"/>
        </w:rPr>
      </w:pPr>
    </w:p>
    <w:p>
      <w:pPr>
        <w:widowControl w:val="0"/>
        <w:numPr>
          <w:ilvl w:val="0"/>
          <w:numId w:val="33"/>
        </w:numPr>
        <w:tabs>
          <w:tab w:val="clear" w:pos="567"/>
        </w:tabs>
        <w:autoSpaceDE w:val="0"/>
        <w:autoSpaceDN w:val="0"/>
        <w:adjustRightInd w:val="0"/>
        <w:spacing w:line="240" w:lineRule="auto"/>
        <w:ind w:left="567" w:hanging="567"/>
        <w:rPr>
          <w:szCs w:val="22"/>
          <w:lang w:val="el-GR"/>
        </w:rPr>
      </w:pPr>
      <w:r>
        <w:rPr>
          <w:szCs w:val="22"/>
          <w:lang w:val="el-GR"/>
        </w:rPr>
        <w:t>Ενήλικες α</w:t>
      </w:r>
      <w:r>
        <w:rPr>
          <w:color w:val="000000"/>
          <w:szCs w:val="22"/>
          <w:lang w:val="el-GR"/>
        </w:rPr>
        <w:t>σθενείς</w:t>
      </w:r>
      <w:r>
        <w:rPr>
          <w:szCs w:val="22"/>
          <w:lang w:val="el-GR"/>
        </w:rPr>
        <w:t xml:space="preserve"> με οξύ στεφανιαίο σύνδρομο:</w:t>
      </w:r>
    </w:p>
    <w:p>
      <w:pPr>
        <w:widowControl w:val="0"/>
        <w:numPr>
          <w:ilvl w:val="0"/>
          <w:numId w:val="44"/>
        </w:numPr>
        <w:tabs>
          <w:tab w:val="clear" w:pos="567"/>
        </w:tabs>
        <w:autoSpaceDE w:val="0"/>
        <w:autoSpaceDN w:val="0"/>
        <w:adjustRightInd w:val="0"/>
        <w:spacing w:line="240" w:lineRule="auto"/>
        <w:ind w:left="1134" w:hanging="425"/>
        <w:rPr>
          <w:szCs w:val="22"/>
          <w:lang w:val="el-GR"/>
        </w:rPr>
      </w:pPr>
      <w:r>
        <w:rPr>
          <w:szCs w:val="22"/>
          <w:lang w:val="el-GR"/>
        </w:rPr>
        <w:t>Οξύ στεφανιαίο σύνδρομο χωρίς ανάσπαση του διαστήματος ST (ασταθής στηθάγχη ή έμφραγμα του μυοκαρδίου χωρίς κύμα Q), συμπεριλαμβανομένων των ασθενών που υποβάλλονται σε τοποθέτηση ενδοπρόθεσης (stent) μετά από διαδερμική επέμβαση στεφανιαίων, σε συνδυασμό με ακετυλοσαλικυλικό οξύ (ΑΣΟ).</w:t>
      </w:r>
    </w:p>
    <w:p>
      <w:pPr>
        <w:widowControl w:val="0"/>
        <w:numPr>
          <w:ilvl w:val="0"/>
          <w:numId w:val="44"/>
        </w:numPr>
        <w:tabs>
          <w:tab w:val="clear" w:pos="567"/>
        </w:tabs>
        <w:autoSpaceDE w:val="0"/>
        <w:autoSpaceDN w:val="0"/>
        <w:adjustRightInd w:val="0"/>
        <w:spacing w:line="240" w:lineRule="auto"/>
        <w:ind w:left="1134" w:hanging="425"/>
        <w:rPr>
          <w:szCs w:val="22"/>
          <w:lang w:val="sl-SI"/>
        </w:rPr>
      </w:pPr>
      <w:r>
        <w:rPr>
          <w:szCs w:val="22"/>
          <w:lang w:val="el-GR"/>
        </w:rPr>
        <w:t>Οξύ έμφραγμα του μυοκαρδίου με ανάσπαση του διαστήματος ST, σε συνδυασμό με ΑΣΟ σε ασθενείς που υποβάλλονται σε διαδερμική στεφανιαία παρέμβαση (συμπεριλαμβανομένων των ασθενών που υποβάλλονται σε τοποθέτηση stent) ή σε ασθενείς που αντιμετωπίζονται συντηρητικά και είναι κατάλληλοι να λάβουν θρομβολυτική</w:t>
      </w:r>
      <w:r>
        <w:rPr>
          <w:lang w:val="el-GR"/>
        </w:rPr>
        <w:t>/ινωδολυτική</w:t>
      </w:r>
      <w:r>
        <w:rPr>
          <w:szCs w:val="22"/>
          <w:lang w:val="el-GR"/>
        </w:rPr>
        <w:t xml:space="preserve"> αγωγή.</w:t>
      </w:r>
    </w:p>
    <w:p>
      <w:pPr>
        <w:widowControl w:val="0"/>
        <w:tabs>
          <w:tab w:val="num" w:pos="851"/>
        </w:tabs>
        <w:autoSpaceDE w:val="0"/>
        <w:autoSpaceDN w:val="0"/>
        <w:adjustRightInd w:val="0"/>
        <w:spacing w:line="240" w:lineRule="auto"/>
        <w:rPr>
          <w:szCs w:val="22"/>
          <w:lang w:val="sl-SI"/>
        </w:rPr>
      </w:pPr>
    </w:p>
    <w:p>
      <w:pPr>
        <w:widowControl w:val="0"/>
        <w:spacing w:line="240" w:lineRule="auto"/>
        <w:rPr>
          <w:i/>
          <w:lang w:val="el-GR"/>
        </w:rPr>
      </w:pPr>
      <w:r>
        <w:rPr>
          <w:i/>
          <w:lang w:val="el-GR"/>
        </w:rPr>
        <w:t>Σε ασθενείς με μετρίου έως υψηλού κινδύνου Παροδικό Ισχαιμικό Επεισόδιο (ΠΙΕ) ή έλασσον Ισχαιμικό Αγγειακό Εγκεφαλικό Επεισόδιο (ΙΑΕΕ)</w:t>
      </w:r>
    </w:p>
    <w:p>
      <w:pPr>
        <w:widowControl w:val="0"/>
        <w:spacing w:line="240" w:lineRule="auto"/>
        <w:rPr>
          <w:lang w:val="el-GR"/>
        </w:rPr>
      </w:pPr>
      <w:r>
        <w:rPr>
          <w:lang w:val="el-GR"/>
        </w:rPr>
        <w:t>Η κλοπιδογρέλη σε συνδυασμό με ΑΣΟ ενδείκνυται σε:</w:t>
      </w:r>
    </w:p>
    <w:p>
      <w:pPr>
        <w:widowControl w:val="0"/>
        <w:numPr>
          <w:ilvl w:val="0"/>
          <w:numId w:val="44"/>
        </w:numPr>
        <w:tabs>
          <w:tab w:val="clear" w:pos="567"/>
        </w:tabs>
        <w:autoSpaceDE w:val="0"/>
        <w:autoSpaceDN w:val="0"/>
        <w:adjustRightInd w:val="0"/>
        <w:spacing w:line="240" w:lineRule="auto"/>
        <w:ind w:left="567" w:hanging="567"/>
        <w:rPr>
          <w:szCs w:val="22"/>
          <w:lang w:val="el-GR"/>
        </w:rPr>
      </w:pPr>
      <w:r>
        <w:rPr>
          <w:szCs w:val="22"/>
          <w:lang w:val="el-GR"/>
        </w:rPr>
        <w:t>Ενήλικες ασθενείς με μετρίου έως υψηλού κινδύνου ΠΙΕ (βαθμολογία ABCD2</w:t>
      </w:r>
      <w:r>
        <w:rPr>
          <w:szCs w:val="22"/>
          <w:vertAlign w:val="superscript"/>
          <w:lang w:val="el-GR"/>
        </w:rPr>
        <w:footnoteReference w:id="1"/>
      </w:r>
      <w:r>
        <w:rPr>
          <w:szCs w:val="22"/>
          <w:lang w:val="el-GR"/>
        </w:rPr>
        <w:t xml:space="preserve"> ≥4) ή έλασσον ΙΑΕΕ (NIHSS</w:t>
      </w:r>
      <w:r>
        <w:rPr>
          <w:szCs w:val="22"/>
          <w:lang w:val="el-GR"/>
        </w:rPr>
        <w:footnoteReference w:id="2"/>
      </w:r>
      <w:r>
        <w:rPr>
          <w:szCs w:val="22"/>
          <w:lang w:val="el-GR"/>
        </w:rPr>
        <w:t xml:space="preserve"> ≤3) εντός 24 ωρών από το ΠΙΕ ή το ΙΑΕΕ.</w:t>
      </w:r>
    </w:p>
    <w:p>
      <w:pPr>
        <w:widowControl w:val="0"/>
        <w:tabs>
          <w:tab w:val="num" w:pos="851"/>
        </w:tabs>
        <w:autoSpaceDE w:val="0"/>
        <w:autoSpaceDN w:val="0"/>
        <w:adjustRightInd w:val="0"/>
        <w:spacing w:line="240" w:lineRule="auto"/>
        <w:rPr>
          <w:szCs w:val="22"/>
          <w:lang w:val="sl-SI"/>
        </w:rPr>
      </w:pPr>
    </w:p>
    <w:p>
      <w:pPr>
        <w:pStyle w:val="BodyText2"/>
        <w:widowControl w:val="0"/>
        <w:spacing w:after="0" w:line="240" w:lineRule="auto"/>
        <w:rPr>
          <w:i/>
          <w:szCs w:val="22"/>
          <w:lang w:val="el-GR"/>
        </w:rPr>
      </w:pPr>
      <w:r>
        <w:rPr>
          <w:i/>
          <w:szCs w:val="22"/>
          <w:lang w:val="el-GR"/>
        </w:rPr>
        <w:t>Πρόληψη αθηροθρομβωτικών και θρομβοεμβολικών επεισοδίων σε κολπική μαρμαρυγή</w:t>
      </w:r>
    </w:p>
    <w:p>
      <w:pPr>
        <w:pStyle w:val="BodyText2"/>
        <w:widowControl w:val="0"/>
        <w:spacing w:after="0" w:line="240" w:lineRule="auto"/>
        <w:rPr>
          <w:szCs w:val="22"/>
          <w:lang w:val="el-GR"/>
        </w:rPr>
      </w:pPr>
      <w:r>
        <w:rPr>
          <w:szCs w:val="22"/>
          <w:lang w:val="el-GR"/>
        </w:rPr>
        <w:t xml:space="preserve">Σε ενήλικες ασθενείς με κολπική μαρμαρυγή που έχουν τουλάχιστον ένα παράγοντα κινδύνου για αγγειακά συμβάματα, που δεν είναι δυνατό να πάρουν θεραπεία με ανταγωνιστές βιταμίνης Κ (ΑΒΚ) και οι οποίοι διατρέχουν χαμηλό κίνδυνο αιμορραγίας, η κλοπιδογρέλη ενδείκνυται σε συνδυασμό με το ΑΣΟ για την πρόληψη αθηροθρομβωτικών και θρομβοεμβολικών επεισοδίων, </w:t>
      </w:r>
      <w:r>
        <w:rPr>
          <w:szCs w:val="22"/>
          <w:lang w:val="el-GR"/>
        </w:rPr>
        <w:lastRenderedPageBreak/>
        <w:t>συμπεριλαμβανομένου του αγγειακού εγκεφαλικού επεισοδίου.</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Για περισσότερες πληροφορίες παρακαλείσθε όπως ανατρέξετε στην παράγραφο 5.1.</w:t>
      </w:r>
    </w:p>
    <w:p>
      <w:pPr>
        <w:widowControl w:val="0"/>
        <w:spacing w:line="240" w:lineRule="auto"/>
        <w:rPr>
          <w:noProof/>
          <w:szCs w:val="22"/>
          <w:lang w:val="el-GR"/>
        </w:rPr>
      </w:pPr>
    </w:p>
    <w:p>
      <w:pPr>
        <w:widowControl w:val="0"/>
        <w:spacing w:line="240" w:lineRule="auto"/>
        <w:rPr>
          <w:b/>
          <w:noProof/>
          <w:szCs w:val="22"/>
          <w:lang w:val="el-GR"/>
        </w:rPr>
      </w:pPr>
      <w:r>
        <w:rPr>
          <w:b/>
          <w:noProof/>
          <w:szCs w:val="22"/>
          <w:lang w:val="el-GR"/>
        </w:rPr>
        <w:t>4.2</w:t>
      </w:r>
      <w:r>
        <w:rPr>
          <w:b/>
          <w:noProof/>
          <w:szCs w:val="22"/>
          <w:lang w:val="el-GR"/>
        </w:rPr>
        <w:tab/>
        <w:t>Δοσολογία και τρόπος χορήγησης</w:t>
      </w:r>
    </w:p>
    <w:p>
      <w:pPr>
        <w:widowControl w:val="0"/>
        <w:spacing w:line="240" w:lineRule="auto"/>
        <w:rPr>
          <w:noProof/>
          <w:szCs w:val="22"/>
          <w:lang w:val="el-GR"/>
        </w:rPr>
      </w:pPr>
    </w:p>
    <w:p>
      <w:pPr>
        <w:widowControl w:val="0"/>
        <w:spacing w:line="240" w:lineRule="auto"/>
        <w:rPr>
          <w:szCs w:val="22"/>
          <w:lang w:val="el-GR"/>
        </w:rPr>
      </w:pPr>
      <w:r>
        <w:rPr>
          <w:szCs w:val="22"/>
          <w:lang w:val="el-GR"/>
        </w:rPr>
        <w:t>Δοσολογία</w:t>
      </w:r>
    </w:p>
    <w:p>
      <w:pPr>
        <w:widowControl w:val="0"/>
        <w:numPr>
          <w:ilvl w:val="0"/>
          <w:numId w:val="33"/>
        </w:numPr>
        <w:tabs>
          <w:tab w:val="clear" w:pos="567"/>
        </w:tabs>
        <w:autoSpaceDE w:val="0"/>
        <w:autoSpaceDN w:val="0"/>
        <w:adjustRightInd w:val="0"/>
        <w:spacing w:line="240" w:lineRule="auto"/>
        <w:ind w:left="567" w:hanging="567"/>
        <w:rPr>
          <w:szCs w:val="22"/>
          <w:lang w:val="el-GR"/>
        </w:rPr>
      </w:pPr>
      <w:r>
        <w:rPr>
          <w:szCs w:val="22"/>
          <w:lang w:val="el-GR"/>
        </w:rPr>
        <w:t xml:space="preserve">Ενήλικες και </w:t>
      </w:r>
      <w:r>
        <w:rPr>
          <w:lang w:val="el-GR"/>
        </w:rPr>
        <w:t>ηλικιωμένοι</w:t>
      </w:r>
    </w:p>
    <w:p>
      <w:pPr>
        <w:widowControl w:val="0"/>
        <w:tabs>
          <w:tab w:val="clear" w:pos="567"/>
        </w:tabs>
        <w:autoSpaceDE w:val="0"/>
        <w:autoSpaceDN w:val="0"/>
        <w:adjustRightInd w:val="0"/>
        <w:spacing w:line="240" w:lineRule="auto"/>
        <w:ind w:left="567"/>
        <w:rPr>
          <w:szCs w:val="22"/>
          <w:lang w:val="el-GR"/>
        </w:rPr>
      </w:pPr>
      <w:r>
        <w:rPr>
          <w:szCs w:val="22"/>
          <w:lang w:val="el-GR"/>
        </w:rPr>
        <w:t>Η κλοπιδογρέλη πρέπει να δίνεται ως εφάπαξ ημερήσια δόση των 75</w:t>
      </w:r>
      <w:r>
        <w:rPr>
          <w:lang w:val="el-GR"/>
        </w:rPr>
        <w:t> mg</w:t>
      </w:r>
      <w:r>
        <w:rPr>
          <w:szCs w:val="22"/>
          <w:lang w:val="el-GR"/>
        </w:rPr>
        <w:t>.</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szCs w:val="22"/>
          <w:lang w:val="el-GR"/>
        </w:rPr>
      </w:pPr>
      <w:r>
        <w:rPr>
          <w:szCs w:val="22"/>
          <w:lang w:val="el-GR"/>
        </w:rPr>
        <w:t>Σε ασθενείς που πάσχουν από οξύ στεφανιαίο σύνδρομο:</w:t>
      </w:r>
    </w:p>
    <w:p>
      <w:pPr>
        <w:widowControl w:val="0"/>
        <w:numPr>
          <w:ilvl w:val="0"/>
          <w:numId w:val="33"/>
        </w:numPr>
        <w:tabs>
          <w:tab w:val="clear" w:pos="567"/>
        </w:tabs>
        <w:autoSpaceDE w:val="0"/>
        <w:autoSpaceDN w:val="0"/>
        <w:adjustRightInd w:val="0"/>
        <w:spacing w:line="240" w:lineRule="auto"/>
        <w:ind w:left="567" w:hanging="567"/>
        <w:rPr>
          <w:szCs w:val="22"/>
          <w:lang w:val="el-GR"/>
        </w:rPr>
      </w:pPr>
      <w:r>
        <w:rPr>
          <w:szCs w:val="22"/>
          <w:lang w:val="el-GR"/>
        </w:rPr>
        <w:t>Οξύ στεφανιαίο σύνδρομο χωρίς ανάσπαση του διαστήματος ST (ασταθής στηθάγχη ή έμφραγμα του μυοκαρδίου χωρίς κύμα Q): η αγωγή με κλοπιδογρέλη θα πρέπει να ξεκινά με μία εφάπαξ δόση φόρτισης των 300 mg ή 600 </w:t>
      </w:r>
      <w:r>
        <w:rPr>
          <w:szCs w:val="22"/>
          <w:lang w:val="en-US"/>
        </w:rPr>
        <w:t>mg</w:t>
      </w:r>
      <w:r>
        <w:rPr>
          <w:szCs w:val="22"/>
          <w:lang w:val="el-GR"/>
        </w:rPr>
        <w:t>. Η εφάπαξ δόση φόρτισης των 600 mg θα μπορούσε να χορηγείται σε ασθενείς ηλικίας &lt;75 ετών όταν προβλέπεται διαδερμική στεφανιαία παρέμβαση (βλ. παράγραφο 4.4). Η θεραπεία με κλοπιδογρέλη θα πρέπει να συνεχίζεται με 75 mg μία φορά την ημέρα (με ακετυλοσαλικυλικό οξύ (ΑΣΟ) 75 mg</w:t>
      </w:r>
      <w:r>
        <w:rPr>
          <w:szCs w:val="22"/>
          <w:lang w:val="sl-SI"/>
        </w:rPr>
        <w:t>-</w:t>
      </w:r>
      <w:r>
        <w:rPr>
          <w:szCs w:val="22"/>
          <w:lang w:val="el-GR"/>
        </w:rPr>
        <w:t>325 mg ημερησίως). Καθώς υψηλότερες δόσεις ΑΣΟ συσχετίσθηκαν με υψηλότερο κίνδυνο αιμορραγίας, συνιστάται η δόση ΑΣΟ να μην είναι υψηλότερη από 100 mg. Η βέλτιστη διάρκεια της αγωγής δεν έχει επίσημα προσδιοριστεί. Δεδομένα κλινικών δοκιμών υποστηρίζουν χρήση μέχρι 12 μήνες, με το μέγιστο όφελος να έχει παρατηρηθεί στους 3 μήνες (βλ. παράγραφο 5.1).</w:t>
      </w:r>
    </w:p>
    <w:p>
      <w:pPr>
        <w:widowControl w:val="0"/>
        <w:numPr>
          <w:ilvl w:val="0"/>
          <w:numId w:val="33"/>
        </w:numPr>
        <w:tabs>
          <w:tab w:val="clear" w:pos="567"/>
        </w:tabs>
        <w:autoSpaceDE w:val="0"/>
        <w:autoSpaceDN w:val="0"/>
        <w:adjustRightInd w:val="0"/>
        <w:spacing w:line="240" w:lineRule="auto"/>
        <w:ind w:left="567" w:hanging="567"/>
        <w:rPr>
          <w:szCs w:val="22"/>
          <w:lang w:val="el-GR"/>
        </w:rPr>
      </w:pPr>
      <w:r>
        <w:rPr>
          <w:szCs w:val="22"/>
          <w:lang w:val="el-GR"/>
        </w:rPr>
        <w:t>Οξύ έμφραγμα του μυοκαρδίου με ανάσπαση του διαστήματος ST:</w:t>
      </w:r>
    </w:p>
    <w:p>
      <w:pPr>
        <w:widowControl w:val="0"/>
        <w:numPr>
          <w:ilvl w:val="0"/>
          <w:numId w:val="57"/>
        </w:numPr>
        <w:tabs>
          <w:tab w:val="clear" w:pos="567"/>
        </w:tabs>
        <w:autoSpaceDE w:val="0"/>
        <w:autoSpaceDN w:val="0"/>
        <w:adjustRightInd w:val="0"/>
        <w:spacing w:line="240" w:lineRule="auto"/>
        <w:ind w:left="1134" w:hanging="567"/>
        <w:rPr>
          <w:szCs w:val="22"/>
          <w:lang w:val="el-GR"/>
        </w:rPr>
      </w:pPr>
      <w:r>
        <w:rPr>
          <w:lang w:val="el-GR"/>
        </w:rPr>
        <w:t xml:space="preserve">Σε ασθενείς που αντιμετωπίζονται συντηρητικά, κατάλληλοι για θρομβολυτική/ινωδολυτική αγωγή, </w:t>
      </w:r>
      <w:r>
        <w:rPr>
          <w:szCs w:val="22"/>
          <w:lang w:val="el-GR"/>
        </w:rPr>
        <w:t>η κλοπιδογρέλη θα πρέπει να χορηγείται ως εφάπαξ ημερήσια δόση των 75 mg ξεκινώντας με μία δόση φόρτισης των 300 mg σε συνδυασμό με ΑΣΟ και με ή χωρίς θρομβολυτικά. Για ιατρικώς θεραπευόμενους ασθενείς ηλικίας άνω των 75 ετών η κλοπιδογρέλη θα πρέπει να ξεκινά χωρίς δόση φόρτισης. Η συνδυασμένη θεραπεία θα πρέπει να ξεκινά το συντομότερο δυνατό μετά την έναρξη των συμπτωμάτων και να συνεχίζεται για τέσσερις εβδομάδες τουλάχιστον. Το όφελος από το συνδυασμό κλοπιδογρέλης με ΑΣΟ για διάστημα μεγαλύτερο των τεσσάρων εβδομάδων δεν έχει μελετηθεί (βλ. παράγραφο 5.1).</w:t>
      </w:r>
    </w:p>
    <w:p>
      <w:pPr>
        <w:widowControl w:val="0"/>
        <w:numPr>
          <w:ilvl w:val="0"/>
          <w:numId w:val="57"/>
        </w:numPr>
        <w:tabs>
          <w:tab w:val="clear" w:pos="567"/>
        </w:tabs>
        <w:spacing w:line="240" w:lineRule="auto"/>
        <w:ind w:left="1134" w:hanging="567"/>
        <w:rPr>
          <w:lang w:val="el-GR"/>
        </w:rPr>
      </w:pPr>
      <w:r>
        <w:rPr>
          <w:lang w:val="el-GR"/>
        </w:rPr>
        <w:t>Όταν πρόκειται να πραγματοποιηθεί διαδερμική στεφανιαία παρέμβαση (PCI):</w:t>
      </w:r>
    </w:p>
    <w:p>
      <w:pPr>
        <w:widowControl w:val="0"/>
        <w:numPr>
          <w:ilvl w:val="1"/>
          <w:numId w:val="53"/>
        </w:numPr>
        <w:spacing w:line="240" w:lineRule="auto"/>
        <w:rPr>
          <w:lang w:val="el-GR"/>
        </w:rPr>
      </w:pPr>
      <w:r>
        <w:rPr>
          <w:lang w:val="el-GR"/>
        </w:rPr>
        <w:t xml:space="preserve">Η θεραπεία με κλοπιδογρέλη θα πρέπει να ξεκινά με μια εφάπαξ δόση φόρτισης 600 </w:t>
      </w:r>
      <w:r>
        <w:rPr>
          <w:lang w:val="en-US"/>
        </w:rPr>
        <w:t>mg</w:t>
      </w:r>
      <w:r>
        <w:rPr>
          <w:lang w:val="el-GR"/>
        </w:rPr>
        <w:t xml:space="preserve"> σε ασθενείς που υποβάλλονται σε πρωτογενή </w:t>
      </w:r>
      <w:r>
        <w:rPr>
          <w:lang w:val="en-US"/>
        </w:rPr>
        <w:t>PCI</w:t>
      </w:r>
      <w:r>
        <w:rPr>
          <w:lang w:val="el-GR"/>
        </w:rPr>
        <w:t xml:space="preserve"> και σε ασθενείς που υποβάλλονται σε </w:t>
      </w:r>
      <w:r>
        <w:rPr>
          <w:lang w:val="en-US"/>
        </w:rPr>
        <w:t>PCI</w:t>
      </w:r>
      <w:r>
        <w:rPr>
          <w:lang w:val="el-GR"/>
        </w:rPr>
        <w:t xml:space="preserve"> περισσότερο από 24 ώρες από την λήψη ινωδολυτικής αγωγής. Σε ασθενείς ηλικίας ≥ 75 ετών, τα 600 mg </w:t>
      </w:r>
      <w:r>
        <w:rPr>
          <w:lang w:val="en-US"/>
        </w:rPr>
        <w:t>LD</w:t>
      </w:r>
      <w:r>
        <w:rPr>
          <w:lang w:val="el-GR"/>
        </w:rPr>
        <w:t xml:space="preserve"> θα πρέπει να χορηγούνται με προσοχή (βλ. παράγραφο 4.4). </w:t>
      </w:r>
    </w:p>
    <w:p>
      <w:pPr>
        <w:widowControl w:val="0"/>
        <w:numPr>
          <w:ilvl w:val="1"/>
          <w:numId w:val="53"/>
        </w:numPr>
        <w:spacing w:line="240" w:lineRule="auto"/>
        <w:rPr>
          <w:lang w:val="el-GR"/>
        </w:rPr>
      </w:pPr>
      <w:r>
        <w:rPr>
          <w:lang w:val="el-GR"/>
        </w:rPr>
        <w:t xml:space="preserve">Η θεραπεία με κλοπιδογρέλη εφάπαξ δόσης φόρτισης 300 </w:t>
      </w:r>
      <w:r>
        <w:rPr>
          <w:lang w:val="en-US"/>
        </w:rPr>
        <w:t>mg</w:t>
      </w:r>
      <w:r>
        <w:rPr>
          <w:lang w:val="el-GR"/>
        </w:rPr>
        <w:t xml:space="preserve"> θα πρέπει να χορηγείται σε ασθενείς που υποβάλλονται σε </w:t>
      </w:r>
      <w:r>
        <w:rPr>
          <w:lang w:val="en-US"/>
        </w:rPr>
        <w:t>PCI</w:t>
      </w:r>
      <w:r>
        <w:rPr>
          <w:lang w:val="el-GR"/>
        </w:rPr>
        <w:t xml:space="preserve"> εντός 24 ωρών από την λήψη ινωδολυτικής αγωγής.</w:t>
      </w:r>
    </w:p>
    <w:p>
      <w:pPr>
        <w:pStyle w:val="ListParagraph"/>
        <w:widowControl w:val="0"/>
        <w:numPr>
          <w:ilvl w:val="0"/>
          <w:numId w:val="58"/>
        </w:numPr>
        <w:tabs>
          <w:tab w:val="clear" w:pos="567"/>
        </w:tabs>
        <w:autoSpaceDE w:val="0"/>
        <w:autoSpaceDN w:val="0"/>
        <w:adjustRightInd w:val="0"/>
        <w:spacing w:line="240" w:lineRule="auto"/>
        <w:ind w:left="1134" w:hanging="567"/>
        <w:rPr>
          <w:szCs w:val="22"/>
          <w:lang w:val="el-GR"/>
        </w:rPr>
      </w:pPr>
      <w:r>
        <w:rPr>
          <w:lang w:val="el-GR"/>
        </w:rPr>
        <w:t>Η θεραπεία με κλοπιδογρέλη θα πρέπει να συνεχίζεται στα 75 mg μία φορά την ημέρα με ΑΣΟ 75 mg – 100 mg ημερησίως. Η συνδυασμένη θεραπεία θα πρέπει να ξεκινά το συντομότερο συνατόν μετά την έναρξη των συμπτωμάτων και να συνεχίζεται έως και 12 μήνες (βλ. παράγραφο 5.1).</w:t>
      </w:r>
    </w:p>
    <w:p>
      <w:pPr>
        <w:widowControl w:val="0"/>
        <w:tabs>
          <w:tab w:val="left" w:pos="851"/>
        </w:tabs>
        <w:autoSpaceDE w:val="0"/>
        <w:autoSpaceDN w:val="0"/>
        <w:adjustRightInd w:val="0"/>
        <w:spacing w:line="240" w:lineRule="auto"/>
        <w:ind w:hanging="567"/>
        <w:rPr>
          <w:szCs w:val="22"/>
          <w:lang w:val="sl-SI"/>
        </w:rPr>
      </w:pPr>
    </w:p>
    <w:p>
      <w:pPr>
        <w:widowControl w:val="0"/>
        <w:spacing w:line="240" w:lineRule="auto"/>
        <w:rPr>
          <w:lang w:val="el-GR"/>
        </w:rPr>
      </w:pPr>
      <w:r>
        <w:rPr>
          <w:lang w:val="el-GR"/>
        </w:rPr>
        <w:t>Ενήλικες ασθενείς με μετρίου έως υψηλού κινδύνου ΠΙΕ ή έλασσον ΙΑΕΕ:</w:t>
      </w:r>
      <w:r>
        <w:rPr>
          <w:lang w:val="el-GR"/>
        </w:rPr>
        <w:fldChar w:fldCharType="begin"/>
      </w:r>
      <w:r>
        <w:rPr>
          <w:lang w:val="el-GR"/>
        </w:rPr>
        <w:instrText xml:space="preserve"> DOCVARIABLE vault_nd_dffe9f2d-e2e3-4220-b422-eee5e9eb0903 \* MERGEFORMAT </w:instrText>
      </w:r>
      <w:r>
        <w:rPr>
          <w:lang w:val="el-GR"/>
        </w:rPr>
        <w:fldChar w:fldCharType="end"/>
      </w:r>
    </w:p>
    <w:p>
      <w:pPr>
        <w:widowControl w:val="0"/>
        <w:tabs>
          <w:tab w:val="left" w:pos="851"/>
        </w:tabs>
        <w:autoSpaceDE w:val="0"/>
        <w:autoSpaceDN w:val="0"/>
        <w:adjustRightInd w:val="0"/>
        <w:spacing w:line="240" w:lineRule="auto"/>
        <w:rPr>
          <w:szCs w:val="22"/>
          <w:lang w:val="sl-SI"/>
        </w:rPr>
      </w:pPr>
      <w:r>
        <w:rPr>
          <w:lang w:val="el-GR"/>
        </w:rPr>
        <w:t>Σε ενήλικες ασθενείς με μετρίου έως υψηλού κινδύνου ΠΙΕ (βαθμολογία ABCD2 ≥4) ή έλασσον ΙΑΕΕ (NIHSS ≤3) θα πρέπει να χορηγείται μία δόση φόρτισης κλοπιδογρέλης 300 mg ακολουθούμενη από δόση κλοπιδογρέλης 75 mg άπαξ ημερησίως και ΑΣΟ (75 mg -100 mg άπαξ ημερησίως). Η θεραπεία με κλοπιδογρέλη και ΑΣΟ θα πρέπει να ξεκινά εντός 24 ωρών από το επεισόδιο και να συνεχίζεται για 21 ημέρες ακολουθούμενη από μονή αντιαιμοπεταλιακή θεραπεία.</w:t>
      </w:r>
    </w:p>
    <w:p>
      <w:pPr>
        <w:widowControl w:val="0"/>
        <w:tabs>
          <w:tab w:val="left" w:pos="851"/>
        </w:tabs>
        <w:autoSpaceDE w:val="0"/>
        <w:autoSpaceDN w:val="0"/>
        <w:adjustRightInd w:val="0"/>
        <w:spacing w:line="240" w:lineRule="auto"/>
        <w:rPr>
          <w:szCs w:val="22"/>
          <w:lang w:val="sl-SI"/>
        </w:rPr>
      </w:pPr>
    </w:p>
    <w:p>
      <w:pPr>
        <w:widowControl w:val="0"/>
        <w:numPr>
          <w:ilvl w:val="12"/>
          <w:numId w:val="0"/>
        </w:numPr>
        <w:spacing w:line="240" w:lineRule="auto"/>
        <w:rPr>
          <w:szCs w:val="22"/>
          <w:lang w:val="el-GR"/>
        </w:rPr>
      </w:pPr>
      <w:r>
        <w:rPr>
          <w:szCs w:val="22"/>
          <w:lang w:val="el-GR"/>
        </w:rPr>
        <w:t>Σε ασθενείς με κολπική μαρμαρυγή, η κλοπιδογρέλη πρέπει να χορηγείται ως εφάπαξ ημερήσια δόση των 75 </w:t>
      </w:r>
      <w:r>
        <w:rPr>
          <w:szCs w:val="22"/>
          <w:lang w:val="sl-SI"/>
        </w:rPr>
        <w:t>mg</w:t>
      </w:r>
      <w:r>
        <w:rPr>
          <w:szCs w:val="22"/>
          <w:lang w:val="el-GR"/>
        </w:rPr>
        <w:t>. Το ΑΣΟ (75</w:t>
      </w:r>
      <w:r>
        <w:rPr>
          <w:szCs w:val="22"/>
          <w:lang w:val="sl-SI"/>
        </w:rPr>
        <w:t>-</w:t>
      </w:r>
      <w:r>
        <w:rPr>
          <w:szCs w:val="22"/>
          <w:lang w:val="el-GR"/>
        </w:rPr>
        <w:t>100 </w:t>
      </w:r>
      <w:r>
        <w:rPr>
          <w:szCs w:val="22"/>
          <w:lang w:val="en-US"/>
        </w:rPr>
        <w:t>mg</w:t>
      </w:r>
      <w:r>
        <w:rPr>
          <w:szCs w:val="22"/>
          <w:lang w:val="el-GR"/>
        </w:rPr>
        <w:t xml:space="preserve"> ημερησίως) πρέπει να ξεκινά και να συνεχίζεται σε συνδυασμό με την κλοπιδογρέλη (βλ. παράγραφο 5.1).</w:t>
      </w:r>
    </w:p>
    <w:p>
      <w:pPr>
        <w:widowControl w:val="0"/>
        <w:tabs>
          <w:tab w:val="left" w:pos="851"/>
        </w:tabs>
        <w:autoSpaceDE w:val="0"/>
        <w:autoSpaceDN w:val="0"/>
        <w:adjustRightInd w:val="0"/>
        <w:spacing w:line="240" w:lineRule="auto"/>
        <w:rPr>
          <w:szCs w:val="22"/>
          <w:lang w:val="el-GR"/>
        </w:rPr>
      </w:pPr>
    </w:p>
    <w:p>
      <w:pPr>
        <w:widowControl w:val="0"/>
        <w:numPr>
          <w:ilvl w:val="12"/>
          <w:numId w:val="0"/>
        </w:numPr>
        <w:spacing w:line="240" w:lineRule="auto"/>
        <w:rPr>
          <w:szCs w:val="22"/>
          <w:lang w:val="el-GR"/>
        </w:rPr>
      </w:pPr>
      <w:r>
        <w:rPr>
          <w:szCs w:val="22"/>
          <w:lang w:val="el-GR"/>
        </w:rPr>
        <w:lastRenderedPageBreak/>
        <w:t>Εάν παραληφθεί μια δόση:</w:t>
      </w:r>
    </w:p>
    <w:p>
      <w:pPr>
        <w:widowControl w:val="0"/>
        <w:numPr>
          <w:ilvl w:val="0"/>
          <w:numId w:val="33"/>
        </w:numPr>
        <w:tabs>
          <w:tab w:val="clear" w:pos="567"/>
        </w:tabs>
        <w:autoSpaceDE w:val="0"/>
        <w:autoSpaceDN w:val="0"/>
        <w:adjustRightInd w:val="0"/>
        <w:spacing w:line="240" w:lineRule="auto"/>
        <w:ind w:left="567" w:hanging="567"/>
        <w:rPr>
          <w:szCs w:val="22"/>
          <w:lang w:val="el-GR"/>
        </w:rPr>
      </w:pPr>
      <w:r>
        <w:rPr>
          <w:szCs w:val="22"/>
          <w:lang w:val="el-GR"/>
        </w:rPr>
        <w:t>Εντός λιγότερο των 12 ωρών μετά την κανονική προγραμματισμένη ώρα: οι ασθενείς πρέπει να πάρουν τη δόση τους αμέσως και μετά να πάρουν την επόμενη δόση στην κανονική προγραμματισμένη ώρα.</w:t>
      </w:r>
    </w:p>
    <w:p>
      <w:pPr>
        <w:widowControl w:val="0"/>
        <w:numPr>
          <w:ilvl w:val="0"/>
          <w:numId w:val="33"/>
        </w:numPr>
        <w:tabs>
          <w:tab w:val="clear" w:pos="567"/>
        </w:tabs>
        <w:autoSpaceDE w:val="0"/>
        <w:autoSpaceDN w:val="0"/>
        <w:adjustRightInd w:val="0"/>
        <w:spacing w:line="240" w:lineRule="auto"/>
        <w:ind w:left="567" w:hanging="567"/>
        <w:rPr>
          <w:szCs w:val="22"/>
          <w:lang w:val="el-GR"/>
        </w:rPr>
      </w:pPr>
      <w:r>
        <w:rPr>
          <w:szCs w:val="22"/>
          <w:lang w:val="el-GR"/>
        </w:rPr>
        <w:t>Μετά από περισσότερο από 12 ώρες: οι ασθενείς πρέπει να πάρουν την επόμενη δόση στην κανονική προγραμματισμένη ώρα και να μην διπλασιάσουν τη δόση.</w:t>
      </w:r>
    </w:p>
    <w:p>
      <w:pPr>
        <w:rPr>
          <w:lang w:val="el-GR"/>
        </w:rPr>
      </w:pPr>
    </w:p>
    <w:p>
      <w:r>
        <w:t>Ειδικοί πληθυσμοί</w:t>
      </w:r>
    </w:p>
    <w:p/>
    <w:p>
      <w:pPr>
        <w:pStyle w:val="ListParagraph"/>
        <w:numPr>
          <w:ilvl w:val="0"/>
          <w:numId w:val="59"/>
        </w:numPr>
        <w:tabs>
          <w:tab w:val="clear" w:pos="567"/>
        </w:tabs>
        <w:ind w:left="567" w:hanging="567"/>
      </w:pPr>
      <w:r>
        <w:t>Ηλικιωμένοι ασθενείς</w:t>
      </w:r>
    </w:p>
    <w:p/>
    <w:p>
      <w:pPr>
        <w:rPr>
          <w:lang w:val="el-GR"/>
        </w:rPr>
      </w:pPr>
      <w:r>
        <w:rPr>
          <w:lang w:val="el-GR"/>
        </w:rPr>
        <w:t xml:space="preserve">Οξύ στεφανιαίο σύνδρομο χωρίς ανάσπαση του διαστήματος </w:t>
      </w:r>
      <w:r>
        <w:t>ST</w:t>
      </w:r>
      <w:r>
        <w:rPr>
          <w:lang w:val="el-GR"/>
        </w:rPr>
        <w:t xml:space="preserve"> (ασταθής στηθάγχη ή έμφραγμα του μυοκαρδίου χωρίς κύμα </w:t>
      </w:r>
      <w:r>
        <w:t>Q</w:t>
      </w:r>
      <w:r>
        <w:rPr>
          <w:lang w:val="el-GR"/>
        </w:rPr>
        <w:t>):</w:t>
      </w:r>
    </w:p>
    <w:p>
      <w:pPr>
        <w:pStyle w:val="ListParagraph"/>
        <w:numPr>
          <w:ilvl w:val="0"/>
          <w:numId w:val="60"/>
        </w:numPr>
        <w:tabs>
          <w:tab w:val="clear" w:pos="567"/>
        </w:tabs>
        <w:ind w:left="851" w:hanging="425"/>
        <w:rPr>
          <w:lang w:val="el-GR"/>
        </w:rPr>
      </w:pPr>
      <w:r>
        <w:rPr>
          <w:lang w:val="el-GR"/>
        </w:rPr>
        <w:t xml:space="preserve">Η εφάπαξ δόση φόρτισης των 600 </w:t>
      </w:r>
      <w:r>
        <w:t>mg</w:t>
      </w:r>
      <w:r>
        <w:rPr>
          <w:lang w:val="el-GR"/>
        </w:rPr>
        <w:t xml:space="preserve"> θα μπορούσε να χορηγείται σε ασθενείς ηλικίας&lt;75 ετών όταν προβλέπεται διαδερμική στεφανιαία παρέμβαση (βλ. παράγραφο 4.4).</w:t>
      </w:r>
    </w:p>
    <w:p>
      <w:pPr>
        <w:rPr>
          <w:lang w:val="el-GR"/>
        </w:rPr>
      </w:pPr>
    </w:p>
    <w:p>
      <w:pPr>
        <w:rPr>
          <w:lang w:val="el-GR"/>
        </w:rPr>
      </w:pPr>
      <w:r>
        <w:rPr>
          <w:lang w:val="el-GR"/>
        </w:rPr>
        <w:t xml:space="preserve">Οξύ έμφραγμα του μυοκαρδίου με ανάσπαση του διαστήματος </w:t>
      </w:r>
      <w:r>
        <w:t>ST</w:t>
      </w:r>
      <w:r>
        <w:rPr>
          <w:lang w:val="el-GR"/>
        </w:rPr>
        <w:t>:</w:t>
      </w:r>
    </w:p>
    <w:p>
      <w:pPr>
        <w:pStyle w:val="ListParagraph"/>
        <w:numPr>
          <w:ilvl w:val="0"/>
          <w:numId w:val="60"/>
        </w:numPr>
        <w:tabs>
          <w:tab w:val="clear" w:pos="567"/>
        </w:tabs>
        <w:ind w:left="851" w:hanging="425"/>
        <w:rPr>
          <w:lang w:val="el-GR"/>
        </w:rPr>
      </w:pPr>
      <w:r>
        <w:rPr>
          <w:lang w:val="el-GR"/>
        </w:rPr>
        <w:t>Σε ασθενείς που αντιμετωπίζονται συντηρητικά κατάλληλοι για θρομβολυτική/ινωδολυτική αγωγή: σε ασθενείς ηλικίας άνω των 75 ετών η θεραπεία με κλοπιδογρέλη θα πρέπει να ξεκινά χωρίς μία εφάπαξ δόση φόρτισης.</w:t>
      </w:r>
    </w:p>
    <w:p>
      <w:pPr>
        <w:rPr>
          <w:lang w:val="el-GR"/>
        </w:rPr>
      </w:pPr>
    </w:p>
    <w:p>
      <w:pPr>
        <w:rPr>
          <w:lang w:val="el-GR"/>
        </w:rPr>
      </w:pPr>
      <w:r>
        <w:rPr>
          <w:lang w:val="el-GR"/>
        </w:rPr>
        <w:t xml:space="preserve">Σε ασθενείς που υποβάλλονται σε πρωτογενή </w:t>
      </w:r>
      <w:r>
        <w:t>PCI</w:t>
      </w:r>
      <w:r>
        <w:rPr>
          <w:lang w:val="el-GR"/>
        </w:rPr>
        <w:t xml:space="preserve"> και σε ασθενείς που υποβάλλονται σε </w:t>
      </w:r>
      <w:r>
        <w:t>PCI</w:t>
      </w:r>
      <w:r>
        <w:rPr>
          <w:lang w:val="el-GR"/>
        </w:rPr>
        <w:t xml:space="preserve"> περισσότερο από 24 ώρες από την λήψη ινωδολυτικής αγωγής:</w:t>
      </w:r>
    </w:p>
    <w:p>
      <w:pPr>
        <w:pStyle w:val="ListParagraph"/>
        <w:numPr>
          <w:ilvl w:val="0"/>
          <w:numId w:val="60"/>
        </w:numPr>
        <w:tabs>
          <w:tab w:val="clear" w:pos="567"/>
        </w:tabs>
        <w:ind w:left="851" w:hanging="425"/>
        <w:rPr>
          <w:lang w:val="el-GR"/>
        </w:rPr>
      </w:pPr>
      <w:r>
        <w:rPr>
          <w:lang w:val="el-GR"/>
        </w:rPr>
        <w:t xml:space="preserve">Σε ασθενείς ηλικίας ≥ 75 ετών, τα 600 </w:t>
      </w:r>
      <w:r>
        <w:t>mg</w:t>
      </w:r>
      <w:r>
        <w:rPr>
          <w:lang w:val="el-GR"/>
        </w:rPr>
        <w:t xml:space="preserve"> </w:t>
      </w:r>
      <w:r>
        <w:t>LD</w:t>
      </w:r>
      <w:r>
        <w:rPr>
          <w:lang w:val="el-GR"/>
        </w:rPr>
        <w:t xml:space="preserve"> θα πρέπει να χορηγούνται με προσοχή (βλ.παράγραφο 4.4).</w:t>
      </w:r>
    </w:p>
    <w:p>
      <w:pPr>
        <w:widowControl w:val="0"/>
        <w:tabs>
          <w:tab w:val="clear" w:pos="567"/>
        </w:tabs>
        <w:spacing w:line="240" w:lineRule="auto"/>
        <w:ind w:left="567" w:hanging="567"/>
        <w:rPr>
          <w:szCs w:val="22"/>
          <w:lang w:val="el-GR"/>
        </w:rPr>
      </w:pPr>
    </w:p>
    <w:p>
      <w:pPr>
        <w:pStyle w:val="ListParagraph"/>
        <w:numPr>
          <w:ilvl w:val="0"/>
          <w:numId w:val="59"/>
        </w:numPr>
        <w:tabs>
          <w:tab w:val="clear" w:pos="567"/>
        </w:tabs>
        <w:ind w:left="567" w:hanging="567"/>
      </w:pPr>
      <w:r>
        <w:t>Παιδιατρικός πληθυσμός</w:t>
      </w:r>
    </w:p>
    <w:p>
      <w:pPr>
        <w:pStyle w:val="BodyTextIndent2"/>
        <w:widowControl w:val="0"/>
        <w:tabs>
          <w:tab w:val="clear" w:pos="567"/>
        </w:tabs>
        <w:spacing w:after="0" w:line="240" w:lineRule="auto"/>
        <w:ind w:left="567"/>
        <w:rPr>
          <w:szCs w:val="22"/>
          <w:lang w:val="sl-SI"/>
        </w:rPr>
      </w:pPr>
      <w:r>
        <w:rPr>
          <w:szCs w:val="22"/>
          <w:lang w:val="el-GR"/>
        </w:rPr>
        <w:t>Η κλοπιδογρέλη δεν πρέπει να χρησιμοποιείται σε παιδιά λόγω αμφιβολιών για την αποτελεσματικότητα (βλ. παράγραφο 5.1).</w:t>
      </w:r>
    </w:p>
    <w:p>
      <w:pPr>
        <w:pStyle w:val="BodyTextIndent2"/>
        <w:widowControl w:val="0"/>
        <w:tabs>
          <w:tab w:val="clear" w:pos="567"/>
        </w:tabs>
        <w:spacing w:after="0" w:line="240" w:lineRule="auto"/>
        <w:ind w:left="567" w:hanging="567"/>
        <w:rPr>
          <w:szCs w:val="22"/>
          <w:lang w:val="sl-SI"/>
        </w:rPr>
      </w:pPr>
    </w:p>
    <w:p>
      <w:pPr>
        <w:pStyle w:val="ListParagraph"/>
        <w:numPr>
          <w:ilvl w:val="0"/>
          <w:numId w:val="59"/>
        </w:numPr>
        <w:tabs>
          <w:tab w:val="clear" w:pos="567"/>
        </w:tabs>
        <w:ind w:left="567" w:hanging="567"/>
      </w:pPr>
      <w:r>
        <w:t>Νεφρική δυσλειτουργία</w:t>
      </w:r>
    </w:p>
    <w:p>
      <w:pPr>
        <w:pStyle w:val="ListParagraph"/>
        <w:widowControl w:val="0"/>
        <w:tabs>
          <w:tab w:val="clear" w:pos="567"/>
        </w:tabs>
        <w:autoSpaceDE w:val="0"/>
        <w:autoSpaceDN w:val="0"/>
        <w:adjustRightInd w:val="0"/>
        <w:spacing w:line="240" w:lineRule="auto"/>
        <w:ind w:left="567"/>
        <w:rPr>
          <w:color w:val="000000"/>
          <w:szCs w:val="22"/>
          <w:lang w:val="sl-SI"/>
        </w:rPr>
      </w:pPr>
      <w:r>
        <w:rPr>
          <w:color w:val="000000"/>
          <w:szCs w:val="22"/>
          <w:lang w:val="el-GR"/>
        </w:rPr>
        <w:t>Η θεραπευτική εμπειρία είναι περιορισμένη σε ασθενείς με νεφρική δυσλειτουργία (βλ. παράγραφο 4.4).</w:t>
      </w:r>
    </w:p>
    <w:p>
      <w:pPr>
        <w:widowControl w:val="0"/>
        <w:tabs>
          <w:tab w:val="clear" w:pos="567"/>
        </w:tabs>
        <w:autoSpaceDE w:val="0"/>
        <w:autoSpaceDN w:val="0"/>
        <w:adjustRightInd w:val="0"/>
        <w:spacing w:line="240" w:lineRule="auto"/>
        <w:ind w:left="567" w:hanging="567"/>
        <w:rPr>
          <w:color w:val="000000"/>
          <w:szCs w:val="22"/>
          <w:lang w:val="sl-SI"/>
        </w:rPr>
      </w:pPr>
    </w:p>
    <w:p>
      <w:pPr>
        <w:pStyle w:val="ListParagraph"/>
        <w:numPr>
          <w:ilvl w:val="0"/>
          <w:numId w:val="59"/>
        </w:numPr>
        <w:tabs>
          <w:tab w:val="clear" w:pos="567"/>
        </w:tabs>
        <w:ind w:left="567" w:hanging="567"/>
      </w:pPr>
      <w:r>
        <w:t>Ηπατική δυσλειτουργία</w:t>
      </w:r>
    </w:p>
    <w:p>
      <w:pPr>
        <w:pStyle w:val="ListParagraph"/>
        <w:widowControl w:val="0"/>
        <w:tabs>
          <w:tab w:val="clear" w:pos="567"/>
        </w:tabs>
        <w:autoSpaceDE w:val="0"/>
        <w:autoSpaceDN w:val="0"/>
        <w:adjustRightInd w:val="0"/>
        <w:spacing w:line="240" w:lineRule="auto"/>
        <w:ind w:left="567"/>
        <w:rPr>
          <w:color w:val="000000"/>
          <w:szCs w:val="22"/>
          <w:lang w:val="el-GR"/>
        </w:rPr>
      </w:pPr>
      <w:r>
        <w:rPr>
          <w:color w:val="000000"/>
          <w:szCs w:val="22"/>
          <w:lang w:val="el-GR"/>
        </w:rPr>
        <w:t>Η θεραπευτική εμπειρία είναι περιορισμένη σε ασθενείς με μέτρια ηπατική νόσο οι οποίοι μπορεί να έχουν αιμορραγική προδιάθεση (βλ. παράγραφο 4.4).</w:t>
      </w:r>
    </w:p>
    <w:p>
      <w:pPr>
        <w:widowControl w:val="0"/>
        <w:spacing w:line="240" w:lineRule="auto"/>
        <w:ind w:left="567" w:hanging="567"/>
        <w:rPr>
          <w:szCs w:val="22"/>
          <w:lang w:val="sl-SI"/>
        </w:rPr>
      </w:pPr>
    </w:p>
    <w:p>
      <w:pPr>
        <w:widowControl w:val="0"/>
        <w:spacing w:line="240" w:lineRule="auto"/>
        <w:rPr>
          <w:szCs w:val="22"/>
          <w:u w:val="single"/>
          <w:lang w:val="el-GR"/>
        </w:rPr>
      </w:pPr>
      <w:r>
        <w:rPr>
          <w:szCs w:val="22"/>
          <w:u w:val="single"/>
          <w:lang w:val="el-GR"/>
        </w:rPr>
        <w:t>Τρόπος χορήγησης</w:t>
      </w:r>
    </w:p>
    <w:p>
      <w:pPr>
        <w:widowControl w:val="0"/>
        <w:spacing w:line="240" w:lineRule="auto"/>
        <w:rPr>
          <w:szCs w:val="22"/>
          <w:lang w:val="sl-SI"/>
        </w:rPr>
      </w:pPr>
      <w:r>
        <w:rPr>
          <w:szCs w:val="22"/>
          <w:lang w:val="el-GR"/>
        </w:rPr>
        <w:t>Από στόματος χρήση</w:t>
      </w:r>
      <w:r>
        <w:rPr>
          <w:szCs w:val="22"/>
          <w:lang w:val="sl-SI"/>
        </w:rPr>
        <w:t>.</w:t>
      </w:r>
    </w:p>
    <w:p>
      <w:pPr>
        <w:widowControl w:val="0"/>
        <w:spacing w:line="240" w:lineRule="auto"/>
        <w:rPr>
          <w:szCs w:val="22"/>
          <w:lang w:val="sl-SI"/>
        </w:rPr>
      </w:pPr>
      <w:r>
        <w:rPr>
          <w:szCs w:val="22"/>
          <w:lang w:val="el-GR"/>
        </w:rPr>
        <w:t>Είναι δυνατό να χορηγείται με ή χωρίς τροφή.</w:t>
      </w:r>
    </w:p>
    <w:p>
      <w:pPr>
        <w:widowControl w:val="0"/>
        <w:spacing w:line="240" w:lineRule="auto"/>
        <w:rPr>
          <w:noProof/>
          <w:szCs w:val="22"/>
          <w:lang w:val="el-GR"/>
        </w:rPr>
      </w:pPr>
    </w:p>
    <w:p>
      <w:pPr>
        <w:widowControl w:val="0"/>
        <w:spacing w:line="240" w:lineRule="auto"/>
        <w:rPr>
          <w:noProof/>
          <w:szCs w:val="22"/>
          <w:lang w:val="el-GR"/>
        </w:rPr>
      </w:pPr>
      <w:r>
        <w:rPr>
          <w:b/>
          <w:noProof/>
          <w:szCs w:val="22"/>
          <w:lang w:val="el-GR"/>
        </w:rPr>
        <w:t>4.3</w:t>
      </w:r>
      <w:r>
        <w:rPr>
          <w:b/>
          <w:noProof/>
          <w:szCs w:val="22"/>
          <w:lang w:val="el-GR"/>
        </w:rPr>
        <w:tab/>
        <w:t>Αντενδείξεις</w:t>
      </w:r>
    </w:p>
    <w:p>
      <w:pPr>
        <w:widowControl w:val="0"/>
        <w:spacing w:line="240" w:lineRule="auto"/>
        <w:rPr>
          <w:noProof/>
          <w:szCs w:val="22"/>
          <w:lang w:val="el-GR"/>
        </w:rPr>
      </w:pPr>
    </w:p>
    <w:p>
      <w:pPr>
        <w:widowControl w:val="0"/>
        <w:numPr>
          <w:ilvl w:val="0"/>
          <w:numId w:val="56"/>
        </w:numPr>
        <w:tabs>
          <w:tab w:val="clear" w:pos="567"/>
        </w:tabs>
        <w:autoSpaceDE w:val="0"/>
        <w:autoSpaceDN w:val="0"/>
        <w:adjustRightInd w:val="0"/>
        <w:spacing w:line="240" w:lineRule="auto"/>
        <w:ind w:left="567" w:hanging="567"/>
        <w:rPr>
          <w:szCs w:val="22"/>
          <w:lang w:val="el-GR"/>
        </w:rPr>
      </w:pPr>
      <w:r>
        <w:rPr>
          <w:lang w:val="el-GR"/>
        </w:rPr>
        <w:t>Υπερευαισθησία στη δραστική ουσία ή σε κάποιο από τα έκδοχα</w:t>
      </w:r>
      <w:r>
        <w:rPr>
          <w:szCs w:val="22"/>
          <w:lang w:val="el-GR"/>
        </w:rPr>
        <w:t xml:space="preserve"> που αναφέρονται στην παράγραφο 2 ή στην παράγραφο 6.1.</w:t>
      </w:r>
    </w:p>
    <w:p>
      <w:pPr>
        <w:widowControl w:val="0"/>
        <w:numPr>
          <w:ilvl w:val="0"/>
          <w:numId w:val="56"/>
        </w:numPr>
        <w:tabs>
          <w:tab w:val="clear" w:pos="567"/>
        </w:tabs>
        <w:autoSpaceDE w:val="0"/>
        <w:autoSpaceDN w:val="0"/>
        <w:adjustRightInd w:val="0"/>
        <w:spacing w:line="240" w:lineRule="auto"/>
        <w:ind w:left="567" w:hanging="567"/>
        <w:rPr>
          <w:lang w:val="el-GR"/>
        </w:rPr>
      </w:pPr>
      <w:r>
        <w:rPr>
          <w:lang w:val="el-GR"/>
        </w:rPr>
        <w:t>Σοβαρή ηπατική δυσλειτουργία.</w:t>
      </w:r>
    </w:p>
    <w:p>
      <w:pPr>
        <w:widowControl w:val="0"/>
        <w:numPr>
          <w:ilvl w:val="0"/>
          <w:numId w:val="56"/>
        </w:numPr>
        <w:tabs>
          <w:tab w:val="clear" w:pos="567"/>
        </w:tabs>
        <w:autoSpaceDE w:val="0"/>
        <w:autoSpaceDN w:val="0"/>
        <w:adjustRightInd w:val="0"/>
        <w:spacing w:line="240" w:lineRule="auto"/>
        <w:ind w:left="567" w:hanging="567"/>
        <w:rPr>
          <w:lang w:val="el-GR"/>
        </w:rPr>
      </w:pPr>
      <w:r>
        <w:rPr>
          <w:lang w:val="el-GR"/>
        </w:rPr>
        <w:t>Ενεργός παθολογική αιμορραγία όπως πεπτικό έλκος ή ενδοκρανιακή αιμορραγία.</w:t>
      </w:r>
    </w:p>
    <w:p>
      <w:pPr>
        <w:widowControl w:val="0"/>
        <w:spacing w:line="240" w:lineRule="auto"/>
        <w:rPr>
          <w:noProof/>
          <w:szCs w:val="22"/>
          <w:lang w:val="el-GR"/>
        </w:rPr>
      </w:pPr>
    </w:p>
    <w:p>
      <w:pPr>
        <w:widowControl w:val="0"/>
        <w:spacing w:line="240" w:lineRule="auto"/>
        <w:rPr>
          <w:noProof/>
          <w:szCs w:val="22"/>
          <w:lang w:val="el-GR"/>
        </w:rPr>
      </w:pPr>
      <w:r>
        <w:rPr>
          <w:b/>
          <w:noProof/>
          <w:szCs w:val="22"/>
          <w:lang w:val="el-GR"/>
        </w:rPr>
        <w:t>4.4</w:t>
      </w:r>
      <w:r>
        <w:rPr>
          <w:b/>
          <w:noProof/>
          <w:szCs w:val="22"/>
          <w:lang w:val="el-GR"/>
        </w:rPr>
        <w:tab/>
        <w:t>Ειδικές προειδοποιήσεις και προφυλάξεις κατά τη χρήση</w:t>
      </w:r>
    </w:p>
    <w:p>
      <w:pPr>
        <w:widowControl w:val="0"/>
        <w:spacing w:line="240" w:lineRule="auto"/>
        <w:rPr>
          <w:noProof/>
          <w:szCs w:val="22"/>
          <w:lang w:val="el-GR"/>
        </w:rPr>
      </w:pPr>
    </w:p>
    <w:p>
      <w:pPr>
        <w:widowControl w:val="0"/>
        <w:spacing w:line="240" w:lineRule="auto"/>
        <w:rPr>
          <w:i/>
          <w:szCs w:val="22"/>
          <w:lang w:val="el-GR"/>
        </w:rPr>
      </w:pPr>
      <w:r>
        <w:rPr>
          <w:i/>
          <w:szCs w:val="22"/>
          <w:lang w:val="el-GR"/>
        </w:rPr>
        <w:t>Αιμορραγία και αιματολογικές διαταραχές</w:t>
      </w:r>
    </w:p>
    <w:p>
      <w:pPr>
        <w:widowControl w:val="0"/>
        <w:autoSpaceDE w:val="0"/>
        <w:autoSpaceDN w:val="0"/>
        <w:adjustRightInd w:val="0"/>
        <w:spacing w:line="240" w:lineRule="auto"/>
        <w:rPr>
          <w:color w:val="000000"/>
          <w:szCs w:val="22"/>
          <w:lang w:val="el-GR"/>
        </w:rPr>
      </w:pPr>
      <w:r>
        <w:rPr>
          <w:color w:val="000000"/>
          <w:szCs w:val="22"/>
          <w:lang w:val="el-GR"/>
        </w:rPr>
        <w:t xml:space="preserve">Λόγω του κινδύνου αιμορραγίας και αιματολογικών ανεπιθύμητων ενεργειών, θα πρέπει να διενεργείται εγκαίρως μέτρηση των έμμορφων συστατικών του αίματος και/ή άλλες σχετικές εξετάσεις οποτεδήποτε κλινικά συμπτώματα που υποδηλώνουν αιμορραγία εμφανίζονται κατά τη διάρκεια της θεραπείας (βλ. παράγραφο 4.8). Όπως με άλλους αντιαιμοπεταλιακούς παράγοντες, η </w:t>
      </w:r>
      <w:r>
        <w:rPr>
          <w:color w:val="000000"/>
          <w:szCs w:val="22"/>
          <w:lang w:val="el-GR"/>
        </w:rPr>
        <w:lastRenderedPageBreak/>
        <w:t>κλοπιδογρέλη θα πρέπει να χρησιμοποιείται με προσοχή σε ασθενείς που μπορεί να είναι σε κίνδυνο αυξημένης αιμορραγίας από τραύμα, χειρουργική επέμβαση ή άλλες παθολογικές καταστάσεις και σε ασθενείς που λαμβάνουν αγωγή με ΑΣΟ, ηπαρίνη, αναστολείς των υποδοχέων της γλυκοπρωτεΐνης ΙΙb/IIIa ή μη</w:t>
      </w:r>
      <w:r>
        <w:rPr>
          <w:color w:val="000000"/>
          <w:szCs w:val="22"/>
          <w:lang w:val="sl-SI"/>
        </w:rPr>
        <w:t>-</w:t>
      </w:r>
      <w:r>
        <w:rPr>
          <w:color w:val="000000"/>
          <w:szCs w:val="22"/>
          <w:lang w:val="el-GR"/>
        </w:rPr>
        <w:t xml:space="preserve">στεροειδή αντιφλεγμονώδη φάρμακα </w:t>
      </w:r>
      <w:r>
        <w:rPr>
          <w:szCs w:val="22"/>
          <w:lang w:val="el-GR"/>
        </w:rPr>
        <w:t>(ΜΣΑΦ)</w:t>
      </w:r>
      <w:r>
        <w:rPr>
          <w:color w:val="000000"/>
          <w:szCs w:val="22"/>
          <w:lang w:val="el-GR"/>
        </w:rPr>
        <w:t xml:space="preserve"> συμπεριλαμβανομένων των αναστολέων της κυκλοοξυγενάσης-2 (Cox</w:t>
      </w:r>
      <w:r>
        <w:rPr>
          <w:color w:val="000000"/>
          <w:szCs w:val="22"/>
          <w:lang w:val="sl-SI"/>
        </w:rPr>
        <w:t>-</w:t>
      </w:r>
      <w:r>
        <w:rPr>
          <w:color w:val="000000"/>
          <w:szCs w:val="22"/>
          <w:lang w:val="el-GR"/>
        </w:rPr>
        <w:t>2),</w:t>
      </w:r>
      <w:r>
        <w:rPr>
          <w:lang w:val="el-GR"/>
        </w:rPr>
        <w:t xml:space="preserve"> ή των εκλεκτικών αναστολέων επαναπρόσληψης της σεροτονίνης (</w:t>
      </w:r>
      <w:r>
        <w:rPr>
          <w:lang w:val="en-US"/>
        </w:rPr>
        <w:t>SSRIs</w:t>
      </w:r>
      <w:r>
        <w:rPr>
          <w:lang w:val="el-GR"/>
        </w:rPr>
        <w:t>)</w:t>
      </w:r>
      <w:r>
        <w:rPr>
          <w:szCs w:val="22"/>
          <w:lang w:val="el-GR"/>
        </w:rPr>
        <w:t xml:space="preserve">, ή ισχυρούς επαγωγείς του </w:t>
      </w:r>
      <w:r>
        <w:rPr>
          <w:iCs/>
          <w:szCs w:val="22"/>
        </w:rPr>
        <w:t>CYP</w:t>
      </w:r>
      <w:r>
        <w:rPr>
          <w:iCs/>
          <w:szCs w:val="22"/>
          <w:lang w:val="el-GR"/>
        </w:rPr>
        <w:t>2</w:t>
      </w:r>
      <w:r>
        <w:rPr>
          <w:iCs/>
          <w:szCs w:val="22"/>
        </w:rPr>
        <w:t>C</w:t>
      </w:r>
      <w:r>
        <w:rPr>
          <w:iCs/>
          <w:szCs w:val="22"/>
          <w:lang w:val="el-GR"/>
        </w:rPr>
        <w:t xml:space="preserve">19 </w:t>
      </w:r>
      <w:r>
        <w:rPr>
          <w:szCs w:val="22"/>
          <w:lang w:val="el-GR"/>
        </w:rPr>
        <w:t>ή άλλα φαρμακευτικά προϊόντα που σχετίζονται με κίνδυνο αιμορραγίας όπως η πεντοξιφυλλίνη (βλ. παράγραφο 4.5)</w:t>
      </w:r>
      <w:r>
        <w:rPr>
          <w:color w:val="000000"/>
          <w:szCs w:val="22"/>
          <w:lang w:val="el-GR"/>
        </w:rPr>
        <w:t xml:space="preserve">. </w:t>
      </w:r>
      <w:r>
        <w:rPr>
          <w:lang w:val="el-GR"/>
        </w:rPr>
        <w:t xml:space="preserve">Λόγω του αυξημένου κινδύνου αιμορραγίας, η τριπλή αντιαιμοπεταλιακή θεραπεία (κλοπιδογρέλη + ΑΣΟ + διπυριδαμόλη) για τη δευτερογενή πρόληψη εγκεφαλικού επεισοδίου δεν συνιστάται σε ασθενείς με οξύ μη καρδιοεμβολικό ισχαιμικό εγκεφαλικό επεισόδιο ή ΤΙΑ </w:t>
      </w:r>
      <w:r>
        <w:rPr>
          <w:szCs w:val="22"/>
          <w:lang w:val="el-GR"/>
        </w:rPr>
        <w:t>(βλ. παράγραφο 4.5 και παράγραφο 4.8)</w:t>
      </w:r>
      <w:r>
        <w:rPr>
          <w:lang w:val="el-GR"/>
        </w:rPr>
        <w:t xml:space="preserve">. </w:t>
      </w:r>
      <w:r>
        <w:rPr>
          <w:color w:val="000000"/>
          <w:szCs w:val="22"/>
          <w:lang w:val="el-GR"/>
        </w:rPr>
        <w:t>Οι ασθενείς θα πρέπει να παρακολουθούνται στενά για κάθε σημείο αιμορραγίας συμπεριλαμβανομένης της λανθάνουσας αιμορραγίας, ειδικά κατά τις πρώτες εβδομάδες της αγωγής και/ή μετά από επεμβατικές καρδιολογικές διαδικασίες ή χειρουργική επέμβαση. Η ταυτόχρονη χορήγηση της κλοπιδογρέλης με από στόματος αντιπηκτικά δεν συνιστάται επειδή μπορεί να αυξήσει την ένταση της αιμορραγίας (βλ. παράγραφο 4.5).</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Εάν ένας ασθενής πρόκειται να υποβληθεί σε προγραμματισμένη χειρουργική επέμβαση για την οποία προσωρινά δεν είναι επιθυμητή η αντιαιμοπεταλιακή δράση, η κλοπιδογρέλη θα πρέπει να διακόπτεται 7 ημέρες πριν από τη χειρουργική επέμβαση. Οι ασθενείς θα πρέπει να ενημερώνουν τους γιατρούς και τους οδοντιάτρους ότι λαμβάνουν κλοπιδογρέλη, πριν από τον προγραμματισμό κάθε χειρουργικής επέμβασης και πριν από τη λήψη κάθε νέου φαρμακευτικού προϊόντος. Η κλοπιδογρέλη παρατείνει το χρόνο ροής και θα πρέπει να χρησιμοποιείται με προσοχή σε ασθενείς οι οποίοι έχουν βλάβες με τάση να αιμορραγήσουν (ιδιαίτερα γαστρεντερικές και ενδοφθάλμιες).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Oι ασθενείς θα πρέπει να ενημερωθούν ότι όταν λαμβάνουν κλοπιδογρέλη (μόνη ή σε συνδυασμό με ΑΣΟ) ίσως χρειαστεί περισσότερος χρόνος απ' ότι συνήθως προκειμένου να σταματήσει η αιμορραγία και ότι θα πρέπει να αναφέρουν οποιαδήποτε ασυνήθιστη (ως προς την εντόπιση ή τη διάρκεια) αιμορραγία στον γιατρό τους.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lang w:val="el-GR"/>
        </w:rPr>
      </w:pPr>
      <w:r>
        <w:rPr>
          <w:lang w:val="el-GR"/>
        </w:rPr>
        <w:t>Η χρήση της εφάπαξ δόσης φόρτισης των 600</w:t>
      </w:r>
      <w:r>
        <w:rPr>
          <w:lang w:val="sl-SI"/>
        </w:rPr>
        <w:t> </w:t>
      </w:r>
      <w:r>
        <w:rPr>
          <w:lang w:val="el-GR"/>
        </w:rPr>
        <w:t xml:space="preserve">mg κλοπιδογρέλης δεν συνιστάται σε ασθενείς με οξύ στεφανιαίο σύνδρομο χωρίς ανάσπαση του </w:t>
      </w:r>
      <w:r>
        <w:rPr>
          <w:lang w:val="en-US"/>
        </w:rPr>
        <w:t>ST</w:t>
      </w:r>
      <w:r>
        <w:rPr>
          <w:lang w:val="el-GR"/>
        </w:rPr>
        <w:t xml:space="preserve"> διαστήματος και ηλικίας ≥75 ετών λόγω αυξημένου κινδύνου αιμορραγίας σε αυτόν τον πληθυσμό.</w:t>
      </w:r>
    </w:p>
    <w:p>
      <w:pPr>
        <w:widowControl w:val="0"/>
        <w:autoSpaceDE w:val="0"/>
        <w:autoSpaceDN w:val="0"/>
        <w:adjustRightInd w:val="0"/>
        <w:spacing w:line="240" w:lineRule="auto"/>
        <w:rPr>
          <w:lang w:val="el-GR"/>
        </w:rPr>
      </w:pPr>
    </w:p>
    <w:p>
      <w:pPr>
        <w:widowControl w:val="0"/>
        <w:autoSpaceDE w:val="0"/>
        <w:autoSpaceDN w:val="0"/>
        <w:adjustRightInd w:val="0"/>
        <w:spacing w:line="240" w:lineRule="auto"/>
        <w:rPr>
          <w:color w:val="000000"/>
          <w:szCs w:val="22"/>
          <w:lang w:val="el-GR"/>
        </w:rPr>
      </w:pPr>
      <w:r>
        <w:rPr>
          <w:lang w:val="el-GR"/>
        </w:rPr>
        <w:t>Λόγω των περιορισμένων κλινικών δεδομένων σε ασθενείς ηλικίας ≥75 ετών με STEMI PCI και του αυξημένου κινδύνου αιμορραγίας, η χρήση εφάπαξ δόσης φόρτισης κλοπιδογρέλης των 600 mg θα πρέπει να εξετάζεται μόνο μετά από εξατομικευμένη αξιολόγηση του κινδύνου αιμορραγίας του ασθενούς από τον ιατρό.</w:t>
      </w:r>
    </w:p>
    <w:p>
      <w:pPr>
        <w:widowControl w:val="0"/>
        <w:autoSpaceDE w:val="0"/>
        <w:autoSpaceDN w:val="0"/>
        <w:adjustRightInd w:val="0"/>
        <w:spacing w:line="240" w:lineRule="auto"/>
        <w:rPr>
          <w:color w:val="000000"/>
          <w:szCs w:val="22"/>
          <w:lang w:val="el-GR"/>
        </w:rPr>
      </w:pPr>
    </w:p>
    <w:p>
      <w:pPr>
        <w:widowControl w:val="0"/>
        <w:spacing w:line="240" w:lineRule="auto"/>
        <w:rPr>
          <w:i/>
          <w:szCs w:val="22"/>
          <w:lang w:val="el-GR"/>
        </w:rPr>
      </w:pPr>
      <w:r>
        <w:rPr>
          <w:i/>
          <w:szCs w:val="22"/>
          <w:lang w:val="el-GR"/>
        </w:rPr>
        <w:t>Θρομβωτική Θρομβοπενική Πορφύρα (TTP)</w:t>
      </w:r>
    </w:p>
    <w:p>
      <w:pPr>
        <w:widowControl w:val="0"/>
        <w:autoSpaceDE w:val="0"/>
        <w:autoSpaceDN w:val="0"/>
        <w:adjustRightInd w:val="0"/>
        <w:spacing w:line="240" w:lineRule="auto"/>
        <w:rPr>
          <w:color w:val="000000"/>
          <w:szCs w:val="22"/>
          <w:lang w:val="el-GR"/>
        </w:rPr>
      </w:pPr>
      <w:r>
        <w:rPr>
          <w:color w:val="000000"/>
          <w:szCs w:val="22"/>
          <w:lang w:val="el-GR"/>
        </w:rPr>
        <w:t>Πολύ σπάνια έχει αναφερθεί Θρομβωτική Θρομβοπενική Πορφύρα (TTP) μετά από χρήση κλοπιδογρέλης, μερικές φορές μετά από μικρής διάρκειας έκθεση. Χαρακτηρίζεται από θρομβοπενία και μικροαγγειοπαθητική αιμολυτική αναιμία που συνδέεται είτε με νευρολογικά ευρήματα, νεφρική δυσλειτουργία ή με πυρετό. Η ΤΤP είναι μία δυνητικά θανατηφόρος κατάσταση που απαιτεί έγκαιρη αγωγή συμπεριλαμβανομένης της πλασμαφαίρεσης.</w:t>
      </w:r>
    </w:p>
    <w:p>
      <w:pPr>
        <w:widowControl w:val="0"/>
        <w:tabs>
          <w:tab w:val="clear" w:pos="567"/>
        </w:tabs>
        <w:spacing w:line="240" w:lineRule="auto"/>
        <w:rPr>
          <w:i/>
          <w:lang w:val="sl-SI"/>
        </w:rPr>
      </w:pPr>
    </w:p>
    <w:p>
      <w:pPr>
        <w:widowControl w:val="0"/>
        <w:tabs>
          <w:tab w:val="clear" w:pos="567"/>
        </w:tabs>
        <w:spacing w:line="240" w:lineRule="auto"/>
        <w:rPr>
          <w:i/>
          <w:lang w:val="el-GR"/>
        </w:rPr>
      </w:pPr>
      <w:r>
        <w:rPr>
          <w:i/>
          <w:lang w:val="el-GR"/>
        </w:rPr>
        <w:t>Επίκτητη αιμοφιλία</w:t>
      </w:r>
    </w:p>
    <w:p>
      <w:pPr>
        <w:widowControl w:val="0"/>
        <w:tabs>
          <w:tab w:val="clear" w:pos="567"/>
        </w:tabs>
        <w:spacing w:line="240" w:lineRule="auto"/>
        <w:rPr>
          <w:lang w:val="el-GR"/>
        </w:rPr>
      </w:pPr>
      <w:r>
        <w:rPr>
          <w:lang w:val="el-GR"/>
        </w:rPr>
        <w:t>Επίκτητη αιμοφιλία έχει αναφερθεί μετά από χρήση κλοπιδογρέλης. Σε περιπτώσεις επιβεβαιωμένης μεμονωμένης παράτασης του χρόνου ενεργοποιημένης μερικής θρομβοπλαστίνης (</w:t>
      </w:r>
      <w:r>
        <w:rPr>
          <w:lang w:val="en-US"/>
        </w:rPr>
        <w:t>aPTT</w:t>
      </w:r>
      <w:r>
        <w:rPr>
          <w:lang w:val="el-GR"/>
        </w:rPr>
        <w:t>) με ή χωρίς αιμορραγία, πρέπει να εξετάζεται η επίκτητη αιμοφιλία. Οι ασθενείς με επιβεβαιωμένη διάγνωση επίκτητης αιμοφιλίας πρέπει να αντιμετωπίζονται και να θεραπεύονται από ειδικούς, και η κλοπιδογρέλη πρέπει να διακόπτεται.</w:t>
      </w:r>
    </w:p>
    <w:p>
      <w:pPr>
        <w:widowControl w:val="0"/>
        <w:autoSpaceDE w:val="0"/>
        <w:autoSpaceDN w:val="0"/>
        <w:adjustRightInd w:val="0"/>
        <w:spacing w:line="240" w:lineRule="auto"/>
        <w:rPr>
          <w:color w:val="000000"/>
          <w:szCs w:val="22"/>
          <w:lang w:val="el-GR"/>
        </w:rPr>
      </w:pPr>
    </w:p>
    <w:p>
      <w:pPr>
        <w:widowControl w:val="0"/>
        <w:spacing w:line="240" w:lineRule="auto"/>
        <w:rPr>
          <w:i/>
          <w:szCs w:val="22"/>
          <w:lang w:val="el-GR"/>
        </w:rPr>
      </w:pPr>
      <w:r>
        <w:rPr>
          <w:i/>
          <w:szCs w:val="22"/>
          <w:lang w:val="el-GR"/>
        </w:rPr>
        <w:t>Πρόσφατο ισχαιμικό αγγειακό εγκεφαλικό επεισόδιο</w:t>
      </w:r>
    </w:p>
    <w:p>
      <w:pPr>
        <w:numPr>
          <w:ilvl w:val="0"/>
          <w:numId w:val="50"/>
        </w:numPr>
        <w:tabs>
          <w:tab w:val="clear" w:pos="567"/>
        </w:tabs>
        <w:spacing w:line="276" w:lineRule="auto"/>
        <w:ind w:left="567" w:hanging="567"/>
        <w:contextualSpacing/>
        <w:rPr>
          <w:i/>
          <w:iCs/>
          <w:szCs w:val="22"/>
          <w:lang w:val="el-GR"/>
        </w:rPr>
      </w:pPr>
      <w:r>
        <w:rPr>
          <w:i/>
          <w:iCs/>
          <w:szCs w:val="22"/>
          <w:lang w:val="el-GR"/>
        </w:rPr>
        <w:t>Έναρξη της θεραπείας</w:t>
      </w:r>
    </w:p>
    <w:p>
      <w:pPr>
        <w:numPr>
          <w:ilvl w:val="1"/>
          <w:numId w:val="51"/>
        </w:numPr>
        <w:tabs>
          <w:tab w:val="clear" w:pos="567"/>
        </w:tabs>
        <w:spacing w:line="240" w:lineRule="auto"/>
        <w:ind w:left="851" w:firstLine="0"/>
        <w:contextualSpacing/>
        <w:rPr>
          <w:szCs w:val="22"/>
          <w:lang w:val="el-GR"/>
        </w:rPr>
      </w:pPr>
      <w:r>
        <w:rPr>
          <w:szCs w:val="22"/>
          <w:lang w:val="el-GR"/>
        </w:rPr>
        <w:t>Σε ασθενείς με οξύ έλασσον ΙΑΕΕ ή μετρίου έως υψηλού κινδύνου ΠΙΕ, η διπλή αντιαιμοπεταλιακή θεραπεία (κλοπιδογρέλη και ΑΣΟ) θα πρέπει να ξεκινά το αργότερο 24 ώρες μετά την εμφάνιση του επεισοδίου.</w:t>
      </w:r>
    </w:p>
    <w:p>
      <w:pPr>
        <w:numPr>
          <w:ilvl w:val="1"/>
          <w:numId w:val="51"/>
        </w:numPr>
        <w:tabs>
          <w:tab w:val="clear" w:pos="567"/>
        </w:tabs>
        <w:spacing w:line="240" w:lineRule="auto"/>
        <w:ind w:left="851" w:firstLine="0"/>
        <w:contextualSpacing/>
        <w:rPr>
          <w:szCs w:val="22"/>
          <w:lang w:val="el-GR"/>
        </w:rPr>
      </w:pPr>
      <w:r>
        <w:rPr>
          <w:szCs w:val="22"/>
          <w:lang w:val="el-GR"/>
        </w:rPr>
        <w:lastRenderedPageBreak/>
        <w:t>Δεν υπάρχουν στοιχεία σχετικά με την αναλογία οφέλους</w:t>
      </w:r>
      <w:r>
        <w:rPr>
          <w:szCs w:val="22"/>
          <w:lang w:val="sl-SI"/>
        </w:rPr>
        <w:t>-</w:t>
      </w:r>
      <w:r>
        <w:rPr>
          <w:szCs w:val="22"/>
          <w:lang w:val="el-GR"/>
        </w:rPr>
        <w:t>κινδύνου της βραχυχρόνιας διπλής αντιαιμοπεταλιακής θεραπείας σε ασθενείς με οξύ έλασσον ΙΑΕΕ ή μετρίου έως υψηλού κινδύνου ΠΙΕ, με ιστορικό (μη τραυματικής) ενδοκράνιας αιμορραγίας.</w:t>
      </w:r>
    </w:p>
    <w:p>
      <w:pPr>
        <w:numPr>
          <w:ilvl w:val="1"/>
          <w:numId w:val="51"/>
        </w:numPr>
        <w:tabs>
          <w:tab w:val="clear" w:pos="567"/>
        </w:tabs>
        <w:spacing w:line="240" w:lineRule="auto"/>
        <w:ind w:left="851" w:firstLine="0"/>
        <w:contextualSpacing/>
        <w:rPr>
          <w:szCs w:val="22"/>
          <w:lang w:val="el-GR"/>
        </w:rPr>
      </w:pPr>
      <w:r>
        <w:rPr>
          <w:szCs w:val="22"/>
          <w:lang w:val="el-GR"/>
        </w:rPr>
        <w:t>Σε ασθενείς με μη έλασσον ΙΑΕΕ, η μονοθεραπεία με κλοπιδογρέλη θα πρέπει να ξεκινά μόνο μετά τις πρώτες 7 ημέρες από το επεισόδιο.</w:t>
      </w:r>
    </w:p>
    <w:p>
      <w:pPr>
        <w:numPr>
          <w:ilvl w:val="0"/>
          <w:numId w:val="50"/>
        </w:numPr>
        <w:tabs>
          <w:tab w:val="clear" w:pos="567"/>
        </w:tabs>
        <w:spacing w:line="240" w:lineRule="auto"/>
        <w:ind w:left="567" w:hanging="567"/>
        <w:contextualSpacing/>
        <w:rPr>
          <w:szCs w:val="22"/>
          <w:lang w:val="el-GR"/>
        </w:rPr>
      </w:pPr>
      <w:r>
        <w:rPr>
          <w:i/>
          <w:szCs w:val="22"/>
          <w:lang w:val="el-GR"/>
        </w:rPr>
        <w:t xml:space="preserve">Ασθενείς με μη έλασσον ΙΑΕΕ </w:t>
      </w:r>
      <w:r>
        <w:rPr>
          <w:i/>
          <w:iCs/>
          <w:szCs w:val="22"/>
          <w:lang w:val="el-GR"/>
        </w:rPr>
        <w:t>(NIHSS &gt;4)</w:t>
      </w:r>
    </w:p>
    <w:p>
      <w:pPr>
        <w:tabs>
          <w:tab w:val="clear" w:pos="567"/>
        </w:tabs>
        <w:spacing w:line="240" w:lineRule="auto"/>
        <w:ind w:left="567"/>
        <w:contextualSpacing/>
        <w:rPr>
          <w:szCs w:val="22"/>
          <w:lang w:val="el-GR"/>
        </w:rPr>
      </w:pPr>
      <w:r>
        <w:rPr>
          <w:szCs w:val="22"/>
          <w:lang w:val="el-GR"/>
        </w:rPr>
        <w:t>Λόγω έλλειψης δεδομένων, η χρήση διπλής αντιαιμοπεταλιακής θεραπείας δεν συνιστάται (βλέπε παράγραφο 4.1).</w:t>
      </w:r>
    </w:p>
    <w:p>
      <w:pPr>
        <w:numPr>
          <w:ilvl w:val="0"/>
          <w:numId w:val="50"/>
        </w:numPr>
        <w:tabs>
          <w:tab w:val="clear" w:pos="567"/>
        </w:tabs>
        <w:spacing w:line="240" w:lineRule="auto"/>
        <w:ind w:left="567" w:hanging="567"/>
        <w:contextualSpacing/>
        <w:rPr>
          <w:i/>
          <w:iCs/>
          <w:szCs w:val="22"/>
          <w:lang w:val="el-GR"/>
        </w:rPr>
      </w:pPr>
      <w:r>
        <w:rPr>
          <w:i/>
          <w:iCs/>
          <w:szCs w:val="22"/>
          <w:lang w:val="el-GR"/>
        </w:rPr>
        <w:t>Πρόσφατο έλασσον ΙΑΕΕ ή μέτριου έως υψηλού κινδύνου ΠΙΕ σε ασθενείς για τους οποίους ενδείκνυται ή προγραμματίζεται παρέμβαση</w:t>
      </w:r>
    </w:p>
    <w:p>
      <w:pPr>
        <w:widowControl w:val="0"/>
        <w:tabs>
          <w:tab w:val="clear" w:pos="567"/>
        </w:tabs>
        <w:autoSpaceDE w:val="0"/>
        <w:autoSpaceDN w:val="0"/>
        <w:adjustRightInd w:val="0"/>
        <w:spacing w:line="240" w:lineRule="auto"/>
        <w:ind w:left="567"/>
        <w:rPr>
          <w:color w:val="000000"/>
          <w:szCs w:val="22"/>
          <w:lang w:val="el-GR"/>
        </w:rPr>
      </w:pPr>
      <w:r>
        <w:rPr>
          <w:szCs w:val="22"/>
          <w:lang w:val="el-GR"/>
        </w:rPr>
        <w:t>Δεν υπάρχουν δεδομένα που να υποστηρίζουν τη χρήση διπλής αντιαιμοπεταλιακής θεραπείας σε ασθενείς για τους οποίους ενδείκνυται ενδαρτηρεκτομή καρωτίδας ή ενδαγγειακή θρομβεκτομή, ή σε ασθενείς για τους οποίους έχει προγραμματιστεί θρομβόλυση ή αντιπηκτική θεραπεία. Η διπλή αντιαιμοπεταλιακή θεραπεία δεν συνιστάται σε αυτές τις καταστάσεις.</w:t>
      </w:r>
    </w:p>
    <w:p>
      <w:pPr>
        <w:widowControl w:val="0"/>
        <w:spacing w:line="240" w:lineRule="auto"/>
        <w:rPr>
          <w:szCs w:val="22"/>
          <w:lang w:val="el-GR"/>
        </w:rPr>
      </w:pPr>
    </w:p>
    <w:p>
      <w:pPr>
        <w:widowControl w:val="0"/>
        <w:spacing w:line="240" w:lineRule="auto"/>
        <w:rPr>
          <w:i/>
          <w:szCs w:val="22"/>
          <w:lang w:val="el-GR"/>
        </w:rPr>
      </w:pPr>
      <w:r>
        <w:rPr>
          <w:i/>
          <w:szCs w:val="22"/>
          <w:lang w:val="el-GR"/>
        </w:rPr>
        <w:t>Κυτόχρωμα Ρ450 2C19 (CYP2C19)</w:t>
      </w:r>
    </w:p>
    <w:p>
      <w:pPr>
        <w:widowControl w:val="0"/>
        <w:spacing w:line="240" w:lineRule="auto"/>
        <w:rPr>
          <w:szCs w:val="22"/>
          <w:lang w:val="el-GR"/>
        </w:rPr>
      </w:pPr>
      <w:r>
        <w:rPr>
          <w:szCs w:val="22"/>
          <w:lang w:val="el-GR"/>
        </w:rPr>
        <w:t xml:space="preserve">Φαρμακογενετική: Σε ασθενείς με περιορισμένη μεταβολική ικανότητα του </w:t>
      </w:r>
      <w:r>
        <w:rPr>
          <w:szCs w:val="22"/>
          <w:lang w:val="en-US"/>
        </w:rPr>
        <w:t>CYP</w:t>
      </w:r>
      <w:r>
        <w:rPr>
          <w:szCs w:val="22"/>
          <w:lang w:val="el-GR"/>
        </w:rPr>
        <w:t>2</w:t>
      </w:r>
      <w:r>
        <w:rPr>
          <w:szCs w:val="22"/>
          <w:lang w:val="en-US"/>
        </w:rPr>
        <w:t>C</w:t>
      </w:r>
      <w:r>
        <w:rPr>
          <w:szCs w:val="22"/>
          <w:lang w:val="el-GR"/>
        </w:rPr>
        <w:t xml:space="preserve">19, η κλοπιδογρέλη στις συνιστώμενες δόσεις σχηματίζει λιγότερη ποσότητα από το δραστικό μεταβολίτη της κλοπιδογρέλης και έχει μικρότερη επίδραση στη λειτουργία των αιμοπεταλίων. Εξετάσεις είναι διαθέσιμες για την ταυτοποίηση του γονότυπου του </w:t>
      </w:r>
      <w:r>
        <w:rPr>
          <w:szCs w:val="22"/>
          <w:lang w:val="en-US"/>
        </w:rPr>
        <w:t>CYP</w:t>
      </w:r>
      <w:r>
        <w:rPr>
          <w:szCs w:val="22"/>
          <w:lang w:val="el-GR"/>
        </w:rPr>
        <w:t>2</w:t>
      </w:r>
      <w:r>
        <w:rPr>
          <w:szCs w:val="22"/>
          <w:lang w:val="en-US"/>
        </w:rPr>
        <w:t>C</w:t>
      </w:r>
      <w:r>
        <w:rPr>
          <w:szCs w:val="22"/>
          <w:lang w:val="el-GR"/>
        </w:rPr>
        <w:t>19 του ασθενή.</w:t>
      </w:r>
    </w:p>
    <w:p>
      <w:pPr>
        <w:widowControl w:val="0"/>
        <w:spacing w:line="240" w:lineRule="auto"/>
        <w:rPr>
          <w:szCs w:val="22"/>
          <w:lang w:val="el-GR"/>
        </w:rPr>
      </w:pPr>
    </w:p>
    <w:p>
      <w:pPr>
        <w:widowControl w:val="0"/>
        <w:spacing w:line="240" w:lineRule="auto"/>
        <w:rPr>
          <w:szCs w:val="22"/>
          <w:lang w:val="el-GR"/>
        </w:rPr>
      </w:pPr>
      <w:r>
        <w:rPr>
          <w:szCs w:val="22"/>
          <w:lang w:val="el-GR"/>
        </w:rPr>
        <w:t xml:space="preserve">Επειδή η κλοπιδογρέλη μεταβολίζεται στο δραστικό μεταβολίτη της εν μέρει από το </w:t>
      </w:r>
      <w:r>
        <w:rPr>
          <w:szCs w:val="22"/>
          <w:lang w:val="en-US"/>
        </w:rPr>
        <w:t>CYP</w:t>
      </w:r>
      <w:r>
        <w:rPr>
          <w:szCs w:val="22"/>
          <w:lang w:val="el-GR"/>
        </w:rPr>
        <w:t>2</w:t>
      </w:r>
      <w:r>
        <w:rPr>
          <w:szCs w:val="22"/>
          <w:lang w:val="en-US"/>
        </w:rPr>
        <w:t>C</w:t>
      </w:r>
      <w:r>
        <w:rPr>
          <w:szCs w:val="22"/>
          <w:lang w:val="el-GR"/>
        </w:rPr>
        <w:t xml:space="preserve">19, η χρήση φαρμακευτικών προϊόντων που αναστέλλουν τη δράση του ενζύμου αυτού θα αναμένεται να έχει ως αποτέλεσμα μειωμένα επίπεδα του δραστικού μεταβολίτη της κλοπιδογρέλης. Η κλινική συσχέτιση της αλληλεπίδρασης αυτής είναι αβέβαιη. Ως προφύλαξη, η ταυτόχρονη χρήση ισχυρών ή μέτριας ισχύος αναστολέων του </w:t>
      </w:r>
      <w:r>
        <w:rPr>
          <w:szCs w:val="22"/>
          <w:lang w:val="en-US"/>
        </w:rPr>
        <w:t>CYP</w:t>
      </w:r>
      <w:r>
        <w:rPr>
          <w:szCs w:val="22"/>
          <w:lang w:val="el-GR"/>
        </w:rPr>
        <w:t>2</w:t>
      </w:r>
      <w:r>
        <w:rPr>
          <w:szCs w:val="22"/>
          <w:lang w:val="en-US"/>
        </w:rPr>
        <w:t>C</w:t>
      </w:r>
      <w:r>
        <w:rPr>
          <w:szCs w:val="22"/>
          <w:lang w:val="el-GR"/>
        </w:rPr>
        <w:t xml:space="preserve">19 πρέπει να αποθαρρύνεται (βλ. παράγραφο 4.5 για μια λίστα αναστολέων του </w:t>
      </w:r>
      <w:r>
        <w:rPr>
          <w:szCs w:val="22"/>
          <w:lang w:val="en-US"/>
        </w:rPr>
        <w:t>CYP</w:t>
      </w:r>
      <w:r>
        <w:rPr>
          <w:szCs w:val="22"/>
          <w:lang w:val="el-GR"/>
        </w:rPr>
        <w:t>2</w:t>
      </w:r>
      <w:r>
        <w:rPr>
          <w:szCs w:val="22"/>
          <w:lang w:val="en-US"/>
        </w:rPr>
        <w:t>C</w:t>
      </w:r>
      <w:r>
        <w:rPr>
          <w:szCs w:val="22"/>
          <w:lang w:val="el-GR"/>
        </w:rPr>
        <w:t>19, βλ. επίσης παράγραφο 5.2).</w:t>
      </w:r>
    </w:p>
    <w:p>
      <w:pPr>
        <w:widowControl w:val="0"/>
        <w:spacing w:line="240" w:lineRule="auto"/>
        <w:rPr>
          <w:szCs w:val="22"/>
          <w:lang w:val="sl-SI"/>
        </w:rPr>
      </w:pPr>
      <w:r>
        <w:rPr>
          <w:szCs w:val="22"/>
          <w:lang w:val="el-GR"/>
        </w:rPr>
        <w:t xml:space="preserve">Η χρήση φαρμακευτικών προϊόντων που επάγουν τη δράση του </w:t>
      </w:r>
      <w:r>
        <w:rPr>
          <w:szCs w:val="22"/>
        </w:rPr>
        <w:t>CYP</w:t>
      </w:r>
      <w:r>
        <w:rPr>
          <w:szCs w:val="22"/>
          <w:lang w:val="el-GR"/>
        </w:rPr>
        <w:t>2</w:t>
      </w:r>
      <w:r>
        <w:rPr>
          <w:szCs w:val="22"/>
        </w:rPr>
        <w:t>C</w:t>
      </w:r>
      <w:r>
        <w:rPr>
          <w:szCs w:val="22"/>
          <w:lang w:val="el-GR"/>
        </w:rPr>
        <w:t xml:space="preserve">19 αναμένεται να οδηγήσουν σε αυξημένα επίπεδα φαρμάκου του ενεργού μεταβολίτη της κλοπιδογρέλης και θα μπορούσαν να ενισχύσουν τον κίνδυνο αιμορραγίας. Προληπτικά, η ταυτόχρονη χρήση ισχυρών επαγωγέων </w:t>
      </w:r>
      <w:r>
        <w:rPr>
          <w:szCs w:val="22"/>
        </w:rPr>
        <w:t>CYP</w:t>
      </w:r>
      <w:r>
        <w:rPr>
          <w:szCs w:val="22"/>
          <w:lang w:val="el-GR"/>
        </w:rPr>
        <w:t>2</w:t>
      </w:r>
      <w:r>
        <w:rPr>
          <w:szCs w:val="22"/>
        </w:rPr>
        <w:t>C</w:t>
      </w:r>
      <w:r>
        <w:rPr>
          <w:szCs w:val="22"/>
          <w:lang w:val="el-GR"/>
        </w:rPr>
        <w:t>19 θα πρέπει να αποθαρρύνεται (βλ. παράγραφο 4.5).</w:t>
      </w:r>
    </w:p>
    <w:p>
      <w:pPr>
        <w:widowControl w:val="0"/>
        <w:spacing w:line="240" w:lineRule="auto"/>
        <w:rPr>
          <w:szCs w:val="22"/>
          <w:lang w:val="sl-SI"/>
        </w:rPr>
      </w:pPr>
    </w:p>
    <w:p>
      <w:pPr>
        <w:widowControl w:val="0"/>
        <w:tabs>
          <w:tab w:val="clear" w:pos="567"/>
          <w:tab w:val="left" w:pos="7280"/>
        </w:tabs>
        <w:spacing w:line="240" w:lineRule="auto"/>
        <w:ind w:right="-29"/>
        <w:rPr>
          <w:i/>
          <w:szCs w:val="22"/>
          <w:lang w:val="sl-SI"/>
        </w:rPr>
      </w:pPr>
      <w:r>
        <w:rPr>
          <w:i/>
          <w:szCs w:val="22"/>
          <w:lang w:val="el-GR"/>
        </w:rPr>
        <w:t>Υποστρώματα</w:t>
      </w:r>
      <w:r>
        <w:rPr>
          <w:i/>
          <w:szCs w:val="22"/>
          <w:lang w:val="sl-SI"/>
        </w:rPr>
        <w:t xml:space="preserve"> </w:t>
      </w:r>
      <w:r>
        <w:rPr>
          <w:i/>
          <w:szCs w:val="22"/>
          <w:lang w:val="el-GR"/>
        </w:rPr>
        <w:t>του</w:t>
      </w:r>
      <w:r>
        <w:rPr>
          <w:i/>
          <w:szCs w:val="22"/>
          <w:lang w:val="sl-SI"/>
        </w:rPr>
        <w:t xml:space="preserve"> CYP2C8</w:t>
      </w:r>
    </w:p>
    <w:p>
      <w:pPr>
        <w:widowControl w:val="0"/>
        <w:tabs>
          <w:tab w:val="clear" w:pos="567"/>
          <w:tab w:val="left" w:pos="2400"/>
          <w:tab w:val="left" w:pos="7280"/>
        </w:tabs>
        <w:spacing w:line="240" w:lineRule="auto"/>
        <w:ind w:right="-29"/>
        <w:rPr>
          <w:szCs w:val="22"/>
          <w:lang w:val="el-GR"/>
        </w:rPr>
      </w:pPr>
      <w:r>
        <w:rPr>
          <w:szCs w:val="22"/>
          <w:lang w:val="el-GR"/>
        </w:rPr>
        <w:t xml:space="preserve">Προσοχή χρειάζεται σε ασθενείς που αντιμετωπίζονται θεραπευτικά ταυτόχρονα με κλοπιδογρέλη και φαρμακευτικά προϊόντα που είναι υποστρώματα του </w:t>
      </w:r>
      <w:r>
        <w:rPr>
          <w:szCs w:val="22"/>
          <w:lang w:val="sl-SI"/>
        </w:rPr>
        <w:t>CYP</w:t>
      </w:r>
      <w:r>
        <w:rPr>
          <w:szCs w:val="22"/>
          <w:lang w:val="el-GR"/>
        </w:rPr>
        <w:t>2</w:t>
      </w:r>
      <w:r>
        <w:rPr>
          <w:szCs w:val="22"/>
          <w:lang w:val="sl-SI"/>
        </w:rPr>
        <w:t>C</w:t>
      </w:r>
      <w:r>
        <w:rPr>
          <w:szCs w:val="22"/>
          <w:lang w:val="el-GR"/>
        </w:rPr>
        <w:t>8 (βλ. παράγραφο 4.5).</w:t>
      </w:r>
    </w:p>
    <w:p>
      <w:pPr>
        <w:widowControl w:val="0"/>
        <w:autoSpaceDE w:val="0"/>
        <w:autoSpaceDN w:val="0"/>
        <w:adjustRightInd w:val="0"/>
        <w:spacing w:line="240" w:lineRule="auto"/>
        <w:rPr>
          <w:color w:val="000000"/>
          <w:szCs w:val="22"/>
          <w:lang w:val="el-GR"/>
        </w:rPr>
      </w:pPr>
    </w:p>
    <w:p>
      <w:pPr>
        <w:widowControl w:val="0"/>
        <w:spacing w:line="240" w:lineRule="auto"/>
        <w:rPr>
          <w:lang w:val="el-GR"/>
        </w:rPr>
      </w:pPr>
      <w:r>
        <w:rPr>
          <w:i/>
          <w:lang w:val="el-GR"/>
        </w:rPr>
        <w:t>Διασταυρούμενες αντιδράσεις μεταξύ θειενοπυριδινών</w:t>
      </w:r>
    </w:p>
    <w:p>
      <w:pPr>
        <w:widowControl w:val="0"/>
        <w:spacing w:line="240" w:lineRule="auto"/>
        <w:rPr>
          <w:lang w:val="el-GR"/>
        </w:rPr>
      </w:pPr>
      <w:r>
        <w:rPr>
          <w:lang w:val="el-GR"/>
        </w:rPr>
        <w:t>Οι ασθενείς πρέπει να αξιολογούνται για ιστορικό υπερευαισθησίας σε θειενοπυριδίνες (όπως κλοπιδογρέλη, τικλοπιδίνη, πρασουγρέλη) δεδομένου ότι έχει αναφερθεί διασταυρούμενη αντίδραση ανάμεσα σε θειενοπυριδίνες (βλ. παράγραφο 4.8). Οι θειενοπυριδίνες ενδέχεται να προκαλέσουν ήπιες έως σοβαρές αλλεργικές αντιδράσεις όπως εξάνθημα, αγγειοοίδημα ή αιματολογικές διασταυρούμενες αντιδράσεις όπως θρομβοπενία και ουδετεροπενία. Οι ασθενείς που είχαν αναπτύξει προηγούμενη αλλεργική αντίδραση και/ή αιματολογική αντίδραση σε μία θειενοπυριδίνη ενδέχεται να έχουν αυξημένο κίνδυνο ανάπτυξης της ίδιας ή άλλης αντίδρασης σε κάποια άλλη θειενοπυριδίνη. Συνιστάται παρακολούθηση των ασθενών με γνωστή αλλεργία στις θειενοπυριδίνες για σημεία υπερευαισθησίας.</w:t>
      </w:r>
    </w:p>
    <w:p>
      <w:pPr>
        <w:widowControl w:val="0"/>
        <w:spacing w:line="240" w:lineRule="auto"/>
        <w:rPr>
          <w:i/>
          <w:szCs w:val="22"/>
          <w:lang w:val="sl-SI"/>
        </w:rPr>
      </w:pPr>
    </w:p>
    <w:p>
      <w:pPr>
        <w:widowControl w:val="0"/>
        <w:spacing w:line="240" w:lineRule="auto"/>
        <w:rPr>
          <w:i/>
          <w:szCs w:val="22"/>
          <w:lang w:val="el-GR"/>
        </w:rPr>
      </w:pPr>
      <w:r>
        <w:rPr>
          <w:i/>
          <w:szCs w:val="22"/>
          <w:lang w:val="el-GR"/>
        </w:rPr>
        <w:t>Νεφρική δυσλειτουργία</w:t>
      </w:r>
    </w:p>
    <w:p>
      <w:pPr>
        <w:widowControl w:val="0"/>
        <w:autoSpaceDE w:val="0"/>
        <w:autoSpaceDN w:val="0"/>
        <w:adjustRightInd w:val="0"/>
        <w:spacing w:line="240" w:lineRule="auto"/>
        <w:rPr>
          <w:color w:val="000000"/>
          <w:szCs w:val="22"/>
          <w:lang w:val="el-GR"/>
        </w:rPr>
      </w:pPr>
      <w:r>
        <w:rPr>
          <w:color w:val="000000"/>
          <w:szCs w:val="22"/>
          <w:lang w:val="el-GR"/>
        </w:rPr>
        <w:t>Η θεραπευτική εμπειρία με κλοπιδογρέλη είναι περιορισμένη σε ασθενείς με νεφρική δυσλειτουργία. Γι' αυτό η κλοπιδογρέλη θα πρέπει να χρησιμοποιείται με προσοχή σε αυτούς τους ασθενείς (βλ. παράγραφο 4.2).</w:t>
      </w:r>
    </w:p>
    <w:p>
      <w:pPr>
        <w:widowControl w:val="0"/>
        <w:autoSpaceDE w:val="0"/>
        <w:autoSpaceDN w:val="0"/>
        <w:adjustRightInd w:val="0"/>
        <w:spacing w:line="240" w:lineRule="auto"/>
        <w:rPr>
          <w:color w:val="000000"/>
          <w:szCs w:val="22"/>
          <w:lang w:val="el-GR"/>
        </w:rPr>
      </w:pPr>
    </w:p>
    <w:p>
      <w:pPr>
        <w:widowControl w:val="0"/>
        <w:spacing w:line="240" w:lineRule="auto"/>
        <w:rPr>
          <w:i/>
          <w:szCs w:val="22"/>
          <w:lang w:val="el-GR"/>
        </w:rPr>
      </w:pPr>
      <w:r>
        <w:rPr>
          <w:i/>
          <w:szCs w:val="22"/>
          <w:lang w:val="el-GR"/>
        </w:rPr>
        <w:t>Ηπατική δυσλειτουργία</w:t>
      </w:r>
    </w:p>
    <w:p>
      <w:pPr>
        <w:widowControl w:val="0"/>
        <w:spacing w:line="240" w:lineRule="auto"/>
        <w:rPr>
          <w:szCs w:val="22"/>
          <w:lang w:val="el-GR"/>
        </w:rPr>
      </w:pPr>
      <w:r>
        <w:rPr>
          <w:szCs w:val="22"/>
          <w:lang w:val="el-GR"/>
        </w:rPr>
        <w:t>Η εμπειρία είναι περιορισμένη σε ασθενείς με μέτρια ηπατική νόσο που μπορεί να έχουν αιμορραγική προδιάθεση. Η κλοπιδογρέλη επομένως θα πρέπει να χορηγείται με προσοχή σε αυτούς τους ασθενείς (βλ. παράγραφο 4.2).</w:t>
      </w:r>
    </w:p>
    <w:p>
      <w:pPr>
        <w:widowControl w:val="0"/>
        <w:autoSpaceDE w:val="0"/>
        <w:autoSpaceDN w:val="0"/>
        <w:adjustRightInd w:val="0"/>
        <w:spacing w:line="240" w:lineRule="auto"/>
        <w:rPr>
          <w:color w:val="000000"/>
          <w:szCs w:val="22"/>
          <w:lang w:val="el-GR"/>
        </w:rPr>
      </w:pPr>
    </w:p>
    <w:p>
      <w:pPr>
        <w:widowControl w:val="0"/>
        <w:spacing w:line="240" w:lineRule="auto"/>
        <w:rPr>
          <w:i/>
          <w:szCs w:val="22"/>
          <w:lang w:val="el-GR"/>
        </w:rPr>
      </w:pPr>
      <w:r>
        <w:rPr>
          <w:i/>
          <w:szCs w:val="22"/>
          <w:lang w:val="el-GR"/>
        </w:rPr>
        <w:lastRenderedPageBreak/>
        <w:t>Έκδοχα</w:t>
      </w:r>
    </w:p>
    <w:p>
      <w:pPr>
        <w:widowControl w:val="0"/>
        <w:autoSpaceDE w:val="0"/>
        <w:autoSpaceDN w:val="0"/>
        <w:adjustRightInd w:val="0"/>
        <w:spacing w:line="240" w:lineRule="auto"/>
        <w:rPr>
          <w:szCs w:val="22"/>
          <w:lang w:val="el-GR"/>
        </w:rPr>
      </w:pPr>
      <w:r>
        <w:rPr>
          <w:szCs w:val="22"/>
          <w:lang w:val="el-GR"/>
        </w:rPr>
        <w:t>Το Zyllt περιέχει λακτόζη. Οι ασθενείς με σπάνια κληρονομικά προβλήματα δυσανεξίας στη γαλακτόζη, πλήρη ανεπάρκεια λακτάσης ή κακή απορρόφηση γλυκόζης-γαλακτόζης δεν πρέπει να λαμβάνουν αυτό το φαρμακευτικό προϊόν.</w:t>
      </w:r>
    </w:p>
    <w:p>
      <w:pPr>
        <w:widowControl w:val="0"/>
        <w:autoSpaceDE w:val="0"/>
        <w:autoSpaceDN w:val="0"/>
        <w:adjustRightInd w:val="0"/>
        <w:spacing w:line="240" w:lineRule="auto"/>
        <w:rPr>
          <w:color w:val="000000"/>
          <w:szCs w:val="22"/>
          <w:lang w:val="el-GR"/>
        </w:rPr>
      </w:pPr>
    </w:p>
    <w:p>
      <w:pPr>
        <w:widowControl w:val="0"/>
        <w:spacing w:line="240" w:lineRule="auto"/>
        <w:rPr>
          <w:noProof/>
          <w:szCs w:val="22"/>
          <w:lang w:val="el-GR"/>
        </w:rPr>
      </w:pPr>
      <w:r>
        <w:rPr>
          <w:b/>
          <w:noProof/>
          <w:szCs w:val="22"/>
          <w:lang w:val="el-GR"/>
        </w:rPr>
        <w:t>4.5</w:t>
      </w:r>
      <w:r>
        <w:rPr>
          <w:b/>
          <w:noProof/>
          <w:szCs w:val="22"/>
          <w:lang w:val="el-GR"/>
        </w:rPr>
        <w:tab/>
        <w:t>Αλληλεπιδράσεις με άλλα φαρμακευτικά προϊόντα και άλλες μορφές αλληλεπίδρασης</w:t>
      </w:r>
    </w:p>
    <w:p>
      <w:pPr>
        <w:widowControl w:val="0"/>
        <w:tabs>
          <w:tab w:val="clear" w:pos="567"/>
        </w:tabs>
        <w:spacing w:line="240" w:lineRule="auto"/>
        <w:ind w:right="-29"/>
        <w:outlineLvl w:val="0"/>
        <w:rPr>
          <w:i/>
          <w:szCs w:val="22"/>
          <w:lang w:val="sl-SI"/>
        </w:rPr>
      </w:pPr>
    </w:p>
    <w:p>
      <w:pPr>
        <w:widowControl w:val="0"/>
        <w:tabs>
          <w:tab w:val="clear" w:pos="567"/>
        </w:tabs>
        <w:spacing w:line="240" w:lineRule="auto"/>
        <w:ind w:right="-29"/>
        <w:outlineLvl w:val="0"/>
        <w:rPr>
          <w:szCs w:val="22"/>
          <w:lang w:val="el-GR"/>
        </w:rPr>
      </w:pPr>
      <w:r>
        <w:rPr>
          <w:i/>
          <w:szCs w:val="22"/>
          <w:lang w:val="el-GR"/>
        </w:rPr>
        <w:t>Φαρμακευτικά προϊόντα που σχετίζονται με κίνδυνο αιμορραγίας</w:t>
      </w:r>
      <w:r>
        <w:rPr>
          <w:szCs w:val="22"/>
          <w:lang w:val="el-GR"/>
        </w:rPr>
        <w:t>: Υπάρχει αυξημένος κίνδυνος αιμορραγίας λόγω της δυνητικής αθροιστικής δράσης. Η ταυτόχρονη χορήγηση φαρμακευτικών προϊόντων που σχετίζονται με κίνδυνο αιμορραγίας πρέπει να γίνεται με προσοχή (βλ. παράγραφο 4.4).</w:t>
      </w:r>
    </w:p>
    <w:p>
      <w:pPr>
        <w:widowControl w:val="0"/>
        <w:spacing w:line="240" w:lineRule="auto"/>
        <w:rPr>
          <w:noProof/>
          <w:szCs w:val="22"/>
          <w:lang w:val="el-GR"/>
        </w:rPr>
      </w:pPr>
    </w:p>
    <w:p>
      <w:pPr>
        <w:widowControl w:val="0"/>
        <w:tabs>
          <w:tab w:val="left" w:pos="0"/>
        </w:tabs>
        <w:spacing w:line="240" w:lineRule="auto"/>
        <w:rPr>
          <w:szCs w:val="22"/>
          <w:lang w:val="el-GR"/>
        </w:rPr>
      </w:pPr>
      <w:r>
        <w:rPr>
          <w:i/>
          <w:iCs/>
          <w:color w:val="000000"/>
          <w:szCs w:val="22"/>
          <w:lang w:val="el-GR"/>
        </w:rPr>
        <w:t>Αντιπηκτικά από του στόματος</w:t>
      </w:r>
      <w:r>
        <w:rPr>
          <w:color w:val="000000"/>
          <w:szCs w:val="22"/>
          <w:lang w:val="el-GR"/>
        </w:rPr>
        <w:t>: η συγχορήγηση κλοπιδογρέλης και αντιπηκτικών από στόματος δεν συνιστάται διότι μπορεί να αυξήσει την ένταση της αιμορραγίας (βλ. παράγραφο 4.4).</w:t>
      </w:r>
      <w:r>
        <w:rPr>
          <w:szCs w:val="22"/>
          <w:lang w:val="el-GR"/>
        </w:rPr>
        <w:t xml:space="preserve"> Αν και η χορήγηση κλοπιδογρέλης 75 </w:t>
      </w:r>
      <w:r>
        <w:rPr>
          <w:szCs w:val="22"/>
          <w:lang w:val="en-US"/>
        </w:rPr>
        <w:t>mg</w:t>
      </w:r>
      <w:r>
        <w:rPr>
          <w:szCs w:val="22"/>
          <w:lang w:val="el-GR"/>
        </w:rPr>
        <w:t xml:space="preserve">/ημέρα δεν τροποποίησε τη φαρμακοκινητική της </w:t>
      </w:r>
      <w:r>
        <w:rPr>
          <w:szCs w:val="22"/>
          <w:lang w:val="en-US"/>
        </w:rPr>
        <w:t>S</w:t>
      </w:r>
      <w:r>
        <w:rPr>
          <w:szCs w:val="22"/>
          <w:lang w:val="el-GR"/>
        </w:rPr>
        <w:t xml:space="preserve">-βαρφαρίνης ή της </w:t>
      </w:r>
      <w:r>
        <w:rPr>
          <w:szCs w:val="22"/>
          <w:lang w:val="en-US"/>
        </w:rPr>
        <w:t>INR</w:t>
      </w:r>
      <w:r>
        <w:rPr>
          <w:szCs w:val="22"/>
          <w:lang w:val="el-GR"/>
        </w:rPr>
        <w:t xml:space="preserve"> (διεθνούς ομαλοποιημένης σχέσης) σε ασθενείς που λαμβάνουν μακροχρόνια θεραπεία με βαρφαρίνη, η συγχορήγηση κλοπιδογρέλης με βαρφαρίνη αυξάνει τον κίνδυνο αιμορραγίας λόγω ανεξάρτητων επιδράσεων στην αιμόσταση.</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i/>
          <w:iCs/>
          <w:color w:val="000000"/>
          <w:szCs w:val="22"/>
          <w:lang w:val="el-GR"/>
        </w:rPr>
        <w:t>Αναστολείς των υποδοχέων της γλυκοπρωτεΐνης ΙΙb/IIIa</w:t>
      </w:r>
      <w:r>
        <w:rPr>
          <w:color w:val="000000"/>
          <w:szCs w:val="22"/>
          <w:lang w:val="el-GR"/>
        </w:rPr>
        <w:t>: η κλοπιδογρέλη πρέπει να χρησιμοποιείται με προσοχή σε ασθενείς που λαμβάνουν ταυτόχρονα αναστολείς των υποδοχέων της γλυκοπρωτεΐνης IIb/IIIa (βλ. παράγραφο 4.4).</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i/>
          <w:iCs/>
          <w:color w:val="000000"/>
          <w:szCs w:val="22"/>
          <w:lang w:val="el-GR"/>
        </w:rPr>
        <w:t>Ακετυλοσαλικυλικό οξύ (ΑΣΟ)</w:t>
      </w:r>
      <w:r>
        <w:rPr>
          <w:color w:val="000000"/>
          <w:szCs w:val="22"/>
          <w:lang w:val="el-GR"/>
        </w:rPr>
        <w:t>: το ΑΣΟ δεν μετέβαλε την αναστολή που προκαλεί η κλοπιδογρέλη στην προκαλούμενη από την ADP συσσώρευση των αιμοπεταλίων, ενώ η κλοπιδογρέλη ενίσχυσε τη δράση του ΑΣΟ στην προκαλούμενη από το κολλαγόνο συσσώρευση των αιμοπεταλίων. Ωστόσο, η ταυτόχρονη χορήγηση 500 mg ΑΣΟ δύο φορές την ημέρα για μια ημέρα δεν αύξησε σημαντικά την παράταση του χρόνου ροής που προκαλείται από τη λήψη της κλοπιδογρέλης. Μία φαρμακοδυναμική αλληλεπίδραση μεταξύ κλοπιδογρέλης και ΑΣΟ είναι πιθανή, με αποτέλεσμα την αύξηση του κινδύνου αιμορραγίας. Συνεπώς, η συγχορήγησή τους θα πρέπει να γίνεται με προσοχή (βλ. παράγραφο 4.4). Πάντως, η κλοπιδογρέλη και το ΑΣΟ χορηγήθηκαν μαζί για διάστημα μέχρι ένα έτος (βλ. παράγραφο 5.1).</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i/>
          <w:iCs/>
          <w:color w:val="000000"/>
          <w:szCs w:val="22"/>
          <w:lang w:val="el-GR"/>
        </w:rPr>
        <w:t>Ηπαρίνη</w:t>
      </w:r>
      <w:r>
        <w:rPr>
          <w:color w:val="000000"/>
          <w:szCs w:val="22"/>
          <w:lang w:val="el-GR"/>
        </w:rPr>
        <w:t>: σε μια κλινική μελέτη που διεξήχθη σε υγιή άτομα, η κλοπιδογρέλη δεν κατέστησε αναγκαία τη μεταβολή της δόσης της ηπαρίνης ούτε μετέβαλε τη δράση της ηπαρίνης στην πήξη. Η ταυτόχρονη χορήγηση της ηπαρίνης δεν επηρέασε την αναστολή της συσσώρευσης των αιμοπεταλίων που προκαλείται από την κλοπιδογρέλη. Μία φαρμακοδυναμική αλληλεπίδραση μεταξύ κλοπιδογρέλης και ηπαρίνης είναι πιθανή, με αποτέλεσμα την αύξηση του κινδύνου αιμορραγίας. Συνεπώς, η συγχορήγησή τους θα πρέπει να γίνεται με προσοχή (βλ. παράγραφο 4.4).</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i/>
          <w:iCs/>
          <w:color w:val="000000"/>
          <w:szCs w:val="22"/>
          <w:lang w:val="el-GR"/>
        </w:rPr>
        <w:t>Θρομβολυτικά</w:t>
      </w:r>
      <w:r>
        <w:rPr>
          <w:color w:val="000000"/>
          <w:szCs w:val="22"/>
          <w:lang w:val="el-GR"/>
        </w:rPr>
        <w:t>: η ασφάλεια της ταυτόχρονης χορήγησης κλοπιδογρέλης, ειδικών ή μη για το ινώδες θρομβολυτικών παραγόντων και ηπαρινών αξιολογήθηκε σε ασθενείς με οξύ έμφραγμα του μυοκαρδίου. Η συχνότητα εμφάνισης κλινικά σημαντικής αιμορραγίας ήταν παρόμοια με αυτή που παρατηρήθηκε, όταν τα θρομβολυτικά φάρμακα και η ηπαρίνη συγχορηγήθηκαν με ΑΣΟ (βλ. παράγραφο 4.8).</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i/>
          <w:szCs w:val="22"/>
          <w:lang w:val="el-GR"/>
        </w:rPr>
        <w:t>ΜΣΑΦ</w:t>
      </w:r>
      <w:r>
        <w:rPr>
          <w:szCs w:val="22"/>
          <w:lang w:val="el-GR"/>
        </w:rPr>
        <w:t xml:space="preserve">: </w:t>
      </w:r>
      <w:r>
        <w:rPr>
          <w:color w:val="000000"/>
          <w:szCs w:val="22"/>
          <w:lang w:val="el-GR"/>
        </w:rPr>
        <w:t>σε μια κλινική μελέτη που διεξήχθη σε υγιείς εθελοντές, η ταυτόχρονη χορήγηση κλοπιδογρέλης και ναπροξένης αύξησε τη λανθάνουσα απώλεια αίματος από το γαστρεντερικό. Ωστόσο, λόγω της έλλειψης μελετών αλληλεπίδρασης με άλλα ΜΣΑΦ είναι προς το παρόν αδιευκρίνιστο εάν υπάρχει αυξημένος κίνδυνος αιμορραγίας από το γαστρεντερικό με όλα τα ΜΣΑΦ. Συνεπώς, τα ΜΣΑΦ συμπεριλαμβανομένων των αναστολέων της κυκλοοξυγενάσης</w:t>
      </w:r>
      <w:r>
        <w:rPr>
          <w:color w:val="000000"/>
          <w:szCs w:val="22"/>
          <w:lang w:val="sl-SI"/>
        </w:rPr>
        <w:t>-</w:t>
      </w:r>
      <w:r>
        <w:rPr>
          <w:color w:val="000000"/>
          <w:szCs w:val="22"/>
          <w:lang w:val="el-GR"/>
        </w:rPr>
        <w:t>2 (Cox</w:t>
      </w:r>
      <w:r>
        <w:rPr>
          <w:color w:val="000000"/>
          <w:szCs w:val="22"/>
          <w:lang w:val="sl-SI"/>
        </w:rPr>
        <w:t>-</w:t>
      </w:r>
      <w:r>
        <w:rPr>
          <w:color w:val="000000"/>
          <w:szCs w:val="22"/>
          <w:lang w:val="el-GR"/>
        </w:rPr>
        <w:t>2) και η κλοπιδογρέλη θα πρέπει να συγχορηγούνται με προσοχή (βλ. παράγραφο 4.4).</w:t>
      </w:r>
    </w:p>
    <w:p>
      <w:pPr>
        <w:widowControl w:val="0"/>
        <w:tabs>
          <w:tab w:val="left" w:pos="142"/>
        </w:tabs>
        <w:spacing w:line="240" w:lineRule="auto"/>
        <w:rPr>
          <w:lang w:val="el-GR"/>
        </w:rPr>
      </w:pPr>
    </w:p>
    <w:p>
      <w:pPr>
        <w:widowControl w:val="0"/>
        <w:tabs>
          <w:tab w:val="left" w:pos="142"/>
        </w:tabs>
        <w:spacing w:line="240" w:lineRule="auto"/>
        <w:rPr>
          <w:szCs w:val="22"/>
          <w:lang w:val="el-GR"/>
        </w:rPr>
      </w:pPr>
      <w:r>
        <w:rPr>
          <w:i/>
          <w:lang w:val="en-US"/>
        </w:rPr>
        <w:t>SSRIs</w:t>
      </w:r>
      <w:r>
        <w:rPr>
          <w:lang w:val="el-GR"/>
        </w:rPr>
        <w:t xml:space="preserve">: εφόσον οι </w:t>
      </w:r>
      <w:bookmarkStart w:id="1" w:name="OLE_LINK22"/>
      <w:r>
        <w:rPr>
          <w:lang w:val="en-US"/>
        </w:rPr>
        <w:t>SSRIs</w:t>
      </w:r>
      <w:bookmarkEnd w:id="1"/>
      <w:r>
        <w:rPr>
          <w:lang w:val="el-GR"/>
        </w:rPr>
        <w:t xml:space="preserve"> επηρεάζουν την ενεργοποίηση των αιμοπεταλίων και αυξάνουν τον κίνδυνο αιμορραγίας, η ταυτόχρονη χορήγηση των </w:t>
      </w:r>
      <w:r>
        <w:rPr>
          <w:lang w:val="en-US"/>
        </w:rPr>
        <w:t>SSRIs</w:t>
      </w:r>
      <w:r>
        <w:rPr>
          <w:lang w:val="el-GR"/>
        </w:rPr>
        <w:t xml:space="preserve"> με κλοπιδογρέλη πρέπει να γίνεται με προσοχή.</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i/>
          <w:iCs/>
          <w:color w:val="000000"/>
          <w:szCs w:val="22"/>
          <w:lang w:val="el-GR"/>
        </w:rPr>
        <w:t>Άλλες ταυτόχρονες θεραπείες</w:t>
      </w:r>
      <w:r>
        <w:rPr>
          <w:color w:val="000000"/>
          <w:szCs w:val="22"/>
          <w:lang w:val="el-GR"/>
        </w:rPr>
        <w:t>:</w:t>
      </w:r>
    </w:p>
    <w:p>
      <w:pPr>
        <w:widowControl w:val="0"/>
        <w:autoSpaceDE w:val="0"/>
        <w:autoSpaceDN w:val="0"/>
        <w:adjustRightInd w:val="0"/>
        <w:spacing w:line="240" w:lineRule="auto"/>
        <w:rPr>
          <w:color w:val="000000"/>
          <w:szCs w:val="22"/>
          <w:lang w:val="el-GR"/>
        </w:rPr>
      </w:pPr>
    </w:p>
    <w:p>
      <w:pPr>
        <w:tabs>
          <w:tab w:val="clear" w:pos="567"/>
          <w:tab w:val="left" w:pos="2400"/>
          <w:tab w:val="left" w:pos="7280"/>
        </w:tabs>
        <w:spacing w:line="240" w:lineRule="auto"/>
        <w:ind w:right="-29"/>
        <w:rPr>
          <w:color w:val="000000"/>
          <w:szCs w:val="22"/>
          <w:lang w:val="el-GR" w:eastAsia="es-ES"/>
        </w:rPr>
      </w:pPr>
      <w:r>
        <w:rPr>
          <w:color w:val="000000"/>
          <w:szCs w:val="22"/>
          <w:lang w:val="el-GR" w:eastAsia="es-ES"/>
        </w:rPr>
        <w:t xml:space="preserve">Επαγωγείς του </w:t>
      </w:r>
      <w:r>
        <w:rPr>
          <w:color w:val="000000"/>
          <w:szCs w:val="22"/>
          <w:lang w:eastAsia="es-ES"/>
        </w:rPr>
        <w:t>CYP</w:t>
      </w:r>
      <w:r>
        <w:rPr>
          <w:color w:val="000000"/>
          <w:szCs w:val="22"/>
          <w:lang w:val="el-GR" w:eastAsia="es-ES"/>
        </w:rPr>
        <w:t>2</w:t>
      </w:r>
      <w:r>
        <w:rPr>
          <w:color w:val="000000"/>
          <w:szCs w:val="22"/>
          <w:lang w:eastAsia="es-ES"/>
        </w:rPr>
        <w:t>C</w:t>
      </w:r>
      <w:r>
        <w:rPr>
          <w:color w:val="000000"/>
          <w:szCs w:val="22"/>
          <w:lang w:val="el-GR" w:eastAsia="es-ES"/>
        </w:rPr>
        <w:t>19</w:t>
      </w:r>
    </w:p>
    <w:p>
      <w:pPr>
        <w:tabs>
          <w:tab w:val="clear" w:pos="567"/>
          <w:tab w:val="left" w:pos="2400"/>
          <w:tab w:val="left" w:pos="7280"/>
        </w:tabs>
        <w:spacing w:line="240" w:lineRule="auto"/>
        <w:ind w:right="-29"/>
        <w:rPr>
          <w:color w:val="000000"/>
          <w:szCs w:val="22"/>
          <w:lang w:val="el-GR" w:eastAsia="es-ES"/>
        </w:rPr>
      </w:pPr>
      <w:r>
        <w:rPr>
          <w:color w:val="000000"/>
          <w:szCs w:val="22"/>
          <w:lang w:val="el-GR" w:eastAsia="es-ES"/>
        </w:rPr>
        <w:t xml:space="preserve">Δεδομένου ότι η κλοπιδογρέλη μεταβολίζεται μερικώς στον ενεργό μεταβολίτη της από το </w:t>
      </w:r>
      <w:r>
        <w:rPr>
          <w:color w:val="000000"/>
          <w:szCs w:val="22"/>
          <w:lang w:eastAsia="es-ES"/>
        </w:rPr>
        <w:t>CYP</w:t>
      </w:r>
      <w:r>
        <w:rPr>
          <w:color w:val="000000"/>
          <w:szCs w:val="22"/>
          <w:lang w:val="el-GR" w:eastAsia="es-ES"/>
        </w:rPr>
        <w:t>2</w:t>
      </w:r>
      <w:r>
        <w:rPr>
          <w:color w:val="000000"/>
          <w:szCs w:val="22"/>
          <w:lang w:eastAsia="es-ES"/>
        </w:rPr>
        <w:t>C</w:t>
      </w:r>
      <w:r>
        <w:rPr>
          <w:color w:val="000000"/>
          <w:szCs w:val="22"/>
          <w:lang w:val="el-GR" w:eastAsia="es-ES"/>
        </w:rPr>
        <w:t>19, η χρήση φαρμακευτικών προϊόντων που επάγουν τη δραστικότητα αυτού του ενζύμου αναμένεται να οδηγήσουν σε αυξημένα επίπεδα φαρμάκου του ενεργού μεταβολίτη της κλοπιδογρέλης.</w:t>
      </w:r>
    </w:p>
    <w:p>
      <w:pPr>
        <w:tabs>
          <w:tab w:val="clear" w:pos="567"/>
          <w:tab w:val="left" w:pos="2400"/>
          <w:tab w:val="left" w:pos="7280"/>
        </w:tabs>
        <w:spacing w:line="240" w:lineRule="auto"/>
        <w:ind w:right="-29"/>
        <w:rPr>
          <w:color w:val="000000"/>
          <w:szCs w:val="22"/>
          <w:lang w:val="el-GR" w:eastAsia="es-ES"/>
        </w:rPr>
      </w:pPr>
    </w:p>
    <w:p>
      <w:pPr>
        <w:tabs>
          <w:tab w:val="clear" w:pos="567"/>
          <w:tab w:val="left" w:pos="2400"/>
          <w:tab w:val="left" w:pos="7280"/>
        </w:tabs>
        <w:spacing w:line="240" w:lineRule="auto"/>
        <w:ind w:right="-29"/>
        <w:rPr>
          <w:szCs w:val="22"/>
          <w:lang w:val="el-GR"/>
        </w:rPr>
      </w:pPr>
      <w:r>
        <w:rPr>
          <w:szCs w:val="22"/>
          <w:lang w:val="el-GR"/>
        </w:rPr>
        <w:t xml:space="preserve">Η ριφαμπικίνη επάγει έντονα το </w:t>
      </w:r>
      <w:r>
        <w:rPr>
          <w:szCs w:val="22"/>
        </w:rPr>
        <w:t>CYP</w:t>
      </w:r>
      <w:r>
        <w:rPr>
          <w:szCs w:val="22"/>
          <w:lang w:val="el-GR"/>
        </w:rPr>
        <w:t>2</w:t>
      </w:r>
      <w:r>
        <w:rPr>
          <w:szCs w:val="22"/>
        </w:rPr>
        <w:t>C</w:t>
      </w:r>
      <w:r>
        <w:rPr>
          <w:szCs w:val="22"/>
          <w:lang w:val="el-GR"/>
        </w:rPr>
        <w:t xml:space="preserve">19, με αποτέλεσμα τόσο την αύξηση του επιπέδου του ενεργού μεταβολίτη κλοπιδογρέλης όσο και την αναστολή των αιμοπεταλίων, γεγονός που ειδικότερα μπορεί να ενισχύσει τον κίνδυνο αιμορραγίας. Για προληπτικούς λόγους, η ταυτόχρονη χρήση ισχυρών επαγωγέων </w:t>
      </w:r>
      <w:r>
        <w:rPr>
          <w:szCs w:val="22"/>
        </w:rPr>
        <w:t>CYP</w:t>
      </w:r>
      <w:r>
        <w:rPr>
          <w:szCs w:val="22"/>
          <w:lang w:val="el-GR"/>
        </w:rPr>
        <w:t>2</w:t>
      </w:r>
      <w:r>
        <w:rPr>
          <w:szCs w:val="22"/>
        </w:rPr>
        <w:t>C</w:t>
      </w:r>
      <w:r>
        <w:rPr>
          <w:szCs w:val="22"/>
          <w:lang w:val="el-GR"/>
        </w:rPr>
        <w:t>19 θα πρέπει να αποθαρρύνεται (βλ. παράγραφο 4.4).</w:t>
      </w:r>
    </w:p>
    <w:p>
      <w:pPr>
        <w:tabs>
          <w:tab w:val="clear" w:pos="567"/>
          <w:tab w:val="left" w:pos="2400"/>
          <w:tab w:val="left" w:pos="7280"/>
        </w:tabs>
        <w:spacing w:line="240" w:lineRule="auto"/>
        <w:ind w:right="-29"/>
        <w:rPr>
          <w:szCs w:val="22"/>
          <w:lang w:val="el-GR"/>
        </w:rPr>
      </w:pPr>
    </w:p>
    <w:p>
      <w:pPr>
        <w:widowControl w:val="0"/>
        <w:autoSpaceDE w:val="0"/>
        <w:autoSpaceDN w:val="0"/>
        <w:adjustRightInd w:val="0"/>
        <w:spacing w:line="240" w:lineRule="auto"/>
        <w:rPr>
          <w:szCs w:val="22"/>
          <w:lang w:val="el-GR" w:eastAsia="es-ES"/>
        </w:rPr>
      </w:pPr>
      <w:r>
        <w:rPr>
          <w:szCs w:val="22"/>
          <w:lang w:val="el-GR" w:eastAsia="es-ES"/>
        </w:rPr>
        <w:t xml:space="preserve">Αναστολείς του </w:t>
      </w:r>
      <w:r>
        <w:rPr>
          <w:szCs w:val="22"/>
          <w:lang w:eastAsia="es-ES"/>
        </w:rPr>
        <w:t>CYP</w:t>
      </w:r>
      <w:r>
        <w:rPr>
          <w:szCs w:val="22"/>
          <w:lang w:val="el-GR" w:eastAsia="es-ES"/>
        </w:rPr>
        <w:t>2</w:t>
      </w:r>
      <w:r>
        <w:rPr>
          <w:szCs w:val="22"/>
          <w:lang w:eastAsia="es-ES"/>
        </w:rPr>
        <w:t>C</w:t>
      </w:r>
      <w:r>
        <w:rPr>
          <w:szCs w:val="22"/>
          <w:lang w:val="el-GR" w:eastAsia="es-ES"/>
        </w:rPr>
        <w:t>19</w:t>
      </w:r>
    </w:p>
    <w:p>
      <w:pPr>
        <w:widowControl w:val="0"/>
        <w:autoSpaceDE w:val="0"/>
        <w:autoSpaceDN w:val="0"/>
        <w:adjustRightInd w:val="0"/>
        <w:spacing w:line="240" w:lineRule="auto"/>
        <w:rPr>
          <w:color w:val="000000"/>
          <w:szCs w:val="22"/>
          <w:lang w:val="sl-SI"/>
        </w:rPr>
      </w:pPr>
      <w:r>
        <w:rPr>
          <w:szCs w:val="22"/>
          <w:lang w:val="el-GR"/>
        </w:rPr>
        <w:t>Επειδή η κλοπιδογρέλη μεταβολίζεται εν μέρει μέσω του CYP2C19 στο δραστικό της μεταβολίτη, η χρήση φαρμακευτικών προϊόντων που αναστέλλουν τη δράση αυτού του ενζύμου αναμένεται ότι θα έχει ως αποτέλεσμα μειωμένα επίπεδα του δραστικού μεταβολίτη της κλοπιδογρέλης</w:t>
      </w:r>
      <w:r>
        <w:rPr>
          <w:szCs w:val="22"/>
          <w:lang w:val="sl-SI"/>
        </w:rPr>
        <w:t>.</w:t>
      </w:r>
      <w:r>
        <w:rPr>
          <w:szCs w:val="22"/>
          <w:lang w:val="el-GR"/>
        </w:rPr>
        <w:t xml:space="preserve"> Η κλινική συσχέτιση της αλληλεπίδρασης αυτής είναι αβέβαιη. Ως προφύλαξη, η ταυτόχρονη χρήση ισχυρών ή μέτριας ισχύος αναστολέων του </w:t>
      </w:r>
      <w:r>
        <w:rPr>
          <w:szCs w:val="22"/>
          <w:lang w:val="en-US"/>
        </w:rPr>
        <w:t>CYP</w:t>
      </w:r>
      <w:r>
        <w:rPr>
          <w:szCs w:val="22"/>
          <w:lang w:val="el-GR"/>
        </w:rPr>
        <w:t>2</w:t>
      </w:r>
      <w:r>
        <w:rPr>
          <w:szCs w:val="22"/>
          <w:lang w:val="en-US"/>
        </w:rPr>
        <w:t>C</w:t>
      </w:r>
      <w:r>
        <w:rPr>
          <w:szCs w:val="22"/>
          <w:lang w:val="el-GR"/>
        </w:rPr>
        <w:t>19 πρέπει να αποθαρρύνεται (βλ. παραγράφους 4.4 και 5.2).</w:t>
      </w:r>
    </w:p>
    <w:p>
      <w:pPr>
        <w:widowControl w:val="0"/>
        <w:autoSpaceDE w:val="0"/>
        <w:autoSpaceDN w:val="0"/>
        <w:adjustRightInd w:val="0"/>
        <w:spacing w:line="240" w:lineRule="auto"/>
        <w:rPr>
          <w:color w:val="000000"/>
          <w:szCs w:val="22"/>
          <w:lang w:val="sl-SI"/>
        </w:rPr>
      </w:pPr>
    </w:p>
    <w:p>
      <w:pPr>
        <w:widowControl w:val="0"/>
        <w:tabs>
          <w:tab w:val="left" w:pos="142"/>
        </w:tabs>
        <w:spacing w:line="240" w:lineRule="auto"/>
        <w:rPr>
          <w:lang w:val="el-GR"/>
        </w:rPr>
      </w:pPr>
      <w:r>
        <w:rPr>
          <w:lang w:val="el-GR"/>
        </w:rPr>
        <w:t xml:space="preserve">Φαρμακευτικά προϊόντα που είναι ισχυροί ή μέτριοι αναστολείς του </w:t>
      </w:r>
      <w:r>
        <w:rPr>
          <w:lang w:val="sl-SI"/>
        </w:rPr>
        <w:t>CYP</w:t>
      </w:r>
      <w:r>
        <w:rPr>
          <w:lang w:val="el-GR"/>
        </w:rPr>
        <w:t>2</w:t>
      </w:r>
      <w:r>
        <w:rPr>
          <w:lang w:val="sl-SI"/>
        </w:rPr>
        <w:t>C</w:t>
      </w:r>
      <w:r>
        <w:rPr>
          <w:lang w:val="el-GR"/>
        </w:rPr>
        <w:t>19 περιλαμβάνουν, για παράδειγμα, την ομεπραζόλη και την εσομεπραζόλη, τη φλουβοξαμίνη, τη φλουοξετίνη, τη μοκλοβεμίδη, τη βορικοναζόλη, τη φλουκοναζόλη, την τικλοπιδίνη, την καρβαμαζεπίνη και την εφαβιρένζη.</w:t>
      </w:r>
    </w:p>
    <w:p>
      <w:pPr>
        <w:widowControl w:val="0"/>
        <w:autoSpaceDE w:val="0"/>
        <w:autoSpaceDN w:val="0"/>
        <w:adjustRightInd w:val="0"/>
        <w:spacing w:line="240" w:lineRule="auto"/>
        <w:rPr>
          <w:color w:val="000000"/>
          <w:szCs w:val="22"/>
          <w:lang w:val="sl-SI"/>
        </w:rPr>
      </w:pPr>
    </w:p>
    <w:p>
      <w:pPr>
        <w:widowControl w:val="0"/>
        <w:autoSpaceDE w:val="0"/>
        <w:autoSpaceDN w:val="0"/>
        <w:adjustRightInd w:val="0"/>
        <w:spacing w:line="240" w:lineRule="auto"/>
        <w:rPr>
          <w:color w:val="000000"/>
          <w:szCs w:val="22"/>
          <w:lang w:val="sl-SI"/>
        </w:rPr>
      </w:pPr>
      <w:r>
        <w:rPr>
          <w:szCs w:val="22"/>
          <w:lang w:val="el-GR"/>
        </w:rPr>
        <w:t>Αναστολείς της Αντλίας Πρωτονίων (ΑΑΠ):</w:t>
      </w:r>
    </w:p>
    <w:p>
      <w:pPr>
        <w:widowControl w:val="0"/>
        <w:spacing w:line="240" w:lineRule="auto"/>
        <w:rPr>
          <w:szCs w:val="22"/>
          <w:lang w:val="cs-CZ"/>
        </w:rPr>
      </w:pPr>
      <w:r>
        <w:rPr>
          <w:szCs w:val="22"/>
          <w:lang w:val="el-GR"/>
        </w:rPr>
        <w:t>Η</w:t>
      </w:r>
      <w:r>
        <w:rPr>
          <w:szCs w:val="22"/>
          <w:lang w:val="sl-SI"/>
        </w:rPr>
        <w:t xml:space="preserve"> </w:t>
      </w:r>
      <w:r>
        <w:rPr>
          <w:szCs w:val="22"/>
          <w:lang w:val="el-GR"/>
        </w:rPr>
        <w:t>χορήγηση</w:t>
      </w:r>
      <w:r>
        <w:rPr>
          <w:szCs w:val="22"/>
          <w:lang w:val="sl-SI"/>
        </w:rPr>
        <w:t xml:space="preserve"> 80 mg </w:t>
      </w:r>
      <w:r>
        <w:rPr>
          <w:szCs w:val="22"/>
          <w:lang w:val="el-GR"/>
        </w:rPr>
        <w:t>ομεπραζόλης</w:t>
      </w:r>
      <w:r>
        <w:rPr>
          <w:szCs w:val="22"/>
          <w:lang w:val="sl-SI"/>
        </w:rPr>
        <w:t xml:space="preserve"> </w:t>
      </w:r>
      <w:r>
        <w:rPr>
          <w:szCs w:val="22"/>
          <w:lang w:val="el-GR"/>
        </w:rPr>
        <w:t>εφάπαξ</w:t>
      </w:r>
      <w:r>
        <w:rPr>
          <w:szCs w:val="22"/>
          <w:lang w:val="sl-SI"/>
        </w:rPr>
        <w:t xml:space="preserve"> </w:t>
      </w:r>
      <w:r>
        <w:rPr>
          <w:szCs w:val="22"/>
          <w:lang w:val="el-GR"/>
        </w:rPr>
        <w:t>ημερησίως</w:t>
      </w:r>
      <w:r>
        <w:rPr>
          <w:szCs w:val="22"/>
          <w:lang w:val="sl-SI"/>
        </w:rPr>
        <w:t xml:space="preserve"> </w:t>
      </w:r>
      <w:r>
        <w:rPr>
          <w:szCs w:val="22"/>
          <w:lang w:val="el-GR"/>
        </w:rPr>
        <w:t>είτε</w:t>
      </w:r>
      <w:r>
        <w:rPr>
          <w:szCs w:val="22"/>
          <w:lang w:val="sl-SI"/>
        </w:rPr>
        <w:t xml:space="preserve"> </w:t>
      </w:r>
      <w:r>
        <w:rPr>
          <w:szCs w:val="22"/>
          <w:lang w:val="el-GR"/>
        </w:rPr>
        <w:t>στον</w:t>
      </w:r>
      <w:r>
        <w:rPr>
          <w:szCs w:val="22"/>
          <w:lang w:val="sl-SI"/>
        </w:rPr>
        <w:t xml:space="preserve"> </w:t>
      </w:r>
      <w:r>
        <w:rPr>
          <w:szCs w:val="22"/>
          <w:lang w:val="el-GR"/>
        </w:rPr>
        <w:t>ίδιο</w:t>
      </w:r>
      <w:r>
        <w:rPr>
          <w:szCs w:val="22"/>
          <w:lang w:val="sl-SI"/>
        </w:rPr>
        <w:t xml:space="preserve"> </w:t>
      </w:r>
      <w:r>
        <w:rPr>
          <w:szCs w:val="22"/>
          <w:lang w:val="el-GR"/>
        </w:rPr>
        <w:t>χρόνο</w:t>
      </w:r>
      <w:r>
        <w:rPr>
          <w:szCs w:val="22"/>
          <w:lang w:val="sl-SI"/>
        </w:rPr>
        <w:t xml:space="preserve"> </w:t>
      </w:r>
      <w:r>
        <w:rPr>
          <w:szCs w:val="22"/>
          <w:lang w:val="el-GR"/>
        </w:rPr>
        <w:t>με</w:t>
      </w:r>
      <w:r>
        <w:rPr>
          <w:szCs w:val="22"/>
          <w:lang w:val="sl-SI"/>
        </w:rPr>
        <w:t xml:space="preserve"> </w:t>
      </w:r>
      <w:r>
        <w:rPr>
          <w:szCs w:val="22"/>
          <w:lang w:val="el-GR"/>
        </w:rPr>
        <w:t>την</w:t>
      </w:r>
      <w:r>
        <w:rPr>
          <w:szCs w:val="22"/>
          <w:lang w:val="sl-SI"/>
        </w:rPr>
        <w:t xml:space="preserve"> </w:t>
      </w:r>
      <w:r>
        <w:rPr>
          <w:szCs w:val="22"/>
          <w:lang w:val="el-GR"/>
        </w:rPr>
        <w:t>κλοπιδογρέλη</w:t>
      </w:r>
      <w:r>
        <w:rPr>
          <w:szCs w:val="22"/>
          <w:lang w:val="sl-SI"/>
        </w:rPr>
        <w:t xml:space="preserve"> </w:t>
      </w:r>
      <w:r>
        <w:rPr>
          <w:szCs w:val="22"/>
          <w:lang w:val="el-GR"/>
        </w:rPr>
        <w:t>είτε</w:t>
      </w:r>
      <w:r>
        <w:rPr>
          <w:szCs w:val="22"/>
          <w:lang w:val="sl-SI"/>
        </w:rPr>
        <w:t xml:space="preserve"> </w:t>
      </w:r>
      <w:r>
        <w:rPr>
          <w:szCs w:val="22"/>
          <w:lang w:val="el-GR"/>
        </w:rPr>
        <w:t>με</w:t>
      </w:r>
      <w:r>
        <w:rPr>
          <w:szCs w:val="22"/>
          <w:lang w:val="sl-SI"/>
        </w:rPr>
        <w:t xml:space="preserve"> </w:t>
      </w:r>
      <w:r>
        <w:rPr>
          <w:szCs w:val="22"/>
          <w:lang w:val="el-GR"/>
        </w:rPr>
        <w:t xml:space="preserve">διάστημα </w:t>
      </w:r>
      <w:r>
        <w:rPr>
          <w:szCs w:val="22"/>
          <w:lang w:val="sl-SI"/>
        </w:rPr>
        <w:t>12 </w:t>
      </w:r>
      <w:r>
        <w:rPr>
          <w:szCs w:val="22"/>
          <w:lang w:val="el-GR"/>
        </w:rPr>
        <w:t>ωρών</w:t>
      </w:r>
      <w:r>
        <w:rPr>
          <w:szCs w:val="22"/>
          <w:lang w:val="sl-SI"/>
        </w:rPr>
        <w:t xml:space="preserve"> </w:t>
      </w:r>
      <w:r>
        <w:rPr>
          <w:szCs w:val="22"/>
          <w:lang w:val="el-GR"/>
        </w:rPr>
        <w:t>μεταξύ</w:t>
      </w:r>
      <w:r>
        <w:rPr>
          <w:szCs w:val="22"/>
          <w:lang w:val="sl-SI"/>
        </w:rPr>
        <w:t xml:space="preserve"> </w:t>
      </w:r>
      <w:r>
        <w:rPr>
          <w:szCs w:val="22"/>
          <w:lang w:val="el-GR"/>
        </w:rPr>
        <w:t>των</w:t>
      </w:r>
      <w:r>
        <w:rPr>
          <w:szCs w:val="22"/>
          <w:lang w:val="sl-SI"/>
        </w:rPr>
        <w:t xml:space="preserve"> </w:t>
      </w:r>
      <w:r>
        <w:rPr>
          <w:szCs w:val="22"/>
          <w:lang w:val="el-GR"/>
        </w:rPr>
        <w:t>χορηγήσεων</w:t>
      </w:r>
      <w:r>
        <w:rPr>
          <w:szCs w:val="22"/>
          <w:lang w:val="sl-SI"/>
        </w:rPr>
        <w:t xml:space="preserve"> </w:t>
      </w:r>
      <w:r>
        <w:rPr>
          <w:szCs w:val="22"/>
          <w:lang w:val="el-GR"/>
        </w:rPr>
        <w:t>των</w:t>
      </w:r>
      <w:r>
        <w:rPr>
          <w:szCs w:val="22"/>
          <w:lang w:val="sl-SI"/>
        </w:rPr>
        <w:t xml:space="preserve"> </w:t>
      </w:r>
      <w:r>
        <w:rPr>
          <w:szCs w:val="22"/>
          <w:lang w:val="el-GR"/>
        </w:rPr>
        <w:t>δύο</w:t>
      </w:r>
      <w:r>
        <w:rPr>
          <w:szCs w:val="22"/>
          <w:lang w:val="sl-SI"/>
        </w:rPr>
        <w:t xml:space="preserve"> </w:t>
      </w:r>
      <w:r>
        <w:rPr>
          <w:szCs w:val="22"/>
          <w:lang w:val="el-GR"/>
        </w:rPr>
        <w:t>φαρμάκων</w:t>
      </w:r>
      <w:r>
        <w:rPr>
          <w:szCs w:val="22"/>
          <w:lang w:val="sl-SI"/>
        </w:rPr>
        <w:t xml:space="preserve"> </w:t>
      </w:r>
      <w:r>
        <w:rPr>
          <w:szCs w:val="22"/>
          <w:lang w:val="el-GR"/>
        </w:rPr>
        <w:t>μείωσε</w:t>
      </w:r>
      <w:r>
        <w:rPr>
          <w:szCs w:val="22"/>
          <w:lang w:val="sl-SI"/>
        </w:rPr>
        <w:t xml:space="preserve"> </w:t>
      </w:r>
      <w:r>
        <w:rPr>
          <w:szCs w:val="22"/>
          <w:lang w:val="el-GR"/>
        </w:rPr>
        <w:t>την</w:t>
      </w:r>
      <w:r>
        <w:rPr>
          <w:szCs w:val="22"/>
          <w:lang w:val="sl-SI"/>
        </w:rPr>
        <w:t xml:space="preserve"> </w:t>
      </w:r>
      <w:r>
        <w:rPr>
          <w:szCs w:val="22"/>
          <w:lang w:val="el-GR"/>
        </w:rPr>
        <w:t>έκθεση</w:t>
      </w:r>
      <w:r>
        <w:rPr>
          <w:szCs w:val="22"/>
          <w:lang w:val="sl-SI"/>
        </w:rPr>
        <w:t xml:space="preserve"> </w:t>
      </w:r>
      <w:r>
        <w:rPr>
          <w:szCs w:val="22"/>
          <w:lang w:val="el-GR"/>
        </w:rPr>
        <w:t>του</w:t>
      </w:r>
      <w:r>
        <w:rPr>
          <w:szCs w:val="22"/>
          <w:lang w:val="sl-SI"/>
        </w:rPr>
        <w:t xml:space="preserve"> </w:t>
      </w:r>
      <w:r>
        <w:rPr>
          <w:szCs w:val="22"/>
          <w:lang w:val="el-GR"/>
        </w:rPr>
        <w:t>δραστικού</w:t>
      </w:r>
      <w:r>
        <w:rPr>
          <w:szCs w:val="22"/>
          <w:lang w:val="sl-SI"/>
        </w:rPr>
        <w:t xml:space="preserve"> </w:t>
      </w:r>
      <w:r>
        <w:rPr>
          <w:szCs w:val="22"/>
          <w:lang w:val="el-GR"/>
        </w:rPr>
        <w:t>μεταβολίτη</w:t>
      </w:r>
      <w:r>
        <w:rPr>
          <w:szCs w:val="22"/>
          <w:lang w:val="sl-SI"/>
        </w:rPr>
        <w:t xml:space="preserve"> </w:t>
      </w:r>
      <w:r>
        <w:rPr>
          <w:szCs w:val="22"/>
          <w:lang w:val="el-GR"/>
        </w:rPr>
        <w:t>κατά</w:t>
      </w:r>
      <w:r>
        <w:rPr>
          <w:szCs w:val="22"/>
          <w:lang w:val="sl-SI"/>
        </w:rPr>
        <w:t xml:space="preserve"> 45% (</w:t>
      </w:r>
      <w:r>
        <w:rPr>
          <w:szCs w:val="22"/>
          <w:lang w:val="el-GR"/>
        </w:rPr>
        <w:t>δόση</w:t>
      </w:r>
      <w:r>
        <w:rPr>
          <w:szCs w:val="22"/>
          <w:lang w:val="sl-SI"/>
        </w:rPr>
        <w:t xml:space="preserve"> </w:t>
      </w:r>
      <w:r>
        <w:rPr>
          <w:szCs w:val="22"/>
          <w:lang w:val="el-GR"/>
        </w:rPr>
        <w:t>φόρτισης</w:t>
      </w:r>
      <w:r>
        <w:rPr>
          <w:szCs w:val="22"/>
          <w:lang w:val="sl-SI"/>
        </w:rPr>
        <w:t xml:space="preserve">) </w:t>
      </w:r>
      <w:r>
        <w:rPr>
          <w:szCs w:val="22"/>
          <w:lang w:val="el-GR"/>
        </w:rPr>
        <w:t>και</w:t>
      </w:r>
      <w:r>
        <w:rPr>
          <w:szCs w:val="22"/>
          <w:lang w:val="sl-SI"/>
        </w:rPr>
        <w:t xml:space="preserve"> 40% (</w:t>
      </w:r>
      <w:r>
        <w:rPr>
          <w:szCs w:val="22"/>
          <w:lang w:val="el-GR"/>
        </w:rPr>
        <w:t>δόση</w:t>
      </w:r>
      <w:r>
        <w:rPr>
          <w:szCs w:val="22"/>
          <w:lang w:val="sl-SI"/>
        </w:rPr>
        <w:t xml:space="preserve"> </w:t>
      </w:r>
      <w:r>
        <w:rPr>
          <w:szCs w:val="22"/>
          <w:lang w:val="el-GR"/>
        </w:rPr>
        <w:t>συντήρησης</w:t>
      </w:r>
      <w:r>
        <w:rPr>
          <w:szCs w:val="22"/>
          <w:lang w:val="sl-SI"/>
        </w:rPr>
        <w:t xml:space="preserve">). </w:t>
      </w:r>
      <w:r>
        <w:rPr>
          <w:szCs w:val="22"/>
          <w:lang w:val="el-GR"/>
        </w:rPr>
        <w:t>Η</w:t>
      </w:r>
      <w:r>
        <w:rPr>
          <w:szCs w:val="22"/>
          <w:lang w:val="sl-SI"/>
        </w:rPr>
        <w:t xml:space="preserve"> </w:t>
      </w:r>
      <w:r>
        <w:rPr>
          <w:szCs w:val="22"/>
          <w:lang w:val="el-GR"/>
        </w:rPr>
        <w:t>μείωση</w:t>
      </w:r>
      <w:r>
        <w:rPr>
          <w:szCs w:val="22"/>
          <w:lang w:val="sl-SI"/>
        </w:rPr>
        <w:t xml:space="preserve"> </w:t>
      </w:r>
      <w:r>
        <w:rPr>
          <w:szCs w:val="22"/>
          <w:lang w:val="el-GR"/>
        </w:rPr>
        <w:t>σχετίστηκε</w:t>
      </w:r>
      <w:r>
        <w:rPr>
          <w:szCs w:val="22"/>
          <w:lang w:val="sl-SI"/>
        </w:rPr>
        <w:t xml:space="preserve"> </w:t>
      </w:r>
      <w:r>
        <w:rPr>
          <w:szCs w:val="22"/>
          <w:lang w:val="el-GR"/>
        </w:rPr>
        <w:t>με</w:t>
      </w:r>
      <w:r>
        <w:rPr>
          <w:szCs w:val="22"/>
          <w:lang w:val="sl-SI"/>
        </w:rPr>
        <w:t xml:space="preserve"> 39% (</w:t>
      </w:r>
      <w:r>
        <w:rPr>
          <w:szCs w:val="22"/>
          <w:lang w:val="el-GR"/>
        </w:rPr>
        <w:t>δόση</w:t>
      </w:r>
      <w:r>
        <w:rPr>
          <w:szCs w:val="22"/>
          <w:lang w:val="sl-SI"/>
        </w:rPr>
        <w:t xml:space="preserve"> </w:t>
      </w:r>
      <w:r>
        <w:rPr>
          <w:szCs w:val="22"/>
          <w:lang w:val="el-GR"/>
        </w:rPr>
        <w:t>φόρτισης</w:t>
      </w:r>
      <w:r>
        <w:rPr>
          <w:szCs w:val="22"/>
          <w:lang w:val="sl-SI"/>
        </w:rPr>
        <w:t xml:space="preserve">) </w:t>
      </w:r>
      <w:r>
        <w:rPr>
          <w:szCs w:val="22"/>
          <w:lang w:val="el-GR"/>
        </w:rPr>
        <w:t>και</w:t>
      </w:r>
      <w:r>
        <w:rPr>
          <w:szCs w:val="22"/>
          <w:lang w:val="sl-SI"/>
        </w:rPr>
        <w:t xml:space="preserve"> 21% (</w:t>
      </w:r>
      <w:r>
        <w:rPr>
          <w:szCs w:val="22"/>
          <w:lang w:val="el-GR"/>
        </w:rPr>
        <w:t>δόση</w:t>
      </w:r>
      <w:r>
        <w:rPr>
          <w:szCs w:val="22"/>
          <w:lang w:val="sl-SI"/>
        </w:rPr>
        <w:t xml:space="preserve"> </w:t>
      </w:r>
      <w:r>
        <w:rPr>
          <w:szCs w:val="22"/>
          <w:lang w:val="el-GR"/>
        </w:rPr>
        <w:t>συντήρησης</w:t>
      </w:r>
      <w:r>
        <w:rPr>
          <w:szCs w:val="22"/>
          <w:lang w:val="sl-SI"/>
        </w:rPr>
        <w:t xml:space="preserve">) </w:t>
      </w:r>
      <w:r>
        <w:rPr>
          <w:szCs w:val="22"/>
          <w:lang w:val="el-GR"/>
        </w:rPr>
        <w:t>μείωση</w:t>
      </w:r>
      <w:r>
        <w:rPr>
          <w:szCs w:val="22"/>
          <w:lang w:val="sl-SI"/>
        </w:rPr>
        <w:t xml:space="preserve"> </w:t>
      </w:r>
      <w:r>
        <w:rPr>
          <w:szCs w:val="22"/>
          <w:lang w:val="el-GR"/>
        </w:rPr>
        <w:t>της</w:t>
      </w:r>
      <w:r>
        <w:rPr>
          <w:szCs w:val="22"/>
          <w:lang w:val="sl-SI"/>
        </w:rPr>
        <w:t xml:space="preserve"> </w:t>
      </w:r>
      <w:r>
        <w:rPr>
          <w:szCs w:val="22"/>
          <w:lang w:val="el-GR"/>
        </w:rPr>
        <w:t>αναστολής</w:t>
      </w:r>
      <w:r>
        <w:rPr>
          <w:szCs w:val="22"/>
          <w:lang w:val="sl-SI"/>
        </w:rPr>
        <w:t xml:space="preserve"> </w:t>
      </w:r>
      <w:r>
        <w:rPr>
          <w:szCs w:val="22"/>
          <w:lang w:val="el-GR"/>
        </w:rPr>
        <w:t>της</w:t>
      </w:r>
      <w:r>
        <w:rPr>
          <w:szCs w:val="22"/>
          <w:lang w:val="sl-SI"/>
        </w:rPr>
        <w:t xml:space="preserve"> </w:t>
      </w:r>
      <w:r>
        <w:rPr>
          <w:szCs w:val="22"/>
          <w:lang w:val="el-GR"/>
        </w:rPr>
        <w:t>συσσώρευσης</w:t>
      </w:r>
      <w:r>
        <w:rPr>
          <w:szCs w:val="22"/>
          <w:lang w:val="sl-SI"/>
        </w:rPr>
        <w:t xml:space="preserve"> </w:t>
      </w:r>
      <w:r>
        <w:rPr>
          <w:szCs w:val="22"/>
          <w:lang w:val="el-GR"/>
        </w:rPr>
        <w:t>των</w:t>
      </w:r>
      <w:r>
        <w:rPr>
          <w:szCs w:val="22"/>
          <w:lang w:val="sl-SI"/>
        </w:rPr>
        <w:t xml:space="preserve"> </w:t>
      </w:r>
      <w:r>
        <w:rPr>
          <w:szCs w:val="22"/>
          <w:lang w:val="el-GR"/>
        </w:rPr>
        <w:t>αιμοπεταλίων</w:t>
      </w:r>
      <w:r>
        <w:rPr>
          <w:szCs w:val="22"/>
          <w:lang w:val="sl-SI"/>
        </w:rPr>
        <w:t xml:space="preserve">. </w:t>
      </w:r>
      <w:r>
        <w:rPr>
          <w:szCs w:val="22"/>
          <w:lang w:val="el-GR"/>
        </w:rPr>
        <w:t>Η</w:t>
      </w:r>
      <w:r>
        <w:rPr>
          <w:szCs w:val="22"/>
          <w:lang w:val="sl-SI"/>
        </w:rPr>
        <w:t xml:space="preserve"> </w:t>
      </w:r>
      <w:r>
        <w:rPr>
          <w:szCs w:val="22"/>
          <w:lang w:val="el-GR"/>
        </w:rPr>
        <w:t>εσομεπραζόλη</w:t>
      </w:r>
      <w:r>
        <w:rPr>
          <w:szCs w:val="22"/>
          <w:lang w:val="sl-SI"/>
        </w:rPr>
        <w:t xml:space="preserve"> </w:t>
      </w:r>
      <w:r>
        <w:rPr>
          <w:szCs w:val="22"/>
          <w:lang w:val="el-GR"/>
        </w:rPr>
        <w:t>αναμένεται</w:t>
      </w:r>
      <w:r>
        <w:rPr>
          <w:szCs w:val="22"/>
          <w:lang w:val="sl-SI"/>
        </w:rPr>
        <w:t xml:space="preserve"> </w:t>
      </w:r>
      <w:r>
        <w:rPr>
          <w:szCs w:val="22"/>
          <w:lang w:val="el-GR"/>
        </w:rPr>
        <w:t>να</w:t>
      </w:r>
      <w:r>
        <w:rPr>
          <w:szCs w:val="22"/>
          <w:lang w:val="sl-SI"/>
        </w:rPr>
        <w:t xml:space="preserve"> </w:t>
      </w:r>
      <w:r>
        <w:rPr>
          <w:szCs w:val="22"/>
          <w:lang w:val="el-GR"/>
        </w:rPr>
        <w:t>έχει</w:t>
      </w:r>
      <w:r>
        <w:rPr>
          <w:szCs w:val="22"/>
          <w:lang w:val="sl-SI"/>
        </w:rPr>
        <w:t xml:space="preserve"> </w:t>
      </w:r>
      <w:r>
        <w:rPr>
          <w:szCs w:val="22"/>
          <w:lang w:val="el-GR"/>
        </w:rPr>
        <w:t>παρόμοια</w:t>
      </w:r>
      <w:r>
        <w:rPr>
          <w:szCs w:val="22"/>
          <w:lang w:val="sl-SI"/>
        </w:rPr>
        <w:t xml:space="preserve"> </w:t>
      </w:r>
      <w:r>
        <w:rPr>
          <w:szCs w:val="22"/>
          <w:lang w:val="el-GR"/>
        </w:rPr>
        <w:t>αλληλεπίδραση</w:t>
      </w:r>
      <w:r>
        <w:rPr>
          <w:szCs w:val="22"/>
          <w:lang w:val="sl-SI"/>
        </w:rPr>
        <w:t xml:space="preserve"> </w:t>
      </w:r>
      <w:r>
        <w:rPr>
          <w:szCs w:val="22"/>
          <w:lang w:val="el-GR"/>
        </w:rPr>
        <w:t>με</w:t>
      </w:r>
      <w:r>
        <w:rPr>
          <w:szCs w:val="22"/>
          <w:lang w:val="sl-SI"/>
        </w:rPr>
        <w:t xml:space="preserve"> </w:t>
      </w:r>
      <w:r>
        <w:rPr>
          <w:szCs w:val="22"/>
          <w:lang w:val="el-GR"/>
        </w:rPr>
        <w:t>την</w:t>
      </w:r>
      <w:r>
        <w:rPr>
          <w:szCs w:val="22"/>
          <w:lang w:val="sl-SI"/>
        </w:rPr>
        <w:t xml:space="preserve"> </w:t>
      </w:r>
      <w:r>
        <w:rPr>
          <w:szCs w:val="22"/>
          <w:lang w:val="el-GR"/>
        </w:rPr>
        <w:t>κλοπιδογρέλη</w:t>
      </w:r>
      <w:r>
        <w:rPr>
          <w:szCs w:val="22"/>
          <w:lang w:val="sl-SI"/>
        </w:rPr>
        <w:t>.</w:t>
      </w:r>
    </w:p>
    <w:p>
      <w:pPr>
        <w:widowControl w:val="0"/>
        <w:spacing w:line="240" w:lineRule="auto"/>
        <w:rPr>
          <w:szCs w:val="22"/>
          <w:lang w:val="sl-SI"/>
        </w:rPr>
      </w:pPr>
    </w:p>
    <w:p>
      <w:pPr>
        <w:widowControl w:val="0"/>
        <w:spacing w:line="240" w:lineRule="auto"/>
        <w:rPr>
          <w:szCs w:val="22"/>
          <w:lang w:val="el-GR"/>
        </w:rPr>
      </w:pPr>
      <w:r>
        <w:rPr>
          <w:szCs w:val="22"/>
          <w:lang w:val="el-GR"/>
        </w:rPr>
        <w:t>Αντιφατικά</w:t>
      </w:r>
      <w:r>
        <w:rPr>
          <w:szCs w:val="22"/>
          <w:lang w:val="sl-SI"/>
        </w:rPr>
        <w:t xml:space="preserve"> </w:t>
      </w:r>
      <w:r>
        <w:rPr>
          <w:szCs w:val="22"/>
          <w:lang w:val="el-GR"/>
        </w:rPr>
        <w:t>δεδομένα</w:t>
      </w:r>
      <w:r>
        <w:rPr>
          <w:szCs w:val="22"/>
          <w:lang w:val="sl-SI"/>
        </w:rPr>
        <w:t xml:space="preserve"> </w:t>
      </w:r>
      <w:r>
        <w:rPr>
          <w:szCs w:val="22"/>
          <w:lang w:val="el-GR"/>
        </w:rPr>
        <w:t>για</w:t>
      </w:r>
      <w:r>
        <w:rPr>
          <w:szCs w:val="22"/>
          <w:lang w:val="sl-SI"/>
        </w:rPr>
        <w:t xml:space="preserve"> </w:t>
      </w:r>
      <w:r>
        <w:rPr>
          <w:szCs w:val="22"/>
          <w:lang w:val="el-GR"/>
        </w:rPr>
        <w:t>τις</w:t>
      </w:r>
      <w:r>
        <w:rPr>
          <w:szCs w:val="22"/>
          <w:lang w:val="sl-SI"/>
        </w:rPr>
        <w:t xml:space="preserve"> </w:t>
      </w:r>
      <w:r>
        <w:rPr>
          <w:szCs w:val="22"/>
          <w:lang w:val="el-GR"/>
        </w:rPr>
        <w:t>κλινικές</w:t>
      </w:r>
      <w:r>
        <w:rPr>
          <w:szCs w:val="22"/>
          <w:lang w:val="sl-SI"/>
        </w:rPr>
        <w:t xml:space="preserve"> </w:t>
      </w:r>
      <w:r>
        <w:rPr>
          <w:szCs w:val="22"/>
          <w:lang w:val="el-GR"/>
        </w:rPr>
        <w:t>επιπτώσεις</w:t>
      </w:r>
      <w:r>
        <w:rPr>
          <w:lang w:val="el-GR"/>
        </w:rPr>
        <w:t xml:space="preserve"> </w:t>
      </w:r>
      <w:r>
        <w:rPr>
          <w:szCs w:val="22"/>
          <w:lang w:val="el-GR"/>
        </w:rPr>
        <w:t>αυτής</w:t>
      </w:r>
      <w:r>
        <w:rPr>
          <w:szCs w:val="22"/>
          <w:lang w:val="sl-SI"/>
        </w:rPr>
        <w:t xml:space="preserve"> </w:t>
      </w:r>
      <w:r>
        <w:rPr>
          <w:szCs w:val="22"/>
          <w:lang w:val="el-GR"/>
        </w:rPr>
        <w:t>της</w:t>
      </w:r>
      <w:r>
        <w:rPr>
          <w:szCs w:val="22"/>
          <w:lang w:val="sl-SI"/>
        </w:rPr>
        <w:t xml:space="preserve"> </w:t>
      </w:r>
      <w:r>
        <w:rPr>
          <w:szCs w:val="22"/>
          <w:lang w:val="el-GR"/>
        </w:rPr>
        <w:t>φαρμακοκινητικής (ΦΚ)/φαρμακοδυναμικής (ΦΔ) αλληλεπίδρασης αναφορικά με μείζονα καρδιαγγειακά συμβάματα έχουν αναφερθεί από μελέτες παρατήρησης και κλινικές μελέτες. Ως προφύλαξη, η ταυτόχρονη χρήση ομεπραζόλης ή εσομεπραζόλης πρέπει να αποθαρρύνεται (βλ. παράγραφο 4.4).</w:t>
      </w:r>
    </w:p>
    <w:p>
      <w:pPr>
        <w:widowControl w:val="0"/>
        <w:spacing w:line="240" w:lineRule="auto"/>
        <w:rPr>
          <w:szCs w:val="22"/>
          <w:lang w:val="el-GR"/>
        </w:rPr>
      </w:pPr>
    </w:p>
    <w:p>
      <w:pPr>
        <w:widowControl w:val="0"/>
        <w:spacing w:line="240" w:lineRule="auto"/>
        <w:rPr>
          <w:szCs w:val="22"/>
          <w:lang w:val="el-GR"/>
        </w:rPr>
      </w:pPr>
      <w:r>
        <w:rPr>
          <w:szCs w:val="22"/>
          <w:lang w:val="el-GR"/>
        </w:rPr>
        <w:t>Λιγότερο έντονες μειώσεις της έκθεσης στον μεταβολίτη έχουν παρατηρηθεί με την παντοπραζόλη ή τη λανσοπραζόλη.</w:t>
      </w:r>
    </w:p>
    <w:p>
      <w:pPr>
        <w:widowControl w:val="0"/>
        <w:spacing w:line="240" w:lineRule="auto"/>
        <w:rPr>
          <w:szCs w:val="22"/>
          <w:lang w:val="sl-SI"/>
        </w:rPr>
      </w:pPr>
      <w:r>
        <w:rPr>
          <w:szCs w:val="22"/>
          <w:lang w:val="el-GR"/>
        </w:rPr>
        <w:t>Οι συγκεντρώσεις στο πλάσμα του δραστικού μεταβολίτη μειώθηκαν κατά 20% (δόση φόρτισης) και κατά 14% (δόση συντήρησης) κατά τη διάρκεια της ταυτόχρονης αγωγής με 80 </w:t>
      </w:r>
      <w:r>
        <w:rPr>
          <w:szCs w:val="22"/>
          <w:lang w:val="en-US"/>
        </w:rPr>
        <w:t>mg</w:t>
      </w:r>
      <w:r>
        <w:rPr>
          <w:szCs w:val="22"/>
          <w:lang w:val="el-GR"/>
        </w:rPr>
        <w:t xml:space="preserve"> παντοπραζόλης εφάπαξ ημερησίως. Αυτό συσχετίστηκε με μείωση της μέσης αναστολής της συσσώρευσης των αιμοπεταλίων κατά 15% και 11%, αντίστοιχα. Τα αποτελέσματα αυτά δείχνουν ότι η κλοπιδογρέλη μπορεί να χορηγείται με την παντοπραζόλη.</w:t>
      </w:r>
    </w:p>
    <w:p>
      <w:pPr>
        <w:widowControl w:val="0"/>
        <w:spacing w:line="240" w:lineRule="auto"/>
        <w:rPr>
          <w:szCs w:val="22"/>
          <w:lang w:val="sl-SI"/>
        </w:rPr>
      </w:pPr>
    </w:p>
    <w:p>
      <w:pPr>
        <w:widowControl w:val="0"/>
        <w:spacing w:line="240" w:lineRule="auto"/>
        <w:rPr>
          <w:szCs w:val="22"/>
          <w:lang w:val="sl-SI"/>
        </w:rPr>
      </w:pPr>
      <w:r>
        <w:rPr>
          <w:szCs w:val="22"/>
          <w:lang w:val="el-GR"/>
        </w:rPr>
        <w:t>Δεν υπάρχουν στοιχεία ότι άλλα φαρμακευτικά προϊόντα που μειώνουν τα γαστρικά οξέα όπως οι Η2 αποκλειστές ή τα αντιόξινα επηρεάζουν την αντιαιμοπεταλιακή δράση της κλοπιδογρέλης.</w:t>
      </w:r>
    </w:p>
    <w:p>
      <w:pPr>
        <w:widowControl w:val="0"/>
        <w:spacing w:line="240" w:lineRule="auto"/>
        <w:rPr>
          <w:szCs w:val="22"/>
          <w:lang w:val="el-GR"/>
        </w:rPr>
      </w:pPr>
    </w:p>
    <w:p>
      <w:pPr>
        <w:widowControl w:val="0"/>
        <w:spacing w:line="240" w:lineRule="auto"/>
        <w:rPr>
          <w:szCs w:val="22"/>
          <w:lang w:val="el-GR"/>
        </w:rPr>
      </w:pPr>
      <w:bookmarkStart w:id="2" w:name="_Hlk31116307"/>
      <w:r>
        <w:rPr>
          <w:szCs w:val="22"/>
          <w:lang w:val="el-GR"/>
        </w:rPr>
        <w:t>Ενισχυμένη αντιρετροϊκή θεραπεία (</w:t>
      </w:r>
      <w:r>
        <w:rPr>
          <w:szCs w:val="22"/>
          <w:lang w:val="en-US"/>
        </w:rPr>
        <w:t>ART</w:t>
      </w:r>
      <w:r>
        <w:rPr>
          <w:szCs w:val="22"/>
          <w:lang w:val="el-GR"/>
        </w:rPr>
        <w:t xml:space="preserve">): Οι ασθενείς με </w:t>
      </w:r>
      <w:r>
        <w:rPr>
          <w:szCs w:val="22"/>
        </w:rPr>
        <w:t>HIV</w:t>
      </w:r>
      <w:r>
        <w:rPr>
          <w:szCs w:val="22"/>
          <w:lang w:val="el-GR"/>
        </w:rPr>
        <w:t xml:space="preserve"> που υποβάλλονται σε ενισχυμένες αντιρετροϊκές θεραπείες (</w:t>
      </w:r>
      <w:r>
        <w:rPr>
          <w:szCs w:val="22"/>
        </w:rPr>
        <w:t>ART</w:t>
      </w:r>
      <w:r>
        <w:rPr>
          <w:szCs w:val="22"/>
          <w:lang w:val="el-GR"/>
        </w:rPr>
        <w:t>) διατρέχουν υψηλό κίνδυνο εμφάνισης αγγειακών συμβαμάτων.</w:t>
      </w:r>
    </w:p>
    <w:p>
      <w:pPr>
        <w:widowControl w:val="0"/>
        <w:spacing w:line="240" w:lineRule="auto"/>
        <w:rPr>
          <w:szCs w:val="22"/>
          <w:lang w:val="el-GR"/>
        </w:rPr>
      </w:pPr>
    </w:p>
    <w:p>
      <w:pPr>
        <w:widowControl w:val="0"/>
        <w:spacing w:line="240" w:lineRule="auto"/>
        <w:rPr>
          <w:szCs w:val="22"/>
          <w:lang w:val="cs-CZ"/>
        </w:rPr>
      </w:pPr>
      <w:r>
        <w:rPr>
          <w:szCs w:val="22"/>
          <w:lang w:val="el-GR"/>
        </w:rPr>
        <w:t>Έχει παρατηρηθεί σημαντική μείωση της αναστολής των αιμοπεταλίων</w:t>
      </w:r>
      <w:r>
        <w:rPr>
          <w:szCs w:val="22"/>
          <w:lang w:val="cs-CZ"/>
        </w:rPr>
        <w:t xml:space="preserve"> </w:t>
      </w:r>
      <w:r>
        <w:rPr>
          <w:szCs w:val="22"/>
          <w:lang w:val="el-GR"/>
        </w:rPr>
        <w:t>σ</w:t>
      </w:r>
      <w:r>
        <w:rPr>
          <w:szCs w:val="22"/>
          <w:lang w:val="cs-CZ"/>
        </w:rPr>
        <w:t xml:space="preserve">ε ασθενείς με HIV που </w:t>
      </w:r>
      <w:r>
        <w:rPr>
          <w:szCs w:val="22"/>
          <w:lang w:val="el-GR"/>
        </w:rPr>
        <w:t>υποβλήθηκαν σε</w:t>
      </w:r>
      <w:r>
        <w:rPr>
          <w:szCs w:val="22"/>
          <w:lang w:val="cs-CZ"/>
        </w:rPr>
        <w:t xml:space="preserve"> </w:t>
      </w:r>
      <w:r>
        <w:rPr>
          <w:szCs w:val="22"/>
          <w:lang w:val="en-US"/>
        </w:rPr>
        <w:t>ART</w:t>
      </w:r>
      <w:r>
        <w:rPr>
          <w:szCs w:val="22"/>
          <w:lang w:val="cs-CZ"/>
        </w:rPr>
        <w:t xml:space="preserve"> ενισχυμέν</w:t>
      </w:r>
      <w:r>
        <w:rPr>
          <w:szCs w:val="22"/>
          <w:lang w:val="el-GR"/>
        </w:rPr>
        <w:t>η</w:t>
      </w:r>
      <w:r>
        <w:rPr>
          <w:szCs w:val="22"/>
          <w:lang w:val="cs-CZ"/>
        </w:rPr>
        <w:t xml:space="preserve"> με ριτοναβίρη ή κομπισιστάτη. Παρόλο που η κλινική σημασία αυτών των ευρημάτων είναι αβέβαιη, υπήρξαν αυθόρμητες αναφορές </w:t>
      </w:r>
      <w:r>
        <w:rPr>
          <w:szCs w:val="22"/>
          <w:lang w:val="el-GR"/>
        </w:rPr>
        <w:t xml:space="preserve">ασθενών με λοίμωξη </w:t>
      </w:r>
      <w:r>
        <w:rPr>
          <w:szCs w:val="22"/>
          <w:lang w:val="en-US"/>
        </w:rPr>
        <w:t>HIV</w:t>
      </w:r>
      <w:r>
        <w:rPr>
          <w:szCs w:val="22"/>
          <w:lang w:val="el-GR"/>
        </w:rPr>
        <w:t xml:space="preserve"> που υποβλήθηκαν σε </w:t>
      </w:r>
      <w:r>
        <w:rPr>
          <w:szCs w:val="22"/>
          <w:lang w:val="en-US"/>
        </w:rPr>
        <w:t>ART</w:t>
      </w:r>
      <w:r>
        <w:rPr>
          <w:szCs w:val="22"/>
          <w:lang w:val="el-GR"/>
        </w:rPr>
        <w:t xml:space="preserve"> ενισχυμένη με ριτοναβίρη, οι οποίοι εμφάνισαν </w:t>
      </w:r>
      <w:r>
        <w:rPr>
          <w:szCs w:val="22"/>
          <w:lang w:val="cs-CZ"/>
        </w:rPr>
        <w:t>επεισ</w:t>
      </w:r>
      <w:r>
        <w:rPr>
          <w:szCs w:val="22"/>
          <w:lang w:val="el-GR"/>
        </w:rPr>
        <w:t>ό</w:t>
      </w:r>
      <w:r>
        <w:rPr>
          <w:szCs w:val="22"/>
          <w:lang w:val="cs-CZ"/>
        </w:rPr>
        <w:t>δ</w:t>
      </w:r>
      <w:r>
        <w:rPr>
          <w:szCs w:val="22"/>
          <w:lang w:val="el-GR"/>
        </w:rPr>
        <w:t>ια</w:t>
      </w:r>
      <w:r>
        <w:rPr>
          <w:szCs w:val="22"/>
          <w:lang w:val="cs-CZ"/>
        </w:rPr>
        <w:t xml:space="preserve"> </w:t>
      </w:r>
      <w:r>
        <w:rPr>
          <w:szCs w:val="22"/>
          <w:lang w:val="el-GR"/>
        </w:rPr>
        <w:t>επαναστένωσης</w:t>
      </w:r>
      <w:r>
        <w:rPr>
          <w:szCs w:val="22"/>
          <w:lang w:val="cs-CZ"/>
        </w:rPr>
        <w:t xml:space="preserve"> μετά από </w:t>
      </w:r>
      <w:r>
        <w:rPr>
          <w:szCs w:val="22"/>
          <w:lang w:val="el-GR"/>
        </w:rPr>
        <w:t>τη λύση της απόφραξης</w:t>
      </w:r>
      <w:r>
        <w:rPr>
          <w:szCs w:val="22"/>
          <w:lang w:val="cs-CZ"/>
        </w:rPr>
        <w:t xml:space="preserve"> ή </w:t>
      </w:r>
      <w:r>
        <w:rPr>
          <w:szCs w:val="22"/>
          <w:lang w:val="el-GR"/>
        </w:rPr>
        <w:t xml:space="preserve">υπέστησαν </w:t>
      </w:r>
      <w:r>
        <w:rPr>
          <w:szCs w:val="22"/>
          <w:lang w:val="cs-CZ"/>
        </w:rPr>
        <w:t>θρομβωτικ</w:t>
      </w:r>
      <w:r>
        <w:rPr>
          <w:szCs w:val="22"/>
          <w:lang w:val="el-GR"/>
        </w:rPr>
        <w:t>ά</w:t>
      </w:r>
      <w:r>
        <w:rPr>
          <w:szCs w:val="22"/>
          <w:lang w:val="cs-CZ"/>
        </w:rPr>
        <w:t xml:space="preserve"> επεισ</w:t>
      </w:r>
      <w:r>
        <w:rPr>
          <w:szCs w:val="22"/>
          <w:lang w:val="el-GR"/>
        </w:rPr>
        <w:t>ό</w:t>
      </w:r>
      <w:r>
        <w:rPr>
          <w:szCs w:val="22"/>
          <w:lang w:val="cs-CZ"/>
        </w:rPr>
        <w:t>δ</w:t>
      </w:r>
      <w:r>
        <w:rPr>
          <w:szCs w:val="22"/>
          <w:lang w:val="el-GR"/>
        </w:rPr>
        <w:t>ια</w:t>
      </w:r>
      <w:r>
        <w:rPr>
          <w:szCs w:val="22"/>
          <w:lang w:val="cs-CZ"/>
        </w:rPr>
        <w:t xml:space="preserve"> στο πλαίσιο θεραπευτικού σχήματος </w:t>
      </w:r>
      <w:r>
        <w:rPr>
          <w:szCs w:val="22"/>
          <w:lang w:val="el-GR"/>
        </w:rPr>
        <w:t>φόρτισης</w:t>
      </w:r>
      <w:r>
        <w:rPr>
          <w:szCs w:val="22"/>
          <w:lang w:val="cs-CZ"/>
        </w:rPr>
        <w:t xml:space="preserve"> με κλοπιδογρέλη. Η μέση αναστολή των αιμοπεταλίων μπορεί να μειωθ</w:t>
      </w:r>
      <w:r>
        <w:rPr>
          <w:szCs w:val="22"/>
          <w:lang w:val="el-GR"/>
        </w:rPr>
        <w:t>εί</w:t>
      </w:r>
      <w:r>
        <w:rPr>
          <w:szCs w:val="22"/>
          <w:lang w:val="cs-CZ"/>
        </w:rPr>
        <w:t xml:space="preserve"> με την ταυτόχρονη χρήση </w:t>
      </w:r>
      <w:r>
        <w:rPr>
          <w:szCs w:val="22"/>
          <w:lang w:val="el-GR"/>
        </w:rPr>
        <w:t xml:space="preserve">κλοπιδογρέλης και </w:t>
      </w:r>
      <w:r>
        <w:rPr>
          <w:szCs w:val="22"/>
          <w:lang w:val="cs-CZ"/>
        </w:rPr>
        <w:t xml:space="preserve">ριτοναβίρης. Επομένως, η ταυτόχρονη χρήση κλοπιδογρέλης με ενισχυμένες </w:t>
      </w:r>
      <w:r>
        <w:rPr>
          <w:szCs w:val="22"/>
          <w:lang w:val="en-US"/>
        </w:rPr>
        <w:t>ART</w:t>
      </w:r>
      <w:r>
        <w:rPr>
          <w:szCs w:val="22"/>
          <w:lang w:val="cs-CZ"/>
        </w:rPr>
        <w:t xml:space="preserve"> θεραπείες </w:t>
      </w:r>
      <w:r>
        <w:rPr>
          <w:szCs w:val="22"/>
          <w:lang w:val="el-GR"/>
        </w:rPr>
        <w:t xml:space="preserve">θα </w:t>
      </w:r>
      <w:r>
        <w:rPr>
          <w:szCs w:val="22"/>
          <w:lang w:val="cs-CZ"/>
        </w:rPr>
        <w:t>πρέπει να αποθαρρύνεται.</w:t>
      </w:r>
    </w:p>
    <w:bookmarkEnd w:id="2"/>
    <w:p>
      <w:pPr>
        <w:widowControl w:val="0"/>
        <w:spacing w:line="240" w:lineRule="auto"/>
        <w:rPr>
          <w:szCs w:val="22"/>
          <w:lang w:val="cs-CZ"/>
        </w:rPr>
      </w:pPr>
    </w:p>
    <w:p>
      <w:pPr>
        <w:widowControl w:val="0"/>
        <w:spacing w:line="240" w:lineRule="auto"/>
        <w:rPr>
          <w:szCs w:val="22"/>
          <w:lang w:val="el-GR"/>
        </w:rPr>
      </w:pPr>
      <w:r>
        <w:rPr>
          <w:szCs w:val="22"/>
          <w:lang w:val="el-GR"/>
        </w:rPr>
        <w:t>Άλλα φαρμακευτικά προϊόντα:</w:t>
      </w:r>
    </w:p>
    <w:p>
      <w:pPr>
        <w:widowControl w:val="0"/>
        <w:spacing w:line="240" w:lineRule="auto"/>
        <w:rPr>
          <w:szCs w:val="22"/>
          <w:lang w:val="el-GR"/>
        </w:rPr>
      </w:pPr>
      <w:r>
        <w:rPr>
          <w:szCs w:val="22"/>
          <w:lang w:val="el-GR"/>
        </w:rPr>
        <w:t>Ένας αριθμός κλινικών μελετών έχουν διεξαχθεί με την κλοπιδογρέλη και άλλα συγχορηγούμενα φαρμακευτικά προϊόντα ώστε να ερευνηθεί η δυνατότητα φαρμακοδυναμικών και φαρμακοκινητικών αλληλεπιδράσεων. Δεν παρατηρήθηκαν κλινικά σημαντικές φαρμακοδυναμικές αλληλεπιδράσεις όταν η κλοπιδογρέλη συγχορηγήθηκε με ατενολόλη, νιφεδιπίνη, ή με συνδυασμό ατενολόλης και νιφεδιπίνης. Επιπλέον, η φαρμακοδυναμική δράση της κλοπιδογρέλης δεν επηρεάστηκε σημαντικά με τη συγχορήγηση φαινοβαρβιτάλης ή οιστρογόνων.</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Η φαρμακοκινητική της διγοξίνης ή της θεοφυλλίνης δεν μεταβλήθηκε με τη συγχορήγηση κλοπιδογρέλης. Τα αντιόξινα δεν μετέβαλαν το βαθμό της απορρόφησης της κλοπιδογρέλης.</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Δεδομένα από τη μελέτη CAPRIE υποδεικνύουν ότι η φαινυτοΐνη και η τολβουταμίδη οι οποίες μεταβολίζονται από το </w:t>
      </w:r>
      <w:r>
        <w:rPr>
          <w:szCs w:val="22"/>
          <w:lang w:val="en-US"/>
        </w:rPr>
        <w:t>CYP</w:t>
      </w:r>
      <w:r>
        <w:rPr>
          <w:szCs w:val="22"/>
          <w:lang w:val="el-GR"/>
        </w:rPr>
        <w:t>2</w:t>
      </w:r>
      <w:r>
        <w:rPr>
          <w:szCs w:val="22"/>
          <w:lang w:val="en-US"/>
        </w:rPr>
        <w:t>C</w:t>
      </w:r>
      <w:r>
        <w:rPr>
          <w:szCs w:val="22"/>
          <w:lang w:val="el-GR"/>
        </w:rPr>
        <w:t>9 μπορούν να συγχορηγηθούν με ασφάλεια με την κλοπιδογρέλη.</w:t>
      </w:r>
    </w:p>
    <w:p>
      <w:pPr>
        <w:widowControl w:val="0"/>
        <w:tabs>
          <w:tab w:val="left" w:pos="142"/>
        </w:tabs>
        <w:spacing w:line="240" w:lineRule="auto"/>
        <w:rPr>
          <w:b/>
          <w:lang w:val="el-GR"/>
        </w:rPr>
      </w:pPr>
    </w:p>
    <w:p>
      <w:pPr>
        <w:widowControl w:val="0"/>
        <w:spacing w:line="240" w:lineRule="auto"/>
        <w:rPr>
          <w:lang w:val="el-GR"/>
        </w:rPr>
      </w:pPr>
      <w:r>
        <w:rPr>
          <w:szCs w:val="22"/>
          <w:lang w:val="el-GR"/>
        </w:rPr>
        <w:t xml:space="preserve">Φαρμακευτικά προϊόντα που είναι υποστρώματα του </w:t>
      </w:r>
      <w:r>
        <w:rPr>
          <w:szCs w:val="22"/>
        </w:rPr>
        <w:t>CYP</w:t>
      </w:r>
      <w:r>
        <w:rPr>
          <w:szCs w:val="22"/>
          <w:lang w:val="el-GR"/>
        </w:rPr>
        <w:t>2</w:t>
      </w:r>
      <w:r>
        <w:rPr>
          <w:szCs w:val="22"/>
        </w:rPr>
        <w:t>C</w:t>
      </w:r>
      <w:r>
        <w:rPr>
          <w:szCs w:val="22"/>
          <w:lang w:val="el-GR"/>
        </w:rPr>
        <w:t xml:space="preserve">8: Η κλοπιδογρέλη έχει δειχθεί ότι αυξάνει την έκθεση στη ρεπαγλινίδη σε υγιείς εθελοντές. Μελέτες </w:t>
      </w:r>
      <w:r>
        <w:rPr>
          <w:i/>
          <w:szCs w:val="22"/>
          <w:lang w:val="en-US"/>
        </w:rPr>
        <w:t>i</w:t>
      </w:r>
      <w:r>
        <w:rPr>
          <w:i/>
          <w:szCs w:val="22"/>
        </w:rPr>
        <w:t>n</w:t>
      </w:r>
      <w:r>
        <w:rPr>
          <w:i/>
          <w:szCs w:val="22"/>
          <w:lang w:val="el-GR"/>
        </w:rPr>
        <w:t xml:space="preserve"> </w:t>
      </w:r>
      <w:r>
        <w:rPr>
          <w:i/>
          <w:szCs w:val="22"/>
        </w:rPr>
        <w:t>vitro</w:t>
      </w:r>
      <w:r>
        <w:rPr>
          <w:szCs w:val="22"/>
          <w:lang w:val="el-GR"/>
        </w:rPr>
        <w:t xml:space="preserve"> έχουν δείξει ότι η αύξηση της έκθεσης στη ρεπαγλινίδη είναι λόγω της αναστολής του </w:t>
      </w:r>
      <w:r>
        <w:rPr>
          <w:szCs w:val="22"/>
        </w:rPr>
        <w:t>CYP</w:t>
      </w:r>
      <w:r>
        <w:rPr>
          <w:szCs w:val="22"/>
          <w:lang w:val="el-GR"/>
        </w:rPr>
        <w:t>2</w:t>
      </w:r>
      <w:r>
        <w:rPr>
          <w:szCs w:val="22"/>
        </w:rPr>
        <w:t>C</w:t>
      </w:r>
      <w:r>
        <w:rPr>
          <w:szCs w:val="22"/>
          <w:lang w:val="el-GR"/>
        </w:rPr>
        <w:t xml:space="preserve">8 από το γλυκουρονικό μεταβολίτη της κλοπιδογρέλης. Εξαιτίας του κινδύνου αυξημένων συγκεντρώσεων στο πλάσμα, η ταυτόχρονη χορήγηση κλοπιδογρέλης και φαρμάκων που εκκαθαρίζονται κυρίως μέσω μεταβολισμού από το </w:t>
      </w:r>
      <w:r>
        <w:rPr>
          <w:szCs w:val="22"/>
        </w:rPr>
        <w:t>CYP</w:t>
      </w:r>
      <w:r>
        <w:rPr>
          <w:szCs w:val="22"/>
          <w:lang w:val="el-GR"/>
        </w:rPr>
        <w:t>2</w:t>
      </w:r>
      <w:r>
        <w:rPr>
          <w:szCs w:val="22"/>
        </w:rPr>
        <w:t>C</w:t>
      </w:r>
      <w:r>
        <w:rPr>
          <w:szCs w:val="22"/>
          <w:lang w:val="el-GR"/>
        </w:rPr>
        <w:t>8 (π.χ., ρεπαγλινίδη, πακλιταξέλη) πρέπει να γίνεται με προσοχή (βλ. παράγραφο 4.4).</w:t>
      </w:r>
    </w:p>
    <w:p>
      <w:pPr>
        <w:widowControl w:val="0"/>
        <w:tabs>
          <w:tab w:val="left" w:pos="0"/>
          <w:tab w:val="left" w:pos="142"/>
        </w:tabs>
        <w:spacing w:line="240" w:lineRule="auto"/>
        <w:rPr>
          <w:b/>
          <w:szCs w:val="22"/>
          <w:lang w:val="el-GR"/>
        </w:rPr>
      </w:pPr>
    </w:p>
    <w:p>
      <w:pPr>
        <w:widowControl w:val="0"/>
        <w:tabs>
          <w:tab w:val="left" w:pos="0"/>
        </w:tabs>
        <w:spacing w:line="240" w:lineRule="auto"/>
        <w:rPr>
          <w:szCs w:val="22"/>
          <w:lang w:val="el-GR"/>
        </w:rPr>
      </w:pPr>
      <w:r>
        <w:rPr>
          <w:szCs w:val="22"/>
          <w:lang w:val="el-GR"/>
        </w:rPr>
        <w:t xml:space="preserve">Εκτός από τις πληροφορίες για αλληλεπιδράσεις με συγκεκριμένα φαρμακευτικά προϊόντα που περιγράφονται παραπάνω, δεν έχουν διεξαχθεί μελέτες αλληλεπίδρασης της κλοπιδογρέλης με μερικά φαρμακευτικά προϊόντα που χορηγούνται συχνά σε ασθενείς με αθηροθρομβωτική ασθένεια. Ωστόσο, ασθενείς που συμμετείχαν στις κλινικές δοκιμές με την κλοπιδογρέλη έλαβαν μια ποικιλία συγχορηγούμενων φαρμακευτικών προϊόντων συμπεριλαμβανομένων των διουρητικών, των β-αναστολέων, των ανταγωνιστών του μετατρεπτικού ενζύμου της αγγειοτασίνης (αναστολείς ΜΕΑ), των ανταγωνιστών </w:t>
      </w:r>
      <w:bookmarkStart w:id="3" w:name="OLE_LINK1"/>
      <w:bookmarkStart w:id="4" w:name="OLE_LINK2"/>
      <w:r>
        <w:rPr>
          <w:szCs w:val="22"/>
          <w:lang w:val="el-GR"/>
        </w:rPr>
        <w:t xml:space="preserve">διαύλων </w:t>
      </w:r>
      <w:bookmarkEnd w:id="3"/>
      <w:bookmarkEnd w:id="4"/>
      <w:r>
        <w:rPr>
          <w:szCs w:val="22"/>
          <w:lang w:val="el-GR"/>
        </w:rPr>
        <w:t>ασβεστίου, των παραγόντων μείωσης των επιπέδων χοληστερόλης, των αγγειοδιασταλτικών των στεφανιαίων αγγείων, των αντιδιαβητικών παραγόντων (συμπεριλαμβανομένης της ινσουλίνης), των αντιεπιληπτικών παραγόντων και των ανταγωνιστών των υποδοχέων της γλυκοπρωτεΐνης ΙΙ</w:t>
      </w:r>
      <w:r>
        <w:rPr>
          <w:szCs w:val="22"/>
          <w:lang w:val="en-US"/>
        </w:rPr>
        <w:t>b</w:t>
      </w:r>
      <w:r>
        <w:rPr>
          <w:szCs w:val="22"/>
          <w:lang w:val="el-GR"/>
        </w:rPr>
        <w:t>/</w:t>
      </w:r>
      <w:r>
        <w:rPr>
          <w:szCs w:val="22"/>
          <w:lang w:val="en-US"/>
        </w:rPr>
        <w:t>IIIa</w:t>
      </w:r>
      <w:r>
        <w:rPr>
          <w:szCs w:val="22"/>
          <w:lang w:val="el-GR"/>
        </w:rPr>
        <w:t xml:space="preserve"> χωρίς ευρήματα κλινικά σημαντικών ανεπιθύμητων αλληλεπιδράσεων.</w:t>
      </w:r>
    </w:p>
    <w:p>
      <w:pPr>
        <w:widowControl w:val="0"/>
        <w:tabs>
          <w:tab w:val="left" w:pos="142"/>
        </w:tabs>
        <w:spacing w:line="240" w:lineRule="auto"/>
        <w:rPr>
          <w:bCs/>
          <w:szCs w:val="22"/>
          <w:lang w:val="el-GR"/>
        </w:rPr>
      </w:pPr>
    </w:p>
    <w:p>
      <w:pPr>
        <w:widowControl w:val="0"/>
        <w:tabs>
          <w:tab w:val="left" w:pos="142"/>
        </w:tabs>
        <w:spacing w:line="240" w:lineRule="auto"/>
        <w:rPr>
          <w:bCs/>
          <w:szCs w:val="22"/>
          <w:lang w:val="el-GR"/>
        </w:rPr>
      </w:pPr>
      <w:bookmarkStart w:id="5" w:name="_Hlk31116351"/>
      <w:r>
        <w:rPr>
          <w:bCs/>
          <w:szCs w:val="22"/>
          <w:lang w:val="el-GR"/>
        </w:rPr>
        <w:t>Όπως και με άλλους από του στόματος αναστολείς P2Y12, η συγχορήγηση αγωνιστών οπιοειδών έχει τη δυνατότητα να καθυστερήσει και να μειώσει την απορρόφηση της κλοπιδογρέλης πιθανώς λόγω της βραδείας γαστρικής κένωσης. Η κλινική σημασία δεν είναι γνωστή. Να εξετάζεται η χρήση ενός παρεντερικού αντιαιμοπεταλιακού παράγοντα σε ασθενείς με οξύ στεφανιαίο σύνδρομο που απαιτούν συγχορήγηση μορφίνης ή άλλων αγωνιστών οπιοειδών.</w:t>
      </w:r>
    </w:p>
    <w:bookmarkEnd w:id="5"/>
    <w:p>
      <w:pPr>
        <w:widowControl w:val="0"/>
        <w:tabs>
          <w:tab w:val="left" w:pos="142"/>
        </w:tabs>
        <w:spacing w:line="240" w:lineRule="auto"/>
        <w:rPr>
          <w:bCs/>
          <w:szCs w:val="22"/>
          <w:lang w:val="el-GR"/>
        </w:rPr>
      </w:pPr>
    </w:p>
    <w:p>
      <w:pPr>
        <w:widowControl w:val="0"/>
        <w:tabs>
          <w:tab w:val="left" w:pos="142"/>
        </w:tabs>
        <w:spacing w:line="240" w:lineRule="auto"/>
        <w:rPr>
          <w:bCs/>
          <w:szCs w:val="22"/>
          <w:lang w:val="el-GR"/>
        </w:rPr>
      </w:pPr>
      <w:r>
        <w:rPr>
          <w:bCs/>
          <w:i/>
          <w:szCs w:val="22"/>
          <w:lang w:val="el-GR"/>
        </w:rPr>
        <w:t>Ροσουβαστατίνη</w:t>
      </w:r>
      <w:r>
        <w:rPr>
          <w:bCs/>
          <w:szCs w:val="22"/>
          <w:lang w:val="el-GR"/>
        </w:rPr>
        <w:t>: Η κλοπιδογρέλη έχει δειχθεί ότι αυξάνει την έκθεση στη ροσουβαστατίνη σε ασθενείς κατά 2 φορές (AUC) και 1,3 φορές (C</w:t>
      </w:r>
      <w:r>
        <w:rPr>
          <w:bCs/>
          <w:szCs w:val="22"/>
          <w:vertAlign w:val="subscript"/>
          <w:lang w:val="el-GR"/>
        </w:rPr>
        <w:t>max</w:t>
      </w:r>
      <w:r>
        <w:rPr>
          <w:bCs/>
          <w:szCs w:val="22"/>
          <w:lang w:val="el-GR"/>
        </w:rPr>
        <w:t>) μετά τη χορήγηση δόσης κλοπιδογρέλης 300</w:t>
      </w:r>
      <w:r>
        <w:rPr>
          <w:bCs/>
          <w:szCs w:val="22"/>
          <w:lang w:val="sl-SI"/>
        </w:rPr>
        <w:t> </w:t>
      </w:r>
      <w:r>
        <w:rPr>
          <w:bCs/>
          <w:szCs w:val="22"/>
          <w:lang w:val="el-GR"/>
        </w:rPr>
        <w:t>mg και κατά 1,4 φορές (AUC) χωρίς επίδραση στη C</w:t>
      </w:r>
      <w:r>
        <w:rPr>
          <w:bCs/>
          <w:szCs w:val="22"/>
          <w:vertAlign w:val="subscript"/>
          <w:lang w:val="el-GR"/>
        </w:rPr>
        <w:t>max</w:t>
      </w:r>
      <w:r>
        <w:rPr>
          <w:bCs/>
          <w:szCs w:val="22"/>
          <w:lang w:val="el-GR"/>
        </w:rPr>
        <w:t xml:space="preserve"> μετά από επαναλαμβανόμενη χορήγηση μιας δόσης κλοπιδογρέλης 75 mg.</w:t>
      </w:r>
    </w:p>
    <w:p>
      <w:pPr>
        <w:widowControl w:val="0"/>
        <w:tabs>
          <w:tab w:val="left" w:pos="142"/>
        </w:tabs>
        <w:spacing w:line="240" w:lineRule="auto"/>
        <w:rPr>
          <w:bCs/>
          <w:szCs w:val="22"/>
          <w:lang w:val="el-GR"/>
        </w:rPr>
      </w:pPr>
    </w:p>
    <w:p>
      <w:pPr>
        <w:widowControl w:val="0"/>
        <w:tabs>
          <w:tab w:val="clear" w:pos="567"/>
        </w:tabs>
        <w:spacing w:line="240" w:lineRule="auto"/>
        <w:ind w:left="567" w:hanging="567"/>
        <w:rPr>
          <w:szCs w:val="22"/>
          <w:u w:val="single"/>
          <w:lang w:val="el-GR"/>
        </w:rPr>
      </w:pPr>
      <w:r>
        <w:rPr>
          <w:b/>
          <w:szCs w:val="22"/>
          <w:lang w:val="el-GR"/>
        </w:rPr>
        <w:t>4.6</w:t>
      </w:r>
      <w:r>
        <w:rPr>
          <w:b/>
          <w:szCs w:val="22"/>
          <w:lang w:val="el-GR"/>
        </w:rPr>
        <w:tab/>
        <w:t>Γονιμότητα, κύηση και γαλουχία</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i/>
          <w:lang w:val="el-GR"/>
        </w:rPr>
      </w:pPr>
      <w:r>
        <w:rPr>
          <w:i/>
          <w:lang w:val="el-GR"/>
        </w:rPr>
        <w:t>Κύηση</w:t>
      </w:r>
    </w:p>
    <w:p>
      <w:pPr>
        <w:widowControl w:val="0"/>
        <w:autoSpaceDE w:val="0"/>
        <w:autoSpaceDN w:val="0"/>
        <w:adjustRightInd w:val="0"/>
        <w:spacing w:line="240" w:lineRule="auto"/>
        <w:rPr>
          <w:color w:val="000000"/>
          <w:szCs w:val="22"/>
          <w:lang w:val="el-GR"/>
        </w:rPr>
      </w:pPr>
      <w:bookmarkStart w:id="6" w:name="_Hlk481132989"/>
      <w:r>
        <w:rPr>
          <w:color w:val="000000"/>
          <w:szCs w:val="22"/>
          <w:lang w:val="el-GR"/>
        </w:rPr>
        <w:t>Επειδή δεν υπάρχουν κλινικά δεδομένα σχετικά με την έκθεση στην κλοπιδογρέλη κατά την εγκυμοσύνη, σαν προληπτικό μέτρο, είναι προτιμητέο να μη χρησιμοποιείται η κλοπιδογρέλη κατά τη διάρκεια της εγκυμοσύνης. Μελέτες σε ζώα δεν κατέδειξαν άμεσες ή έμμεσες επικίνδυνες επιπτώσεις στην εγκυμοσύνη, στην ανάπτυξη του εμβρύου, στον τοκετό ή στη μεταγεννητική ανάπτυξη (βλ. παράγραφο 5.3).</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i/>
          <w:lang w:val="el-GR"/>
        </w:rPr>
      </w:pPr>
      <w:r>
        <w:rPr>
          <w:i/>
          <w:lang w:val="el-GR"/>
        </w:rPr>
        <w:t>Θηλασμός</w:t>
      </w:r>
    </w:p>
    <w:p>
      <w:pPr>
        <w:widowControl w:val="0"/>
        <w:autoSpaceDE w:val="0"/>
        <w:autoSpaceDN w:val="0"/>
        <w:adjustRightInd w:val="0"/>
        <w:spacing w:line="240" w:lineRule="auto"/>
        <w:rPr>
          <w:szCs w:val="22"/>
          <w:lang w:val="el-GR"/>
        </w:rPr>
      </w:pPr>
      <w:r>
        <w:rPr>
          <w:color w:val="000000"/>
          <w:szCs w:val="22"/>
          <w:lang w:val="el-GR"/>
        </w:rPr>
        <w:t xml:space="preserve">Δεν είναι γνωστό εάν η κλοπιδογρέλη απεκκρίνεται στο ανθρώπινο μητρικό γάλα. Μελέτες σε ζώα κατέδειξαν απέκκριση της κλοπιδογρέλης στο μητρικό γάλα. Σαν προληπτικό μέτρο, ο θηλασμός δεν </w:t>
      </w:r>
      <w:r>
        <w:rPr>
          <w:color w:val="000000"/>
          <w:szCs w:val="22"/>
          <w:lang w:val="el-GR"/>
        </w:rPr>
        <w:lastRenderedPageBreak/>
        <w:t xml:space="preserve">θα πρέπει να συνεχίζεται κατά τη διάρκεια της θεραπείας </w:t>
      </w:r>
      <w:bookmarkEnd w:id="6"/>
      <w:r>
        <w:rPr>
          <w:color w:val="000000"/>
          <w:szCs w:val="22"/>
          <w:lang w:val="el-GR"/>
        </w:rPr>
        <w:t xml:space="preserve">με </w:t>
      </w:r>
      <w:r>
        <w:rPr>
          <w:szCs w:val="22"/>
          <w:lang w:val="el-GR"/>
        </w:rPr>
        <w:t>Zyllt.</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i/>
          <w:lang w:val="el-GR"/>
        </w:rPr>
      </w:pPr>
      <w:r>
        <w:rPr>
          <w:i/>
          <w:lang w:val="el-GR"/>
        </w:rPr>
        <w:t>Γονιμότητα</w:t>
      </w:r>
    </w:p>
    <w:p>
      <w:pPr>
        <w:widowControl w:val="0"/>
        <w:tabs>
          <w:tab w:val="left" w:pos="142"/>
        </w:tabs>
        <w:spacing w:line="240" w:lineRule="auto"/>
        <w:rPr>
          <w:szCs w:val="22"/>
          <w:lang w:val="el-GR"/>
        </w:rPr>
      </w:pPr>
      <w:r>
        <w:rPr>
          <w:szCs w:val="22"/>
          <w:lang w:val="el-GR"/>
        </w:rPr>
        <w:t>Η κλοπιδογρέλη δεν έχει καταδειχθεί ότι επηρεάζει τη γονιμότητα σε μελέτες με ζώα.</w:t>
      </w:r>
    </w:p>
    <w:p>
      <w:pPr>
        <w:widowControl w:val="0"/>
        <w:tabs>
          <w:tab w:val="left" w:pos="142"/>
        </w:tabs>
        <w:spacing w:line="240" w:lineRule="auto"/>
        <w:rPr>
          <w:b/>
          <w:szCs w:val="22"/>
          <w:lang w:val="el-GR"/>
        </w:rPr>
      </w:pPr>
    </w:p>
    <w:p>
      <w:pPr>
        <w:widowControl w:val="0"/>
        <w:tabs>
          <w:tab w:val="clear" w:pos="567"/>
        </w:tabs>
        <w:spacing w:line="240" w:lineRule="auto"/>
        <w:ind w:left="567" w:hanging="567"/>
        <w:rPr>
          <w:noProof/>
          <w:szCs w:val="22"/>
          <w:lang w:val="el-GR"/>
        </w:rPr>
      </w:pPr>
      <w:r>
        <w:rPr>
          <w:b/>
          <w:noProof/>
          <w:szCs w:val="22"/>
          <w:lang w:val="el-GR"/>
        </w:rPr>
        <w:t>4.7</w:t>
      </w:r>
      <w:r>
        <w:rPr>
          <w:b/>
          <w:noProof/>
          <w:szCs w:val="22"/>
          <w:lang w:val="el-GR"/>
        </w:rPr>
        <w:tab/>
        <w:t>Επιδράσεις στην ικανότητα οδήγησης και χειρισμού μηχανημάτων</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sl-SI"/>
        </w:rPr>
        <w:t xml:space="preserve">To </w:t>
      </w:r>
      <w:r>
        <w:rPr>
          <w:szCs w:val="22"/>
          <w:lang w:val="el-GR"/>
        </w:rPr>
        <w:t>Zyllt</w:t>
      </w:r>
      <w:r>
        <w:rPr>
          <w:color w:val="000000"/>
          <w:szCs w:val="22"/>
          <w:lang w:val="el-GR"/>
        </w:rPr>
        <w:t xml:space="preserve"> δεν έχει καμία ή έχει ασήμαντη επίδραση στην ικανότητα οδήγησης και χειρισμού μηχανημάτων.</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4.8</w:t>
      </w:r>
      <w:r>
        <w:rPr>
          <w:b/>
          <w:noProof/>
          <w:szCs w:val="22"/>
          <w:lang w:val="el-GR"/>
        </w:rPr>
        <w:tab/>
        <w:t>Ανεπιθύμητες ενέργειες</w:t>
      </w:r>
    </w:p>
    <w:p>
      <w:pPr>
        <w:widowControl w:val="0"/>
        <w:spacing w:line="240" w:lineRule="auto"/>
        <w:rPr>
          <w:noProof/>
          <w:szCs w:val="22"/>
          <w:lang w:val="el-GR"/>
        </w:rPr>
      </w:pPr>
    </w:p>
    <w:p>
      <w:pPr>
        <w:widowControl w:val="0"/>
        <w:tabs>
          <w:tab w:val="left" w:pos="142"/>
        </w:tabs>
        <w:spacing w:line="240" w:lineRule="auto"/>
        <w:rPr>
          <w:i/>
          <w:szCs w:val="22"/>
          <w:lang w:val="el-GR"/>
        </w:rPr>
      </w:pPr>
      <w:r>
        <w:rPr>
          <w:i/>
          <w:szCs w:val="22"/>
          <w:lang w:val="el-GR"/>
        </w:rPr>
        <w:t>Περίληψη του προφίλ ασφάλειας</w:t>
      </w:r>
    </w:p>
    <w:p>
      <w:pPr>
        <w:widowControl w:val="0"/>
        <w:tabs>
          <w:tab w:val="left" w:pos="142"/>
        </w:tabs>
        <w:spacing w:line="240" w:lineRule="auto"/>
        <w:rPr>
          <w:szCs w:val="22"/>
          <w:lang w:val="el-GR"/>
        </w:rPr>
      </w:pPr>
      <w:r>
        <w:rPr>
          <w:szCs w:val="22"/>
          <w:lang w:val="el-GR"/>
        </w:rPr>
        <w:t>Η ασφάλεια της κλοπιδογρέλης αξιολογήθηκε σε περισσότερους από 44.000 ασθενείς που έχουν συμμετάσχει σε κλινικές μελέτες, συμπεριλαμβανομένων περισσότερων από 12.000 ασθενών</w:t>
      </w:r>
      <w:r>
        <w:rPr>
          <w:b/>
          <w:szCs w:val="22"/>
          <w:lang w:val="el-GR"/>
        </w:rPr>
        <w:t xml:space="preserve"> </w:t>
      </w:r>
      <w:r>
        <w:rPr>
          <w:szCs w:val="22"/>
          <w:lang w:val="el-GR"/>
        </w:rPr>
        <w:t xml:space="preserve">που έλαβαν θεραπεία για 1 χρόνο ή περισσότερο. Συνολικά, η κλοπιδογρέλη 75 mg ημερησίως ήταν συγκρίσιμη με το ΑΣΟ 325 mg ημερησίως στη μελέτη CAPRIE ανεξάρτητα από την ηλικία, το φύλο και τη φυλή. Οι κλινικά σχετιζόμενες με το φάρμακο ανεπιθύμητες ενέργειες που παρατηρήθηκαν στις μελέτες </w:t>
      </w:r>
      <w:r>
        <w:rPr>
          <w:szCs w:val="22"/>
          <w:lang w:val="en-US"/>
        </w:rPr>
        <w:t>CAPRIE</w:t>
      </w:r>
      <w:r>
        <w:rPr>
          <w:szCs w:val="22"/>
          <w:lang w:val="el-GR"/>
        </w:rPr>
        <w:t xml:space="preserve">, </w:t>
      </w:r>
      <w:r>
        <w:rPr>
          <w:szCs w:val="22"/>
          <w:lang w:val="en-US"/>
        </w:rPr>
        <w:t>CURE</w:t>
      </w:r>
      <w:r>
        <w:rPr>
          <w:szCs w:val="22"/>
          <w:lang w:val="el-GR"/>
        </w:rPr>
        <w:t xml:space="preserve">, </w:t>
      </w:r>
      <w:r>
        <w:rPr>
          <w:szCs w:val="22"/>
          <w:lang w:val="en-US"/>
        </w:rPr>
        <w:t>CLARITY</w:t>
      </w:r>
      <w:r>
        <w:rPr>
          <w:szCs w:val="22"/>
          <w:lang w:val="el-GR"/>
        </w:rPr>
        <w:t xml:space="preserve">, </w:t>
      </w:r>
      <w:r>
        <w:rPr>
          <w:szCs w:val="22"/>
          <w:lang w:val="en-US"/>
        </w:rPr>
        <w:t>COMMIT</w:t>
      </w:r>
      <w:r>
        <w:rPr>
          <w:szCs w:val="22"/>
          <w:lang w:val="el-GR"/>
        </w:rPr>
        <w:t xml:space="preserve"> και </w:t>
      </w:r>
      <w:r>
        <w:rPr>
          <w:szCs w:val="22"/>
          <w:lang w:val="en-US"/>
        </w:rPr>
        <w:t>ACTIVE</w:t>
      </w:r>
      <w:r>
        <w:rPr>
          <w:szCs w:val="22"/>
          <w:lang w:val="el-GR"/>
        </w:rPr>
        <w:t>-</w:t>
      </w:r>
      <w:r>
        <w:rPr>
          <w:szCs w:val="22"/>
          <w:lang w:val="en-US"/>
        </w:rPr>
        <w:t>A</w:t>
      </w:r>
      <w:r>
        <w:rPr>
          <w:szCs w:val="22"/>
          <w:lang w:val="el-GR"/>
        </w:rPr>
        <w:t xml:space="preserve"> περιγράφονται παρακάτω. Επιπλέον της εμπειρίας από τις κλινικές μελέτες, ανεπιθύμητες ενέργειες έχουν επίσης αναφερθεί αυθορμήτως.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Η αιμορραγία είναι η πιο συχνή αντίδραση που αναφέρθηκε τόσο σε κλινικές μελέτες όσο και με βάση την εμπειρία μετά την κυκλοφορία του προϊόντος στην αγορά όπου αναφέρθηκε κυρίως κατά τη διάρκεια του πρώτου μήνα της θεραπείας.</w:t>
      </w:r>
    </w:p>
    <w:p>
      <w:pPr>
        <w:widowControl w:val="0"/>
        <w:autoSpaceDE w:val="0"/>
        <w:autoSpaceDN w:val="0"/>
        <w:adjustRightInd w:val="0"/>
        <w:spacing w:line="240" w:lineRule="auto"/>
        <w:rPr>
          <w:color w:val="000000"/>
          <w:szCs w:val="22"/>
          <w:lang w:val="el-GR"/>
        </w:rPr>
      </w:pPr>
    </w:p>
    <w:p>
      <w:pPr>
        <w:widowControl w:val="0"/>
        <w:tabs>
          <w:tab w:val="left" w:pos="0"/>
          <w:tab w:val="left" w:pos="142"/>
        </w:tabs>
        <w:spacing w:line="240" w:lineRule="auto"/>
        <w:rPr>
          <w:szCs w:val="22"/>
          <w:lang w:val="el-GR"/>
        </w:rPr>
      </w:pPr>
      <w:r>
        <w:rPr>
          <w:szCs w:val="22"/>
          <w:lang w:val="el-GR"/>
        </w:rPr>
        <w:t>Σε ασθενείς της μελέτης CAPRIE που έλαβαν θεραπεία είτε με κλοπιδογρέλη είτε με ΑΣΟ, η συνολική συχνότητα εμφάνισης κάθε είδους αιμορραγίας ήταν 9,3%. Η συχνότητα εμφάνισης σοβαρών περιστατικών ήταν παρόμοια για την κλοπιδογρέλη και το ΑΣΟ.</w:t>
      </w:r>
    </w:p>
    <w:p>
      <w:pPr>
        <w:widowControl w:val="0"/>
        <w:tabs>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Στη μελέτη CURE, δεν παρουσιάστηκαν επιπλέον μείζονες αιμορραγίες με τον συνδυασμό κλοπιδογρέλης με ΑΣΟ σε διάστημα 7 ημερών μετά την επέμβαση αορτοστεφανιαίας παράκαμψης, σε ασθενείς που σταμάτησαν τη θεραπεία περισσότερο από 5 ημέρες πριν τη χειρουργική επέμβαση. Σε ασθενείς που συνέχισαν την αγωγή εντός 5 ημερών από την επέμβαση αορτοστεφανιαίας παράκαμψης, η συχνότητα των επεισοδίων ήταν 9,6% για την κλοπιδογρέλη με ΑΣΟ και 6,3% για το εικονικό φάρμακο με ΑΣΟ.</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Στη μελέτη </w:t>
      </w:r>
      <w:r>
        <w:rPr>
          <w:szCs w:val="22"/>
          <w:lang w:val="fr-FR"/>
        </w:rPr>
        <w:t>CLARITY</w:t>
      </w:r>
      <w:r>
        <w:rPr>
          <w:szCs w:val="22"/>
          <w:lang w:val="el-GR"/>
        </w:rPr>
        <w:t>, υπήρξε συνολική αύξηση των αιμορραγιών στην ομάδα κλοπιδογρέλης με ΑΣΟ έναντι της ομάδας εικονικού φαρμάκου με ΑΣΟ. Η συχνότητα εμφάνισης μείζονος αιμορραγίας ήταν παρόμοια μεταξύ των δύο ομάδων. Τα αποτελέσματα αυτά ισχύουν και για τις υποομάδες ασθενών όπως ορίζονται από χαρακτηριστικά αναφοράς και από τον τύπο της θεραπείας με θρομβολυτικά ή ηπαρίνη.</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sl-SI"/>
        </w:rPr>
      </w:pPr>
      <w:r>
        <w:rPr>
          <w:szCs w:val="22"/>
          <w:lang w:val="el-GR"/>
        </w:rPr>
        <w:t xml:space="preserve">Στη μελέτη </w:t>
      </w:r>
      <w:r>
        <w:rPr>
          <w:szCs w:val="22"/>
          <w:lang w:val="en-US"/>
        </w:rPr>
        <w:t>COMMIT</w:t>
      </w:r>
      <w:r>
        <w:rPr>
          <w:szCs w:val="22"/>
          <w:lang w:val="el-GR"/>
        </w:rPr>
        <w:t>, το συνολικό ποσοστό μη εγκεφαλικής μείζονος αιμορραγίας ή εγκεφαλικής αιμορραγίας ήταν χαμηλό και παρόμοιο εντός των δύο ομάδων.</w:t>
      </w:r>
    </w:p>
    <w:p>
      <w:pPr>
        <w:widowControl w:val="0"/>
        <w:tabs>
          <w:tab w:val="left" w:pos="142"/>
        </w:tabs>
        <w:spacing w:line="240" w:lineRule="auto"/>
        <w:rPr>
          <w:szCs w:val="22"/>
          <w:lang w:val="sl-SI"/>
        </w:rPr>
      </w:pPr>
    </w:p>
    <w:p>
      <w:pPr>
        <w:widowControl w:val="0"/>
        <w:tabs>
          <w:tab w:val="left" w:pos="142"/>
        </w:tabs>
        <w:spacing w:line="240" w:lineRule="auto"/>
        <w:rPr>
          <w:szCs w:val="22"/>
          <w:lang w:val="el-GR"/>
        </w:rPr>
      </w:pPr>
      <w:r>
        <w:rPr>
          <w:szCs w:val="22"/>
          <w:lang w:val="el-GR"/>
        </w:rPr>
        <w:t xml:space="preserve">Στη μελέτη </w:t>
      </w:r>
      <w:r>
        <w:rPr>
          <w:szCs w:val="22"/>
          <w:lang w:val="sl-SI"/>
        </w:rPr>
        <w:t>ACTIVE</w:t>
      </w:r>
      <w:r>
        <w:rPr>
          <w:szCs w:val="22"/>
          <w:lang w:val="el-GR"/>
        </w:rPr>
        <w:t>-Α, το ποσοστό της μείζονος αιμορραγίας ήταν μεγαλύτερο στην ομάδα της κλοπιδογρέλης + ΑΣΟ έναντι της ομάδας εικονικού φαρμάκου (6,7% έναντι 4,3%). Η μείζων αιμορραγία ήταν κυρίως εξωκρανιακής προέλευσης και στις δύο ομάδες (5,3% στην ομάδα κλοπιδογρέλης + ΑΣΟ, 3,5% στην ομάδα εικονικού φαρμάκου + ΑΣΟ), κυρίως από το γαστρεντερικό σωλήνα (3,5% έναντι 1,8%). Υπήρξε μια αύξηση της ενδοκρανιακής αιμορραγίας στην ομάδα αγωγής με κλοπιδογρέλη + ΑΣΟ συγκρινόμενη με την ομάδα εικονικού φαρμάκου + ΑΣΟ (1,4% έναντι 0,8% αντίστοιχα). Δεν υπήρξε στατιστικά σημαντική διαφορά στα ποσοστά των θανατηφόρων αιμορραγιών (1,1% στην ομάδα κλοπιδογρέλης + ΑΣΟ και 0,7% στην ομάδα εικονικού φαρμάκου + ΑΣΟ) και του αιμορραγικού αγγειακού εγκεφαλικού επεισοδίου (0,8% και 0,6%, αντίστοιχα) μεταξύ των ομάδων.</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lang w:val="el-GR"/>
        </w:rPr>
        <w:t xml:space="preserve">Στην μελέτη </w:t>
      </w:r>
      <w:r>
        <w:rPr>
          <w:lang w:val="en-US"/>
        </w:rPr>
        <w:t>TARDIS</w:t>
      </w:r>
      <w:r>
        <w:rPr>
          <w:lang w:val="el-GR"/>
        </w:rPr>
        <w:t xml:space="preserve">, οι ασθενείς με πρόσφατο ισχαιμικό εγκεφαλικό επεισόδιο που έλαβαν εντατική </w:t>
      </w:r>
      <w:r>
        <w:rPr>
          <w:lang w:val="el-GR"/>
        </w:rPr>
        <w:lastRenderedPageBreak/>
        <w:t xml:space="preserve">αντιαιμοπεταλιακή θεραπεία με τρία φαρμακευτικά προϊόντα (ΑΣΟ + κλοπιδογρέλη + διπυριδαμόλη) εμφάνισαν περισσότερη αιμορραγία και αιμορραγία μεγαλύτερης σοβαρότητας σε σύγκριση είτε με μονοθεραπεία με κλοπιδογρέλη είτε με συνδυασμό ΑΣΟ και διπυριδαμόλης (προσαρμοσμένο κοινό OR 2,54, 95% CI 2,05-3,16, </w:t>
      </w:r>
      <w:r>
        <w:rPr>
          <w:lang w:val="en-US"/>
        </w:rPr>
        <w:t>p</w:t>
      </w:r>
      <w:r>
        <w:rPr>
          <w:lang w:val="el-GR"/>
        </w:rPr>
        <w:t>&lt;0,0001).</w:t>
      </w:r>
    </w:p>
    <w:p>
      <w:pPr>
        <w:widowControl w:val="0"/>
        <w:autoSpaceDE w:val="0"/>
        <w:autoSpaceDN w:val="0"/>
        <w:adjustRightInd w:val="0"/>
        <w:spacing w:line="240" w:lineRule="auto"/>
        <w:rPr>
          <w:color w:val="000000"/>
          <w:szCs w:val="22"/>
          <w:lang w:val="el-GR"/>
        </w:rPr>
      </w:pPr>
    </w:p>
    <w:p>
      <w:pPr>
        <w:widowControl w:val="0"/>
        <w:tabs>
          <w:tab w:val="left" w:pos="142"/>
        </w:tabs>
        <w:spacing w:line="240" w:lineRule="auto"/>
        <w:rPr>
          <w:i/>
          <w:szCs w:val="22"/>
          <w:lang w:val="el-GR"/>
        </w:rPr>
      </w:pPr>
      <w:r>
        <w:rPr>
          <w:i/>
          <w:szCs w:val="22"/>
          <w:lang w:val="el-GR"/>
        </w:rPr>
        <w:t>Κατάλογος των ανεπιθύμητων ενεργειών σε μορφή πίνακα</w:t>
      </w:r>
    </w:p>
    <w:p>
      <w:pPr>
        <w:widowControl w:val="0"/>
        <w:autoSpaceDE w:val="0"/>
        <w:autoSpaceDN w:val="0"/>
        <w:adjustRightInd w:val="0"/>
        <w:spacing w:line="240" w:lineRule="auto"/>
        <w:rPr>
          <w:szCs w:val="22"/>
          <w:lang w:val="el-GR"/>
        </w:rPr>
      </w:pPr>
      <w:r>
        <w:rPr>
          <w:color w:val="000000"/>
          <w:szCs w:val="22"/>
          <w:lang w:val="el-GR"/>
        </w:rPr>
        <w:t xml:space="preserve">Aνεπιθύμητες ενέργειες που είτε εμφανίστηκαν κατά τη διάρκεια των κλινικών μελετών είτε αναφέρθηκαν αυθορμήτως παρουσιάζονται στον πίνακα που ακολουθεί. Η συχνότητά τους ορίζεται με βάση τις ακόλουθες συμβάσεις: </w:t>
      </w:r>
      <w:r>
        <w:rPr>
          <w:szCs w:val="22"/>
          <w:lang w:val="el-GR"/>
        </w:rPr>
        <w:t>συχνές (≥1/100 έως &lt;1/10), όχι συχνές (≥1/1.000 έως &lt;1/100), σπάνιες (≥1/10.000 έως &lt;1/1.000),·πολύ σπάνιες (&lt;1/10.000), μη γνωστές (δεν μπορούν να εκτιμηθούν με βάση τα διαθέσιμα δεδομένα).</w:t>
      </w:r>
    </w:p>
    <w:p>
      <w:pPr>
        <w:widowControl w:val="0"/>
        <w:autoSpaceDE w:val="0"/>
        <w:autoSpaceDN w:val="0"/>
        <w:adjustRightInd w:val="0"/>
        <w:spacing w:line="240" w:lineRule="auto"/>
        <w:rPr>
          <w:szCs w:val="22"/>
          <w:lang w:val="sl-SI"/>
        </w:rPr>
      </w:pPr>
      <w:r>
        <w:rPr>
          <w:szCs w:val="22"/>
          <w:lang w:val="el-GR"/>
        </w:rPr>
        <w:t>Εντός κάθε κατηγορίας συχνότητας εμφάνισης, οι ανεπιθύμητες ενέργειες παρατίθενται κατά σειρά φθίνουσας σοβαρότητας.</w:t>
      </w:r>
    </w:p>
    <w:p>
      <w:pPr>
        <w:widowControl w:val="0"/>
        <w:autoSpaceDE w:val="0"/>
        <w:autoSpaceDN w:val="0"/>
        <w:adjustRightInd w:val="0"/>
        <w:spacing w:line="240" w:lineRule="auto"/>
        <w:rPr>
          <w:noProof/>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1495"/>
        <w:gridCol w:w="2031"/>
        <w:gridCol w:w="1798"/>
        <w:gridCol w:w="2095"/>
      </w:tblGrid>
      <w:tr>
        <w:tc>
          <w:tcPr>
            <w:tcW w:w="0" w:type="auto"/>
          </w:tcPr>
          <w:p>
            <w:pPr>
              <w:widowControl w:val="0"/>
              <w:autoSpaceDE w:val="0"/>
              <w:autoSpaceDN w:val="0"/>
              <w:adjustRightInd w:val="0"/>
              <w:spacing w:line="240" w:lineRule="auto"/>
              <w:rPr>
                <w:b/>
                <w:bCs/>
                <w:color w:val="000000"/>
                <w:szCs w:val="22"/>
                <w:lang w:val="el-GR"/>
              </w:rPr>
            </w:pPr>
            <w:r>
              <w:rPr>
                <w:b/>
                <w:bCs/>
                <w:color w:val="000000"/>
                <w:szCs w:val="22"/>
                <w:lang w:val="el-GR"/>
              </w:rPr>
              <w:t xml:space="preserve">Κατηγορία </w:t>
            </w:r>
            <w:r>
              <w:rPr>
                <w:b/>
                <w:szCs w:val="22"/>
                <w:lang w:val="el-GR"/>
              </w:rPr>
              <w:t>Οργανικό Σύστημα</w:t>
            </w:r>
          </w:p>
        </w:tc>
        <w:tc>
          <w:tcPr>
            <w:tcW w:w="0" w:type="auto"/>
          </w:tcPr>
          <w:p>
            <w:pPr>
              <w:widowControl w:val="0"/>
              <w:autoSpaceDE w:val="0"/>
              <w:autoSpaceDN w:val="0"/>
              <w:adjustRightInd w:val="0"/>
              <w:spacing w:line="240" w:lineRule="auto"/>
              <w:rPr>
                <w:color w:val="000000"/>
                <w:szCs w:val="22"/>
                <w:lang w:val="el-GR"/>
              </w:rPr>
            </w:pPr>
            <w:r>
              <w:rPr>
                <w:b/>
                <w:bCs/>
                <w:color w:val="000000"/>
                <w:szCs w:val="22"/>
                <w:lang w:val="el-GR"/>
              </w:rPr>
              <w:t>Συχνές</w:t>
            </w:r>
          </w:p>
        </w:tc>
        <w:tc>
          <w:tcPr>
            <w:tcW w:w="0" w:type="auto"/>
          </w:tcPr>
          <w:p>
            <w:pPr>
              <w:widowControl w:val="0"/>
              <w:autoSpaceDE w:val="0"/>
              <w:autoSpaceDN w:val="0"/>
              <w:adjustRightInd w:val="0"/>
              <w:spacing w:line="240" w:lineRule="auto"/>
              <w:rPr>
                <w:color w:val="000000"/>
                <w:szCs w:val="22"/>
                <w:lang w:val="el-GR"/>
              </w:rPr>
            </w:pPr>
            <w:r>
              <w:rPr>
                <w:b/>
                <w:bCs/>
                <w:color w:val="000000"/>
                <w:szCs w:val="22"/>
                <w:lang w:val="el-GR"/>
              </w:rPr>
              <w:t>Όχι συχνές</w:t>
            </w:r>
          </w:p>
        </w:tc>
        <w:tc>
          <w:tcPr>
            <w:tcW w:w="0" w:type="auto"/>
          </w:tcPr>
          <w:p>
            <w:pPr>
              <w:widowControl w:val="0"/>
              <w:autoSpaceDE w:val="0"/>
              <w:autoSpaceDN w:val="0"/>
              <w:adjustRightInd w:val="0"/>
              <w:spacing w:line="240" w:lineRule="auto"/>
              <w:rPr>
                <w:color w:val="000000"/>
                <w:szCs w:val="22"/>
                <w:lang w:val="el-GR"/>
              </w:rPr>
            </w:pPr>
            <w:r>
              <w:rPr>
                <w:b/>
                <w:bCs/>
                <w:color w:val="000000"/>
                <w:szCs w:val="22"/>
                <w:lang w:val="el-GR"/>
              </w:rPr>
              <w:t>Σπάνιες</w:t>
            </w:r>
          </w:p>
        </w:tc>
        <w:tc>
          <w:tcPr>
            <w:tcW w:w="0" w:type="auto"/>
          </w:tcPr>
          <w:p>
            <w:pPr>
              <w:widowControl w:val="0"/>
              <w:autoSpaceDE w:val="0"/>
              <w:autoSpaceDN w:val="0"/>
              <w:adjustRightInd w:val="0"/>
              <w:spacing w:line="240" w:lineRule="auto"/>
              <w:rPr>
                <w:color w:val="000000"/>
                <w:szCs w:val="22"/>
                <w:lang w:val="el-GR"/>
              </w:rPr>
            </w:pPr>
            <w:r>
              <w:rPr>
                <w:b/>
                <w:bCs/>
                <w:color w:val="000000"/>
                <w:szCs w:val="22"/>
                <w:lang w:val="el-GR"/>
              </w:rPr>
              <w:t>Πολύ σπάνιες</w:t>
            </w:r>
            <w:r>
              <w:rPr>
                <w:b/>
                <w:szCs w:val="22"/>
                <w:lang w:val="el-GR"/>
              </w:rPr>
              <w:t>, μη γνωστές*</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αιμοποιητικού και του λεμφικού συστήματος</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r>
              <w:rPr>
                <w:color w:val="000000"/>
                <w:szCs w:val="22"/>
                <w:lang w:val="el-GR"/>
              </w:rPr>
              <w:t>Θρομβοπενία, λευκοπενία, ηωσινοφιλία</w:t>
            </w:r>
          </w:p>
        </w:tc>
        <w:tc>
          <w:tcPr>
            <w:tcW w:w="1798" w:type="dxa"/>
          </w:tcPr>
          <w:p>
            <w:pPr>
              <w:widowControl w:val="0"/>
              <w:autoSpaceDE w:val="0"/>
              <w:autoSpaceDN w:val="0"/>
              <w:adjustRightInd w:val="0"/>
              <w:spacing w:line="240" w:lineRule="auto"/>
              <w:rPr>
                <w:color w:val="000000"/>
                <w:szCs w:val="22"/>
                <w:lang w:val="el-GR"/>
              </w:rPr>
            </w:pPr>
            <w:r>
              <w:rPr>
                <w:color w:val="000000"/>
                <w:szCs w:val="22"/>
                <w:lang w:val="el-GR"/>
              </w:rPr>
              <w:t>Ουδετεροπενία, συμπεριλαμβανο-μένης της σοβαρής ουδετεροπενίας</w:t>
            </w: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 xml:space="preserve">Θρομβωτική θρομβοπενική πορφύρα (TTP) (βλ. παράγραφο 4.4), απλαστική αναιμία, πανκυτταροπενία, ακοκκιοκυτταραιμία, σοβαρή θρομβοπενία, </w:t>
            </w:r>
            <w:r>
              <w:rPr>
                <w:szCs w:val="22"/>
                <w:lang w:val="el-GR"/>
              </w:rPr>
              <w:t xml:space="preserve">επίκτητη αιμοφιλία Α, </w:t>
            </w:r>
            <w:r>
              <w:rPr>
                <w:color w:val="000000"/>
                <w:szCs w:val="22"/>
                <w:lang w:val="el-GR"/>
              </w:rPr>
              <w:t>κοκκιοκυτταροπενία, αναιμία</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Καρδιακές διαταραχές</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lang w:val="el-GR"/>
              </w:rPr>
              <w:t>Σύνδρομο Kounis (αγγειοσυσπαστική αλλεργική στηθάγχη / αλλεργικό έμφραγμα του μυοκαρδίου) στο πλαίσιο αντίδρασης υπερευαισθησίας λόγω της κλοπιδογρέλης*</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ανοσοποιητικού συστήματος</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Ορονοσία, αναφυλακτοειδείς αντιδράσεις</w:t>
            </w:r>
            <w:r>
              <w:rPr>
                <w:szCs w:val="22"/>
                <w:lang w:val="el-GR"/>
              </w:rPr>
              <w:t>, φαρμακευτική υπερευαισθησία λόγω διασταυρούμενης αντίδρασης ανάμεσα σε θειενοπυριδίνες (όπως τικλοπιδίνη, πρασουγρέλη) (βλ. παράγραφο 4.4)*,</w:t>
            </w:r>
            <w:r>
              <w:rPr>
                <w:lang w:val="el-GR"/>
              </w:rPr>
              <w:t xml:space="preserve"> αυτοάνοσο σύνδρομο κατά ινσουλίνης, που μπορεί να οδηγήσει σε σοβαρή </w:t>
            </w:r>
            <w:r>
              <w:rPr>
                <w:lang w:val="el-GR"/>
              </w:rPr>
              <w:lastRenderedPageBreak/>
              <w:t>υπογλυκαιμία, ιδιαίτερα σε ασθενείς με υπότυπο HLA DRA4 (πιο συχνό στον Ιαπωνικό πληθυσμό)*</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lastRenderedPageBreak/>
              <w:t>Ψυχιατρικές διαταραχές</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Ψευδαισθήσεις, σύγχυση</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νευρικού συστήματος</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r>
              <w:rPr>
                <w:color w:val="000000"/>
                <w:szCs w:val="22"/>
                <w:lang w:val="el-GR"/>
              </w:rPr>
              <w:t>Ενδοκρανιακή αιμορραγία (αναφέρθηκαν ορισμένες περιπτώσεις με θανατηφόρο έκβαση), κεφαλαλγία, παραισθησία,</w:t>
            </w:r>
          </w:p>
          <w:p>
            <w:pPr>
              <w:widowControl w:val="0"/>
              <w:autoSpaceDE w:val="0"/>
              <w:autoSpaceDN w:val="0"/>
              <w:adjustRightInd w:val="0"/>
              <w:spacing w:line="240" w:lineRule="auto"/>
              <w:rPr>
                <w:color w:val="000000"/>
                <w:szCs w:val="22"/>
                <w:lang w:val="el-GR"/>
              </w:rPr>
            </w:pPr>
            <w:r>
              <w:rPr>
                <w:color w:val="000000"/>
                <w:szCs w:val="22"/>
                <w:lang w:val="el-GR"/>
              </w:rPr>
              <w:t>ζάλη</w:t>
            </w: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szCs w:val="22"/>
                <w:lang w:val="el-GR"/>
              </w:rPr>
            </w:pPr>
            <w:r>
              <w:rPr>
                <w:szCs w:val="22"/>
                <w:lang w:val="el-GR"/>
              </w:rPr>
              <w:t>Διαταραχές της</w:t>
            </w:r>
          </w:p>
          <w:p>
            <w:pPr>
              <w:widowControl w:val="0"/>
              <w:autoSpaceDE w:val="0"/>
              <w:autoSpaceDN w:val="0"/>
              <w:adjustRightInd w:val="0"/>
              <w:spacing w:line="240" w:lineRule="auto"/>
              <w:rPr>
                <w:color w:val="000000"/>
                <w:szCs w:val="22"/>
                <w:lang w:val="sl-SI"/>
              </w:rPr>
            </w:pPr>
            <w:r>
              <w:rPr>
                <w:szCs w:val="22"/>
                <w:lang w:val="el-GR"/>
              </w:rPr>
              <w:t>γεύσης</w:t>
            </w:r>
            <w:r>
              <w:rPr>
                <w:szCs w:val="22"/>
                <w:lang w:val="sl-SI"/>
              </w:rPr>
              <w:t>, αγευσία</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Οφθαλμικές διαταραχές</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r>
              <w:rPr>
                <w:color w:val="000000"/>
                <w:szCs w:val="22"/>
                <w:lang w:val="el-GR"/>
              </w:rPr>
              <w:t>Αιμορραγία του οφθαλμού (επιπεφυκότος, ενδοφθάλμια, αμφιβληστροειδούς)</w:t>
            </w: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ωτός και του λαβυρίνθου</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r>
              <w:rPr>
                <w:color w:val="000000"/>
                <w:szCs w:val="22"/>
                <w:lang w:val="el-GR"/>
              </w:rPr>
              <w:t>Ίλιγγος</w:t>
            </w:r>
          </w:p>
        </w:tc>
        <w:tc>
          <w:tcPr>
            <w:tcW w:w="2165" w:type="dxa"/>
          </w:tcPr>
          <w:p>
            <w:pPr>
              <w:widowControl w:val="0"/>
              <w:autoSpaceDE w:val="0"/>
              <w:autoSpaceDN w:val="0"/>
              <w:adjustRightInd w:val="0"/>
              <w:spacing w:line="240" w:lineRule="auto"/>
              <w:rPr>
                <w:color w:val="000000"/>
                <w:szCs w:val="22"/>
                <w:lang w:val="el-GR"/>
              </w:rPr>
            </w:pP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Αγγειακές διαταραχές</w:t>
            </w:r>
          </w:p>
        </w:tc>
        <w:tc>
          <w:tcPr>
            <w:tcW w:w="1498" w:type="dxa"/>
          </w:tcPr>
          <w:p>
            <w:pPr>
              <w:widowControl w:val="0"/>
              <w:autoSpaceDE w:val="0"/>
              <w:autoSpaceDN w:val="0"/>
              <w:adjustRightInd w:val="0"/>
              <w:spacing w:line="240" w:lineRule="auto"/>
              <w:rPr>
                <w:color w:val="000000"/>
                <w:szCs w:val="22"/>
                <w:lang w:val="el-GR"/>
              </w:rPr>
            </w:pPr>
            <w:r>
              <w:rPr>
                <w:color w:val="000000"/>
                <w:szCs w:val="22"/>
                <w:lang w:val="el-GR"/>
              </w:rPr>
              <w:t>Αιμάτωμα</w:t>
            </w: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Σοβαρή αιμορραγία, αιμορραγία από το εγχειρητικό τραύμα, αγγειίτιδα, υπόταση</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αναπνευστικού συστήματος, του θώρακα και του μεσοθωρακίου</w:t>
            </w:r>
          </w:p>
        </w:tc>
        <w:tc>
          <w:tcPr>
            <w:tcW w:w="1498" w:type="dxa"/>
          </w:tcPr>
          <w:p>
            <w:pPr>
              <w:widowControl w:val="0"/>
              <w:autoSpaceDE w:val="0"/>
              <w:autoSpaceDN w:val="0"/>
              <w:adjustRightInd w:val="0"/>
              <w:spacing w:line="240" w:lineRule="auto"/>
              <w:rPr>
                <w:color w:val="000000"/>
                <w:szCs w:val="22"/>
                <w:lang w:val="el-GR"/>
              </w:rPr>
            </w:pPr>
            <w:r>
              <w:rPr>
                <w:color w:val="000000"/>
                <w:szCs w:val="22"/>
                <w:lang w:val="el-GR"/>
              </w:rPr>
              <w:t>Επίσταξη</w:t>
            </w: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lang w:val="el-GR"/>
              </w:rPr>
            </w:pPr>
            <w:r>
              <w:rPr>
                <w:color w:val="000000"/>
                <w:szCs w:val="22"/>
                <w:lang w:val="el-GR"/>
              </w:rPr>
              <w:t>Αιμορραγία από την αναπνευστική οδό (αιμόπτυση, πνευμονική αιμορραγία), βρογχόσπασμος, διάμεση</w:t>
            </w:r>
          </w:p>
          <w:p>
            <w:pPr>
              <w:widowControl w:val="0"/>
              <w:autoSpaceDE w:val="0"/>
              <w:autoSpaceDN w:val="0"/>
              <w:adjustRightInd w:val="0"/>
              <w:spacing w:line="240" w:lineRule="auto"/>
              <w:rPr>
                <w:color w:val="000000"/>
                <w:szCs w:val="22"/>
                <w:lang w:val="el-GR"/>
              </w:rPr>
            </w:pPr>
            <w:r>
              <w:rPr>
                <w:color w:val="000000"/>
                <w:szCs w:val="22"/>
                <w:lang w:val="el-GR"/>
              </w:rPr>
              <w:t>πνευμονίτιδα</w:t>
            </w:r>
            <w:r>
              <w:rPr>
                <w:szCs w:val="24"/>
                <w:lang w:val="el-GR"/>
              </w:rPr>
              <w:t xml:space="preserve">, </w:t>
            </w:r>
            <w:bookmarkStart w:id="7" w:name="OLE_LINK10"/>
            <w:bookmarkStart w:id="8" w:name="OLE_LINK19"/>
            <w:r>
              <w:rPr>
                <w:szCs w:val="24"/>
                <w:lang w:val="el-GR"/>
              </w:rPr>
              <w:t>ηωσινοφιλική πνευμονία</w:t>
            </w:r>
            <w:bookmarkEnd w:id="7"/>
            <w:bookmarkEnd w:id="8"/>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γαστρεντερικού</w:t>
            </w:r>
            <w:r>
              <w:rPr>
                <w:szCs w:val="22"/>
                <w:lang w:val="el-GR"/>
              </w:rPr>
              <w:t xml:space="preserve"> </w:t>
            </w:r>
          </w:p>
        </w:tc>
        <w:tc>
          <w:tcPr>
            <w:tcW w:w="1498" w:type="dxa"/>
          </w:tcPr>
          <w:p>
            <w:pPr>
              <w:widowControl w:val="0"/>
              <w:autoSpaceDE w:val="0"/>
              <w:autoSpaceDN w:val="0"/>
              <w:adjustRightInd w:val="0"/>
              <w:spacing w:line="240" w:lineRule="auto"/>
              <w:rPr>
                <w:color w:val="000000"/>
                <w:szCs w:val="22"/>
                <w:lang w:val="el-GR"/>
              </w:rPr>
            </w:pPr>
            <w:r>
              <w:rPr>
                <w:color w:val="000000"/>
                <w:szCs w:val="22"/>
                <w:lang w:val="el-GR"/>
              </w:rPr>
              <w:t>Αιμορραγία του γαστρεντερι- κού σωλήνα, διάρροια, κοιλιακό άλγος, δυσπεψία</w:t>
            </w:r>
          </w:p>
        </w:tc>
        <w:tc>
          <w:tcPr>
            <w:tcW w:w="2031" w:type="dxa"/>
          </w:tcPr>
          <w:p>
            <w:pPr>
              <w:widowControl w:val="0"/>
              <w:autoSpaceDE w:val="0"/>
              <w:autoSpaceDN w:val="0"/>
              <w:adjustRightInd w:val="0"/>
              <w:spacing w:line="240" w:lineRule="auto"/>
              <w:rPr>
                <w:color w:val="000000"/>
                <w:szCs w:val="22"/>
                <w:lang w:val="el-GR"/>
              </w:rPr>
            </w:pPr>
            <w:r>
              <w:rPr>
                <w:color w:val="000000"/>
                <w:szCs w:val="22"/>
                <w:lang w:val="el-GR"/>
              </w:rPr>
              <w:t>Γαστρικό έλκος και δωδεκαδακτυλικό έλκος, γαστρίτιδα, έμετος, ναυτία, δυσκοιλιότητα, μετεωρισμός</w:t>
            </w:r>
          </w:p>
        </w:tc>
        <w:tc>
          <w:tcPr>
            <w:tcW w:w="1798" w:type="dxa"/>
          </w:tcPr>
          <w:p>
            <w:pPr>
              <w:widowControl w:val="0"/>
              <w:autoSpaceDE w:val="0"/>
              <w:autoSpaceDN w:val="0"/>
              <w:adjustRightInd w:val="0"/>
              <w:spacing w:line="240" w:lineRule="auto"/>
              <w:rPr>
                <w:color w:val="000000"/>
                <w:szCs w:val="22"/>
                <w:lang w:val="el-GR"/>
              </w:rPr>
            </w:pPr>
            <w:r>
              <w:rPr>
                <w:color w:val="000000"/>
                <w:szCs w:val="22"/>
                <w:lang w:val="el-GR"/>
              </w:rPr>
              <w:t>Οπισθοπεριτοναϊ-κή αιμορραγία</w:t>
            </w: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Γαστρεντερική και οπισθοπεριτοναϊκή αιμορραγία με θανατηφόρο έκβαση, παγκρεατίτιδα, κολίτιδα (συμπεριλαμβανο-μένης της ελκώδους ή της λεμφοκυτταρικής κολίτιδας), στοματίτιδα</w:t>
            </w:r>
          </w:p>
          <w:p>
            <w:pPr>
              <w:widowControl w:val="0"/>
              <w:autoSpaceDE w:val="0"/>
              <w:autoSpaceDN w:val="0"/>
              <w:adjustRightInd w:val="0"/>
              <w:spacing w:line="240" w:lineRule="auto"/>
              <w:rPr>
                <w:color w:val="000000"/>
                <w:szCs w:val="22"/>
                <w:lang w:val="el-GR"/>
              </w:rPr>
            </w:pP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ήπατος και των χοληφόρων</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 xml:space="preserve">Οξεία ηπατική ανεπάρκεια, ηπατίτιδα, μη </w:t>
            </w:r>
            <w:r>
              <w:rPr>
                <w:color w:val="000000"/>
                <w:szCs w:val="22"/>
                <w:lang w:val="el-GR"/>
              </w:rPr>
              <w:lastRenderedPageBreak/>
              <w:t>φυσιολογικές δοκιμασίες ηπατικής λειτουργίας</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lastRenderedPageBreak/>
              <w:t>Διαταραχές του δέρματος και του υποδόριου ιστού</w:t>
            </w:r>
          </w:p>
        </w:tc>
        <w:tc>
          <w:tcPr>
            <w:tcW w:w="1498" w:type="dxa"/>
          </w:tcPr>
          <w:p>
            <w:pPr>
              <w:widowControl w:val="0"/>
              <w:autoSpaceDE w:val="0"/>
              <w:autoSpaceDN w:val="0"/>
              <w:adjustRightInd w:val="0"/>
              <w:spacing w:line="240" w:lineRule="auto"/>
              <w:rPr>
                <w:color w:val="000000"/>
                <w:szCs w:val="22"/>
                <w:lang w:val="el-GR"/>
              </w:rPr>
            </w:pPr>
            <w:r>
              <w:rPr>
                <w:color w:val="000000"/>
                <w:szCs w:val="22"/>
                <w:lang w:val="el-GR"/>
              </w:rPr>
              <w:t>Μώλωπας</w:t>
            </w:r>
          </w:p>
        </w:tc>
        <w:tc>
          <w:tcPr>
            <w:tcW w:w="2031" w:type="dxa"/>
          </w:tcPr>
          <w:p>
            <w:pPr>
              <w:widowControl w:val="0"/>
              <w:autoSpaceDE w:val="0"/>
              <w:autoSpaceDN w:val="0"/>
              <w:adjustRightInd w:val="0"/>
              <w:spacing w:line="240" w:lineRule="auto"/>
              <w:rPr>
                <w:color w:val="000000"/>
                <w:szCs w:val="22"/>
                <w:lang w:val="el-GR"/>
              </w:rPr>
            </w:pPr>
            <w:r>
              <w:rPr>
                <w:color w:val="000000"/>
                <w:szCs w:val="22"/>
                <w:lang w:val="el-GR"/>
              </w:rPr>
              <w:t>Εξάνθημα, κνησμός, αιμορραγία από το δέρμα (πορφύρα)</w:t>
            </w: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Πομφολυγώδης δερματίτιδα (τοξική επιδερμική νεκρόλυση, σύνδρομο Stevens-Johnson, πολύμορφο ερύθημα</w:t>
            </w:r>
            <w:r>
              <w:rPr>
                <w:szCs w:val="24"/>
                <w:lang w:val="el-GR"/>
              </w:rPr>
              <w:t>, οξεία γενικευμένη εξανθηματική φλυκταίνωση (ΟΓΕΦ)</w:t>
            </w:r>
            <w:r>
              <w:rPr>
                <w:color w:val="000000"/>
                <w:szCs w:val="22"/>
                <w:lang w:val="el-GR"/>
              </w:rPr>
              <w:t xml:space="preserve">), αγγειοοίδημα, </w:t>
            </w:r>
            <w:r>
              <w:rPr>
                <w:szCs w:val="22"/>
                <w:lang w:val="el-GR"/>
              </w:rPr>
              <w:t xml:space="preserve">σύνδρομο φαρμακοεπαγώμενης υπερευαισθησίας, </w:t>
            </w:r>
            <w:r>
              <w:rPr>
                <w:rStyle w:val="st1"/>
                <w:szCs w:val="22"/>
                <w:lang w:val="el-GR"/>
              </w:rPr>
              <w:t xml:space="preserve">φαρμακευτικό </w:t>
            </w:r>
            <w:r>
              <w:rPr>
                <w:rStyle w:val="Emphasis"/>
                <w:b w:val="0"/>
                <w:szCs w:val="22"/>
                <w:lang w:val="el-GR"/>
              </w:rPr>
              <w:t>εξάνθημα</w:t>
            </w:r>
            <w:r>
              <w:rPr>
                <w:rStyle w:val="st1"/>
                <w:szCs w:val="22"/>
                <w:lang w:val="el-GR"/>
              </w:rPr>
              <w:t xml:space="preserve"> με </w:t>
            </w:r>
            <w:r>
              <w:rPr>
                <w:rStyle w:val="Emphasis"/>
                <w:b w:val="0"/>
                <w:szCs w:val="22"/>
                <w:lang w:val="el-GR"/>
              </w:rPr>
              <w:t>ηωσινοφιλία</w:t>
            </w:r>
            <w:r>
              <w:rPr>
                <w:rStyle w:val="st1"/>
                <w:szCs w:val="22"/>
                <w:lang w:val="el-GR"/>
              </w:rPr>
              <w:t xml:space="preserve"> και συστηματικά συμπτώματα (</w:t>
            </w:r>
            <w:r>
              <w:rPr>
                <w:rStyle w:val="Emphasis"/>
                <w:b w:val="0"/>
                <w:szCs w:val="22"/>
              </w:rPr>
              <w:t>DRESS</w:t>
            </w:r>
            <w:r>
              <w:rPr>
                <w:rStyle w:val="st1"/>
                <w:szCs w:val="22"/>
                <w:lang w:val="el-GR"/>
              </w:rPr>
              <w:t>),</w:t>
            </w:r>
            <w:r>
              <w:rPr>
                <w:rStyle w:val="st1"/>
                <w:color w:val="444444"/>
                <w:szCs w:val="22"/>
                <w:lang w:val="el-GR"/>
              </w:rPr>
              <w:t xml:space="preserve"> </w:t>
            </w:r>
            <w:r>
              <w:rPr>
                <w:color w:val="000000"/>
                <w:szCs w:val="22"/>
                <w:lang w:val="el-GR"/>
              </w:rPr>
              <w:t xml:space="preserve">ερυθηματώδες </w:t>
            </w:r>
            <w:r>
              <w:rPr>
                <w:szCs w:val="24"/>
                <w:lang w:val="el-GR"/>
              </w:rPr>
              <w:t xml:space="preserve">ή αποφολιδωτικό </w:t>
            </w:r>
            <w:r>
              <w:rPr>
                <w:color w:val="000000"/>
                <w:szCs w:val="22"/>
                <w:lang w:val="el-GR"/>
              </w:rPr>
              <w:t>εξάνθημα, κνίδωση, έκζεμα, ομαλός λειχήνας</w:t>
            </w:r>
          </w:p>
        </w:tc>
      </w:tr>
      <w:tr>
        <w:tc>
          <w:tcPr>
            <w:tcW w:w="1795" w:type="dxa"/>
          </w:tcPr>
          <w:p>
            <w:pPr>
              <w:widowControl w:val="0"/>
              <w:autoSpaceDE w:val="0"/>
              <w:autoSpaceDN w:val="0"/>
              <w:adjustRightInd w:val="0"/>
              <w:spacing w:line="240" w:lineRule="auto"/>
              <w:rPr>
                <w:color w:val="000000"/>
                <w:szCs w:val="22"/>
                <w:lang w:val="el-GR"/>
              </w:rPr>
            </w:pPr>
            <w:r>
              <w:rPr>
                <w:lang w:val="el-GR"/>
              </w:rPr>
              <w:t>Διαταραχές του αναπαραγωγι-κού συστήματος και του μαστού</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r>
              <w:rPr>
                <w:szCs w:val="22"/>
                <w:lang w:val="el-GR"/>
              </w:rPr>
              <w:t>Γυναικομαστία</w:t>
            </w:r>
          </w:p>
        </w:tc>
        <w:tc>
          <w:tcPr>
            <w:tcW w:w="2165" w:type="dxa"/>
          </w:tcPr>
          <w:p>
            <w:pPr>
              <w:widowControl w:val="0"/>
              <w:autoSpaceDE w:val="0"/>
              <w:autoSpaceDN w:val="0"/>
              <w:adjustRightInd w:val="0"/>
              <w:spacing w:line="240" w:lineRule="auto"/>
              <w:rPr>
                <w:color w:val="000000"/>
                <w:szCs w:val="22"/>
                <w:lang w:val="el-GR"/>
              </w:rPr>
            </w:pP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του μυοσκελετικού συστήματος και του συνδετικού ιστού</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Μυοσκελετική αιμορραγία (αίμαρθρο), αρθρίτιδα, αρθραλγία,</w:t>
            </w:r>
          </w:p>
          <w:p>
            <w:pPr>
              <w:widowControl w:val="0"/>
              <w:autoSpaceDE w:val="0"/>
              <w:autoSpaceDN w:val="0"/>
              <w:adjustRightInd w:val="0"/>
              <w:spacing w:line="240" w:lineRule="auto"/>
              <w:rPr>
                <w:color w:val="000000"/>
                <w:szCs w:val="22"/>
                <w:lang w:val="el-GR"/>
              </w:rPr>
            </w:pPr>
            <w:r>
              <w:rPr>
                <w:color w:val="000000"/>
                <w:szCs w:val="22"/>
                <w:lang w:val="el-GR"/>
              </w:rPr>
              <w:t>μυαλγία</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Διαταραχές των νεφρών και των ουροφόρων οδών</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r>
              <w:rPr>
                <w:color w:val="000000"/>
                <w:szCs w:val="22"/>
                <w:lang w:val="el-GR"/>
              </w:rPr>
              <w:t>Αιματουρία</w:t>
            </w: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Σπειραματονεφρίτι-δα, αυξημένη κρεατινίνη αίματος</w:t>
            </w:r>
          </w:p>
        </w:tc>
      </w:tr>
      <w:tr>
        <w:tc>
          <w:tcPr>
            <w:tcW w:w="1795" w:type="dxa"/>
          </w:tcPr>
          <w:p>
            <w:pPr>
              <w:widowControl w:val="0"/>
              <w:autoSpaceDE w:val="0"/>
              <w:autoSpaceDN w:val="0"/>
              <w:adjustRightInd w:val="0"/>
              <w:spacing w:line="240" w:lineRule="auto"/>
              <w:rPr>
                <w:color w:val="000000"/>
                <w:szCs w:val="22"/>
                <w:lang w:val="el-GR"/>
              </w:rPr>
            </w:pPr>
            <w:r>
              <w:rPr>
                <w:color w:val="000000"/>
                <w:szCs w:val="22"/>
                <w:lang w:val="el-GR"/>
              </w:rPr>
              <w:t>Γενικές διαταραχές και καταστάσεις της οδού χορήγησης</w:t>
            </w:r>
          </w:p>
        </w:tc>
        <w:tc>
          <w:tcPr>
            <w:tcW w:w="1498" w:type="dxa"/>
          </w:tcPr>
          <w:p>
            <w:pPr>
              <w:widowControl w:val="0"/>
              <w:autoSpaceDE w:val="0"/>
              <w:autoSpaceDN w:val="0"/>
              <w:adjustRightInd w:val="0"/>
              <w:spacing w:line="240" w:lineRule="auto"/>
              <w:rPr>
                <w:color w:val="000000"/>
                <w:szCs w:val="22"/>
                <w:lang w:val="el-GR"/>
              </w:rPr>
            </w:pPr>
            <w:r>
              <w:rPr>
                <w:color w:val="000000"/>
                <w:szCs w:val="22"/>
                <w:lang w:val="el-GR"/>
              </w:rPr>
              <w:t xml:space="preserve">Αιμορραγία στη θέση παρακέντησης </w:t>
            </w:r>
          </w:p>
        </w:tc>
        <w:tc>
          <w:tcPr>
            <w:tcW w:w="2031" w:type="dxa"/>
          </w:tcPr>
          <w:p>
            <w:pPr>
              <w:widowControl w:val="0"/>
              <w:autoSpaceDE w:val="0"/>
              <w:autoSpaceDN w:val="0"/>
              <w:adjustRightInd w:val="0"/>
              <w:spacing w:line="240" w:lineRule="auto"/>
              <w:rPr>
                <w:color w:val="000000"/>
                <w:szCs w:val="22"/>
                <w:lang w:val="el-GR"/>
              </w:rPr>
            </w:pP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r>
              <w:rPr>
                <w:color w:val="000000"/>
                <w:szCs w:val="22"/>
                <w:lang w:val="el-GR"/>
              </w:rPr>
              <w:t xml:space="preserve">Πυρετός </w:t>
            </w:r>
          </w:p>
        </w:tc>
      </w:tr>
      <w:tr>
        <w:tc>
          <w:tcPr>
            <w:tcW w:w="1795" w:type="dxa"/>
          </w:tcPr>
          <w:p>
            <w:pPr>
              <w:widowControl w:val="0"/>
              <w:autoSpaceDE w:val="0"/>
              <w:autoSpaceDN w:val="0"/>
              <w:adjustRightInd w:val="0"/>
              <w:spacing w:line="240" w:lineRule="auto"/>
              <w:rPr>
                <w:color w:val="000000"/>
                <w:szCs w:val="22"/>
                <w:lang w:val="el-GR"/>
              </w:rPr>
            </w:pPr>
            <w:r>
              <w:rPr>
                <w:szCs w:val="22"/>
                <w:lang w:val="el-GR"/>
              </w:rPr>
              <w:t>Παρακλινικές εξετάσεις</w:t>
            </w:r>
          </w:p>
        </w:tc>
        <w:tc>
          <w:tcPr>
            <w:tcW w:w="1498" w:type="dxa"/>
          </w:tcPr>
          <w:p>
            <w:pPr>
              <w:widowControl w:val="0"/>
              <w:autoSpaceDE w:val="0"/>
              <w:autoSpaceDN w:val="0"/>
              <w:adjustRightInd w:val="0"/>
              <w:spacing w:line="240" w:lineRule="auto"/>
              <w:rPr>
                <w:color w:val="000000"/>
                <w:szCs w:val="22"/>
                <w:lang w:val="el-GR"/>
              </w:rPr>
            </w:pPr>
          </w:p>
        </w:tc>
        <w:tc>
          <w:tcPr>
            <w:tcW w:w="2031" w:type="dxa"/>
          </w:tcPr>
          <w:p>
            <w:pPr>
              <w:widowControl w:val="0"/>
              <w:autoSpaceDE w:val="0"/>
              <w:autoSpaceDN w:val="0"/>
              <w:adjustRightInd w:val="0"/>
              <w:spacing w:line="240" w:lineRule="auto"/>
              <w:rPr>
                <w:color w:val="000000"/>
                <w:szCs w:val="22"/>
                <w:lang w:val="el-GR"/>
              </w:rPr>
            </w:pPr>
            <w:r>
              <w:rPr>
                <w:color w:val="000000"/>
                <w:szCs w:val="22"/>
                <w:lang w:val="el-GR"/>
              </w:rPr>
              <w:t>Παρατεταμένος χρόνος ροής, μειωμένος αριθμός ουδετερόφιλων, μειωμένος αριθμός αιμοπεταλίων</w:t>
            </w:r>
          </w:p>
        </w:tc>
        <w:tc>
          <w:tcPr>
            <w:tcW w:w="1798" w:type="dxa"/>
          </w:tcPr>
          <w:p>
            <w:pPr>
              <w:widowControl w:val="0"/>
              <w:autoSpaceDE w:val="0"/>
              <w:autoSpaceDN w:val="0"/>
              <w:adjustRightInd w:val="0"/>
              <w:spacing w:line="240" w:lineRule="auto"/>
              <w:rPr>
                <w:color w:val="000000"/>
                <w:szCs w:val="22"/>
                <w:lang w:val="el-GR"/>
              </w:rPr>
            </w:pPr>
          </w:p>
        </w:tc>
        <w:tc>
          <w:tcPr>
            <w:tcW w:w="2165" w:type="dxa"/>
          </w:tcPr>
          <w:p>
            <w:pPr>
              <w:widowControl w:val="0"/>
              <w:autoSpaceDE w:val="0"/>
              <w:autoSpaceDN w:val="0"/>
              <w:adjustRightInd w:val="0"/>
              <w:spacing w:line="240" w:lineRule="auto"/>
              <w:rPr>
                <w:color w:val="000000"/>
                <w:szCs w:val="22"/>
                <w:lang w:val="el-GR"/>
              </w:rPr>
            </w:pPr>
          </w:p>
        </w:tc>
      </w:tr>
    </w:tbl>
    <w:p>
      <w:pPr>
        <w:widowControl w:val="0"/>
        <w:tabs>
          <w:tab w:val="left" w:pos="142"/>
        </w:tabs>
        <w:spacing w:line="240" w:lineRule="auto"/>
        <w:rPr>
          <w:bCs/>
          <w:szCs w:val="22"/>
          <w:lang w:val="el-GR"/>
        </w:rPr>
      </w:pPr>
      <w:r>
        <w:rPr>
          <w:bCs/>
          <w:szCs w:val="22"/>
          <w:lang w:val="el-GR"/>
        </w:rPr>
        <w:t>* Πληροφορίες που σχετίζονται με την κλοπιδογρέλη με «μη γνωστή» συχνότητα.</w:t>
      </w:r>
    </w:p>
    <w:p>
      <w:pPr>
        <w:widowControl w:val="0"/>
        <w:spacing w:line="240" w:lineRule="auto"/>
        <w:rPr>
          <w:noProof/>
          <w:szCs w:val="22"/>
          <w:lang w:val="sl-SI"/>
        </w:rPr>
      </w:pPr>
    </w:p>
    <w:p>
      <w:pPr>
        <w:widowControl w:val="0"/>
        <w:autoSpaceDE w:val="0"/>
        <w:autoSpaceDN w:val="0"/>
        <w:adjustRightInd w:val="0"/>
        <w:spacing w:line="240" w:lineRule="auto"/>
        <w:jc w:val="both"/>
        <w:rPr>
          <w:szCs w:val="22"/>
          <w:u w:val="single"/>
          <w:lang w:val="el-GR"/>
        </w:rPr>
      </w:pPr>
      <w:r>
        <w:rPr>
          <w:noProof/>
          <w:szCs w:val="22"/>
          <w:u w:val="single"/>
          <w:lang w:val="el-GR"/>
        </w:rPr>
        <w:lastRenderedPageBreak/>
        <w:t>Αναφορά πιθανολογούμενων ανεπιθύμητων ενεργειών</w:t>
      </w:r>
    </w:p>
    <w:p>
      <w:pPr>
        <w:widowControl w:val="0"/>
        <w:autoSpaceDE w:val="0"/>
        <w:autoSpaceDN w:val="0"/>
        <w:adjustRightInd w:val="0"/>
        <w:spacing w:line="240" w:lineRule="auto"/>
        <w:jc w:val="both"/>
        <w:rPr>
          <w:szCs w:val="22"/>
          <w:lang w:val="el-GR"/>
        </w:rPr>
      </w:pPr>
      <w:r>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Pr>
          <w:noProof/>
          <w:szCs w:val="22"/>
          <w:lang w:val="el-GR"/>
        </w:rPr>
        <w:t>.</w:t>
      </w:r>
      <w:r>
        <w:rPr>
          <w:szCs w:val="22"/>
          <w:lang w:val="el-GR"/>
        </w:rPr>
        <w:t xml:space="preserve"> Επιτρέπει τη συνεχή παρακολούθηση της σχέσης οφέλους-κινδύνου του φαρμακευτικού προϊόντος</w:t>
      </w:r>
      <w:r>
        <w:rPr>
          <w:noProof/>
          <w:szCs w:val="22"/>
          <w:lang w:val="el-GR"/>
        </w:rPr>
        <w:t>.</w:t>
      </w:r>
      <w:r>
        <w:rPr>
          <w:szCs w:val="22"/>
          <w:lang w:val="el-GR"/>
        </w:rPr>
        <w:t xml:space="preserve"> Ζητείται από τους επαγγελματίες υγείας να αναφέρουν οποιεσδήποτε πιθανολογούμενες ανεπιθύμητες ενέργειες </w:t>
      </w:r>
      <w:r>
        <w:rPr>
          <w:szCs w:val="22"/>
          <w:highlight w:val="lightGray"/>
          <w:lang w:val="el-GR"/>
        </w:rPr>
        <w:t xml:space="preserve">μέσω του εθνικού συστήματος αναφοράς που αναγράφεται στο </w:t>
      </w:r>
      <w:hyperlink r:id="rId9" w:history="1">
        <w:r>
          <w:rPr>
            <w:rStyle w:val="Hyperlink"/>
            <w:szCs w:val="22"/>
            <w:highlight w:val="lightGray"/>
            <w:lang w:val="el-GR"/>
          </w:rPr>
          <w:t xml:space="preserve">Παράρτημα </w:t>
        </w:r>
        <w:r>
          <w:rPr>
            <w:rStyle w:val="Hyperlink"/>
            <w:szCs w:val="22"/>
            <w:highlight w:val="lightGray"/>
          </w:rPr>
          <w:t>V</w:t>
        </w:r>
      </w:hyperlink>
      <w:r>
        <w:rPr>
          <w:szCs w:val="22"/>
          <w:lang w:val="el-GR"/>
        </w:rPr>
        <w:t>.</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4.9</w:t>
      </w:r>
      <w:r>
        <w:rPr>
          <w:b/>
          <w:noProof/>
          <w:szCs w:val="22"/>
          <w:lang w:val="el-GR"/>
        </w:rPr>
        <w:tab/>
        <w:t>Υπερδοσολογία</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Υπερδοσολογία μετά από χορήγηση κλοπιδογρέλης μπορεί να οδηγήσει σε παράταση του χρόνου ροής και επακόλουθες αιμορραγικές επιπλοκές. Εάν παρατηρηθούν αιμορραγίες θα πρέπει να εξεταστεί ποια είναι η κατάλληλη αγωγή. Δεν έχει βρεθεί αντίδοτο της φαρμακολογικής δράσης της κλοπιδογρέλης. Εάν απαιτείται άμεση διόρθωση του παρατεταμένου χρόνου ροής, η μετάγγιση αιμοπεταλίων μπορεί να αναστρέψει τα αποτελέσματα της κλοπιδογρέλης.</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5.</w:t>
      </w:r>
      <w:r>
        <w:rPr>
          <w:b/>
          <w:noProof/>
          <w:szCs w:val="22"/>
          <w:lang w:val="el-GR"/>
        </w:rPr>
        <w:tab/>
        <w:t>ΦΑΡΜΑΚΟΛΟΓΙΚΕΣ ΙΔΙΟΤΗΤΕΣ</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5.1</w:t>
      </w:r>
      <w:r>
        <w:rPr>
          <w:b/>
          <w:noProof/>
          <w:szCs w:val="22"/>
          <w:lang w:val="el-GR"/>
        </w:rPr>
        <w:tab/>
        <w:t>Φαρμακοδυναμικές ιδιότητες</w:t>
      </w:r>
    </w:p>
    <w:p>
      <w:pPr>
        <w:widowControl w:val="0"/>
        <w:spacing w:line="240" w:lineRule="auto"/>
        <w:rPr>
          <w:noProof/>
          <w:szCs w:val="22"/>
          <w:lang w:val="el-GR"/>
        </w:rPr>
      </w:pPr>
    </w:p>
    <w:p>
      <w:pPr>
        <w:widowControl w:val="0"/>
        <w:tabs>
          <w:tab w:val="left" w:pos="142"/>
        </w:tabs>
        <w:spacing w:line="240" w:lineRule="auto"/>
        <w:rPr>
          <w:i/>
          <w:szCs w:val="22"/>
          <w:lang w:val="el-GR"/>
        </w:rPr>
      </w:pPr>
      <w:r>
        <w:rPr>
          <w:szCs w:val="22"/>
          <w:lang w:val="el-GR"/>
        </w:rPr>
        <w:t>Φαρμακοθεραπευτική κατηγορία: Αντιθρομβωτικοί παράγοντες, αναστολείς συσσώρευσης αιμοπεταλίων εκτός ηπαρίνης, κωδικός ATC: B01AC-04.</w:t>
      </w:r>
    </w:p>
    <w:p>
      <w:pPr>
        <w:widowControl w:val="0"/>
        <w:autoSpaceDE w:val="0"/>
        <w:autoSpaceDN w:val="0"/>
        <w:adjustRightInd w:val="0"/>
        <w:spacing w:line="240" w:lineRule="auto"/>
        <w:rPr>
          <w:color w:val="000000"/>
          <w:szCs w:val="22"/>
          <w:lang w:val="el-GR"/>
        </w:rPr>
      </w:pPr>
    </w:p>
    <w:p>
      <w:pPr>
        <w:widowControl w:val="0"/>
        <w:tabs>
          <w:tab w:val="clear" w:pos="567"/>
        </w:tabs>
        <w:spacing w:line="240" w:lineRule="auto"/>
        <w:rPr>
          <w:i/>
          <w:szCs w:val="22"/>
          <w:lang w:val="el-GR"/>
        </w:rPr>
      </w:pPr>
      <w:r>
        <w:rPr>
          <w:i/>
          <w:szCs w:val="22"/>
          <w:lang w:val="el-GR"/>
        </w:rPr>
        <w:t>Μηχανισμός δράσης</w:t>
      </w:r>
    </w:p>
    <w:p>
      <w:pPr>
        <w:widowControl w:val="0"/>
        <w:tabs>
          <w:tab w:val="left" w:pos="0"/>
          <w:tab w:val="left" w:pos="142"/>
        </w:tabs>
        <w:spacing w:line="240" w:lineRule="auto"/>
        <w:rPr>
          <w:szCs w:val="22"/>
          <w:lang w:val="el-GR"/>
        </w:rPr>
      </w:pPr>
      <w:r>
        <w:rPr>
          <w:szCs w:val="22"/>
          <w:lang w:val="el-GR"/>
        </w:rPr>
        <w:t>Η κλοπιδογρέλη είναι ένα προφάρμακο, ένας από τους μεταβολίτες του οποίου είναι αναστολέας της συσσώρευσης των αιμοπεταλίων. Η κλοπιδογρέλη πρέπει να μεταβολιστεί από τα ένζυμα του CYP450 για να παράξει το δραστικό μεταβολίτη που αναστέλλει τη συσσώρευση των αιμοπεταλίων. Ο δραστικός μεταβολίτης της κλοπιδογρέλης εκλεκτικά αναστέλλει τη σύζευξη της διφωσφορικής αδενοσίνης (ADP) με τον υποδοχέα Ρ2Υ</w:t>
      </w:r>
      <w:r>
        <w:rPr>
          <w:szCs w:val="22"/>
          <w:vertAlign w:val="subscript"/>
          <w:lang w:val="el-GR"/>
        </w:rPr>
        <w:t>12</w:t>
      </w:r>
      <w:r>
        <w:rPr>
          <w:szCs w:val="22"/>
          <w:lang w:val="el-GR"/>
        </w:rPr>
        <w:t xml:space="preserve"> των αιμοπεταλίων και την επακόλουθη ενεργοποίηση, μέσω της ADP, του συμπλέγματος της γλυκοπρωτεΐνης GPIIb/IIIa, αναστέλλοντας με τον τρόπο αυτό τη συσσώρευση των αιμοπεταλίων. Λόγω της μη αναστρέψιμης σύζευξης, τα εκτεθειμένα αιμοπετάλια επηρεάζονται για το υπόλοιπο του χρόνου ζωής τους (κατά προσέγγιση 7-10 ημέρες) και η ανάκτηση της φυσιολογικής λειτουργίας των αιμοπεταλίων συμβαίνει με ρυθμό ανάλογο με το ρυθμό ανανέωσης των αιμοπεταλίων. Η συσσώρευση των αιμοπεταλίων που προκαλείται από αγωνιστές άλλους από την ADP αναστέλλεται επίσης από την παρεμπόδιση της ενίσχυσης της ενεργοποίησης των αιμοπεταλίων από την απελευθερούμενη ADP.</w:t>
      </w:r>
    </w:p>
    <w:p>
      <w:pPr>
        <w:widowControl w:val="0"/>
        <w:tabs>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Επειδή ο δραστικός μεταβολίτης σχηματίζεται από τα ένζυμα του CYP450, ορισμένα από τα οποία παρουσιάζουν πολυμορφισμούς ή υπόκεινται σε αναστολή από άλλα φαρμακευτικά προϊόντα, δεν θα έχουν όλοι οι ασθενείς επαρκή αναστολή των αιμοπεταλίων.</w:t>
      </w:r>
    </w:p>
    <w:p>
      <w:pPr>
        <w:widowControl w:val="0"/>
        <w:autoSpaceDE w:val="0"/>
        <w:autoSpaceDN w:val="0"/>
        <w:adjustRightInd w:val="0"/>
        <w:spacing w:line="240" w:lineRule="auto"/>
        <w:rPr>
          <w:color w:val="000000"/>
          <w:szCs w:val="22"/>
          <w:lang w:val="sl-SI"/>
        </w:rPr>
      </w:pPr>
    </w:p>
    <w:p>
      <w:pPr>
        <w:widowControl w:val="0"/>
        <w:tabs>
          <w:tab w:val="clear" w:pos="567"/>
        </w:tabs>
        <w:spacing w:line="240" w:lineRule="auto"/>
        <w:rPr>
          <w:i/>
          <w:szCs w:val="22"/>
          <w:lang w:val="el-GR"/>
        </w:rPr>
      </w:pPr>
      <w:r>
        <w:rPr>
          <w:i/>
          <w:szCs w:val="22"/>
          <w:lang w:val="el-GR"/>
        </w:rPr>
        <w:t>Φαρμακοδυναμικές επιδράσεις</w:t>
      </w:r>
    </w:p>
    <w:p>
      <w:pPr>
        <w:widowControl w:val="0"/>
        <w:autoSpaceDE w:val="0"/>
        <w:autoSpaceDN w:val="0"/>
        <w:adjustRightInd w:val="0"/>
        <w:spacing w:line="240" w:lineRule="auto"/>
        <w:rPr>
          <w:color w:val="000000"/>
          <w:szCs w:val="22"/>
          <w:lang w:val="el-GR"/>
        </w:rPr>
      </w:pPr>
      <w:r>
        <w:rPr>
          <w:color w:val="000000"/>
          <w:szCs w:val="22"/>
          <w:lang w:val="el-GR"/>
        </w:rPr>
        <w:t xml:space="preserve">Επαναλαμβανόμενες δόσεις των 75 mg την ημέρα προκάλεσαν σημαντική αναστολή της προκαλούμενης από την ADP συσσώρευσης των αιμοπεταλίων από τη πρώτη ημέρα. Η αναστολή αυτή αυξήθηκε προοδευτικά και έφτασε σε σταθερά επίπεδα μεταξύ της </w:t>
      </w:r>
      <w:r>
        <w:rPr>
          <w:szCs w:val="22"/>
          <w:lang w:val="el-GR"/>
        </w:rPr>
        <w:t>3ης και 7ης ημέρας</w:t>
      </w:r>
      <w:r>
        <w:rPr>
          <w:color w:val="000000"/>
          <w:szCs w:val="22"/>
          <w:lang w:val="el-GR"/>
        </w:rPr>
        <w:t>. Στη σταθεροποιημένη κατάσταση, η μέση αναστολή της αιμοπεταλιακής συσσώρευσης που παρατηρήθηκε με δόση 75 mg την ημέρα ήταν της τάξης του 40% έως 60%. Η συσσώρευση των αιμοπεταλίων και ο χρόνος ροής επανήλθαν σταδιακά στα αρχικά επίπεδα, γενικά μέσα σε 5 ημέρες μετά τη διακοπή της θεραπείας.</w:t>
      </w:r>
    </w:p>
    <w:p>
      <w:pPr>
        <w:widowControl w:val="0"/>
        <w:autoSpaceDE w:val="0"/>
        <w:autoSpaceDN w:val="0"/>
        <w:adjustRightInd w:val="0"/>
        <w:spacing w:line="240" w:lineRule="auto"/>
        <w:rPr>
          <w:color w:val="000000"/>
          <w:szCs w:val="22"/>
          <w:lang w:val="el-GR"/>
        </w:rPr>
      </w:pPr>
    </w:p>
    <w:p>
      <w:pPr>
        <w:widowControl w:val="0"/>
        <w:tabs>
          <w:tab w:val="clear" w:pos="567"/>
        </w:tabs>
        <w:spacing w:line="240" w:lineRule="auto"/>
        <w:rPr>
          <w:i/>
          <w:szCs w:val="22"/>
          <w:lang w:val="el-GR"/>
        </w:rPr>
      </w:pPr>
      <w:r>
        <w:rPr>
          <w:i/>
          <w:szCs w:val="22"/>
          <w:lang w:val="el-GR"/>
        </w:rPr>
        <w:t>Κλινική αποτελεσματικότητα και ασφάλεια</w:t>
      </w:r>
    </w:p>
    <w:p>
      <w:pPr>
        <w:widowControl w:val="0"/>
        <w:tabs>
          <w:tab w:val="left" w:pos="142"/>
        </w:tabs>
        <w:spacing w:line="240" w:lineRule="auto"/>
        <w:rPr>
          <w:szCs w:val="22"/>
          <w:lang w:val="el-GR"/>
        </w:rPr>
      </w:pPr>
      <w:r>
        <w:rPr>
          <w:szCs w:val="22"/>
          <w:lang w:val="en-US"/>
        </w:rPr>
        <w:t>H</w:t>
      </w:r>
      <w:r>
        <w:rPr>
          <w:szCs w:val="22"/>
          <w:lang w:val="el-GR"/>
        </w:rPr>
        <w:t xml:space="preserve"> ασφάλεια και η αποτελεσματικότητα της κλοπιδογρέλης έχουν αξιολογηθεί σε 7 διπλές-τυφλές μελέτες στις οποίες συμμετείχαν πάνω από 100.000 ασθενείς: η </w:t>
      </w:r>
      <w:r>
        <w:rPr>
          <w:szCs w:val="22"/>
          <w:lang w:val="en-US"/>
        </w:rPr>
        <w:t>CAPRIE</w:t>
      </w:r>
      <w:r>
        <w:rPr>
          <w:szCs w:val="22"/>
          <w:lang w:val="el-GR"/>
        </w:rPr>
        <w:t xml:space="preserve">, μία μελέτη σύγκρισης της κλοπιδογρέλης έναντι του ΑΣΟ και οι </w:t>
      </w:r>
      <w:r>
        <w:rPr>
          <w:szCs w:val="22"/>
          <w:lang w:val="en-US"/>
        </w:rPr>
        <w:t>CURE</w:t>
      </w:r>
      <w:r>
        <w:rPr>
          <w:szCs w:val="22"/>
          <w:lang w:val="el-GR"/>
        </w:rPr>
        <w:t xml:space="preserve">, </w:t>
      </w:r>
      <w:r>
        <w:rPr>
          <w:szCs w:val="22"/>
          <w:lang w:val="en-US"/>
        </w:rPr>
        <w:t>CLARITY</w:t>
      </w:r>
      <w:r>
        <w:rPr>
          <w:szCs w:val="22"/>
          <w:lang w:val="el-GR"/>
        </w:rPr>
        <w:t xml:space="preserve">, </w:t>
      </w:r>
      <w:r>
        <w:rPr>
          <w:szCs w:val="22"/>
          <w:lang w:val="en-US"/>
        </w:rPr>
        <w:t>COMMIT</w:t>
      </w:r>
      <w:r>
        <w:rPr>
          <w:szCs w:val="22"/>
          <w:lang w:val="el-GR"/>
        </w:rPr>
        <w:t xml:space="preserve">, </w:t>
      </w:r>
      <w:r>
        <w:rPr>
          <w:szCs w:val="22"/>
          <w:lang w:val="en-US"/>
        </w:rPr>
        <w:t>CHANCE</w:t>
      </w:r>
      <w:r>
        <w:rPr>
          <w:szCs w:val="22"/>
          <w:lang w:val="el-GR"/>
        </w:rPr>
        <w:t xml:space="preserve">, </w:t>
      </w:r>
      <w:r>
        <w:rPr>
          <w:szCs w:val="22"/>
          <w:lang w:val="en-US"/>
        </w:rPr>
        <w:t>POINT</w:t>
      </w:r>
      <w:r>
        <w:rPr>
          <w:szCs w:val="22"/>
          <w:lang w:val="el-GR"/>
        </w:rPr>
        <w:t xml:space="preserve"> και </w:t>
      </w:r>
      <w:r>
        <w:rPr>
          <w:szCs w:val="22"/>
          <w:lang w:val="en-US"/>
        </w:rPr>
        <w:t>ACTIVE</w:t>
      </w:r>
      <w:r>
        <w:rPr>
          <w:szCs w:val="22"/>
          <w:lang w:val="el-GR"/>
        </w:rPr>
        <w:t>-</w:t>
      </w:r>
      <w:r>
        <w:rPr>
          <w:szCs w:val="22"/>
          <w:lang w:val="en-US"/>
        </w:rPr>
        <w:t>A</w:t>
      </w:r>
      <w:r>
        <w:rPr>
          <w:szCs w:val="22"/>
          <w:lang w:val="el-GR"/>
        </w:rPr>
        <w:t>, μελέτες σύγκρισης της κλοπιδογρέλης έναντι εικονικού φαρμάκου, όπου και τα δύο φαρμακευτικά προϊόντα χορηγήθηκαν σε συνδυασμό με ΑΣΟ και άλλη καθιερωμένη θεραπεία.</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i/>
          <w:iCs/>
          <w:color w:val="000000"/>
          <w:szCs w:val="22"/>
          <w:lang w:val="el-GR"/>
        </w:rPr>
      </w:pPr>
      <w:r>
        <w:rPr>
          <w:i/>
          <w:iCs/>
          <w:color w:val="000000"/>
          <w:szCs w:val="22"/>
          <w:lang w:val="el-GR"/>
        </w:rPr>
        <w:lastRenderedPageBreak/>
        <w:t>Πρόσφατο έμφραγμα του μυοκαρδίου, πρόσφατο αγγειακό εγκεφαλικό επεισόδιο ή εγκατεστημένη περιφερική αρτηριακή νόσος</w:t>
      </w:r>
    </w:p>
    <w:p>
      <w:pPr>
        <w:widowControl w:val="0"/>
        <w:autoSpaceDE w:val="0"/>
        <w:autoSpaceDN w:val="0"/>
        <w:adjustRightInd w:val="0"/>
        <w:spacing w:line="240" w:lineRule="auto"/>
        <w:rPr>
          <w:color w:val="000000"/>
          <w:szCs w:val="22"/>
          <w:lang w:val="el-GR"/>
        </w:rPr>
      </w:pPr>
      <w:r>
        <w:rPr>
          <w:color w:val="000000"/>
          <w:szCs w:val="22"/>
          <w:lang w:val="el-GR"/>
        </w:rPr>
        <w:t>Η μελέτη CAPRIE συμπεριέλαβε 19.185 ασθενείς με αθηροθρόμβωση που είχε εκδηλωθεί με πρόσφατο έμφραγμα μυοκαρδίου (&lt;35 ημέρες), πρόσφατο ισχαιμικό αγγειακό εγκεφαλικό επεισόδιο (μεταξύ 7 ημερών και 6 μηνών) ή εγκατεστημένη περιφερική αρτηριακή νόσο (ΠΑΝ). Έγινε τυχαιοποίηση των ασθενών σε ομάδες κλοπιδογρέλης 75 mg/ημέρα ή ΑΣΟ 325 mg/ημέρα και η παρακολούθηση διήρκεσε για 1 έως 3 χρόνια. Στην υποομάδα με έμφραγμα του μυοκαρδίου, οι περισσότεροι από τους ασθενείς έλαβαν ΑΣΟ για τις πρώτες λίγες ημέρες μετά το οξύ έμφραγμα του μυοκαρδίου. Η κλοπιδογρέλη μείωσε σημαντικά τη συχνότητα εμφάνισης νέων ισχαιμικών επεισοδίων (σύνθετο καταληκτικό σημείο εμφράγματος του μυοκαρδίου, ισχαιμικού αγγειακού εγκεφαλικού επεισοδίου και καρδιαγγειακού θανάτου) συγκρινόμενη με ΑΣΟ. Χρησιμοποιώντας το μοντέλο στατιστικής ανάλυσης με Πρόθεση για θεραπεία, 939 συμβάντα παρατηρήθηκαν στην ομάδα της κλοπιδογρέλης, και 1.020 συμβάντα με ΑΣΟ (μείωση του σχετικού κινδύνου (RRR) 8,7%, [95% CI: 0,2 έως 16,4], p = 0,045), που αναλογικά σημαίνει ότι σε κάθε 1.000 ασθενείς που έλαβαν αγωγή επί 2 χρόνια αντιστοιχούν 10 [CI: 0 έως 20] επιπρόσθετοι ασθενείς που προφυλάχθηκαν από νέο ισχαιμικό επεισόδιο. Η ανάλυση της συνολικής θνησιμότητας ως δευτερεύον καταληκτικό σημείο δεν έδειξε κάποια σημαντική διαφορά μεταξύ της κλοπιδογρέλης (5,8%) και του ΑΣΟ (6,0%).</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Σε μια ανάλυση υποομάδων ανά κατάσταση (έμφραγμα του μυοκαρδίου, ισχαιμικό αγγειακό εγκεφαλικό επεισόδιο και ΠΑΝ) το όφελος αποδείχθηκε μέγιστο (επιτυγχάνοντας στατιστική διαφορά p = 0,003) σε ασθενείς που είχαν συμπεριληφθεί λόγω ΠΑΝ (ιδίως σε εκείνους που είχαν επίσης ιστορικό εμφράγματος του μυοκαρδίου) (RRR = 23,7%, CΙ: 8,9 έως 36,2) και μικρότερο (όχι σημαντικά διαφορετικό από ΑΣΟ) σε ασθενείς με αγγειακό εγκεφαλικό επεισόδιο (RRR = 7,3%, CΙ: -5,7 έως 18,7 [p = 0,258]). Σε ασθενείς που είχαν συμπεριληφθεί στη δοκιμή με μόνη αιτιολογία πρόσφατο έμφραγμα του μυοκαρδίου, η κλοπιδογρέλη ήταν αριθμητικά κατώτερη, αλλά χωρίς στατιστικά σημαντική διαφορά από το ΑΣΟ (RRR = -4,0%, CΙ: -22,5 έως 11,7 [p = 0,639]). Επιπλέον, η ανάλυση μίας υποομάδας με βάση την ηλικία έδειξε ότι το όφελος από την κλοπιδογρέλη σε ασθενείς άνω των 75 ετών ήταν μικρότερο από εκείνο που παρατηρήθηκε σε ασθενείς ≤75 ετών.</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Επειδή η δοκιμή CAPRIE δεν ήταν σε θέση να εκτιμήσει την αποτελεσματικότητα των επί μέρους υποομάδων, δεν είναι σαφές εάν οι διαφορές στη σχετική ελάττωση του κινδύνου στις υποομάδες ανά κατάσταση είναι πραγματικές, ή αποτέλεσμα τύχης.</w:t>
      </w:r>
    </w:p>
    <w:p>
      <w:pPr>
        <w:widowControl w:val="0"/>
        <w:autoSpaceDE w:val="0"/>
        <w:autoSpaceDN w:val="0"/>
        <w:adjustRightInd w:val="0"/>
        <w:spacing w:line="240" w:lineRule="auto"/>
        <w:rPr>
          <w:i/>
          <w:iCs/>
          <w:szCs w:val="22"/>
          <w:lang w:val="el-GR"/>
        </w:rPr>
      </w:pPr>
    </w:p>
    <w:p>
      <w:pPr>
        <w:widowControl w:val="0"/>
        <w:tabs>
          <w:tab w:val="clear" w:pos="567"/>
        </w:tabs>
        <w:spacing w:line="240" w:lineRule="auto"/>
        <w:rPr>
          <w:i/>
          <w:szCs w:val="22"/>
          <w:lang w:val="el-GR"/>
        </w:rPr>
      </w:pPr>
      <w:r>
        <w:rPr>
          <w:i/>
          <w:szCs w:val="22"/>
          <w:lang w:val="el-GR"/>
        </w:rPr>
        <w:t>Οξύ στεφανιαίο σύνδρομο</w:t>
      </w:r>
    </w:p>
    <w:p>
      <w:pPr>
        <w:widowControl w:val="0"/>
        <w:autoSpaceDE w:val="0"/>
        <w:autoSpaceDN w:val="0"/>
        <w:adjustRightInd w:val="0"/>
        <w:spacing w:line="240" w:lineRule="auto"/>
        <w:rPr>
          <w:szCs w:val="22"/>
          <w:lang w:val="el-GR"/>
        </w:rPr>
      </w:pPr>
      <w:bookmarkStart w:id="9" w:name="_Hlk481133229"/>
      <w:bookmarkStart w:id="10" w:name="_Hlk481138972"/>
      <w:r>
        <w:rPr>
          <w:szCs w:val="22"/>
          <w:lang w:val="el-GR"/>
        </w:rPr>
        <w:t>Η μελέτη CURE συμπεριέλαβε 12.562 ασθενείς με οξύ στεφανιαίο σύνδρομο χωρίς ανάσπαση του διαστήματος ST (ασταθής στηθάγχη ή έμφραγμα του μυοκαρδίου χωρίς κύμα Q), που προσήλθαν εντός 24 ωρών από την έναρξη του πιο πρόσφατου επεισοδίου θωρακικού άλγους ή συμπτωμάτων συμβατών με ισχαιμία. Οι ασθενείς απαιτήθηκε να έχουν είτε ηλεκτροκαρδιογραφικές μεταβολές συμβατές με νέα ισχαιμία ή αύξηση των καρδιακών ενζύμων ή της τροπονίνης Ι ή Τ τουλάχιστον δύο φορές πάνω από το ανώτατο φυσιολογικό όριο. Οι ασθενείς τυχαιοποιήθηκαν σε κλοπιδογρέλη (δόση φόρτισης 300 mg ακολουθούμενη από 75 mg/ημέρα, N=6.259) ή σε εικονικό φάρμακο (N=6.303), χορηγούμενα και τα δύο σε συνδυασμό με ΑΣΟ (75-325 mg εφάπαξ ημερησίως) και άλλες καθιερωμένες αγωγές. Οι ασθενείς ήταν υπό αγωγή μέχρι και ένα χρόνο. Στη μελέτη CURE, σε 823 (6,6%) ασθενείς συγχορηγήθηκαν ανταγωνιστές των υποδοχέων γλυκοπρωτεΐνης IIb/IIIa. Ηπαρίνες χορηγήθηκαν σε περισσότερο από το 90% των ασθενών και ο σχετικός ρυθμός αιμορραγίας μεταξύ κλοπιδογρέλης και εικονικού φαρμάκου δεν επηρεάστηκε σημαντικά από τη συγχορήγηση ηπαρίνης.</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 xml:space="preserve">Ο αριθμός των ασθενών που εμφάνισαν το πρωτεύον καταληκτικό σημείο [θάνατος καρδιαγγειακής αιτιολογίας, έμφραγμα του μυοκαρδίου (ΕΜ), ή αγγειακό εγκεφαλικό επεισόδιο] ήταν 582 (9,3%) στην ομάδα της κλοπιδογρέλης και 719 (11,4%) στην ομάδα του εικονικού φαρμάκου, με 20% μείωση του σχετικού κινδύνου (95% CI 10%-28%, p=0,00009) για την ομάδα της κλοπιδογρέλης (17% μείωση του σχετικού κινδύνου όταν οι ασθενείς ήταν υπό συντηρητική αγωγή, 29% όταν είχαν υποβληθεί σε επέμβαση διαδερμικής διαυλικής αγγειοπλαστικής στεφανιαίων (PTCA) με ή χωρίς τοποθέτηση ενδοπρόθεσης (stent) και 10% όταν είχαν υποβληθεί σε επέμβαση αορτοστεφανιαίας παράκαμψης (CABG)). Προλήφθηκαν νέα καρδιαγγειακά επεισόδια (πρωτεύον καταληκτικό σημείο), με μειώσεις του σχετικού κινδύνου της τάξεως του 22% (CI: 8,6, 33,4), 32% (CI: 12,8, 46,4), 4% (CI: -26,9, 26,7), 6% (CI: -33,5, 34,3) και του 14% (CI: -31,6, 44,2), κατά τη διάρκεια των διαστημάτων </w:t>
      </w:r>
      <w:r>
        <w:rPr>
          <w:szCs w:val="22"/>
          <w:lang w:val="el-GR"/>
        </w:rPr>
        <w:lastRenderedPageBreak/>
        <w:t>της μελέτης 0-1, 1-3, 3-6, 6-9 και 9</w:t>
      </w:r>
      <w:r>
        <w:rPr>
          <w:szCs w:val="22"/>
          <w:lang w:val="sl-SI"/>
        </w:rPr>
        <w:t>-</w:t>
      </w:r>
      <w:r>
        <w:rPr>
          <w:szCs w:val="22"/>
          <w:lang w:val="el-GR"/>
        </w:rPr>
        <w:t>12 μήνες, αντίστοιχα. Συνεπώς, μετά τους 3 μήνες αγωγής, το όφελος που παρατηρήθηκε στην ομάδα κλοπιδογρέλης + ΑΣΟ δεν αυξήθηκε περαιτέρω ενώ ο κίνδυνος αιμορραγίας παρέμεινε (βλ. παράγραφο 4.4).</w:t>
      </w:r>
    </w:p>
    <w:bookmarkEnd w:id="9"/>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Η χρήση της κλοπιδογρέλης στην CURE συσχετίστηκε με μείωση της ανάγκης για θρομβολυτική αγωγή (RRR= 43,3%, CI: 24,3%, 57,5%) και αναστολείς υποδοχέων γλυκοπρωτεΐνης IIb/IIIa (RRR=18,2%, CI: 6,5%, 28,3%).</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bookmarkStart w:id="11" w:name="_Hlk481133250"/>
      <w:r>
        <w:rPr>
          <w:szCs w:val="22"/>
          <w:lang w:val="el-GR"/>
        </w:rPr>
        <w:t>Ο αριθμός των ασθενών που εμφάνισαν το σύνθετο πρωτεύον καταληκτικό σημείο [θάνατος καρδιαγγειακής αιτιολογίας, έμφραγμα του μυοκαρδίου (ΕΜ), αγγειακό εγκεφαλικό επεισόδιο ή ανθεκτική ισχαιμία] ήταν 1.035 (16,5%) στην ομάδα της κλοπιδογρέλης και 1.187 (18,8%) στην ομάδα του εικονικού φαρμάκου, με 14% μείωση του σχετικού κινδύνου (95% CI 6%-21%, p=0,0005) για την ομάδα της κλοπιδογρέλης. Αυτό το όφελος προέκυψε κυρίως από τη στατιστικώς σημαντική μείωση της συχνότητας εμφάνισης του εμφράγματος του μυοκαρδίου [287 (4,6%) στην ομάδα της κλοπιδογρέλης και 363 (5,8%) στην ομάδα του εικονικού φαρμάκου].</w:t>
      </w:r>
    </w:p>
    <w:p>
      <w:pPr>
        <w:widowControl w:val="0"/>
        <w:autoSpaceDE w:val="0"/>
        <w:autoSpaceDN w:val="0"/>
        <w:adjustRightInd w:val="0"/>
        <w:spacing w:line="240" w:lineRule="auto"/>
        <w:rPr>
          <w:szCs w:val="22"/>
          <w:lang w:val="el-GR"/>
        </w:rPr>
      </w:pPr>
      <w:r>
        <w:rPr>
          <w:szCs w:val="22"/>
          <w:lang w:val="el-GR"/>
        </w:rPr>
        <w:t>Δεν παρατηρήθηκε επίδραση στη συχνότητα επανεισαγωγής σε νοσοκομείο για ασταθή στηθάγχη.</w:t>
      </w:r>
    </w:p>
    <w:bookmarkEnd w:id="11"/>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bookmarkStart w:id="12" w:name="_Hlk481133285"/>
      <w:r>
        <w:rPr>
          <w:szCs w:val="22"/>
          <w:lang w:val="el-GR"/>
        </w:rPr>
        <w:t xml:space="preserve">Τα αποτελέσματα που ελήφθησαν σε πληθυσμούς με διαφορετικά χαρακτηριστικά (π.χ. ασταθή στηθάγχη ή έμφραγμα του μυοκαρδίου χωρίς κύμα Q, χαμηλά έως υψηλά επίπεδα κινδύνου, διαβήτης, ανάγκη επέμβασης επαναγγείωσης, ηλικία, φύλο, κ.λπ.) ήταν σύμφωνα με τα αποτελέσματα της πρωταρχικής ανάλυσης. Συγκεκριμένα, σε μία </w:t>
      </w:r>
      <w:r>
        <w:rPr>
          <w:iCs/>
          <w:szCs w:val="22"/>
          <w:lang w:val="el-GR"/>
        </w:rPr>
        <w:t>post-hoc</w:t>
      </w:r>
      <w:r>
        <w:rPr>
          <w:i/>
          <w:iCs/>
          <w:szCs w:val="22"/>
          <w:lang w:val="el-GR"/>
        </w:rPr>
        <w:t xml:space="preserve"> </w:t>
      </w:r>
      <w:r>
        <w:rPr>
          <w:szCs w:val="22"/>
          <w:lang w:val="el-GR"/>
        </w:rPr>
        <w:t>ανάλυση 2.172 ασθενών (17% του συνολικού πληθυσμού ασθενών της μελέτης CURE), οι οποίοι υποβλήθηκαν σε τοποθέτηση ενδοπρόθεσης (stent) (Stent-CURE), τα δεδομένα έδειξαν ότι η κλοπιδογρέλη εν συγκρίσει με το εικονικό φάρμακο, επέδειξε σημαντική μείωση του σχετικού κινδύνου (RRR) κατά 26,2% ως προς το σύνθετο πρωτεύον καταληκτικό σημείο (θάνατος καρδιαγγειακής αιτιολογίας, έμφραγμα του μυοκαρδίου, αγγειακό εγκεφαλικό επεισόδιο) και επίσης μία σημαντική μείωση του σχετικού κινδύνου κατά 23,9% ως προς το σύνθετο δευτερεύον καταληκτικό σημείο (θάνατος από καρδιαγγειακής αιτιολογίας, έμφραγμα του μυοκαρδίου, αγγειακό εγκεφαλικό επεισόδιο ή ανθεκτική ισχαιμία). Επιπλέον, το προφίλ ασφάλειας της κλοπιδογρέλης σε αυτήν την υποομάδα ασθενών δεν δημιούργησε κάποιον ιδιαίτερο προβληματισμό. Συνεπώς, τα αποτελέσματα από αυτό το υποσύνολο συμφωνούν με τα συνολικά αποτελέσματα της δοκιμής.</w:t>
      </w:r>
    </w:p>
    <w:bookmarkEnd w:id="12"/>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Τα οφέλη που παρατηρήθηκαν με την κλοπιδογρέλη ήταν ανεξάρτητα από άλλες θεραπείες που χορηγούνται οξέως ή χρονίως για καρδιαγγειακά νοσήματα (όπως ηπαρίνη/ηπαρίνες μικρού μοριακού βάρους (ΗΜΜΒ), ανταγωνιστές υποδοχέων της γλυκοπρωτεΐνης ΙΙb/IIIa, υπολιπιδαιμικά φαρμακευτικά προϊόντα, β-αναστολείς, και αναστολείς του μετατρεπτικού ενζύμου της αγγειοτασίνης). Η αποτελεσματικότητα της κλοπιδογρέλης παρατηρήθηκε ανεξάρτητα από τη δόση του ΑΣΟ (75-325 mg μία φορά ημερησίως).</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u w:val="single"/>
          <w:lang w:val="el-GR"/>
        </w:rPr>
      </w:pPr>
      <w:r>
        <w:rPr>
          <w:u w:val="single"/>
          <w:lang w:val="el-GR"/>
        </w:rPr>
        <w:t>Οξύ έμφραγμα του μυοκαρδίου με ανάσπαση του διαστήματος ST</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Σε ασθενείς με οξύ έμφραγμα του μυοκαρδίου με ανάσπαση του διαστήματος ST (</w:t>
      </w:r>
      <w:r>
        <w:rPr>
          <w:szCs w:val="22"/>
          <w:lang w:val="en-US"/>
        </w:rPr>
        <w:t>STEMI</w:t>
      </w:r>
      <w:r>
        <w:rPr>
          <w:szCs w:val="22"/>
          <w:lang w:val="el-GR"/>
        </w:rPr>
        <w:t>), η ασφάλεια και η αποτελεσματικότητα της κλοπιδογρέλης έχουν αξιολογηθεί σε δύο τυχαιοποιημένες, ελεγχόμενες με εικονικό φάρμακο, διπλά-τυφλές μελέτες, στην CLARITY, σε μία προοπτική ανάλυση υποομάδας της CLARITY (CLARITY PCI), καθώς και στην COMMIT.</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bookmarkStart w:id="13" w:name="_Hlk481133307"/>
      <w:r>
        <w:rPr>
          <w:szCs w:val="22"/>
          <w:lang w:val="el-GR"/>
        </w:rPr>
        <w:t xml:space="preserve">H δοκιμή CLARITY συμπεριέλαβε 3.491 ασθενείς που προσήλθαν εντός 12 ωρών από την έναρξη εμφράγματος του μυοκαρδίου με ανάσπαση του διαστήματος ST και προγραμματίστηκε να ξεκινήσουν θρομβολυτική θεραπεία. Οι ασθενείς έλαβαν κλοπιδογρέλη (δόση φόρτισης 300 mg, ακολουθούμενη από 75 mg/ημέρα, n=1.752) ή εικονικό φάρμακο (n=1.739), και στις δύο περιπτώσεις σε συνδυασμό με ΑΣΟ (ως δόση φόρτισης 150 έως 325 mg, ακολουθούμενα από 75 έως 162 mg/ημέρα), με έναν ινωδολυτικό παράγοντα και, όταν χρειαζόταν, με ηπαρίνη. Οι ασθενείς ήταν υπό παρακολούθηση για 30 ημέρες. Το πρωτεύον καταληκτικό σημείο ήταν η παρουσία αποφραγμένης εξαιτίας εμφράκτου στεφανιαίας αρτηρίας στην αγγειογραφία πριν από την έξοδο του ασθενή από το νοσοκομείο, ή θάνατος ή υποτροπιάζoν έμφραγμα του μυοκαρδίου πριν τη στεφανιογραφία. Για ασθενείς που δεν υποβλήθηκαν σε στεφανιογραφία, το πρωτεύον καταληκτικό σημείο ήταν ο θάνατος ή το υποτροπιάζoν έμφραγμα του μυοκαρδίου έως την Ημέρα 8 ή μέχρι </w:t>
      </w:r>
      <w:r>
        <w:rPr>
          <w:szCs w:val="22"/>
          <w:lang w:val="el-GR"/>
        </w:rPr>
        <w:lastRenderedPageBreak/>
        <w:t>εξιτηρίου από το νοσοκομείο. Ο πληθυσμός ασθενών συμπεριελάμβανε 19,7% γυναίκες και 29,2% ασθενείς ≥ 65 ετών. Ένα σύνολο 99,7% των ασθενών έλαβε ινωδολυτικά (ινωδο-ειδικά: 68,7%, μη ινωδο-ειδικά: 31,1%), 89,5% ηπαρίνη, 78,7% β-αναστολείς, 54,7% αναστολείς του μετατρεπτικού ενζύμου της αγγειοτασίνης και 63% στατίνες.</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Ποσοστό δεκαπέντε τοις εκατό (15,0%) των ασθενών στην ομάδα της κλοπιδογρέλης και 21,7% στην ομάδα του εικονικού φαρμάκου έφτασε στο πρωτεύον καταληκτικό σημείο, αντιπροσωπεύοντας απόλυτη μείωση κατά 6,7% και 36% πιθανή μείωση υπέρ της κλοπιδογρέλης (95% CI: 24, 47%, p &lt; 0,001), κυρίως σχετιζόμενες με μείωση του αποφρακτικού αρτηριακού εμφράκτου. Το όφελος αυτό ήταν σταθερό σε όλες τις προκαθορισμένες υποομάδες συμπεριλαμβανομένης της ηλικίας και του φύλου του ασθενή, της εντόπισης του εμφράκτου και του τύπου του ινωδολυτικού ή της ηπαρίνης που χρησιμοποιήθηκε.</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lang w:val="el-GR"/>
        </w:rPr>
        <w:t xml:space="preserve">Η ανάλυση υποομάδας </w:t>
      </w:r>
      <w:r>
        <w:rPr>
          <w:b/>
          <w:bCs/>
          <w:lang w:val="el-GR"/>
        </w:rPr>
        <w:t>CLARITY PCI</w:t>
      </w:r>
      <w:r>
        <w:rPr>
          <w:lang w:val="el-GR"/>
        </w:rPr>
        <w:t xml:space="preserve"> συμπεριέλαβε 1.863 ασθενείς με STEMI που υποβλήθηκαν σε PCI. Οι ασθενείς που έλαβαν δόση φόρτισης (LD) κλοπιδογρέλης 300 mg (n=933) είχαν σημαντική μείωση στην επίπτωση θανάτου καρδιαγγειακής αιτιολογίας, ΕΜ ή αγγειακού εγκεφαλικού επεισοδίου μετά από PCI σε σύγκριση με εκείνους που έλαβαν εικονικό φάρμακο (n=930) (3,6% με προκαταρκτική αγωγή με κλοπιδογρέλη έναντι 6,2% με εικονικό φάρμακο, OR: 0,54, 95% CI: 0,35-0,85, p=0,008). Οι ασθενείς που έλαβαν LD κλοπιδογρέλης 300 mg είχαν σημαντική μείωση στην επίπτωση θανάτου καρδιαγγειακής αιτιολογίας, ΕΜ ή αγγειακού εγκεφαλικού επεισοδίου κατά τη διάρκεια των 30 ημερών μετά την PCI σε σύγκριση με εκείνους που έλαβαν εικονικό φάρμακο (7,5% με προκαταρκτική αγωγή με κλοπιδογρέλη έναντι 12,0% με εικονικό φάρμακο, OR: 0,59, 95% CI: 0,43-0,81, p=0,001). Ωστόσο, όταν αυτό το σύνθετο καταληκτικό σημείο αξιολογήθηκε στον συνολικό πληθυσμό της μελέτης CLARITY δεν ήταν στατιστικά σημαντικό ως δευτερεύον καταληκτικό σημείο. Δεν παρατηρήθηκε σημαντική διαφορά στα ποσοστά μείζονος ή ελάσσονος αιμορραγίας μεταξύ των δύο θεραπειών (2,0% με προκαταρκτική αγωγή με κλοπιδογρέλη έναντι 1,9% με εικονικό φάρμακο, p&gt;0,99). Τα ευρήματα αυτής της ανάλυσης υποστηρίζουν την πρώιμη χρήση δόσης φόρτισης κλοπιδογρέλης σε STEMI και τη στρατηγική της τακτικής χρήσης προκαταρκτικής αγωγής με κλοπιδογρέλη σε ασθενείς που υποβάλλονται σε PCI.</w:t>
      </w:r>
    </w:p>
    <w:bookmarkEnd w:id="13"/>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bookmarkStart w:id="14" w:name="_Hlk481133368"/>
      <w:r>
        <w:rPr>
          <w:szCs w:val="22"/>
          <w:lang w:val="el-GR"/>
        </w:rPr>
        <w:t>Η δοκιμή COMMIT με παραγοντικό σχεδιασμό 2x2 συμπεριέλαβε 45.852 ασθενείς που προσήλθαν εντός 24 ωρών από την έναρξη συμπτωμάτων πιθανολογούμενου εμφράγματος του μυοκαρδίου με ανάλογες ηλεκτροκαρδιογραφικές αλλοιώσεις (π.χ. ανάσπαση ST, κατάσπαση ST ή αριστερό σκελικό αποκλεισμό). Oι ασθενείς έλαβαν κλοπιδογρέλη (75 mg/ημέρα, n=22.961) ή εικονικό φάρμακο (n=22.891), σε συνδυασμό με ΑΣΟ (162 mg/ημέρα), για 28 ημέρες ή μέχρι εξιτηρίου από το νοσοκομείο. Τα σύνθετα πρωτεύοντα καταληκτικά σημεία ήταν ο θάνατος από οποιαδήποτε αιτία και η πρώτη εμφάνιση επανέμφραξης, αγγειακού εγκεφαλικού επεισοδίου ή θανάτου. Ο πληθυσμός περιελάμβανε 27,8% γυναίκες, 58,4% ασθενείς ≥ 60 ετών (26% ≥ 70 ετών) και 54,5% ασθενείς που έλαβαν ινωδολυτικά.</w:t>
      </w:r>
    </w:p>
    <w:bookmarkEnd w:id="14"/>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bookmarkStart w:id="15" w:name="_Hlk481133383"/>
      <w:r>
        <w:rPr>
          <w:szCs w:val="22"/>
          <w:lang w:val="el-GR"/>
        </w:rPr>
        <w:t>Η κλοπιδογρέλη μείωσε σημαντικά το σχετικό κίνδυνο θανάτου από οποιαδήποτε αιτία κατά 7% (p = 0,029) και το σχετικό κίνδυνο του συνδυασμού επανέμφραξης, αγγειακού εγκεφαλικού επεισοδίου ή θανάτου κατά 9% (p = 0,002), αντιπροσωπεύοντας απόλυτη μείωση κατά 0,5% και 0,9%, αντίστοιχα. Το όφελος αυτό ήταν σταθερό ως προς την ηλικία, το φύλο και τη χορήγηση ή όχι θρομβολυτικών και παρατηρήθηκε εντός 24 ωρών.</w:t>
      </w:r>
    </w:p>
    <w:p>
      <w:pPr>
        <w:widowControl w:val="0"/>
        <w:autoSpaceDE w:val="0"/>
        <w:autoSpaceDN w:val="0"/>
        <w:adjustRightInd w:val="0"/>
        <w:spacing w:line="240" w:lineRule="auto"/>
        <w:rPr>
          <w:szCs w:val="22"/>
          <w:lang w:val="el-GR"/>
        </w:rPr>
      </w:pPr>
    </w:p>
    <w:p>
      <w:pPr>
        <w:tabs>
          <w:tab w:val="clear" w:pos="567"/>
        </w:tabs>
        <w:autoSpaceDE w:val="0"/>
        <w:autoSpaceDN w:val="0"/>
        <w:adjustRightInd w:val="0"/>
        <w:spacing w:line="240" w:lineRule="auto"/>
        <w:rPr>
          <w:u w:val="single"/>
          <w:lang w:val="el-GR"/>
        </w:rPr>
      </w:pPr>
      <w:r>
        <w:rPr>
          <w:u w:val="single"/>
          <w:lang w:val="el-GR"/>
        </w:rPr>
        <w:t>Κλοπιδογρέλη εφάπαξ δόσης φόρτισης 600mg σε ασθενείς με Οξύ Στεφανιαίο Σύνδρομο που υποβάλλονται σε PCI</w:t>
      </w:r>
    </w:p>
    <w:p>
      <w:pPr>
        <w:tabs>
          <w:tab w:val="clear" w:pos="567"/>
        </w:tabs>
        <w:autoSpaceDE w:val="0"/>
        <w:autoSpaceDN w:val="0"/>
        <w:adjustRightInd w:val="0"/>
        <w:spacing w:line="240" w:lineRule="auto"/>
        <w:rPr>
          <w:bCs/>
          <w:szCs w:val="22"/>
          <w:lang w:val="el-GR"/>
        </w:rPr>
      </w:pPr>
    </w:p>
    <w:p>
      <w:pPr>
        <w:tabs>
          <w:tab w:val="clear" w:pos="567"/>
        </w:tabs>
        <w:autoSpaceDE w:val="0"/>
        <w:autoSpaceDN w:val="0"/>
        <w:adjustRightInd w:val="0"/>
        <w:spacing w:line="240" w:lineRule="auto"/>
        <w:rPr>
          <w:bCs/>
          <w:i/>
          <w:iCs/>
          <w:szCs w:val="22"/>
          <w:lang w:val="el-GR"/>
        </w:rPr>
      </w:pPr>
      <w:r>
        <w:rPr>
          <w:b/>
          <w:szCs w:val="22"/>
          <w:lang w:val="en-US"/>
        </w:rPr>
        <w:t>CURRENT</w:t>
      </w:r>
      <w:r>
        <w:rPr>
          <w:b/>
          <w:szCs w:val="22"/>
          <w:lang w:val="el-GR"/>
        </w:rPr>
        <w:t>-</w:t>
      </w:r>
      <w:r>
        <w:rPr>
          <w:b/>
          <w:szCs w:val="22"/>
          <w:lang w:val="en-US"/>
        </w:rPr>
        <w:t>OASIS</w:t>
      </w:r>
      <w:r>
        <w:rPr>
          <w:b/>
          <w:szCs w:val="22"/>
          <w:lang w:val="el-GR"/>
        </w:rPr>
        <w:t>-7</w:t>
      </w:r>
      <w:r>
        <w:rPr>
          <w:bCs/>
          <w:szCs w:val="22"/>
          <w:lang w:val="el-GR"/>
        </w:rPr>
        <w:t xml:space="preserve"> </w:t>
      </w:r>
      <w:r>
        <w:rPr>
          <w:bCs/>
          <w:i/>
          <w:iCs/>
          <w:szCs w:val="22"/>
          <w:lang w:val="el-GR"/>
        </w:rPr>
        <w:t>(Χρήση Βέλτιστης Δόσης Κλοπιδογρέλης και Ασπιρίνης για τη Μείωση των Επαναλαμβανόμενων Συμβάντων Έβδομος Οργανισμός για την Αξιολόγηση Στρατηγικών σε Ισχαιμικά Σύνδρομα)</w:t>
      </w:r>
    </w:p>
    <w:p>
      <w:pPr>
        <w:tabs>
          <w:tab w:val="clear" w:pos="567"/>
        </w:tabs>
        <w:autoSpaceDE w:val="0"/>
        <w:autoSpaceDN w:val="0"/>
        <w:adjustRightInd w:val="0"/>
        <w:spacing w:line="240" w:lineRule="auto"/>
        <w:rPr>
          <w:lang w:val="el-GR"/>
        </w:rPr>
      </w:pPr>
      <w:r>
        <w:rPr>
          <w:bCs/>
          <w:szCs w:val="22"/>
          <w:lang w:val="el-GR"/>
        </w:rPr>
        <w:t xml:space="preserve">Αυτή η τυχαιοποιημένη παραγοντική μελέτη συμπεριλάμβανε 25.086 ανθρώπους </w:t>
      </w:r>
      <w:r>
        <w:rPr>
          <w:lang w:val="el-GR"/>
        </w:rPr>
        <w:t xml:space="preserve">με οξύ στεφανιαίο σύνδρομο (ΟΣΣ) που προορίζονταν για πρωτογενή </w:t>
      </w:r>
      <w:r>
        <w:rPr>
          <w:lang w:val="en-US"/>
        </w:rPr>
        <w:t>PCI</w:t>
      </w:r>
      <w:r>
        <w:rPr>
          <w:lang w:val="el-GR"/>
        </w:rPr>
        <w:t xml:space="preserve">. Οι ασθενείς τυχαιοποιήθηκαν είτε σε διπλή δόση (600 mg την Ημέρα 1, έπειτα 150 mg τις Ημέρες 2–7, έπειτα 75 mg ημερησίως) ή σε κανονική δόση (300 mg την Ημέρα 1, έπειτα 75 mg ημερησίως) κλοπιδογρέλης, και σε υψηλή δόση (300–325 mg ημερησίως) ή σε χαμηλή δόση (75–100 mg ημερησίως) ΑΣΟ. Οι 24.835 εγγεγραμμένοι ασθενείς </w:t>
      </w:r>
      <w:r>
        <w:rPr>
          <w:lang w:val="el-GR"/>
        </w:rPr>
        <w:lastRenderedPageBreak/>
        <w:t xml:space="preserve">με ΟΣΣ υποβλήθηκαν σε στεφανιογραφία και οι 17.263 έλαβαν PCI. Μεταξύ των 17.263 ασθενών που έλαβαν θεραπεία με PCI, σε σύγκριση με την κανονική δόση, η διπλή δόση κλοπιδογρέλης μείωσε το ποσοστό του πρωτεύοντος καταληκτικού σημείου (3,9% έναντι 4,5% προσαρμοσμένου HR= 0,86, 95% CI 0,74-0,99, p=0,039) και μείωσε σημαντικά τη θρόμβωση του </w:t>
      </w:r>
      <w:r>
        <w:rPr>
          <w:lang w:val="en-US"/>
        </w:rPr>
        <w:t>stent</w:t>
      </w:r>
      <w:r>
        <w:rPr>
          <w:lang w:val="el-GR"/>
        </w:rPr>
        <w:t xml:space="preserve"> (1,6% έναντι 2,3%, HR: 0,68, 95% CI: 0,55 0,85, p=0,001). Η μείζονα αιμορραγία ήταν πιο συχνή με την διπλή δόση από ότι με την κανονική δόση κλοπιδογρέλης (1,6% έναντι 1,1%, HR=1,41, 95% CI 1,09-1,83, p=0,009). Σε αυτή τη μελέτη, η εφάπαξ δόση φόρτισης κλοπιδογρέλης 600 mg έδειξε σταθερή αποτελεσματικότητα σε ασθενείς ηλικίας ≥75 ετών και σε ασθενείς ηλικίας &lt;75 ετών.</w:t>
      </w:r>
    </w:p>
    <w:p>
      <w:pPr>
        <w:tabs>
          <w:tab w:val="clear" w:pos="567"/>
        </w:tabs>
        <w:autoSpaceDE w:val="0"/>
        <w:autoSpaceDN w:val="0"/>
        <w:adjustRightInd w:val="0"/>
        <w:spacing w:line="240" w:lineRule="auto"/>
        <w:rPr>
          <w:b/>
          <w:lang w:val="el-GR"/>
        </w:rPr>
      </w:pPr>
    </w:p>
    <w:p>
      <w:pPr>
        <w:tabs>
          <w:tab w:val="clear" w:pos="567"/>
        </w:tabs>
        <w:autoSpaceDE w:val="0"/>
        <w:autoSpaceDN w:val="0"/>
        <w:adjustRightInd w:val="0"/>
        <w:spacing w:line="240" w:lineRule="auto"/>
        <w:rPr>
          <w:bCs/>
          <w:i/>
          <w:iCs/>
          <w:lang w:val="el-GR"/>
        </w:rPr>
      </w:pPr>
      <w:r>
        <w:rPr>
          <w:b/>
          <w:lang w:val="el-GR"/>
        </w:rPr>
        <w:t xml:space="preserve">ARMYDA-6 MI </w:t>
      </w:r>
      <w:r>
        <w:rPr>
          <w:bCs/>
          <w:i/>
          <w:iCs/>
          <w:lang w:val="el-GR"/>
        </w:rPr>
        <w:t>(Η Αντιαιμοπεταλιακή Θεραπεία για μείωση της Μυοσκελετικής Βλάβης κατά την Αγγειοπλαστική - Έμφραγμα του Μυοκαρδίου))</w:t>
      </w:r>
    </w:p>
    <w:p>
      <w:pPr>
        <w:tabs>
          <w:tab w:val="clear" w:pos="567"/>
        </w:tabs>
        <w:autoSpaceDE w:val="0"/>
        <w:autoSpaceDN w:val="0"/>
        <w:adjustRightInd w:val="0"/>
        <w:spacing w:line="240" w:lineRule="auto"/>
        <w:rPr>
          <w:lang w:val="el-GR"/>
        </w:rPr>
      </w:pPr>
      <w:r>
        <w:rPr>
          <w:bCs/>
          <w:szCs w:val="22"/>
          <w:lang w:val="el-GR"/>
        </w:rPr>
        <w:t xml:space="preserve">Αυτή η τυχαιοποιημένη, </w:t>
      </w:r>
      <w:r>
        <w:rPr>
          <w:lang w:val="el-GR"/>
        </w:rPr>
        <w:t xml:space="preserve">προοπτική, διεθνής, πολυκεντρική μελέτη αξιολόγησε την προ-θεραπεία με 600 mg έναντι 300 mg κλοπιδογρέλης </w:t>
      </w:r>
      <w:r>
        <w:rPr>
          <w:lang w:val="en-US"/>
        </w:rPr>
        <w:t>LD</w:t>
      </w:r>
      <w:r>
        <w:rPr>
          <w:lang w:val="el-GR"/>
        </w:rPr>
        <w:t xml:space="preserve"> στο πλαίσιο επείγοντος PCI για STEMI. Οι ασθενείς έλαβαν κλοπιδογρέλη 600 mg LD (n=103) ή κλοπιδογρέλη 300 mg LD (n=98) πριν από την PCI και στη συνέχεια συνταγογραφήθηκαν 75 mg/ημέρα από την επομένη της PCI έως 1 έτος. Οι ασθενείς που έλαβαν 600 mg LD κλοπιδογρέλης είχαν σημαντικά μειωμένο μέγεθος εμφράγματος σε σύγκριση με εκείνους που έλαβαν LD 300 mg. Υπήρξε λιγότερο συχνή θρομβόλυση σε </w:t>
      </w:r>
      <w:r>
        <w:rPr>
          <w:lang w:val="en-US"/>
        </w:rPr>
        <w:t>B</w:t>
      </w:r>
      <w:r>
        <w:rPr>
          <w:lang w:val="el-GR"/>
        </w:rPr>
        <w:t>αθμού ροής MI &lt;3 μετά από PCI σε 600 mg LD (5,8% έναντι 16,3%, p=0,031), βελτιωμένο LVEF στο εξιτήριο (52,1 ±9,5% έναντι 48,8 ±11,3%, p=0,026) και τα μείζονα ανεπιθύμητα καρδιαγγειακά συμβάντα 30 ημερών ήταν λιγότερα (5,8% έναντι 15%, p=0,049). Δεν παρατηρήθηκε αύξηση της αιμορραγίας ή των επιπλοκών της θέσης εισόδου (δευτερεύοντα καταληκτικά σημεία την Ημέρα 30).</w:t>
      </w:r>
    </w:p>
    <w:p>
      <w:pPr>
        <w:tabs>
          <w:tab w:val="clear" w:pos="567"/>
        </w:tabs>
        <w:autoSpaceDE w:val="0"/>
        <w:autoSpaceDN w:val="0"/>
        <w:adjustRightInd w:val="0"/>
        <w:spacing w:line="240" w:lineRule="auto"/>
        <w:rPr>
          <w:b/>
          <w:bCs/>
          <w:color w:val="000000"/>
          <w:szCs w:val="22"/>
          <w:lang w:val="el-GR"/>
        </w:rPr>
      </w:pPr>
    </w:p>
    <w:p>
      <w:pPr>
        <w:tabs>
          <w:tab w:val="clear" w:pos="567"/>
        </w:tabs>
        <w:autoSpaceDE w:val="0"/>
        <w:autoSpaceDN w:val="0"/>
        <w:adjustRightInd w:val="0"/>
        <w:spacing w:line="240" w:lineRule="auto"/>
        <w:rPr>
          <w:i/>
          <w:iCs/>
          <w:color w:val="000000"/>
          <w:szCs w:val="22"/>
          <w:lang w:val="el-GR"/>
        </w:rPr>
      </w:pPr>
      <w:r>
        <w:rPr>
          <w:b/>
          <w:bCs/>
          <w:color w:val="000000"/>
          <w:szCs w:val="22"/>
        </w:rPr>
        <w:t>HORIZONS</w:t>
      </w:r>
      <w:r>
        <w:rPr>
          <w:b/>
          <w:bCs/>
          <w:color w:val="000000"/>
          <w:szCs w:val="22"/>
          <w:lang w:val="el-GR"/>
        </w:rPr>
        <w:t>-</w:t>
      </w:r>
      <w:r>
        <w:rPr>
          <w:b/>
          <w:bCs/>
          <w:color w:val="000000"/>
          <w:szCs w:val="22"/>
        </w:rPr>
        <w:t>AMI</w:t>
      </w:r>
      <w:r>
        <w:rPr>
          <w:b/>
          <w:bCs/>
          <w:color w:val="000000"/>
          <w:szCs w:val="22"/>
          <w:lang w:val="el-GR"/>
        </w:rPr>
        <w:t xml:space="preserve"> </w:t>
      </w:r>
      <w:r>
        <w:rPr>
          <w:i/>
          <w:iCs/>
          <w:color w:val="000000"/>
          <w:szCs w:val="22"/>
          <w:lang w:val="el-GR"/>
        </w:rPr>
        <w:t xml:space="preserve">(Εναρμόνιση Αποτελεσμάτων με Επαναγγείωση και </w:t>
      </w:r>
      <w:r>
        <w:rPr>
          <w:i/>
          <w:iCs/>
          <w:color w:val="000000"/>
          <w:szCs w:val="22"/>
        </w:rPr>
        <w:t>Stents</w:t>
      </w:r>
      <w:r>
        <w:rPr>
          <w:i/>
          <w:iCs/>
          <w:color w:val="000000"/>
          <w:szCs w:val="22"/>
          <w:lang w:val="el-GR"/>
        </w:rPr>
        <w:t xml:space="preserve"> στο Οξύ Έμφραγμα του Μυοκαρδίου)</w:t>
      </w:r>
    </w:p>
    <w:p>
      <w:pPr>
        <w:tabs>
          <w:tab w:val="clear" w:pos="567"/>
        </w:tabs>
        <w:autoSpaceDE w:val="0"/>
        <w:autoSpaceDN w:val="0"/>
        <w:adjustRightInd w:val="0"/>
        <w:spacing w:line="240" w:lineRule="auto"/>
        <w:rPr>
          <w:bCs/>
          <w:lang w:val="el-GR"/>
        </w:rPr>
      </w:pPr>
      <w:r>
        <w:rPr>
          <w:bCs/>
          <w:lang w:val="el-GR"/>
        </w:rPr>
        <w:t>Αυτή η εκ των υστέρων μελέτη ανάλυσης διεξήχθη για να αξιολογήσει εάν η LD 600 mg κλοπιδογρέλης παρέχει ταχύτερη και μεγαλύτερη αναστολή της ενεργοποίησης των αιμοπεταλίων.</w:t>
      </w:r>
      <w:r>
        <w:rPr>
          <w:lang w:val="el-GR"/>
        </w:rPr>
        <w:t xml:space="preserve"> </w:t>
      </w:r>
      <w:r>
        <w:rPr>
          <w:bCs/>
          <w:lang w:val="el-GR"/>
        </w:rPr>
        <w:t>Η ανάλυση εξέτασε την επίδραση μιας LD 600 mg σε σύγκριση με 300 mg στα κλινικά αποτελέσματα 30 ημερών σε 3.311 ασθενείς από την κύρια δοκιμή (n= 1153, ομάδα 300 mg LD, n = 2158, ομάδα 600 mg LD) πριν από τον καρδιακό καθετηριασμό ακολουθούμενη από δόση 75 mg / ημέρα για ≥6 μήνες μετά το εξιτήριο.</w:t>
      </w:r>
      <w:r>
        <w:rPr>
          <w:lang w:val="el-GR"/>
        </w:rPr>
        <w:t xml:space="preserve"> </w:t>
      </w:r>
      <w:r>
        <w:rPr>
          <w:bCs/>
          <w:lang w:val="el-GR"/>
        </w:rPr>
        <w:t xml:space="preserve">Τα αποτελέσματα έδειξαν σημαντικά χαμηλότερα μη προσαρμοσμένα ποσοστά θνησιμότητας 30 ημερών (1,9% έναντι 3,1%, p=0,03), επανεμφράγιση (1,3% έναντι 2,3%, p=0,02) και οριστική ή πιθανή θρόμβωση </w:t>
      </w:r>
      <w:r>
        <w:rPr>
          <w:bCs/>
          <w:lang w:val="en-US"/>
        </w:rPr>
        <w:t>stent</w:t>
      </w:r>
      <w:r>
        <w:rPr>
          <w:bCs/>
          <w:lang w:val="el-GR"/>
        </w:rPr>
        <w:t xml:space="preserve"> (1,7% έναντι 2,8%, p=0,04) με την 600 mg LD χωρίς υψηλότερα ποσοστά αιμορραγίας. Με πολυμεταβλητή ανάλυση, μία 600 mg LD ήταν ένας ανεξάρτητος προγνωστικός παράγοντας χαμηλότερων ποσοστών μειζόνων ανεπιθύμητων καρδιακών συμβάντων 30 ημερών (HR: 0,72 [95% CI: 0,53–0,98], p=0,04). Το ποσοστό μείζονος αιμορραγίας (μη σχετιζόμενο με το CABG) ήταν 6,1% στην ομάδα των 600 mg LD και 9,4% στην ομάδα των 300 mg LD (p=0,0005). Το ποσοστό ελάσσονος αιμορραγίας ήταν 11,3% στην ομάδα των 600 mg LD και 13,8% στην ομάδα των 300 mg LD (p=0,03).</w:t>
      </w:r>
    </w:p>
    <w:p>
      <w:pPr>
        <w:tabs>
          <w:tab w:val="clear" w:pos="567"/>
        </w:tabs>
        <w:autoSpaceDE w:val="0"/>
        <w:autoSpaceDN w:val="0"/>
        <w:adjustRightInd w:val="0"/>
        <w:spacing w:line="240" w:lineRule="auto"/>
        <w:rPr>
          <w:bCs/>
          <w:lang w:val="el-GR"/>
        </w:rPr>
      </w:pPr>
    </w:p>
    <w:p>
      <w:pPr>
        <w:tabs>
          <w:tab w:val="clear" w:pos="567"/>
        </w:tabs>
        <w:autoSpaceDE w:val="0"/>
        <w:autoSpaceDN w:val="0"/>
        <w:adjustRightInd w:val="0"/>
        <w:spacing w:line="240" w:lineRule="auto"/>
        <w:rPr>
          <w:szCs w:val="22"/>
          <w:u w:val="single"/>
          <w:lang w:val="el-GR"/>
        </w:rPr>
      </w:pPr>
      <w:r>
        <w:rPr>
          <w:u w:val="single"/>
          <w:lang w:val="el-GR"/>
        </w:rPr>
        <w:t>Μακροχρόνια (12 μήνες) αγωγή με κλοπιδογρέλη μαζί με ΑΣΟ σε ασθενείς με STEMI μετά από PCI</w:t>
      </w:r>
    </w:p>
    <w:p>
      <w:pPr>
        <w:tabs>
          <w:tab w:val="clear" w:pos="567"/>
        </w:tabs>
        <w:autoSpaceDE w:val="0"/>
        <w:autoSpaceDN w:val="0"/>
        <w:adjustRightInd w:val="0"/>
        <w:spacing w:line="240" w:lineRule="auto"/>
        <w:rPr>
          <w:bCs/>
          <w:lang w:val="el-GR"/>
        </w:rPr>
      </w:pPr>
    </w:p>
    <w:p>
      <w:pPr>
        <w:tabs>
          <w:tab w:val="clear" w:pos="567"/>
        </w:tabs>
        <w:autoSpaceDE w:val="0"/>
        <w:autoSpaceDN w:val="0"/>
        <w:adjustRightInd w:val="0"/>
        <w:spacing w:line="240" w:lineRule="auto"/>
        <w:rPr>
          <w:szCs w:val="22"/>
          <w:lang w:val="el-GR"/>
        </w:rPr>
      </w:pPr>
      <w:r>
        <w:rPr>
          <w:b/>
          <w:lang w:val="el-GR"/>
        </w:rPr>
        <w:t>CREDO</w:t>
      </w:r>
      <w:r>
        <w:rPr>
          <w:lang w:val="el-GR"/>
        </w:rPr>
        <w:t xml:space="preserve"> (</w:t>
      </w:r>
      <w:r>
        <w:rPr>
          <w:i/>
          <w:lang w:val="el-GR"/>
        </w:rPr>
        <w:t>Κλοπιδογρέλη για τη Μείωση των Ανεπιθύμητων Συμβάντων κατά τη Διάρκεια της Παρακολούθησης</w:t>
      </w:r>
      <w:r>
        <w:rPr>
          <w:lang w:val="el-GR"/>
        </w:rPr>
        <w:t>)</w:t>
      </w:r>
    </w:p>
    <w:p>
      <w:pPr>
        <w:tabs>
          <w:tab w:val="clear" w:pos="567"/>
        </w:tabs>
        <w:autoSpaceDE w:val="0"/>
        <w:autoSpaceDN w:val="0"/>
        <w:adjustRightInd w:val="0"/>
        <w:spacing w:line="240" w:lineRule="auto"/>
        <w:rPr>
          <w:lang w:val="el-GR"/>
        </w:rPr>
      </w:pPr>
      <w:r>
        <w:rPr>
          <w:lang w:val="el-GR"/>
        </w:rPr>
        <w:t xml:space="preserve">Αυτή η τυχαιοποιημένη, διπλά τυφλή, ελεγχόμενη με εικονικό φάρμακο μελέτη διενεργήθηκε στις Ηνωμένες Πολιτείες και στον Καναδά για την αξιολόγηση του οφέλους της μακροχρόνιας (12 μήνες) αγωγής με κλοπιδογρέλη μετά από PCI. Τυχαιοποιήθηκαν 2.116 ασθενείς σε λήψη LD κλοπιδογρέλης 300 mg (n=1.053) ή εικονικού φαρμάκου (n=1.063) 3 έως 24 ώρες πριν από PCI. Όλοι οι ασθενείς έλαβαν επίσης 325 mg ασπιρίνης. Στη συνέχεια, όλοι οι ασθενείς έλαβαν κλοπιδογρέλη 75 mg/ημέρα έως την Ημέρα 28 και στις δύο ομάδες. Από την Ημέρα 29 έως τους 12 μήνες, οι ασθενείς στην ομάδα της κλοπιδογρέλης λάμβαναν κλοπιδογρέλη 75 mg/ημέρα και οι ασθενείς στην ομάδα ελέγχου έλαβαν εικονικό φάρμακο. Και οι δύο ομάδες λάμβαναν ΑΣΟ καθ’ όλη τη διάρκεια της μελέτης (81 έως 325 mg/ημέρα). Στο 1 έτος, παρατηρήθηκε σημαντική μείωση στον συνδυασμένο κίνδυνο θανάτου, ΕΜ ή αγγειακού εγκεφαλικού επεισοδίου με την κλοπιδογρέλη (26,9% σχετική μείωση, 95% CI: 3,9%-44,4%, p=0,02, απόλυτη μείωση 3%) σε σύγκριση με το εικονικό φάρμακο. Δεν παρατηρήθηκε σημαντική αύξηση στο ποσοστό μείζονος αιμορραγίας (8,8% με την κλοπιδογρέλη έναντι 6,7% με το εικονικό φάρμακο, p=0,07) ή ελάσσονος αιμορραγίας (5,3% με την κλοπιδογρέλη έναντι 5,6% με το εικονικό φάρμακο, p=0,84) στο 1 έτος. Το κύριο εύρημα αυτής της μελέτης είναι ότι η συνέχιση της </w:t>
      </w:r>
      <w:r>
        <w:rPr>
          <w:lang w:val="el-GR"/>
        </w:rPr>
        <w:lastRenderedPageBreak/>
        <w:t>κλοπιδογρέλης και του ΑΣΟ για τουλάχιστον 1 έτος οδηγεί σε στατιστικά και κλινικά σημαντική μείωση των μειζόνων θρομβωτικών επεισοδίων.</w:t>
      </w:r>
    </w:p>
    <w:p>
      <w:pPr>
        <w:tabs>
          <w:tab w:val="clear" w:pos="567"/>
        </w:tabs>
        <w:autoSpaceDE w:val="0"/>
        <w:autoSpaceDN w:val="0"/>
        <w:adjustRightInd w:val="0"/>
        <w:spacing w:line="240" w:lineRule="auto"/>
        <w:rPr>
          <w:bCs/>
          <w:szCs w:val="22"/>
          <w:lang w:val="el-GR"/>
        </w:rPr>
      </w:pPr>
    </w:p>
    <w:p>
      <w:pPr>
        <w:tabs>
          <w:tab w:val="clear" w:pos="567"/>
        </w:tabs>
        <w:autoSpaceDE w:val="0"/>
        <w:autoSpaceDN w:val="0"/>
        <w:adjustRightInd w:val="0"/>
        <w:spacing w:line="240" w:lineRule="auto"/>
        <w:rPr>
          <w:bCs/>
          <w:szCs w:val="22"/>
          <w:lang w:val="el-GR"/>
        </w:rPr>
      </w:pPr>
      <w:r>
        <w:rPr>
          <w:b/>
          <w:lang w:val="el-GR"/>
        </w:rPr>
        <w:t>EXCELLENT</w:t>
      </w:r>
      <w:r>
        <w:rPr>
          <w:lang w:val="el-GR"/>
        </w:rPr>
        <w:t xml:space="preserve"> (</w:t>
      </w:r>
      <w:r>
        <w:rPr>
          <w:i/>
          <w:lang w:val="el-GR"/>
        </w:rPr>
        <w:t>Αποτελεσματικότητα του Xience/Promus Έναντι του Cypher στη Μείωση της Όψιμης Απώλειας Μετά την Τοποθέτηση της Ενδοπρόθεσης</w:t>
      </w:r>
      <w:r>
        <w:rPr>
          <w:lang w:val="el-GR"/>
        </w:rPr>
        <w:t>)</w:t>
      </w:r>
    </w:p>
    <w:p>
      <w:pPr>
        <w:widowControl w:val="0"/>
        <w:autoSpaceDE w:val="0"/>
        <w:autoSpaceDN w:val="0"/>
        <w:adjustRightInd w:val="0"/>
        <w:spacing w:line="240" w:lineRule="auto"/>
        <w:rPr>
          <w:szCs w:val="22"/>
          <w:lang w:val="sl-SI"/>
        </w:rPr>
      </w:pPr>
      <w:r>
        <w:rPr>
          <w:lang w:val="el-GR"/>
        </w:rPr>
        <w:t>Αυτή η προοπτική, ανοικτή, τυχαιοποιημένη μελέτη διεξήχθη στην Κορέα για να αξιολογηθεί εάν η 6μηνη διπλή αντιαιμοπεταλιακή θεραπεία (DAPT) είναι μη κατώτερη της 12μηνης DAPT μετά την εμφύτευση stent έκλυσης φαρμάκου. Στη μελέτη συμπεριλήφθηκαν 1.443 ασθενείς που υποβλήθηκαν σε εμφύτευση, οι οποίοι τυχαιοποιήθηκαν σε λήψη 6μηνης DAPT (ΑΣΟ 100–200 mg/ημέρα συν κλοπιδογρέλη 75 mg/ημέρα για 6 μήνες και στη συνέχεια ΑΣΟ μεμονωμένα έως τους 12 μήνες) ή 12μηνης DAPT (ΑΣΟ 100–200 mg/ημέρα συν κλοπιδογρέλη 75 mg/ημέρα για 12 μήνες). Δεν παρατηρήθηκε σημαντική διαφορά στην επίπτωση αστοχίας του αγγείου-στόχου (σύνθετη έκβαση που περιλαμβάνει θάνατο καρδιακής αιτιολογίας, ΕΜ ή επαναγγείωση στο αγγείο-στόχο) που ήταν το κύριο καταληκτικό σημείο μεταξύ των ομάδων υπό 6μηνη και 12μηνη DAPT (HR: 1,14, 95% CI: 0,70 1,86, p=0,60). Επίσης, η μελέτη δεν κατέδειξε σημαντική διαφορά στο καταληκτικό σημείο της ασφάλειας (σύνθετη έκβαση που περιλαμβάνει θάνατο, ΕΜ, αγγειακό εγκεφαλικό επεισόδιο, θρόμβωση του stent ή μείζονα αιμορραγία βάσει των κριτηρίων TIMI) μεταξύ των ομάδων υπό 6μηνη και 12μηνη DAPT (HR: 1,15, 95% CI: 0,64-2,06, p=0,64). Το κύριο εύρημα αυτής της μελέτης ήταν ότι η 6μηνη DAPT ήταν μη κατώτερη της 12μηνης DAPT αναφορικά με τον κίνδυνο αστοχίας του αγγείου-στόχου.</w:t>
      </w:r>
    </w:p>
    <w:bookmarkEnd w:id="15"/>
    <w:p>
      <w:pPr>
        <w:widowControl w:val="0"/>
        <w:autoSpaceDE w:val="0"/>
        <w:autoSpaceDN w:val="0"/>
        <w:adjustRightInd w:val="0"/>
        <w:spacing w:line="240" w:lineRule="auto"/>
        <w:rPr>
          <w:szCs w:val="22"/>
          <w:u w:val="single"/>
          <w:lang w:val="el-GR"/>
        </w:rPr>
      </w:pPr>
    </w:p>
    <w:p>
      <w:pPr>
        <w:widowControl w:val="0"/>
        <w:autoSpaceDE w:val="0"/>
        <w:autoSpaceDN w:val="0"/>
        <w:adjustRightInd w:val="0"/>
        <w:spacing w:line="240" w:lineRule="auto"/>
        <w:rPr>
          <w:szCs w:val="22"/>
          <w:u w:val="single"/>
          <w:lang w:val="el-GR"/>
        </w:rPr>
      </w:pPr>
      <w:r>
        <w:rPr>
          <w:szCs w:val="22"/>
          <w:u w:val="single"/>
          <w:lang w:val="el-GR"/>
        </w:rPr>
        <w:t>Αποκλιμάκωση των Παραγόντων Αναστολής της P2Y</w:t>
      </w:r>
      <w:r>
        <w:rPr>
          <w:szCs w:val="22"/>
          <w:u w:val="single"/>
          <w:vertAlign w:val="subscript"/>
          <w:lang w:val="el-GR"/>
        </w:rPr>
        <w:t>12</w:t>
      </w:r>
      <w:r>
        <w:rPr>
          <w:szCs w:val="22"/>
          <w:u w:val="single"/>
          <w:lang w:val="el-GR"/>
        </w:rPr>
        <w:t xml:space="preserve"> στο Οξύ Στεφανιαίο Σύνδρομο</w:t>
      </w:r>
    </w:p>
    <w:p>
      <w:pPr>
        <w:widowControl w:val="0"/>
        <w:autoSpaceDE w:val="0"/>
        <w:autoSpaceDN w:val="0"/>
        <w:adjustRightInd w:val="0"/>
        <w:spacing w:line="240" w:lineRule="auto"/>
        <w:rPr>
          <w:szCs w:val="22"/>
          <w:lang w:val="el-GR"/>
        </w:rPr>
      </w:pPr>
      <w:r>
        <w:rPr>
          <w:szCs w:val="22"/>
          <w:lang w:val="el-GR"/>
        </w:rPr>
        <w:t>Η μετάβαση από έναν ισχυρότερο αναστολέα του υποδοχέα P2Y</w:t>
      </w:r>
      <w:r>
        <w:rPr>
          <w:szCs w:val="22"/>
          <w:vertAlign w:val="subscript"/>
          <w:lang w:val="el-GR"/>
        </w:rPr>
        <w:t>12</w:t>
      </w:r>
      <w:r>
        <w:rPr>
          <w:szCs w:val="22"/>
          <w:lang w:val="el-GR"/>
        </w:rPr>
        <w:t xml:space="preserve"> στην κλοπιδογρέλη σε συνδυασμό με την ασπιρίνη μετά την οξεία φάση στεφανιαίου συνδρόμου, έχει αξιολογηθεί σε δύο τυχαιοποιημένες μελέτες που επιχορηγούνται από τον ερευνητή (ISS) – στην TOPIC και την TROPICAL ACS - με δεδομένα κλινικών αποτελεσμάτων.</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Το κλινικό όφελος που προκύπτει από τους πιο ισχυρούς αναστολείς P2Y</w:t>
      </w:r>
      <w:r>
        <w:rPr>
          <w:szCs w:val="22"/>
          <w:vertAlign w:val="subscript"/>
          <w:lang w:val="el-GR"/>
        </w:rPr>
        <w:t>12</w:t>
      </w:r>
      <w:r>
        <w:rPr>
          <w:szCs w:val="22"/>
          <w:lang w:val="el-GR"/>
        </w:rPr>
        <w:t xml:space="preserve">, τικαγρελόρη και πρασουγρέλη, στις βασικές μελέτες τους, σχετίζεται με σημαντική μείωση των υποτροπιαζόντων ισχαιμικών επεισοδίων (συμπεριλαμβανομένων της οξείας και υποξείας θρόμβωσης του stent, του εμφράγματος του μυοκαρδίου και της επείγουσας επαναγγείωσης). Αν και το ισχαιμικό όφελος ήταν σταθερό καθ 'όλη τη διάρκεια του πρώτου έτους, παρατηρήθηκε μεγαλύτερη μείωση στην ισχαιμική υποτροπή μετά από οξύ στεφανιαίο σύνδρομο κατά τις αρχικές ημέρες μετά την έναρξη της αγωγής. Αντίθετα, οι </w:t>
      </w:r>
      <w:r>
        <w:rPr>
          <w:i/>
          <w:szCs w:val="22"/>
          <w:lang w:val="en-US"/>
        </w:rPr>
        <w:t>post</w:t>
      </w:r>
      <w:r>
        <w:rPr>
          <w:i/>
          <w:szCs w:val="22"/>
          <w:lang w:val="el-GR"/>
        </w:rPr>
        <w:t>-hoc</w:t>
      </w:r>
      <w:r>
        <w:rPr>
          <w:szCs w:val="22"/>
          <w:lang w:val="el-GR"/>
        </w:rPr>
        <w:t xml:space="preserve"> αναλύσεις κατέδειξαν στατιστικά σημαντικές αυξήσεις στον κίνδυνο αιμορραγίας με τους ισχυρότερους αναστολείς Ρ2Υ</w:t>
      </w:r>
      <w:r>
        <w:rPr>
          <w:szCs w:val="22"/>
          <w:vertAlign w:val="subscript"/>
          <w:lang w:val="el-GR"/>
        </w:rPr>
        <w:t>12</w:t>
      </w:r>
      <w:r>
        <w:rPr>
          <w:szCs w:val="22"/>
          <w:lang w:val="el-GR"/>
        </w:rPr>
        <w:t>, οι οποίοι εμφανίζονται κυρίως κατά τη διάρκεια της φάσης συντήρησης, μετά τον πρώτο μήνα από το οξύ στεφανιαίο σύνδρομο. Η TOPIC και η TROPICAL ACS σχεδιάστηκαν για να μελετήσουν την άμβλυνση των αιμορραγικών συμβαμάτων διατηρώντας παράλληλα την αποτελεσματικότητα.</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b/>
          <w:szCs w:val="22"/>
        </w:rPr>
        <w:t>TOPIC</w:t>
      </w:r>
      <w:r>
        <w:rPr>
          <w:szCs w:val="22"/>
          <w:lang w:val="el-GR"/>
        </w:rPr>
        <w:t xml:space="preserve"> </w:t>
      </w:r>
      <w:r>
        <w:rPr>
          <w:i/>
          <w:szCs w:val="22"/>
          <w:lang w:val="el-GR"/>
        </w:rPr>
        <w:t>(Χρόνος Αναστολής των Αιμοπεταλίων μετά από οξύ Στεφανιαίο σύνδρομο)</w:t>
      </w:r>
    </w:p>
    <w:p>
      <w:pPr>
        <w:widowControl w:val="0"/>
        <w:autoSpaceDE w:val="0"/>
        <w:autoSpaceDN w:val="0"/>
        <w:adjustRightInd w:val="0"/>
        <w:spacing w:line="240" w:lineRule="auto"/>
        <w:rPr>
          <w:szCs w:val="22"/>
          <w:lang w:val="el-GR"/>
        </w:rPr>
      </w:pPr>
      <w:r>
        <w:rPr>
          <w:szCs w:val="22"/>
          <w:lang w:val="el-GR"/>
        </w:rPr>
        <w:t>Αυτή η τυχαιοποιημένη, ανοικτή δοκιμή περιελάμβανε ασθενείς με οξύ στεφανιαίο σύνδρομο οι οποίοι έχρηζαν διαδερμικής στεφανιαίας παρέμβασης (</w:t>
      </w:r>
      <w:r>
        <w:rPr>
          <w:szCs w:val="22"/>
          <w:lang w:val="en-US"/>
        </w:rPr>
        <w:t>PCI</w:t>
      </w:r>
      <w:r>
        <w:rPr>
          <w:szCs w:val="22"/>
          <w:lang w:val="el-GR"/>
        </w:rPr>
        <w:t>). Ασθενείς που λάμβαναν ασπιρίνη και έναν ισχυρότερο αναστολέα P2Y</w:t>
      </w:r>
      <w:r>
        <w:rPr>
          <w:szCs w:val="22"/>
          <w:vertAlign w:val="subscript"/>
          <w:lang w:val="el-GR"/>
        </w:rPr>
        <w:t>12</w:t>
      </w:r>
      <w:r>
        <w:rPr>
          <w:szCs w:val="22"/>
          <w:lang w:val="el-GR"/>
        </w:rPr>
        <w:t xml:space="preserve"> και χωρίς ανεπιθύμητο σύμβαμα, σε ένα μήνα μετέβησαν σε σταθερή δόση ασπιρίνης και κλοπιδογρέλης (αποκλιμάκωση σε διπλή αντιαιμοπεταλιακή θεραπεία (DAPT)) ή συνέχισαν τη φαρμακευτική τους αγωγή (αμετάβλητη DAPT).</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Συνολικά, 645 από τους 646 ασθενείς με έμφραγμα μυοκαρδίου με ανάσπαση του ST</w:t>
      </w:r>
    </w:p>
    <w:p>
      <w:pPr>
        <w:widowControl w:val="0"/>
        <w:autoSpaceDE w:val="0"/>
        <w:autoSpaceDN w:val="0"/>
        <w:adjustRightInd w:val="0"/>
        <w:spacing w:line="240" w:lineRule="auto"/>
        <w:rPr>
          <w:szCs w:val="22"/>
          <w:lang w:val="el-GR"/>
        </w:rPr>
      </w:pPr>
      <w:r>
        <w:rPr>
          <w:szCs w:val="22"/>
          <w:lang w:val="el-GR"/>
        </w:rPr>
        <w:t>διαστήματος (STEMI) ή έμφραγμα μυοκαρδίου χωρίς ανάσπαση του ST διαστήματος (NSTEMI) ή ασταθή στηθάγχη αναλύθηκαν (αποκλιμάκωση DAPT (n=322), αμετάβλητη DAPT (n=323)). Η παρακολούθηση σε ένα χρόνο πραγματοποιήθηκε για 316 ασθενείς (98,1%) στην ομάδα αποκλιμάκωσης DAPT και για 318 ασθενείς (98,5%) στην ομάδα αμετάβλητης DAPT. Η διάμεση παρακολούθηση και για τις δύο ομάδες ήταν 359 ημέρες. Τα χαρακτηριστικά της μελετώμενης κοόρτης ήταν παρόμοια στις δύο ομάδες.</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 xml:space="preserve">Το κύριο αποτέλεσμα, ο συνδυασμός καρδιαγγειακού θανάτου, αγγειακού εγκεφαλικού επεισοδίου, επείγουσας επαναγγείωσης και </w:t>
      </w:r>
      <w:bookmarkStart w:id="16" w:name="_Hlk6232360"/>
      <w:r>
        <w:rPr>
          <w:szCs w:val="22"/>
          <w:lang w:val="el-GR"/>
        </w:rPr>
        <w:t xml:space="preserve">αιμορραγίας ≥2 κατά </w:t>
      </w:r>
      <w:bookmarkEnd w:id="16"/>
      <w:r>
        <w:rPr>
          <w:szCs w:val="22"/>
          <w:lang w:val="el-GR"/>
        </w:rPr>
        <w:t xml:space="preserve">BARC (Bleeding Academic Research Consortium) στον 1 χρόνο μετά από οξύ στεφανιαίο σύνδρομο, έλαβε χώρα σε 43 ασθενείς (13,4%) </w:t>
      </w:r>
      <w:r>
        <w:rPr>
          <w:szCs w:val="22"/>
          <w:lang w:val="el-GR"/>
        </w:rPr>
        <w:lastRenderedPageBreak/>
        <w:t>της ομάδας αποκλιμάκωσης DAPT και σε 85 ασθενείς (26,3%) της ομάδας αμετάβλητης DAPT (p &lt;0,01). Αυτή η στατιστικά σημαντική διαφορά οφειλόταν κυρίως σε λιγότερα περιστατικά αιμορραγίας, χωρίς διαφορά στα ισχαιμικά καταληκτικά σημεία (p=0,36), ενώ αιμορραγία ≥2 κατά BARC παρατηρήθηκε λιγότερο συχνά στην ομάδα αποκλιμάκωσης DAPT (4,0%) έναντι 14,9% στην ομάδα αμετάβλητης DAPT (</w:t>
      </w:r>
      <w:r>
        <w:rPr>
          <w:szCs w:val="22"/>
          <w:lang w:val="en-US"/>
        </w:rPr>
        <w:t>p</w:t>
      </w:r>
      <w:r>
        <w:rPr>
          <w:szCs w:val="22"/>
          <w:lang w:val="el-GR"/>
        </w:rPr>
        <w:t xml:space="preserve"> &lt;0,01). Τα συμβάματα αιμορραγίας που ορίστηκαν όλα ως κατά BARC εμφανίστηκαν σε 30 ασθενείς (9,3%) στην ομάδα αποκλιμάκωσης DAPT και σε 76 ασθενείς (23,5%) στην ομάδα αμετάβλητης DAPT (p &lt;0,01).</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i/>
          <w:szCs w:val="22"/>
          <w:lang w:val="el-GR"/>
        </w:rPr>
      </w:pPr>
      <w:r>
        <w:rPr>
          <w:b/>
          <w:szCs w:val="22"/>
          <w:lang w:val="el-GR"/>
        </w:rPr>
        <w:t>TROPICAL-ACS</w:t>
      </w:r>
      <w:r>
        <w:rPr>
          <w:szCs w:val="22"/>
          <w:lang w:val="el-GR"/>
        </w:rPr>
        <w:t xml:space="preserve"> </w:t>
      </w:r>
      <w:r>
        <w:rPr>
          <w:i/>
          <w:szCs w:val="22"/>
          <w:lang w:val="el-GR"/>
        </w:rPr>
        <w:t>(Δοκιμασία Απάντησης στην Αναστολή των Αιμοπεταλίων στη Χρόνια Αντιαιμοπεταλιακή Θεραπεία για Οξέα Στεφανιαία Σύνδρομα)</w:t>
      </w:r>
    </w:p>
    <w:p>
      <w:pPr>
        <w:widowControl w:val="0"/>
        <w:autoSpaceDE w:val="0"/>
        <w:autoSpaceDN w:val="0"/>
        <w:adjustRightInd w:val="0"/>
        <w:spacing w:line="240" w:lineRule="auto"/>
        <w:rPr>
          <w:szCs w:val="22"/>
          <w:lang w:val="el-GR"/>
        </w:rPr>
      </w:pPr>
      <w:r>
        <w:rPr>
          <w:szCs w:val="22"/>
          <w:lang w:val="el-GR"/>
        </w:rPr>
        <w:t>Αυτή η τυχαιοποιημένη, ανοιχτή μελέτη περιελάμβανε 2.610 ασθενείς με θετικό βιοδείκτη για οξύ στεφανιαίο σύνδρομο μετά από επιτυχή διαδερμική στεφανιαία παρέμβαση. Οι ασθενείς τυχαιοποιήθηκαν να λάβουν είτε πρασουγρέλη 5 ή 10 mg/d (Ημέρες 0-14) (n=1.306), ή πρασουγρέλη 5 ή 10 mg/d (Ημέρες 0-7) και στη συνέχεια αποκλιμακώθηκαν σε κλοπιδογρέλη 75 mg/d (Ημέρες 8-14) (n=1.304), σε συνδυασμό με ASA (&lt;100 mg/ημέρα). Την Ημέρα 14, διεξήχθη δοκιμή αιμοπεταλιακής λειτουργίας (PFT). Οι ασθενείς που έλαβαν πρασουγρέλη μόνο συνέχισαν με πρασουγρέλη για 11,5 μήνες.</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Οι ασθενείς που είχαν υποβληθεί σε αποκλιμάκωση υποβλήθηκαν σε έλεγχο υψηλής αντιδραστικότητας αιμοπεταλίων (HPR). Εάν η τιμή HPR ≥46 μονάδες, οι ασθενείς μετέβαιναν πίσω στην πρασουγρέλη 5 ή 10 mg/d για 11,5 μήνες, εάν η τιμή HPR &lt;46 μονάδες, οι ασθενείς συνέχιζαν τη λήψη κλοπιδογρέλης 75 mg/d για 11,5 μήνες. Ως εκ τούτου, η καθοδηγούμενη ομάδα αποκλιμάκωσης, είχε ασθενείς είτε σε πρασουγρέλη (40%) είτε σε κλοπιδογρέλη (60%). Όλοι οι ασθενείς συνέχισαν με ασπιρίνη και παρακολουθήθηκαν για ένα χρόνο.</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Το πρωτεύον καταληκτικό σημείο (η συνδυασμένη συχνότητα εμφάνισης καρδιαγγειακού θανάτου, εμφράγματος του μυοκαρδίου, αγγειακού εγκεφαλικού επεισοδίου και αιμορραγίας βαθμού ≥2 κατά BARC στους 12 μήνες) επετεύχθη δεικνύοντας μη κατωτερότητα. Ενενήντα πέντε ασθενείς (7%) στην καθοδηγούμενη ομάδα αποκλιμάκωσης και 118 ασθενείς (9%) στην ομάδα ελέγχου (</w:t>
      </w:r>
      <w:r>
        <w:rPr>
          <w:szCs w:val="22"/>
        </w:rPr>
        <w:t>p</w:t>
      </w:r>
      <w:r>
        <w:rPr>
          <w:szCs w:val="22"/>
          <w:lang w:val="el-GR"/>
        </w:rPr>
        <w:t xml:space="preserve"> </w:t>
      </w:r>
      <w:r>
        <w:rPr>
          <w:szCs w:val="22"/>
        </w:rPr>
        <w:t>non</w:t>
      </w:r>
      <w:r>
        <w:rPr>
          <w:szCs w:val="22"/>
          <w:lang w:val="el-GR"/>
        </w:rPr>
        <w:t>-</w:t>
      </w:r>
      <w:r>
        <w:rPr>
          <w:szCs w:val="22"/>
        </w:rPr>
        <w:t>inferiority</w:t>
      </w:r>
      <w:r>
        <w:rPr>
          <w:szCs w:val="22"/>
          <w:lang w:val="el-GR"/>
        </w:rPr>
        <w:t xml:space="preserve">=0,0004) είχαν ένα σύμβαμα. Η καθοδηγούμενη αποκλιμάκωση δεν οδήγησε σε αυξημένο συνδυασμένο κίνδυνο εμφάνισης ισχαιμικών συμβαμάτων (2,5% στην ομάδα αποκλιμάκωσης έναντι 3,2% στην ομάδα ελέγχου, </w:t>
      </w:r>
      <w:r>
        <w:rPr>
          <w:szCs w:val="22"/>
        </w:rPr>
        <w:t>p</w:t>
      </w:r>
      <w:r>
        <w:rPr>
          <w:szCs w:val="22"/>
          <w:lang w:val="el-GR"/>
        </w:rPr>
        <w:t xml:space="preserve"> </w:t>
      </w:r>
      <w:r>
        <w:rPr>
          <w:szCs w:val="22"/>
        </w:rPr>
        <w:t>non</w:t>
      </w:r>
      <w:r>
        <w:rPr>
          <w:szCs w:val="22"/>
          <w:lang w:val="el-GR"/>
        </w:rPr>
        <w:t>-</w:t>
      </w:r>
      <w:r>
        <w:rPr>
          <w:szCs w:val="22"/>
        </w:rPr>
        <w:t>inferiority</w:t>
      </w:r>
      <w:r>
        <w:rPr>
          <w:szCs w:val="22"/>
          <w:lang w:val="el-GR"/>
        </w:rPr>
        <w:t>=0,0115), ούτε στο βασικό δευτερεύον τελικό σημείο της αιμορραγίας κατά BARC ≥2 ((5%) στην ομάδα αποκλιμάκωσης έναντι 6% στην ομάδα ελέγχου (p=0,23)). Η αθροιστική επίπτωση όλων των αιμορραγικών επεισοδίων (κατηγορία κατά BARC 1 έως 5) ήταν 9% (114 συμβάματα) στην καθοδηγούμενη ομάδα αποκλιμάκωσης έναντι 11% (137 συμβάματα) στην ομάδα ελέγχου (p=0,14).</w:t>
      </w:r>
    </w:p>
    <w:p>
      <w:pPr>
        <w:widowControl w:val="0"/>
        <w:autoSpaceDE w:val="0"/>
        <w:autoSpaceDN w:val="0"/>
        <w:adjustRightInd w:val="0"/>
        <w:spacing w:line="240" w:lineRule="auto"/>
        <w:rPr>
          <w:szCs w:val="22"/>
          <w:lang w:val="el-GR"/>
        </w:rPr>
      </w:pPr>
    </w:p>
    <w:p>
      <w:pPr>
        <w:tabs>
          <w:tab w:val="clear" w:pos="567"/>
        </w:tabs>
        <w:spacing w:line="240" w:lineRule="auto"/>
        <w:ind w:right="-29"/>
        <w:rPr>
          <w:bCs/>
          <w:szCs w:val="22"/>
          <w:u w:val="single"/>
          <w:lang w:val="el-GR"/>
        </w:rPr>
      </w:pPr>
      <w:bookmarkStart w:id="17" w:name="_Hlk25225192"/>
      <w:r>
        <w:rPr>
          <w:bCs/>
          <w:szCs w:val="22"/>
          <w:u w:val="single"/>
          <w:lang w:val="el-GR"/>
        </w:rPr>
        <w:t>Διπλή αντιαιμοπεταλιακή θεραπεία (DAPT) σε οξύ ελάσσον ΙΑΕΕ ή μετρίου έως υψηλού κινδύνου ΠΙΕ</w:t>
      </w:r>
    </w:p>
    <w:p>
      <w:pPr>
        <w:tabs>
          <w:tab w:val="clear" w:pos="567"/>
        </w:tabs>
        <w:spacing w:line="240" w:lineRule="auto"/>
        <w:ind w:right="-29"/>
        <w:rPr>
          <w:bCs/>
          <w:szCs w:val="22"/>
          <w:lang w:val="el-GR"/>
        </w:rPr>
      </w:pPr>
    </w:p>
    <w:p>
      <w:pPr>
        <w:tabs>
          <w:tab w:val="clear" w:pos="567"/>
        </w:tabs>
        <w:spacing w:line="240" w:lineRule="auto"/>
        <w:ind w:right="-29"/>
        <w:rPr>
          <w:bCs/>
          <w:szCs w:val="22"/>
          <w:lang w:val="el-GR"/>
        </w:rPr>
      </w:pPr>
      <w:r>
        <w:rPr>
          <w:bCs/>
          <w:szCs w:val="22"/>
          <w:lang w:val="el-GR"/>
        </w:rPr>
        <w:t xml:space="preserve">Η DAPT με συνδυασμό κλοπιδογρέλης και ΑΣΟ ως θεραπεία πρόληψης του αγγειακού εγκεφαλικού επεισοδίου μετά από οξύ έλασσον ΙΑΕΕ ή μετρίου έως υψηλού κινδύνου ΠΙΕ αξιολογήθηκε σε δύο τυχαιοποιημένες μελέτες </w:t>
      </w:r>
      <w:r>
        <w:rPr>
          <w:lang w:val="el-GR"/>
        </w:rPr>
        <w:t>που επιχορηγούνται από τον ερευνητή (ISS)</w:t>
      </w:r>
      <w:r>
        <w:rPr>
          <w:bCs/>
          <w:szCs w:val="22"/>
          <w:lang w:val="el-GR"/>
        </w:rPr>
        <w:t xml:space="preserve"> – CHANCE και POINT – με δεδομένα έκβασης για την κλινική ασφάλεια και αποτελεσματικότητα.</w:t>
      </w:r>
    </w:p>
    <w:p>
      <w:pPr>
        <w:tabs>
          <w:tab w:val="clear" w:pos="567"/>
        </w:tabs>
        <w:spacing w:line="240" w:lineRule="auto"/>
        <w:ind w:right="-29"/>
        <w:rPr>
          <w:bCs/>
          <w:szCs w:val="22"/>
          <w:lang w:val="el-GR"/>
        </w:rPr>
      </w:pPr>
    </w:p>
    <w:p>
      <w:pPr>
        <w:tabs>
          <w:tab w:val="clear" w:pos="567"/>
        </w:tabs>
        <w:spacing w:line="240" w:lineRule="auto"/>
        <w:ind w:right="-29"/>
        <w:rPr>
          <w:bCs/>
          <w:szCs w:val="22"/>
          <w:lang w:val="el-GR"/>
        </w:rPr>
      </w:pPr>
      <w:r>
        <w:rPr>
          <w:b/>
          <w:bCs/>
          <w:szCs w:val="22"/>
          <w:lang w:val="el-GR"/>
        </w:rPr>
        <w:t>CHANCE</w:t>
      </w:r>
      <w:r>
        <w:rPr>
          <w:bCs/>
          <w:szCs w:val="22"/>
          <w:lang w:val="el-GR"/>
        </w:rPr>
        <w:t xml:space="preserve"> </w:t>
      </w:r>
      <w:bookmarkStart w:id="18" w:name="_Hlk25224553"/>
      <w:r>
        <w:rPr>
          <w:bCs/>
          <w:szCs w:val="22"/>
          <w:lang w:val="el-GR"/>
        </w:rPr>
        <w:t>(</w:t>
      </w:r>
      <w:r>
        <w:rPr>
          <w:bCs/>
          <w:i/>
          <w:szCs w:val="22"/>
          <w:lang w:val="el-GR"/>
        </w:rPr>
        <w:t>Κλοπιδογρέλη σε ασθενείς Υψηλού κινδύνου με Οξέα Αγγειοεγκεφαλικά Επεισόδια που Δεν Προκαλούν Αναπηρία</w:t>
      </w:r>
      <w:r>
        <w:rPr>
          <w:bCs/>
          <w:szCs w:val="22"/>
          <w:lang w:val="el-GR"/>
        </w:rPr>
        <w:t>)</w:t>
      </w:r>
    </w:p>
    <w:bookmarkEnd w:id="18"/>
    <w:p>
      <w:pPr>
        <w:tabs>
          <w:tab w:val="clear" w:pos="567"/>
        </w:tabs>
        <w:spacing w:line="240" w:lineRule="auto"/>
        <w:ind w:right="-29"/>
        <w:rPr>
          <w:bCs/>
          <w:szCs w:val="22"/>
          <w:lang w:val="el-GR"/>
        </w:rPr>
      </w:pPr>
      <w:r>
        <w:rPr>
          <w:bCs/>
          <w:szCs w:val="22"/>
          <w:lang w:val="el-GR"/>
        </w:rPr>
        <w:t>Αυτή η τυχαιοποιημένη, διπλά τυφλή, πολυκεντρική, ελεγχόμενη με εικονικό φάρμακο κλινική μελέτη συμπεριέλαβε 5.170 Κινέζους ασθενείς με οξύ ΠΙΕ (βαθμολογία ABCD2 ≥4) ή οξύ έλασσον αγγειακό εγκεφαλικό επεισόδιο (NIHSS ≤3). Οι ασθενείς και στις δύο ομάδες έλαβαν ανοιχτή θεραπεία με ΑΣΟ την ημέρα 1 (σε δόση κυμαινόμενη από 75 έως 300 mg, σύμφωνα με την κρίση του θεράποντος ιατρού). Οι ασθενείς που τυχαιοποιήθηκαν στην ομάδα του συνδυασμού κλοπιδογρέλης–ΑΣΟ έλαβαν μία δόση φόρτισης κλοπιδογρέλης των 300 mg την ημέρα 1, ακολουθούμενη από μία δόση κλοπιδογρέλης των 75 mg την ημέρα τις ημέρες 2 έως 90, καθώς και ΑΣΟ στη δόση των 75 mg την ημέρα τις ημέρες 2 έως 21. Οι ασθενείς που τυχαιοποιήθηκαν στην ομάδα του ΑΣΟ έλαβαν εικονικό φάρμακο αντίστοιχο της κλοπιδογρέλης τις ημέρες 1 έως 90 και ΑΣΟ στη δόση των 75 mg την ημέρα τις ημέρες 2 έως 90.</w:t>
      </w:r>
    </w:p>
    <w:p>
      <w:pPr>
        <w:tabs>
          <w:tab w:val="clear" w:pos="567"/>
        </w:tabs>
        <w:spacing w:line="240" w:lineRule="auto"/>
        <w:ind w:right="-29"/>
        <w:rPr>
          <w:bCs/>
          <w:szCs w:val="22"/>
          <w:lang w:val="el-GR"/>
        </w:rPr>
      </w:pPr>
    </w:p>
    <w:p>
      <w:pPr>
        <w:tabs>
          <w:tab w:val="clear" w:pos="567"/>
        </w:tabs>
        <w:spacing w:line="240" w:lineRule="auto"/>
        <w:ind w:right="-29"/>
        <w:rPr>
          <w:bCs/>
          <w:szCs w:val="22"/>
          <w:lang w:val="el-GR"/>
        </w:rPr>
      </w:pPr>
      <w:r>
        <w:rPr>
          <w:bCs/>
          <w:szCs w:val="22"/>
          <w:lang w:val="el-GR"/>
        </w:rPr>
        <w:t>Η κύρια έκβαση αποτελεσματικότητας ήταν η εμφάνιση οποιουδήποτε νέου αγγειακού εγκεφαλικού επεισοδίου (ισχαιμικού και αιμορραγικού) στις πρώτες 90 ημέρες μετά από οξύ έλασσον ΙΑΕΕ ή υψηλού κινδύνου ΠΙΕ. Αυτό συνέβη σε 212 ασθενείς (8,2%) στην ομάδα του συνδυασμού κλοπιδογρέλης-ΑΣΟ συγκριτικά με 303 ασθενείς (11,7%) στην ομάδα του ΑΣΟ (αναλογία κινδύνου [HR], 0,68, 95% διάστημα εμπιστοσύνης [CI], 0,57 έως 0,81, P&lt;0,001). ΙΑΕΕ παρουσιάστηκε σε 204 ασθενείς (7,9%) στην ομάδα του συνδυασμού κλοπιδογρέλης-ΑΣΟ συγκριτικά με 295 ασθενείς (11,4%) στην ομάδα του ΑΣΟ (HR, 0,67, 95% CI, 0,56 έως 0,81, P&lt;0,001). Αιμορραγικό αγγειακό εγκεφαλικό επεισόδιο παρουσιάστηκε σε 8 ασθενείς σε καθεμία από τις δύο ομάδες της μελέτης (0,3% σε κάθε ομάδα). Μέτρια ή σοβαρή αιμορραγία παρουσιάστηκε σε επτά ασθενείς (0,3%) στην ομάδα του συνδυασμού κλοπιδογρέλης-ΑΣΟ και σε οχτώ ασθενείς (0,3%) στην ομάδα του ΑΣΟ (P = 0,73). Το ποσοστό οποιωνδήποτε αιμορραγικών συμβάντων ήταν 2,3% στην ομάδα του συνδυασμού κλοπιδογρέλης-ΑΣΟ συγκριτικά με 1,6% στην ομάδα του ΑΣΟ (HR, 1,41, 95% CI, 0,95 έως 2,10, P = 0,09).</w:t>
      </w:r>
    </w:p>
    <w:bookmarkEnd w:id="17"/>
    <w:p>
      <w:pPr>
        <w:tabs>
          <w:tab w:val="clear" w:pos="567"/>
        </w:tabs>
        <w:spacing w:line="240" w:lineRule="auto"/>
        <w:ind w:right="-29"/>
        <w:rPr>
          <w:bCs/>
          <w:szCs w:val="22"/>
          <w:lang w:val="el-GR"/>
        </w:rPr>
      </w:pPr>
    </w:p>
    <w:p>
      <w:pPr>
        <w:tabs>
          <w:tab w:val="clear" w:pos="567"/>
        </w:tabs>
        <w:spacing w:line="240" w:lineRule="auto"/>
        <w:ind w:right="-29"/>
        <w:rPr>
          <w:bCs/>
          <w:szCs w:val="22"/>
          <w:lang w:val="el-GR"/>
        </w:rPr>
      </w:pPr>
      <w:bookmarkStart w:id="19" w:name="_Hlk25225210"/>
      <w:r>
        <w:rPr>
          <w:b/>
          <w:bCs/>
          <w:szCs w:val="22"/>
          <w:lang w:val="el-GR"/>
        </w:rPr>
        <w:t>POINT</w:t>
      </w:r>
      <w:r>
        <w:rPr>
          <w:bCs/>
          <w:szCs w:val="22"/>
          <w:lang w:val="el-GR"/>
        </w:rPr>
        <w:t xml:space="preserve"> </w:t>
      </w:r>
      <w:bookmarkStart w:id="20" w:name="_Hlk25224579"/>
      <w:r>
        <w:rPr>
          <w:bCs/>
          <w:szCs w:val="22"/>
          <w:lang w:val="el-GR"/>
        </w:rPr>
        <w:t>(</w:t>
      </w:r>
      <w:r>
        <w:rPr>
          <w:bCs/>
          <w:i/>
          <w:szCs w:val="22"/>
          <w:lang w:val="el-GR"/>
        </w:rPr>
        <w:t>Προσανατολισμένη στα Αιμοπετάλια Αναστολή σε Νέο ΠΙΕ και Ελάσσον Ισχαιμικό Αγγειακό Εγκεφαλικό Επεισόδιο</w:t>
      </w:r>
      <w:r>
        <w:rPr>
          <w:bCs/>
          <w:szCs w:val="22"/>
          <w:lang w:val="el-GR"/>
        </w:rPr>
        <w:t>)</w:t>
      </w:r>
    </w:p>
    <w:bookmarkEnd w:id="20"/>
    <w:p>
      <w:pPr>
        <w:tabs>
          <w:tab w:val="clear" w:pos="567"/>
        </w:tabs>
        <w:spacing w:line="240" w:lineRule="auto"/>
        <w:ind w:right="-29"/>
        <w:rPr>
          <w:bCs/>
          <w:szCs w:val="22"/>
          <w:lang w:val="el-GR"/>
        </w:rPr>
      </w:pPr>
      <w:r>
        <w:rPr>
          <w:bCs/>
          <w:szCs w:val="22"/>
          <w:lang w:val="el-GR"/>
        </w:rPr>
        <w:t>Αυτή η τυχαιοποιημένη, διπλά τυφλή, πολυκεντρική, ελεγχόμενη με εικονικό φάρμακο κλινική μελέτη συμπεριέλαβε 4.881 διεθνείς ασθενείς με οξύ ΠΙΕ (βαθμολογία ABCD2 ≥4) ή έλασσον αγγειακό εγκεφαλικό επεισόδιο (NIHSS ≤3). Όλοι οι ασθενείς και στις δύο ομάδες έλαβαν ανοιχτή θεραπεία με ΑΣΟ τις ημέρες 1 έως 90 (50-325 mg σύμφωνα με την κρίση του θεράποντος ιατρού). Οι ασθενείς που τυχαιοποιήθηκαν στην ομάδα της κλοπιδογρέλης έλαβαν μία δόση φόρτισης κλοπιδογρέλης των 600 mg την ημέρα 1, ακολουθούμενη από κλοπιδογρέλης στη δόση των 75 mg την ημέρα τις ημέρες 2 έως 90. Οι ασθενείς που τυχαιοποιήθηκαν στην ομάδα του εικονικού φαρμάκου έλαβαν εικονικό φάρμακο αντίστοιχο της κλοπιδογρέλης τις ημέρες 1 έως 90.</w:t>
      </w:r>
    </w:p>
    <w:p>
      <w:pPr>
        <w:tabs>
          <w:tab w:val="clear" w:pos="567"/>
        </w:tabs>
        <w:spacing w:line="240" w:lineRule="auto"/>
        <w:ind w:right="-29"/>
        <w:rPr>
          <w:bCs/>
          <w:szCs w:val="22"/>
          <w:lang w:val="el-GR"/>
        </w:rPr>
      </w:pPr>
    </w:p>
    <w:p>
      <w:pPr>
        <w:tabs>
          <w:tab w:val="clear" w:pos="567"/>
        </w:tabs>
        <w:spacing w:line="240" w:lineRule="auto"/>
        <w:ind w:right="-29"/>
        <w:rPr>
          <w:bCs/>
          <w:szCs w:val="22"/>
          <w:lang w:val="el-GR"/>
        </w:rPr>
      </w:pPr>
      <w:r>
        <w:rPr>
          <w:bCs/>
          <w:szCs w:val="22"/>
          <w:lang w:val="el-GR"/>
        </w:rPr>
        <w:t>Η κύρια έκβαση αποτελεσματικότητας ήταν ένα σύνθετο καταληκτικό σημείο που περιελάμβανε μείζονα ισχαιμικά επεισόδια (ΙΑΕΕ, ΕΜ ή θάνατος από ισχαιμικό αγγειακό επεισόδιο) την ημέρα 90. Αυτό συνέβη σε 121 ασθενείς (5,0%) που έλαβαν κλοπιδογρέλη συν ΑΣΟ συγκριτικά με 160 ασθενείς (6,5%) που έλαβαν μόνο ΑΣΟ (HR, 0,75, 95% CI, 0,59 έως 0,95, P = 0,02). Η δευτερεύουσες έκβαση του ΙΑΕΕ παρουσιάστηκε σε 112 ασθενείς (4,6%) που έλαβαν κλοπιδογρέλη συν ΑΣΟ συγκριτικά με 155 ασθενείς (6,3%) που έλαβαν μόνο ΑΣΟ (HR, 0,72, 95% CI, 0,56 έως 0,92, P = 0,01). Η κύρια έκβαση ασφάλειας της μείζονος αιμορραγίας παρουσιάστηκε σε 23 από τους 2.432 ασθενείς (0,9%) που έλαβαν κλοπιδογρέλη συν ΑΣΟ και σε 10 από τους 2.449 ασθενείς (0,4%) που έλαβαν μόνο ΑΣΟ (HR, 2,32, 95% CI, 1,10 έως 4,87, P = 0,02). Ελάσσων αιμορραγία παρουσιάστηκε σε 40 ασθενείς (1,6%) που έλαβαν κλοπιδογρέλη συν ΑΣΟ και σε 13 ασθενείς (0,5%) που έλαβαν μόνο ΑΣΟ (HR, 3,12, 95% CI, 1,67 έως 5,83, P &lt; 0,001).</w:t>
      </w:r>
    </w:p>
    <w:p>
      <w:pPr>
        <w:tabs>
          <w:tab w:val="clear" w:pos="567"/>
        </w:tabs>
        <w:spacing w:line="240" w:lineRule="auto"/>
        <w:ind w:right="-29"/>
        <w:rPr>
          <w:bCs/>
          <w:szCs w:val="22"/>
          <w:lang w:val="el-GR"/>
        </w:rPr>
      </w:pPr>
    </w:p>
    <w:p>
      <w:pPr>
        <w:tabs>
          <w:tab w:val="clear" w:pos="567"/>
        </w:tabs>
        <w:spacing w:line="240" w:lineRule="auto"/>
        <w:ind w:right="-29"/>
        <w:rPr>
          <w:bCs/>
          <w:szCs w:val="22"/>
          <w:lang w:val="el-GR"/>
        </w:rPr>
      </w:pPr>
      <w:r>
        <w:rPr>
          <w:bCs/>
          <w:szCs w:val="22"/>
          <w:lang w:val="el-GR"/>
        </w:rPr>
        <w:t>Ανάλυση της χρονικής πορείας των μελετών CHANCE και POINT</w:t>
      </w:r>
    </w:p>
    <w:p>
      <w:pPr>
        <w:tabs>
          <w:tab w:val="clear" w:pos="567"/>
        </w:tabs>
        <w:spacing w:line="240" w:lineRule="auto"/>
        <w:ind w:right="-29"/>
        <w:rPr>
          <w:bCs/>
          <w:szCs w:val="22"/>
          <w:lang w:val="el-GR"/>
        </w:rPr>
      </w:pPr>
      <w:r>
        <w:rPr>
          <w:bCs/>
          <w:szCs w:val="22"/>
          <w:lang w:val="el-GR"/>
        </w:rPr>
        <w:t xml:space="preserve">Δεν υπήρχε όφελος ως προς την αποτελεσματικότητα από τη συνέχιση της DAPT πέραν των 21 ημερών. Πραγματοποιήθηκε μία κατανομή της χρονικής πορείας των μειζόνων ισχαιμικών επεισοδίων και των μειζόνων αιμορραγιών με βάση την εκχώρηση της θεραπείας για να αναλυθεί η επίδραση της βραχυχρόνιας χρονικής πορείας της </w:t>
      </w:r>
      <w:bookmarkEnd w:id="19"/>
      <w:r>
        <w:rPr>
          <w:bCs/>
          <w:szCs w:val="22"/>
          <w:lang w:val="el-GR"/>
        </w:rPr>
        <w:t>DAPT.</w:t>
      </w:r>
    </w:p>
    <w:p>
      <w:pPr>
        <w:tabs>
          <w:tab w:val="clear" w:pos="567"/>
        </w:tabs>
        <w:spacing w:line="240" w:lineRule="auto"/>
        <w:ind w:right="-29"/>
        <w:rPr>
          <w:bCs/>
          <w:szCs w:val="22"/>
          <w:lang w:val="el-GR"/>
        </w:rPr>
      </w:pPr>
    </w:p>
    <w:p>
      <w:pPr>
        <w:widowControl w:val="0"/>
        <w:autoSpaceDE w:val="0"/>
        <w:autoSpaceDN w:val="0"/>
        <w:adjustRightInd w:val="0"/>
        <w:spacing w:line="240" w:lineRule="auto"/>
        <w:rPr>
          <w:szCs w:val="22"/>
          <w:lang w:val="el-GR"/>
        </w:rPr>
      </w:pPr>
      <w:r>
        <w:rPr>
          <w:b/>
          <w:bCs/>
          <w:szCs w:val="22"/>
          <w:lang w:val="el-GR"/>
        </w:rPr>
        <w:t>Πίνακας 1- Κατανομή χρονικής πορείας μειζόνων ισχαιμικών επεισοδίων και μειζόνων αιμορραγιών με βάση την εκχώρηση θεραπείας στις μελέτες CHANCE και POINT</w:t>
      </w:r>
    </w:p>
    <w:p>
      <w:pPr>
        <w:widowControl w:val="0"/>
        <w:autoSpaceDE w:val="0"/>
        <w:autoSpaceDN w:val="0"/>
        <w:adjustRightInd w:val="0"/>
        <w:spacing w:line="240" w:lineRule="auto"/>
        <w:rPr>
          <w:szCs w:val="22"/>
          <w:lang w:val="el-GR"/>
        </w:rPr>
      </w:pPr>
    </w:p>
    <w:tbl>
      <w:tblPr>
        <w:tblW w:w="7590" w:type="dxa"/>
        <w:jc w:val="center"/>
        <w:tblCellMar>
          <w:left w:w="115" w:type="dxa"/>
          <w:right w:w="115" w:type="dxa"/>
        </w:tblCellMar>
        <w:tblLook w:val="04A0" w:firstRow="1" w:lastRow="0" w:firstColumn="1" w:lastColumn="0" w:noHBand="0" w:noVBand="1"/>
      </w:tblPr>
      <w:tblGrid>
        <w:gridCol w:w="1450"/>
        <w:gridCol w:w="1614"/>
        <w:gridCol w:w="1012"/>
        <w:gridCol w:w="940"/>
        <w:gridCol w:w="940"/>
        <w:gridCol w:w="884"/>
        <w:gridCol w:w="250"/>
        <w:gridCol w:w="250"/>
        <w:gridCol w:w="250"/>
      </w:tblGrid>
      <w:tr>
        <w:trPr>
          <w:trHeight w:val="422"/>
          <w:jc w:val="center"/>
        </w:trPr>
        <w:tc>
          <w:tcPr>
            <w:tcW w:w="1572" w:type="dxa"/>
            <w:tcBorders>
              <w:top w:val="single" w:sz="4" w:space="0" w:color="auto"/>
              <w:bottom w:val="single" w:sz="4" w:space="0" w:color="auto"/>
            </w:tcBorders>
            <w:shd w:val="clear" w:color="auto" w:fill="auto"/>
          </w:tcPr>
          <w:p>
            <w:pPr>
              <w:tabs>
                <w:tab w:val="clear" w:pos="567"/>
              </w:tabs>
              <w:spacing w:line="240" w:lineRule="auto"/>
              <w:ind w:right="-29"/>
              <w:rPr>
                <w:rFonts w:ascii="Arial Narrow" w:hAnsi="Arial Narrow"/>
                <w:bCs/>
                <w:sz w:val="18"/>
                <w:szCs w:val="18"/>
                <w:lang w:val="el-GR"/>
              </w:rPr>
            </w:pPr>
            <w:bookmarkStart w:id="21" w:name="_Hlk25225287"/>
          </w:p>
        </w:tc>
        <w:tc>
          <w:tcPr>
            <w:tcW w:w="1614"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p>
        </w:tc>
        <w:tc>
          <w:tcPr>
            <w:tcW w:w="101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143"/>
              <w:rPr>
                <w:rFonts w:ascii="Arial Narrow" w:hAnsi="Arial Narrow"/>
                <w:bCs/>
                <w:sz w:val="18"/>
                <w:szCs w:val="18"/>
                <w:lang w:val="el-GR"/>
              </w:rPr>
            </w:pPr>
            <w:r>
              <w:rPr>
                <w:rFonts w:ascii="Arial Narrow" w:hAnsi="Arial Narrow"/>
                <w:bCs/>
                <w:sz w:val="18"/>
                <w:szCs w:val="18"/>
                <w:lang w:val="el-GR"/>
              </w:rPr>
              <w:t>Αρ.</w:t>
            </w:r>
            <w:r>
              <w:rPr>
                <w:rFonts w:ascii="Arial Narrow" w:hAnsi="Arial Narrow"/>
                <w:bCs/>
                <w:sz w:val="18"/>
                <w:szCs w:val="18"/>
                <w:u w:val="single"/>
                <w:lang w:val="el-GR"/>
              </w:rPr>
              <w:t xml:space="preserve"> </w:t>
            </w:r>
            <w:r>
              <w:rPr>
                <w:rFonts w:ascii="Arial Narrow" w:hAnsi="Arial Narrow"/>
                <w:bCs/>
                <w:sz w:val="18"/>
                <w:szCs w:val="18"/>
                <w:lang w:val="el-GR"/>
              </w:rPr>
              <w:t>συμβάντων</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p>
        </w:tc>
        <w:tc>
          <w:tcPr>
            <w:tcW w:w="76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p>
        </w:tc>
      </w:tr>
      <w:tr>
        <w:trPr>
          <w:trHeight w:val="236"/>
          <w:jc w:val="center"/>
        </w:trPr>
        <w:tc>
          <w:tcPr>
            <w:tcW w:w="1572" w:type="dxa"/>
            <w:tcBorders>
              <w:top w:val="single" w:sz="4" w:space="0" w:color="auto"/>
              <w:bottom w:val="single" w:sz="4" w:space="0" w:color="auto"/>
            </w:tcBorders>
            <w:shd w:val="clear" w:color="auto" w:fill="auto"/>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Εκβάσεις στις μελέτες</w:t>
            </w:r>
          </w:p>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CHANCE και POINT</w:t>
            </w:r>
          </w:p>
        </w:tc>
        <w:tc>
          <w:tcPr>
            <w:tcW w:w="1614"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Εκχώρηση θεραπείας</w:t>
            </w:r>
          </w:p>
        </w:tc>
        <w:tc>
          <w:tcPr>
            <w:tcW w:w="101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Σύνολο</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1</w:t>
            </w:r>
            <w:r>
              <w:rPr>
                <w:rFonts w:ascii="Arial Narrow" w:hAnsi="Arial Narrow"/>
                <w:bCs/>
                <w:sz w:val="18"/>
                <w:szCs w:val="18"/>
                <w:vertAlign w:val="superscript"/>
                <w:lang w:val="el-GR"/>
              </w:rPr>
              <w:t>η</w:t>
            </w:r>
            <w:r>
              <w:rPr>
                <w:rFonts w:ascii="Arial Narrow" w:hAnsi="Arial Narrow"/>
                <w:bCs/>
                <w:sz w:val="18"/>
                <w:szCs w:val="18"/>
                <w:lang w:val="el-GR"/>
              </w:rPr>
              <w:t xml:space="preserve"> εβδομάδα</w:t>
            </w:r>
          </w:p>
        </w:tc>
        <w:tc>
          <w:tcPr>
            <w:tcW w:w="940"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2</w:t>
            </w:r>
            <w:r>
              <w:rPr>
                <w:rFonts w:ascii="Arial Narrow" w:hAnsi="Arial Narrow"/>
                <w:bCs/>
                <w:sz w:val="18"/>
                <w:szCs w:val="18"/>
                <w:vertAlign w:val="superscript"/>
                <w:lang w:val="el-GR"/>
              </w:rPr>
              <w:t>η</w:t>
            </w:r>
            <w:r>
              <w:rPr>
                <w:rFonts w:ascii="Arial Narrow" w:hAnsi="Arial Narrow"/>
                <w:bCs/>
                <w:sz w:val="18"/>
                <w:szCs w:val="18"/>
                <w:lang w:val="el-GR"/>
              </w:rPr>
              <w:t xml:space="preserve"> εβδομάδα</w:t>
            </w:r>
          </w:p>
        </w:tc>
        <w:tc>
          <w:tcPr>
            <w:tcW w:w="762" w:type="dxa"/>
            <w:tcBorders>
              <w:top w:val="single" w:sz="4" w:space="0" w:color="auto"/>
              <w:bottom w:val="single" w:sz="4" w:space="0" w:color="auto"/>
            </w:tcBorders>
            <w:shd w:val="clear" w:color="auto" w:fill="auto"/>
            <w:noWrap/>
            <w:vAlign w:val="center"/>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3</w:t>
            </w:r>
            <w:r>
              <w:rPr>
                <w:rFonts w:ascii="Arial Narrow" w:hAnsi="Arial Narrow"/>
                <w:bCs/>
                <w:sz w:val="18"/>
                <w:szCs w:val="18"/>
                <w:vertAlign w:val="superscript"/>
                <w:lang w:val="el-GR"/>
              </w:rPr>
              <w:t>η</w:t>
            </w:r>
            <w:r>
              <w:rPr>
                <w:rFonts w:ascii="Arial Narrow" w:hAnsi="Arial Narrow"/>
                <w:bCs/>
                <w:sz w:val="18"/>
                <w:szCs w:val="18"/>
                <w:lang w:val="el-GR"/>
              </w:rPr>
              <w:t xml:space="preserve"> εβδομάδα</w:t>
            </w: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p>
        </w:tc>
        <w:tc>
          <w:tcPr>
            <w:tcW w:w="250" w:type="dxa"/>
            <w:tcBorders>
              <w:top w:val="single" w:sz="4" w:space="0" w:color="auto"/>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p>
        </w:tc>
      </w:tr>
      <w:tr>
        <w:trPr>
          <w:trHeight w:val="236"/>
          <w:jc w:val="center"/>
        </w:trPr>
        <w:tc>
          <w:tcPr>
            <w:tcW w:w="1572" w:type="dxa"/>
            <w:tcBorders>
              <w:top w:val="single" w:sz="4" w:space="0" w:color="auto"/>
            </w:tcBorders>
            <w:shd w:val="clear" w:color="auto" w:fill="auto"/>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Μείζονα ισχαιμικά επεισόδια</w:t>
            </w:r>
          </w:p>
        </w:tc>
        <w:tc>
          <w:tcPr>
            <w:tcW w:w="1614" w:type="dxa"/>
            <w:tcBorders>
              <w:top w:val="single" w:sz="4" w:space="0" w:color="auto"/>
            </w:tcBorders>
            <w:shd w:val="clear" w:color="auto" w:fill="auto"/>
            <w:noWrap/>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ΑΣΟ (n=5.035)</w:t>
            </w:r>
          </w:p>
        </w:tc>
        <w:tc>
          <w:tcPr>
            <w:tcW w:w="1012"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458</w:t>
            </w:r>
          </w:p>
        </w:tc>
        <w:tc>
          <w:tcPr>
            <w:tcW w:w="94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330</w:t>
            </w:r>
          </w:p>
        </w:tc>
        <w:tc>
          <w:tcPr>
            <w:tcW w:w="94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36</w:t>
            </w:r>
          </w:p>
        </w:tc>
        <w:tc>
          <w:tcPr>
            <w:tcW w:w="762"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21</w:t>
            </w: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tcBorders>
              <w:top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p>
        </w:tc>
      </w:tr>
      <w:tr>
        <w:trPr>
          <w:trHeight w:val="236"/>
          <w:jc w:val="center"/>
        </w:trPr>
        <w:tc>
          <w:tcPr>
            <w:tcW w:w="1572" w:type="dxa"/>
            <w:shd w:val="clear" w:color="auto" w:fill="auto"/>
          </w:tcPr>
          <w:p>
            <w:pPr>
              <w:tabs>
                <w:tab w:val="clear" w:pos="567"/>
              </w:tabs>
              <w:spacing w:line="240" w:lineRule="auto"/>
              <w:ind w:right="-29"/>
              <w:rPr>
                <w:rFonts w:ascii="Arial Narrow" w:hAnsi="Arial Narrow"/>
                <w:bCs/>
                <w:sz w:val="18"/>
                <w:szCs w:val="18"/>
                <w:lang w:val="el-GR"/>
              </w:rPr>
            </w:pPr>
          </w:p>
        </w:tc>
        <w:tc>
          <w:tcPr>
            <w:tcW w:w="1614" w:type="dxa"/>
            <w:shd w:val="clear" w:color="auto" w:fill="auto"/>
            <w:noWrap/>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ΚΛΠ+ΑΣΟ (n=5.016)</w:t>
            </w:r>
          </w:p>
        </w:tc>
        <w:tc>
          <w:tcPr>
            <w:tcW w:w="1012"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328</w:t>
            </w:r>
          </w:p>
        </w:tc>
        <w:tc>
          <w:tcPr>
            <w:tcW w:w="940"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217</w:t>
            </w:r>
          </w:p>
        </w:tc>
        <w:tc>
          <w:tcPr>
            <w:tcW w:w="940"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30</w:t>
            </w:r>
          </w:p>
        </w:tc>
        <w:tc>
          <w:tcPr>
            <w:tcW w:w="762"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14</w:t>
            </w: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r>
      <w:tr>
        <w:trPr>
          <w:trHeight w:val="236"/>
          <w:jc w:val="center"/>
        </w:trPr>
        <w:tc>
          <w:tcPr>
            <w:tcW w:w="1572" w:type="dxa"/>
            <w:shd w:val="clear" w:color="auto" w:fill="auto"/>
          </w:tcPr>
          <w:p>
            <w:pPr>
              <w:tabs>
                <w:tab w:val="clear" w:pos="567"/>
              </w:tabs>
              <w:spacing w:line="240" w:lineRule="auto"/>
              <w:ind w:right="-29"/>
              <w:rPr>
                <w:rFonts w:ascii="Arial Narrow" w:hAnsi="Arial Narrow"/>
                <w:bCs/>
                <w:sz w:val="18"/>
                <w:szCs w:val="18"/>
                <w:lang w:val="el-GR"/>
              </w:rPr>
            </w:pPr>
          </w:p>
        </w:tc>
        <w:tc>
          <w:tcPr>
            <w:tcW w:w="1614"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Διαφορά</w:t>
            </w:r>
          </w:p>
        </w:tc>
        <w:tc>
          <w:tcPr>
            <w:tcW w:w="1012" w:type="dxa"/>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130</w:t>
            </w:r>
          </w:p>
        </w:tc>
        <w:tc>
          <w:tcPr>
            <w:tcW w:w="940" w:type="dxa"/>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113</w:t>
            </w:r>
          </w:p>
        </w:tc>
        <w:tc>
          <w:tcPr>
            <w:tcW w:w="940" w:type="dxa"/>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6</w:t>
            </w:r>
          </w:p>
        </w:tc>
        <w:tc>
          <w:tcPr>
            <w:tcW w:w="762" w:type="dxa"/>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7</w:t>
            </w: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vAlign w:val="center"/>
          </w:tcPr>
          <w:p>
            <w:pPr>
              <w:tabs>
                <w:tab w:val="clear" w:pos="567"/>
              </w:tabs>
              <w:spacing w:line="240" w:lineRule="auto"/>
              <w:ind w:right="-29"/>
              <w:rPr>
                <w:rFonts w:ascii="Arial Narrow" w:hAnsi="Arial Narrow"/>
                <w:bCs/>
                <w:sz w:val="18"/>
                <w:szCs w:val="18"/>
                <w:lang w:val="el-GR"/>
              </w:rPr>
            </w:pPr>
          </w:p>
        </w:tc>
      </w:tr>
      <w:tr>
        <w:trPr>
          <w:trHeight w:val="236"/>
          <w:jc w:val="center"/>
        </w:trPr>
        <w:tc>
          <w:tcPr>
            <w:tcW w:w="1572" w:type="dxa"/>
            <w:shd w:val="clear" w:color="auto" w:fill="auto"/>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Μείζων αιμορραγία</w:t>
            </w:r>
          </w:p>
        </w:tc>
        <w:tc>
          <w:tcPr>
            <w:tcW w:w="1614" w:type="dxa"/>
            <w:shd w:val="clear" w:color="auto" w:fill="auto"/>
            <w:noWrap/>
            <w:hideMark/>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ΑΣΟ (n=5.035)</w:t>
            </w:r>
          </w:p>
        </w:tc>
        <w:tc>
          <w:tcPr>
            <w:tcW w:w="1012"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18</w:t>
            </w:r>
          </w:p>
        </w:tc>
        <w:tc>
          <w:tcPr>
            <w:tcW w:w="940"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4</w:t>
            </w:r>
          </w:p>
        </w:tc>
        <w:tc>
          <w:tcPr>
            <w:tcW w:w="940"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2</w:t>
            </w:r>
          </w:p>
        </w:tc>
        <w:tc>
          <w:tcPr>
            <w:tcW w:w="762"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1</w:t>
            </w: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r>
      <w:tr>
        <w:trPr>
          <w:trHeight w:val="236"/>
          <w:jc w:val="center"/>
        </w:trPr>
        <w:tc>
          <w:tcPr>
            <w:tcW w:w="1572" w:type="dxa"/>
            <w:shd w:val="clear" w:color="auto" w:fill="auto"/>
          </w:tcPr>
          <w:p>
            <w:pPr>
              <w:tabs>
                <w:tab w:val="clear" w:pos="567"/>
              </w:tabs>
              <w:spacing w:line="240" w:lineRule="auto"/>
              <w:ind w:right="-29"/>
              <w:rPr>
                <w:rFonts w:ascii="Arial Narrow" w:hAnsi="Arial Narrow"/>
                <w:bCs/>
                <w:sz w:val="18"/>
                <w:szCs w:val="18"/>
                <w:lang w:val="el-GR"/>
              </w:rPr>
            </w:pPr>
          </w:p>
        </w:tc>
        <w:tc>
          <w:tcPr>
            <w:tcW w:w="1614"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ΚΛΠ+ΑΣΟ (n=5.016)</w:t>
            </w:r>
          </w:p>
        </w:tc>
        <w:tc>
          <w:tcPr>
            <w:tcW w:w="1012"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30</w:t>
            </w:r>
          </w:p>
        </w:tc>
        <w:tc>
          <w:tcPr>
            <w:tcW w:w="940"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10</w:t>
            </w:r>
          </w:p>
        </w:tc>
        <w:tc>
          <w:tcPr>
            <w:tcW w:w="940"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4</w:t>
            </w:r>
          </w:p>
        </w:tc>
        <w:tc>
          <w:tcPr>
            <w:tcW w:w="762" w:type="dxa"/>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 xml:space="preserve"> 2</w:t>
            </w: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c>
          <w:tcPr>
            <w:tcW w:w="250" w:type="dxa"/>
            <w:shd w:val="clear" w:color="auto" w:fill="auto"/>
            <w:noWrap/>
          </w:tcPr>
          <w:p>
            <w:pPr>
              <w:tabs>
                <w:tab w:val="clear" w:pos="567"/>
              </w:tabs>
              <w:spacing w:line="240" w:lineRule="auto"/>
              <w:ind w:right="-29"/>
              <w:rPr>
                <w:rFonts w:ascii="Arial Narrow" w:hAnsi="Arial Narrow"/>
                <w:bCs/>
                <w:sz w:val="18"/>
                <w:szCs w:val="18"/>
                <w:lang w:val="el-GR"/>
              </w:rPr>
            </w:pPr>
          </w:p>
        </w:tc>
      </w:tr>
      <w:tr>
        <w:trPr>
          <w:trHeight w:val="236"/>
          <w:jc w:val="center"/>
        </w:trPr>
        <w:tc>
          <w:tcPr>
            <w:tcW w:w="1572" w:type="dxa"/>
            <w:tcBorders>
              <w:bottom w:val="single" w:sz="4" w:space="0" w:color="auto"/>
            </w:tcBorders>
            <w:shd w:val="clear" w:color="auto" w:fill="auto"/>
          </w:tcPr>
          <w:p>
            <w:pPr>
              <w:tabs>
                <w:tab w:val="clear" w:pos="567"/>
              </w:tabs>
              <w:spacing w:line="240" w:lineRule="auto"/>
              <w:ind w:right="-29"/>
              <w:rPr>
                <w:rFonts w:ascii="Arial Narrow" w:hAnsi="Arial Narrow"/>
                <w:bCs/>
                <w:sz w:val="18"/>
                <w:szCs w:val="18"/>
                <w:lang w:val="el-GR"/>
              </w:rPr>
            </w:pPr>
          </w:p>
        </w:tc>
        <w:tc>
          <w:tcPr>
            <w:tcW w:w="1614" w:type="dxa"/>
            <w:tcBorders>
              <w:bottom w:val="single" w:sz="4" w:space="0" w:color="auto"/>
            </w:tcBorders>
            <w:shd w:val="clear" w:color="auto" w:fill="auto"/>
            <w:noWrap/>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Διαφορά</w:t>
            </w:r>
          </w:p>
        </w:tc>
        <w:tc>
          <w:tcPr>
            <w:tcW w:w="1012"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-12</w:t>
            </w:r>
          </w:p>
        </w:tc>
        <w:tc>
          <w:tcPr>
            <w:tcW w:w="94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-6</w:t>
            </w:r>
          </w:p>
        </w:tc>
        <w:tc>
          <w:tcPr>
            <w:tcW w:w="94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-2</w:t>
            </w:r>
          </w:p>
        </w:tc>
        <w:tc>
          <w:tcPr>
            <w:tcW w:w="762"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r>
              <w:rPr>
                <w:rFonts w:ascii="Arial Narrow" w:hAnsi="Arial Narrow"/>
                <w:bCs/>
                <w:sz w:val="18"/>
                <w:szCs w:val="18"/>
                <w:lang w:val="el-GR"/>
              </w:rPr>
              <w:t>-1</w:t>
            </w: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p>
        </w:tc>
        <w:tc>
          <w:tcPr>
            <w:tcW w:w="250" w:type="dxa"/>
            <w:tcBorders>
              <w:bottom w:val="single" w:sz="4" w:space="0" w:color="auto"/>
            </w:tcBorders>
            <w:shd w:val="clear" w:color="auto" w:fill="auto"/>
            <w:noWrap/>
            <w:vAlign w:val="center"/>
          </w:tcPr>
          <w:p>
            <w:pPr>
              <w:tabs>
                <w:tab w:val="clear" w:pos="567"/>
              </w:tabs>
              <w:spacing w:line="240" w:lineRule="auto"/>
              <w:ind w:right="-29"/>
              <w:rPr>
                <w:rFonts w:ascii="Arial Narrow" w:hAnsi="Arial Narrow"/>
                <w:bCs/>
                <w:sz w:val="18"/>
                <w:szCs w:val="18"/>
                <w:lang w:val="el-GR"/>
              </w:rPr>
            </w:pPr>
          </w:p>
        </w:tc>
      </w:tr>
      <w:bookmarkEnd w:id="21"/>
    </w:tbl>
    <w:p>
      <w:pPr>
        <w:widowControl w:val="0"/>
        <w:autoSpaceDE w:val="0"/>
        <w:autoSpaceDN w:val="0"/>
        <w:adjustRightInd w:val="0"/>
        <w:spacing w:line="240" w:lineRule="auto"/>
        <w:rPr>
          <w:szCs w:val="22"/>
          <w:lang w:val="el-GR"/>
        </w:rPr>
      </w:pPr>
    </w:p>
    <w:p>
      <w:pPr>
        <w:widowControl w:val="0"/>
        <w:spacing w:line="240" w:lineRule="auto"/>
        <w:rPr>
          <w:i/>
          <w:szCs w:val="22"/>
          <w:lang w:val="sl-SI"/>
        </w:rPr>
      </w:pPr>
      <w:r>
        <w:rPr>
          <w:i/>
          <w:szCs w:val="22"/>
          <w:lang w:val="el-GR"/>
        </w:rPr>
        <w:t>Κολπική</w:t>
      </w:r>
      <w:r>
        <w:rPr>
          <w:i/>
          <w:szCs w:val="22"/>
          <w:lang w:val="sl-SI"/>
        </w:rPr>
        <w:t xml:space="preserve"> </w:t>
      </w:r>
      <w:r>
        <w:rPr>
          <w:i/>
          <w:szCs w:val="22"/>
          <w:lang w:val="el-GR"/>
        </w:rPr>
        <w:t>μαρμαρυγή</w:t>
      </w:r>
    </w:p>
    <w:p>
      <w:pPr>
        <w:widowControl w:val="0"/>
        <w:spacing w:line="240" w:lineRule="auto"/>
        <w:rPr>
          <w:szCs w:val="22"/>
          <w:lang w:val="sl-SI"/>
        </w:rPr>
      </w:pPr>
      <w:r>
        <w:rPr>
          <w:szCs w:val="22"/>
          <w:lang w:val="el-GR"/>
        </w:rPr>
        <w:t>Οι</w:t>
      </w:r>
      <w:r>
        <w:rPr>
          <w:szCs w:val="22"/>
          <w:lang w:val="sl-SI"/>
        </w:rPr>
        <w:t xml:space="preserve"> </w:t>
      </w:r>
      <w:r>
        <w:rPr>
          <w:szCs w:val="22"/>
          <w:lang w:val="el-GR"/>
        </w:rPr>
        <w:t>μελέτες</w:t>
      </w:r>
      <w:r>
        <w:rPr>
          <w:szCs w:val="22"/>
          <w:lang w:val="sl-SI"/>
        </w:rPr>
        <w:t xml:space="preserve"> ACTIVE-W </w:t>
      </w:r>
      <w:r>
        <w:rPr>
          <w:szCs w:val="22"/>
          <w:lang w:val="el-GR"/>
        </w:rPr>
        <w:t>και</w:t>
      </w:r>
      <w:r>
        <w:rPr>
          <w:szCs w:val="22"/>
          <w:lang w:val="sl-SI"/>
        </w:rPr>
        <w:t xml:space="preserve"> ACTIVE-A, </w:t>
      </w:r>
      <w:r>
        <w:rPr>
          <w:szCs w:val="22"/>
          <w:lang w:val="el-GR"/>
        </w:rPr>
        <w:t>ξεχωριστές</w:t>
      </w:r>
      <w:r>
        <w:rPr>
          <w:szCs w:val="22"/>
          <w:lang w:val="sl-SI"/>
        </w:rPr>
        <w:t xml:space="preserve"> </w:t>
      </w:r>
      <w:r>
        <w:rPr>
          <w:szCs w:val="22"/>
          <w:lang w:val="el-GR"/>
        </w:rPr>
        <w:t>δοκιμές</w:t>
      </w:r>
      <w:r>
        <w:rPr>
          <w:szCs w:val="22"/>
          <w:lang w:val="sl-SI"/>
        </w:rPr>
        <w:t xml:space="preserve"> </w:t>
      </w:r>
      <w:r>
        <w:rPr>
          <w:szCs w:val="22"/>
          <w:lang w:val="el-GR"/>
        </w:rPr>
        <w:t>του</w:t>
      </w:r>
      <w:r>
        <w:rPr>
          <w:szCs w:val="22"/>
          <w:lang w:val="sl-SI"/>
        </w:rPr>
        <w:t xml:space="preserve"> </w:t>
      </w:r>
      <w:r>
        <w:rPr>
          <w:szCs w:val="22"/>
          <w:lang w:val="el-GR"/>
        </w:rPr>
        <w:t>προγράμματος</w:t>
      </w:r>
      <w:r>
        <w:rPr>
          <w:szCs w:val="22"/>
          <w:lang w:val="sl-SI"/>
        </w:rPr>
        <w:t xml:space="preserve"> ACTIVE, </w:t>
      </w:r>
      <w:r>
        <w:rPr>
          <w:szCs w:val="22"/>
          <w:lang w:val="el-GR"/>
        </w:rPr>
        <w:t>συμπεριέλαβαν</w:t>
      </w:r>
      <w:r>
        <w:rPr>
          <w:szCs w:val="22"/>
          <w:lang w:val="sl-SI"/>
        </w:rPr>
        <w:t xml:space="preserve"> </w:t>
      </w:r>
      <w:r>
        <w:rPr>
          <w:szCs w:val="22"/>
          <w:lang w:val="el-GR"/>
        </w:rPr>
        <w:t>ασθενείς</w:t>
      </w:r>
      <w:r>
        <w:rPr>
          <w:szCs w:val="22"/>
          <w:lang w:val="sl-SI"/>
        </w:rPr>
        <w:t xml:space="preserve"> </w:t>
      </w:r>
      <w:r>
        <w:rPr>
          <w:szCs w:val="22"/>
          <w:lang w:val="el-GR"/>
        </w:rPr>
        <w:t>με</w:t>
      </w:r>
      <w:r>
        <w:rPr>
          <w:szCs w:val="22"/>
          <w:lang w:val="sl-SI"/>
        </w:rPr>
        <w:t xml:space="preserve"> </w:t>
      </w:r>
      <w:r>
        <w:rPr>
          <w:szCs w:val="22"/>
          <w:lang w:val="el-GR"/>
        </w:rPr>
        <w:t>κολπική</w:t>
      </w:r>
      <w:r>
        <w:rPr>
          <w:szCs w:val="22"/>
          <w:lang w:val="sl-SI"/>
        </w:rPr>
        <w:t xml:space="preserve"> </w:t>
      </w:r>
      <w:r>
        <w:rPr>
          <w:szCs w:val="22"/>
          <w:lang w:val="el-GR"/>
        </w:rPr>
        <w:t>μαρμαρυγή</w:t>
      </w:r>
      <w:r>
        <w:rPr>
          <w:szCs w:val="22"/>
          <w:lang w:val="sl-SI"/>
        </w:rPr>
        <w:t xml:space="preserve"> (</w:t>
      </w:r>
      <w:r>
        <w:rPr>
          <w:szCs w:val="22"/>
          <w:lang w:val="el-GR"/>
        </w:rPr>
        <w:t>ΚΜ</w:t>
      </w:r>
      <w:r>
        <w:rPr>
          <w:szCs w:val="22"/>
          <w:lang w:val="sl-SI"/>
        </w:rPr>
        <w:t xml:space="preserve">), </w:t>
      </w:r>
      <w:r>
        <w:rPr>
          <w:szCs w:val="22"/>
          <w:lang w:val="el-GR"/>
        </w:rPr>
        <w:t>οι</w:t>
      </w:r>
      <w:r>
        <w:rPr>
          <w:szCs w:val="22"/>
          <w:lang w:val="sl-SI"/>
        </w:rPr>
        <w:t xml:space="preserve"> </w:t>
      </w:r>
      <w:r>
        <w:rPr>
          <w:szCs w:val="22"/>
          <w:lang w:val="el-GR"/>
        </w:rPr>
        <w:t>οποίοι</w:t>
      </w:r>
      <w:r>
        <w:rPr>
          <w:szCs w:val="22"/>
          <w:lang w:val="sl-SI"/>
        </w:rPr>
        <w:t xml:space="preserve"> </w:t>
      </w:r>
      <w:r>
        <w:rPr>
          <w:szCs w:val="22"/>
          <w:lang w:val="el-GR"/>
        </w:rPr>
        <w:t>είχαν</w:t>
      </w:r>
      <w:r>
        <w:rPr>
          <w:szCs w:val="22"/>
          <w:lang w:val="sl-SI"/>
        </w:rPr>
        <w:t xml:space="preserve"> </w:t>
      </w:r>
      <w:r>
        <w:rPr>
          <w:szCs w:val="22"/>
          <w:lang w:val="el-GR"/>
        </w:rPr>
        <w:t>τουλάχιστον</w:t>
      </w:r>
      <w:r>
        <w:rPr>
          <w:szCs w:val="22"/>
          <w:lang w:val="sl-SI"/>
        </w:rPr>
        <w:t xml:space="preserve"> </w:t>
      </w:r>
      <w:r>
        <w:rPr>
          <w:szCs w:val="22"/>
          <w:lang w:val="el-GR"/>
        </w:rPr>
        <w:t>έναν</w:t>
      </w:r>
      <w:r>
        <w:rPr>
          <w:szCs w:val="22"/>
          <w:lang w:val="sl-SI"/>
        </w:rPr>
        <w:t xml:space="preserve"> </w:t>
      </w:r>
      <w:r>
        <w:rPr>
          <w:szCs w:val="22"/>
          <w:lang w:val="el-GR"/>
        </w:rPr>
        <w:t>παράγοντα</w:t>
      </w:r>
      <w:r>
        <w:rPr>
          <w:szCs w:val="22"/>
          <w:lang w:val="sl-SI"/>
        </w:rPr>
        <w:t xml:space="preserve"> </w:t>
      </w:r>
      <w:r>
        <w:rPr>
          <w:szCs w:val="22"/>
          <w:lang w:val="el-GR"/>
        </w:rPr>
        <w:t>κινδύνου</w:t>
      </w:r>
      <w:r>
        <w:rPr>
          <w:szCs w:val="22"/>
          <w:lang w:val="sl-SI"/>
        </w:rPr>
        <w:t xml:space="preserve"> </w:t>
      </w:r>
      <w:r>
        <w:rPr>
          <w:szCs w:val="22"/>
          <w:lang w:val="el-GR"/>
        </w:rPr>
        <w:t>για</w:t>
      </w:r>
      <w:r>
        <w:rPr>
          <w:szCs w:val="22"/>
          <w:lang w:val="sl-SI"/>
        </w:rPr>
        <w:t xml:space="preserve"> </w:t>
      </w:r>
      <w:r>
        <w:rPr>
          <w:szCs w:val="22"/>
          <w:lang w:val="el-GR"/>
        </w:rPr>
        <w:t>αγγειακά</w:t>
      </w:r>
      <w:r>
        <w:rPr>
          <w:szCs w:val="22"/>
          <w:lang w:val="sl-SI"/>
        </w:rPr>
        <w:t xml:space="preserve"> </w:t>
      </w:r>
      <w:r>
        <w:rPr>
          <w:szCs w:val="22"/>
          <w:lang w:val="el-GR"/>
        </w:rPr>
        <w:t>συμβάματα</w:t>
      </w:r>
      <w:r>
        <w:rPr>
          <w:szCs w:val="22"/>
          <w:lang w:val="sl-SI"/>
        </w:rPr>
        <w:t xml:space="preserve">. </w:t>
      </w:r>
      <w:r>
        <w:rPr>
          <w:szCs w:val="22"/>
          <w:lang w:val="el-GR"/>
        </w:rPr>
        <w:t>Βάσει</w:t>
      </w:r>
      <w:r>
        <w:rPr>
          <w:szCs w:val="22"/>
          <w:lang w:val="sl-SI"/>
        </w:rPr>
        <w:t xml:space="preserve"> </w:t>
      </w:r>
      <w:r>
        <w:rPr>
          <w:szCs w:val="22"/>
          <w:lang w:val="el-GR"/>
        </w:rPr>
        <w:t>των</w:t>
      </w:r>
      <w:r>
        <w:rPr>
          <w:szCs w:val="22"/>
          <w:lang w:val="sl-SI"/>
        </w:rPr>
        <w:t xml:space="preserve"> </w:t>
      </w:r>
      <w:r>
        <w:rPr>
          <w:szCs w:val="22"/>
          <w:lang w:val="el-GR"/>
        </w:rPr>
        <w:t>κριτηρίων</w:t>
      </w:r>
      <w:r>
        <w:rPr>
          <w:szCs w:val="22"/>
          <w:lang w:val="sl-SI"/>
        </w:rPr>
        <w:t xml:space="preserve"> </w:t>
      </w:r>
      <w:r>
        <w:rPr>
          <w:szCs w:val="22"/>
          <w:lang w:val="el-GR"/>
        </w:rPr>
        <w:t>εισαγωγής</w:t>
      </w:r>
      <w:r>
        <w:rPr>
          <w:szCs w:val="22"/>
          <w:lang w:val="sl-SI"/>
        </w:rPr>
        <w:t xml:space="preserve">, </w:t>
      </w:r>
      <w:r>
        <w:rPr>
          <w:szCs w:val="22"/>
          <w:lang w:val="el-GR"/>
        </w:rPr>
        <w:t>οι</w:t>
      </w:r>
      <w:r>
        <w:rPr>
          <w:szCs w:val="22"/>
          <w:lang w:val="sl-SI"/>
        </w:rPr>
        <w:t xml:space="preserve"> </w:t>
      </w:r>
      <w:r>
        <w:rPr>
          <w:szCs w:val="22"/>
          <w:lang w:val="el-GR"/>
        </w:rPr>
        <w:t>γιατροί</w:t>
      </w:r>
      <w:r>
        <w:rPr>
          <w:szCs w:val="22"/>
          <w:lang w:val="sl-SI"/>
        </w:rPr>
        <w:t xml:space="preserve"> </w:t>
      </w:r>
      <w:r>
        <w:rPr>
          <w:szCs w:val="22"/>
          <w:lang w:val="el-GR"/>
        </w:rPr>
        <w:t>ενέταξαν</w:t>
      </w:r>
      <w:r>
        <w:rPr>
          <w:szCs w:val="22"/>
          <w:lang w:val="sl-SI"/>
        </w:rPr>
        <w:t xml:space="preserve"> </w:t>
      </w:r>
      <w:r>
        <w:rPr>
          <w:szCs w:val="22"/>
          <w:lang w:val="el-GR"/>
        </w:rPr>
        <w:t>ασθενείς</w:t>
      </w:r>
      <w:r>
        <w:rPr>
          <w:szCs w:val="22"/>
          <w:lang w:val="sl-SI"/>
        </w:rPr>
        <w:t xml:space="preserve"> </w:t>
      </w:r>
      <w:r>
        <w:rPr>
          <w:szCs w:val="22"/>
          <w:lang w:val="el-GR"/>
        </w:rPr>
        <w:t>στην</w:t>
      </w:r>
      <w:r>
        <w:rPr>
          <w:szCs w:val="22"/>
          <w:lang w:val="sl-SI"/>
        </w:rPr>
        <w:t xml:space="preserve"> ACTIVE-W </w:t>
      </w:r>
      <w:r>
        <w:rPr>
          <w:szCs w:val="22"/>
          <w:lang w:val="el-GR"/>
        </w:rPr>
        <w:t>εάν</w:t>
      </w:r>
      <w:r>
        <w:rPr>
          <w:szCs w:val="22"/>
          <w:lang w:val="sl-SI"/>
        </w:rPr>
        <w:t xml:space="preserve"> </w:t>
      </w:r>
      <w:r>
        <w:rPr>
          <w:szCs w:val="22"/>
          <w:lang w:val="el-GR"/>
        </w:rPr>
        <w:t>ήταν</w:t>
      </w:r>
      <w:r>
        <w:rPr>
          <w:szCs w:val="22"/>
          <w:lang w:val="sl-SI"/>
        </w:rPr>
        <w:t xml:space="preserve"> </w:t>
      </w:r>
      <w:r>
        <w:rPr>
          <w:szCs w:val="22"/>
          <w:lang w:val="el-GR"/>
        </w:rPr>
        <w:t>υποψήφιοι</w:t>
      </w:r>
      <w:r>
        <w:rPr>
          <w:szCs w:val="22"/>
          <w:lang w:val="sl-SI"/>
        </w:rPr>
        <w:t xml:space="preserve"> </w:t>
      </w:r>
      <w:r>
        <w:rPr>
          <w:szCs w:val="22"/>
          <w:lang w:val="el-GR"/>
        </w:rPr>
        <w:t>για</w:t>
      </w:r>
      <w:r>
        <w:rPr>
          <w:szCs w:val="22"/>
          <w:lang w:val="sl-SI"/>
        </w:rPr>
        <w:t xml:space="preserve"> </w:t>
      </w:r>
      <w:r>
        <w:rPr>
          <w:szCs w:val="22"/>
          <w:lang w:val="el-GR"/>
        </w:rPr>
        <w:t>θεραπεία</w:t>
      </w:r>
      <w:r>
        <w:rPr>
          <w:szCs w:val="22"/>
          <w:lang w:val="sl-SI"/>
        </w:rPr>
        <w:t xml:space="preserve"> </w:t>
      </w:r>
      <w:r>
        <w:rPr>
          <w:szCs w:val="22"/>
          <w:lang w:val="el-GR"/>
        </w:rPr>
        <w:t>με</w:t>
      </w:r>
      <w:r>
        <w:rPr>
          <w:szCs w:val="22"/>
          <w:lang w:val="sl-SI"/>
        </w:rPr>
        <w:t xml:space="preserve"> </w:t>
      </w:r>
      <w:r>
        <w:rPr>
          <w:szCs w:val="22"/>
          <w:lang w:val="el-GR"/>
        </w:rPr>
        <w:t>ανταγωνιστές</w:t>
      </w:r>
      <w:r>
        <w:rPr>
          <w:szCs w:val="22"/>
          <w:lang w:val="sl-SI"/>
        </w:rPr>
        <w:t xml:space="preserve"> </w:t>
      </w:r>
      <w:r>
        <w:rPr>
          <w:szCs w:val="22"/>
          <w:lang w:val="el-GR"/>
        </w:rPr>
        <w:t>της</w:t>
      </w:r>
      <w:r>
        <w:rPr>
          <w:szCs w:val="22"/>
          <w:lang w:val="sl-SI"/>
        </w:rPr>
        <w:t xml:space="preserve"> </w:t>
      </w:r>
      <w:r>
        <w:rPr>
          <w:szCs w:val="22"/>
          <w:lang w:val="el-GR"/>
        </w:rPr>
        <w:t>βιταμίνης</w:t>
      </w:r>
      <w:r>
        <w:rPr>
          <w:szCs w:val="22"/>
          <w:lang w:val="sl-SI"/>
        </w:rPr>
        <w:t xml:space="preserve"> </w:t>
      </w:r>
      <w:r>
        <w:rPr>
          <w:szCs w:val="22"/>
          <w:lang w:val="el-GR"/>
        </w:rPr>
        <w:t>Κ</w:t>
      </w:r>
      <w:r>
        <w:rPr>
          <w:szCs w:val="22"/>
          <w:lang w:val="sl-SI"/>
        </w:rPr>
        <w:t xml:space="preserve"> (</w:t>
      </w:r>
      <w:r>
        <w:rPr>
          <w:szCs w:val="22"/>
          <w:lang w:val="el-GR"/>
        </w:rPr>
        <w:t>ΑΒΚ</w:t>
      </w:r>
      <w:r>
        <w:rPr>
          <w:szCs w:val="22"/>
          <w:lang w:val="sl-SI"/>
        </w:rPr>
        <w:t>) (</w:t>
      </w:r>
      <w:r>
        <w:rPr>
          <w:szCs w:val="22"/>
          <w:lang w:val="el-GR"/>
        </w:rPr>
        <w:t>όπως</w:t>
      </w:r>
      <w:r>
        <w:rPr>
          <w:szCs w:val="22"/>
          <w:lang w:val="sl-SI"/>
        </w:rPr>
        <w:t xml:space="preserve"> </w:t>
      </w:r>
      <w:r>
        <w:rPr>
          <w:szCs w:val="22"/>
          <w:lang w:val="el-GR"/>
        </w:rPr>
        <w:t>η</w:t>
      </w:r>
      <w:r>
        <w:rPr>
          <w:szCs w:val="22"/>
          <w:lang w:val="sl-SI"/>
        </w:rPr>
        <w:t xml:space="preserve"> </w:t>
      </w:r>
      <w:r>
        <w:rPr>
          <w:szCs w:val="22"/>
          <w:lang w:val="el-GR"/>
        </w:rPr>
        <w:t>βαρφαρίνη</w:t>
      </w:r>
      <w:r>
        <w:rPr>
          <w:szCs w:val="22"/>
          <w:lang w:val="sl-SI"/>
        </w:rPr>
        <w:t xml:space="preserve">). </w:t>
      </w:r>
      <w:r>
        <w:rPr>
          <w:szCs w:val="22"/>
          <w:lang w:val="el-GR"/>
        </w:rPr>
        <w:t>Η</w:t>
      </w:r>
      <w:r>
        <w:rPr>
          <w:szCs w:val="22"/>
          <w:lang w:val="sl-SI"/>
        </w:rPr>
        <w:t xml:space="preserve"> </w:t>
      </w:r>
      <w:r>
        <w:rPr>
          <w:szCs w:val="22"/>
          <w:lang w:val="el-GR"/>
        </w:rPr>
        <w:t>μελέτη</w:t>
      </w:r>
      <w:r>
        <w:rPr>
          <w:szCs w:val="22"/>
          <w:lang w:val="sl-SI"/>
        </w:rPr>
        <w:t xml:space="preserve"> ACTIVE-A </w:t>
      </w:r>
      <w:r>
        <w:rPr>
          <w:szCs w:val="22"/>
          <w:lang w:val="el-GR"/>
        </w:rPr>
        <w:t>περιελάμβανε</w:t>
      </w:r>
      <w:r>
        <w:rPr>
          <w:szCs w:val="22"/>
          <w:lang w:val="sl-SI"/>
        </w:rPr>
        <w:t xml:space="preserve">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δεν</w:t>
      </w:r>
      <w:r>
        <w:rPr>
          <w:szCs w:val="22"/>
          <w:lang w:val="sl-SI"/>
        </w:rPr>
        <w:t xml:space="preserve"> </w:t>
      </w:r>
      <w:r>
        <w:rPr>
          <w:szCs w:val="22"/>
          <w:lang w:val="el-GR"/>
        </w:rPr>
        <w:t>μπορούσαν</w:t>
      </w:r>
      <w:r>
        <w:rPr>
          <w:szCs w:val="22"/>
          <w:lang w:val="sl-SI"/>
        </w:rPr>
        <w:t xml:space="preserve"> </w:t>
      </w:r>
      <w:r>
        <w:rPr>
          <w:szCs w:val="22"/>
          <w:lang w:val="el-GR"/>
        </w:rPr>
        <w:t>να</w:t>
      </w:r>
      <w:r>
        <w:rPr>
          <w:szCs w:val="22"/>
          <w:lang w:val="sl-SI"/>
        </w:rPr>
        <w:t xml:space="preserve"> </w:t>
      </w:r>
      <w:r>
        <w:rPr>
          <w:szCs w:val="22"/>
          <w:lang w:val="el-GR"/>
        </w:rPr>
        <w:t>λάβουν</w:t>
      </w:r>
      <w:r>
        <w:rPr>
          <w:szCs w:val="22"/>
          <w:lang w:val="sl-SI"/>
        </w:rPr>
        <w:t xml:space="preserve"> </w:t>
      </w:r>
      <w:r>
        <w:rPr>
          <w:szCs w:val="22"/>
          <w:lang w:val="el-GR"/>
        </w:rPr>
        <w:t>θεραπεία</w:t>
      </w:r>
      <w:r>
        <w:rPr>
          <w:szCs w:val="22"/>
          <w:lang w:val="sl-SI"/>
        </w:rPr>
        <w:t xml:space="preserve"> </w:t>
      </w:r>
      <w:r>
        <w:rPr>
          <w:szCs w:val="22"/>
          <w:lang w:val="el-GR"/>
        </w:rPr>
        <w:t>με</w:t>
      </w:r>
      <w:r>
        <w:rPr>
          <w:szCs w:val="22"/>
          <w:lang w:val="sl-SI"/>
        </w:rPr>
        <w:t xml:space="preserve"> </w:t>
      </w:r>
      <w:r>
        <w:rPr>
          <w:szCs w:val="22"/>
          <w:lang w:val="el-GR"/>
        </w:rPr>
        <w:t>ΑΒΚ</w:t>
      </w:r>
      <w:r>
        <w:rPr>
          <w:szCs w:val="22"/>
          <w:lang w:val="sl-SI"/>
        </w:rPr>
        <w:t xml:space="preserve"> </w:t>
      </w:r>
      <w:r>
        <w:rPr>
          <w:szCs w:val="22"/>
          <w:lang w:val="el-GR"/>
        </w:rPr>
        <w:t>επειδή</w:t>
      </w:r>
      <w:r>
        <w:rPr>
          <w:szCs w:val="22"/>
          <w:lang w:val="sl-SI"/>
        </w:rPr>
        <w:t xml:space="preserve"> </w:t>
      </w:r>
      <w:r>
        <w:rPr>
          <w:szCs w:val="22"/>
          <w:lang w:val="el-GR"/>
        </w:rPr>
        <w:t>δεν</w:t>
      </w:r>
      <w:r>
        <w:rPr>
          <w:szCs w:val="22"/>
          <w:lang w:val="sl-SI"/>
        </w:rPr>
        <w:t xml:space="preserve"> </w:t>
      </w:r>
      <w:r>
        <w:rPr>
          <w:szCs w:val="22"/>
          <w:lang w:val="el-GR"/>
        </w:rPr>
        <w:t>μπορούσαν</w:t>
      </w:r>
      <w:r>
        <w:rPr>
          <w:szCs w:val="22"/>
          <w:lang w:val="sl-SI"/>
        </w:rPr>
        <w:t xml:space="preserve"> </w:t>
      </w:r>
      <w:r>
        <w:rPr>
          <w:szCs w:val="22"/>
          <w:lang w:val="el-GR"/>
        </w:rPr>
        <w:t>ή</w:t>
      </w:r>
      <w:r>
        <w:rPr>
          <w:szCs w:val="22"/>
          <w:lang w:val="sl-SI"/>
        </w:rPr>
        <w:t xml:space="preserve"> </w:t>
      </w:r>
      <w:r>
        <w:rPr>
          <w:szCs w:val="22"/>
          <w:lang w:val="el-GR"/>
        </w:rPr>
        <w:t>δεν</w:t>
      </w:r>
      <w:r>
        <w:rPr>
          <w:szCs w:val="22"/>
          <w:lang w:val="sl-SI"/>
        </w:rPr>
        <w:t xml:space="preserve"> </w:t>
      </w:r>
      <w:r>
        <w:rPr>
          <w:szCs w:val="22"/>
          <w:lang w:val="el-GR"/>
        </w:rPr>
        <w:t>επιθυμούσαν</w:t>
      </w:r>
      <w:r>
        <w:rPr>
          <w:szCs w:val="22"/>
          <w:lang w:val="sl-SI"/>
        </w:rPr>
        <w:t xml:space="preserve"> </w:t>
      </w:r>
      <w:r>
        <w:rPr>
          <w:szCs w:val="22"/>
          <w:lang w:val="el-GR"/>
        </w:rPr>
        <w:t>να</w:t>
      </w:r>
      <w:r>
        <w:rPr>
          <w:szCs w:val="22"/>
          <w:lang w:val="sl-SI"/>
        </w:rPr>
        <w:t xml:space="preserve"> </w:t>
      </w:r>
      <w:r>
        <w:rPr>
          <w:szCs w:val="22"/>
          <w:lang w:val="el-GR"/>
        </w:rPr>
        <w:t>λάβουν</w:t>
      </w:r>
      <w:r>
        <w:rPr>
          <w:szCs w:val="22"/>
          <w:lang w:val="sl-SI"/>
        </w:rPr>
        <w:t xml:space="preserve"> </w:t>
      </w:r>
      <w:r>
        <w:rPr>
          <w:szCs w:val="22"/>
          <w:lang w:val="el-GR"/>
        </w:rPr>
        <w:t>την</w:t>
      </w:r>
      <w:r>
        <w:rPr>
          <w:szCs w:val="22"/>
          <w:lang w:val="sl-SI"/>
        </w:rPr>
        <w:t xml:space="preserve"> </w:t>
      </w:r>
      <w:r>
        <w:rPr>
          <w:szCs w:val="22"/>
          <w:lang w:val="el-GR"/>
        </w:rPr>
        <w:t>αγωγή</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Η</w:t>
      </w:r>
      <w:r>
        <w:rPr>
          <w:szCs w:val="22"/>
          <w:lang w:val="sl-SI"/>
        </w:rPr>
        <w:t xml:space="preserve"> </w:t>
      </w:r>
      <w:r>
        <w:rPr>
          <w:szCs w:val="22"/>
          <w:lang w:val="el-GR"/>
        </w:rPr>
        <w:t>μελέτη</w:t>
      </w:r>
      <w:r>
        <w:rPr>
          <w:szCs w:val="22"/>
          <w:lang w:val="sl-SI"/>
        </w:rPr>
        <w:t xml:space="preserve"> ACTIVE-W </w:t>
      </w:r>
      <w:r>
        <w:rPr>
          <w:szCs w:val="22"/>
          <w:lang w:val="el-GR"/>
        </w:rPr>
        <w:t>κατέδειξε</w:t>
      </w:r>
      <w:r>
        <w:rPr>
          <w:szCs w:val="22"/>
          <w:lang w:val="sl-SI"/>
        </w:rPr>
        <w:t xml:space="preserve"> </w:t>
      </w:r>
      <w:r>
        <w:rPr>
          <w:szCs w:val="22"/>
          <w:lang w:val="el-GR"/>
        </w:rPr>
        <w:t>ότι</w:t>
      </w:r>
      <w:r>
        <w:rPr>
          <w:szCs w:val="22"/>
          <w:lang w:val="sl-SI"/>
        </w:rPr>
        <w:t xml:space="preserve"> </w:t>
      </w:r>
      <w:r>
        <w:rPr>
          <w:szCs w:val="22"/>
          <w:lang w:val="el-GR"/>
        </w:rPr>
        <w:t>αντιπηκτική</w:t>
      </w:r>
      <w:r>
        <w:rPr>
          <w:szCs w:val="22"/>
          <w:lang w:val="sl-SI"/>
        </w:rPr>
        <w:t xml:space="preserve"> </w:t>
      </w:r>
      <w:r>
        <w:rPr>
          <w:szCs w:val="22"/>
          <w:lang w:val="el-GR"/>
        </w:rPr>
        <w:t>αγωγή</w:t>
      </w:r>
      <w:r>
        <w:rPr>
          <w:szCs w:val="22"/>
          <w:lang w:val="sl-SI"/>
        </w:rPr>
        <w:t xml:space="preserve"> </w:t>
      </w:r>
      <w:r>
        <w:rPr>
          <w:szCs w:val="22"/>
          <w:lang w:val="el-GR"/>
        </w:rPr>
        <w:t>με</w:t>
      </w:r>
      <w:r>
        <w:rPr>
          <w:szCs w:val="22"/>
          <w:lang w:val="sl-SI"/>
        </w:rPr>
        <w:t xml:space="preserve"> </w:t>
      </w:r>
      <w:r>
        <w:rPr>
          <w:szCs w:val="22"/>
          <w:lang w:val="el-GR"/>
        </w:rPr>
        <w:t>ανταγωνιστές</w:t>
      </w:r>
      <w:r>
        <w:rPr>
          <w:szCs w:val="22"/>
          <w:lang w:val="sl-SI"/>
        </w:rPr>
        <w:t xml:space="preserve"> </w:t>
      </w:r>
      <w:r>
        <w:rPr>
          <w:szCs w:val="22"/>
          <w:lang w:val="el-GR"/>
        </w:rPr>
        <w:t>της</w:t>
      </w:r>
      <w:r>
        <w:rPr>
          <w:szCs w:val="22"/>
          <w:lang w:val="sl-SI"/>
        </w:rPr>
        <w:t xml:space="preserve"> </w:t>
      </w:r>
      <w:r>
        <w:rPr>
          <w:szCs w:val="22"/>
          <w:lang w:val="el-GR"/>
        </w:rPr>
        <w:t>βιταμίνης</w:t>
      </w:r>
      <w:r>
        <w:rPr>
          <w:szCs w:val="22"/>
          <w:lang w:val="sl-SI"/>
        </w:rPr>
        <w:t xml:space="preserve"> </w:t>
      </w:r>
      <w:r>
        <w:rPr>
          <w:szCs w:val="22"/>
          <w:lang w:val="el-GR"/>
        </w:rPr>
        <w:t>Κ</w:t>
      </w:r>
      <w:r>
        <w:rPr>
          <w:szCs w:val="22"/>
          <w:lang w:val="sl-SI"/>
        </w:rPr>
        <w:t xml:space="preserve"> </w:t>
      </w:r>
      <w:r>
        <w:rPr>
          <w:szCs w:val="22"/>
          <w:lang w:val="el-GR"/>
        </w:rPr>
        <w:t>ήταν</w:t>
      </w:r>
      <w:r>
        <w:rPr>
          <w:szCs w:val="22"/>
          <w:lang w:val="sl-SI"/>
        </w:rPr>
        <w:t xml:space="preserve"> </w:t>
      </w:r>
      <w:r>
        <w:rPr>
          <w:szCs w:val="22"/>
          <w:lang w:val="el-GR"/>
        </w:rPr>
        <w:t>πιο</w:t>
      </w:r>
      <w:r>
        <w:rPr>
          <w:szCs w:val="22"/>
          <w:lang w:val="sl-SI"/>
        </w:rPr>
        <w:t xml:space="preserve"> </w:t>
      </w:r>
      <w:r>
        <w:rPr>
          <w:szCs w:val="22"/>
          <w:lang w:val="el-GR"/>
        </w:rPr>
        <w:t>αποτελεσματική</w:t>
      </w:r>
      <w:r>
        <w:rPr>
          <w:szCs w:val="22"/>
          <w:lang w:val="sl-SI"/>
        </w:rPr>
        <w:t xml:space="preserve"> </w:t>
      </w:r>
      <w:r>
        <w:rPr>
          <w:szCs w:val="22"/>
          <w:lang w:val="el-GR"/>
        </w:rPr>
        <w:t>από</w:t>
      </w:r>
      <w:r>
        <w:rPr>
          <w:szCs w:val="22"/>
          <w:lang w:val="sl-SI"/>
        </w:rPr>
        <w:t xml:space="preserve"> </w:t>
      </w:r>
      <w:r>
        <w:rPr>
          <w:szCs w:val="22"/>
          <w:lang w:val="el-GR"/>
        </w:rPr>
        <w:t>την</w:t>
      </w:r>
      <w:r>
        <w:rPr>
          <w:szCs w:val="22"/>
          <w:lang w:val="sl-SI"/>
        </w:rPr>
        <w:t xml:space="preserve"> </w:t>
      </w:r>
      <w:r>
        <w:rPr>
          <w:szCs w:val="22"/>
          <w:lang w:val="el-GR"/>
        </w:rPr>
        <w:t>κλοπιδογρέλη</w:t>
      </w:r>
      <w:r>
        <w:rPr>
          <w:szCs w:val="22"/>
          <w:lang w:val="sl-SI"/>
        </w:rPr>
        <w:t xml:space="preserve"> </w:t>
      </w:r>
      <w:r>
        <w:rPr>
          <w:szCs w:val="22"/>
          <w:lang w:val="el-GR"/>
        </w:rPr>
        <w:t>και</w:t>
      </w:r>
      <w:r>
        <w:rPr>
          <w:szCs w:val="22"/>
          <w:lang w:val="sl-SI"/>
        </w:rPr>
        <w:t xml:space="preserve"> </w:t>
      </w:r>
      <w:r>
        <w:rPr>
          <w:szCs w:val="22"/>
          <w:lang w:val="el-GR"/>
        </w:rPr>
        <w:t>το</w:t>
      </w:r>
      <w:r>
        <w:rPr>
          <w:szCs w:val="22"/>
          <w:lang w:val="sl-SI"/>
        </w:rPr>
        <w:t xml:space="preserve"> </w:t>
      </w:r>
      <w:r>
        <w:rPr>
          <w:szCs w:val="22"/>
          <w:lang w:val="el-GR"/>
        </w:rPr>
        <w:t>ΑΣΟ</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Η</w:t>
      </w:r>
      <w:r>
        <w:rPr>
          <w:szCs w:val="22"/>
          <w:lang w:val="sl-SI"/>
        </w:rPr>
        <w:t xml:space="preserve"> </w:t>
      </w:r>
      <w:r>
        <w:rPr>
          <w:szCs w:val="22"/>
          <w:lang w:val="el-GR"/>
        </w:rPr>
        <w:t>μελέτη</w:t>
      </w:r>
      <w:r>
        <w:rPr>
          <w:szCs w:val="22"/>
          <w:lang w:val="sl-SI"/>
        </w:rPr>
        <w:t xml:space="preserve"> ACTIVE-A (N=7.554) </w:t>
      </w:r>
      <w:r>
        <w:rPr>
          <w:szCs w:val="22"/>
          <w:lang w:val="el-GR"/>
        </w:rPr>
        <w:t>ήταν</w:t>
      </w:r>
      <w:r>
        <w:rPr>
          <w:szCs w:val="22"/>
          <w:lang w:val="sl-SI"/>
        </w:rPr>
        <w:t xml:space="preserve"> </w:t>
      </w:r>
      <w:r>
        <w:rPr>
          <w:szCs w:val="22"/>
          <w:lang w:val="el-GR"/>
        </w:rPr>
        <w:t>μια</w:t>
      </w:r>
      <w:r>
        <w:rPr>
          <w:szCs w:val="22"/>
          <w:lang w:val="sl-SI"/>
        </w:rPr>
        <w:t xml:space="preserve"> </w:t>
      </w:r>
      <w:r>
        <w:rPr>
          <w:szCs w:val="22"/>
          <w:lang w:val="el-GR"/>
        </w:rPr>
        <w:t>πολυκεντρική</w:t>
      </w:r>
      <w:r>
        <w:rPr>
          <w:szCs w:val="22"/>
          <w:lang w:val="sl-SI"/>
        </w:rPr>
        <w:t xml:space="preserve">, </w:t>
      </w:r>
      <w:r>
        <w:rPr>
          <w:szCs w:val="22"/>
          <w:lang w:val="el-GR"/>
        </w:rPr>
        <w:t>τυχαιοποιημένη</w:t>
      </w:r>
      <w:r>
        <w:rPr>
          <w:szCs w:val="22"/>
          <w:lang w:val="sl-SI"/>
        </w:rPr>
        <w:t xml:space="preserve">, </w:t>
      </w:r>
      <w:r>
        <w:rPr>
          <w:szCs w:val="22"/>
          <w:lang w:val="el-GR"/>
        </w:rPr>
        <w:t>διπλά</w:t>
      </w:r>
      <w:r>
        <w:rPr>
          <w:szCs w:val="22"/>
          <w:lang w:val="sl-SI"/>
        </w:rPr>
        <w:t>-</w:t>
      </w:r>
      <w:r>
        <w:rPr>
          <w:szCs w:val="22"/>
          <w:lang w:val="el-GR"/>
        </w:rPr>
        <w:t>τυφλή</w:t>
      </w:r>
      <w:r>
        <w:rPr>
          <w:szCs w:val="22"/>
          <w:lang w:val="sl-SI"/>
        </w:rPr>
        <w:t xml:space="preserve">, </w:t>
      </w:r>
      <w:r>
        <w:rPr>
          <w:szCs w:val="22"/>
          <w:lang w:val="el-GR"/>
        </w:rPr>
        <w:t>ελεγχόμενη</w:t>
      </w:r>
      <w:r>
        <w:rPr>
          <w:szCs w:val="22"/>
          <w:lang w:val="sl-SI"/>
        </w:rPr>
        <w:t xml:space="preserve"> </w:t>
      </w:r>
      <w:r>
        <w:rPr>
          <w:szCs w:val="22"/>
          <w:lang w:val="el-GR"/>
        </w:rPr>
        <w:t>με</w:t>
      </w:r>
      <w:r>
        <w:rPr>
          <w:szCs w:val="22"/>
          <w:lang w:val="sl-SI"/>
        </w:rPr>
        <w:t xml:space="preserve"> </w:t>
      </w:r>
      <w:r>
        <w:rPr>
          <w:szCs w:val="22"/>
          <w:lang w:val="el-GR"/>
        </w:rPr>
        <w:t>εικονικό</w:t>
      </w:r>
      <w:r>
        <w:rPr>
          <w:szCs w:val="22"/>
          <w:lang w:val="sl-SI"/>
        </w:rPr>
        <w:t xml:space="preserve"> </w:t>
      </w:r>
      <w:r>
        <w:rPr>
          <w:szCs w:val="22"/>
          <w:lang w:val="el-GR"/>
        </w:rPr>
        <w:t>φάρμακο</w:t>
      </w:r>
      <w:r>
        <w:rPr>
          <w:szCs w:val="22"/>
          <w:lang w:val="sl-SI"/>
        </w:rPr>
        <w:t xml:space="preserve"> </w:t>
      </w:r>
      <w:r>
        <w:rPr>
          <w:szCs w:val="22"/>
          <w:lang w:val="el-GR"/>
        </w:rPr>
        <w:t>μελέτη</w:t>
      </w:r>
      <w:r>
        <w:rPr>
          <w:szCs w:val="22"/>
          <w:lang w:val="sl-SI"/>
        </w:rPr>
        <w:t xml:space="preserve"> </w:t>
      </w:r>
      <w:r>
        <w:rPr>
          <w:szCs w:val="22"/>
          <w:lang w:val="el-GR"/>
        </w:rPr>
        <w:t>η</w:t>
      </w:r>
      <w:r>
        <w:rPr>
          <w:szCs w:val="22"/>
          <w:lang w:val="sl-SI"/>
        </w:rPr>
        <w:t xml:space="preserve"> </w:t>
      </w:r>
      <w:r>
        <w:rPr>
          <w:szCs w:val="22"/>
          <w:lang w:val="el-GR"/>
        </w:rPr>
        <w:t>οποία</w:t>
      </w:r>
      <w:r>
        <w:rPr>
          <w:szCs w:val="22"/>
          <w:lang w:val="sl-SI"/>
        </w:rPr>
        <w:t xml:space="preserve"> </w:t>
      </w:r>
      <w:r>
        <w:rPr>
          <w:szCs w:val="22"/>
          <w:lang w:val="el-GR"/>
        </w:rPr>
        <w:t>συνέκρινε</w:t>
      </w:r>
      <w:r>
        <w:rPr>
          <w:szCs w:val="22"/>
          <w:lang w:val="sl-SI"/>
        </w:rPr>
        <w:t xml:space="preserve"> </w:t>
      </w:r>
      <w:r>
        <w:rPr>
          <w:szCs w:val="22"/>
          <w:lang w:val="el-GR"/>
        </w:rPr>
        <w:t>την</w:t>
      </w:r>
      <w:r>
        <w:rPr>
          <w:szCs w:val="22"/>
          <w:lang w:val="sl-SI"/>
        </w:rPr>
        <w:t xml:space="preserve"> </w:t>
      </w:r>
      <w:r>
        <w:rPr>
          <w:szCs w:val="22"/>
          <w:lang w:val="el-GR"/>
        </w:rPr>
        <w:t>κλοπιδογρέλη</w:t>
      </w:r>
      <w:r>
        <w:rPr>
          <w:szCs w:val="22"/>
          <w:lang w:val="sl-SI"/>
        </w:rPr>
        <w:t xml:space="preserve"> 75 mg/</w:t>
      </w:r>
      <w:r>
        <w:rPr>
          <w:szCs w:val="22"/>
          <w:lang w:val="el-GR"/>
        </w:rPr>
        <w:t>ημέρα</w:t>
      </w:r>
      <w:r>
        <w:rPr>
          <w:szCs w:val="22"/>
          <w:lang w:val="sl-SI"/>
        </w:rPr>
        <w:t> + </w:t>
      </w:r>
      <w:r>
        <w:rPr>
          <w:szCs w:val="22"/>
          <w:lang w:val="el-GR"/>
        </w:rPr>
        <w:t>ΑΣΟ</w:t>
      </w:r>
      <w:r>
        <w:rPr>
          <w:szCs w:val="22"/>
          <w:lang w:val="sl-SI"/>
        </w:rPr>
        <w:t xml:space="preserve"> (</w:t>
      </w:r>
      <w:r>
        <w:rPr>
          <w:szCs w:val="22"/>
          <w:lang w:val="el-GR"/>
        </w:rPr>
        <w:t>Ν</w:t>
      </w:r>
      <w:r>
        <w:rPr>
          <w:szCs w:val="22"/>
          <w:lang w:val="sl-SI"/>
        </w:rPr>
        <w:t xml:space="preserve">=3.772) </w:t>
      </w:r>
      <w:r>
        <w:rPr>
          <w:szCs w:val="22"/>
          <w:lang w:val="el-GR"/>
        </w:rPr>
        <w:t>με</w:t>
      </w:r>
      <w:r>
        <w:rPr>
          <w:szCs w:val="22"/>
          <w:lang w:val="sl-SI"/>
        </w:rPr>
        <w:t xml:space="preserve"> </w:t>
      </w:r>
      <w:r>
        <w:rPr>
          <w:szCs w:val="22"/>
          <w:lang w:val="el-GR"/>
        </w:rPr>
        <w:t>εικονικό</w:t>
      </w:r>
      <w:r>
        <w:rPr>
          <w:szCs w:val="22"/>
          <w:lang w:val="sl-SI"/>
        </w:rPr>
        <w:t xml:space="preserve"> </w:t>
      </w:r>
      <w:r>
        <w:rPr>
          <w:szCs w:val="22"/>
          <w:lang w:val="el-GR"/>
        </w:rPr>
        <w:t>φάρμακο</w:t>
      </w:r>
      <w:r>
        <w:rPr>
          <w:szCs w:val="22"/>
          <w:lang w:val="sl-SI"/>
        </w:rPr>
        <w:t> + </w:t>
      </w:r>
      <w:r>
        <w:rPr>
          <w:szCs w:val="22"/>
          <w:lang w:val="el-GR"/>
        </w:rPr>
        <w:t>ΑΣΟ</w:t>
      </w:r>
      <w:r>
        <w:rPr>
          <w:szCs w:val="22"/>
          <w:lang w:val="sl-SI"/>
        </w:rPr>
        <w:t xml:space="preserve"> (</w:t>
      </w:r>
      <w:r>
        <w:rPr>
          <w:szCs w:val="22"/>
          <w:lang w:val="el-GR"/>
        </w:rPr>
        <w:t>Ν</w:t>
      </w:r>
      <w:r>
        <w:rPr>
          <w:szCs w:val="22"/>
          <w:lang w:val="sl-SI"/>
        </w:rPr>
        <w:t xml:space="preserve">=3.782). </w:t>
      </w:r>
      <w:r>
        <w:rPr>
          <w:szCs w:val="22"/>
          <w:lang w:val="el-GR"/>
        </w:rPr>
        <w:t>Η</w:t>
      </w:r>
      <w:r>
        <w:rPr>
          <w:szCs w:val="22"/>
          <w:lang w:val="sl-SI"/>
        </w:rPr>
        <w:t xml:space="preserve"> </w:t>
      </w:r>
      <w:r>
        <w:rPr>
          <w:szCs w:val="22"/>
          <w:lang w:val="el-GR"/>
        </w:rPr>
        <w:t>συνιστώμενη</w:t>
      </w:r>
      <w:r>
        <w:rPr>
          <w:szCs w:val="22"/>
          <w:lang w:val="sl-SI"/>
        </w:rPr>
        <w:t xml:space="preserve"> </w:t>
      </w:r>
      <w:r>
        <w:rPr>
          <w:szCs w:val="22"/>
          <w:lang w:val="el-GR"/>
        </w:rPr>
        <w:t>δόση</w:t>
      </w:r>
      <w:r>
        <w:rPr>
          <w:szCs w:val="22"/>
          <w:lang w:val="sl-SI"/>
        </w:rPr>
        <w:t xml:space="preserve"> </w:t>
      </w:r>
      <w:r>
        <w:rPr>
          <w:szCs w:val="22"/>
          <w:lang w:val="el-GR"/>
        </w:rPr>
        <w:t>για</w:t>
      </w:r>
      <w:r>
        <w:rPr>
          <w:szCs w:val="22"/>
          <w:lang w:val="sl-SI"/>
        </w:rPr>
        <w:t xml:space="preserve"> </w:t>
      </w:r>
      <w:r>
        <w:rPr>
          <w:szCs w:val="22"/>
          <w:lang w:val="el-GR"/>
        </w:rPr>
        <w:t>το</w:t>
      </w:r>
      <w:r>
        <w:rPr>
          <w:szCs w:val="22"/>
          <w:lang w:val="sl-SI"/>
        </w:rPr>
        <w:t xml:space="preserve"> </w:t>
      </w:r>
      <w:r>
        <w:rPr>
          <w:szCs w:val="22"/>
          <w:lang w:val="el-GR"/>
        </w:rPr>
        <w:t>ΑΣΟ</w:t>
      </w:r>
      <w:r>
        <w:rPr>
          <w:szCs w:val="22"/>
          <w:lang w:val="sl-SI"/>
        </w:rPr>
        <w:t xml:space="preserve"> </w:t>
      </w:r>
      <w:r>
        <w:rPr>
          <w:szCs w:val="22"/>
          <w:lang w:val="el-GR"/>
        </w:rPr>
        <w:t>ήταν</w:t>
      </w:r>
      <w:r>
        <w:rPr>
          <w:szCs w:val="22"/>
          <w:lang w:val="sl-SI"/>
        </w:rPr>
        <w:t xml:space="preserve"> 75 </w:t>
      </w:r>
      <w:r>
        <w:rPr>
          <w:szCs w:val="22"/>
          <w:lang w:val="el-GR"/>
        </w:rPr>
        <w:t>έως</w:t>
      </w:r>
      <w:r>
        <w:rPr>
          <w:szCs w:val="22"/>
          <w:lang w:val="sl-SI"/>
        </w:rPr>
        <w:t xml:space="preserve"> 100 mg/</w:t>
      </w:r>
      <w:r>
        <w:rPr>
          <w:szCs w:val="22"/>
          <w:lang w:val="el-GR"/>
        </w:rPr>
        <w:t>ημέρα</w:t>
      </w:r>
      <w:r>
        <w:rPr>
          <w:szCs w:val="22"/>
          <w:lang w:val="sl-SI"/>
        </w:rPr>
        <w:t xml:space="preserve">. </w:t>
      </w:r>
      <w:r>
        <w:rPr>
          <w:szCs w:val="22"/>
          <w:lang w:val="el-GR"/>
        </w:rPr>
        <w:t>Οι</w:t>
      </w:r>
      <w:r>
        <w:rPr>
          <w:szCs w:val="22"/>
          <w:lang w:val="sl-SI"/>
        </w:rPr>
        <w:t xml:space="preserve"> </w:t>
      </w:r>
      <w:r>
        <w:rPr>
          <w:szCs w:val="22"/>
          <w:lang w:val="el-GR"/>
        </w:rPr>
        <w:t>ασθενείς</w:t>
      </w:r>
      <w:r>
        <w:rPr>
          <w:szCs w:val="22"/>
          <w:lang w:val="sl-SI"/>
        </w:rPr>
        <w:t xml:space="preserve"> </w:t>
      </w:r>
      <w:r>
        <w:rPr>
          <w:szCs w:val="22"/>
          <w:lang w:val="el-GR"/>
        </w:rPr>
        <w:t>ήταν</w:t>
      </w:r>
      <w:r>
        <w:rPr>
          <w:szCs w:val="22"/>
          <w:lang w:val="sl-SI"/>
        </w:rPr>
        <w:t xml:space="preserve"> </w:t>
      </w:r>
      <w:r>
        <w:rPr>
          <w:szCs w:val="22"/>
          <w:lang w:val="el-GR"/>
        </w:rPr>
        <w:t>υπό</w:t>
      </w:r>
      <w:r>
        <w:rPr>
          <w:szCs w:val="22"/>
          <w:lang w:val="sl-SI"/>
        </w:rPr>
        <w:t xml:space="preserve"> </w:t>
      </w:r>
      <w:r>
        <w:rPr>
          <w:szCs w:val="22"/>
          <w:lang w:val="el-GR"/>
        </w:rPr>
        <w:t>αγωγή</w:t>
      </w:r>
      <w:r>
        <w:rPr>
          <w:szCs w:val="22"/>
          <w:lang w:val="sl-SI"/>
        </w:rPr>
        <w:t xml:space="preserve"> </w:t>
      </w:r>
      <w:r>
        <w:rPr>
          <w:szCs w:val="22"/>
          <w:lang w:val="el-GR"/>
        </w:rPr>
        <w:t>έως</w:t>
      </w:r>
      <w:r>
        <w:rPr>
          <w:szCs w:val="22"/>
          <w:lang w:val="sl-SI"/>
        </w:rPr>
        <w:t xml:space="preserve"> </w:t>
      </w:r>
      <w:r>
        <w:rPr>
          <w:szCs w:val="22"/>
          <w:lang w:val="el-GR"/>
        </w:rPr>
        <w:t>και</w:t>
      </w:r>
      <w:r>
        <w:rPr>
          <w:szCs w:val="22"/>
          <w:lang w:val="sl-SI"/>
        </w:rPr>
        <w:t xml:space="preserve"> 5 </w:t>
      </w:r>
      <w:r>
        <w:rPr>
          <w:szCs w:val="22"/>
          <w:lang w:val="el-GR"/>
        </w:rPr>
        <w:t>χρόνια</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Οι</w:t>
      </w:r>
      <w:r>
        <w:rPr>
          <w:szCs w:val="22"/>
          <w:lang w:val="sl-SI"/>
        </w:rPr>
        <w:t xml:space="preserve">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τυχαιοποιήθηκαν</w:t>
      </w:r>
      <w:r>
        <w:rPr>
          <w:szCs w:val="22"/>
          <w:lang w:val="sl-SI"/>
        </w:rPr>
        <w:t xml:space="preserve"> </w:t>
      </w:r>
      <w:r>
        <w:rPr>
          <w:szCs w:val="22"/>
          <w:lang w:val="el-GR"/>
        </w:rPr>
        <w:t>στο</w:t>
      </w:r>
      <w:r>
        <w:rPr>
          <w:szCs w:val="22"/>
          <w:lang w:val="sl-SI"/>
        </w:rPr>
        <w:t xml:space="preserve"> </w:t>
      </w:r>
      <w:r>
        <w:rPr>
          <w:szCs w:val="22"/>
          <w:lang w:val="el-GR"/>
        </w:rPr>
        <w:t>πρόγραμμα</w:t>
      </w:r>
      <w:r>
        <w:rPr>
          <w:szCs w:val="22"/>
          <w:lang w:val="sl-SI"/>
        </w:rPr>
        <w:t xml:space="preserve"> ACTIVE </w:t>
      </w:r>
      <w:r>
        <w:rPr>
          <w:szCs w:val="22"/>
          <w:lang w:val="el-GR"/>
        </w:rPr>
        <w:t>ήταν</w:t>
      </w:r>
      <w:r>
        <w:rPr>
          <w:szCs w:val="22"/>
          <w:lang w:val="sl-SI"/>
        </w:rPr>
        <w:t xml:space="preserve"> </w:t>
      </w:r>
      <w:r>
        <w:rPr>
          <w:szCs w:val="22"/>
          <w:lang w:val="el-GR"/>
        </w:rPr>
        <w:t>εκείνοι</w:t>
      </w:r>
      <w:r>
        <w:rPr>
          <w:szCs w:val="22"/>
          <w:lang w:val="sl-SI"/>
        </w:rPr>
        <w:t xml:space="preserve"> </w:t>
      </w:r>
      <w:r>
        <w:rPr>
          <w:szCs w:val="22"/>
          <w:lang w:val="el-GR"/>
        </w:rPr>
        <w:t>που</w:t>
      </w:r>
      <w:r>
        <w:rPr>
          <w:szCs w:val="22"/>
          <w:lang w:val="sl-SI"/>
        </w:rPr>
        <w:t xml:space="preserve"> </w:t>
      </w:r>
      <w:r>
        <w:rPr>
          <w:szCs w:val="22"/>
          <w:lang w:val="el-GR"/>
        </w:rPr>
        <w:t>προσήλθαν</w:t>
      </w:r>
      <w:r>
        <w:rPr>
          <w:szCs w:val="22"/>
          <w:lang w:val="sl-SI"/>
        </w:rPr>
        <w:t xml:space="preserve"> </w:t>
      </w:r>
      <w:r>
        <w:rPr>
          <w:szCs w:val="22"/>
          <w:lang w:val="el-GR"/>
        </w:rPr>
        <w:t>με</w:t>
      </w:r>
      <w:r>
        <w:rPr>
          <w:szCs w:val="22"/>
          <w:lang w:val="sl-SI"/>
        </w:rPr>
        <w:t xml:space="preserve"> </w:t>
      </w:r>
      <w:r>
        <w:rPr>
          <w:szCs w:val="22"/>
          <w:lang w:val="el-GR"/>
        </w:rPr>
        <w:t>αποδεδειγμένη</w:t>
      </w:r>
      <w:r>
        <w:rPr>
          <w:szCs w:val="22"/>
          <w:lang w:val="sl-SI"/>
        </w:rPr>
        <w:t xml:space="preserve"> </w:t>
      </w:r>
      <w:r>
        <w:rPr>
          <w:szCs w:val="22"/>
          <w:lang w:val="el-GR"/>
        </w:rPr>
        <w:t>ΚΜ</w:t>
      </w:r>
      <w:r>
        <w:rPr>
          <w:szCs w:val="22"/>
          <w:lang w:val="sl-SI"/>
        </w:rPr>
        <w:t xml:space="preserve">, </w:t>
      </w:r>
      <w:r>
        <w:rPr>
          <w:szCs w:val="22"/>
          <w:lang w:val="el-GR"/>
        </w:rPr>
        <w:t>δηλ</w:t>
      </w:r>
      <w:r>
        <w:rPr>
          <w:szCs w:val="22"/>
          <w:lang w:val="sl-SI"/>
        </w:rPr>
        <w:t xml:space="preserve">. </w:t>
      </w:r>
      <w:r>
        <w:rPr>
          <w:szCs w:val="22"/>
          <w:lang w:val="el-GR"/>
        </w:rPr>
        <w:t>είτε</w:t>
      </w:r>
      <w:r>
        <w:rPr>
          <w:szCs w:val="22"/>
          <w:lang w:val="sl-SI"/>
        </w:rPr>
        <w:t xml:space="preserve"> </w:t>
      </w:r>
      <w:r>
        <w:rPr>
          <w:szCs w:val="22"/>
          <w:lang w:val="el-GR"/>
        </w:rPr>
        <w:t>με</w:t>
      </w:r>
      <w:r>
        <w:rPr>
          <w:szCs w:val="22"/>
          <w:lang w:val="sl-SI"/>
        </w:rPr>
        <w:t xml:space="preserve"> </w:t>
      </w:r>
      <w:r>
        <w:rPr>
          <w:szCs w:val="22"/>
          <w:lang w:val="el-GR"/>
        </w:rPr>
        <w:t>μόνιμη</w:t>
      </w:r>
      <w:r>
        <w:rPr>
          <w:szCs w:val="22"/>
          <w:lang w:val="sl-SI"/>
        </w:rPr>
        <w:t xml:space="preserve"> </w:t>
      </w:r>
      <w:r>
        <w:rPr>
          <w:szCs w:val="22"/>
          <w:lang w:val="el-GR"/>
        </w:rPr>
        <w:t>ΚΜ</w:t>
      </w:r>
      <w:r>
        <w:rPr>
          <w:szCs w:val="22"/>
          <w:lang w:val="sl-SI"/>
        </w:rPr>
        <w:t xml:space="preserve"> </w:t>
      </w:r>
      <w:r>
        <w:rPr>
          <w:szCs w:val="22"/>
          <w:lang w:val="el-GR"/>
        </w:rPr>
        <w:t>ή</w:t>
      </w:r>
      <w:r>
        <w:rPr>
          <w:szCs w:val="22"/>
          <w:lang w:val="sl-SI"/>
        </w:rPr>
        <w:t xml:space="preserve"> </w:t>
      </w:r>
      <w:r>
        <w:rPr>
          <w:szCs w:val="22"/>
          <w:lang w:val="el-GR"/>
        </w:rPr>
        <w:t>με</w:t>
      </w:r>
      <w:r>
        <w:rPr>
          <w:szCs w:val="22"/>
          <w:lang w:val="sl-SI"/>
        </w:rPr>
        <w:t xml:space="preserve"> </w:t>
      </w:r>
      <w:r>
        <w:rPr>
          <w:szCs w:val="22"/>
          <w:lang w:val="el-GR"/>
        </w:rPr>
        <w:t>τουλάχιστον</w:t>
      </w:r>
      <w:r>
        <w:rPr>
          <w:szCs w:val="22"/>
          <w:lang w:val="sl-SI"/>
        </w:rPr>
        <w:t xml:space="preserve"> 2 </w:t>
      </w:r>
      <w:r>
        <w:rPr>
          <w:szCs w:val="22"/>
          <w:lang w:val="el-GR"/>
        </w:rPr>
        <w:t>επεισόδια</w:t>
      </w:r>
      <w:r>
        <w:rPr>
          <w:szCs w:val="22"/>
          <w:lang w:val="sl-SI"/>
        </w:rPr>
        <w:t xml:space="preserve"> </w:t>
      </w:r>
      <w:r>
        <w:rPr>
          <w:szCs w:val="22"/>
          <w:lang w:val="el-GR"/>
        </w:rPr>
        <w:t>διαλείπουσας</w:t>
      </w:r>
      <w:r>
        <w:rPr>
          <w:szCs w:val="22"/>
          <w:lang w:val="sl-SI"/>
        </w:rPr>
        <w:t xml:space="preserve"> </w:t>
      </w:r>
      <w:r>
        <w:rPr>
          <w:szCs w:val="22"/>
          <w:lang w:val="el-GR"/>
        </w:rPr>
        <w:t>ΚΜ</w:t>
      </w:r>
      <w:r>
        <w:rPr>
          <w:szCs w:val="22"/>
          <w:lang w:val="sl-SI"/>
        </w:rPr>
        <w:t xml:space="preserve"> </w:t>
      </w:r>
      <w:r>
        <w:rPr>
          <w:szCs w:val="22"/>
          <w:lang w:val="el-GR"/>
        </w:rPr>
        <w:t>τους</w:t>
      </w:r>
      <w:r>
        <w:rPr>
          <w:szCs w:val="22"/>
          <w:lang w:val="sl-SI"/>
        </w:rPr>
        <w:t xml:space="preserve"> </w:t>
      </w:r>
      <w:r>
        <w:rPr>
          <w:szCs w:val="22"/>
          <w:lang w:val="el-GR"/>
        </w:rPr>
        <w:t>τελευταίους</w:t>
      </w:r>
      <w:r>
        <w:rPr>
          <w:szCs w:val="22"/>
          <w:lang w:val="sl-SI"/>
        </w:rPr>
        <w:t xml:space="preserve"> 6 </w:t>
      </w:r>
      <w:r>
        <w:rPr>
          <w:szCs w:val="22"/>
          <w:lang w:val="el-GR"/>
        </w:rPr>
        <w:t>μήνες</w:t>
      </w:r>
      <w:r>
        <w:rPr>
          <w:szCs w:val="22"/>
          <w:lang w:val="sl-SI"/>
        </w:rPr>
        <w:t xml:space="preserve">, </w:t>
      </w:r>
      <w:r>
        <w:rPr>
          <w:szCs w:val="22"/>
          <w:lang w:val="el-GR"/>
        </w:rPr>
        <w:t>και</w:t>
      </w:r>
      <w:r>
        <w:rPr>
          <w:szCs w:val="22"/>
          <w:lang w:val="sl-SI"/>
        </w:rPr>
        <w:t xml:space="preserve"> </w:t>
      </w:r>
      <w:r>
        <w:rPr>
          <w:szCs w:val="22"/>
          <w:lang w:val="el-GR"/>
        </w:rPr>
        <w:t>είχαν</w:t>
      </w:r>
      <w:r>
        <w:rPr>
          <w:szCs w:val="22"/>
          <w:lang w:val="sl-SI"/>
        </w:rPr>
        <w:t xml:space="preserve"> </w:t>
      </w:r>
      <w:r>
        <w:rPr>
          <w:szCs w:val="22"/>
          <w:lang w:val="el-GR"/>
        </w:rPr>
        <w:t>τουλάχιστον</w:t>
      </w:r>
      <w:r>
        <w:rPr>
          <w:szCs w:val="22"/>
          <w:lang w:val="sl-SI"/>
        </w:rPr>
        <w:t xml:space="preserve"> </w:t>
      </w:r>
      <w:r>
        <w:rPr>
          <w:szCs w:val="22"/>
          <w:lang w:val="el-GR"/>
        </w:rPr>
        <w:t>έναν</w:t>
      </w:r>
      <w:r>
        <w:rPr>
          <w:szCs w:val="22"/>
          <w:lang w:val="sl-SI"/>
        </w:rPr>
        <w:t xml:space="preserve"> </w:t>
      </w:r>
      <w:r>
        <w:rPr>
          <w:szCs w:val="22"/>
          <w:lang w:val="el-GR"/>
        </w:rPr>
        <w:t>από</w:t>
      </w:r>
      <w:r>
        <w:rPr>
          <w:szCs w:val="22"/>
          <w:lang w:val="sl-SI"/>
        </w:rPr>
        <w:t xml:space="preserve"> </w:t>
      </w:r>
      <w:r>
        <w:rPr>
          <w:szCs w:val="22"/>
          <w:lang w:val="el-GR"/>
        </w:rPr>
        <w:t>τους</w:t>
      </w:r>
      <w:r>
        <w:rPr>
          <w:szCs w:val="22"/>
          <w:lang w:val="sl-SI"/>
        </w:rPr>
        <w:t xml:space="preserve"> </w:t>
      </w:r>
      <w:r>
        <w:rPr>
          <w:szCs w:val="22"/>
          <w:lang w:val="el-GR"/>
        </w:rPr>
        <w:t>ακόλουθους</w:t>
      </w:r>
      <w:r>
        <w:rPr>
          <w:szCs w:val="22"/>
          <w:lang w:val="sl-SI"/>
        </w:rPr>
        <w:t xml:space="preserve"> </w:t>
      </w:r>
      <w:r>
        <w:rPr>
          <w:szCs w:val="22"/>
          <w:lang w:val="el-GR"/>
        </w:rPr>
        <w:t>παράγοντες</w:t>
      </w:r>
      <w:r>
        <w:rPr>
          <w:szCs w:val="22"/>
          <w:lang w:val="sl-SI"/>
        </w:rPr>
        <w:t xml:space="preserve"> </w:t>
      </w:r>
      <w:r>
        <w:rPr>
          <w:szCs w:val="22"/>
          <w:lang w:val="el-GR"/>
        </w:rPr>
        <w:t>κινδύνου</w:t>
      </w:r>
      <w:r>
        <w:rPr>
          <w:szCs w:val="22"/>
          <w:lang w:val="sl-SI"/>
        </w:rPr>
        <w:t xml:space="preserve">: </w:t>
      </w:r>
      <w:r>
        <w:rPr>
          <w:szCs w:val="22"/>
          <w:lang w:val="el-GR"/>
        </w:rPr>
        <w:t>ηλικία</w:t>
      </w:r>
      <w:r>
        <w:rPr>
          <w:szCs w:val="22"/>
          <w:lang w:val="sl-SI"/>
        </w:rPr>
        <w:t xml:space="preserve"> ≥ 75 </w:t>
      </w:r>
      <w:r>
        <w:rPr>
          <w:szCs w:val="22"/>
          <w:lang w:val="el-GR"/>
        </w:rPr>
        <w:t>ετών</w:t>
      </w:r>
      <w:r>
        <w:rPr>
          <w:szCs w:val="22"/>
          <w:lang w:val="sl-SI"/>
        </w:rPr>
        <w:t xml:space="preserve">, </w:t>
      </w:r>
      <w:r>
        <w:rPr>
          <w:szCs w:val="22"/>
          <w:lang w:val="el-GR"/>
        </w:rPr>
        <w:t>ή</w:t>
      </w:r>
      <w:r>
        <w:rPr>
          <w:szCs w:val="22"/>
          <w:lang w:val="sl-SI"/>
        </w:rPr>
        <w:t xml:space="preserve"> </w:t>
      </w:r>
      <w:r>
        <w:rPr>
          <w:szCs w:val="22"/>
          <w:lang w:val="el-GR"/>
        </w:rPr>
        <w:t>ηλικία</w:t>
      </w:r>
      <w:r>
        <w:rPr>
          <w:szCs w:val="22"/>
          <w:lang w:val="sl-SI"/>
        </w:rPr>
        <w:t xml:space="preserve"> 55 </w:t>
      </w:r>
      <w:r>
        <w:rPr>
          <w:szCs w:val="22"/>
          <w:lang w:val="el-GR"/>
        </w:rPr>
        <w:t>έως</w:t>
      </w:r>
      <w:r>
        <w:rPr>
          <w:szCs w:val="22"/>
          <w:lang w:val="sl-SI"/>
        </w:rPr>
        <w:t xml:space="preserve"> 74 </w:t>
      </w:r>
      <w:r>
        <w:rPr>
          <w:szCs w:val="22"/>
          <w:lang w:val="el-GR"/>
        </w:rPr>
        <w:t>ετών</w:t>
      </w:r>
      <w:r>
        <w:rPr>
          <w:szCs w:val="22"/>
          <w:lang w:val="sl-SI"/>
        </w:rPr>
        <w:t xml:space="preserve"> </w:t>
      </w:r>
      <w:r>
        <w:rPr>
          <w:szCs w:val="22"/>
          <w:lang w:val="el-GR"/>
        </w:rPr>
        <w:t>και</w:t>
      </w:r>
      <w:r>
        <w:rPr>
          <w:szCs w:val="22"/>
          <w:lang w:val="sl-SI"/>
        </w:rPr>
        <w:t xml:space="preserve"> </w:t>
      </w:r>
      <w:r>
        <w:rPr>
          <w:szCs w:val="22"/>
          <w:lang w:val="el-GR"/>
        </w:rPr>
        <w:t>είτε</w:t>
      </w:r>
      <w:r>
        <w:rPr>
          <w:szCs w:val="22"/>
          <w:lang w:val="sl-SI"/>
        </w:rPr>
        <w:t xml:space="preserve"> </w:t>
      </w:r>
      <w:r>
        <w:rPr>
          <w:szCs w:val="22"/>
          <w:lang w:val="el-GR"/>
        </w:rPr>
        <w:t>σακχαρώδη</w:t>
      </w:r>
      <w:r>
        <w:rPr>
          <w:szCs w:val="22"/>
          <w:lang w:val="sl-SI"/>
        </w:rPr>
        <w:t xml:space="preserve"> </w:t>
      </w:r>
      <w:r>
        <w:rPr>
          <w:szCs w:val="22"/>
          <w:lang w:val="el-GR"/>
        </w:rPr>
        <w:t>διαβήτη</w:t>
      </w:r>
      <w:r>
        <w:rPr>
          <w:szCs w:val="22"/>
          <w:lang w:val="sl-SI"/>
        </w:rPr>
        <w:t xml:space="preserve"> </w:t>
      </w:r>
      <w:r>
        <w:rPr>
          <w:szCs w:val="22"/>
          <w:lang w:val="el-GR"/>
        </w:rPr>
        <w:t>που</w:t>
      </w:r>
      <w:r>
        <w:rPr>
          <w:szCs w:val="22"/>
          <w:lang w:val="sl-SI"/>
        </w:rPr>
        <w:t xml:space="preserve"> </w:t>
      </w:r>
      <w:r>
        <w:rPr>
          <w:szCs w:val="22"/>
          <w:lang w:val="el-GR"/>
        </w:rPr>
        <w:t>απαιτούσε</w:t>
      </w:r>
      <w:r>
        <w:rPr>
          <w:szCs w:val="22"/>
          <w:lang w:val="sl-SI"/>
        </w:rPr>
        <w:t xml:space="preserve"> </w:t>
      </w:r>
      <w:r>
        <w:rPr>
          <w:szCs w:val="22"/>
          <w:lang w:val="el-GR"/>
        </w:rPr>
        <w:t>φαρμακευτική αγωγή</w:t>
      </w:r>
      <w:r>
        <w:rPr>
          <w:szCs w:val="22"/>
          <w:lang w:val="sl-SI"/>
        </w:rPr>
        <w:t xml:space="preserve">, </w:t>
      </w:r>
      <w:r>
        <w:rPr>
          <w:szCs w:val="22"/>
          <w:lang w:val="el-GR"/>
        </w:rPr>
        <w:t>είτε</w:t>
      </w:r>
      <w:r>
        <w:rPr>
          <w:szCs w:val="22"/>
          <w:lang w:val="sl-SI"/>
        </w:rPr>
        <w:t xml:space="preserve"> </w:t>
      </w:r>
      <w:r>
        <w:rPr>
          <w:szCs w:val="22"/>
          <w:lang w:val="el-GR"/>
        </w:rPr>
        <w:t>αποδεδειγμένο</w:t>
      </w:r>
      <w:r>
        <w:rPr>
          <w:szCs w:val="22"/>
          <w:lang w:val="sl-SI"/>
        </w:rPr>
        <w:t xml:space="preserve"> </w:t>
      </w:r>
      <w:r>
        <w:rPr>
          <w:szCs w:val="22"/>
          <w:lang w:val="el-GR"/>
        </w:rPr>
        <w:t>προηγούμενο</w:t>
      </w:r>
      <w:r>
        <w:rPr>
          <w:szCs w:val="22"/>
          <w:lang w:val="sl-SI"/>
        </w:rPr>
        <w:t xml:space="preserve"> </w:t>
      </w:r>
      <w:r>
        <w:rPr>
          <w:szCs w:val="22"/>
          <w:lang w:val="el-GR"/>
        </w:rPr>
        <w:t>έμφραγμα</w:t>
      </w:r>
      <w:r>
        <w:rPr>
          <w:szCs w:val="22"/>
          <w:lang w:val="sl-SI"/>
        </w:rPr>
        <w:t xml:space="preserve"> </w:t>
      </w:r>
      <w:r>
        <w:rPr>
          <w:szCs w:val="22"/>
          <w:lang w:val="el-GR"/>
        </w:rPr>
        <w:t>μυοκαρδίου</w:t>
      </w:r>
      <w:r>
        <w:rPr>
          <w:szCs w:val="22"/>
          <w:lang w:val="sl-SI"/>
        </w:rPr>
        <w:t xml:space="preserve"> (</w:t>
      </w:r>
      <w:r>
        <w:rPr>
          <w:szCs w:val="22"/>
          <w:lang w:val="el-GR"/>
        </w:rPr>
        <w:t>ΕΜ</w:t>
      </w:r>
      <w:r>
        <w:rPr>
          <w:szCs w:val="22"/>
          <w:lang w:val="sl-SI"/>
        </w:rPr>
        <w:t xml:space="preserve">) </w:t>
      </w:r>
      <w:r>
        <w:rPr>
          <w:szCs w:val="22"/>
          <w:lang w:val="el-GR"/>
        </w:rPr>
        <w:t>ή</w:t>
      </w:r>
      <w:r>
        <w:rPr>
          <w:szCs w:val="22"/>
          <w:lang w:val="sl-SI"/>
        </w:rPr>
        <w:t xml:space="preserve"> </w:t>
      </w:r>
      <w:r>
        <w:rPr>
          <w:szCs w:val="22"/>
          <w:lang w:val="el-GR"/>
        </w:rPr>
        <w:t>αποδεδειγμένη</w:t>
      </w:r>
      <w:r>
        <w:rPr>
          <w:szCs w:val="22"/>
          <w:lang w:val="sl-SI"/>
        </w:rPr>
        <w:t xml:space="preserve"> </w:t>
      </w:r>
      <w:bookmarkStart w:id="22" w:name="OLE_LINK15"/>
      <w:bookmarkStart w:id="23" w:name="OLE_LINK16"/>
      <w:r>
        <w:rPr>
          <w:szCs w:val="22"/>
          <w:lang w:val="el-GR"/>
        </w:rPr>
        <w:t>στεφανιαί</w:t>
      </w:r>
      <w:bookmarkEnd w:id="22"/>
      <w:bookmarkEnd w:id="23"/>
      <w:r>
        <w:rPr>
          <w:szCs w:val="22"/>
          <w:lang w:val="el-GR"/>
        </w:rPr>
        <w:t>α</w:t>
      </w:r>
      <w:r>
        <w:rPr>
          <w:szCs w:val="22"/>
          <w:lang w:val="sl-SI"/>
        </w:rPr>
        <w:t xml:space="preserve"> </w:t>
      </w:r>
      <w:r>
        <w:rPr>
          <w:szCs w:val="22"/>
          <w:lang w:val="el-GR"/>
        </w:rPr>
        <w:t>νόσο, ήταν</w:t>
      </w:r>
      <w:r>
        <w:rPr>
          <w:szCs w:val="22"/>
          <w:lang w:val="sl-SI"/>
        </w:rPr>
        <w:t xml:space="preserve"> </w:t>
      </w:r>
      <w:r>
        <w:rPr>
          <w:szCs w:val="22"/>
          <w:lang w:val="el-GR"/>
        </w:rPr>
        <w:t>σε</w:t>
      </w:r>
      <w:r>
        <w:rPr>
          <w:szCs w:val="22"/>
          <w:lang w:val="sl-SI"/>
        </w:rPr>
        <w:t xml:space="preserve"> </w:t>
      </w:r>
      <w:r>
        <w:rPr>
          <w:szCs w:val="22"/>
          <w:lang w:val="el-GR"/>
        </w:rPr>
        <w:t>αγωγή</w:t>
      </w:r>
      <w:r>
        <w:rPr>
          <w:szCs w:val="22"/>
          <w:lang w:val="sl-SI"/>
        </w:rPr>
        <w:t xml:space="preserve"> </w:t>
      </w:r>
      <w:r>
        <w:rPr>
          <w:szCs w:val="22"/>
          <w:lang w:val="el-GR"/>
        </w:rPr>
        <w:t>για</w:t>
      </w:r>
      <w:r>
        <w:rPr>
          <w:szCs w:val="22"/>
          <w:lang w:val="sl-SI"/>
        </w:rPr>
        <w:t xml:space="preserve"> </w:t>
      </w:r>
      <w:r>
        <w:rPr>
          <w:szCs w:val="22"/>
          <w:lang w:val="el-GR"/>
        </w:rPr>
        <w:t>συστηματική</w:t>
      </w:r>
      <w:r>
        <w:rPr>
          <w:szCs w:val="22"/>
          <w:lang w:val="sl-SI"/>
        </w:rPr>
        <w:t xml:space="preserve"> </w:t>
      </w:r>
      <w:r>
        <w:rPr>
          <w:szCs w:val="22"/>
          <w:lang w:val="el-GR"/>
        </w:rPr>
        <w:t>υπέρταση, είχαν προηγούμενο</w:t>
      </w:r>
      <w:r>
        <w:rPr>
          <w:szCs w:val="22"/>
          <w:lang w:val="sl-SI"/>
        </w:rPr>
        <w:t xml:space="preserve"> </w:t>
      </w:r>
      <w:r>
        <w:rPr>
          <w:szCs w:val="22"/>
          <w:lang w:val="el-GR"/>
        </w:rPr>
        <w:t>αγγειακό</w:t>
      </w:r>
      <w:r>
        <w:rPr>
          <w:szCs w:val="22"/>
          <w:lang w:val="sl-SI"/>
        </w:rPr>
        <w:t xml:space="preserve"> </w:t>
      </w:r>
      <w:r>
        <w:rPr>
          <w:szCs w:val="22"/>
          <w:lang w:val="el-GR"/>
        </w:rPr>
        <w:t>εγκεφαλικό</w:t>
      </w:r>
      <w:r>
        <w:rPr>
          <w:szCs w:val="22"/>
          <w:lang w:val="sl-SI"/>
        </w:rPr>
        <w:t xml:space="preserve"> </w:t>
      </w:r>
      <w:r>
        <w:rPr>
          <w:szCs w:val="22"/>
          <w:lang w:val="el-GR"/>
        </w:rPr>
        <w:t>επεισόδιο</w:t>
      </w:r>
      <w:r>
        <w:rPr>
          <w:szCs w:val="22"/>
          <w:lang w:val="sl-SI"/>
        </w:rPr>
        <w:t xml:space="preserve">, </w:t>
      </w:r>
      <w:r>
        <w:rPr>
          <w:szCs w:val="22"/>
          <w:lang w:val="el-GR"/>
        </w:rPr>
        <w:t>παροδικό</w:t>
      </w:r>
      <w:r>
        <w:rPr>
          <w:szCs w:val="22"/>
          <w:lang w:val="sl-SI"/>
        </w:rPr>
        <w:t xml:space="preserve"> </w:t>
      </w:r>
      <w:r>
        <w:rPr>
          <w:szCs w:val="22"/>
          <w:lang w:val="el-GR"/>
        </w:rPr>
        <w:t>ισχαιμικό</w:t>
      </w:r>
      <w:r>
        <w:rPr>
          <w:szCs w:val="22"/>
          <w:lang w:val="sl-SI"/>
        </w:rPr>
        <w:t xml:space="preserve"> </w:t>
      </w:r>
      <w:r>
        <w:rPr>
          <w:szCs w:val="22"/>
          <w:lang w:val="el-GR"/>
        </w:rPr>
        <w:t>επεισόδιο</w:t>
      </w:r>
      <w:r>
        <w:rPr>
          <w:szCs w:val="22"/>
          <w:lang w:val="sl-SI"/>
        </w:rPr>
        <w:t xml:space="preserve"> (</w:t>
      </w:r>
      <w:r>
        <w:rPr>
          <w:szCs w:val="22"/>
          <w:lang w:val="el-GR"/>
        </w:rPr>
        <w:t>ΠΙΕ</w:t>
      </w:r>
      <w:r>
        <w:rPr>
          <w:szCs w:val="22"/>
          <w:lang w:val="sl-SI"/>
        </w:rPr>
        <w:t xml:space="preserve">), </w:t>
      </w:r>
      <w:r>
        <w:rPr>
          <w:szCs w:val="22"/>
          <w:lang w:val="el-GR"/>
        </w:rPr>
        <w:t>ή</w:t>
      </w:r>
      <w:r>
        <w:rPr>
          <w:szCs w:val="22"/>
          <w:lang w:val="sl-SI"/>
        </w:rPr>
        <w:t xml:space="preserve"> </w:t>
      </w:r>
      <w:r>
        <w:rPr>
          <w:szCs w:val="22"/>
          <w:lang w:val="el-GR"/>
        </w:rPr>
        <w:t>συστηματικό</w:t>
      </w:r>
      <w:r>
        <w:rPr>
          <w:szCs w:val="22"/>
          <w:lang w:val="sl-SI"/>
        </w:rPr>
        <w:t xml:space="preserve"> </w:t>
      </w:r>
      <w:r>
        <w:rPr>
          <w:szCs w:val="22"/>
          <w:lang w:val="el-GR"/>
        </w:rPr>
        <w:t>εμβολισμό</w:t>
      </w:r>
      <w:r>
        <w:rPr>
          <w:szCs w:val="22"/>
          <w:lang w:val="sl-SI"/>
        </w:rPr>
        <w:t xml:space="preserve"> </w:t>
      </w:r>
      <w:r>
        <w:rPr>
          <w:szCs w:val="22"/>
          <w:lang w:val="el-GR"/>
        </w:rPr>
        <w:t>εκτός</w:t>
      </w:r>
      <w:r>
        <w:rPr>
          <w:szCs w:val="22"/>
          <w:lang w:val="sl-SI"/>
        </w:rPr>
        <w:t xml:space="preserve"> </w:t>
      </w:r>
      <w:r>
        <w:rPr>
          <w:szCs w:val="22"/>
          <w:lang w:val="el-GR"/>
        </w:rPr>
        <w:t>ΚΝΣ, δυσλειτουργία</w:t>
      </w:r>
      <w:r>
        <w:rPr>
          <w:szCs w:val="22"/>
          <w:lang w:val="sl-SI"/>
        </w:rPr>
        <w:t xml:space="preserve"> </w:t>
      </w:r>
      <w:r>
        <w:rPr>
          <w:szCs w:val="22"/>
          <w:lang w:val="el-GR"/>
        </w:rPr>
        <w:t>της</w:t>
      </w:r>
      <w:r>
        <w:rPr>
          <w:szCs w:val="22"/>
          <w:lang w:val="sl-SI"/>
        </w:rPr>
        <w:t xml:space="preserve"> </w:t>
      </w:r>
      <w:r>
        <w:rPr>
          <w:szCs w:val="22"/>
          <w:lang w:val="el-GR"/>
        </w:rPr>
        <w:t>αριστεράς</w:t>
      </w:r>
      <w:r>
        <w:rPr>
          <w:szCs w:val="22"/>
          <w:lang w:val="sl-SI"/>
        </w:rPr>
        <w:t xml:space="preserve"> </w:t>
      </w:r>
      <w:r>
        <w:rPr>
          <w:szCs w:val="22"/>
          <w:lang w:val="el-GR"/>
        </w:rPr>
        <w:t>κοιλίας</w:t>
      </w:r>
      <w:r>
        <w:rPr>
          <w:szCs w:val="22"/>
          <w:lang w:val="sl-SI"/>
        </w:rPr>
        <w:t xml:space="preserve"> </w:t>
      </w:r>
      <w:r>
        <w:rPr>
          <w:szCs w:val="22"/>
          <w:lang w:val="el-GR"/>
        </w:rPr>
        <w:t>με</w:t>
      </w:r>
      <w:r>
        <w:rPr>
          <w:szCs w:val="22"/>
          <w:lang w:val="sl-SI"/>
        </w:rPr>
        <w:t xml:space="preserve"> </w:t>
      </w:r>
      <w:r>
        <w:rPr>
          <w:szCs w:val="22"/>
          <w:lang w:val="el-GR"/>
        </w:rPr>
        <w:t>κλάσμα</w:t>
      </w:r>
      <w:r>
        <w:rPr>
          <w:szCs w:val="22"/>
          <w:lang w:val="sl-SI"/>
        </w:rPr>
        <w:t xml:space="preserve"> </w:t>
      </w:r>
      <w:r>
        <w:rPr>
          <w:szCs w:val="22"/>
          <w:lang w:val="el-GR"/>
        </w:rPr>
        <w:t>εξώθησης</w:t>
      </w:r>
      <w:r>
        <w:rPr>
          <w:szCs w:val="22"/>
          <w:lang w:val="sl-SI"/>
        </w:rPr>
        <w:t xml:space="preserve"> </w:t>
      </w:r>
      <w:r>
        <w:rPr>
          <w:szCs w:val="22"/>
          <w:lang w:val="el-GR"/>
        </w:rPr>
        <w:t>της</w:t>
      </w:r>
      <w:r>
        <w:rPr>
          <w:szCs w:val="22"/>
          <w:lang w:val="sl-SI"/>
        </w:rPr>
        <w:t xml:space="preserve"> </w:t>
      </w:r>
      <w:r>
        <w:rPr>
          <w:szCs w:val="22"/>
          <w:lang w:val="el-GR"/>
        </w:rPr>
        <w:t>αριστερής</w:t>
      </w:r>
      <w:r>
        <w:rPr>
          <w:szCs w:val="22"/>
          <w:lang w:val="sl-SI"/>
        </w:rPr>
        <w:t xml:space="preserve"> </w:t>
      </w:r>
      <w:r>
        <w:rPr>
          <w:szCs w:val="22"/>
          <w:lang w:val="el-GR"/>
        </w:rPr>
        <w:t>κοιλίας</w:t>
      </w:r>
      <w:r>
        <w:rPr>
          <w:szCs w:val="22"/>
          <w:lang w:val="sl-SI"/>
        </w:rPr>
        <w:t xml:space="preserve"> &lt;45%</w:t>
      </w:r>
      <w:r>
        <w:rPr>
          <w:szCs w:val="22"/>
          <w:lang w:val="el-GR"/>
        </w:rPr>
        <w:t>, ή</w:t>
      </w:r>
      <w:r>
        <w:rPr>
          <w:szCs w:val="22"/>
          <w:lang w:val="sl-SI"/>
        </w:rPr>
        <w:t xml:space="preserve"> </w:t>
      </w:r>
      <w:r>
        <w:rPr>
          <w:szCs w:val="22"/>
          <w:lang w:val="el-GR"/>
        </w:rPr>
        <w:t>αποδεδειγμένη</w:t>
      </w:r>
      <w:r>
        <w:rPr>
          <w:szCs w:val="22"/>
          <w:lang w:val="sl-SI"/>
        </w:rPr>
        <w:t xml:space="preserve"> </w:t>
      </w:r>
      <w:r>
        <w:rPr>
          <w:szCs w:val="22"/>
          <w:lang w:val="el-GR"/>
        </w:rPr>
        <w:t>περιφερική</w:t>
      </w:r>
      <w:r>
        <w:rPr>
          <w:szCs w:val="22"/>
          <w:lang w:val="sl-SI"/>
        </w:rPr>
        <w:t xml:space="preserve"> </w:t>
      </w:r>
      <w:r>
        <w:rPr>
          <w:szCs w:val="22"/>
          <w:lang w:val="el-GR"/>
        </w:rPr>
        <w:t>αγγειακή</w:t>
      </w:r>
      <w:r>
        <w:rPr>
          <w:szCs w:val="22"/>
          <w:lang w:val="sl-SI"/>
        </w:rPr>
        <w:t xml:space="preserve"> </w:t>
      </w:r>
      <w:r>
        <w:rPr>
          <w:szCs w:val="22"/>
          <w:lang w:val="el-GR"/>
        </w:rPr>
        <w:t>νόσο</w:t>
      </w:r>
      <w:r>
        <w:rPr>
          <w:szCs w:val="22"/>
          <w:lang w:val="sl-SI"/>
        </w:rPr>
        <w:t xml:space="preserve">. </w:t>
      </w:r>
      <w:r>
        <w:rPr>
          <w:szCs w:val="22"/>
          <w:lang w:val="el-GR"/>
        </w:rPr>
        <w:t>Η</w:t>
      </w:r>
      <w:r>
        <w:rPr>
          <w:szCs w:val="22"/>
          <w:lang w:val="sl-SI"/>
        </w:rPr>
        <w:t xml:space="preserve"> </w:t>
      </w:r>
      <w:r>
        <w:rPr>
          <w:szCs w:val="22"/>
          <w:lang w:val="el-GR"/>
        </w:rPr>
        <w:t>μέση</w:t>
      </w:r>
      <w:r>
        <w:rPr>
          <w:szCs w:val="22"/>
          <w:lang w:val="sl-SI"/>
        </w:rPr>
        <w:t xml:space="preserve"> </w:t>
      </w:r>
      <w:r>
        <w:rPr>
          <w:szCs w:val="22"/>
          <w:lang w:val="el-GR"/>
        </w:rPr>
        <w:t>βαθμολογία</w:t>
      </w:r>
      <w:r>
        <w:rPr>
          <w:szCs w:val="22"/>
          <w:lang w:val="sl-SI"/>
        </w:rPr>
        <w:t xml:space="preserve"> </w:t>
      </w:r>
      <w:r>
        <w:rPr>
          <w:szCs w:val="22"/>
          <w:lang w:val="el-GR"/>
        </w:rPr>
        <w:t xml:space="preserve">κατά </w:t>
      </w:r>
      <w:r>
        <w:rPr>
          <w:szCs w:val="22"/>
          <w:lang w:val="sl-SI"/>
        </w:rPr>
        <w:t>CHADS</w:t>
      </w:r>
      <w:r>
        <w:rPr>
          <w:szCs w:val="22"/>
          <w:vertAlign w:val="subscript"/>
          <w:lang w:val="sl-SI"/>
        </w:rPr>
        <w:t>2</w:t>
      </w:r>
      <w:r>
        <w:rPr>
          <w:szCs w:val="22"/>
          <w:lang w:val="sl-SI"/>
        </w:rPr>
        <w:t xml:space="preserve"> </w:t>
      </w:r>
      <w:r>
        <w:rPr>
          <w:szCs w:val="22"/>
          <w:lang w:val="el-GR"/>
        </w:rPr>
        <w:t>ήταν</w:t>
      </w:r>
      <w:r>
        <w:rPr>
          <w:szCs w:val="22"/>
          <w:lang w:val="sl-SI"/>
        </w:rPr>
        <w:t xml:space="preserve"> 2,0 (</w:t>
      </w:r>
      <w:r>
        <w:rPr>
          <w:szCs w:val="22"/>
          <w:lang w:val="el-GR"/>
        </w:rPr>
        <w:t>εύρος</w:t>
      </w:r>
      <w:r>
        <w:rPr>
          <w:szCs w:val="22"/>
          <w:lang w:val="sl-SI"/>
        </w:rPr>
        <w:t xml:space="preserve"> 0-6).</w:t>
      </w:r>
    </w:p>
    <w:p>
      <w:pPr>
        <w:widowControl w:val="0"/>
        <w:spacing w:line="240" w:lineRule="auto"/>
        <w:rPr>
          <w:szCs w:val="22"/>
          <w:lang w:val="sl-SI"/>
        </w:rPr>
      </w:pPr>
    </w:p>
    <w:p>
      <w:pPr>
        <w:widowControl w:val="0"/>
        <w:spacing w:line="240" w:lineRule="auto"/>
        <w:rPr>
          <w:szCs w:val="22"/>
          <w:lang w:val="sl-SI"/>
        </w:rPr>
      </w:pPr>
      <w:bookmarkStart w:id="24" w:name="_Hlk481133523"/>
      <w:r>
        <w:rPr>
          <w:szCs w:val="22"/>
          <w:lang w:val="el-GR"/>
        </w:rPr>
        <w:t>Τα</w:t>
      </w:r>
      <w:r>
        <w:rPr>
          <w:szCs w:val="22"/>
          <w:lang w:val="sl-SI"/>
        </w:rPr>
        <w:t xml:space="preserve"> </w:t>
      </w:r>
      <w:r>
        <w:rPr>
          <w:szCs w:val="22"/>
          <w:lang w:val="el-GR"/>
        </w:rPr>
        <w:t>κύρια</w:t>
      </w:r>
      <w:r>
        <w:rPr>
          <w:szCs w:val="22"/>
          <w:lang w:val="sl-SI"/>
        </w:rPr>
        <w:t xml:space="preserve"> </w:t>
      </w:r>
      <w:r>
        <w:rPr>
          <w:szCs w:val="22"/>
          <w:lang w:val="el-GR"/>
        </w:rPr>
        <w:t>κριτήρια</w:t>
      </w:r>
      <w:r>
        <w:rPr>
          <w:szCs w:val="22"/>
          <w:lang w:val="sl-SI"/>
        </w:rPr>
        <w:t xml:space="preserve"> </w:t>
      </w:r>
      <w:r>
        <w:rPr>
          <w:szCs w:val="22"/>
          <w:lang w:val="el-GR"/>
        </w:rPr>
        <w:t>αποκλεισμού</w:t>
      </w:r>
      <w:r>
        <w:rPr>
          <w:szCs w:val="22"/>
          <w:lang w:val="sl-SI"/>
        </w:rPr>
        <w:t xml:space="preserve"> </w:t>
      </w:r>
      <w:r>
        <w:rPr>
          <w:szCs w:val="22"/>
          <w:lang w:val="el-GR"/>
        </w:rPr>
        <w:t>ασθενών</w:t>
      </w:r>
      <w:r>
        <w:rPr>
          <w:szCs w:val="22"/>
          <w:lang w:val="sl-SI"/>
        </w:rPr>
        <w:t xml:space="preserve"> </w:t>
      </w:r>
      <w:r>
        <w:rPr>
          <w:szCs w:val="22"/>
          <w:lang w:val="el-GR"/>
        </w:rPr>
        <w:t>που</w:t>
      </w:r>
      <w:r>
        <w:rPr>
          <w:szCs w:val="22"/>
          <w:lang w:val="sl-SI"/>
        </w:rPr>
        <w:t xml:space="preserve"> </w:t>
      </w:r>
      <w:r>
        <w:rPr>
          <w:szCs w:val="22"/>
          <w:lang w:val="el-GR"/>
        </w:rPr>
        <w:t>καταγράφηκαν</w:t>
      </w:r>
      <w:r>
        <w:rPr>
          <w:szCs w:val="22"/>
          <w:lang w:val="sl-SI"/>
        </w:rPr>
        <w:t xml:space="preserve"> </w:t>
      </w:r>
      <w:r>
        <w:rPr>
          <w:szCs w:val="22"/>
          <w:lang w:val="el-GR"/>
        </w:rPr>
        <w:t>ήταν</w:t>
      </w:r>
      <w:r>
        <w:rPr>
          <w:szCs w:val="22"/>
          <w:lang w:val="sl-SI"/>
        </w:rPr>
        <w:t xml:space="preserve"> </w:t>
      </w:r>
      <w:r>
        <w:rPr>
          <w:szCs w:val="22"/>
          <w:lang w:val="el-GR"/>
        </w:rPr>
        <w:t>πεπτικό έλκος</w:t>
      </w:r>
      <w:r>
        <w:rPr>
          <w:szCs w:val="22"/>
          <w:lang w:val="sl-SI"/>
        </w:rPr>
        <w:t xml:space="preserve"> </w:t>
      </w:r>
      <w:r>
        <w:rPr>
          <w:szCs w:val="22"/>
          <w:lang w:val="el-GR"/>
        </w:rPr>
        <w:t>εντός</w:t>
      </w:r>
      <w:r>
        <w:rPr>
          <w:szCs w:val="22"/>
          <w:lang w:val="sl-SI"/>
        </w:rPr>
        <w:t xml:space="preserve"> </w:t>
      </w:r>
      <w:r>
        <w:rPr>
          <w:szCs w:val="22"/>
          <w:lang w:val="el-GR"/>
        </w:rPr>
        <w:t>των</w:t>
      </w:r>
      <w:r>
        <w:rPr>
          <w:szCs w:val="22"/>
          <w:lang w:val="sl-SI"/>
        </w:rPr>
        <w:t xml:space="preserve"> </w:t>
      </w:r>
      <w:r>
        <w:rPr>
          <w:szCs w:val="22"/>
          <w:lang w:val="el-GR"/>
        </w:rPr>
        <w:t>τελευταίων</w:t>
      </w:r>
      <w:r>
        <w:rPr>
          <w:szCs w:val="22"/>
          <w:lang w:val="sl-SI"/>
        </w:rPr>
        <w:t xml:space="preserve"> 6 </w:t>
      </w:r>
      <w:r>
        <w:rPr>
          <w:szCs w:val="22"/>
          <w:lang w:val="el-GR"/>
        </w:rPr>
        <w:t>μηνών, προηγούμενη</w:t>
      </w:r>
      <w:r>
        <w:rPr>
          <w:szCs w:val="22"/>
          <w:lang w:val="sl-SI"/>
        </w:rPr>
        <w:t xml:space="preserve"> </w:t>
      </w:r>
      <w:r>
        <w:rPr>
          <w:szCs w:val="22"/>
          <w:lang w:val="el-GR"/>
        </w:rPr>
        <w:t>ενδοεγκεφαλική</w:t>
      </w:r>
      <w:r>
        <w:rPr>
          <w:szCs w:val="22"/>
          <w:lang w:val="sl-SI"/>
        </w:rPr>
        <w:t xml:space="preserve"> </w:t>
      </w:r>
      <w:r>
        <w:rPr>
          <w:szCs w:val="22"/>
          <w:lang w:val="el-GR"/>
        </w:rPr>
        <w:t>αιμορραγία, σοβαρή</w:t>
      </w:r>
      <w:r>
        <w:rPr>
          <w:szCs w:val="22"/>
          <w:lang w:val="sl-SI"/>
        </w:rPr>
        <w:t xml:space="preserve"> </w:t>
      </w:r>
      <w:r>
        <w:rPr>
          <w:szCs w:val="22"/>
          <w:lang w:val="el-GR"/>
        </w:rPr>
        <w:t>θρομβοπενία</w:t>
      </w:r>
      <w:r>
        <w:rPr>
          <w:szCs w:val="22"/>
          <w:lang w:val="sl-SI"/>
        </w:rPr>
        <w:t xml:space="preserve"> (</w:t>
      </w:r>
      <w:r>
        <w:rPr>
          <w:szCs w:val="22"/>
          <w:lang w:val="el-GR"/>
        </w:rPr>
        <w:t>αριθμός</w:t>
      </w:r>
      <w:r>
        <w:rPr>
          <w:szCs w:val="22"/>
          <w:lang w:val="sl-SI"/>
        </w:rPr>
        <w:t xml:space="preserve"> </w:t>
      </w:r>
      <w:r>
        <w:rPr>
          <w:szCs w:val="22"/>
          <w:lang w:val="el-GR"/>
        </w:rPr>
        <w:t>αιμοπεταλίων</w:t>
      </w:r>
      <w:r>
        <w:rPr>
          <w:szCs w:val="22"/>
          <w:lang w:val="sl-SI"/>
        </w:rPr>
        <w:t xml:space="preserve"> &lt; 50 x 109/l)</w:t>
      </w:r>
      <w:r>
        <w:rPr>
          <w:szCs w:val="22"/>
          <w:lang w:val="el-GR"/>
        </w:rPr>
        <w:t>, απαίτηση</w:t>
      </w:r>
      <w:r>
        <w:rPr>
          <w:szCs w:val="22"/>
          <w:lang w:val="sl-SI"/>
        </w:rPr>
        <w:t xml:space="preserve"> </w:t>
      </w:r>
      <w:r>
        <w:rPr>
          <w:szCs w:val="22"/>
          <w:lang w:val="el-GR"/>
        </w:rPr>
        <w:t>για</w:t>
      </w:r>
      <w:r>
        <w:rPr>
          <w:szCs w:val="22"/>
          <w:lang w:val="sl-SI"/>
        </w:rPr>
        <w:t xml:space="preserve"> </w:t>
      </w:r>
      <w:r>
        <w:rPr>
          <w:szCs w:val="22"/>
          <w:lang w:val="el-GR"/>
        </w:rPr>
        <w:t>κλοπιδογρέλη</w:t>
      </w:r>
      <w:r>
        <w:rPr>
          <w:szCs w:val="22"/>
          <w:lang w:val="sl-SI"/>
        </w:rPr>
        <w:t xml:space="preserve"> </w:t>
      </w:r>
      <w:r>
        <w:rPr>
          <w:szCs w:val="22"/>
          <w:lang w:val="el-GR"/>
        </w:rPr>
        <w:t>ή</w:t>
      </w:r>
      <w:r>
        <w:rPr>
          <w:szCs w:val="22"/>
          <w:lang w:val="sl-SI"/>
        </w:rPr>
        <w:t xml:space="preserve"> </w:t>
      </w:r>
      <w:r>
        <w:rPr>
          <w:szCs w:val="22"/>
          <w:lang w:val="el-GR"/>
        </w:rPr>
        <w:t>από</w:t>
      </w:r>
      <w:r>
        <w:rPr>
          <w:szCs w:val="22"/>
          <w:lang w:val="sl-SI"/>
        </w:rPr>
        <w:t xml:space="preserve"> </w:t>
      </w:r>
      <w:r>
        <w:rPr>
          <w:szCs w:val="22"/>
          <w:lang w:val="el-GR"/>
        </w:rPr>
        <w:t>του</w:t>
      </w:r>
      <w:r>
        <w:rPr>
          <w:szCs w:val="22"/>
          <w:lang w:val="sl-SI"/>
        </w:rPr>
        <w:t xml:space="preserve"> </w:t>
      </w:r>
      <w:r>
        <w:rPr>
          <w:szCs w:val="22"/>
          <w:lang w:val="el-GR"/>
        </w:rPr>
        <w:t>στόματος</w:t>
      </w:r>
      <w:r>
        <w:rPr>
          <w:szCs w:val="22"/>
          <w:lang w:val="sl-SI"/>
        </w:rPr>
        <w:t xml:space="preserve"> </w:t>
      </w:r>
      <w:r>
        <w:rPr>
          <w:szCs w:val="22"/>
          <w:lang w:val="el-GR"/>
        </w:rPr>
        <w:t>αντιπηκτικά</w:t>
      </w:r>
      <w:r>
        <w:rPr>
          <w:szCs w:val="22"/>
          <w:lang w:val="sl-SI"/>
        </w:rPr>
        <w:t xml:space="preserve"> (</w:t>
      </w:r>
      <w:r>
        <w:rPr>
          <w:szCs w:val="22"/>
          <w:lang w:val="el-GR"/>
        </w:rPr>
        <w:t>ΑΣΑΠ</w:t>
      </w:r>
      <w:r>
        <w:rPr>
          <w:szCs w:val="22"/>
          <w:lang w:val="sl-SI"/>
        </w:rPr>
        <w:t>)</w:t>
      </w:r>
      <w:r>
        <w:rPr>
          <w:szCs w:val="22"/>
          <w:lang w:val="el-GR"/>
        </w:rPr>
        <w:t>, ή</w:t>
      </w:r>
      <w:r>
        <w:rPr>
          <w:szCs w:val="22"/>
          <w:lang w:val="sl-SI"/>
        </w:rPr>
        <w:t xml:space="preserve"> </w:t>
      </w:r>
      <w:r>
        <w:rPr>
          <w:szCs w:val="22"/>
          <w:lang w:val="el-GR"/>
        </w:rPr>
        <w:t>δυσανεξία</w:t>
      </w:r>
      <w:r>
        <w:rPr>
          <w:szCs w:val="22"/>
          <w:lang w:val="sl-SI"/>
        </w:rPr>
        <w:t xml:space="preserve"> </w:t>
      </w:r>
      <w:r>
        <w:rPr>
          <w:szCs w:val="22"/>
          <w:lang w:val="el-GR"/>
        </w:rPr>
        <w:t>σε</w:t>
      </w:r>
      <w:r>
        <w:rPr>
          <w:szCs w:val="22"/>
          <w:lang w:val="sl-SI"/>
        </w:rPr>
        <w:t xml:space="preserve"> </w:t>
      </w:r>
      <w:r>
        <w:rPr>
          <w:szCs w:val="22"/>
          <w:lang w:val="el-GR"/>
        </w:rPr>
        <w:t>οποιαδήποτε</w:t>
      </w:r>
      <w:r>
        <w:rPr>
          <w:szCs w:val="22"/>
          <w:lang w:val="sl-SI"/>
        </w:rPr>
        <w:t xml:space="preserve"> </w:t>
      </w:r>
      <w:r>
        <w:rPr>
          <w:szCs w:val="22"/>
          <w:lang w:val="el-GR"/>
        </w:rPr>
        <w:t>από</w:t>
      </w:r>
      <w:r>
        <w:rPr>
          <w:szCs w:val="22"/>
          <w:lang w:val="sl-SI"/>
        </w:rPr>
        <w:t xml:space="preserve"> </w:t>
      </w:r>
      <w:r>
        <w:rPr>
          <w:szCs w:val="22"/>
          <w:lang w:val="el-GR"/>
        </w:rPr>
        <w:t>τις</w:t>
      </w:r>
      <w:r>
        <w:rPr>
          <w:szCs w:val="22"/>
          <w:lang w:val="sl-SI"/>
        </w:rPr>
        <w:t xml:space="preserve"> </w:t>
      </w:r>
      <w:r>
        <w:rPr>
          <w:szCs w:val="22"/>
          <w:lang w:val="el-GR"/>
        </w:rPr>
        <w:t>δύο</w:t>
      </w:r>
      <w:r>
        <w:rPr>
          <w:szCs w:val="22"/>
          <w:lang w:val="sl-SI"/>
        </w:rPr>
        <w:t xml:space="preserve"> </w:t>
      </w:r>
      <w:r>
        <w:rPr>
          <w:szCs w:val="22"/>
          <w:lang w:val="el-GR"/>
        </w:rPr>
        <w:t>ουσίες</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Εβδομήντα</w:t>
      </w:r>
      <w:r>
        <w:rPr>
          <w:szCs w:val="22"/>
          <w:lang w:val="sl-SI"/>
        </w:rPr>
        <w:t xml:space="preserve"> </w:t>
      </w:r>
      <w:r>
        <w:rPr>
          <w:szCs w:val="22"/>
          <w:lang w:val="el-GR"/>
        </w:rPr>
        <w:t>τρία</w:t>
      </w:r>
      <w:r>
        <w:rPr>
          <w:szCs w:val="22"/>
          <w:lang w:val="sl-SI"/>
        </w:rPr>
        <w:t xml:space="preserve"> </w:t>
      </w:r>
      <w:r>
        <w:rPr>
          <w:szCs w:val="22"/>
          <w:lang w:val="el-GR"/>
        </w:rPr>
        <w:t>τ</w:t>
      </w:r>
      <w:r>
        <w:rPr>
          <w:szCs w:val="22"/>
          <w:lang w:val="sl-SI"/>
        </w:rPr>
        <w:t>o</w:t>
      </w:r>
      <w:r>
        <w:rPr>
          <w:szCs w:val="22"/>
          <w:lang w:val="el-GR"/>
        </w:rPr>
        <w:t>ις</w:t>
      </w:r>
      <w:r>
        <w:rPr>
          <w:szCs w:val="22"/>
          <w:lang w:val="sl-SI"/>
        </w:rPr>
        <w:t xml:space="preserve"> </w:t>
      </w:r>
      <w:r>
        <w:rPr>
          <w:szCs w:val="22"/>
          <w:lang w:val="el-GR"/>
        </w:rPr>
        <w:t>εκατό</w:t>
      </w:r>
      <w:r>
        <w:rPr>
          <w:szCs w:val="22"/>
          <w:lang w:val="sl-SI"/>
        </w:rPr>
        <w:t xml:space="preserve"> (73%)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που</w:t>
      </w:r>
      <w:r>
        <w:rPr>
          <w:szCs w:val="22"/>
          <w:lang w:val="sl-SI"/>
        </w:rPr>
        <w:t xml:space="preserve"> </w:t>
      </w:r>
      <w:r>
        <w:rPr>
          <w:szCs w:val="22"/>
          <w:lang w:val="el-GR"/>
        </w:rPr>
        <w:t>εντάχθηκαν</w:t>
      </w:r>
      <w:r>
        <w:rPr>
          <w:szCs w:val="22"/>
          <w:lang w:val="sl-SI"/>
        </w:rPr>
        <w:t xml:space="preserve"> </w:t>
      </w:r>
      <w:r>
        <w:rPr>
          <w:szCs w:val="22"/>
          <w:lang w:val="el-GR"/>
        </w:rPr>
        <w:t>στη</w:t>
      </w:r>
      <w:r>
        <w:rPr>
          <w:szCs w:val="22"/>
          <w:lang w:val="sl-SI"/>
        </w:rPr>
        <w:t xml:space="preserve"> </w:t>
      </w:r>
      <w:r>
        <w:rPr>
          <w:szCs w:val="22"/>
          <w:lang w:val="el-GR"/>
        </w:rPr>
        <w:t>μελέτη</w:t>
      </w:r>
      <w:r>
        <w:rPr>
          <w:szCs w:val="22"/>
          <w:lang w:val="sl-SI"/>
        </w:rPr>
        <w:t xml:space="preserve"> ACTIVE-A </w:t>
      </w:r>
      <w:r>
        <w:rPr>
          <w:szCs w:val="22"/>
          <w:lang w:val="el-GR"/>
        </w:rPr>
        <w:t>δεν</w:t>
      </w:r>
      <w:r>
        <w:rPr>
          <w:szCs w:val="22"/>
          <w:lang w:val="sl-SI"/>
        </w:rPr>
        <w:t xml:space="preserve"> </w:t>
      </w:r>
      <w:r>
        <w:rPr>
          <w:szCs w:val="22"/>
          <w:lang w:val="el-GR"/>
        </w:rPr>
        <w:t>μπορούσε</w:t>
      </w:r>
      <w:r>
        <w:rPr>
          <w:szCs w:val="22"/>
          <w:lang w:val="sl-SI"/>
        </w:rPr>
        <w:t xml:space="preserve"> </w:t>
      </w:r>
      <w:r>
        <w:rPr>
          <w:szCs w:val="22"/>
          <w:lang w:val="el-GR"/>
        </w:rPr>
        <w:t>να</w:t>
      </w:r>
      <w:r>
        <w:rPr>
          <w:szCs w:val="22"/>
          <w:lang w:val="sl-SI"/>
        </w:rPr>
        <w:t xml:space="preserve"> </w:t>
      </w:r>
      <w:r>
        <w:rPr>
          <w:szCs w:val="22"/>
          <w:lang w:val="el-GR"/>
        </w:rPr>
        <w:t>λάβει</w:t>
      </w:r>
      <w:r>
        <w:rPr>
          <w:szCs w:val="22"/>
          <w:lang w:val="sl-SI"/>
        </w:rPr>
        <w:t xml:space="preserve"> </w:t>
      </w:r>
      <w:r>
        <w:rPr>
          <w:szCs w:val="22"/>
          <w:lang w:val="el-GR"/>
        </w:rPr>
        <w:t>ΑΒΚ</w:t>
      </w:r>
      <w:r>
        <w:rPr>
          <w:szCs w:val="22"/>
          <w:lang w:val="sl-SI"/>
        </w:rPr>
        <w:t xml:space="preserve"> </w:t>
      </w:r>
      <w:r>
        <w:rPr>
          <w:szCs w:val="22"/>
          <w:lang w:val="el-GR"/>
        </w:rPr>
        <w:t>λόγω</w:t>
      </w:r>
      <w:r>
        <w:rPr>
          <w:szCs w:val="22"/>
          <w:lang w:val="sl-SI"/>
        </w:rPr>
        <w:t xml:space="preserve"> </w:t>
      </w:r>
      <w:r>
        <w:rPr>
          <w:szCs w:val="22"/>
          <w:lang w:val="el-GR"/>
        </w:rPr>
        <w:t>ιατρικής</w:t>
      </w:r>
      <w:r>
        <w:rPr>
          <w:szCs w:val="22"/>
          <w:lang w:val="sl-SI"/>
        </w:rPr>
        <w:t xml:space="preserve"> </w:t>
      </w:r>
      <w:r>
        <w:rPr>
          <w:szCs w:val="22"/>
          <w:lang w:val="el-GR"/>
        </w:rPr>
        <w:t>αξιολόγησης</w:t>
      </w:r>
      <w:r>
        <w:rPr>
          <w:szCs w:val="22"/>
          <w:lang w:val="sl-SI"/>
        </w:rPr>
        <w:t xml:space="preserve">, </w:t>
      </w:r>
      <w:r>
        <w:rPr>
          <w:szCs w:val="22"/>
          <w:lang w:val="el-GR"/>
        </w:rPr>
        <w:t>αδυναμίας</w:t>
      </w:r>
      <w:r>
        <w:rPr>
          <w:szCs w:val="22"/>
          <w:lang w:val="sl-SI"/>
        </w:rPr>
        <w:t xml:space="preserve"> </w:t>
      </w:r>
      <w:r>
        <w:rPr>
          <w:szCs w:val="22"/>
          <w:lang w:val="el-GR"/>
        </w:rPr>
        <w:t>συμμόρφωσης</w:t>
      </w:r>
      <w:r>
        <w:rPr>
          <w:szCs w:val="22"/>
          <w:lang w:val="sl-SI"/>
        </w:rPr>
        <w:t xml:space="preserve"> </w:t>
      </w:r>
      <w:r>
        <w:rPr>
          <w:szCs w:val="22"/>
          <w:lang w:val="el-GR"/>
        </w:rPr>
        <w:t>για</w:t>
      </w:r>
      <w:r>
        <w:rPr>
          <w:szCs w:val="22"/>
          <w:lang w:val="sl-SI"/>
        </w:rPr>
        <w:t xml:space="preserve"> </w:t>
      </w:r>
      <w:r>
        <w:rPr>
          <w:szCs w:val="22"/>
          <w:lang w:val="el-GR"/>
        </w:rPr>
        <w:t>την</w:t>
      </w:r>
      <w:r>
        <w:rPr>
          <w:szCs w:val="22"/>
          <w:lang w:val="sl-SI"/>
        </w:rPr>
        <w:t xml:space="preserve"> </w:t>
      </w:r>
      <w:r>
        <w:rPr>
          <w:szCs w:val="22"/>
          <w:lang w:val="el-GR"/>
        </w:rPr>
        <w:t>παρακολούθηση</w:t>
      </w:r>
      <w:r>
        <w:rPr>
          <w:szCs w:val="22"/>
          <w:lang w:val="sl-SI"/>
        </w:rPr>
        <w:t xml:space="preserve"> </w:t>
      </w:r>
      <w:r>
        <w:rPr>
          <w:szCs w:val="22"/>
          <w:lang w:val="el-GR"/>
        </w:rPr>
        <w:t>της</w:t>
      </w:r>
      <w:r>
        <w:rPr>
          <w:szCs w:val="22"/>
          <w:lang w:val="sl-SI"/>
        </w:rPr>
        <w:t xml:space="preserve"> INR (</w:t>
      </w:r>
      <w:r>
        <w:rPr>
          <w:szCs w:val="22"/>
          <w:lang w:val="el-GR"/>
        </w:rPr>
        <w:t>διεθνής</w:t>
      </w:r>
      <w:r>
        <w:rPr>
          <w:szCs w:val="22"/>
          <w:lang w:val="sl-SI"/>
        </w:rPr>
        <w:t xml:space="preserve"> </w:t>
      </w:r>
      <w:r>
        <w:rPr>
          <w:szCs w:val="22"/>
          <w:lang w:val="el-GR"/>
        </w:rPr>
        <w:t>ομαλοποιημένη</w:t>
      </w:r>
      <w:r>
        <w:rPr>
          <w:szCs w:val="22"/>
          <w:lang w:val="sl-SI"/>
        </w:rPr>
        <w:t xml:space="preserve"> </w:t>
      </w:r>
      <w:r>
        <w:rPr>
          <w:szCs w:val="22"/>
          <w:lang w:val="el-GR"/>
        </w:rPr>
        <w:t>σχέση</w:t>
      </w:r>
      <w:r>
        <w:rPr>
          <w:szCs w:val="22"/>
          <w:lang w:val="sl-SI"/>
        </w:rPr>
        <w:t xml:space="preserve">), </w:t>
      </w:r>
      <w:r>
        <w:rPr>
          <w:szCs w:val="22"/>
          <w:lang w:val="el-GR"/>
        </w:rPr>
        <w:t>προδιάθεσης</w:t>
      </w:r>
      <w:r>
        <w:rPr>
          <w:szCs w:val="22"/>
          <w:lang w:val="sl-SI"/>
        </w:rPr>
        <w:t xml:space="preserve"> </w:t>
      </w:r>
      <w:r>
        <w:rPr>
          <w:szCs w:val="22"/>
          <w:lang w:val="el-GR"/>
        </w:rPr>
        <w:t>για</w:t>
      </w:r>
      <w:r>
        <w:rPr>
          <w:szCs w:val="22"/>
          <w:lang w:val="sl-SI"/>
        </w:rPr>
        <w:t xml:space="preserve"> </w:t>
      </w:r>
      <w:r>
        <w:rPr>
          <w:szCs w:val="22"/>
          <w:lang w:val="el-GR"/>
        </w:rPr>
        <w:t>πτώση</w:t>
      </w:r>
      <w:r>
        <w:rPr>
          <w:szCs w:val="22"/>
          <w:lang w:val="sl-SI"/>
        </w:rPr>
        <w:t xml:space="preserve"> </w:t>
      </w:r>
      <w:r>
        <w:rPr>
          <w:szCs w:val="22"/>
          <w:lang w:val="el-GR"/>
        </w:rPr>
        <w:t>ή</w:t>
      </w:r>
      <w:r>
        <w:rPr>
          <w:szCs w:val="22"/>
          <w:lang w:val="sl-SI"/>
        </w:rPr>
        <w:t xml:space="preserve"> </w:t>
      </w:r>
      <w:r>
        <w:rPr>
          <w:szCs w:val="22"/>
          <w:lang w:val="el-GR"/>
        </w:rPr>
        <w:t>τραυματισμό</w:t>
      </w:r>
      <w:r>
        <w:rPr>
          <w:szCs w:val="22"/>
          <w:lang w:val="sl-SI"/>
        </w:rPr>
        <w:t xml:space="preserve"> </w:t>
      </w:r>
      <w:r>
        <w:rPr>
          <w:szCs w:val="22"/>
          <w:lang w:val="el-GR"/>
        </w:rPr>
        <w:t>της</w:t>
      </w:r>
      <w:r>
        <w:rPr>
          <w:szCs w:val="22"/>
          <w:lang w:val="sl-SI"/>
        </w:rPr>
        <w:t xml:space="preserve"> </w:t>
      </w:r>
      <w:r>
        <w:rPr>
          <w:szCs w:val="22"/>
          <w:lang w:val="el-GR"/>
        </w:rPr>
        <w:t>κεφαλής</w:t>
      </w:r>
      <w:r>
        <w:rPr>
          <w:szCs w:val="22"/>
          <w:lang w:val="sl-SI"/>
        </w:rPr>
        <w:t xml:space="preserve">, </w:t>
      </w:r>
      <w:r>
        <w:rPr>
          <w:szCs w:val="22"/>
          <w:lang w:val="el-GR"/>
        </w:rPr>
        <w:t>ή</w:t>
      </w:r>
      <w:r>
        <w:rPr>
          <w:szCs w:val="22"/>
          <w:lang w:val="sl-SI"/>
        </w:rPr>
        <w:t xml:space="preserve"> </w:t>
      </w:r>
      <w:r>
        <w:rPr>
          <w:szCs w:val="22"/>
          <w:lang w:val="el-GR"/>
        </w:rPr>
        <w:t>συγκεκριμένου</w:t>
      </w:r>
      <w:r>
        <w:rPr>
          <w:szCs w:val="22"/>
          <w:lang w:val="sl-SI"/>
        </w:rPr>
        <w:t xml:space="preserve"> </w:t>
      </w:r>
      <w:r>
        <w:rPr>
          <w:szCs w:val="22"/>
          <w:lang w:val="el-GR"/>
        </w:rPr>
        <w:t>κινδύνου</w:t>
      </w:r>
      <w:r>
        <w:rPr>
          <w:szCs w:val="22"/>
          <w:lang w:val="sl-SI"/>
        </w:rPr>
        <w:t xml:space="preserve"> </w:t>
      </w:r>
      <w:r>
        <w:rPr>
          <w:szCs w:val="22"/>
          <w:lang w:val="el-GR"/>
        </w:rPr>
        <w:t>αιμορραγίας. Για</w:t>
      </w:r>
      <w:r>
        <w:rPr>
          <w:szCs w:val="22"/>
          <w:lang w:val="sl-SI"/>
        </w:rPr>
        <w:t xml:space="preserve"> </w:t>
      </w:r>
      <w:r>
        <w:rPr>
          <w:szCs w:val="22"/>
          <w:lang w:val="el-GR"/>
        </w:rPr>
        <w:t>το</w:t>
      </w:r>
      <w:r>
        <w:rPr>
          <w:szCs w:val="22"/>
          <w:lang w:val="sl-SI"/>
        </w:rPr>
        <w:t xml:space="preserve"> 26%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η</w:t>
      </w:r>
      <w:r>
        <w:rPr>
          <w:szCs w:val="22"/>
          <w:lang w:val="sl-SI"/>
        </w:rPr>
        <w:t xml:space="preserve"> </w:t>
      </w:r>
      <w:r>
        <w:rPr>
          <w:szCs w:val="22"/>
          <w:lang w:val="el-GR"/>
        </w:rPr>
        <w:t>ιατρική απόφαση</w:t>
      </w:r>
      <w:r>
        <w:rPr>
          <w:szCs w:val="22"/>
          <w:lang w:val="sl-SI"/>
        </w:rPr>
        <w:t xml:space="preserve"> </w:t>
      </w:r>
      <w:r>
        <w:rPr>
          <w:szCs w:val="22"/>
          <w:lang w:val="el-GR"/>
        </w:rPr>
        <w:t>βασίστηκε</w:t>
      </w:r>
      <w:r>
        <w:rPr>
          <w:szCs w:val="22"/>
          <w:lang w:val="sl-SI"/>
        </w:rPr>
        <w:t xml:space="preserve"> </w:t>
      </w:r>
      <w:r>
        <w:rPr>
          <w:szCs w:val="22"/>
          <w:lang w:val="el-GR"/>
        </w:rPr>
        <w:t>στη</w:t>
      </w:r>
      <w:r>
        <w:rPr>
          <w:szCs w:val="22"/>
          <w:lang w:val="sl-SI"/>
        </w:rPr>
        <w:t xml:space="preserve"> </w:t>
      </w:r>
      <w:r>
        <w:rPr>
          <w:szCs w:val="22"/>
          <w:lang w:val="el-GR"/>
        </w:rPr>
        <w:t>μη</w:t>
      </w:r>
      <w:r>
        <w:rPr>
          <w:szCs w:val="22"/>
          <w:lang w:val="sl-SI"/>
        </w:rPr>
        <w:t xml:space="preserve"> </w:t>
      </w:r>
      <w:r>
        <w:rPr>
          <w:szCs w:val="22"/>
          <w:lang w:val="el-GR"/>
        </w:rPr>
        <w:t>επιθυμία</w:t>
      </w:r>
      <w:r>
        <w:rPr>
          <w:szCs w:val="22"/>
          <w:lang w:val="sl-SI"/>
        </w:rPr>
        <w:t xml:space="preserve"> </w:t>
      </w:r>
      <w:r>
        <w:rPr>
          <w:szCs w:val="22"/>
          <w:lang w:val="el-GR"/>
        </w:rPr>
        <w:t>του</w:t>
      </w:r>
      <w:r>
        <w:rPr>
          <w:szCs w:val="22"/>
          <w:lang w:val="sl-SI"/>
        </w:rPr>
        <w:t xml:space="preserve"> </w:t>
      </w:r>
      <w:r>
        <w:rPr>
          <w:szCs w:val="22"/>
          <w:lang w:val="el-GR"/>
        </w:rPr>
        <w:t>ασθενή</w:t>
      </w:r>
      <w:r>
        <w:rPr>
          <w:szCs w:val="22"/>
          <w:lang w:val="sl-SI"/>
        </w:rPr>
        <w:t xml:space="preserve"> </w:t>
      </w:r>
      <w:r>
        <w:rPr>
          <w:szCs w:val="22"/>
          <w:lang w:val="el-GR"/>
        </w:rPr>
        <w:t>να</w:t>
      </w:r>
      <w:r>
        <w:rPr>
          <w:szCs w:val="22"/>
          <w:lang w:val="sl-SI"/>
        </w:rPr>
        <w:t xml:space="preserve"> </w:t>
      </w:r>
      <w:r>
        <w:rPr>
          <w:szCs w:val="22"/>
          <w:lang w:val="el-GR"/>
        </w:rPr>
        <w:t>λάβει</w:t>
      </w:r>
      <w:r>
        <w:rPr>
          <w:szCs w:val="22"/>
          <w:lang w:val="sl-SI"/>
        </w:rPr>
        <w:t xml:space="preserve"> </w:t>
      </w:r>
      <w:r>
        <w:rPr>
          <w:szCs w:val="22"/>
          <w:lang w:val="el-GR"/>
        </w:rPr>
        <w:t>ΑΒΚ</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Ο</w:t>
      </w:r>
      <w:r>
        <w:rPr>
          <w:szCs w:val="22"/>
          <w:lang w:val="sl-SI"/>
        </w:rPr>
        <w:t xml:space="preserve"> </w:t>
      </w:r>
      <w:r>
        <w:rPr>
          <w:szCs w:val="22"/>
          <w:lang w:val="el-GR"/>
        </w:rPr>
        <w:t>πληθυσμός</w:t>
      </w:r>
      <w:r>
        <w:rPr>
          <w:szCs w:val="22"/>
          <w:lang w:val="sl-SI"/>
        </w:rPr>
        <w:t xml:space="preserve"> </w:t>
      </w:r>
      <w:r>
        <w:rPr>
          <w:szCs w:val="22"/>
          <w:lang w:val="el-GR"/>
        </w:rPr>
        <w:t>ασθενών</w:t>
      </w:r>
      <w:r>
        <w:rPr>
          <w:szCs w:val="22"/>
          <w:lang w:val="sl-SI"/>
        </w:rPr>
        <w:t xml:space="preserve"> </w:t>
      </w:r>
      <w:r>
        <w:rPr>
          <w:szCs w:val="22"/>
          <w:lang w:val="el-GR"/>
        </w:rPr>
        <w:t>συμπεριέλαβε</w:t>
      </w:r>
      <w:r>
        <w:rPr>
          <w:szCs w:val="22"/>
          <w:lang w:val="sl-SI"/>
        </w:rPr>
        <w:t xml:space="preserve"> </w:t>
      </w:r>
      <w:r>
        <w:rPr>
          <w:szCs w:val="22"/>
          <w:lang w:val="el-GR"/>
        </w:rPr>
        <w:t>γυναίκες</w:t>
      </w:r>
      <w:r>
        <w:rPr>
          <w:szCs w:val="22"/>
          <w:lang w:val="sl-SI"/>
        </w:rPr>
        <w:t xml:space="preserve"> </w:t>
      </w:r>
      <w:r>
        <w:rPr>
          <w:szCs w:val="22"/>
          <w:lang w:val="el-GR"/>
        </w:rPr>
        <w:t>κατά</w:t>
      </w:r>
      <w:r>
        <w:rPr>
          <w:szCs w:val="22"/>
          <w:lang w:val="sl-SI"/>
        </w:rPr>
        <w:t xml:space="preserve"> </w:t>
      </w:r>
      <w:r>
        <w:rPr>
          <w:szCs w:val="22"/>
          <w:lang w:val="el-GR"/>
        </w:rPr>
        <w:t>το</w:t>
      </w:r>
      <w:r>
        <w:rPr>
          <w:szCs w:val="22"/>
          <w:lang w:val="sl-SI"/>
        </w:rPr>
        <w:t xml:space="preserve"> 41,8%. </w:t>
      </w:r>
      <w:r>
        <w:rPr>
          <w:szCs w:val="22"/>
          <w:lang w:val="el-GR"/>
        </w:rPr>
        <w:t>Η</w:t>
      </w:r>
      <w:r>
        <w:rPr>
          <w:szCs w:val="22"/>
          <w:lang w:val="sl-SI"/>
        </w:rPr>
        <w:t xml:space="preserve"> </w:t>
      </w:r>
      <w:r>
        <w:rPr>
          <w:szCs w:val="22"/>
          <w:lang w:val="el-GR"/>
        </w:rPr>
        <w:t>μέση</w:t>
      </w:r>
      <w:r>
        <w:rPr>
          <w:szCs w:val="22"/>
          <w:lang w:val="sl-SI"/>
        </w:rPr>
        <w:t xml:space="preserve"> </w:t>
      </w:r>
      <w:r>
        <w:rPr>
          <w:szCs w:val="22"/>
          <w:lang w:val="el-GR"/>
        </w:rPr>
        <w:t>ηλικία</w:t>
      </w:r>
      <w:r>
        <w:rPr>
          <w:szCs w:val="22"/>
          <w:lang w:val="sl-SI"/>
        </w:rPr>
        <w:t xml:space="preserve"> </w:t>
      </w:r>
      <w:r>
        <w:rPr>
          <w:szCs w:val="22"/>
          <w:lang w:val="el-GR"/>
        </w:rPr>
        <w:t>ήταν</w:t>
      </w:r>
      <w:r>
        <w:rPr>
          <w:szCs w:val="22"/>
          <w:lang w:val="sl-SI"/>
        </w:rPr>
        <w:t xml:space="preserve"> 71 </w:t>
      </w:r>
      <w:r>
        <w:rPr>
          <w:szCs w:val="22"/>
          <w:lang w:val="el-GR"/>
        </w:rPr>
        <w:t>έτη</w:t>
      </w:r>
      <w:r>
        <w:rPr>
          <w:szCs w:val="22"/>
          <w:lang w:val="sl-SI"/>
        </w:rPr>
        <w:t xml:space="preserve">, </w:t>
      </w:r>
      <w:r>
        <w:rPr>
          <w:szCs w:val="22"/>
          <w:lang w:val="el-GR"/>
        </w:rPr>
        <w:t>το</w:t>
      </w:r>
      <w:r>
        <w:rPr>
          <w:szCs w:val="22"/>
          <w:lang w:val="sl-SI"/>
        </w:rPr>
        <w:t xml:space="preserve"> 41,6%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ήταν</w:t>
      </w:r>
      <w:r>
        <w:rPr>
          <w:szCs w:val="22"/>
          <w:lang w:val="sl-SI"/>
        </w:rPr>
        <w:t xml:space="preserve"> ≥ 75 </w:t>
      </w:r>
      <w:r>
        <w:rPr>
          <w:szCs w:val="22"/>
          <w:lang w:val="el-GR"/>
        </w:rPr>
        <w:t>ετών</w:t>
      </w:r>
      <w:r>
        <w:rPr>
          <w:szCs w:val="22"/>
          <w:lang w:val="sl-SI"/>
        </w:rPr>
        <w:t xml:space="preserve">. </w:t>
      </w:r>
      <w:r>
        <w:rPr>
          <w:szCs w:val="22"/>
          <w:lang w:val="el-GR"/>
        </w:rPr>
        <w:t>Ένα</w:t>
      </w:r>
      <w:r>
        <w:rPr>
          <w:szCs w:val="22"/>
          <w:lang w:val="sl-SI"/>
        </w:rPr>
        <w:t xml:space="preserve"> </w:t>
      </w:r>
      <w:r>
        <w:rPr>
          <w:szCs w:val="22"/>
          <w:lang w:val="el-GR"/>
        </w:rPr>
        <w:t>σύνολο</w:t>
      </w:r>
      <w:r>
        <w:rPr>
          <w:szCs w:val="22"/>
          <w:lang w:val="sl-SI"/>
        </w:rPr>
        <w:t xml:space="preserve"> 23,0%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έλαβε</w:t>
      </w:r>
      <w:r>
        <w:rPr>
          <w:szCs w:val="22"/>
          <w:lang w:val="sl-SI"/>
        </w:rPr>
        <w:t xml:space="preserve"> </w:t>
      </w:r>
      <w:r>
        <w:rPr>
          <w:szCs w:val="22"/>
          <w:lang w:val="el-GR"/>
        </w:rPr>
        <w:t>αντιαρρυθμικά</w:t>
      </w:r>
      <w:r>
        <w:rPr>
          <w:szCs w:val="22"/>
          <w:lang w:val="sl-SI"/>
        </w:rPr>
        <w:t xml:space="preserve">, 52,1% </w:t>
      </w:r>
      <w:r>
        <w:rPr>
          <w:szCs w:val="22"/>
          <w:lang w:val="el-GR"/>
        </w:rPr>
        <w:t>βήτα</w:t>
      </w:r>
      <w:r>
        <w:rPr>
          <w:szCs w:val="22"/>
          <w:lang w:val="sl-SI"/>
        </w:rPr>
        <w:t>-</w:t>
      </w:r>
      <w:r>
        <w:rPr>
          <w:szCs w:val="22"/>
          <w:lang w:val="el-GR"/>
        </w:rPr>
        <w:t>αποκλειστές</w:t>
      </w:r>
      <w:r>
        <w:rPr>
          <w:szCs w:val="22"/>
          <w:lang w:val="sl-SI"/>
        </w:rPr>
        <w:t xml:space="preserve">, 54,6% </w:t>
      </w:r>
      <w:r>
        <w:rPr>
          <w:szCs w:val="22"/>
          <w:lang w:val="el-GR"/>
        </w:rPr>
        <w:t>αναστολείς</w:t>
      </w:r>
      <w:r>
        <w:rPr>
          <w:szCs w:val="22"/>
          <w:lang w:val="sl-SI"/>
        </w:rPr>
        <w:t xml:space="preserve"> </w:t>
      </w:r>
      <w:r>
        <w:rPr>
          <w:szCs w:val="22"/>
          <w:lang w:val="el-GR"/>
        </w:rPr>
        <w:t>του</w:t>
      </w:r>
      <w:r>
        <w:rPr>
          <w:szCs w:val="22"/>
          <w:lang w:val="sl-SI"/>
        </w:rPr>
        <w:t xml:space="preserve"> </w:t>
      </w:r>
      <w:r>
        <w:rPr>
          <w:szCs w:val="22"/>
          <w:lang w:val="el-GR"/>
        </w:rPr>
        <w:t>ΜΕΑ</w:t>
      </w:r>
      <w:r>
        <w:rPr>
          <w:szCs w:val="22"/>
          <w:lang w:val="sl-SI"/>
        </w:rPr>
        <w:t xml:space="preserve"> </w:t>
      </w:r>
      <w:r>
        <w:rPr>
          <w:szCs w:val="22"/>
          <w:lang w:val="el-GR"/>
        </w:rPr>
        <w:t>και</w:t>
      </w:r>
      <w:r>
        <w:rPr>
          <w:szCs w:val="22"/>
          <w:lang w:val="sl-SI"/>
        </w:rPr>
        <w:t xml:space="preserve"> 25,4% </w:t>
      </w:r>
      <w:r>
        <w:rPr>
          <w:szCs w:val="22"/>
          <w:lang w:val="el-GR"/>
        </w:rPr>
        <w:t>στατίνες</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Ο</w:t>
      </w:r>
      <w:r>
        <w:rPr>
          <w:szCs w:val="22"/>
          <w:lang w:val="sl-SI"/>
        </w:rPr>
        <w:t xml:space="preserve"> </w:t>
      </w:r>
      <w:r>
        <w:rPr>
          <w:szCs w:val="22"/>
          <w:lang w:val="el-GR"/>
        </w:rPr>
        <w:t>αριθμός</w:t>
      </w:r>
      <w:r>
        <w:rPr>
          <w:szCs w:val="22"/>
          <w:lang w:val="sl-SI"/>
        </w:rPr>
        <w:t xml:space="preserve">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οι</w:t>
      </w:r>
      <w:r>
        <w:rPr>
          <w:szCs w:val="22"/>
          <w:lang w:val="sl-SI"/>
        </w:rPr>
        <w:t xml:space="preserve"> </w:t>
      </w:r>
      <w:r>
        <w:rPr>
          <w:szCs w:val="22"/>
          <w:lang w:val="el-GR"/>
        </w:rPr>
        <w:t>οποίοι</w:t>
      </w:r>
      <w:r>
        <w:rPr>
          <w:szCs w:val="22"/>
          <w:lang w:val="sl-SI"/>
        </w:rPr>
        <w:t xml:space="preserve"> </w:t>
      </w:r>
      <w:r>
        <w:rPr>
          <w:szCs w:val="22"/>
          <w:lang w:val="el-GR"/>
        </w:rPr>
        <w:t>έφτασαν</w:t>
      </w:r>
      <w:r>
        <w:rPr>
          <w:szCs w:val="22"/>
          <w:lang w:val="sl-SI"/>
        </w:rPr>
        <w:t xml:space="preserve"> </w:t>
      </w:r>
      <w:r>
        <w:rPr>
          <w:szCs w:val="22"/>
          <w:lang w:val="el-GR"/>
        </w:rPr>
        <w:t>στο</w:t>
      </w:r>
      <w:r>
        <w:rPr>
          <w:szCs w:val="22"/>
          <w:lang w:val="sl-SI"/>
        </w:rPr>
        <w:t xml:space="preserve"> </w:t>
      </w:r>
      <w:r>
        <w:rPr>
          <w:szCs w:val="22"/>
          <w:lang w:val="el-GR"/>
        </w:rPr>
        <w:t>πρωτεύον</w:t>
      </w:r>
      <w:r>
        <w:rPr>
          <w:szCs w:val="22"/>
          <w:lang w:val="sl-SI"/>
        </w:rPr>
        <w:t xml:space="preserve"> </w:t>
      </w:r>
      <w:r>
        <w:rPr>
          <w:szCs w:val="22"/>
          <w:lang w:val="el-GR"/>
        </w:rPr>
        <w:t>καταληκτικό</w:t>
      </w:r>
      <w:r>
        <w:rPr>
          <w:szCs w:val="22"/>
          <w:lang w:val="sl-SI"/>
        </w:rPr>
        <w:t xml:space="preserve"> </w:t>
      </w:r>
      <w:r>
        <w:rPr>
          <w:szCs w:val="22"/>
          <w:lang w:val="el-GR"/>
        </w:rPr>
        <w:t>σημείο</w:t>
      </w:r>
      <w:r>
        <w:rPr>
          <w:szCs w:val="22"/>
          <w:lang w:val="sl-SI"/>
        </w:rPr>
        <w:t xml:space="preserve"> (</w:t>
      </w:r>
      <w:r>
        <w:rPr>
          <w:szCs w:val="22"/>
          <w:lang w:val="el-GR"/>
        </w:rPr>
        <w:t>χρόνος</w:t>
      </w:r>
      <w:r>
        <w:rPr>
          <w:szCs w:val="22"/>
          <w:lang w:val="sl-SI"/>
        </w:rPr>
        <w:t xml:space="preserve"> </w:t>
      </w:r>
      <w:r>
        <w:rPr>
          <w:szCs w:val="22"/>
          <w:lang w:val="el-GR"/>
        </w:rPr>
        <w:t>μέχρι</w:t>
      </w:r>
      <w:r>
        <w:rPr>
          <w:szCs w:val="22"/>
          <w:lang w:val="sl-SI"/>
        </w:rPr>
        <w:t xml:space="preserve"> </w:t>
      </w:r>
      <w:r>
        <w:rPr>
          <w:szCs w:val="22"/>
          <w:lang w:val="el-GR"/>
        </w:rPr>
        <w:t>την</w:t>
      </w:r>
      <w:r>
        <w:rPr>
          <w:szCs w:val="22"/>
          <w:lang w:val="sl-SI"/>
        </w:rPr>
        <w:t xml:space="preserve"> </w:t>
      </w:r>
      <w:r>
        <w:rPr>
          <w:szCs w:val="22"/>
          <w:lang w:val="el-GR"/>
        </w:rPr>
        <w:t>πρώτη</w:t>
      </w:r>
      <w:r>
        <w:rPr>
          <w:szCs w:val="22"/>
          <w:lang w:val="sl-SI"/>
        </w:rPr>
        <w:t xml:space="preserve"> </w:t>
      </w:r>
      <w:r>
        <w:rPr>
          <w:szCs w:val="22"/>
          <w:lang w:val="el-GR"/>
        </w:rPr>
        <w:t>εμφάνιση</w:t>
      </w:r>
      <w:r>
        <w:rPr>
          <w:szCs w:val="22"/>
          <w:lang w:val="sl-SI"/>
        </w:rPr>
        <w:t xml:space="preserve"> </w:t>
      </w:r>
      <w:r>
        <w:rPr>
          <w:szCs w:val="22"/>
          <w:lang w:val="el-GR"/>
        </w:rPr>
        <w:t>αγγειακού</w:t>
      </w:r>
      <w:r>
        <w:rPr>
          <w:szCs w:val="22"/>
          <w:lang w:val="sl-SI"/>
        </w:rPr>
        <w:t xml:space="preserve"> </w:t>
      </w:r>
      <w:r>
        <w:rPr>
          <w:szCs w:val="22"/>
          <w:lang w:val="el-GR"/>
        </w:rPr>
        <w:t>εγκεφαλικού</w:t>
      </w:r>
      <w:r>
        <w:rPr>
          <w:szCs w:val="22"/>
          <w:lang w:val="sl-SI"/>
        </w:rPr>
        <w:t xml:space="preserve"> </w:t>
      </w:r>
      <w:r>
        <w:rPr>
          <w:szCs w:val="22"/>
          <w:lang w:val="el-GR"/>
        </w:rPr>
        <w:t>επεισοδίου</w:t>
      </w:r>
      <w:r>
        <w:rPr>
          <w:szCs w:val="22"/>
          <w:lang w:val="sl-SI"/>
        </w:rPr>
        <w:t xml:space="preserve">, </w:t>
      </w:r>
      <w:r>
        <w:rPr>
          <w:szCs w:val="22"/>
          <w:lang w:val="el-GR"/>
        </w:rPr>
        <w:t>ΕΜ</w:t>
      </w:r>
      <w:r>
        <w:rPr>
          <w:szCs w:val="22"/>
          <w:lang w:val="sl-SI"/>
        </w:rPr>
        <w:t xml:space="preserve">, </w:t>
      </w:r>
      <w:r>
        <w:rPr>
          <w:szCs w:val="22"/>
          <w:lang w:val="el-GR"/>
        </w:rPr>
        <w:t>συστηματικού</w:t>
      </w:r>
      <w:r>
        <w:rPr>
          <w:szCs w:val="22"/>
          <w:lang w:val="sl-SI"/>
        </w:rPr>
        <w:t xml:space="preserve"> </w:t>
      </w:r>
      <w:r>
        <w:rPr>
          <w:szCs w:val="22"/>
          <w:lang w:val="el-GR"/>
        </w:rPr>
        <w:t>εμβολισμού</w:t>
      </w:r>
      <w:r>
        <w:rPr>
          <w:szCs w:val="22"/>
          <w:lang w:val="sl-SI"/>
        </w:rPr>
        <w:t xml:space="preserve"> </w:t>
      </w:r>
      <w:r>
        <w:rPr>
          <w:szCs w:val="22"/>
          <w:lang w:val="el-GR"/>
        </w:rPr>
        <w:t>εκτός</w:t>
      </w:r>
      <w:r>
        <w:rPr>
          <w:szCs w:val="22"/>
          <w:lang w:val="sl-SI"/>
        </w:rPr>
        <w:t xml:space="preserve"> </w:t>
      </w:r>
      <w:r>
        <w:rPr>
          <w:szCs w:val="22"/>
          <w:lang w:val="el-GR"/>
        </w:rPr>
        <w:t>ΚΝΣ</w:t>
      </w:r>
      <w:r>
        <w:rPr>
          <w:szCs w:val="22"/>
          <w:lang w:val="sl-SI"/>
        </w:rPr>
        <w:t xml:space="preserve"> </w:t>
      </w:r>
      <w:r>
        <w:rPr>
          <w:szCs w:val="22"/>
          <w:lang w:val="el-GR"/>
        </w:rPr>
        <w:t>ή</w:t>
      </w:r>
      <w:r>
        <w:rPr>
          <w:szCs w:val="22"/>
          <w:lang w:val="sl-SI"/>
        </w:rPr>
        <w:t xml:space="preserve"> </w:t>
      </w:r>
      <w:r>
        <w:rPr>
          <w:szCs w:val="22"/>
          <w:lang w:val="el-GR"/>
        </w:rPr>
        <w:t>αγγειακού</w:t>
      </w:r>
      <w:r>
        <w:rPr>
          <w:szCs w:val="22"/>
          <w:lang w:val="sl-SI"/>
        </w:rPr>
        <w:t xml:space="preserve"> </w:t>
      </w:r>
      <w:r>
        <w:rPr>
          <w:szCs w:val="22"/>
          <w:lang w:val="el-GR"/>
        </w:rPr>
        <w:t>θανάτου</w:t>
      </w:r>
      <w:r>
        <w:rPr>
          <w:szCs w:val="22"/>
          <w:lang w:val="sl-SI"/>
        </w:rPr>
        <w:t xml:space="preserve">) </w:t>
      </w:r>
      <w:r>
        <w:rPr>
          <w:szCs w:val="22"/>
          <w:lang w:val="el-GR"/>
        </w:rPr>
        <w:t>ήταν</w:t>
      </w:r>
      <w:r>
        <w:rPr>
          <w:szCs w:val="22"/>
          <w:lang w:val="sl-SI"/>
        </w:rPr>
        <w:t xml:space="preserve"> 832 (22,1%) </w:t>
      </w:r>
      <w:r>
        <w:rPr>
          <w:szCs w:val="22"/>
          <w:lang w:val="el-GR"/>
        </w:rPr>
        <w:t>στην</w:t>
      </w:r>
      <w:r>
        <w:rPr>
          <w:szCs w:val="22"/>
          <w:lang w:val="sl-SI"/>
        </w:rPr>
        <w:t xml:space="preserve"> </w:t>
      </w:r>
      <w:r>
        <w:rPr>
          <w:szCs w:val="22"/>
          <w:lang w:val="el-GR"/>
        </w:rPr>
        <w:t>ομάδα</w:t>
      </w:r>
      <w:r>
        <w:rPr>
          <w:szCs w:val="22"/>
          <w:lang w:val="sl-SI"/>
        </w:rPr>
        <w:t xml:space="preserve"> </w:t>
      </w:r>
      <w:r>
        <w:rPr>
          <w:szCs w:val="22"/>
          <w:lang w:val="el-GR"/>
        </w:rPr>
        <w:t>που</w:t>
      </w:r>
      <w:r>
        <w:rPr>
          <w:szCs w:val="22"/>
          <w:lang w:val="sl-SI"/>
        </w:rPr>
        <w:t xml:space="preserve"> </w:t>
      </w:r>
      <w:r>
        <w:rPr>
          <w:szCs w:val="22"/>
          <w:lang w:val="el-GR"/>
        </w:rPr>
        <w:t>έλαβε</w:t>
      </w:r>
      <w:r>
        <w:rPr>
          <w:szCs w:val="22"/>
          <w:lang w:val="sl-SI"/>
        </w:rPr>
        <w:t xml:space="preserve"> </w:t>
      </w:r>
      <w:r>
        <w:rPr>
          <w:szCs w:val="22"/>
          <w:lang w:val="el-GR"/>
        </w:rPr>
        <w:t>κλοπιδογρέλη</w:t>
      </w:r>
      <w:r>
        <w:rPr>
          <w:szCs w:val="22"/>
          <w:lang w:val="sl-SI"/>
        </w:rPr>
        <w:t> + </w:t>
      </w:r>
      <w:r>
        <w:rPr>
          <w:szCs w:val="22"/>
          <w:lang w:val="el-GR"/>
        </w:rPr>
        <w:t>ΑΣΟ</w:t>
      </w:r>
      <w:r>
        <w:rPr>
          <w:szCs w:val="22"/>
          <w:lang w:val="sl-SI"/>
        </w:rPr>
        <w:t xml:space="preserve"> </w:t>
      </w:r>
      <w:r>
        <w:rPr>
          <w:szCs w:val="22"/>
          <w:lang w:val="el-GR"/>
        </w:rPr>
        <w:t>και</w:t>
      </w:r>
      <w:r>
        <w:rPr>
          <w:szCs w:val="22"/>
          <w:lang w:val="sl-SI"/>
        </w:rPr>
        <w:t xml:space="preserve"> 924 (24,4%) </w:t>
      </w:r>
      <w:r>
        <w:rPr>
          <w:szCs w:val="22"/>
          <w:lang w:val="el-GR"/>
        </w:rPr>
        <w:t>στην</w:t>
      </w:r>
      <w:r>
        <w:rPr>
          <w:szCs w:val="22"/>
          <w:lang w:val="sl-SI"/>
        </w:rPr>
        <w:t xml:space="preserve"> </w:t>
      </w:r>
      <w:r>
        <w:rPr>
          <w:szCs w:val="22"/>
          <w:lang w:val="el-GR"/>
        </w:rPr>
        <w:t>ομάδα</w:t>
      </w:r>
      <w:r>
        <w:rPr>
          <w:szCs w:val="22"/>
          <w:lang w:val="sl-SI"/>
        </w:rPr>
        <w:t xml:space="preserve"> </w:t>
      </w:r>
      <w:r>
        <w:rPr>
          <w:szCs w:val="22"/>
          <w:lang w:val="el-GR"/>
        </w:rPr>
        <w:t>του</w:t>
      </w:r>
      <w:r>
        <w:rPr>
          <w:szCs w:val="22"/>
          <w:lang w:val="sl-SI"/>
        </w:rPr>
        <w:t xml:space="preserve"> </w:t>
      </w:r>
      <w:r>
        <w:rPr>
          <w:szCs w:val="22"/>
          <w:lang w:val="el-GR"/>
        </w:rPr>
        <w:t>εικονικού</w:t>
      </w:r>
      <w:r>
        <w:rPr>
          <w:szCs w:val="22"/>
          <w:lang w:val="sl-SI"/>
        </w:rPr>
        <w:t xml:space="preserve"> </w:t>
      </w:r>
      <w:r>
        <w:rPr>
          <w:szCs w:val="22"/>
          <w:lang w:val="el-GR"/>
        </w:rPr>
        <w:t>φαρμάκου</w:t>
      </w:r>
      <w:r>
        <w:rPr>
          <w:szCs w:val="22"/>
          <w:lang w:val="sl-SI"/>
        </w:rPr>
        <w:t> + </w:t>
      </w:r>
      <w:r>
        <w:rPr>
          <w:szCs w:val="22"/>
          <w:lang w:val="el-GR"/>
        </w:rPr>
        <w:t>ΑΣΟ</w:t>
      </w:r>
      <w:r>
        <w:rPr>
          <w:szCs w:val="22"/>
          <w:lang w:val="sl-SI"/>
        </w:rPr>
        <w:t xml:space="preserve"> (</w:t>
      </w:r>
      <w:r>
        <w:rPr>
          <w:szCs w:val="22"/>
          <w:lang w:val="el-GR"/>
        </w:rPr>
        <w:t>μείωση</w:t>
      </w:r>
      <w:r>
        <w:rPr>
          <w:szCs w:val="22"/>
          <w:lang w:val="sl-SI"/>
        </w:rPr>
        <w:t xml:space="preserve"> </w:t>
      </w:r>
      <w:r>
        <w:rPr>
          <w:szCs w:val="22"/>
          <w:lang w:val="el-GR"/>
        </w:rPr>
        <w:t>του</w:t>
      </w:r>
      <w:r>
        <w:rPr>
          <w:szCs w:val="22"/>
          <w:lang w:val="sl-SI"/>
        </w:rPr>
        <w:t xml:space="preserve"> </w:t>
      </w:r>
      <w:r>
        <w:rPr>
          <w:szCs w:val="22"/>
          <w:lang w:val="el-GR"/>
        </w:rPr>
        <w:t>σχετικού</w:t>
      </w:r>
      <w:r>
        <w:rPr>
          <w:szCs w:val="22"/>
          <w:lang w:val="sl-SI"/>
        </w:rPr>
        <w:t xml:space="preserve"> </w:t>
      </w:r>
      <w:r>
        <w:rPr>
          <w:szCs w:val="22"/>
          <w:lang w:val="el-GR"/>
        </w:rPr>
        <w:t>κινδύνου</w:t>
      </w:r>
      <w:r>
        <w:rPr>
          <w:szCs w:val="22"/>
          <w:lang w:val="sl-SI"/>
        </w:rPr>
        <w:t xml:space="preserve"> 11,1%</w:t>
      </w:r>
      <w:r>
        <w:rPr>
          <w:szCs w:val="22"/>
          <w:lang w:val="el-GR"/>
        </w:rPr>
        <w:t xml:space="preserve">, </w:t>
      </w:r>
      <w:r>
        <w:rPr>
          <w:szCs w:val="22"/>
          <w:lang w:val="sl-SI"/>
        </w:rPr>
        <w:t xml:space="preserve">95% CI 2,4% </w:t>
      </w:r>
      <w:r>
        <w:rPr>
          <w:szCs w:val="22"/>
          <w:lang w:val="el-GR"/>
        </w:rPr>
        <w:t>έως</w:t>
      </w:r>
      <w:r>
        <w:rPr>
          <w:szCs w:val="22"/>
          <w:lang w:val="sl-SI"/>
        </w:rPr>
        <w:t xml:space="preserve"> 19,1%</w:t>
      </w:r>
      <w:r>
        <w:rPr>
          <w:szCs w:val="22"/>
          <w:lang w:val="el-GR"/>
        </w:rPr>
        <w:t xml:space="preserve">, </w:t>
      </w:r>
      <w:r>
        <w:rPr>
          <w:szCs w:val="22"/>
          <w:lang w:val="sl-SI"/>
        </w:rPr>
        <w:t xml:space="preserve">p=0,013), </w:t>
      </w:r>
      <w:r>
        <w:rPr>
          <w:szCs w:val="22"/>
          <w:lang w:val="el-GR"/>
        </w:rPr>
        <w:t>κυρίως</w:t>
      </w:r>
      <w:r>
        <w:rPr>
          <w:szCs w:val="22"/>
          <w:lang w:val="sl-SI"/>
        </w:rPr>
        <w:t xml:space="preserve"> </w:t>
      </w:r>
      <w:r>
        <w:rPr>
          <w:szCs w:val="22"/>
          <w:lang w:val="el-GR"/>
        </w:rPr>
        <w:t>λόγω</w:t>
      </w:r>
      <w:r>
        <w:rPr>
          <w:szCs w:val="22"/>
          <w:lang w:val="sl-SI"/>
        </w:rPr>
        <w:t xml:space="preserve"> </w:t>
      </w:r>
      <w:r>
        <w:rPr>
          <w:szCs w:val="22"/>
          <w:lang w:val="el-GR"/>
        </w:rPr>
        <w:t>μιας</w:t>
      </w:r>
      <w:r>
        <w:rPr>
          <w:szCs w:val="22"/>
          <w:lang w:val="sl-SI"/>
        </w:rPr>
        <w:t xml:space="preserve"> </w:t>
      </w:r>
      <w:r>
        <w:rPr>
          <w:szCs w:val="22"/>
          <w:lang w:val="el-GR"/>
        </w:rPr>
        <w:t>μεγάλης</w:t>
      </w:r>
      <w:r>
        <w:rPr>
          <w:szCs w:val="22"/>
          <w:lang w:val="sl-SI"/>
        </w:rPr>
        <w:t xml:space="preserve"> </w:t>
      </w:r>
      <w:r>
        <w:rPr>
          <w:szCs w:val="22"/>
          <w:lang w:val="el-GR"/>
        </w:rPr>
        <w:t>μείωσης</w:t>
      </w:r>
      <w:r>
        <w:rPr>
          <w:szCs w:val="22"/>
          <w:lang w:val="sl-SI"/>
        </w:rPr>
        <w:t xml:space="preserve"> </w:t>
      </w:r>
      <w:r>
        <w:rPr>
          <w:szCs w:val="22"/>
          <w:lang w:val="el-GR"/>
        </w:rPr>
        <w:t>της</w:t>
      </w:r>
      <w:r>
        <w:rPr>
          <w:szCs w:val="22"/>
          <w:lang w:val="sl-SI"/>
        </w:rPr>
        <w:t xml:space="preserve"> </w:t>
      </w:r>
      <w:r>
        <w:rPr>
          <w:szCs w:val="22"/>
          <w:lang w:val="el-GR"/>
        </w:rPr>
        <w:t>συχνότητας</w:t>
      </w:r>
      <w:r>
        <w:rPr>
          <w:szCs w:val="22"/>
          <w:lang w:val="sl-SI"/>
        </w:rPr>
        <w:t xml:space="preserve"> </w:t>
      </w:r>
      <w:r>
        <w:rPr>
          <w:szCs w:val="22"/>
          <w:lang w:val="el-GR"/>
        </w:rPr>
        <w:t>εμφάνισης των</w:t>
      </w:r>
      <w:r>
        <w:rPr>
          <w:szCs w:val="22"/>
          <w:lang w:val="sl-SI"/>
        </w:rPr>
        <w:t xml:space="preserve"> </w:t>
      </w:r>
      <w:r>
        <w:rPr>
          <w:szCs w:val="22"/>
          <w:lang w:val="el-GR"/>
        </w:rPr>
        <w:t>αγγειακών</w:t>
      </w:r>
      <w:r>
        <w:rPr>
          <w:szCs w:val="22"/>
          <w:lang w:val="sl-SI"/>
        </w:rPr>
        <w:t xml:space="preserve"> </w:t>
      </w:r>
      <w:r>
        <w:rPr>
          <w:szCs w:val="22"/>
          <w:lang w:val="el-GR"/>
        </w:rPr>
        <w:t>εγκεφαλικών</w:t>
      </w:r>
      <w:r>
        <w:rPr>
          <w:szCs w:val="22"/>
          <w:lang w:val="sl-SI"/>
        </w:rPr>
        <w:t xml:space="preserve"> </w:t>
      </w:r>
      <w:r>
        <w:rPr>
          <w:szCs w:val="22"/>
          <w:lang w:val="el-GR"/>
        </w:rPr>
        <w:t>επεισοδίων</w:t>
      </w:r>
      <w:r>
        <w:rPr>
          <w:szCs w:val="22"/>
          <w:lang w:val="sl-SI"/>
        </w:rPr>
        <w:t xml:space="preserve">. </w:t>
      </w:r>
      <w:r>
        <w:rPr>
          <w:szCs w:val="22"/>
          <w:lang w:val="el-GR"/>
        </w:rPr>
        <w:t>Αγγειακά</w:t>
      </w:r>
      <w:r>
        <w:rPr>
          <w:szCs w:val="22"/>
          <w:lang w:val="sl-SI"/>
        </w:rPr>
        <w:t xml:space="preserve"> </w:t>
      </w:r>
      <w:r>
        <w:rPr>
          <w:szCs w:val="22"/>
          <w:lang w:val="el-GR"/>
        </w:rPr>
        <w:t>εγκεφαλικά</w:t>
      </w:r>
      <w:r>
        <w:rPr>
          <w:szCs w:val="22"/>
          <w:lang w:val="sl-SI"/>
        </w:rPr>
        <w:t xml:space="preserve"> </w:t>
      </w:r>
      <w:r>
        <w:rPr>
          <w:szCs w:val="22"/>
          <w:lang w:val="el-GR"/>
        </w:rPr>
        <w:t>επεισόδια</w:t>
      </w:r>
      <w:r>
        <w:rPr>
          <w:szCs w:val="22"/>
          <w:lang w:val="sl-SI"/>
        </w:rPr>
        <w:t xml:space="preserve"> </w:t>
      </w:r>
      <w:r>
        <w:rPr>
          <w:szCs w:val="22"/>
          <w:lang w:val="el-GR"/>
        </w:rPr>
        <w:t>συνέβησαν</w:t>
      </w:r>
      <w:r>
        <w:rPr>
          <w:szCs w:val="22"/>
          <w:lang w:val="sl-SI"/>
        </w:rPr>
        <w:t xml:space="preserve"> </w:t>
      </w:r>
      <w:r>
        <w:rPr>
          <w:szCs w:val="22"/>
          <w:lang w:val="el-GR"/>
        </w:rPr>
        <w:t>σε</w:t>
      </w:r>
      <w:r>
        <w:rPr>
          <w:szCs w:val="22"/>
          <w:lang w:val="sl-SI"/>
        </w:rPr>
        <w:t xml:space="preserve"> 296 (7,8%)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έλαβαν</w:t>
      </w:r>
      <w:r>
        <w:rPr>
          <w:szCs w:val="22"/>
          <w:lang w:val="sl-SI"/>
        </w:rPr>
        <w:t xml:space="preserve"> </w:t>
      </w:r>
      <w:r>
        <w:rPr>
          <w:szCs w:val="22"/>
          <w:lang w:val="el-GR"/>
        </w:rPr>
        <w:t>κλοπιδογρέλη</w:t>
      </w:r>
      <w:r>
        <w:rPr>
          <w:szCs w:val="22"/>
          <w:lang w:val="sl-SI"/>
        </w:rPr>
        <w:t xml:space="preserve"> + </w:t>
      </w:r>
      <w:r>
        <w:rPr>
          <w:szCs w:val="22"/>
          <w:lang w:val="el-GR"/>
        </w:rPr>
        <w:t>ΑΣΟ</w:t>
      </w:r>
      <w:r>
        <w:rPr>
          <w:szCs w:val="22"/>
          <w:lang w:val="sl-SI"/>
        </w:rPr>
        <w:t xml:space="preserve"> </w:t>
      </w:r>
      <w:r>
        <w:rPr>
          <w:szCs w:val="22"/>
          <w:lang w:val="el-GR"/>
        </w:rPr>
        <w:t>και</w:t>
      </w:r>
      <w:r>
        <w:rPr>
          <w:szCs w:val="22"/>
          <w:lang w:val="sl-SI"/>
        </w:rPr>
        <w:t xml:space="preserve"> </w:t>
      </w:r>
      <w:r>
        <w:rPr>
          <w:szCs w:val="22"/>
          <w:lang w:val="el-GR"/>
        </w:rPr>
        <w:t xml:space="preserve">σε </w:t>
      </w:r>
      <w:r>
        <w:rPr>
          <w:szCs w:val="22"/>
          <w:lang w:val="sl-SI"/>
        </w:rPr>
        <w:t xml:space="preserve">408 (10,8%) </w:t>
      </w:r>
      <w:r>
        <w:rPr>
          <w:szCs w:val="22"/>
          <w:lang w:val="el-GR"/>
        </w:rPr>
        <w:t>ασθενείς</w:t>
      </w:r>
      <w:r>
        <w:rPr>
          <w:szCs w:val="22"/>
          <w:lang w:val="sl-SI"/>
        </w:rPr>
        <w:t xml:space="preserve"> </w:t>
      </w:r>
      <w:r>
        <w:rPr>
          <w:szCs w:val="22"/>
          <w:lang w:val="el-GR"/>
        </w:rPr>
        <w:t>που</w:t>
      </w:r>
      <w:r>
        <w:rPr>
          <w:szCs w:val="22"/>
          <w:lang w:val="sl-SI"/>
        </w:rPr>
        <w:t xml:space="preserve"> </w:t>
      </w:r>
      <w:r>
        <w:rPr>
          <w:szCs w:val="22"/>
          <w:lang w:val="el-GR"/>
        </w:rPr>
        <w:t>έλαβαν</w:t>
      </w:r>
      <w:r>
        <w:rPr>
          <w:szCs w:val="22"/>
          <w:lang w:val="sl-SI"/>
        </w:rPr>
        <w:t xml:space="preserve"> </w:t>
      </w:r>
      <w:r>
        <w:rPr>
          <w:szCs w:val="22"/>
          <w:lang w:val="el-GR"/>
        </w:rPr>
        <w:t>εικονικό</w:t>
      </w:r>
      <w:r>
        <w:rPr>
          <w:szCs w:val="22"/>
          <w:lang w:val="sl-SI"/>
        </w:rPr>
        <w:t xml:space="preserve"> </w:t>
      </w:r>
      <w:r>
        <w:rPr>
          <w:szCs w:val="22"/>
          <w:lang w:val="el-GR"/>
        </w:rPr>
        <w:t>φάρμακο</w:t>
      </w:r>
      <w:r>
        <w:rPr>
          <w:szCs w:val="22"/>
          <w:lang w:val="sl-SI"/>
        </w:rPr>
        <w:t xml:space="preserve"> + </w:t>
      </w:r>
      <w:r>
        <w:rPr>
          <w:szCs w:val="22"/>
          <w:lang w:val="el-GR"/>
        </w:rPr>
        <w:t>ΑΣΟ</w:t>
      </w:r>
      <w:r>
        <w:rPr>
          <w:szCs w:val="22"/>
          <w:lang w:val="sl-SI"/>
        </w:rPr>
        <w:t xml:space="preserve"> (</w:t>
      </w:r>
      <w:r>
        <w:rPr>
          <w:szCs w:val="22"/>
          <w:lang w:val="el-GR"/>
        </w:rPr>
        <w:t>μείωση</w:t>
      </w:r>
      <w:r>
        <w:rPr>
          <w:szCs w:val="22"/>
          <w:lang w:val="sl-SI"/>
        </w:rPr>
        <w:t xml:space="preserve"> </w:t>
      </w:r>
      <w:r>
        <w:rPr>
          <w:szCs w:val="22"/>
          <w:lang w:val="el-GR"/>
        </w:rPr>
        <w:t>του</w:t>
      </w:r>
      <w:r>
        <w:rPr>
          <w:szCs w:val="22"/>
          <w:lang w:val="sl-SI"/>
        </w:rPr>
        <w:t xml:space="preserve"> </w:t>
      </w:r>
      <w:r>
        <w:rPr>
          <w:szCs w:val="22"/>
          <w:lang w:val="el-GR"/>
        </w:rPr>
        <w:t>σχετικού</w:t>
      </w:r>
      <w:r>
        <w:rPr>
          <w:szCs w:val="22"/>
          <w:lang w:val="sl-SI"/>
        </w:rPr>
        <w:t xml:space="preserve"> </w:t>
      </w:r>
      <w:r>
        <w:rPr>
          <w:szCs w:val="22"/>
          <w:lang w:val="el-GR"/>
        </w:rPr>
        <w:t>κινδύνου</w:t>
      </w:r>
      <w:r>
        <w:rPr>
          <w:szCs w:val="22"/>
          <w:lang w:val="sl-SI"/>
        </w:rPr>
        <w:t>, 28,4%</w:t>
      </w:r>
      <w:r>
        <w:rPr>
          <w:szCs w:val="22"/>
          <w:lang w:val="el-GR"/>
        </w:rPr>
        <w:t>,</w:t>
      </w:r>
      <w:r>
        <w:rPr>
          <w:szCs w:val="22"/>
          <w:lang w:val="sl-SI"/>
        </w:rPr>
        <w:t xml:space="preserve">·95% CI, 16,8% </w:t>
      </w:r>
      <w:r>
        <w:rPr>
          <w:szCs w:val="22"/>
          <w:lang w:val="el-GR"/>
        </w:rPr>
        <w:t>έως</w:t>
      </w:r>
      <w:r>
        <w:rPr>
          <w:szCs w:val="22"/>
          <w:lang w:val="sl-SI"/>
        </w:rPr>
        <w:t xml:space="preserve"> 38,3%</w:t>
      </w:r>
      <w:r>
        <w:rPr>
          <w:szCs w:val="22"/>
          <w:lang w:val="el-GR"/>
        </w:rPr>
        <w:t xml:space="preserve">, </w:t>
      </w:r>
      <w:r>
        <w:rPr>
          <w:szCs w:val="22"/>
          <w:lang w:val="sl-SI"/>
        </w:rPr>
        <w:t>p=0,00001).</w:t>
      </w:r>
    </w:p>
    <w:bookmarkEnd w:id="24"/>
    <w:p>
      <w:pPr>
        <w:widowControl w:val="0"/>
        <w:spacing w:line="240" w:lineRule="auto"/>
        <w:rPr>
          <w:szCs w:val="22"/>
          <w:lang w:val="sl-SI"/>
        </w:rPr>
      </w:pPr>
    </w:p>
    <w:bookmarkEnd w:id="10"/>
    <w:p>
      <w:pPr>
        <w:widowControl w:val="0"/>
        <w:tabs>
          <w:tab w:val="clear" w:pos="567"/>
        </w:tabs>
        <w:spacing w:line="240" w:lineRule="auto"/>
        <w:rPr>
          <w:i/>
          <w:szCs w:val="22"/>
          <w:lang w:val="el-GR"/>
        </w:rPr>
      </w:pPr>
      <w:r>
        <w:rPr>
          <w:i/>
          <w:szCs w:val="22"/>
          <w:lang w:val="el-GR"/>
        </w:rPr>
        <w:t>Παιδιατρικός πληθυσμός</w:t>
      </w:r>
    </w:p>
    <w:p>
      <w:pPr>
        <w:widowControl w:val="0"/>
        <w:spacing w:line="240" w:lineRule="auto"/>
        <w:rPr>
          <w:szCs w:val="22"/>
          <w:lang w:val="sl-SI"/>
        </w:rPr>
      </w:pPr>
      <w:r>
        <w:rPr>
          <w:szCs w:val="22"/>
          <w:lang w:val="el-GR"/>
        </w:rPr>
        <w:t>Σε</w:t>
      </w:r>
      <w:r>
        <w:rPr>
          <w:szCs w:val="22"/>
          <w:lang w:val="sl-SI"/>
        </w:rPr>
        <w:t xml:space="preserve"> </w:t>
      </w:r>
      <w:r>
        <w:rPr>
          <w:szCs w:val="22"/>
          <w:lang w:val="el-GR"/>
        </w:rPr>
        <w:t>μια</w:t>
      </w:r>
      <w:r>
        <w:rPr>
          <w:szCs w:val="22"/>
          <w:lang w:val="sl-SI"/>
        </w:rPr>
        <w:t xml:space="preserve"> </w:t>
      </w:r>
      <w:r>
        <w:rPr>
          <w:szCs w:val="22"/>
          <w:lang w:val="el-GR"/>
        </w:rPr>
        <w:t>μελέτη</w:t>
      </w:r>
      <w:r>
        <w:rPr>
          <w:szCs w:val="22"/>
          <w:lang w:val="sl-SI"/>
        </w:rPr>
        <w:t xml:space="preserve"> </w:t>
      </w:r>
      <w:r>
        <w:rPr>
          <w:szCs w:val="22"/>
          <w:lang w:val="el-GR"/>
        </w:rPr>
        <w:t>κλιμακούμενης</w:t>
      </w:r>
      <w:r>
        <w:rPr>
          <w:szCs w:val="22"/>
          <w:lang w:val="sl-SI"/>
        </w:rPr>
        <w:t xml:space="preserve"> </w:t>
      </w:r>
      <w:r>
        <w:rPr>
          <w:szCs w:val="22"/>
          <w:lang w:val="el-GR"/>
        </w:rPr>
        <w:t>δοσολογίας</w:t>
      </w:r>
      <w:r>
        <w:rPr>
          <w:szCs w:val="22"/>
          <w:lang w:val="sl-SI"/>
        </w:rPr>
        <w:t xml:space="preserve"> 86 </w:t>
      </w:r>
      <w:r>
        <w:rPr>
          <w:szCs w:val="22"/>
          <w:lang w:val="el-GR"/>
        </w:rPr>
        <w:t>νεογνών</w:t>
      </w:r>
      <w:r>
        <w:rPr>
          <w:szCs w:val="22"/>
          <w:lang w:val="sl-SI"/>
        </w:rPr>
        <w:t xml:space="preserve"> </w:t>
      </w:r>
      <w:r>
        <w:rPr>
          <w:szCs w:val="22"/>
          <w:lang w:val="el-GR"/>
        </w:rPr>
        <w:t>ή</w:t>
      </w:r>
      <w:r>
        <w:rPr>
          <w:szCs w:val="22"/>
          <w:lang w:val="sl-SI"/>
        </w:rPr>
        <w:t xml:space="preserve"> </w:t>
      </w:r>
      <w:r>
        <w:rPr>
          <w:szCs w:val="22"/>
          <w:lang w:val="el-GR"/>
        </w:rPr>
        <w:t>βρεφών</w:t>
      </w:r>
      <w:r>
        <w:rPr>
          <w:szCs w:val="22"/>
          <w:lang w:val="sl-SI"/>
        </w:rPr>
        <w:t xml:space="preserve"> </w:t>
      </w:r>
      <w:r>
        <w:rPr>
          <w:szCs w:val="22"/>
          <w:lang w:val="el-GR"/>
        </w:rPr>
        <w:t>ηλικίας έως</w:t>
      </w:r>
      <w:r>
        <w:rPr>
          <w:szCs w:val="22"/>
          <w:lang w:val="sl-SI"/>
        </w:rPr>
        <w:t xml:space="preserve"> 24 </w:t>
      </w:r>
      <w:r>
        <w:rPr>
          <w:szCs w:val="22"/>
          <w:lang w:val="el-GR"/>
        </w:rPr>
        <w:t>μηνών</w:t>
      </w:r>
      <w:r>
        <w:rPr>
          <w:szCs w:val="22"/>
          <w:lang w:val="sl-SI"/>
        </w:rPr>
        <w:t xml:space="preserve"> </w:t>
      </w:r>
      <w:r>
        <w:rPr>
          <w:szCs w:val="22"/>
          <w:lang w:val="el-GR"/>
        </w:rPr>
        <w:t>σε</w:t>
      </w:r>
      <w:r>
        <w:rPr>
          <w:szCs w:val="22"/>
          <w:lang w:val="sl-SI"/>
        </w:rPr>
        <w:t xml:space="preserve"> </w:t>
      </w:r>
      <w:r>
        <w:rPr>
          <w:szCs w:val="22"/>
          <w:lang w:val="el-GR"/>
        </w:rPr>
        <w:t>κίνδυνο</w:t>
      </w:r>
      <w:r>
        <w:rPr>
          <w:szCs w:val="22"/>
          <w:lang w:val="sl-SI"/>
        </w:rPr>
        <w:t xml:space="preserve"> </w:t>
      </w:r>
      <w:r>
        <w:rPr>
          <w:szCs w:val="22"/>
          <w:lang w:val="el-GR"/>
        </w:rPr>
        <w:t>θρόμβωσης</w:t>
      </w:r>
      <w:r>
        <w:rPr>
          <w:szCs w:val="22"/>
          <w:lang w:val="sl-SI"/>
        </w:rPr>
        <w:t xml:space="preserve"> (PICOLO), </w:t>
      </w:r>
      <w:r>
        <w:rPr>
          <w:szCs w:val="22"/>
          <w:lang w:val="el-GR"/>
        </w:rPr>
        <w:t>η</w:t>
      </w:r>
      <w:r>
        <w:rPr>
          <w:szCs w:val="22"/>
          <w:lang w:val="sl-SI"/>
        </w:rPr>
        <w:t xml:space="preserve"> </w:t>
      </w:r>
      <w:r>
        <w:rPr>
          <w:szCs w:val="22"/>
          <w:lang w:val="el-GR"/>
        </w:rPr>
        <w:t>κλοπιδογρέλη</w:t>
      </w:r>
      <w:r>
        <w:rPr>
          <w:szCs w:val="22"/>
          <w:lang w:val="sl-SI"/>
        </w:rPr>
        <w:t xml:space="preserve"> </w:t>
      </w:r>
      <w:r>
        <w:rPr>
          <w:szCs w:val="22"/>
          <w:lang w:val="el-GR"/>
        </w:rPr>
        <w:t>αξιολογήθηκε</w:t>
      </w:r>
      <w:r>
        <w:rPr>
          <w:szCs w:val="22"/>
          <w:lang w:val="sl-SI"/>
        </w:rPr>
        <w:t xml:space="preserve"> </w:t>
      </w:r>
      <w:r>
        <w:rPr>
          <w:szCs w:val="22"/>
          <w:lang w:val="el-GR"/>
        </w:rPr>
        <w:t>σε</w:t>
      </w:r>
      <w:r>
        <w:rPr>
          <w:szCs w:val="22"/>
          <w:lang w:val="sl-SI"/>
        </w:rPr>
        <w:t xml:space="preserve"> </w:t>
      </w:r>
      <w:r>
        <w:rPr>
          <w:szCs w:val="22"/>
          <w:lang w:val="el-GR"/>
        </w:rPr>
        <w:t>διαδοχικές</w:t>
      </w:r>
      <w:r>
        <w:rPr>
          <w:szCs w:val="22"/>
          <w:lang w:val="sl-SI"/>
        </w:rPr>
        <w:t xml:space="preserve"> </w:t>
      </w:r>
      <w:r>
        <w:rPr>
          <w:szCs w:val="22"/>
          <w:lang w:val="el-GR"/>
        </w:rPr>
        <w:t>δόσεις</w:t>
      </w:r>
      <w:r>
        <w:rPr>
          <w:szCs w:val="22"/>
          <w:lang w:val="sl-SI"/>
        </w:rPr>
        <w:t xml:space="preserve"> </w:t>
      </w:r>
      <w:r>
        <w:rPr>
          <w:szCs w:val="22"/>
          <w:lang w:val="el-GR"/>
        </w:rPr>
        <w:t>των</w:t>
      </w:r>
      <w:r>
        <w:rPr>
          <w:szCs w:val="22"/>
          <w:lang w:val="sl-SI"/>
        </w:rPr>
        <w:t xml:space="preserve"> 0,01, 0,1 </w:t>
      </w:r>
      <w:r>
        <w:rPr>
          <w:szCs w:val="22"/>
          <w:lang w:val="el-GR"/>
        </w:rPr>
        <w:t>και</w:t>
      </w:r>
      <w:r>
        <w:rPr>
          <w:szCs w:val="22"/>
          <w:lang w:val="sl-SI"/>
        </w:rPr>
        <w:t xml:space="preserve"> 0,2 mg/kg </w:t>
      </w:r>
      <w:r>
        <w:rPr>
          <w:szCs w:val="22"/>
          <w:lang w:val="el-GR"/>
        </w:rPr>
        <w:t>σε</w:t>
      </w:r>
      <w:r>
        <w:rPr>
          <w:szCs w:val="22"/>
          <w:lang w:val="sl-SI"/>
        </w:rPr>
        <w:t xml:space="preserve"> </w:t>
      </w:r>
      <w:r>
        <w:rPr>
          <w:szCs w:val="22"/>
          <w:lang w:val="el-GR"/>
        </w:rPr>
        <w:t>νεογνά</w:t>
      </w:r>
      <w:r>
        <w:rPr>
          <w:szCs w:val="22"/>
          <w:lang w:val="sl-SI"/>
        </w:rPr>
        <w:t xml:space="preserve"> </w:t>
      </w:r>
      <w:r>
        <w:rPr>
          <w:szCs w:val="22"/>
          <w:lang w:val="el-GR"/>
        </w:rPr>
        <w:t>και</w:t>
      </w:r>
      <w:r>
        <w:rPr>
          <w:szCs w:val="22"/>
          <w:lang w:val="sl-SI"/>
        </w:rPr>
        <w:t xml:space="preserve"> </w:t>
      </w:r>
      <w:r>
        <w:rPr>
          <w:szCs w:val="22"/>
          <w:lang w:val="el-GR"/>
        </w:rPr>
        <w:t>βρέφη</w:t>
      </w:r>
      <w:r>
        <w:rPr>
          <w:szCs w:val="22"/>
          <w:lang w:val="sl-SI"/>
        </w:rPr>
        <w:t xml:space="preserve"> </w:t>
      </w:r>
      <w:r>
        <w:rPr>
          <w:szCs w:val="22"/>
          <w:lang w:val="el-GR"/>
        </w:rPr>
        <w:t>και</w:t>
      </w:r>
      <w:r>
        <w:rPr>
          <w:szCs w:val="22"/>
          <w:lang w:val="sl-SI"/>
        </w:rPr>
        <w:t xml:space="preserve"> 0,15 mg/kg </w:t>
      </w:r>
      <w:r>
        <w:rPr>
          <w:szCs w:val="22"/>
          <w:lang w:val="el-GR"/>
        </w:rPr>
        <w:t>μόνο</w:t>
      </w:r>
      <w:r>
        <w:rPr>
          <w:szCs w:val="22"/>
          <w:lang w:val="sl-SI"/>
        </w:rPr>
        <w:t xml:space="preserve"> </w:t>
      </w:r>
      <w:r>
        <w:rPr>
          <w:szCs w:val="22"/>
          <w:lang w:val="el-GR"/>
        </w:rPr>
        <w:t>σε</w:t>
      </w:r>
      <w:r>
        <w:rPr>
          <w:szCs w:val="22"/>
          <w:lang w:val="sl-SI"/>
        </w:rPr>
        <w:t xml:space="preserve"> </w:t>
      </w:r>
      <w:r>
        <w:rPr>
          <w:szCs w:val="22"/>
          <w:lang w:val="el-GR"/>
        </w:rPr>
        <w:t>νεογνά</w:t>
      </w:r>
      <w:r>
        <w:rPr>
          <w:szCs w:val="22"/>
          <w:lang w:val="sl-SI"/>
        </w:rPr>
        <w:t xml:space="preserve">. </w:t>
      </w:r>
      <w:r>
        <w:rPr>
          <w:szCs w:val="22"/>
          <w:lang w:val="el-GR"/>
        </w:rPr>
        <w:t>Η</w:t>
      </w:r>
      <w:r>
        <w:rPr>
          <w:szCs w:val="22"/>
          <w:lang w:val="sl-SI"/>
        </w:rPr>
        <w:t xml:space="preserve"> </w:t>
      </w:r>
      <w:r>
        <w:rPr>
          <w:szCs w:val="22"/>
          <w:lang w:val="el-GR"/>
        </w:rPr>
        <w:t>δόση</w:t>
      </w:r>
      <w:r>
        <w:rPr>
          <w:szCs w:val="22"/>
          <w:lang w:val="sl-SI"/>
        </w:rPr>
        <w:t xml:space="preserve"> </w:t>
      </w:r>
      <w:r>
        <w:rPr>
          <w:szCs w:val="22"/>
          <w:lang w:val="el-GR"/>
        </w:rPr>
        <w:t>των</w:t>
      </w:r>
      <w:r>
        <w:rPr>
          <w:szCs w:val="22"/>
          <w:lang w:val="sl-SI"/>
        </w:rPr>
        <w:t xml:space="preserve"> 0,2 mg/kg </w:t>
      </w:r>
      <w:r>
        <w:rPr>
          <w:szCs w:val="22"/>
          <w:lang w:val="el-GR"/>
        </w:rPr>
        <w:t>πέτυχε</w:t>
      </w:r>
      <w:r>
        <w:rPr>
          <w:szCs w:val="22"/>
          <w:lang w:val="sl-SI"/>
        </w:rPr>
        <w:t xml:space="preserve"> </w:t>
      </w:r>
      <w:r>
        <w:rPr>
          <w:szCs w:val="22"/>
          <w:lang w:val="el-GR"/>
        </w:rPr>
        <w:t>τη</w:t>
      </w:r>
      <w:r>
        <w:rPr>
          <w:szCs w:val="22"/>
          <w:lang w:val="sl-SI"/>
        </w:rPr>
        <w:t xml:space="preserve"> </w:t>
      </w:r>
      <w:r>
        <w:rPr>
          <w:szCs w:val="22"/>
          <w:lang w:val="el-GR"/>
        </w:rPr>
        <w:lastRenderedPageBreak/>
        <w:t>μέση</w:t>
      </w:r>
      <w:r>
        <w:rPr>
          <w:szCs w:val="22"/>
          <w:lang w:val="sl-SI"/>
        </w:rPr>
        <w:t xml:space="preserve"> </w:t>
      </w:r>
      <w:r>
        <w:rPr>
          <w:szCs w:val="22"/>
          <w:lang w:val="el-GR"/>
        </w:rPr>
        <w:t>ποσοστιαία</w:t>
      </w:r>
      <w:r>
        <w:rPr>
          <w:szCs w:val="22"/>
          <w:lang w:val="sl-SI"/>
        </w:rPr>
        <w:t xml:space="preserve"> </w:t>
      </w:r>
      <w:r>
        <w:rPr>
          <w:szCs w:val="22"/>
          <w:lang w:val="el-GR"/>
        </w:rPr>
        <w:t>αναστολή</w:t>
      </w:r>
      <w:r>
        <w:rPr>
          <w:szCs w:val="22"/>
          <w:lang w:val="sl-SI"/>
        </w:rPr>
        <w:t xml:space="preserve"> </w:t>
      </w:r>
      <w:r>
        <w:rPr>
          <w:szCs w:val="22"/>
          <w:lang w:val="el-GR"/>
        </w:rPr>
        <w:t>της</w:t>
      </w:r>
      <w:r>
        <w:rPr>
          <w:szCs w:val="22"/>
          <w:lang w:val="sl-SI"/>
        </w:rPr>
        <w:t xml:space="preserve"> </w:t>
      </w:r>
      <w:r>
        <w:rPr>
          <w:szCs w:val="22"/>
          <w:lang w:val="el-GR"/>
        </w:rPr>
        <w:t>τάξης</w:t>
      </w:r>
      <w:r>
        <w:rPr>
          <w:szCs w:val="22"/>
          <w:lang w:val="sl-SI"/>
        </w:rPr>
        <w:t xml:space="preserve"> </w:t>
      </w:r>
      <w:r>
        <w:rPr>
          <w:szCs w:val="22"/>
          <w:lang w:val="el-GR"/>
        </w:rPr>
        <w:t>του</w:t>
      </w:r>
      <w:r>
        <w:rPr>
          <w:szCs w:val="22"/>
          <w:lang w:val="sl-SI"/>
        </w:rPr>
        <w:t xml:space="preserve"> 49,3% (5 </w:t>
      </w:r>
      <w:r>
        <w:rPr>
          <w:szCs w:val="22"/>
          <w:lang w:val="el-GR"/>
        </w:rPr>
        <w:t>μ</w:t>
      </w:r>
      <w:r>
        <w:rPr>
          <w:szCs w:val="22"/>
          <w:lang w:val="sl-SI"/>
        </w:rPr>
        <w:t>M ADP-</w:t>
      </w:r>
      <w:r>
        <w:rPr>
          <w:szCs w:val="22"/>
          <w:lang w:val="el-GR"/>
        </w:rPr>
        <w:t>επαγώμενη</w:t>
      </w:r>
      <w:r>
        <w:rPr>
          <w:szCs w:val="22"/>
          <w:lang w:val="sl-SI"/>
        </w:rPr>
        <w:t xml:space="preserve"> </w:t>
      </w:r>
      <w:r>
        <w:rPr>
          <w:szCs w:val="22"/>
          <w:lang w:val="el-GR"/>
        </w:rPr>
        <w:t>συσσώρευση</w:t>
      </w:r>
      <w:r>
        <w:rPr>
          <w:szCs w:val="22"/>
          <w:lang w:val="sl-SI"/>
        </w:rPr>
        <w:t xml:space="preserve"> </w:t>
      </w:r>
      <w:r>
        <w:rPr>
          <w:szCs w:val="22"/>
          <w:lang w:val="el-GR"/>
        </w:rPr>
        <w:t>αιμοπεταλίων</w:t>
      </w:r>
      <w:r>
        <w:rPr>
          <w:szCs w:val="22"/>
          <w:lang w:val="sl-SI"/>
        </w:rPr>
        <w:t>)</w:t>
      </w:r>
      <w:r>
        <w:rPr>
          <w:szCs w:val="22"/>
          <w:lang w:val="el-GR"/>
        </w:rPr>
        <w:t>,</w:t>
      </w:r>
      <w:r>
        <w:rPr>
          <w:szCs w:val="22"/>
          <w:lang w:val="sl-SI"/>
        </w:rPr>
        <w:t xml:space="preserve"> </w:t>
      </w:r>
      <w:r>
        <w:rPr>
          <w:szCs w:val="22"/>
          <w:lang w:val="el-GR"/>
        </w:rPr>
        <w:t>η</w:t>
      </w:r>
      <w:r>
        <w:rPr>
          <w:szCs w:val="22"/>
          <w:lang w:val="sl-SI"/>
        </w:rPr>
        <w:t xml:space="preserve"> </w:t>
      </w:r>
      <w:r>
        <w:rPr>
          <w:szCs w:val="22"/>
          <w:lang w:val="el-GR"/>
        </w:rPr>
        <w:t>οποία</w:t>
      </w:r>
      <w:r>
        <w:rPr>
          <w:szCs w:val="22"/>
          <w:lang w:val="sl-SI"/>
        </w:rPr>
        <w:t xml:space="preserve"> </w:t>
      </w:r>
      <w:r>
        <w:rPr>
          <w:szCs w:val="22"/>
          <w:lang w:val="el-GR"/>
        </w:rPr>
        <w:t>ήταν</w:t>
      </w:r>
      <w:r>
        <w:rPr>
          <w:szCs w:val="22"/>
          <w:lang w:val="sl-SI"/>
        </w:rPr>
        <w:t xml:space="preserve"> </w:t>
      </w:r>
      <w:r>
        <w:rPr>
          <w:szCs w:val="22"/>
          <w:lang w:val="el-GR"/>
        </w:rPr>
        <w:t>συγκρίσιμη</w:t>
      </w:r>
      <w:r>
        <w:rPr>
          <w:szCs w:val="22"/>
          <w:lang w:val="sl-SI"/>
        </w:rPr>
        <w:t xml:space="preserve"> </w:t>
      </w:r>
      <w:r>
        <w:rPr>
          <w:szCs w:val="22"/>
          <w:lang w:val="el-GR"/>
        </w:rPr>
        <w:t>με</w:t>
      </w:r>
      <w:r>
        <w:rPr>
          <w:szCs w:val="22"/>
          <w:lang w:val="sl-SI"/>
        </w:rPr>
        <w:t xml:space="preserve"> </w:t>
      </w:r>
      <w:r>
        <w:rPr>
          <w:szCs w:val="22"/>
          <w:lang w:val="el-GR"/>
        </w:rPr>
        <w:t>εκείνη</w:t>
      </w:r>
      <w:r>
        <w:rPr>
          <w:szCs w:val="22"/>
          <w:lang w:val="sl-SI"/>
        </w:rPr>
        <w:t xml:space="preserve"> </w:t>
      </w:r>
      <w:r>
        <w:rPr>
          <w:szCs w:val="22"/>
          <w:lang w:val="el-GR"/>
        </w:rPr>
        <w:t>των</w:t>
      </w:r>
      <w:r>
        <w:rPr>
          <w:szCs w:val="22"/>
          <w:lang w:val="sl-SI"/>
        </w:rPr>
        <w:t xml:space="preserve"> </w:t>
      </w:r>
      <w:r>
        <w:rPr>
          <w:szCs w:val="22"/>
          <w:lang w:val="el-GR"/>
        </w:rPr>
        <w:t>ενηλίκων</w:t>
      </w:r>
      <w:r>
        <w:rPr>
          <w:szCs w:val="22"/>
          <w:lang w:val="sl-SI"/>
        </w:rPr>
        <w:t xml:space="preserve"> </w:t>
      </w:r>
      <w:r>
        <w:rPr>
          <w:szCs w:val="22"/>
          <w:lang w:val="el-GR"/>
        </w:rPr>
        <w:t>που</w:t>
      </w:r>
      <w:r>
        <w:rPr>
          <w:szCs w:val="22"/>
          <w:lang w:val="sl-SI"/>
        </w:rPr>
        <w:t xml:space="preserve"> </w:t>
      </w:r>
      <w:r>
        <w:rPr>
          <w:szCs w:val="22"/>
          <w:lang w:val="el-GR"/>
        </w:rPr>
        <w:t>λαμβάνουν</w:t>
      </w:r>
      <w:r>
        <w:rPr>
          <w:szCs w:val="22"/>
          <w:lang w:val="sl-SI"/>
        </w:rPr>
        <w:t xml:space="preserve"> </w:t>
      </w:r>
      <w:r>
        <w:rPr>
          <w:szCs w:val="22"/>
          <w:lang w:val="el-GR"/>
        </w:rPr>
        <w:t>κλοπιδογρέλη</w:t>
      </w:r>
      <w:r>
        <w:rPr>
          <w:szCs w:val="22"/>
          <w:lang w:val="sl-SI"/>
        </w:rPr>
        <w:t xml:space="preserve"> 75 mg/</w:t>
      </w:r>
      <w:r>
        <w:rPr>
          <w:szCs w:val="22"/>
          <w:lang w:val="el-GR"/>
        </w:rPr>
        <w:t>ημέρα</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Σε</w:t>
      </w:r>
      <w:r>
        <w:rPr>
          <w:szCs w:val="22"/>
          <w:lang w:val="sl-SI"/>
        </w:rPr>
        <w:t xml:space="preserve"> </w:t>
      </w:r>
      <w:r>
        <w:rPr>
          <w:szCs w:val="22"/>
          <w:lang w:val="el-GR"/>
        </w:rPr>
        <w:t>μια</w:t>
      </w:r>
      <w:r>
        <w:rPr>
          <w:szCs w:val="22"/>
          <w:lang w:val="sl-SI"/>
        </w:rPr>
        <w:t xml:space="preserve"> </w:t>
      </w:r>
      <w:r>
        <w:rPr>
          <w:szCs w:val="22"/>
          <w:lang w:val="el-GR"/>
        </w:rPr>
        <w:t>τυχαιοποιημένη</w:t>
      </w:r>
      <w:r>
        <w:rPr>
          <w:szCs w:val="22"/>
          <w:lang w:val="sl-SI"/>
        </w:rPr>
        <w:t xml:space="preserve">, </w:t>
      </w:r>
      <w:r>
        <w:rPr>
          <w:szCs w:val="22"/>
          <w:lang w:val="el-GR"/>
        </w:rPr>
        <w:t>διπλά</w:t>
      </w:r>
      <w:r>
        <w:rPr>
          <w:szCs w:val="22"/>
          <w:lang w:val="sl-SI"/>
        </w:rPr>
        <w:t>-</w:t>
      </w:r>
      <w:r>
        <w:rPr>
          <w:szCs w:val="22"/>
          <w:lang w:val="el-GR"/>
        </w:rPr>
        <w:t>τυφλή</w:t>
      </w:r>
      <w:r>
        <w:rPr>
          <w:szCs w:val="22"/>
          <w:lang w:val="sl-SI"/>
        </w:rPr>
        <w:t xml:space="preserve">, </w:t>
      </w:r>
      <w:r>
        <w:rPr>
          <w:szCs w:val="22"/>
          <w:lang w:val="el-GR"/>
        </w:rPr>
        <w:t>παράλληλων</w:t>
      </w:r>
      <w:r>
        <w:rPr>
          <w:szCs w:val="22"/>
          <w:lang w:val="sl-SI"/>
        </w:rPr>
        <w:t xml:space="preserve"> </w:t>
      </w:r>
      <w:r>
        <w:rPr>
          <w:szCs w:val="22"/>
          <w:lang w:val="el-GR"/>
        </w:rPr>
        <w:t>ομάδων</w:t>
      </w:r>
      <w:r>
        <w:rPr>
          <w:szCs w:val="22"/>
          <w:lang w:val="sl-SI"/>
        </w:rPr>
        <w:t xml:space="preserve"> </w:t>
      </w:r>
      <w:r>
        <w:rPr>
          <w:szCs w:val="22"/>
          <w:lang w:val="el-GR"/>
        </w:rPr>
        <w:t>μελέτη</w:t>
      </w:r>
      <w:r>
        <w:rPr>
          <w:szCs w:val="22"/>
          <w:lang w:val="sl-SI"/>
        </w:rPr>
        <w:t xml:space="preserve"> (CLARINET), 906 </w:t>
      </w:r>
      <w:r>
        <w:rPr>
          <w:szCs w:val="22"/>
          <w:lang w:val="el-GR"/>
        </w:rPr>
        <w:t>παιδιατρικοί</w:t>
      </w:r>
      <w:r>
        <w:rPr>
          <w:szCs w:val="22"/>
          <w:lang w:val="sl-SI"/>
        </w:rPr>
        <w:t xml:space="preserve"> </w:t>
      </w:r>
      <w:r>
        <w:rPr>
          <w:szCs w:val="22"/>
          <w:lang w:val="el-GR"/>
        </w:rPr>
        <w:t>ασθενείς</w:t>
      </w:r>
      <w:r>
        <w:rPr>
          <w:szCs w:val="22"/>
          <w:lang w:val="sl-SI"/>
        </w:rPr>
        <w:t xml:space="preserve"> (</w:t>
      </w:r>
      <w:r>
        <w:rPr>
          <w:szCs w:val="22"/>
          <w:lang w:val="el-GR"/>
        </w:rPr>
        <w:t>νεογνά</w:t>
      </w:r>
      <w:r>
        <w:rPr>
          <w:szCs w:val="22"/>
          <w:lang w:val="sl-SI"/>
        </w:rPr>
        <w:t xml:space="preserve"> </w:t>
      </w:r>
      <w:r>
        <w:rPr>
          <w:szCs w:val="22"/>
          <w:lang w:val="el-GR"/>
        </w:rPr>
        <w:t>και</w:t>
      </w:r>
      <w:r>
        <w:rPr>
          <w:szCs w:val="22"/>
          <w:lang w:val="sl-SI"/>
        </w:rPr>
        <w:t xml:space="preserve"> </w:t>
      </w:r>
      <w:r>
        <w:rPr>
          <w:szCs w:val="22"/>
          <w:lang w:val="el-GR"/>
        </w:rPr>
        <w:t>βρέφη</w:t>
      </w:r>
      <w:r>
        <w:rPr>
          <w:szCs w:val="22"/>
          <w:lang w:val="sl-SI"/>
        </w:rPr>
        <w:t xml:space="preserve">) </w:t>
      </w:r>
      <w:r>
        <w:rPr>
          <w:szCs w:val="22"/>
          <w:lang w:val="el-GR"/>
        </w:rPr>
        <w:t>με</w:t>
      </w:r>
      <w:r>
        <w:rPr>
          <w:szCs w:val="22"/>
          <w:lang w:val="sl-SI"/>
        </w:rPr>
        <w:t xml:space="preserve"> </w:t>
      </w:r>
      <w:r>
        <w:rPr>
          <w:szCs w:val="22"/>
          <w:lang w:val="el-GR"/>
        </w:rPr>
        <w:t>κυανωτική</w:t>
      </w:r>
      <w:r>
        <w:rPr>
          <w:szCs w:val="22"/>
          <w:lang w:val="sl-SI"/>
        </w:rPr>
        <w:t xml:space="preserve"> </w:t>
      </w:r>
      <w:r>
        <w:rPr>
          <w:szCs w:val="22"/>
          <w:lang w:val="el-GR"/>
        </w:rPr>
        <w:t>συγγενή</w:t>
      </w:r>
      <w:r>
        <w:rPr>
          <w:szCs w:val="22"/>
          <w:lang w:val="sl-SI"/>
        </w:rPr>
        <w:t xml:space="preserve"> </w:t>
      </w:r>
      <w:r>
        <w:rPr>
          <w:szCs w:val="22"/>
          <w:lang w:val="el-GR"/>
        </w:rPr>
        <w:t>καρδιακή</w:t>
      </w:r>
      <w:r>
        <w:rPr>
          <w:szCs w:val="22"/>
          <w:lang w:val="sl-SI"/>
        </w:rPr>
        <w:t xml:space="preserve"> </w:t>
      </w:r>
      <w:r>
        <w:rPr>
          <w:szCs w:val="22"/>
          <w:lang w:val="el-GR"/>
        </w:rPr>
        <w:t>νόσο</w:t>
      </w:r>
      <w:r>
        <w:rPr>
          <w:szCs w:val="22"/>
          <w:lang w:val="sl-SI"/>
        </w:rPr>
        <w:t xml:space="preserve"> </w:t>
      </w:r>
      <w:r>
        <w:rPr>
          <w:szCs w:val="22"/>
          <w:lang w:val="el-GR"/>
        </w:rPr>
        <w:t>που</w:t>
      </w:r>
      <w:r>
        <w:rPr>
          <w:szCs w:val="22"/>
          <w:lang w:val="sl-SI"/>
        </w:rPr>
        <w:t xml:space="preserve"> </w:t>
      </w:r>
      <w:r>
        <w:rPr>
          <w:szCs w:val="22"/>
          <w:lang w:val="el-GR"/>
        </w:rPr>
        <w:t>αντιμετωπίζεται</w:t>
      </w:r>
      <w:r>
        <w:rPr>
          <w:szCs w:val="22"/>
          <w:lang w:val="sl-SI"/>
        </w:rPr>
        <w:t xml:space="preserve"> </w:t>
      </w:r>
      <w:r>
        <w:rPr>
          <w:szCs w:val="22"/>
          <w:lang w:val="el-GR"/>
        </w:rPr>
        <w:t>παρηγορητικά</w:t>
      </w:r>
      <w:r>
        <w:rPr>
          <w:szCs w:val="22"/>
          <w:lang w:val="sl-SI"/>
        </w:rPr>
        <w:t xml:space="preserve"> </w:t>
      </w:r>
      <w:r>
        <w:rPr>
          <w:szCs w:val="22"/>
          <w:lang w:val="el-GR"/>
        </w:rPr>
        <w:t>με</w:t>
      </w:r>
      <w:r>
        <w:rPr>
          <w:szCs w:val="22"/>
          <w:lang w:val="sl-SI"/>
        </w:rPr>
        <w:t xml:space="preserve"> </w:t>
      </w:r>
      <w:r>
        <w:rPr>
          <w:szCs w:val="22"/>
          <w:lang w:val="el-GR"/>
        </w:rPr>
        <w:t>αρτηριακή</w:t>
      </w:r>
      <w:r>
        <w:rPr>
          <w:szCs w:val="22"/>
          <w:lang w:val="sl-SI"/>
        </w:rPr>
        <w:t xml:space="preserve"> </w:t>
      </w:r>
      <w:r>
        <w:rPr>
          <w:szCs w:val="22"/>
          <w:lang w:val="el-GR"/>
        </w:rPr>
        <w:t>παράκαμψη</w:t>
      </w:r>
      <w:r>
        <w:rPr>
          <w:szCs w:val="22"/>
          <w:lang w:val="sl-SI"/>
        </w:rPr>
        <w:t xml:space="preserve"> </w:t>
      </w:r>
      <w:r>
        <w:rPr>
          <w:szCs w:val="22"/>
          <w:lang w:val="el-GR"/>
        </w:rPr>
        <w:t>από</w:t>
      </w:r>
      <w:r>
        <w:rPr>
          <w:szCs w:val="22"/>
          <w:lang w:val="sl-SI"/>
        </w:rPr>
        <w:t xml:space="preserve"> </w:t>
      </w:r>
      <w:r>
        <w:rPr>
          <w:szCs w:val="22"/>
          <w:lang w:val="el-GR"/>
        </w:rPr>
        <w:t>τη</w:t>
      </w:r>
      <w:r>
        <w:rPr>
          <w:szCs w:val="22"/>
          <w:lang w:val="sl-SI"/>
        </w:rPr>
        <w:t xml:space="preserve"> </w:t>
      </w:r>
      <w:r>
        <w:rPr>
          <w:szCs w:val="22"/>
          <w:lang w:val="el-GR"/>
        </w:rPr>
        <w:t>συστηματική</w:t>
      </w:r>
      <w:r>
        <w:rPr>
          <w:szCs w:val="22"/>
          <w:lang w:val="sl-SI"/>
        </w:rPr>
        <w:t xml:space="preserve"> </w:t>
      </w:r>
      <w:r>
        <w:rPr>
          <w:szCs w:val="22"/>
          <w:lang w:val="el-GR"/>
        </w:rPr>
        <w:t>προς</w:t>
      </w:r>
      <w:r>
        <w:rPr>
          <w:szCs w:val="22"/>
          <w:lang w:val="sl-SI"/>
        </w:rPr>
        <w:t xml:space="preserve"> </w:t>
      </w:r>
      <w:r>
        <w:rPr>
          <w:szCs w:val="22"/>
          <w:lang w:val="el-GR"/>
        </w:rPr>
        <w:t>την</w:t>
      </w:r>
      <w:r>
        <w:rPr>
          <w:szCs w:val="22"/>
          <w:lang w:val="sl-SI"/>
        </w:rPr>
        <w:t xml:space="preserve"> </w:t>
      </w:r>
      <w:r>
        <w:rPr>
          <w:szCs w:val="22"/>
          <w:lang w:val="el-GR"/>
        </w:rPr>
        <w:t>πνευμονική</w:t>
      </w:r>
      <w:r>
        <w:rPr>
          <w:szCs w:val="22"/>
          <w:lang w:val="sl-SI"/>
        </w:rPr>
        <w:t xml:space="preserve"> </w:t>
      </w:r>
      <w:r>
        <w:rPr>
          <w:szCs w:val="22"/>
          <w:lang w:val="el-GR"/>
        </w:rPr>
        <w:t>κυκλοφορία</w:t>
      </w:r>
      <w:r>
        <w:rPr>
          <w:szCs w:val="22"/>
          <w:lang w:val="sl-SI"/>
        </w:rPr>
        <w:t xml:space="preserve">, </w:t>
      </w:r>
      <w:r>
        <w:rPr>
          <w:szCs w:val="22"/>
          <w:lang w:val="el-GR"/>
        </w:rPr>
        <w:t>τυχαιοποιήθηκαν</w:t>
      </w:r>
      <w:r>
        <w:rPr>
          <w:szCs w:val="22"/>
          <w:lang w:val="sl-SI"/>
        </w:rPr>
        <w:t xml:space="preserve"> </w:t>
      </w:r>
      <w:r>
        <w:rPr>
          <w:szCs w:val="22"/>
          <w:lang w:val="el-GR"/>
        </w:rPr>
        <w:t>για</w:t>
      </w:r>
      <w:r>
        <w:rPr>
          <w:szCs w:val="22"/>
          <w:lang w:val="sl-SI"/>
        </w:rPr>
        <w:t xml:space="preserve"> </w:t>
      </w:r>
      <w:r>
        <w:rPr>
          <w:szCs w:val="22"/>
          <w:lang w:val="el-GR"/>
        </w:rPr>
        <w:t>να</w:t>
      </w:r>
      <w:r>
        <w:rPr>
          <w:szCs w:val="22"/>
          <w:lang w:val="sl-SI"/>
        </w:rPr>
        <w:t xml:space="preserve"> </w:t>
      </w:r>
      <w:r>
        <w:rPr>
          <w:szCs w:val="22"/>
          <w:lang w:val="el-GR"/>
        </w:rPr>
        <w:t>λάβουν</w:t>
      </w:r>
      <w:r>
        <w:rPr>
          <w:szCs w:val="22"/>
          <w:lang w:val="sl-SI"/>
        </w:rPr>
        <w:t xml:space="preserve"> </w:t>
      </w:r>
      <w:r>
        <w:rPr>
          <w:szCs w:val="22"/>
          <w:lang w:val="el-GR"/>
        </w:rPr>
        <w:t>κλοπιδογρέλη</w:t>
      </w:r>
      <w:r>
        <w:rPr>
          <w:szCs w:val="22"/>
          <w:lang w:val="sl-SI"/>
        </w:rPr>
        <w:t xml:space="preserve"> 0,2 mg/kg (n=467) </w:t>
      </w:r>
      <w:r>
        <w:rPr>
          <w:szCs w:val="22"/>
          <w:lang w:val="el-GR"/>
        </w:rPr>
        <w:t>ή</w:t>
      </w:r>
      <w:r>
        <w:rPr>
          <w:szCs w:val="22"/>
          <w:lang w:val="sl-SI"/>
        </w:rPr>
        <w:t xml:space="preserve"> </w:t>
      </w:r>
      <w:r>
        <w:rPr>
          <w:szCs w:val="22"/>
          <w:lang w:val="el-GR"/>
        </w:rPr>
        <w:t>εικονικό</w:t>
      </w:r>
      <w:r>
        <w:rPr>
          <w:szCs w:val="22"/>
          <w:lang w:val="sl-SI"/>
        </w:rPr>
        <w:t xml:space="preserve"> </w:t>
      </w:r>
      <w:r>
        <w:rPr>
          <w:szCs w:val="22"/>
          <w:lang w:val="el-GR"/>
        </w:rPr>
        <w:t>φάρμακο</w:t>
      </w:r>
      <w:r>
        <w:rPr>
          <w:szCs w:val="22"/>
          <w:lang w:val="sl-SI"/>
        </w:rPr>
        <w:t xml:space="preserve"> (n=439) </w:t>
      </w:r>
      <w:r>
        <w:rPr>
          <w:szCs w:val="22"/>
          <w:lang w:val="el-GR"/>
        </w:rPr>
        <w:t>μαζί</w:t>
      </w:r>
      <w:r>
        <w:rPr>
          <w:szCs w:val="22"/>
          <w:lang w:val="sl-SI"/>
        </w:rPr>
        <w:t xml:space="preserve"> </w:t>
      </w:r>
      <w:r>
        <w:rPr>
          <w:szCs w:val="22"/>
          <w:lang w:val="el-GR"/>
        </w:rPr>
        <w:t>με</w:t>
      </w:r>
      <w:r>
        <w:rPr>
          <w:szCs w:val="22"/>
          <w:lang w:val="sl-SI"/>
        </w:rPr>
        <w:t xml:space="preserve"> </w:t>
      </w:r>
      <w:r>
        <w:rPr>
          <w:szCs w:val="22"/>
          <w:lang w:val="el-GR"/>
        </w:rPr>
        <w:t>ταυτόχρονη</w:t>
      </w:r>
      <w:r>
        <w:rPr>
          <w:szCs w:val="22"/>
          <w:lang w:val="sl-SI"/>
        </w:rPr>
        <w:t xml:space="preserve"> </w:t>
      </w:r>
      <w:r>
        <w:rPr>
          <w:szCs w:val="22"/>
          <w:lang w:val="el-GR"/>
        </w:rPr>
        <w:t>θεραπεία</w:t>
      </w:r>
      <w:r>
        <w:rPr>
          <w:szCs w:val="22"/>
          <w:lang w:val="sl-SI"/>
        </w:rPr>
        <w:t xml:space="preserve"> </w:t>
      </w:r>
      <w:r>
        <w:rPr>
          <w:szCs w:val="22"/>
          <w:lang w:val="el-GR"/>
        </w:rPr>
        <w:t>μέχρι</w:t>
      </w:r>
      <w:r>
        <w:rPr>
          <w:szCs w:val="22"/>
          <w:lang w:val="sl-SI"/>
        </w:rPr>
        <w:t xml:space="preserve"> </w:t>
      </w:r>
      <w:r>
        <w:rPr>
          <w:szCs w:val="22"/>
          <w:lang w:val="el-GR"/>
        </w:rPr>
        <w:t>το</w:t>
      </w:r>
      <w:r>
        <w:rPr>
          <w:szCs w:val="22"/>
          <w:lang w:val="sl-SI"/>
        </w:rPr>
        <w:t xml:space="preserve"> </w:t>
      </w:r>
      <w:r>
        <w:rPr>
          <w:szCs w:val="22"/>
          <w:lang w:val="el-GR"/>
        </w:rPr>
        <w:t>χρόνο</w:t>
      </w:r>
      <w:r>
        <w:rPr>
          <w:szCs w:val="22"/>
          <w:lang w:val="sl-SI"/>
        </w:rPr>
        <w:t xml:space="preserve"> </w:t>
      </w:r>
      <w:r>
        <w:rPr>
          <w:szCs w:val="22"/>
          <w:lang w:val="el-GR"/>
        </w:rPr>
        <w:t>του</w:t>
      </w:r>
      <w:r>
        <w:rPr>
          <w:szCs w:val="22"/>
          <w:lang w:val="sl-SI"/>
        </w:rPr>
        <w:t xml:space="preserve"> </w:t>
      </w:r>
      <w:r>
        <w:rPr>
          <w:szCs w:val="22"/>
          <w:lang w:val="el-GR"/>
        </w:rPr>
        <w:t>χειρουργείου</w:t>
      </w:r>
      <w:r>
        <w:rPr>
          <w:szCs w:val="22"/>
          <w:lang w:val="sl-SI"/>
        </w:rPr>
        <w:t xml:space="preserve"> </w:t>
      </w:r>
      <w:r>
        <w:rPr>
          <w:szCs w:val="22"/>
          <w:lang w:val="el-GR"/>
        </w:rPr>
        <w:t>σε</w:t>
      </w:r>
      <w:r>
        <w:rPr>
          <w:szCs w:val="22"/>
          <w:lang w:val="sl-SI"/>
        </w:rPr>
        <w:t xml:space="preserve"> </w:t>
      </w:r>
      <w:r>
        <w:rPr>
          <w:szCs w:val="22"/>
          <w:lang w:val="el-GR"/>
        </w:rPr>
        <w:t>δεύτερη</w:t>
      </w:r>
      <w:r>
        <w:rPr>
          <w:szCs w:val="22"/>
          <w:lang w:val="sl-SI"/>
        </w:rPr>
        <w:t xml:space="preserve"> </w:t>
      </w:r>
      <w:r>
        <w:rPr>
          <w:szCs w:val="22"/>
          <w:lang w:val="el-GR"/>
        </w:rPr>
        <w:t>φάση</w:t>
      </w:r>
      <w:r>
        <w:rPr>
          <w:szCs w:val="22"/>
          <w:lang w:val="sl-SI"/>
        </w:rPr>
        <w:t xml:space="preserve">. </w:t>
      </w:r>
      <w:r>
        <w:rPr>
          <w:szCs w:val="22"/>
          <w:lang w:val="el-GR"/>
        </w:rPr>
        <w:t>Ο</w:t>
      </w:r>
      <w:r>
        <w:rPr>
          <w:szCs w:val="22"/>
          <w:lang w:val="sl-SI"/>
        </w:rPr>
        <w:t xml:space="preserve"> </w:t>
      </w:r>
      <w:r>
        <w:rPr>
          <w:szCs w:val="22"/>
          <w:lang w:val="el-GR"/>
        </w:rPr>
        <w:t>μέσος</w:t>
      </w:r>
      <w:r>
        <w:rPr>
          <w:szCs w:val="22"/>
          <w:lang w:val="sl-SI"/>
        </w:rPr>
        <w:t xml:space="preserve"> </w:t>
      </w:r>
      <w:r>
        <w:rPr>
          <w:szCs w:val="22"/>
          <w:lang w:val="el-GR"/>
        </w:rPr>
        <w:t>χρόνος</w:t>
      </w:r>
      <w:r>
        <w:rPr>
          <w:szCs w:val="22"/>
          <w:lang w:val="sl-SI"/>
        </w:rPr>
        <w:t xml:space="preserve"> </w:t>
      </w:r>
      <w:r>
        <w:rPr>
          <w:szCs w:val="22"/>
          <w:lang w:val="el-GR"/>
        </w:rPr>
        <w:t>μεταξύ</w:t>
      </w:r>
      <w:r>
        <w:rPr>
          <w:szCs w:val="22"/>
          <w:lang w:val="sl-SI"/>
        </w:rPr>
        <w:t xml:space="preserve"> </w:t>
      </w:r>
      <w:r>
        <w:rPr>
          <w:szCs w:val="22"/>
          <w:lang w:val="el-GR"/>
        </w:rPr>
        <w:t>της</w:t>
      </w:r>
      <w:r>
        <w:rPr>
          <w:szCs w:val="22"/>
          <w:lang w:val="sl-SI"/>
        </w:rPr>
        <w:t xml:space="preserve"> </w:t>
      </w:r>
      <w:r>
        <w:rPr>
          <w:szCs w:val="22"/>
          <w:lang w:val="el-GR"/>
        </w:rPr>
        <w:t>παρηγορητικής</w:t>
      </w:r>
      <w:r>
        <w:rPr>
          <w:szCs w:val="22"/>
          <w:lang w:val="sl-SI"/>
        </w:rPr>
        <w:t xml:space="preserve"> </w:t>
      </w:r>
      <w:r>
        <w:rPr>
          <w:szCs w:val="22"/>
          <w:lang w:val="el-GR"/>
        </w:rPr>
        <w:t>αντιμετώπισης</w:t>
      </w:r>
      <w:r>
        <w:rPr>
          <w:szCs w:val="22"/>
          <w:lang w:val="sl-SI"/>
        </w:rPr>
        <w:t xml:space="preserve"> </w:t>
      </w:r>
      <w:r>
        <w:rPr>
          <w:szCs w:val="22"/>
          <w:lang w:val="el-GR"/>
        </w:rPr>
        <w:t>με</w:t>
      </w:r>
      <w:r>
        <w:rPr>
          <w:szCs w:val="22"/>
          <w:lang w:val="sl-SI"/>
        </w:rPr>
        <w:t xml:space="preserve"> </w:t>
      </w:r>
      <w:r>
        <w:rPr>
          <w:szCs w:val="22"/>
          <w:lang w:val="el-GR"/>
        </w:rPr>
        <w:t>παράκαμψη</w:t>
      </w:r>
      <w:r>
        <w:rPr>
          <w:szCs w:val="22"/>
          <w:lang w:val="sl-SI"/>
        </w:rPr>
        <w:t xml:space="preserve"> </w:t>
      </w:r>
      <w:r>
        <w:rPr>
          <w:szCs w:val="22"/>
          <w:lang w:val="el-GR"/>
        </w:rPr>
        <w:t>και</w:t>
      </w:r>
      <w:r>
        <w:rPr>
          <w:szCs w:val="22"/>
          <w:lang w:val="sl-SI"/>
        </w:rPr>
        <w:t xml:space="preserve"> </w:t>
      </w:r>
      <w:r>
        <w:rPr>
          <w:szCs w:val="22"/>
          <w:lang w:val="el-GR"/>
        </w:rPr>
        <w:t>της</w:t>
      </w:r>
      <w:r>
        <w:rPr>
          <w:szCs w:val="22"/>
          <w:lang w:val="sl-SI"/>
        </w:rPr>
        <w:t xml:space="preserve"> </w:t>
      </w:r>
      <w:r>
        <w:rPr>
          <w:szCs w:val="22"/>
          <w:lang w:val="el-GR"/>
        </w:rPr>
        <w:t>πρώτης</w:t>
      </w:r>
      <w:r>
        <w:rPr>
          <w:szCs w:val="22"/>
          <w:lang w:val="sl-SI"/>
        </w:rPr>
        <w:t xml:space="preserve"> </w:t>
      </w:r>
      <w:r>
        <w:rPr>
          <w:szCs w:val="22"/>
          <w:lang w:val="el-GR"/>
        </w:rPr>
        <w:t>χορήγησης</w:t>
      </w:r>
      <w:r>
        <w:rPr>
          <w:szCs w:val="22"/>
          <w:lang w:val="sl-SI"/>
        </w:rPr>
        <w:t xml:space="preserve"> </w:t>
      </w:r>
      <w:r>
        <w:rPr>
          <w:szCs w:val="22"/>
          <w:lang w:val="el-GR"/>
        </w:rPr>
        <w:t>του</w:t>
      </w:r>
      <w:r>
        <w:rPr>
          <w:szCs w:val="22"/>
          <w:lang w:val="sl-SI"/>
        </w:rPr>
        <w:t xml:space="preserve"> </w:t>
      </w:r>
      <w:r>
        <w:rPr>
          <w:szCs w:val="22"/>
          <w:lang w:val="el-GR"/>
        </w:rPr>
        <w:t>φαρμακευτικού</w:t>
      </w:r>
      <w:r>
        <w:rPr>
          <w:szCs w:val="22"/>
          <w:lang w:val="sl-SI"/>
        </w:rPr>
        <w:t xml:space="preserve"> </w:t>
      </w:r>
      <w:r>
        <w:rPr>
          <w:szCs w:val="22"/>
          <w:lang w:val="el-GR"/>
        </w:rPr>
        <w:t>προϊόντος</w:t>
      </w:r>
      <w:r>
        <w:rPr>
          <w:szCs w:val="22"/>
          <w:lang w:val="sl-SI"/>
        </w:rPr>
        <w:t xml:space="preserve"> </w:t>
      </w:r>
      <w:r>
        <w:rPr>
          <w:szCs w:val="22"/>
          <w:lang w:val="el-GR"/>
        </w:rPr>
        <w:t>της</w:t>
      </w:r>
      <w:r>
        <w:rPr>
          <w:szCs w:val="22"/>
          <w:lang w:val="sl-SI"/>
        </w:rPr>
        <w:t xml:space="preserve"> </w:t>
      </w:r>
      <w:r>
        <w:rPr>
          <w:szCs w:val="22"/>
          <w:lang w:val="el-GR"/>
        </w:rPr>
        <w:t>μελέτης</w:t>
      </w:r>
      <w:r>
        <w:rPr>
          <w:szCs w:val="22"/>
          <w:lang w:val="sl-SI"/>
        </w:rPr>
        <w:t xml:space="preserve"> </w:t>
      </w:r>
      <w:r>
        <w:rPr>
          <w:szCs w:val="22"/>
          <w:lang w:val="el-GR"/>
        </w:rPr>
        <w:t>ήταν</w:t>
      </w:r>
      <w:r>
        <w:rPr>
          <w:szCs w:val="22"/>
          <w:lang w:val="sl-SI"/>
        </w:rPr>
        <w:t xml:space="preserve"> 20 </w:t>
      </w:r>
      <w:r>
        <w:rPr>
          <w:szCs w:val="22"/>
          <w:lang w:val="el-GR"/>
        </w:rPr>
        <w:t>ημέρες</w:t>
      </w:r>
      <w:r>
        <w:rPr>
          <w:szCs w:val="22"/>
          <w:lang w:val="sl-SI"/>
        </w:rPr>
        <w:t xml:space="preserve">. </w:t>
      </w:r>
      <w:r>
        <w:rPr>
          <w:szCs w:val="22"/>
          <w:lang w:val="el-GR"/>
        </w:rPr>
        <w:t>Κατά</w:t>
      </w:r>
      <w:r>
        <w:rPr>
          <w:szCs w:val="22"/>
          <w:lang w:val="sl-SI"/>
        </w:rPr>
        <w:t xml:space="preserve"> </w:t>
      </w:r>
      <w:r>
        <w:rPr>
          <w:szCs w:val="22"/>
          <w:lang w:val="el-GR"/>
        </w:rPr>
        <w:t>προσέγγιση</w:t>
      </w:r>
      <w:r>
        <w:rPr>
          <w:szCs w:val="22"/>
          <w:lang w:val="sl-SI"/>
        </w:rPr>
        <w:t xml:space="preserve"> 88% </w:t>
      </w:r>
      <w:r>
        <w:rPr>
          <w:szCs w:val="22"/>
          <w:lang w:val="el-GR"/>
        </w:rPr>
        <w:t>των</w:t>
      </w:r>
      <w:r>
        <w:rPr>
          <w:szCs w:val="22"/>
          <w:lang w:val="sl-SI"/>
        </w:rPr>
        <w:t xml:space="preserve"> </w:t>
      </w:r>
      <w:r>
        <w:rPr>
          <w:szCs w:val="22"/>
          <w:lang w:val="el-GR"/>
        </w:rPr>
        <w:t>ασθενών</w:t>
      </w:r>
      <w:r>
        <w:rPr>
          <w:szCs w:val="22"/>
          <w:lang w:val="sl-SI"/>
        </w:rPr>
        <w:t xml:space="preserve"> </w:t>
      </w:r>
      <w:r>
        <w:rPr>
          <w:szCs w:val="22"/>
          <w:lang w:val="el-GR"/>
        </w:rPr>
        <w:t>έλαβαν</w:t>
      </w:r>
      <w:r>
        <w:rPr>
          <w:szCs w:val="22"/>
          <w:lang w:val="sl-SI"/>
        </w:rPr>
        <w:t xml:space="preserve"> </w:t>
      </w:r>
      <w:r>
        <w:rPr>
          <w:szCs w:val="22"/>
          <w:lang w:val="el-GR"/>
        </w:rPr>
        <w:t>ταυτόχρονα</w:t>
      </w:r>
      <w:r>
        <w:rPr>
          <w:szCs w:val="22"/>
          <w:lang w:val="sl-SI"/>
        </w:rPr>
        <w:t xml:space="preserve"> </w:t>
      </w:r>
      <w:r>
        <w:rPr>
          <w:szCs w:val="22"/>
          <w:lang w:val="el-GR"/>
        </w:rPr>
        <w:t>ΑΣΟ</w:t>
      </w:r>
      <w:r>
        <w:rPr>
          <w:szCs w:val="22"/>
          <w:lang w:val="sl-SI"/>
        </w:rPr>
        <w:t xml:space="preserve"> (</w:t>
      </w:r>
      <w:r>
        <w:rPr>
          <w:szCs w:val="22"/>
          <w:lang w:val="el-GR"/>
        </w:rPr>
        <w:t>εύρος</w:t>
      </w:r>
      <w:r>
        <w:rPr>
          <w:szCs w:val="22"/>
          <w:lang w:val="sl-SI"/>
        </w:rPr>
        <w:t xml:space="preserve"> 1 </w:t>
      </w:r>
      <w:r>
        <w:rPr>
          <w:szCs w:val="22"/>
          <w:lang w:val="el-GR"/>
        </w:rPr>
        <w:t>έως</w:t>
      </w:r>
      <w:r>
        <w:rPr>
          <w:szCs w:val="22"/>
          <w:lang w:val="sl-SI"/>
        </w:rPr>
        <w:t xml:space="preserve"> 23 mg/kg/</w:t>
      </w:r>
      <w:r>
        <w:rPr>
          <w:szCs w:val="22"/>
          <w:lang w:val="el-GR"/>
        </w:rPr>
        <w:t>ημέρα</w:t>
      </w:r>
      <w:r>
        <w:rPr>
          <w:szCs w:val="22"/>
          <w:lang w:val="sl-SI"/>
        </w:rPr>
        <w:t xml:space="preserve">). </w:t>
      </w:r>
      <w:r>
        <w:rPr>
          <w:szCs w:val="22"/>
          <w:lang w:val="el-GR"/>
        </w:rPr>
        <w:t>Δεν</w:t>
      </w:r>
      <w:r>
        <w:rPr>
          <w:szCs w:val="22"/>
          <w:lang w:val="sl-SI"/>
        </w:rPr>
        <w:t xml:space="preserve"> </w:t>
      </w:r>
      <w:r>
        <w:rPr>
          <w:szCs w:val="22"/>
          <w:lang w:val="el-GR"/>
        </w:rPr>
        <w:t>υπήρξε</w:t>
      </w:r>
      <w:r>
        <w:rPr>
          <w:szCs w:val="22"/>
          <w:lang w:val="sl-SI"/>
        </w:rPr>
        <w:t xml:space="preserve"> </w:t>
      </w:r>
      <w:r>
        <w:rPr>
          <w:szCs w:val="22"/>
          <w:lang w:val="el-GR"/>
        </w:rPr>
        <w:t>σημαντική</w:t>
      </w:r>
      <w:r>
        <w:rPr>
          <w:szCs w:val="22"/>
          <w:lang w:val="sl-SI"/>
        </w:rPr>
        <w:t xml:space="preserve"> </w:t>
      </w:r>
      <w:r>
        <w:rPr>
          <w:szCs w:val="22"/>
          <w:lang w:val="el-GR"/>
        </w:rPr>
        <w:t>διαφορά</w:t>
      </w:r>
      <w:r>
        <w:rPr>
          <w:szCs w:val="22"/>
          <w:lang w:val="sl-SI"/>
        </w:rPr>
        <w:t xml:space="preserve"> </w:t>
      </w:r>
      <w:r>
        <w:rPr>
          <w:szCs w:val="22"/>
          <w:lang w:val="el-GR"/>
        </w:rPr>
        <w:t>μεταξύ</w:t>
      </w:r>
      <w:r>
        <w:rPr>
          <w:szCs w:val="22"/>
          <w:lang w:val="sl-SI"/>
        </w:rPr>
        <w:t xml:space="preserve"> </w:t>
      </w:r>
      <w:r>
        <w:rPr>
          <w:szCs w:val="22"/>
          <w:lang w:val="el-GR"/>
        </w:rPr>
        <w:t>των</w:t>
      </w:r>
      <w:r>
        <w:rPr>
          <w:szCs w:val="22"/>
          <w:lang w:val="sl-SI"/>
        </w:rPr>
        <w:t xml:space="preserve"> </w:t>
      </w:r>
      <w:r>
        <w:rPr>
          <w:szCs w:val="22"/>
          <w:lang w:val="el-GR"/>
        </w:rPr>
        <w:t>ομάδων</w:t>
      </w:r>
      <w:r>
        <w:rPr>
          <w:szCs w:val="22"/>
          <w:lang w:val="sl-SI"/>
        </w:rPr>
        <w:t xml:space="preserve"> </w:t>
      </w:r>
      <w:r>
        <w:rPr>
          <w:szCs w:val="22"/>
          <w:lang w:val="el-GR"/>
        </w:rPr>
        <w:t>στο</w:t>
      </w:r>
      <w:r>
        <w:rPr>
          <w:szCs w:val="22"/>
          <w:lang w:val="sl-SI"/>
        </w:rPr>
        <w:t xml:space="preserve"> </w:t>
      </w:r>
      <w:r>
        <w:rPr>
          <w:szCs w:val="22"/>
          <w:lang w:val="el-GR"/>
        </w:rPr>
        <w:t>πρωτεύον</w:t>
      </w:r>
      <w:r>
        <w:rPr>
          <w:szCs w:val="22"/>
          <w:lang w:val="sl-SI"/>
        </w:rPr>
        <w:t xml:space="preserve"> </w:t>
      </w:r>
      <w:r>
        <w:rPr>
          <w:szCs w:val="22"/>
          <w:lang w:val="el-GR"/>
        </w:rPr>
        <w:t>σύνθετο</w:t>
      </w:r>
      <w:r>
        <w:rPr>
          <w:szCs w:val="22"/>
          <w:lang w:val="sl-SI"/>
        </w:rPr>
        <w:t xml:space="preserve"> </w:t>
      </w:r>
      <w:r>
        <w:rPr>
          <w:szCs w:val="22"/>
          <w:lang w:val="el-GR"/>
        </w:rPr>
        <w:t>καταληκτικό</w:t>
      </w:r>
      <w:r>
        <w:rPr>
          <w:szCs w:val="22"/>
          <w:lang w:val="sl-SI"/>
        </w:rPr>
        <w:t xml:space="preserve"> </w:t>
      </w:r>
      <w:r>
        <w:rPr>
          <w:szCs w:val="22"/>
          <w:lang w:val="el-GR"/>
        </w:rPr>
        <w:t>σημείο</w:t>
      </w:r>
      <w:r>
        <w:rPr>
          <w:szCs w:val="22"/>
          <w:lang w:val="sl-SI"/>
        </w:rPr>
        <w:t xml:space="preserve"> </w:t>
      </w:r>
      <w:r>
        <w:rPr>
          <w:szCs w:val="22"/>
          <w:lang w:val="el-GR"/>
        </w:rPr>
        <w:t>του</w:t>
      </w:r>
      <w:r>
        <w:rPr>
          <w:szCs w:val="22"/>
          <w:lang w:val="sl-SI"/>
        </w:rPr>
        <w:t xml:space="preserve"> </w:t>
      </w:r>
      <w:r>
        <w:rPr>
          <w:szCs w:val="22"/>
          <w:lang w:val="el-GR"/>
        </w:rPr>
        <w:t>θανάτου</w:t>
      </w:r>
      <w:r>
        <w:rPr>
          <w:szCs w:val="22"/>
          <w:lang w:val="sl-SI"/>
        </w:rPr>
        <w:t xml:space="preserve">, </w:t>
      </w:r>
      <w:r>
        <w:rPr>
          <w:szCs w:val="22"/>
          <w:lang w:val="el-GR"/>
        </w:rPr>
        <w:t>θρόμβωσης</w:t>
      </w:r>
      <w:r>
        <w:rPr>
          <w:szCs w:val="22"/>
          <w:lang w:val="sl-SI"/>
        </w:rPr>
        <w:t xml:space="preserve"> </w:t>
      </w:r>
      <w:r>
        <w:rPr>
          <w:szCs w:val="22"/>
          <w:lang w:val="el-GR"/>
        </w:rPr>
        <w:t>της</w:t>
      </w:r>
      <w:r>
        <w:rPr>
          <w:szCs w:val="22"/>
          <w:lang w:val="sl-SI"/>
        </w:rPr>
        <w:t xml:space="preserve"> </w:t>
      </w:r>
      <w:r>
        <w:rPr>
          <w:szCs w:val="22"/>
          <w:lang w:val="el-GR"/>
        </w:rPr>
        <w:t>παράκαμψης</w:t>
      </w:r>
      <w:r>
        <w:rPr>
          <w:szCs w:val="22"/>
          <w:lang w:val="sl-SI"/>
        </w:rPr>
        <w:t xml:space="preserve"> </w:t>
      </w:r>
      <w:r>
        <w:rPr>
          <w:szCs w:val="22"/>
          <w:lang w:val="el-GR"/>
        </w:rPr>
        <w:t>ή</w:t>
      </w:r>
      <w:r>
        <w:rPr>
          <w:szCs w:val="22"/>
          <w:lang w:val="sl-SI"/>
        </w:rPr>
        <w:t xml:space="preserve"> </w:t>
      </w:r>
      <w:r>
        <w:rPr>
          <w:szCs w:val="22"/>
          <w:lang w:val="el-GR"/>
        </w:rPr>
        <w:t>παρέμβασης</w:t>
      </w:r>
      <w:r>
        <w:rPr>
          <w:szCs w:val="22"/>
          <w:lang w:val="sl-SI"/>
        </w:rPr>
        <w:t xml:space="preserve"> </w:t>
      </w:r>
      <w:r>
        <w:rPr>
          <w:szCs w:val="22"/>
          <w:lang w:val="el-GR"/>
        </w:rPr>
        <w:t>σχετιζόμενης</w:t>
      </w:r>
      <w:r>
        <w:rPr>
          <w:szCs w:val="22"/>
          <w:lang w:val="sl-SI"/>
        </w:rPr>
        <w:t xml:space="preserve"> </w:t>
      </w:r>
      <w:r>
        <w:rPr>
          <w:szCs w:val="22"/>
          <w:lang w:val="el-GR"/>
        </w:rPr>
        <w:t>με</w:t>
      </w:r>
      <w:r>
        <w:rPr>
          <w:szCs w:val="22"/>
          <w:lang w:val="sl-SI"/>
        </w:rPr>
        <w:t xml:space="preserve"> </w:t>
      </w:r>
      <w:r>
        <w:rPr>
          <w:szCs w:val="22"/>
          <w:lang w:val="el-GR"/>
        </w:rPr>
        <w:t>την</w:t>
      </w:r>
      <w:r>
        <w:rPr>
          <w:szCs w:val="22"/>
          <w:lang w:val="sl-SI"/>
        </w:rPr>
        <w:t xml:space="preserve"> </w:t>
      </w:r>
      <w:r>
        <w:rPr>
          <w:szCs w:val="22"/>
          <w:lang w:val="el-GR"/>
        </w:rPr>
        <w:t>καρδιά</w:t>
      </w:r>
      <w:r>
        <w:rPr>
          <w:szCs w:val="22"/>
          <w:lang w:val="sl-SI"/>
        </w:rPr>
        <w:t xml:space="preserve"> </w:t>
      </w:r>
      <w:r>
        <w:rPr>
          <w:szCs w:val="22"/>
          <w:lang w:val="el-GR"/>
        </w:rPr>
        <w:t>πριν</w:t>
      </w:r>
      <w:r>
        <w:rPr>
          <w:szCs w:val="22"/>
          <w:lang w:val="sl-SI"/>
        </w:rPr>
        <w:t xml:space="preserve"> </w:t>
      </w:r>
      <w:r>
        <w:rPr>
          <w:szCs w:val="22"/>
          <w:lang w:val="el-GR"/>
        </w:rPr>
        <w:t>από</w:t>
      </w:r>
      <w:r>
        <w:rPr>
          <w:szCs w:val="22"/>
          <w:lang w:val="sl-SI"/>
        </w:rPr>
        <w:t xml:space="preserve"> </w:t>
      </w:r>
      <w:r>
        <w:rPr>
          <w:szCs w:val="22"/>
          <w:lang w:val="el-GR"/>
        </w:rPr>
        <w:t>την</w:t>
      </w:r>
      <w:r>
        <w:rPr>
          <w:szCs w:val="22"/>
          <w:lang w:val="sl-SI"/>
        </w:rPr>
        <w:t xml:space="preserve"> </w:t>
      </w:r>
      <w:r>
        <w:rPr>
          <w:szCs w:val="22"/>
          <w:lang w:val="el-GR"/>
        </w:rPr>
        <w:t>ηλικία</w:t>
      </w:r>
      <w:r>
        <w:rPr>
          <w:szCs w:val="22"/>
          <w:lang w:val="sl-SI"/>
        </w:rPr>
        <w:t xml:space="preserve"> </w:t>
      </w:r>
      <w:r>
        <w:rPr>
          <w:szCs w:val="22"/>
          <w:lang w:val="el-GR"/>
        </w:rPr>
        <w:t>των</w:t>
      </w:r>
      <w:r>
        <w:rPr>
          <w:szCs w:val="22"/>
          <w:lang w:val="sl-SI"/>
        </w:rPr>
        <w:t xml:space="preserve"> 120 </w:t>
      </w:r>
      <w:r>
        <w:rPr>
          <w:szCs w:val="22"/>
          <w:lang w:val="el-GR"/>
        </w:rPr>
        <w:t>ημερών</w:t>
      </w:r>
      <w:r>
        <w:rPr>
          <w:szCs w:val="22"/>
          <w:lang w:val="sl-SI"/>
        </w:rPr>
        <w:t xml:space="preserve"> </w:t>
      </w:r>
      <w:r>
        <w:rPr>
          <w:szCs w:val="22"/>
          <w:lang w:val="el-GR"/>
        </w:rPr>
        <w:t>μετά</w:t>
      </w:r>
      <w:r>
        <w:rPr>
          <w:szCs w:val="22"/>
          <w:lang w:val="sl-SI"/>
        </w:rPr>
        <w:t xml:space="preserve"> </w:t>
      </w:r>
      <w:r>
        <w:rPr>
          <w:szCs w:val="22"/>
          <w:lang w:val="el-GR"/>
        </w:rPr>
        <w:t>από</w:t>
      </w:r>
      <w:r>
        <w:rPr>
          <w:szCs w:val="22"/>
          <w:lang w:val="sl-SI"/>
        </w:rPr>
        <w:t xml:space="preserve"> </w:t>
      </w:r>
      <w:r>
        <w:rPr>
          <w:szCs w:val="22"/>
          <w:lang w:val="el-GR"/>
        </w:rPr>
        <w:t>επεισόδιο</w:t>
      </w:r>
      <w:r>
        <w:rPr>
          <w:szCs w:val="22"/>
          <w:lang w:val="sl-SI"/>
        </w:rPr>
        <w:t xml:space="preserve"> </w:t>
      </w:r>
      <w:r>
        <w:rPr>
          <w:szCs w:val="22"/>
          <w:lang w:val="el-GR"/>
        </w:rPr>
        <w:t>που</w:t>
      </w:r>
      <w:r>
        <w:rPr>
          <w:szCs w:val="22"/>
          <w:lang w:val="sl-SI"/>
        </w:rPr>
        <w:t xml:space="preserve"> </w:t>
      </w:r>
      <w:r>
        <w:rPr>
          <w:szCs w:val="22"/>
          <w:lang w:val="el-GR"/>
        </w:rPr>
        <w:t>θεωρήθηκε</w:t>
      </w:r>
      <w:r>
        <w:rPr>
          <w:szCs w:val="22"/>
          <w:lang w:val="sl-SI"/>
        </w:rPr>
        <w:t xml:space="preserve"> </w:t>
      </w:r>
      <w:r>
        <w:rPr>
          <w:szCs w:val="22"/>
          <w:lang w:val="el-GR"/>
        </w:rPr>
        <w:t>θρομβωτικής</w:t>
      </w:r>
      <w:r>
        <w:rPr>
          <w:szCs w:val="22"/>
          <w:lang w:val="sl-SI"/>
        </w:rPr>
        <w:t xml:space="preserve"> </w:t>
      </w:r>
      <w:r>
        <w:rPr>
          <w:szCs w:val="22"/>
          <w:lang w:val="el-GR"/>
        </w:rPr>
        <w:t>φύσης</w:t>
      </w:r>
      <w:r>
        <w:rPr>
          <w:szCs w:val="22"/>
          <w:lang w:val="sl-SI"/>
        </w:rPr>
        <w:t xml:space="preserve"> [89 (19,1%) </w:t>
      </w:r>
      <w:r>
        <w:rPr>
          <w:szCs w:val="22"/>
          <w:lang w:val="el-GR"/>
        </w:rPr>
        <w:t>για</w:t>
      </w:r>
      <w:r>
        <w:rPr>
          <w:szCs w:val="22"/>
          <w:lang w:val="sl-SI"/>
        </w:rPr>
        <w:t xml:space="preserve"> </w:t>
      </w:r>
      <w:r>
        <w:rPr>
          <w:szCs w:val="22"/>
          <w:lang w:val="el-GR"/>
        </w:rPr>
        <w:t>την</w:t>
      </w:r>
      <w:r>
        <w:rPr>
          <w:szCs w:val="22"/>
          <w:lang w:val="sl-SI"/>
        </w:rPr>
        <w:t xml:space="preserve"> </w:t>
      </w:r>
      <w:r>
        <w:rPr>
          <w:szCs w:val="22"/>
          <w:lang w:val="el-GR"/>
        </w:rPr>
        <w:t>ομάδα</w:t>
      </w:r>
      <w:r>
        <w:rPr>
          <w:szCs w:val="22"/>
          <w:lang w:val="sl-SI"/>
        </w:rPr>
        <w:t xml:space="preserve"> </w:t>
      </w:r>
      <w:r>
        <w:rPr>
          <w:szCs w:val="22"/>
          <w:lang w:val="el-GR"/>
        </w:rPr>
        <w:t>κλοπιδογρέλης</w:t>
      </w:r>
      <w:r>
        <w:rPr>
          <w:szCs w:val="22"/>
          <w:lang w:val="sl-SI"/>
        </w:rPr>
        <w:t xml:space="preserve"> </w:t>
      </w:r>
      <w:r>
        <w:rPr>
          <w:szCs w:val="22"/>
          <w:lang w:val="el-GR"/>
        </w:rPr>
        <w:t>και</w:t>
      </w:r>
      <w:r>
        <w:rPr>
          <w:szCs w:val="22"/>
          <w:lang w:val="sl-SI"/>
        </w:rPr>
        <w:t xml:space="preserve"> 90 (20,5%) </w:t>
      </w:r>
      <w:r>
        <w:rPr>
          <w:szCs w:val="22"/>
          <w:lang w:val="el-GR"/>
        </w:rPr>
        <w:t>για</w:t>
      </w:r>
      <w:r>
        <w:rPr>
          <w:szCs w:val="22"/>
          <w:lang w:val="sl-SI"/>
        </w:rPr>
        <w:t xml:space="preserve"> </w:t>
      </w:r>
      <w:r>
        <w:rPr>
          <w:szCs w:val="22"/>
          <w:lang w:val="el-GR"/>
        </w:rPr>
        <w:t>την</w:t>
      </w:r>
      <w:r>
        <w:rPr>
          <w:szCs w:val="22"/>
          <w:lang w:val="sl-SI"/>
        </w:rPr>
        <w:t xml:space="preserve"> </w:t>
      </w:r>
      <w:r>
        <w:rPr>
          <w:szCs w:val="22"/>
          <w:lang w:val="el-GR"/>
        </w:rPr>
        <w:t>ομάδα</w:t>
      </w:r>
      <w:r>
        <w:rPr>
          <w:szCs w:val="22"/>
          <w:lang w:val="sl-SI"/>
        </w:rPr>
        <w:t xml:space="preserve"> </w:t>
      </w:r>
      <w:r>
        <w:rPr>
          <w:szCs w:val="22"/>
          <w:lang w:val="el-GR"/>
        </w:rPr>
        <w:t>εικονικού</w:t>
      </w:r>
      <w:r>
        <w:rPr>
          <w:szCs w:val="22"/>
          <w:lang w:val="sl-SI"/>
        </w:rPr>
        <w:t xml:space="preserve"> </w:t>
      </w:r>
      <w:r>
        <w:rPr>
          <w:szCs w:val="22"/>
          <w:lang w:val="el-GR"/>
        </w:rPr>
        <w:t>φαρμάκου</w:t>
      </w:r>
      <w:r>
        <w:rPr>
          <w:szCs w:val="22"/>
          <w:lang w:val="sl-SI"/>
        </w:rPr>
        <w:t>] (</w:t>
      </w:r>
      <w:r>
        <w:rPr>
          <w:szCs w:val="22"/>
          <w:lang w:val="el-GR"/>
        </w:rPr>
        <w:t>βλ</w:t>
      </w:r>
      <w:r>
        <w:rPr>
          <w:szCs w:val="22"/>
          <w:lang w:val="sl-SI"/>
        </w:rPr>
        <w:t xml:space="preserve">. </w:t>
      </w:r>
      <w:r>
        <w:rPr>
          <w:szCs w:val="22"/>
          <w:lang w:val="el-GR"/>
        </w:rPr>
        <w:t>παράγραφο</w:t>
      </w:r>
      <w:r>
        <w:rPr>
          <w:szCs w:val="22"/>
          <w:lang w:val="sl-SI"/>
        </w:rPr>
        <w:t xml:space="preserve"> 4.2). </w:t>
      </w:r>
      <w:r>
        <w:rPr>
          <w:szCs w:val="22"/>
          <w:lang w:val="el-GR"/>
        </w:rPr>
        <w:t>Η</w:t>
      </w:r>
      <w:r>
        <w:rPr>
          <w:szCs w:val="22"/>
          <w:lang w:val="sl-SI"/>
        </w:rPr>
        <w:t xml:space="preserve"> </w:t>
      </w:r>
      <w:r>
        <w:rPr>
          <w:szCs w:val="22"/>
          <w:lang w:val="el-GR"/>
        </w:rPr>
        <w:t>αιμορραγία</w:t>
      </w:r>
      <w:r>
        <w:rPr>
          <w:szCs w:val="22"/>
          <w:lang w:val="sl-SI"/>
        </w:rPr>
        <w:t xml:space="preserve"> </w:t>
      </w:r>
      <w:r>
        <w:rPr>
          <w:szCs w:val="22"/>
          <w:lang w:val="el-GR"/>
        </w:rPr>
        <w:t>ήταν</w:t>
      </w:r>
      <w:r>
        <w:rPr>
          <w:szCs w:val="22"/>
          <w:lang w:val="sl-SI"/>
        </w:rPr>
        <w:t xml:space="preserve"> </w:t>
      </w:r>
      <w:r>
        <w:rPr>
          <w:szCs w:val="22"/>
          <w:lang w:val="el-GR"/>
        </w:rPr>
        <w:t>η</w:t>
      </w:r>
      <w:r>
        <w:rPr>
          <w:szCs w:val="22"/>
          <w:lang w:val="sl-SI"/>
        </w:rPr>
        <w:t xml:space="preserve"> </w:t>
      </w:r>
      <w:r>
        <w:rPr>
          <w:szCs w:val="22"/>
          <w:lang w:val="el-GR"/>
        </w:rPr>
        <w:t>πιο</w:t>
      </w:r>
      <w:r>
        <w:rPr>
          <w:szCs w:val="22"/>
          <w:lang w:val="sl-SI"/>
        </w:rPr>
        <w:t xml:space="preserve"> </w:t>
      </w:r>
      <w:r>
        <w:rPr>
          <w:szCs w:val="22"/>
          <w:lang w:val="el-GR"/>
        </w:rPr>
        <w:t>συχνά</w:t>
      </w:r>
      <w:r>
        <w:rPr>
          <w:szCs w:val="22"/>
          <w:lang w:val="sl-SI"/>
        </w:rPr>
        <w:t xml:space="preserve"> </w:t>
      </w:r>
      <w:r>
        <w:rPr>
          <w:szCs w:val="22"/>
          <w:lang w:val="el-GR"/>
        </w:rPr>
        <w:t>αναφερόμενη</w:t>
      </w:r>
      <w:r>
        <w:rPr>
          <w:szCs w:val="22"/>
          <w:lang w:val="sl-SI"/>
        </w:rPr>
        <w:t xml:space="preserve"> </w:t>
      </w:r>
      <w:r>
        <w:rPr>
          <w:szCs w:val="22"/>
          <w:lang w:val="el-GR"/>
        </w:rPr>
        <w:t>ανεπιθύμητη</w:t>
      </w:r>
      <w:r>
        <w:rPr>
          <w:szCs w:val="22"/>
          <w:lang w:val="sl-SI"/>
        </w:rPr>
        <w:t xml:space="preserve"> </w:t>
      </w:r>
      <w:r>
        <w:rPr>
          <w:szCs w:val="22"/>
          <w:lang w:val="el-GR"/>
        </w:rPr>
        <w:t>ενέργεια</w:t>
      </w:r>
      <w:r>
        <w:rPr>
          <w:szCs w:val="22"/>
          <w:lang w:val="sl-SI"/>
        </w:rPr>
        <w:t xml:space="preserve"> </w:t>
      </w:r>
      <w:r>
        <w:rPr>
          <w:szCs w:val="22"/>
          <w:lang w:val="el-GR"/>
        </w:rPr>
        <w:t>και</w:t>
      </w:r>
      <w:r>
        <w:rPr>
          <w:szCs w:val="22"/>
          <w:lang w:val="sl-SI"/>
        </w:rPr>
        <w:t xml:space="preserve"> </w:t>
      </w:r>
      <w:r>
        <w:rPr>
          <w:szCs w:val="22"/>
          <w:lang w:val="el-GR"/>
        </w:rPr>
        <w:t>στις</w:t>
      </w:r>
      <w:r>
        <w:rPr>
          <w:szCs w:val="22"/>
          <w:lang w:val="sl-SI"/>
        </w:rPr>
        <w:t xml:space="preserve"> </w:t>
      </w:r>
      <w:r>
        <w:rPr>
          <w:szCs w:val="22"/>
          <w:lang w:val="el-GR"/>
        </w:rPr>
        <w:t>δύο</w:t>
      </w:r>
      <w:r>
        <w:rPr>
          <w:szCs w:val="22"/>
          <w:lang w:val="sl-SI"/>
        </w:rPr>
        <w:t xml:space="preserve"> </w:t>
      </w:r>
      <w:r>
        <w:rPr>
          <w:szCs w:val="22"/>
          <w:lang w:val="el-GR"/>
        </w:rPr>
        <w:t>ομάδες</w:t>
      </w:r>
      <w:r>
        <w:rPr>
          <w:szCs w:val="22"/>
          <w:lang w:val="sl-SI"/>
        </w:rPr>
        <w:t xml:space="preserve"> </w:t>
      </w:r>
      <w:r>
        <w:rPr>
          <w:szCs w:val="22"/>
          <w:lang w:val="el-GR"/>
        </w:rPr>
        <w:t>κλοπιδογρέλης</w:t>
      </w:r>
      <w:r>
        <w:rPr>
          <w:szCs w:val="22"/>
          <w:lang w:val="sl-SI"/>
        </w:rPr>
        <w:t xml:space="preserve"> </w:t>
      </w:r>
      <w:r>
        <w:rPr>
          <w:szCs w:val="22"/>
          <w:lang w:val="el-GR"/>
        </w:rPr>
        <w:t>και</w:t>
      </w:r>
      <w:r>
        <w:rPr>
          <w:szCs w:val="22"/>
          <w:lang w:val="sl-SI"/>
        </w:rPr>
        <w:t xml:space="preserve"> </w:t>
      </w:r>
      <w:r>
        <w:rPr>
          <w:szCs w:val="22"/>
          <w:lang w:val="el-GR"/>
        </w:rPr>
        <w:t>εικονικού</w:t>
      </w:r>
      <w:r>
        <w:rPr>
          <w:szCs w:val="22"/>
          <w:lang w:val="sl-SI"/>
        </w:rPr>
        <w:t xml:space="preserve"> </w:t>
      </w:r>
      <w:r>
        <w:rPr>
          <w:szCs w:val="22"/>
          <w:lang w:val="el-GR"/>
        </w:rPr>
        <w:t>φαρμάκου,</w:t>
      </w:r>
      <w:r>
        <w:rPr>
          <w:szCs w:val="22"/>
          <w:lang w:val="sl-SI"/>
        </w:rPr>
        <w:t xml:space="preserve"> </w:t>
      </w:r>
      <w:r>
        <w:rPr>
          <w:szCs w:val="22"/>
          <w:lang w:val="el-GR"/>
        </w:rPr>
        <w:t>ωστόσο</w:t>
      </w:r>
      <w:r>
        <w:rPr>
          <w:szCs w:val="22"/>
          <w:lang w:val="sl-SI"/>
        </w:rPr>
        <w:t xml:space="preserve">, </w:t>
      </w:r>
      <w:r>
        <w:rPr>
          <w:szCs w:val="22"/>
          <w:lang w:val="el-GR"/>
        </w:rPr>
        <w:t>δεν</w:t>
      </w:r>
      <w:r>
        <w:rPr>
          <w:szCs w:val="22"/>
          <w:lang w:val="sl-SI"/>
        </w:rPr>
        <w:t xml:space="preserve"> </w:t>
      </w:r>
      <w:r>
        <w:rPr>
          <w:szCs w:val="22"/>
          <w:lang w:val="el-GR"/>
        </w:rPr>
        <w:t>υπήρξε</w:t>
      </w:r>
      <w:r>
        <w:rPr>
          <w:szCs w:val="22"/>
          <w:lang w:val="sl-SI"/>
        </w:rPr>
        <w:t xml:space="preserve"> </w:t>
      </w:r>
      <w:r>
        <w:rPr>
          <w:szCs w:val="22"/>
          <w:lang w:val="el-GR"/>
        </w:rPr>
        <w:t>καμία</w:t>
      </w:r>
      <w:r>
        <w:rPr>
          <w:szCs w:val="22"/>
          <w:lang w:val="sl-SI"/>
        </w:rPr>
        <w:t xml:space="preserve"> </w:t>
      </w:r>
      <w:r>
        <w:rPr>
          <w:szCs w:val="22"/>
          <w:lang w:val="el-GR"/>
        </w:rPr>
        <w:t>σημαντική</w:t>
      </w:r>
      <w:r>
        <w:rPr>
          <w:szCs w:val="22"/>
          <w:lang w:val="sl-SI"/>
        </w:rPr>
        <w:t xml:space="preserve"> </w:t>
      </w:r>
      <w:r>
        <w:rPr>
          <w:szCs w:val="22"/>
          <w:lang w:val="el-GR"/>
        </w:rPr>
        <w:t>διαφορά</w:t>
      </w:r>
      <w:r>
        <w:rPr>
          <w:szCs w:val="22"/>
          <w:lang w:val="sl-SI"/>
        </w:rPr>
        <w:t xml:space="preserve"> </w:t>
      </w:r>
      <w:r>
        <w:rPr>
          <w:szCs w:val="22"/>
          <w:lang w:val="el-GR"/>
        </w:rPr>
        <w:t>στο</w:t>
      </w:r>
      <w:r>
        <w:rPr>
          <w:szCs w:val="22"/>
          <w:lang w:val="sl-SI"/>
        </w:rPr>
        <w:t xml:space="preserve"> </w:t>
      </w:r>
      <w:r>
        <w:rPr>
          <w:szCs w:val="22"/>
          <w:lang w:val="el-GR"/>
        </w:rPr>
        <w:t>ποσοστό</w:t>
      </w:r>
      <w:r>
        <w:rPr>
          <w:szCs w:val="22"/>
          <w:lang w:val="sl-SI"/>
        </w:rPr>
        <w:t xml:space="preserve"> </w:t>
      </w:r>
      <w:r>
        <w:rPr>
          <w:szCs w:val="22"/>
          <w:lang w:val="el-GR"/>
        </w:rPr>
        <w:t>αιμορραγίας</w:t>
      </w:r>
      <w:r>
        <w:rPr>
          <w:szCs w:val="22"/>
          <w:lang w:val="sl-SI"/>
        </w:rPr>
        <w:t xml:space="preserve"> </w:t>
      </w:r>
      <w:r>
        <w:rPr>
          <w:szCs w:val="22"/>
          <w:lang w:val="el-GR"/>
        </w:rPr>
        <w:t>μεταξύ</w:t>
      </w:r>
      <w:r>
        <w:rPr>
          <w:szCs w:val="22"/>
          <w:lang w:val="sl-SI"/>
        </w:rPr>
        <w:t xml:space="preserve"> </w:t>
      </w:r>
      <w:r>
        <w:rPr>
          <w:szCs w:val="22"/>
          <w:lang w:val="el-GR"/>
        </w:rPr>
        <w:t>των</w:t>
      </w:r>
      <w:r>
        <w:rPr>
          <w:szCs w:val="22"/>
          <w:lang w:val="sl-SI"/>
        </w:rPr>
        <w:t xml:space="preserve"> </w:t>
      </w:r>
      <w:r>
        <w:rPr>
          <w:szCs w:val="22"/>
          <w:lang w:val="el-GR"/>
        </w:rPr>
        <w:t>ομάδων</w:t>
      </w:r>
      <w:r>
        <w:rPr>
          <w:szCs w:val="22"/>
          <w:lang w:val="sl-SI"/>
        </w:rPr>
        <w:t xml:space="preserve">. </w:t>
      </w:r>
      <w:r>
        <w:rPr>
          <w:szCs w:val="22"/>
          <w:lang w:val="el-GR"/>
        </w:rPr>
        <w:t>Στη</w:t>
      </w:r>
      <w:r>
        <w:rPr>
          <w:szCs w:val="22"/>
          <w:lang w:val="sl-SI"/>
        </w:rPr>
        <w:t xml:space="preserve"> </w:t>
      </w:r>
      <w:r>
        <w:rPr>
          <w:szCs w:val="22"/>
          <w:lang w:val="el-GR"/>
        </w:rPr>
        <w:t>μακροχρόνια</w:t>
      </w:r>
      <w:r>
        <w:rPr>
          <w:szCs w:val="22"/>
          <w:lang w:val="sl-SI"/>
        </w:rPr>
        <w:t xml:space="preserve"> </w:t>
      </w:r>
      <w:r>
        <w:rPr>
          <w:szCs w:val="22"/>
          <w:lang w:val="el-GR"/>
        </w:rPr>
        <w:t>παρακολούθηση</w:t>
      </w:r>
      <w:r>
        <w:rPr>
          <w:szCs w:val="22"/>
          <w:lang w:val="sl-SI"/>
        </w:rPr>
        <w:t xml:space="preserve"> </w:t>
      </w:r>
      <w:r>
        <w:rPr>
          <w:szCs w:val="22"/>
          <w:lang w:val="el-GR"/>
        </w:rPr>
        <w:t>της</w:t>
      </w:r>
      <w:r>
        <w:rPr>
          <w:szCs w:val="22"/>
          <w:lang w:val="sl-SI"/>
        </w:rPr>
        <w:t xml:space="preserve"> </w:t>
      </w:r>
      <w:r>
        <w:rPr>
          <w:szCs w:val="22"/>
          <w:lang w:val="el-GR"/>
        </w:rPr>
        <w:t>ασφάλειας</w:t>
      </w:r>
      <w:r>
        <w:rPr>
          <w:szCs w:val="22"/>
          <w:lang w:val="sl-SI"/>
        </w:rPr>
        <w:t xml:space="preserve"> </w:t>
      </w:r>
      <w:r>
        <w:rPr>
          <w:szCs w:val="22"/>
          <w:lang w:val="el-GR"/>
        </w:rPr>
        <w:t>αυτής</w:t>
      </w:r>
      <w:r>
        <w:rPr>
          <w:szCs w:val="22"/>
          <w:lang w:val="sl-SI"/>
        </w:rPr>
        <w:t xml:space="preserve"> </w:t>
      </w:r>
      <w:r>
        <w:rPr>
          <w:szCs w:val="22"/>
          <w:lang w:val="el-GR"/>
        </w:rPr>
        <w:t>της</w:t>
      </w:r>
      <w:r>
        <w:rPr>
          <w:szCs w:val="22"/>
          <w:lang w:val="sl-SI"/>
        </w:rPr>
        <w:t xml:space="preserve"> </w:t>
      </w:r>
      <w:r>
        <w:rPr>
          <w:szCs w:val="22"/>
          <w:lang w:val="el-GR"/>
        </w:rPr>
        <w:t>μελέτης</w:t>
      </w:r>
      <w:r>
        <w:rPr>
          <w:szCs w:val="22"/>
          <w:lang w:val="sl-SI"/>
        </w:rPr>
        <w:t>, 26 </w:t>
      </w:r>
      <w:r>
        <w:rPr>
          <w:szCs w:val="22"/>
          <w:lang w:val="el-GR"/>
        </w:rPr>
        <w:t>ασθενείς</w:t>
      </w:r>
      <w:r>
        <w:rPr>
          <w:szCs w:val="22"/>
          <w:lang w:val="sl-SI"/>
        </w:rPr>
        <w:t xml:space="preserve"> </w:t>
      </w:r>
      <w:r>
        <w:rPr>
          <w:szCs w:val="22"/>
          <w:lang w:val="el-GR"/>
        </w:rPr>
        <w:t>με</w:t>
      </w:r>
      <w:r>
        <w:rPr>
          <w:szCs w:val="22"/>
          <w:lang w:val="sl-SI"/>
        </w:rPr>
        <w:t xml:space="preserve"> </w:t>
      </w:r>
      <w:r>
        <w:rPr>
          <w:szCs w:val="22"/>
          <w:lang w:val="el-GR"/>
        </w:rPr>
        <w:t>την</w:t>
      </w:r>
      <w:r>
        <w:rPr>
          <w:szCs w:val="22"/>
          <w:lang w:val="sl-SI"/>
        </w:rPr>
        <w:t xml:space="preserve"> </w:t>
      </w:r>
      <w:r>
        <w:rPr>
          <w:szCs w:val="22"/>
          <w:lang w:val="el-GR"/>
        </w:rPr>
        <w:t>παράκαμψη</w:t>
      </w:r>
      <w:r>
        <w:rPr>
          <w:szCs w:val="22"/>
          <w:lang w:val="sl-SI"/>
        </w:rPr>
        <w:t xml:space="preserve"> </w:t>
      </w:r>
      <w:r>
        <w:rPr>
          <w:szCs w:val="22"/>
          <w:lang w:val="el-GR"/>
        </w:rPr>
        <w:t>ακόμα</w:t>
      </w:r>
      <w:r>
        <w:rPr>
          <w:szCs w:val="22"/>
          <w:lang w:val="sl-SI"/>
        </w:rPr>
        <w:t xml:space="preserve"> </w:t>
      </w:r>
      <w:r>
        <w:rPr>
          <w:szCs w:val="22"/>
          <w:lang w:val="el-GR"/>
        </w:rPr>
        <w:t>υφιστάμενη</w:t>
      </w:r>
      <w:r>
        <w:rPr>
          <w:szCs w:val="22"/>
          <w:lang w:val="sl-SI"/>
        </w:rPr>
        <w:t xml:space="preserve"> </w:t>
      </w:r>
      <w:r>
        <w:rPr>
          <w:szCs w:val="22"/>
          <w:lang w:val="el-GR"/>
        </w:rPr>
        <w:t>σε</w:t>
      </w:r>
      <w:r>
        <w:rPr>
          <w:szCs w:val="22"/>
          <w:lang w:val="sl-SI"/>
        </w:rPr>
        <w:t xml:space="preserve"> </w:t>
      </w:r>
      <w:r>
        <w:rPr>
          <w:szCs w:val="22"/>
          <w:lang w:val="el-GR"/>
        </w:rPr>
        <w:t>ηλικία</w:t>
      </w:r>
      <w:r>
        <w:rPr>
          <w:szCs w:val="22"/>
          <w:lang w:val="sl-SI"/>
        </w:rPr>
        <w:t xml:space="preserve"> </w:t>
      </w:r>
      <w:r>
        <w:rPr>
          <w:szCs w:val="22"/>
          <w:lang w:val="el-GR"/>
        </w:rPr>
        <w:t>ενός</w:t>
      </w:r>
      <w:r>
        <w:rPr>
          <w:szCs w:val="22"/>
          <w:lang w:val="sl-SI"/>
        </w:rPr>
        <w:t xml:space="preserve"> </w:t>
      </w:r>
      <w:r>
        <w:rPr>
          <w:szCs w:val="22"/>
          <w:lang w:val="el-GR"/>
        </w:rPr>
        <w:t>έτους</w:t>
      </w:r>
      <w:r>
        <w:rPr>
          <w:szCs w:val="22"/>
          <w:lang w:val="sl-SI"/>
        </w:rPr>
        <w:t xml:space="preserve"> </w:t>
      </w:r>
      <w:r>
        <w:rPr>
          <w:szCs w:val="22"/>
          <w:lang w:val="el-GR"/>
        </w:rPr>
        <w:t>έλαβαν</w:t>
      </w:r>
      <w:r>
        <w:rPr>
          <w:szCs w:val="22"/>
          <w:lang w:val="sl-SI"/>
        </w:rPr>
        <w:t xml:space="preserve"> </w:t>
      </w:r>
      <w:r>
        <w:rPr>
          <w:szCs w:val="22"/>
          <w:lang w:val="el-GR"/>
        </w:rPr>
        <w:t>κλοπιδογρέλη</w:t>
      </w:r>
      <w:r>
        <w:rPr>
          <w:szCs w:val="22"/>
          <w:lang w:val="sl-SI"/>
        </w:rPr>
        <w:t xml:space="preserve"> </w:t>
      </w:r>
      <w:r>
        <w:rPr>
          <w:szCs w:val="22"/>
          <w:lang w:val="el-GR"/>
        </w:rPr>
        <w:t>έως</w:t>
      </w:r>
      <w:r>
        <w:rPr>
          <w:szCs w:val="22"/>
          <w:lang w:val="sl-SI"/>
        </w:rPr>
        <w:t xml:space="preserve"> </w:t>
      </w:r>
      <w:r>
        <w:rPr>
          <w:szCs w:val="22"/>
          <w:lang w:val="el-GR"/>
        </w:rPr>
        <w:t>την</w:t>
      </w:r>
      <w:r>
        <w:rPr>
          <w:szCs w:val="22"/>
          <w:lang w:val="sl-SI"/>
        </w:rPr>
        <w:t xml:space="preserve"> </w:t>
      </w:r>
      <w:r>
        <w:rPr>
          <w:szCs w:val="22"/>
          <w:lang w:val="el-GR"/>
        </w:rPr>
        <w:t>ηλικία</w:t>
      </w:r>
      <w:r>
        <w:rPr>
          <w:szCs w:val="22"/>
          <w:lang w:val="sl-SI"/>
        </w:rPr>
        <w:t xml:space="preserve"> </w:t>
      </w:r>
      <w:r>
        <w:rPr>
          <w:szCs w:val="22"/>
          <w:lang w:val="el-GR"/>
        </w:rPr>
        <w:t>των</w:t>
      </w:r>
      <w:r>
        <w:rPr>
          <w:szCs w:val="22"/>
          <w:lang w:val="sl-SI"/>
        </w:rPr>
        <w:t xml:space="preserve"> 18 </w:t>
      </w:r>
      <w:r>
        <w:rPr>
          <w:szCs w:val="22"/>
          <w:lang w:val="el-GR"/>
        </w:rPr>
        <w:t>μηνών</w:t>
      </w:r>
      <w:r>
        <w:rPr>
          <w:szCs w:val="22"/>
          <w:lang w:val="sl-SI"/>
        </w:rPr>
        <w:t xml:space="preserve">. </w:t>
      </w:r>
      <w:r>
        <w:rPr>
          <w:szCs w:val="22"/>
          <w:lang w:val="el-GR"/>
        </w:rPr>
        <w:t>Καμία</w:t>
      </w:r>
      <w:r>
        <w:rPr>
          <w:szCs w:val="22"/>
          <w:lang w:val="sl-SI"/>
        </w:rPr>
        <w:t xml:space="preserve"> </w:t>
      </w:r>
      <w:r>
        <w:rPr>
          <w:szCs w:val="22"/>
          <w:lang w:val="el-GR"/>
        </w:rPr>
        <w:t>νέα</w:t>
      </w:r>
      <w:r>
        <w:rPr>
          <w:szCs w:val="22"/>
          <w:lang w:val="sl-SI"/>
        </w:rPr>
        <w:t xml:space="preserve"> </w:t>
      </w:r>
      <w:r>
        <w:rPr>
          <w:szCs w:val="22"/>
          <w:lang w:val="el-GR"/>
        </w:rPr>
        <w:t>ανησυχία</w:t>
      </w:r>
      <w:r>
        <w:rPr>
          <w:szCs w:val="22"/>
          <w:lang w:val="sl-SI"/>
        </w:rPr>
        <w:t xml:space="preserve"> </w:t>
      </w:r>
      <w:r>
        <w:rPr>
          <w:szCs w:val="22"/>
          <w:lang w:val="el-GR"/>
        </w:rPr>
        <w:t>για</w:t>
      </w:r>
      <w:r>
        <w:rPr>
          <w:szCs w:val="22"/>
          <w:lang w:val="sl-SI"/>
        </w:rPr>
        <w:t xml:space="preserve"> </w:t>
      </w:r>
      <w:r>
        <w:rPr>
          <w:szCs w:val="22"/>
          <w:lang w:val="el-GR"/>
        </w:rPr>
        <w:t>την</w:t>
      </w:r>
      <w:r>
        <w:rPr>
          <w:szCs w:val="22"/>
          <w:lang w:val="sl-SI"/>
        </w:rPr>
        <w:t xml:space="preserve"> </w:t>
      </w:r>
      <w:r>
        <w:rPr>
          <w:szCs w:val="22"/>
          <w:lang w:val="el-GR"/>
        </w:rPr>
        <w:t>ασφάλεια</w:t>
      </w:r>
      <w:r>
        <w:rPr>
          <w:szCs w:val="22"/>
          <w:lang w:val="sl-SI"/>
        </w:rPr>
        <w:t xml:space="preserve"> </w:t>
      </w:r>
      <w:r>
        <w:rPr>
          <w:szCs w:val="22"/>
          <w:lang w:val="el-GR"/>
        </w:rPr>
        <w:t>δεν</w:t>
      </w:r>
      <w:r>
        <w:rPr>
          <w:szCs w:val="22"/>
          <w:lang w:val="sl-SI"/>
        </w:rPr>
        <w:t xml:space="preserve"> </w:t>
      </w:r>
      <w:r>
        <w:rPr>
          <w:szCs w:val="22"/>
          <w:lang w:val="el-GR"/>
        </w:rPr>
        <w:t>παρατηρήθηκε</w:t>
      </w:r>
      <w:r>
        <w:rPr>
          <w:szCs w:val="22"/>
          <w:lang w:val="sl-SI"/>
        </w:rPr>
        <w:t xml:space="preserve"> </w:t>
      </w:r>
      <w:r>
        <w:rPr>
          <w:szCs w:val="22"/>
          <w:lang w:val="el-GR"/>
        </w:rPr>
        <w:t>κατά</w:t>
      </w:r>
      <w:r>
        <w:rPr>
          <w:szCs w:val="22"/>
          <w:lang w:val="sl-SI"/>
        </w:rPr>
        <w:t xml:space="preserve"> </w:t>
      </w:r>
      <w:r>
        <w:rPr>
          <w:szCs w:val="22"/>
          <w:lang w:val="el-GR"/>
        </w:rPr>
        <w:t>τη</w:t>
      </w:r>
      <w:r>
        <w:rPr>
          <w:szCs w:val="22"/>
          <w:lang w:val="sl-SI"/>
        </w:rPr>
        <w:t xml:space="preserve"> </w:t>
      </w:r>
      <w:r>
        <w:rPr>
          <w:szCs w:val="22"/>
          <w:lang w:val="el-GR"/>
        </w:rPr>
        <w:t>διάρκεια</w:t>
      </w:r>
      <w:r>
        <w:rPr>
          <w:szCs w:val="22"/>
          <w:lang w:val="sl-SI"/>
        </w:rPr>
        <w:t xml:space="preserve"> </w:t>
      </w:r>
      <w:r>
        <w:rPr>
          <w:szCs w:val="22"/>
          <w:lang w:val="el-GR"/>
        </w:rPr>
        <w:t>αυτής</w:t>
      </w:r>
      <w:r>
        <w:rPr>
          <w:szCs w:val="22"/>
          <w:lang w:val="sl-SI"/>
        </w:rPr>
        <w:t xml:space="preserve"> </w:t>
      </w:r>
      <w:r>
        <w:rPr>
          <w:szCs w:val="22"/>
          <w:lang w:val="el-GR"/>
        </w:rPr>
        <w:t>της</w:t>
      </w:r>
      <w:r>
        <w:rPr>
          <w:szCs w:val="22"/>
          <w:lang w:val="sl-SI"/>
        </w:rPr>
        <w:t xml:space="preserve"> </w:t>
      </w:r>
      <w:r>
        <w:rPr>
          <w:szCs w:val="22"/>
          <w:lang w:val="el-GR"/>
        </w:rPr>
        <w:t>μακροχρόνιας</w:t>
      </w:r>
      <w:r>
        <w:rPr>
          <w:szCs w:val="22"/>
          <w:lang w:val="sl-SI"/>
        </w:rPr>
        <w:t xml:space="preserve"> </w:t>
      </w:r>
      <w:r>
        <w:rPr>
          <w:szCs w:val="22"/>
          <w:lang w:val="el-GR"/>
        </w:rPr>
        <w:t>παρακολούθησης</w:t>
      </w:r>
      <w:r>
        <w:rPr>
          <w:szCs w:val="22"/>
          <w:lang w:val="sl-SI"/>
        </w:rPr>
        <w:t>.</w:t>
      </w:r>
    </w:p>
    <w:p>
      <w:pPr>
        <w:widowControl w:val="0"/>
        <w:spacing w:line="240" w:lineRule="auto"/>
        <w:rPr>
          <w:szCs w:val="22"/>
          <w:lang w:val="sl-SI"/>
        </w:rPr>
      </w:pPr>
    </w:p>
    <w:p>
      <w:pPr>
        <w:widowControl w:val="0"/>
        <w:spacing w:line="240" w:lineRule="auto"/>
        <w:rPr>
          <w:szCs w:val="22"/>
          <w:lang w:val="sl-SI"/>
        </w:rPr>
      </w:pPr>
      <w:r>
        <w:rPr>
          <w:szCs w:val="22"/>
          <w:lang w:val="el-GR"/>
        </w:rPr>
        <w:t>Οι</w:t>
      </w:r>
      <w:r>
        <w:rPr>
          <w:szCs w:val="22"/>
          <w:lang w:val="sl-SI"/>
        </w:rPr>
        <w:t xml:space="preserve"> </w:t>
      </w:r>
      <w:r>
        <w:rPr>
          <w:szCs w:val="22"/>
          <w:lang w:val="el-GR"/>
        </w:rPr>
        <w:t>δοκιμές</w:t>
      </w:r>
      <w:r>
        <w:rPr>
          <w:szCs w:val="22"/>
          <w:lang w:val="sl-SI"/>
        </w:rPr>
        <w:t xml:space="preserve"> CLARINET </w:t>
      </w:r>
      <w:r>
        <w:rPr>
          <w:szCs w:val="22"/>
          <w:lang w:val="el-GR"/>
        </w:rPr>
        <w:t>και</w:t>
      </w:r>
      <w:r>
        <w:rPr>
          <w:szCs w:val="22"/>
          <w:lang w:val="sl-SI"/>
        </w:rPr>
        <w:t xml:space="preserve"> PICOLO </w:t>
      </w:r>
      <w:r>
        <w:rPr>
          <w:szCs w:val="22"/>
          <w:lang w:val="el-GR"/>
        </w:rPr>
        <w:t>διενεργήθηκαν</w:t>
      </w:r>
      <w:r>
        <w:rPr>
          <w:szCs w:val="22"/>
          <w:lang w:val="sl-SI"/>
        </w:rPr>
        <w:t xml:space="preserve"> </w:t>
      </w:r>
      <w:r>
        <w:rPr>
          <w:szCs w:val="22"/>
          <w:lang w:val="el-GR"/>
        </w:rPr>
        <w:t>χρησιμοποιώντας</w:t>
      </w:r>
      <w:r>
        <w:rPr>
          <w:szCs w:val="22"/>
          <w:lang w:val="sl-SI"/>
        </w:rPr>
        <w:t xml:space="preserve"> </w:t>
      </w:r>
      <w:r>
        <w:rPr>
          <w:szCs w:val="22"/>
          <w:lang w:val="el-GR"/>
        </w:rPr>
        <w:t>ένα</w:t>
      </w:r>
      <w:r>
        <w:rPr>
          <w:szCs w:val="22"/>
          <w:lang w:val="sl-SI"/>
        </w:rPr>
        <w:t xml:space="preserve"> </w:t>
      </w:r>
      <w:r>
        <w:rPr>
          <w:szCs w:val="22"/>
          <w:lang w:val="el-GR"/>
        </w:rPr>
        <w:t>συσταθέν</w:t>
      </w:r>
      <w:r>
        <w:rPr>
          <w:szCs w:val="22"/>
          <w:lang w:val="sl-SI"/>
        </w:rPr>
        <w:t xml:space="preserve"> </w:t>
      </w:r>
      <w:r>
        <w:rPr>
          <w:szCs w:val="22"/>
          <w:lang w:val="el-GR"/>
        </w:rPr>
        <w:t>διάλυμα</w:t>
      </w:r>
      <w:r>
        <w:rPr>
          <w:szCs w:val="22"/>
          <w:lang w:val="sl-SI"/>
        </w:rPr>
        <w:t xml:space="preserve"> </w:t>
      </w:r>
      <w:r>
        <w:rPr>
          <w:szCs w:val="22"/>
          <w:lang w:val="el-GR"/>
        </w:rPr>
        <w:t>κλοπιδογρέλης</w:t>
      </w:r>
      <w:r>
        <w:rPr>
          <w:szCs w:val="22"/>
          <w:lang w:val="sl-SI"/>
        </w:rPr>
        <w:t xml:space="preserve">. </w:t>
      </w:r>
      <w:r>
        <w:rPr>
          <w:szCs w:val="22"/>
          <w:lang w:val="el-GR"/>
        </w:rPr>
        <w:t>Σε</w:t>
      </w:r>
      <w:r>
        <w:rPr>
          <w:szCs w:val="22"/>
          <w:lang w:val="sl-SI"/>
        </w:rPr>
        <w:t xml:space="preserve"> </w:t>
      </w:r>
      <w:r>
        <w:rPr>
          <w:szCs w:val="22"/>
          <w:lang w:val="el-GR"/>
        </w:rPr>
        <w:t>μια</w:t>
      </w:r>
      <w:r>
        <w:rPr>
          <w:szCs w:val="22"/>
          <w:lang w:val="sl-SI"/>
        </w:rPr>
        <w:t xml:space="preserve"> </w:t>
      </w:r>
      <w:r>
        <w:rPr>
          <w:szCs w:val="22"/>
          <w:lang w:val="el-GR"/>
        </w:rPr>
        <w:t>σχετική</w:t>
      </w:r>
      <w:r>
        <w:rPr>
          <w:szCs w:val="22"/>
          <w:lang w:val="sl-SI"/>
        </w:rPr>
        <w:t xml:space="preserve"> </w:t>
      </w:r>
      <w:r>
        <w:rPr>
          <w:szCs w:val="22"/>
          <w:lang w:val="el-GR"/>
        </w:rPr>
        <w:t>μελέτη</w:t>
      </w:r>
      <w:r>
        <w:rPr>
          <w:szCs w:val="22"/>
          <w:lang w:val="sl-SI"/>
        </w:rPr>
        <w:t xml:space="preserve"> </w:t>
      </w:r>
      <w:r>
        <w:rPr>
          <w:szCs w:val="22"/>
          <w:lang w:val="el-GR"/>
        </w:rPr>
        <w:t>βιοδιαθεσιμότητας</w:t>
      </w:r>
      <w:r>
        <w:rPr>
          <w:szCs w:val="22"/>
          <w:lang w:val="sl-SI"/>
        </w:rPr>
        <w:t xml:space="preserve"> </w:t>
      </w:r>
      <w:r>
        <w:rPr>
          <w:szCs w:val="22"/>
          <w:lang w:val="el-GR"/>
        </w:rPr>
        <w:t>σε</w:t>
      </w:r>
      <w:r>
        <w:rPr>
          <w:szCs w:val="22"/>
          <w:lang w:val="sl-SI"/>
        </w:rPr>
        <w:t xml:space="preserve"> </w:t>
      </w:r>
      <w:r>
        <w:rPr>
          <w:szCs w:val="22"/>
          <w:lang w:val="el-GR"/>
        </w:rPr>
        <w:t>ενήλικες</w:t>
      </w:r>
      <w:r>
        <w:rPr>
          <w:szCs w:val="22"/>
          <w:lang w:val="sl-SI"/>
        </w:rPr>
        <w:t xml:space="preserve">, </w:t>
      </w:r>
      <w:r>
        <w:rPr>
          <w:szCs w:val="22"/>
          <w:lang w:val="el-GR"/>
        </w:rPr>
        <w:t>το</w:t>
      </w:r>
      <w:r>
        <w:rPr>
          <w:szCs w:val="22"/>
          <w:lang w:val="sl-SI"/>
        </w:rPr>
        <w:t xml:space="preserve"> </w:t>
      </w:r>
      <w:r>
        <w:rPr>
          <w:szCs w:val="22"/>
          <w:lang w:val="el-GR"/>
        </w:rPr>
        <w:t>συσταθέν</w:t>
      </w:r>
      <w:r>
        <w:rPr>
          <w:szCs w:val="22"/>
          <w:lang w:val="sl-SI"/>
        </w:rPr>
        <w:t xml:space="preserve"> </w:t>
      </w:r>
      <w:r>
        <w:rPr>
          <w:szCs w:val="22"/>
          <w:lang w:val="el-GR"/>
        </w:rPr>
        <w:t>διάλυμα</w:t>
      </w:r>
      <w:r>
        <w:rPr>
          <w:szCs w:val="22"/>
          <w:lang w:val="sl-SI"/>
        </w:rPr>
        <w:t xml:space="preserve"> </w:t>
      </w:r>
      <w:r>
        <w:rPr>
          <w:szCs w:val="22"/>
          <w:lang w:val="el-GR"/>
        </w:rPr>
        <w:t>κλοπιδογρέλης</w:t>
      </w:r>
      <w:r>
        <w:rPr>
          <w:szCs w:val="22"/>
          <w:lang w:val="sl-SI"/>
        </w:rPr>
        <w:t xml:space="preserve"> </w:t>
      </w:r>
      <w:r>
        <w:rPr>
          <w:szCs w:val="22"/>
          <w:lang w:val="el-GR"/>
        </w:rPr>
        <w:t>έδειξε</w:t>
      </w:r>
      <w:r>
        <w:rPr>
          <w:szCs w:val="22"/>
          <w:lang w:val="sl-SI"/>
        </w:rPr>
        <w:t xml:space="preserve"> </w:t>
      </w:r>
      <w:r>
        <w:rPr>
          <w:szCs w:val="22"/>
          <w:lang w:val="el-GR"/>
        </w:rPr>
        <w:t>παρόμοια</w:t>
      </w:r>
      <w:r>
        <w:rPr>
          <w:szCs w:val="22"/>
          <w:lang w:val="sl-SI"/>
        </w:rPr>
        <w:t xml:space="preserve"> </w:t>
      </w:r>
      <w:r>
        <w:rPr>
          <w:szCs w:val="22"/>
          <w:lang w:val="el-GR"/>
        </w:rPr>
        <w:t>έκταση</w:t>
      </w:r>
      <w:r>
        <w:rPr>
          <w:szCs w:val="22"/>
          <w:lang w:val="sl-SI"/>
        </w:rPr>
        <w:t xml:space="preserve"> </w:t>
      </w:r>
      <w:r>
        <w:rPr>
          <w:szCs w:val="22"/>
          <w:lang w:val="el-GR"/>
        </w:rPr>
        <w:t>και</w:t>
      </w:r>
      <w:r>
        <w:rPr>
          <w:szCs w:val="22"/>
          <w:lang w:val="sl-SI"/>
        </w:rPr>
        <w:t xml:space="preserve"> </w:t>
      </w:r>
      <w:r>
        <w:rPr>
          <w:szCs w:val="22"/>
          <w:lang w:val="el-GR"/>
        </w:rPr>
        <w:t>ελάχιστα</w:t>
      </w:r>
      <w:r>
        <w:rPr>
          <w:szCs w:val="22"/>
          <w:lang w:val="sl-SI"/>
        </w:rPr>
        <w:t xml:space="preserve"> </w:t>
      </w:r>
      <w:r>
        <w:rPr>
          <w:szCs w:val="22"/>
          <w:lang w:val="el-GR"/>
        </w:rPr>
        <w:t>υψηλότερο</w:t>
      </w:r>
      <w:r>
        <w:rPr>
          <w:szCs w:val="22"/>
          <w:lang w:val="sl-SI"/>
        </w:rPr>
        <w:t xml:space="preserve"> </w:t>
      </w:r>
      <w:r>
        <w:rPr>
          <w:szCs w:val="22"/>
          <w:lang w:val="el-GR"/>
        </w:rPr>
        <w:t>ποσοστό</w:t>
      </w:r>
      <w:r>
        <w:rPr>
          <w:szCs w:val="22"/>
          <w:lang w:val="sl-SI"/>
        </w:rPr>
        <w:t xml:space="preserve"> </w:t>
      </w:r>
      <w:r>
        <w:rPr>
          <w:szCs w:val="22"/>
          <w:lang w:val="el-GR"/>
        </w:rPr>
        <w:t>απορρόφησης</w:t>
      </w:r>
      <w:r>
        <w:rPr>
          <w:szCs w:val="22"/>
          <w:lang w:val="sl-SI"/>
        </w:rPr>
        <w:t xml:space="preserve"> </w:t>
      </w:r>
      <w:r>
        <w:rPr>
          <w:szCs w:val="22"/>
          <w:lang w:val="el-GR"/>
        </w:rPr>
        <w:t>του</w:t>
      </w:r>
      <w:r>
        <w:rPr>
          <w:szCs w:val="22"/>
          <w:lang w:val="sl-SI"/>
        </w:rPr>
        <w:t xml:space="preserve"> </w:t>
      </w:r>
      <w:r>
        <w:rPr>
          <w:szCs w:val="22"/>
          <w:lang w:val="el-GR"/>
        </w:rPr>
        <w:t>κύριου</w:t>
      </w:r>
      <w:r>
        <w:rPr>
          <w:szCs w:val="22"/>
          <w:lang w:val="sl-SI"/>
        </w:rPr>
        <w:t xml:space="preserve"> </w:t>
      </w:r>
      <w:r>
        <w:rPr>
          <w:szCs w:val="22"/>
          <w:lang w:val="el-GR"/>
        </w:rPr>
        <w:t>κυκλοφορούντος</w:t>
      </w:r>
      <w:r>
        <w:rPr>
          <w:szCs w:val="22"/>
          <w:lang w:val="sl-SI"/>
        </w:rPr>
        <w:t xml:space="preserve"> (</w:t>
      </w:r>
      <w:r>
        <w:rPr>
          <w:szCs w:val="22"/>
          <w:lang w:val="el-GR"/>
        </w:rPr>
        <w:t>ανενεργού</w:t>
      </w:r>
      <w:r>
        <w:rPr>
          <w:szCs w:val="22"/>
          <w:lang w:val="sl-SI"/>
        </w:rPr>
        <w:t xml:space="preserve">) </w:t>
      </w:r>
      <w:r>
        <w:rPr>
          <w:szCs w:val="22"/>
          <w:lang w:val="el-GR"/>
        </w:rPr>
        <w:t>μεταβολίτη</w:t>
      </w:r>
      <w:r>
        <w:rPr>
          <w:szCs w:val="22"/>
          <w:lang w:val="sl-SI"/>
        </w:rPr>
        <w:t xml:space="preserve"> </w:t>
      </w:r>
      <w:r>
        <w:rPr>
          <w:szCs w:val="22"/>
          <w:lang w:val="el-GR"/>
        </w:rPr>
        <w:t>συγκριτικά</w:t>
      </w:r>
      <w:r>
        <w:rPr>
          <w:szCs w:val="22"/>
          <w:lang w:val="sl-SI"/>
        </w:rPr>
        <w:t xml:space="preserve"> </w:t>
      </w:r>
      <w:r>
        <w:rPr>
          <w:szCs w:val="22"/>
          <w:lang w:val="el-GR"/>
        </w:rPr>
        <w:t>με</w:t>
      </w:r>
      <w:r>
        <w:rPr>
          <w:szCs w:val="22"/>
          <w:lang w:val="sl-SI"/>
        </w:rPr>
        <w:t xml:space="preserve"> </w:t>
      </w:r>
      <w:r>
        <w:rPr>
          <w:szCs w:val="22"/>
          <w:lang w:val="el-GR"/>
        </w:rPr>
        <w:t>το</w:t>
      </w:r>
      <w:r>
        <w:rPr>
          <w:szCs w:val="22"/>
          <w:lang w:val="sl-SI"/>
        </w:rPr>
        <w:t xml:space="preserve"> </w:t>
      </w:r>
      <w:r>
        <w:rPr>
          <w:szCs w:val="22"/>
          <w:lang w:val="el-GR"/>
        </w:rPr>
        <w:t>εγκεκριμένο</w:t>
      </w:r>
      <w:r>
        <w:rPr>
          <w:szCs w:val="22"/>
          <w:lang w:val="sl-SI"/>
        </w:rPr>
        <w:t xml:space="preserve"> </w:t>
      </w:r>
      <w:r>
        <w:rPr>
          <w:szCs w:val="22"/>
          <w:lang w:val="el-GR"/>
        </w:rPr>
        <w:t>δισκίο</w:t>
      </w:r>
      <w:r>
        <w:rPr>
          <w:szCs w:val="22"/>
          <w:lang w:val="sl-SI"/>
        </w:rPr>
        <w:t>.</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5.2</w:t>
      </w:r>
      <w:r>
        <w:rPr>
          <w:b/>
          <w:noProof/>
          <w:szCs w:val="22"/>
          <w:lang w:val="el-GR"/>
        </w:rPr>
        <w:tab/>
        <w:t>Φαρμακοκινητικές ιδιότητες</w:t>
      </w:r>
    </w:p>
    <w:p>
      <w:pPr>
        <w:widowControl w:val="0"/>
        <w:spacing w:line="240" w:lineRule="auto"/>
        <w:rPr>
          <w:noProof/>
          <w:szCs w:val="22"/>
          <w:lang w:val="el-GR"/>
        </w:rPr>
      </w:pPr>
    </w:p>
    <w:p>
      <w:pPr>
        <w:widowControl w:val="0"/>
        <w:tabs>
          <w:tab w:val="clear" w:pos="567"/>
        </w:tabs>
        <w:spacing w:line="240" w:lineRule="auto"/>
        <w:rPr>
          <w:i/>
          <w:szCs w:val="22"/>
          <w:lang w:val="el-GR"/>
        </w:rPr>
      </w:pPr>
      <w:r>
        <w:rPr>
          <w:i/>
          <w:szCs w:val="22"/>
          <w:lang w:val="el-GR"/>
        </w:rPr>
        <w:t>Απορρόφηση</w:t>
      </w:r>
    </w:p>
    <w:p>
      <w:pPr>
        <w:widowControl w:val="0"/>
        <w:tabs>
          <w:tab w:val="left" w:pos="0"/>
          <w:tab w:val="left" w:pos="142"/>
        </w:tabs>
        <w:spacing w:line="240" w:lineRule="auto"/>
        <w:rPr>
          <w:szCs w:val="22"/>
          <w:lang w:val="el-GR"/>
        </w:rPr>
      </w:pPr>
      <w:r>
        <w:rPr>
          <w:szCs w:val="22"/>
          <w:lang w:val="el-GR"/>
        </w:rPr>
        <w:t>Μετά από εφάπαξ και επαναλαμβανόμενες ημερήσιες δόσεις 75 mg από στόματος, η κλοπιδογρέλη απορροφάται ταχέως. Το μέσο υψηλότερο επίπεδο της αμετάβλητης κλοπιδογρέλης στο πλάσμα (κατά προσέγγιση 2,2</w:t>
      </w:r>
      <w:r>
        <w:rPr>
          <w:szCs w:val="22"/>
          <w:lang w:val="sl-SI"/>
        </w:rPr>
        <w:t>-</w:t>
      </w:r>
      <w:r>
        <w:rPr>
          <w:szCs w:val="22"/>
          <w:lang w:val="el-GR"/>
        </w:rPr>
        <w:t>2,5 ng/ml μετά από εφάπαξ δόση 75 mg από στόματος) εμφανίστηκε περίπου 45 λεπτά μετά τη χορήγηση της δόσης. Η απορρόφηση είναι τουλάχιστον 50% με βάση τη μέτρηση αποβολής των μεταβολιτών της κλοπιδογρέλης στα ούρα.</w:t>
      </w:r>
    </w:p>
    <w:p>
      <w:pPr>
        <w:widowControl w:val="0"/>
        <w:tabs>
          <w:tab w:val="left" w:pos="0"/>
          <w:tab w:val="left" w:pos="142"/>
        </w:tabs>
        <w:spacing w:line="240" w:lineRule="auto"/>
        <w:rPr>
          <w:szCs w:val="22"/>
          <w:lang w:val="el-GR"/>
        </w:rPr>
      </w:pPr>
    </w:p>
    <w:p>
      <w:pPr>
        <w:widowControl w:val="0"/>
        <w:tabs>
          <w:tab w:val="clear" w:pos="567"/>
        </w:tabs>
        <w:spacing w:line="240" w:lineRule="auto"/>
        <w:rPr>
          <w:i/>
          <w:szCs w:val="22"/>
          <w:lang w:val="el-GR"/>
        </w:rPr>
      </w:pPr>
      <w:r>
        <w:rPr>
          <w:i/>
          <w:szCs w:val="22"/>
          <w:lang w:val="el-GR"/>
        </w:rPr>
        <w:t>Κατανομή</w:t>
      </w:r>
    </w:p>
    <w:p>
      <w:pPr>
        <w:widowControl w:val="0"/>
        <w:tabs>
          <w:tab w:val="left" w:pos="0"/>
          <w:tab w:val="left" w:pos="142"/>
        </w:tabs>
        <w:spacing w:line="240" w:lineRule="auto"/>
        <w:rPr>
          <w:szCs w:val="22"/>
          <w:lang w:val="el-GR"/>
        </w:rPr>
      </w:pPr>
      <w:r>
        <w:rPr>
          <w:szCs w:val="22"/>
          <w:lang w:val="el-GR"/>
        </w:rPr>
        <w:t xml:space="preserve">Η κλοπιδογρέλη και ο κύριος κυκλοφορών (ανενεργός) μεταβολίτης της δεσμεύονται αναστρέψιμα με πρωτεΐνες του ανθρώπινου πλάσματος (98% και 94% αντίστοιχα) </w:t>
      </w:r>
      <w:r>
        <w:rPr>
          <w:i/>
          <w:szCs w:val="22"/>
          <w:lang w:val="el-GR"/>
        </w:rPr>
        <w:t>in vitro</w:t>
      </w:r>
      <w:r>
        <w:rPr>
          <w:szCs w:val="22"/>
          <w:lang w:val="el-GR"/>
        </w:rPr>
        <w:t xml:space="preserve">. Η δέσμευση </w:t>
      </w:r>
      <w:r>
        <w:rPr>
          <w:i/>
          <w:szCs w:val="22"/>
          <w:lang w:val="el-GR"/>
        </w:rPr>
        <w:t>in vitro</w:t>
      </w:r>
      <w:r>
        <w:rPr>
          <w:szCs w:val="22"/>
          <w:lang w:val="el-GR"/>
        </w:rPr>
        <w:t xml:space="preserve"> δεν φτάνει μέχρι κορεσμού για ένα ευρύ φάσμα συγκέντρωσης.</w:t>
      </w:r>
    </w:p>
    <w:p>
      <w:pPr>
        <w:widowControl w:val="0"/>
        <w:tabs>
          <w:tab w:val="left" w:pos="0"/>
          <w:tab w:val="left" w:pos="142"/>
        </w:tabs>
        <w:spacing w:line="240" w:lineRule="auto"/>
        <w:rPr>
          <w:szCs w:val="22"/>
          <w:lang w:val="el-GR"/>
        </w:rPr>
      </w:pPr>
    </w:p>
    <w:p>
      <w:pPr>
        <w:widowControl w:val="0"/>
        <w:tabs>
          <w:tab w:val="clear" w:pos="567"/>
        </w:tabs>
        <w:spacing w:line="240" w:lineRule="auto"/>
        <w:rPr>
          <w:i/>
          <w:szCs w:val="22"/>
          <w:lang w:val="el-GR"/>
        </w:rPr>
      </w:pPr>
      <w:r>
        <w:rPr>
          <w:i/>
          <w:szCs w:val="22"/>
          <w:lang w:val="el-GR"/>
        </w:rPr>
        <w:t>Βιομετασχηματισμός</w:t>
      </w:r>
    </w:p>
    <w:p>
      <w:pPr>
        <w:widowControl w:val="0"/>
        <w:tabs>
          <w:tab w:val="left" w:pos="0"/>
          <w:tab w:val="left" w:pos="142"/>
        </w:tabs>
        <w:spacing w:line="240" w:lineRule="auto"/>
        <w:rPr>
          <w:szCs w:val="22"/>
          <w:lang w:val="el-GR"/>
        </w:rPr>
      </w:pPr>
      <w:r>
        <w:rPr>
          <w:szCs w:val="22"/>
          <w:lang w:val="el-GR"/>
        </w:rPr>
        <w:t xml:space="preserve">Η κλοπιδογρέλη μεταβολίζεται εκτεταμένα στο ήπαρ. </w:t>
      </w:r>
      <w:r>
        <w:rPr>
          <w:i/>
          <w:szCs w:val="22"/>
          <w:lang w:val="el-GR"/>
        </w:rPr>
        <w:t xml:space="preserve">In vitro </w:t>
      </w:r>
      <w:r>
        <w:rPr>
          <w:szCs w:val="22"/>
          <w:lang w:val="el-GR"/>
        </w:rPr>
        <w:t xml:space="preserve">και </w:t>
      </w:r>
      <w:r>
        <w:rPr>
          <w:i/>
          <w:szCs w:val="22"/>
          <w:lang w:val="el-GR"/>
        </w:rPr>
        <w:t>in vivo</w:t>
      </w:r>
      <w:r>
        <w:rPr>
          <w:szCs w:val="22"/>
          <w:lang w:val="el-GR"/>
        </w:rPr>
        <w:t xml:space="preserve">, η κλοπιδογρέλη μεταβολίζεται μέσω δύο κύριων μεταβολικών οδών: μία κατά την οποία με τη μεσολάβηση εστερασών υδρολύεται στο ανενεργό παράγωγο του καρβοξυλικού οξέος (85% των κυκλοφορούντων μεταβολιτών) και μία με τη μεσολάβηση πολλαπλών κυτοχρωμάτων Ρ450. Η κλοπιδογρέλη μεταβολίζεται αρχικά στον ενδιάμεσο μεταβολίτη 2-oxo-clopidogrel. Επακόλουθος μεταβολισμός του ενδιάμεσου μεταβολίτη 2-oxo-clopidogrel έχει ως αποτέλεσμα το σχηματισμό του δραστικού μεταβολίτη, ένα παράγωγο θειόλης της κλοπιδογρέλης. </w:t>
      </w:r>
      <w:r>
        <w:rPr>
          <w:lang w:val="el-GR"/>
        </w:rPr>
        <w:t>Ο δραστικός μεταβολίτης σχηματίζεται κυρίως από το</w:t>
      </w:r>
      <w:r>
        <w:rPr>
          <w:szCs w:val="22"/>
          <w:lang w:val="el-GR"/>
        </w:rPr>
        <w:t xml:space="preserve"> </w:t>
      </w:r>
      <w:r>
        <w:rPr>
          <w:szCs w:val="22"/>
        </w:rPr>
        <w:t>CYP</w:t>
      </w:r>
      <w:r>
        <w:rPr>
          <w:szCs w:val="22"/>
          <w:lang w:val="el-GR"/>
        </w:rPr>
        <w:t>2</w:t>
      </w:r>
      <w:r>
        <w:rPr>
          <w:szCs w:val="22"/>
        </w:rPr>
        <w:t>C</w:t>
      </w:r>
      <w:r>
        <w:rPr>
          <w:szCs w:val="22"/>
          <w:lang w:val="el-GR"/>
        </w:rPr>
        <w:t xml:space="preserve">19 με τη συμβολή από διάφορα άλλα ένζυμα </w:t>
      </w:r>
      <w:r>
        <w:rPr>
          <w:szCs w:val="22"/>
        </w:rPr>
        <w:t>CYP</w:t>
      </w:r>
      <w:r>
        <w:rPr>
          <w:szCs w:val="22"/>
          <w:lang w:val="el-GR"/>
        </w:rPr>
        <w:t>, περιλαμβανομένων των</w:t>
      </w:r>
      <w:r>
        <w:rPr>
          <w:lang w:val="el-GR"/>
        </w:rPr>
        <w:t xml:space="preserve"> </w:t>
      </w:r>
      <w:r>
        <w:rPr>
          <w:lang w:val="en-US"/>
        </w:rPr>
        <w:t>CYP</w:t>
      </w:r>
      <w:r>
        <w:rPr>
          <w:lang w:val="el-GR"/>
        </w:rPr>
        <w:t>1</w:t>
      </w:r>
      <w:r>
        <w:rPr>
          <w:lang w:val="en-US"/>
        </w:rPr>
        <w:t>A</w:t>
      </w:r>
      <w:r>
        <w:rPr>
          <w:lang w:val="el-GR"/>
        </w:rPr>
        <w:t xml:space="preserve">2, </w:t>
      </w:r>
      <w:r>
        <w:rPr>
          <w:lang w:val="en-US"/>
        </w:rPr>
        <w:t>CYP</w:t>
      </w:r>
      <w:r>
        <w:rPr>
          <w:lang w:val="el-GR"/>
        </w:rPr>
        <w:t>2</w:t>
      </w:r>
      <w:r>
        <w:rPr>
          <w:lang w:val="en-US"/>
        </w:rPr>
        <w:t>B</w:t>
      </w:r>
      <w:r>
        <w:rPr>
          <w:lang w:val="el-GR"/>
        </w:rPr>
        <w:t xml:space="preserve">6 και </w:t>
      </w:r>
      <w:r>
        <w:rPr>
          <w:lang w:val="en-US"/>
        </w:rPr>
        <w:t>CYP</w:t>
      </w:r>
      <w:r>
        <w:rPr>
          <w:lang w:val="el-GR"/>
        </w:rPr>
        <w:t>3</w:t>
      </w:r>
      <w:r>
        <w:rPr>
          <w:lang w:val="en-US"/>
        </w:rPr>
        <w:t>A</w:t>
      </w:r>
      <w:r>
        <w:rPr>
          <w:lang w:val="el-GR"/>
        </w:rPr>
        <w:t>4</w:t>
      </w:r>
      <w:r>
        <w:rPr>
          <w:szCs w:val="22"/>
          <w:lang w:val="el-GR"/>
        </w:rPr>
        <w:t xml:space="preserve">. Ο δραστικός μεταβολίτης θειόλη, ο οποίος απομονώθηκε </w:t>
      </w:r>
      <w:r>
        <w:rPr>
          <w:i/>
          <w:szCs w:val="22"/>
          <w:lang w:val="el-GR"/>
        </w:rPr>
        <w:t>in vitro</w:t>
      </w:r>
      <w:r>
        <w:rPr>
          <w:szCs w:val="22"/>
          <w:lang w:val="el-GR"/>
        </w:rPr>
        <w:t>, συνδέεται γρήγορα και μη αναστρέψιμα με υποδοχείς αιμοπεταλίων, αναστέλλοντας έτσι τη συσσώρευση των αιμοπεταλίων.</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Η </w:t>
      </w:r>
      <w:r>
        <w:rPr>
          <w:szCs w:val="22"/>
          <w:lang w:val="en-US"/>
        </w:rPr>
        <w:t>C</w:t>
      </w:r>
      <w:r>
        <w:rPr>
          <w:szCs w:val="22"/>
          <w:vertAlign w:val="subscript"/>
          <w:lang w:val="en-US"/>
        </w:rPr>
        <w:t>max</w:t>
      </w:r>
      <w:r>
        <w:rPr>
          <w:szCs w:val="22"/>
          <w:lang w:val="el-GR"/>
        </w:rPr>
        <w:t xml:space="preserve"> του δραστικού μεταβολίτη είναι διπλάσια μετά από μια εφάπαξ δόση φόρτισης των 300</w:t>
      </w:r>
      <w:r>
        <w:rPr>
          <w:szCs w:val="22"/>
          <w:lang w:val="en-US"/>
        </w:rPr>
        <w:t> mg</w:t>
      </w:r>
      <w:r>
        <w:rPr>
          <w:szCs w:val="22"/>
          <w:lang w:val="el-GR"/>
        </w:rPr>
        <w:t xml:space="preserve"> όπως είναι μετά από τέσσερις ημέρες με δόση συντήρησης των 75</w:t>
      </w:r>
      <w:r>
        <w:rPr>
          <w:szCs w:val="22"/>
          <w:lang w:val="en-US"/>
        </w:rPr>
        <w:t> mg</w:t>
      </w:r>
      <w:r>
        <w:rPr>
          <w:szCs w:val="22"/>
          <w:lang w:val="el-GR"/>
        </w:rPr>
        <w:t xml:space="preserve">. Η </w:t>
      </w:r>
      <w:r>
        <w:rPr>
          <w:szCs w:val="22"/>
          <w:lang w:val="en-US"/>
        </w:rPr>
        <w:t>C</w:t>
      </w:r>
      <w:r>
        <w:rPr>
          <w:szCs w:val="22"/>
          <w:vertAlign w:val="subscript"/>
          <w:lang w:val="en-US"/>
        </w:rPr>
        <w:t>max</w:t>
      </w:r>
      <w:r>
        <w:rPr>
          <w:szCs w:val="22"/>
          <w:lang w:val="el-GR"/>
        </w:rPr>
        <w:t xml:space="preserve"> παρατηρείται κατά προσέγγιση 30 έως 60 λεπτά μετά τη χορήγηση της δόσης.</w:t>
      </w:r>
    </w:p>
    <w:p>
      <w:pPr>
        <w:widowControl w:val="0"/>
        <w:tabs>
          <w:tab w:val="left" w:pos="0"/>
          <w:tab w:val="left" w:pos="142"/>
        </w:tabs>
        <w:spacing w:line="240" w:lineRule="auto"/>
        <w:rPr>
          <w:szCs w:val="22"/>
          <w:lang w:val="el-GR"/>
        </w:rPr>
      </w:pPr>
    </w:p>
    <w:p>
      <w:pPr>
        <w:widowControl w:val="0"/>
        <w:tabs>
          <w:tab w:val="clear" w:pos="567"/>
        </w:tabs>
        <w:spacing w:line="240" w:lineRule="auto"/>
        <w:rPr>
          <w:i/>
          <w:szCs w:val="22"/>
          <w:lang w:val="el-GR"/>
        </w:rPr>
      </w:pPr>
      <w:r>
        <w:rPr>
          <w:i/>
          <w:szCs w:val="22"/>
          <w:lang w:val="el-GR"/>
        </w:rPr>
        <w:t>Αποβολή</w:t>
      </w:r>
    </w:p>
    <w:p>
      <w:pPr>
        <w:widowControl w:val="0"/>
        <w:tabs>
          <w:tab w:val="left" w:pos="0"/>
          <w:tab w:val="left" w:pos="142"/>
        </w:tabs>
        <w:spacing w:line="240" w:lineRule="auto"/>
        <w:rPr>
          <w:szCs w:val="22"/>
          <w:lang w:val="el-GR"/>
        </w:rPr>
      </w:pPr>
      <w:r>
        <w:rPr>
          <w:szCs w:val="22"/>
          <w:lang w:val="el-GR"/>
        </w:rPr>
        <w:t xml:space="preserve">Στον άνθρωπο μετά από μία από του στόματος δόση κλοπιδογρέλης σεσημασμένης με </w:t>
      </w:r>
      <w:r>
        <w:rPr>
          <w:szCs w:val="22"/>
          <w:vertAlign w:val="superscript"/>
          <w:lang w:val="el-GR"/>
        </w:rPr>
        <w:t>14</w:t>
      </w:r>
      <w:r>
        <w:rPr>
          <w:szCs w:val="22"/>
          <w:lang w:val="el-GR"/>
        </w:rPr>
        <w:t>C, το 50% περίπου αποβάλλεται με τα ούρα και το 46% περίπου με τα κόπρανα σε διάστημα 120 ωρών μετά από τη λήψη της δόσης. Μετά από εφάπαξ δόση 75 </w:t>
      </w:r>
      <w:r>
        <w:rPr>
          <w:szCs w:val="22"/>
          <w:lang w:val="en-US"/>
        </w:rPr>
        <w:t>mg</w:t>
      </w:r>
      <w:r>
        <w:rPr>
          <w:szCs w:val="22"/>
          <w:lang w:val="el-GR"/>
        </w:rPr>
        <w:t xml:space="preserve"> από του στόματος, η κλοπιδογρέλη έχει χρόνο ημίσειας ζωής περίπου 6 ώρες. Ο χρόνος ημίσειας ζωής αποβολής του κύριου κυκλοφορούντος (ανενεργού) μεταβολίτη ήταν 8 ώρες, μετά από εφάπαξ και επαναλαμβανόμενη χορήγηση.</w:t>
      </w:r>
    </w:p>
    <w:p>
      <w:pPr>
        <w:widowControl w:val="0"/>
        <w:tabs>
          <w:tab w:val="left" w:pos="0"/>
          <w:tab w:val="left" w:pos="142"/>
        </w:tabs>
        <w:spacing w:line="240" w:lineRule="auto"/>
        <w:rPr>
          <w:szCs w:val="22"/>
          <w:lang w:val="el-GR"/>
        </w:rPr>
      </w:pPr>
    </w:p>
    <w:p>
      <w:pPr>
        <w:widowControl w:val="0"/>
        <w:tabs>
          <w:tab w:val="clear" w:pos="567"/>
        </w:tabs>
        <w:spacing w:line="240" w:lineRule="auto"/>
        <w:rPr>
          <w:i/>
          <w:szCs w:val="22"/>
          <w:lang w:val="el-GR"/>
        </w:rPr>
      </w:pPr>
      <w:r>
        <w:rPr>
          <w:i/>
          <w:szCs w:val="22"/>
          <w:lang w:val="el-GR"/>
        </w:rPr>
        <w:t>Φαρμακογενετική</w:t>
      </w:r>
    </w:p>
    <w:p>
      <w:pPr>
        <w:widowControl w:val="0"/>
        <w:tabs>
          <w:tab w:val="left" w:pos="0"/>
          <w:tab w:val="left" w:pos="142"/>
        </w:tabs>
        <w:spacing w:line="240" w:lineRule="auto"/>
        <w:rPr>
          <w:szCs w:val="22"/>
          <w:lang w:val="el-GR"/>
        </w:rPr>
      </w:pPr>
      <w:r>
        <w:rPr>
          <w:szCs w:val="22"/>
          <w:lang w:val="el-GR"/>
        </w:rPr>
        <w:t xml:space="preserve">Το </w:t>
      </w:r>
      <w:r>
        <w:rPr>
          <w:szCs w:val="22"/>
          <w:lang w:val="en-US"/>
        </w:rPr>
        <w:t>CYP</w:t>
      </w:r>
      <w:r>
        <w:rPr>
          <w:szCs w:val="22"/>
          <w:lang w:val="el-GR"/>
        </w:rPr>
        <w:t>2</w:t>
      </w:r>
      <w:r>
        <w:rPr>
          <w:szCs w:val="22"/>
          <w:lang w:val="en-US"/>
        </w:rPr>
        <w:t>C</w:t>
      </w:r>
      <w:r>
        <w:rPr>
          <w:szCs w:val="22"/>
          <w:lang w:val="el-GR"/>
        </w:rPr>
        <w:t>19 εμπλέκεται στο σχηματισμό τόσο του δραστικού μεταβολίτη όσο και του ενδιάμεσου μεταβολίτη 2-</w:t>
      </w:r>
      <w:r>
        <w:rPr>
          <w:szCs w:val="22"/>
          <w:lang w:val="en-US"/>
        </w:rPr>
        <w:t>oxo</w:t>
      </w:r>
      <w:r>
        <w:rPr>
          <w:szCs w:val="22"/>
          <w:lang w:val="el-GR"/>
        </w:rPr>
        <w:t>-</w:t>
      </w:r>
      <w:r>
        <w:rPr>
          <w:szCs w:val="22"/>
          <w:lang w:val="en-US"/>
        </w:rPr>
        <w:t>clopidogrel</w:t>
      </w:r>
      <w:r>
        <w:rPr>
          <w:szCs w:val="22"/>
          <w:lang w:val="el-GR"/>
        </w:rPr>
        <w:t xml:space="preserve">. Η φαρμακοκινητική και η αντιαιμοπεταλιακή δράση του δραστικού μεταβολίτη της κλοπιδογρέλης, όπως μετρήθηκαν με </w:t>
      </w:r>
      <w:r>
        <w:rPr>
          <w:i/>
          <w:szCs w:val="22"/>
          <w:lang w:val="en-US"/>
        </w:rPr>
        <w:t>ex</w:t>
      </w:r>
      <w:r>
        <w:rPr>
          <w:i/>
          <w:szCs w:val="22"/>
          <w:lang w:val="el-GR"/>
        </w:rPr>
        <w:t xml:space="preserve"> </w:t>
      </w:r>
      <w:r>
        <w:rPr>
          <w:i/>
          <w:szCs w:val="22"/>
          <w:lang w:val="en-US"/>
        </w:rPr>
        <w:t>vivo</w:t>
      </w:r>
      <w:r>
        <w:rPr>
          <w:i/>
          <w:szCs w:val="22"/>
          <w:lang w:val="el-GR"/>
        </w:rPr>
        <w:t xml:space="preserve"> </w:t>
      </w:r>
      <w:r>
        <w:rPr>
          <w:szCs w:val="22"/>
          <w:lang w:val="el-GR"/>
        </w:rPr>
        <w:t xml:space="preserve">μετρήσεις της συσσώρευσης αιμοπεταλίων, διαφέρουν ανάλογα με το γονότυπο του </w:t>
      </w:r>
      <w:r>
        <w:rPr>
          <w:szCs w:val="22"/>
          <w:lang w:val="en-US"/>
        </w:rPr>
        <w:t>CYP</w:t>
      </w:r>
      <w:r>
        <w:rPr>
          <w:szCs w:val="22"/>
          <w:lang w:val="el-GR"/>
        </w:rPr>
        <w:t>2</w:t>
      </w:r>
      <w:r>
        <w:rPr>
          <w:szCs w:val="22"/>
          <w:lang w:val="en-US"/>
        </w:rPr>
        <w:t>C</w:t>
      </w:r>
      <w:r>
        <w:rPr>
          <w:szCs w:val="22"/>
          <w:lang w:val="el-GR"/>
        </w:rPr>
        <w:t>19.</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Το αλληλόμορφο </w:t>
      </w:r>
      <w:r>
        <w:rPr>
          <w:szCs w:val="22"/>
          <w:lang w:val="en-US"/>
        </w:rPr>
        <w:t>CYP</w:t>
      </w:r>
      <w:r>
        <w:rPr>
          <w:szCs w:val="22"/>
          <w:lang w:val="el-GR"/>
        </w:rPr>
        <w:t>2</w:t>
      </w:r>
      <w:r>
        <w:rPr>
          <w:szCs w:val="22"/>
          <w:lang w:val="en-US"/>
        </w:rPr>
        <w:t>C</w:t>
      </w:r>
      <w:r>
        <w:rPr>
          <w:szCs w:val="22"/>
          <w:lang w:val="el-GR"/>
        </w:rPr>
        <w:t xml:space="preserve">19*1 αντιστοιχεί σε πλήρως λειτουργικό μεταβολισμό ενώ τα αλληλόμορφα </w:t>
      </w:r>
      <w:r>
        <w:rPr>
          <w:szCs w:val="22"/>
          <w:lang w:val="en-US"/>
        </w:rPr>
        <w:t>CYP</w:t>
      </w:r>
      <w:r>
        <w:rPr>
          <w:szCs w:val="22"/>
          <w:lang w:val="el-GR"/>
        </w:rPr>
        <w:t>2</w:t>
      </w:r>
      <w:r>
        <w:rPr>
          <w:szCs w:val="22"/>
          <w:lang w:val="en-US"/>
        </w:rPr>
        <w:t>C</w:t>
      </w:r>
      <w:r>
        <w:rPr>
          <w:szCs w:val="22"/>
          <w:lang w:val="el-GR"/>
        </w:rPr>
        <w:t xml:space="preserve">19*2 και </w:t>
      </w:r>
      <w:r>
        <w:rPr>
          <w:szCs w:val="22"/>
          <w:lang w:val="en-US"/>
        </w:rPr>
        <w:t>CYP</w:t>
      </w:r>
      <w:r>
        <w:rPr>
          <w:szCs w:val="22"/>
          <w:lang w:val="el-GR"/>
        </w:rPr>
        <w:t>2</w:t>
      </w:r>
      <w:r>
        <w:rPr>
          <w:szCs w:val="22"/>
          <w:lang w:val="en-US"/>
        </w:rPr>
        <w:t>C</w:t>
      </w:r>
      <w:r>
        <w:rPr>
          <w:szCs w:val="22"/>
          <w:lang w:val="el-GR"/>
        </w:rPr>
        <w:t>19*3 είναι μη λειτουργικά</w:t>
      </w:r>
      <w:r>
        <w:rPr>
          <w:szCs w:val="22"/>
          <w:u w:val="single"/>
          <w:lang w:val="el-GR"/>
        </w:rPr>
        <w:t>.</w:t>
      </w:r>
      <w:r>
        <w:rPr>
          <w:szCs w:val="22"/>
          <w:lang w:val="el-GR"/>
        </w:rPr>
        <w:t xml:space="preserve"> Τα αλληλόμορφα </w:t>
      </w:r>
      <w:r>
        <w:rPr>
          <w:szCs w:val="22"/>
          <w:lang w:val="en-US"/>
        </w:rPr>
        <w:t>CYP</w:t>
      </w:r>
      <w:r>
        <w:rPr>
          <w:szCs w:val="22"/>
          <w:lang w:val="el-GR"/>
        </w:rPr>
        <w:t>2</w:t>
      </w:r>
      <w:r>
        <w:rPr>
          <w:szCs w:val="22"/>
          <w:lang w:val="en-US"/>
        </w:rPr>
        <w:t>C</w:t>
      </w:r>
      <w:r>
        <w:rPr>
          <w:szCs w:val="22"/>
          <w:lang w:val="el-GR"/>
        </w:rPr>
        <w:t xml:space="preserve">19*2 και </w:t>
      </w:r>
      <w:r>
        <w:rPr>
          <w:szCs w:val="22"/>
          <w:lang w:val="en-US"/>
        </w:rPr>
        <w:t>CYP</w:t>
      </w:r>
      <w:r>
        <w:rPr>
          <w:szCs w:val="22"/>
          <w:lang w:val="el-GR"/>
        </w:rPr>
        <w:t>2</w:t>
      </w:r>
      <w:r>
        <w:rPr>
          <w:szCs w:val="22"/>
          <w:lang w:val="en-US"/>
        </w:rPr>
        <w:t>C</w:t>
      </w:r>
      <w:r>
        <w:rPr>
          <w:szCs w:val="22"/>
          <w:lang w:val="el-GR"/>
        </w:rPr>
        <w:t xml:space="preserve">19*3 ευθύνονται για την πλειοψηφία των αλληλόμορφων με μειωμένη λειτουργία στους Καυκάσιους (85%) και στους Ασιάτες (99%) με μειωμένη μεταβολική λειτουργία. Άλλα αλληλόμορφα που σχετίζονται με απόντα ή μειωμένο μεταβολισμό είναι λιγότερο συχνά και περιλαμβάνουν τα </w:t>
      </w:r>
      <w:r>
        <w:rPr>
          <w:szCs w:val="22"/>
          <w:lang w:val="en-US"/>
        </w:rPr>
        <w:t>CYP</w:t>
      </w:r>
      <w:r>
        <w:rPr>
          <w:szCs w:val="22"/>
          <w:lang w:val="el-GR"/>
        </w:rPr>
        <w:t>2</w:t>
      </w:r>
      <w:r>
        <w:rPr>
          <w:szCs w:val="22"/>
          <w:lang w:val="en-US"/>
        </w:rPr>
        <w:t>C</w:t>
      </w:r>
      <w:r>
        <w:rPr>
          <w:szCs w:val="22"/>
          <w:lang w:val="el-GR"/>
        </w:rPr>
        <w:t xml:space="preserve">19*4, *5, *6, *7 και *8. Ένας ασθενής με μειωμένη μεταβολική λειτουργία θα διαθέτει δύο αλληλόμορφα με έλλειψη λειτουργίας όπως ορίζεται παραπάνω. Δημοσιευμένες συχνότητες γονοτύπων του </w:t>
      </w:r>
      <w:r>
        <w:rPr>
          <w:szCs w:val="22"/>
          <w:lang w:val="en-US"/>
        </w:rPr>
        <w:t>CYP</w:t>
      </w:r>
      <w:r>
        <w:rPr>
          <w:szCs w:val="22"/>
          <w:lang w:val="el-GR"/>
        </w:rPr>
        <w:t>2</w:t>
      </w:r>
      <w:r>
        <w:rPr>
          <w:szCs w:val="22"/>
          <w:lang w:val="en-US"/>
        </w:rPr>
        <w:t>C</w:t>
      </w:r>
      <w:r>
        <w:rPr>
          <w:szCs w:val="22"/>
          <w:lang w:val="el-GR"/>
        </w:rPr>
        <w:t xml:space="preserve">19 με μειωμένη μεταβολική λειτουργία είναι κατά προσέγγιση 2% για τους Καυκάσιους, 4% για τους Έγχρωμους και 14% για τους Κινέζους. Υπάρχουν διαθέσιμες δοκιμασίες για τον προσδιορισμό του γονοτύπου του </w:t>
      </w:r>
      <w:r>
        <w:rPr>
          <w:szCs w:val="22"/>
          <w:lang w:val="en-US"/>
        </w:rPr>
        <w:t>CYP</w:t>
      </w:r>
      <w:r>
        <w:rPr>
          <w:szCs w:val="22"/>
          <w:lang w:val="el-GR"/>
        </w:rPr>
        <w:t>2</w:t>
      </w:r>
      <w:r>
        <w:rPr>
          <w:szCs w:val="22"/>
          <w:lang w:val="en-US"/>
        </w:rPr>
        <w:t>C</w:t>
      </w:r>
      <w:r>
        <w:rPr>
          <w:szCs w:val="22"/>
          <w:lang w:val="el-GR"/>
        </w:rPr>
        <w:t>19 ενός ασθενή.</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Μια διασταυρούμενη μελέτη σε 40 υγιή άτομα, από 10 σε κάθε μία από τις τέσσερις κατηγορίες μεταβολικής ικανότητας του </w:t>
      </w:r>
      <w:r>
        <w:rPr>
          <w:szCs w:val="22"/>
          <w:lang w:val="en-US"/>
        </w:rPr>
        <w:t>CYP</w:t>
      </w:r>
      <w:r>
        <w:rPr>
          <w:szCs w:val="22"/>
          <w:lang w:val="el-GR"/>
        </w:rPr>
        <w:t>2</w:t>
      </w:r>
      <w:r>
        <w:rPr>
          <w:szCs w:val="22"/>
          <w:lang w:val="en-US"/>
        </w:rPr>
        <w:t>C</w:t>
      </w:r>
      <w:r>
        <w:rPr>
          <w:szCs w:val="22"/>
          <w:lang w:val="el-GR"/>
        </w:rPr>
        <w:t>19 (πολύ υψηλή, εκτεταμένη, ενδιάμεση και μειωμένη), αξιολόγησε τη φαρμακοκινητική και την ανταπόκριση των αιμοπεταλίων χρησιμοποιώντας 300 </w:t>
      </w:r>
      <w:r>
        <w:rPr>
          <w:szCs w:val="22"/>
          <w:lang w:val="en-US"/>
        </w:rPr>
        <w:t>mg</w:t>
      </w:r>
      <w:r>
        <w:rPr>
          <w:szCs w:val="22"/>
          <w:lang w:val="el-GR"/>
        </w:rPr>
        <w:t xml:space="preserve"> κλοπιδογρέλης που ακολουθήθηκαν από 75 </w:t>
      </w:r>
      <w:r>
        <w:rPr>
          <w:szCs w:val="22"/>
          <w:lang w:val="en-US"/>
        </w:rPr>
        <w:t>mg</w:t>
      </w:r>
      <w:r>
        <w:rPr>
          <w:szCs w:val="22"/>
          <w:lang w:val="el-GR"/>
        </w:rPr>
        <w:t>/ημέρα και 600 </w:t>
      </w:r>
      <w:r>
        <w:rPr>
          <w:szCs w:val="22"/>
          <w:lang w:val="en-US"/>
        </w:rPr>
        <w:t>mg</w:t>
      </w:r>
      <w:r>
        <w:rPr>
          <w:szCs w:val="22"/>
          <w:lang w:val="el-GR"/>
        </w:rPr>
        <w:t xml:space="preserve"> που ακολουθήθηκαν από 150 </w:t>
      </w:r>
      <w:r>
        <w:rPr>
          <w:szCs w:val="22"/>
          <w:lang w:val="en-US"/>
        </w:rPr>
        <w:t>mg</w:t>
      </w:r>
      <w:r>
        <w:rPr>
          <w:szCs w:val="22"/>
          <w:lang w:val="el-GR"/>
        </w:rPr>
        <w:t>/ημέρα, το κάθε σχήμα για 5 ημέρες συνολικά (σταθεροποιημένη κατάσταση). Δεν παρατηρήθηκαν σημαντικές διαφορές στην έκθεση στο δραστικό μεταβολίτη και στη μέση αναστολή της συσσώρευσης των αιμοπεταλίων (ΙΡΑ) μεταξύ εκείνων με πολύ υψηλή, εκτεταμένη και ενδιάμεση μεταβολική ικανότητα.</w:t>
      </w:r>
    </w:p>
    <w:p>
      <w:pPr>
        <w:widowControl w:val="0"/>
        <w:tabs>
          <w:tab w:val="left" w:pos="0"/>
          <w:tab w:val="left" w:pos="142"/>
        </w:tabs>
        <w:spacing w:line="240" w:lineRule="auto"/>
        <w:rPr>
          <w:szCs w:val="22"/>
          <w:lang w:val="el-GR"/>
        </w:rPr>
      </w:pPr>
      <w:r>
        <w:rPr>
          <w:szCs w:val="22"/>
          <w:lang w:val="el-GR"/>
        </w:rPr>
        <w:t>Στα άτομα με μειωμένη μεταβολική ικανότητα, η έκθεση στο δραστικό μεταβολίτη μειώθηκε κατά 63</w:t>
      </w:r>
      <w:r>
        <w:rPr>
          <w:szCs w:val="22"/>
          <w:lang w:val="sl-SI"/>
        </w:rPr>
        <w:t>-</w:t>
      </w:r>
      <w:r>
        <w:rPr>
          <w:szCs w:val="22"/>
          <w:lang w:val="el-GR"/>
        </w:rPr>
        <w:t>71% συγκριτικά με εκείνα με εκτεταμένη μεταβολική ικανότητα. Μετά το δοσολογικό σχήμα 300 </w:t>
      </w:r>
      <w:r>
        <w:rPr>
          <w:szCs w:val="22"/>
          <w:lang w:val="en-US"/>
        </w:rPr>
        <w:t>mg</w:t>
      </w:r>
      <w:r>
        <w:rPr>
          <w:szCs w:val="22"/>
          <w:lang w:val="el-GR"/>
        </w:rPr>
        <w:t>/75</w:t>
      </w:r>
      <w:r>
        <w:rPr>
          <w:szCs w:val="22"/>
          <w:lang w:val="en-US"/>
        </w:rPr>
        <w:t> mg</w:t>
      </w:r>
      <w:r>
        <w:rPr>
          <w:szCs w:val="22"/>
          <w:lang w:val="el-GR"/>
        </w:rPr>
        <w:t xml:space="preserve">, οι αντιαιμοπεταλιακές ανταποκρίσεις μειώθηκαν στα άτομα με μειωμένη μεταβολική ικανότητα με μέση ΙΡΑ (5 μΜ </w:t>
      </w:r>
      <w:r>
        <w:rPr>
          <w:szCs w:val="22"/>
          <w:lang w:val="en-US"/>
        </w:rPr>
        <w:t>ADP</w:t>
      </w:r>
      <w:r>
        <w:rPr>
          <w:szCs w:val="22"/>
          <w:lang w:val="el-GR"/>
        </w:rPr>
        <w:t>) 24% (24 ώρες) και 37% (Ημέρα 5) όπως συγκρίθηκε με την ΙΡΑ 39% (24 ώρες) και 58% (Ημέρα 5) στα άτομα με εκτεταμένη μεταβολική ικανότητα και 37% (24 ώρες) και 60% (Ημέρα 5) στα άτομα με ενδιάμεση μεταβολική ικανότητα. Όταν τα άτομα με μειωμένη μεταβολική ικανότητα έλαβαν το δοσολογικό σχήμα των 600 </w:t>
      </w:r>
      <w:r>
        <w:rPr>
          <w:szCs w:val="22"/>
          <w:lang w:val="en-US"/>
        </w:rPr>
        <w:t>mg</w:t>
      </w:r>
      <w:r>
        <w:rPr>
          <w:szCs w:val="22"/>
          <w:lang w:val="el-GR"/>
        </w:rPr>
        <w:t>/150</w:t>
      </w:r>
      <w:r>
        <w:rPr>
          <w:szCs w:val="22"/>
          <w:lang w:val="en-US"/>
        </w:rPr>
        <w:t> mg</w:t>
      </w:r>
      <w:r>
        <w:rPr>
          <w:szCs w:val="22"/>
          <w:lang w:val="el-GR"/>
        </w:rPr>
        <w:t>, η έκθεση στο δραστικό μεταβολίτη ήταν μεγαλύτερη από ότι με τ</w:t>
      </w:r>
      <w:r>
        <w:rPr>
          <w:szCs w:val="22"/>
          <w:lang w:val="en-US"/>
        </w:rPr>
        <w:t>o</w:t>
      </w:r>
      <w:r>
        <w:rPr>
          <w:szCs w:val="22"/>
          <w:lang w:val="el-GR"/>
        </w:rPr>
        <w:t xml:space="preserve"> δοσολογικό σχήμα των 300 </w:t>
      </w:r>
      <w:r>
        <w:rPr>
          <w:szCs w:val="22"/>
          <w:lang w:val="en-US"/>
        </w:rPr>
        <w:t>mg</w:t>
      </w:r>
      <w:r>
        <w:rPr>
          <w:szCs w:val="22"/>
          <w:lang w:val="el-GR"/>
        </w:rPr>
        <w:t>/75</w:t>
      </w:r>
      <w:r>
        <w:rPr>
          <w:szCs w:val="22"/>
          <w:lang w:val="en-US"/>
        </w:rPr>
        <w:t> mg</w:t>
      </w:r>
      <w:r>
        <w:rPr>
          <w:szCs w:val="22"/>
          <w:lang w:val="el-GR"/>
        </w:rPr>
        <w:t>. Επιπρόσθετα, η ΙΡΑ ήταν 32% (24 ώρες) και 61% (Ημέρα 5), που ήταν μεγαλύτερες από ότι στα άτομα με μειωμένη μεταβολική ικανότητα που έλαβαν το δοσολογικό σχήμα 300 </w:t>
      </w:r>
      <w:r>
        <w:rPr>
          <w:szCs w:val="22"/>
          <w:lang w:val="en-US"/>
        </w:rPr>
        <w:t>mg</w:t>
      </w:r>
      <w:r>
        <w:rPr>
          <w:szCs w:val="22"/>
          <w:lang w:val="el-GR"/>
        </w:rPr>
        <w:t>/75</w:t>
      </w:r>
      <w:r>
        <w:rPr>
          <w:szCs w:val="22"/>
          <w:lang w:val="en-US"/>
        </w:rPr>
        <w:t> mg</w:t>
      </w:r>
      <w:r>
        <w:rPr>
          <w:szCs w:val="22"/>
          <w:lang w:val="el-GR"/>
        </w:rPr>
        <w:t xml:space="preserve"> και παρόμοιες με τις άλλες ομάδες μεταβολικής λειτουργίας του </w:t>
      </w:r>
      <w:r>
        <w:rPr>
          <w:szCs w:val="22"/>
          <w:lang w:val="en-US"/>
        </w:rPr>
        <w:t>CYP</w:t>
      </w:r>
      <w:r>
        <w:rPr>
          <w:szCs w:val="22"/>
          <w:lang w:val="el-GR"/>
        </w:rPr>
        <w:t>2</w:t>
      </w:r>
      <w:r>
        <w:rPr>
          <w:szCs w:val="22"/>
          <w:lang w:val="en-US"/>
        </w:rPr>
        <w:t>C</w:t>
      </w:r>
      <w:r>
        <w:rPr>
          <w:szCs w:val="22"/>
          <w:lang w:val="el-GR"/>
        </w:rPr>
        <w:t>19 που έλαβαν το δοσολογικό σχήμα των 300 </w:t>
      </w:r>
      <w:r>
        <w:rPr>
          <w:szCs w:val="22"/>
          <w:lang w:val="en-US"/>
        </w:rPr>
        <w:t>mg</w:t>
      </w:r>
      <w:r>
        <w:rPr>
          <w:szCs w:val="22"/>
          <w:lang w:val="el-GR"/>
        </w:rPr>
        <w:t>/75</w:t>
      </w:r>
      <w:r>
        <w:rPr>
          <w:szCs w:val="22"/>
          <w:lang w:val="en-US"/>
        </w:rPr>
        <w:t> mg</w:t>
      </w:r>
      <w:r>
        <w:rPr>
          <w:szCs w:val="22"/>
          <w:lang w:val="el-GR"/>
        </w:rPr>
        <w:t>. Ένα κατάλληλο δοσολογικό σχήμα για αυτό τον πληθυσμό ασθενών δεν έχει καθιερωθεί σε κλινικές δοκιμές.</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Σύμφωνα με τα παραπάνω αποτελέσματα, σε μια μετα-ανάλυση που περιελάμβανε 6 μελέτες με 335 άτομα που έλαβαν αγωγή με κλοπιδογρέλη σε σταθεροποιημένη κατάσταση, καταδείχθηκε ότι η έκθεση στο δραστικό μεταβολίτη μειώθηκε κατά 28% για τα άτομα με ενδιάμεση μεταβολική λειτουργία και 72% για τα άτομα με μειωμένη μεταβολική λειτουργία ενώ η αναστολή της συσσώρευσης αιμοπεταλίων (5 μ</w:t>
      </w:r>
      <w:r>
        <w:rPr>
          <w:szCs w:val="22"/>
          <w:lang w:val="en-US"/>
        </w:rPr>
        <w:t>M</w:t>
      </w:r>
      <w:r>
        <w:rPr>
          <w:szCs w:val="22"/>
          <w:lang w:val="el-GR"/>
        </w:rPr>
        <w:t xml:space="preserve"> </w:t>
      </w:r>
      <w:r>
        <w:rPr>
          <w:szCs w:val="22"/>
          <w:lang w:val="en-US"/>
        </w:rPr>
        <w:t>ADP</w:t>
      </w:r>
      <w:r>
        <w:rPr>
          <w:szCs w:val="22"/>
          <w:lang w:val="el-GR"/>
        </w:rPr>
        <w:t>) μειώθηκε με διαφορές στην ΙΡΑ της τάξεως του 5,9% και 21,4%, αντίστοιχα, όταν συγκρίθηκε με τα άτομα με εκτεταμένη μεταβολική λειτουργία.</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u w:val="single"/>
          <w:lang w:val="el-GR"/>
        </w:rPr>
      </w:pPr>
      <w:r>
        <w:rPr>
          <w:szCs w:val="22"/>
          <w:lang w:val="el-GR"/>
        </w:rPr>
        <w:t xml:space="preserve">Η επιρροή του γονοτύπου του </w:t>
      </w:r>
      <w:r>
        <w:rPr>
          <w:szCs w:val="22"/>
          <w:lang w:val="en-US"/>
        </w:rPr>
        <w:t>CYP</w:t>
      </w:r>
      <w:r>
        <w:rPr>
          <w:szCs w:val="22"/>
          <w:lang w:val="el-GR"/>
        </w:rPr>
        <w:t>2</w:t>
      </w:r>
      <w:r>
        <w:rPr>
          <w:szCs w:val="22"/>
          <w:lang w:val="en-US"/>
        </w:rPr>
        <w:t>C</w:t>
      </w:r>
      <w:r>
        <w:rPr>
          <w:szCs w:val="22"/>
          <w:lang w:val="el-GR"/>
        </w:rPr>
        <w:t xml:space="preserve">19 στις κλινικές εκβάσεις σε ασθενείς που έλαβαν αγωγή με κλοπιδογρέλη δεν έχει αξιολογηθεί σε προοπτικές, τυχαιοποιημένες, ελεγχόμενες δοκιμές. Έχει υπάρξει ένας αριθμός αναδρομικών αναλύσεων, ωστόσο, για την αξιολόγηση αυτής της επίδρασης σε </w:t>
      </w:r>
      <w:r>
        <w:rPr>
          <w:szCs w:val="22"/>
          <w:lang w:val="el-GR"/>
        </w:rPr>
        <w:lastRenderedPageBreak/>
        <w:t xml:space="preserve">ασθενείς που έχουν λάβει αγωγή με κλοπιδογρέλη και για τους οποίους υπάρχουν γονοτυπικά αποτελέσματα: </w:t>
      </w:r>
      <w:r>
        <w:rPr>
          <w:szCs w:val="22"/>
          <w:lang w:val="en-US"/>
        </w:rPr>
        <w:t>CURE</w:t>
      </w:r>
      <w:r>
        <w:rPr>
          <w:szCs w:val="22"/>
          <w:lang w:val="el-GR"/>
        </w:rPr>
        <w:t xml:space="preserve"> (</w:t>
      </w:r>
      <w:r>
        <w:rPr>
          <w:szCs w:val="22"/>
          <w:lang w:val="en-US"/>
        </w:rPr>
        <w:t>n</w:t>
      </w:r>
      <w:r>
        <w:rPr>
          <w:szCs w:val="22"/>
          <w:lang w:val="el-GR"/>
        </w:rPr>
        <w:t xml:space="preserve">=2721), </w:t>
      </w:r>
      <w:r>
        <w:rPr>
          <w:szCs w:val="22"/>
          <w:lang w:val="en-US"/>
        </w:rPr>
        <w:t>CHARISMA</w:t>
      </w:r>
      <w:r>
        <w:rPr>
          <w:szCs w:val="22"/>
          <w:lang w:val="el-GR"/>
        </w:rPr>
        <w:t xml:space="preserve"> (</w:t>
      </w:r>
      <w:r>
        <w:rPr>
          <w:szCs w:val="22"/>
          <w:lang w:val="en-US"/>
        </w:rPr>
        <w:t>n</w:t>
      </w:r>
      <w:r>
        <w:rPr>
          <w:szCs w:val="22"/>
          <w:lang w:val="el-GR"/>
        </w:rPr>
        <w:t xml:space="preserve">=2428), </w:t>
      </w:r>
      <w:r>
        <w:rPr>
          <w:szCs w:val="22"/>
          <w:lang w:val="en-US"/>
        </w:rPr>
        <w:t>CLARITY</w:t>
      </w:r>
      <w:r>
        <w:rPr>
          <w:szCs w:val="22"/>
          <w:lang w:val="el-GR"/>
        </w:rPr>
        <w:t>-</w:t>
      </w:r>
      <w:r>
        <w:rPr>
          <w:szCs w:val="22"/>
          <w:lang w:val="en-US"/>
        </w:rPr>
        <w:t>TIMI</w:t>
      </w:r>
      <w:r>
        <w:rPr>
          <w:szCs w:val="22"/>
          <w:lang w:val="el-GR"/>
        </w:rPr>
        <w:t xml:space="preserve"> 28 (</w:t>
      </w:r>
      <w:r>
        <w:rPr>
          <w:szCs w:val="22"/>
          <w:lang w:val="en-US"/>
        </w:rPr>
        <w:t>n</w:t>
      </w:r>
      <w:r>
        <w:rPr>
          <w:szCs w:val="22"/>
          <w:lang w:val="el-GR"/>
        </w:rPr>
        <w:t xml:space="preserve">=227), </w:t>
      </w:r>
      <w:r>
        <w:rPr>
          <w:szCs w:val="22"/>
          <w:lang w:val="en-US"/>
        </w:rPr>
        <w:t>TRITON</w:t>
      </w:r>
      <w:r>
        <w:rPr>
          <w:szCs w:val="22"/>
          <w:lang w:val="el-GR"/>
        </w:rPr>
        <w:t>-</w:t>
      </w:r>
      <w:r>
        <w:rPr>
          <w:szCs w:val="22"/>
          <w:lang w:val="en-US"/>
        </w:rPr>
        <w:t>TIMI </w:t>
      </w:r>
      <w:r>
        <w:rPr>
          <w:szCs w:val="22"/>
          <w:lang w:val="el-GR"/>
        </w:rPr>
        <w:t>38 (</w:t>
      </w:r>
      <w:r>
        <w:rPr>
          <w:szCs w:val="22"/>
          <w:lang w:val="en-US"/>
        </w:rPr>
        <w:t>n</w:t>
      </w:r>
      <w:r>
        <w:rPr>
          <w:szCs w:val="22"/>
          <w:lang w:val="el-GR"/>
        </w:rPr>
        <w:t xml:space="preserve">=1477) και </w:t>
      </w:r>
      <w:r>
        <w:rPr>
          <w:szCs w:val="22"/>
          <w:lang w:val="en-US"/>
        </w:rPr>
        <w:t>ACTIVE</w:t>
      </w:r>
      <w:r>
        <w:rPr>
          <w:szCs w:val="22"/>
          <w:lang w:val="el-GR"/>
        </w:rPr>
        <w:t>-</w:t>
      </w:r>
      <w:r>
        <w:rPr>
          <w:szCs w:val="22"/>
          <w:lang w:val="en-US"/>
        </w:rPr>
        <w:t>A</w:t>
      </w:r>
      <w:r>
        <w:rPr>
          <w:szCs w:val="22"/>
          <w:lang w:val="el-GR"/>
        </w:rPr>
        <w:t xml:space="preserve"> (</w:t>
      </w:r>
      <w:r>
        <w:rPr>
          <w:szCs w:val="22"/>
          <w:lang w:val="en-US"/>
        </w:rPr>
        <w:t>n</w:t>
      </w:r>
      <w:r>
        <w:rPr>
          <w:szCs w:val="22"/>
          <w:lang w:val="el-GR"/>
        </w:rPr>
        <w:t>=601), όπως και ένας αριθμός δημοσιευμένων μελετών κοόρτης.</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Στην </w:t>
      </w:r>
      <w:r>
        <w:rPr>
          <w:szCs w:val="22"/>
          <w:lang w:val="en-US"/>
        </w:rPr>
        <w:t>TRITON</w:t>
      </w:r>
      <w:r>
        <w:rPr>
          <w:szCs w:val="22"/>
          <w:lang w:val="el-GR"/>
        </w:rPr>
        <w:t>-</w:t>
      </w:r>
      <w:r>
        <w:rPr>
          <w:szCs w:val="22"/>
          <w:lang w:val="en-US"/>
        </w:rPr>
        <w:t>TIMI </w:t>
      </w:r>
      <w:r>
        <w:rPr>
          <w:szCs w:val="22"/>
          <w:lang w:val="el-GR"/>
        </w:rPr>
        <w:t>38 και σε 3 από τις μελέτες κοόρτης (</w:t>
      </w:r>
      <w:r>
        <w:rPr>
          <w:szCs w:val="22"/>
          <w:lang w:val="en-US"/>
        </w:rPr>
        <w:t>Collet</w:t>
      </w:r>
      <w:r>
        <w:rPr>
          <w:szCs w:val="22"/>
          <w:lang w:val="el-GR"/>
        </w:rPr>
        <w:t xml:space="preserve">, </w:t>
      </w:r>
      <w:r>
        <w:rPr>
          <w:szCs w:val="22"/>
          <w:lang w:val="en-US"/>
        </w:rPr>
        <w:t>Sibbing</w:t>
      </w:r>
      <w:r>
        <w:rPr>
          <w:szCs w:val="22"/>
          <w:lang w:val="el-GR"/>
        </w:rPr>
        <w:t xml:space="preserve">, </w:t>
      </w:r>
      <w:r>
        <w:rPr>
          <w:szCs w:val="22"/>
          <w:lang w:val="en-US"/>
        </w:rPr>
        <w:t>Giusti</w:t>
      </w:r>
      <w:r>
        <w:rPr>
          <w:szCs w:val="22"/>
          <w:lang w:val="el-GR"/>
        </w:rPr>
        <w:t>) η συνδυασμένη ομάδα ασθενών με είτε ενδιάμεση είτε μειωμένη μεταβολική ικανότητα είχε υψηλότερη συχνότητα καρδιαγγειακών συμβαμάτων (θάνατος, έμφραγμα του μυοκαρδίου, και αγγειακό εγκεφαλικό επεισόδιο) ή θρόμβωσης της ενδοπρόθεσης (</w:t>
      </w:r>
      <w:r>
        <w:rPr>
          <w:szCs w:val="22"/>
          <w:lang w:val="en-US"/>
        </w:rPr>
        <w:t>stent</w:t>
      </w:r>
      <w:r>
        <w:rPr>
          <w:szCs w:val="22"/>
          <w:lang w:val="el-GR"/>
        </w:rPr>
        <w:t>) συγκριτικά με τα άτομα με εκτεταμένη μεταβολική ικανότητα.</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Στην </w:t>
      </w:r>
      <w:r>
        <w:rPr>
          <w:szCs w:val="22"/>
          <w:lang w:val="en-US"/>
        </w:rPr>
        <w:t>CHARISMA</w:t>
      </w:r>
      <w:r>
        <w:rPr>
          <w:szCs w:val="22"/>
          <w:lang w:val="el-GR"/>
        </w:rPr>
        <w:t xml:space="preserve"> και σε μια μελέτη κοόρτης (</w:t>
      </w:r>
      <w:r>
        <w:rPr>
          <w:szCs w:val="22"/>
          <w:lang w:val="en-US"/>
        </w:rPr>
        <w:t>Simon</w:t>
      </w:r>
      <w:r>
        <w:rPr>
          <w:szCs w:val="22"/>
          <w:lang w:val="el-GR"/>
        </w:rPr>
        <w:t>), αυξημένη συχνότητα συμβαμάτων παρατηρήθηκε μόνο στα άτομα με μειωμένη μεταβολική ικανότητα όταν συγκρίθηκαν με τα άτομα με εκτεταμένη μεταβολική ικανότητα.</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 xml:space="preserve">Στη </w:t>
      </w:r>
      <w:r>
        <w:rPr>
          <w:szCs w:val="22"/>
          <w:lang w:val="en-US"/>
        </w:rPr>
        <w:t>CURE</w:t>
      </w:r>
      <w:r>
        <w:rPr>
          <w:szCs w:val="22"/>
          <w:lang w:val="el-GR"/>
        </w:rPr>
        <w:t xml:space="preserve">, στη </w:t>
      </w:r>
      <w:r>
        <w:rPr>
          <w:szCs w:val="22"/>
          <w:lang w:val="en-US"/>
        </w:rPr>
        <w:t>CLARITY</w:t>
      </w:r>
      <w:r>
        <w:rPr>
          <w:szCs w:val="22"/>
          <w:lang w:val="el-GR"/>
        </w:rPr>
        <w:t xml:space="preserve">, στην </w:t>
      </w:r>
      <w:r>
        <w:rPr>
          <w:szCs w:val="22"/>
          <w:lang w:val="en-US"/>
        </w:rPr>
        <w:t>ACTIVE</w:t>
      </w:r>
      <w:r>
        <w:rPr>
          <w:szCs w:val="22"/>
          <w:lang w:val="el-GR"/>
        </w:rPr>
        <w:t>-</w:t>
      </w:r>
      <w:r>
        <w:rPr>
          <w:szCs w:val="22"/>
          <w:lang w:val="en-US"/>
        </w:rPr>
        <w:t>A</w:t>
      </w:r>
      <w:r>
        <w:rPr>
          <w:szCs w:val="22"/>
          <w:lang w:val="el-GR"/>
        </w:rPr>
        <w:t xml:space="preserve"> και σε μια από τις μελέτες κοόρτης (</w:t>
      </w:r>
      <w:r>
        <w:rPr>
          <w:szCs w:val="22"/>
          <w:lang w:val="en-US"/>
        </w:rPr>
        <w:t>Trenk</w:t>
      </w:r>
      <w:r>
        <w:rPr>
          <w:szCs w:val="22"/>
          <w:lang w:val="el-GR"/>
        </w:rPr>
        <w:t>), δεν παρατηρήθηκε αυξημένη συχνότητα συμβαμάτων βάσει της μεταβολικής ικανότητας.</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Καμία από αυτές τις αναλύσεις δεν ήταν επαρκούς μεγέθους για να εντοπίσει διαφορές στην έκβαση των ατόμων με μειωμένη μεταβολική ικανότητα.</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u w:val="single"/>
          <w:lang w:val="el-GR"/>
        </w:rPr>
      </w:pPr>
      <w:r>
        <w:rPr>
          <w:szCs w:val="22"/>
          <w:u w:val="single"/>
          <w:lang w:val="el-GR"/>
        </w:rPr>
        <w:t>Ειδικοί πληθυσμοί</w:t>
      </w:r>
    </w:p>
    <w:p>
      <w:pPr>
        <w:widowControl w:val="0"/>
        <w:tabs>
          <w:tab w:val="left" w:pos="0"/>
          <w:tab w:val="left" w:pos="142"/>
        </w:tabs>
        <w:spacing w:line="240" w:lineRule="auto"/>
        <w:rPr>
          <w:szCs w:val="22"/>
          <w:lang w:val="el-GR"/>
        </w:rPr>
      </w:pPr>
    </w:p>
    <w:p>
      <w:pPr>
        <w:widowControl w:val="0"/>
        <w:tabs>
          <w:tab w:val="left" w:pos="0"/>
          <w:tab w:val="left" w:pos="142"/>
        </w:tabs>
        <w:spacing w:line="240" w:lineRule="auto"/>
        <w:rPr>
          <w:szCs w:val="22"/>
          <w:lang w:val="el-GR"/>
        </w:rPr>
      </w:pPr>
      <w:r>
        <w:rPr>
          <w:szCs w:val="22"/>
          <w:lang w:val="el-GR"/>
        </w:rPr>
        <w:t>Η φαρμακοκινητική του δραστικού μεταβολίτη της κλοπιδογρέλης δεν είναι γνωστή σε αυτούς τους ειδικούς πληθυσμούς.</w:t>
      </w:r>
    </w:p>
    <w:p>
      <w:pPr>
        <w:widowControl w:val="0"/>
        <w:tabs>
          <w:tab w:val="left" w:pos="0"/>
          <w:tab w:val="left" w:pos="142"/>
        </w:tabs>
        <w:spacing w:line="240" w:lineRule="auto"/>
        <w:rPr>
          <w:i/>
          <w:szCs w:val="22"/>
          <w:lang w:val="el-GR"/>
        </w:rPr>
      </w:pPr>
    </w:p>
    <w:p>
      <w:pPr>
        <w:widowControl w:val="0"/>
        <w:tabs>
          <w:tab w:val="left" w:pos="0"/>
          <w:tab w:val="left" w:pos="142"/>
        </w:tabs>
        <w:spacing w:line="240" w:lineRule="auto"/>
        <w:rPr>
          <w:i/>
          <w:szCs w:val="22"/>
          <w:lang w:val="el-GR"/>
        </w:rPr>
      </w:pPr>
      <w:r>
        <w:rPr>
          <w:i/>
          <w:szCs w:val="22"/>
          <w:lang w:val="el-GR"/>
        </w:rPr>
        <w:t>Νεφρική δυσλειτουργία</w:t>
      </w:r>
    </w:p>
    <w:p>
      <w:pPr>
        <w:widowControl w:val="0"/>
        <w:tabs>
          <w:tab w:val="left" w:pos="0"/>
        </w:tabs>
        <w:autoSpaceDE w:val="0"/>
        <w:autoSpaceDN w:val="0"/>
        <w:adjustRightInd w:val="0"/>
        <w:spacing w:line="240" w:lineRule="auto"/>
        <w:rPr>
          <w:szCs w:val="22"/>
          <w:lang w:val="el-GR"/>
        </w:rPr>
      </w:pPr>
      <w:r>
        <w:rPr>
          <w:szCs w:val="22"/>
          <w:lang w:val="el-GR"/>
        </w:rPr>
        <w:t>Μετά από επαναλαμβανόμενες δόσεις 75 mg κλοπιδογρέλης την ημέρα σε άτομα με σοβαρή νεφρική νόσο (κάθαρση κρεατινίνης από 5 μέχρι 15 ml/min), η αναστολή της συσσώρευσης των αιμοπεταλίων που προκαλείται από την ADP ήταν χαμηλότερη (25%) από αυτή που παρατηρήθηκε σε υγιή άτομα, ωστόσο, η παράταση του χρόνου ροής ήταν παρόμοια με εκείνη που καταγράφηκε σε υγιή άτομα που ελάμβαναν 75 mg κλοπιδογρέλης την ημέρα. Επιπροσθέτως, η κλινική ανοχή ήταν καλή σε όλους τους ασθενείς.</w:t>
      </w:r>
    </w:p>
    <w:p>
      <w:pPr>
        <w:widowControl w:val="0"/>
        <w:tabs>
          <w:tab w:val="left" w:pos="142"/>
        </w:tabs>
        <w:spacing w:line="240" w:lineRule="auto"/>
        <w:rPr>
          <w:szCs w:val="22"/>
          <w:lang w:val="el-GR"/>
        </w:rPr>
      </w:pPr>
    </w:p>
    <w:p>
      <w:pPr>
        <w:widowControl w:val="0"/>
        <w:tabs>
          <w:tab w:val="left" w:pos="142"/>
        </w:tabs>
        <w:spacing w:line="240" w:lineRule="auto"/>
        <w:rPr>
          <w:i/>
          <w:szCs w:val="22"/>
          <w:lang w:val="el-GR"/>
        </w:rPr>
      </w:pPr>
      <w:r>
        <w:rPr>
          <w:i/>
          <w:szCs w:val="22"/>
          <w:lang w:val="el-GR"/>
        </w:rPr>
        <w:t>Ηπατική δυσλειτουργία</w:t>
      </w:r>
    </w:p>
    <w:p>
      <w:pPr>
        <w:widowControl w:val="0"/>
        <w:tabs>
          <w:tab w:val="left" w:pos="0"/>
        </w:tabs>
        <w:spacing w:line="240" w:lineRule="auto"/>
        <w:rPr>
          <w:szCs w:val="22"/>
          <w:lang w:val="el-GR"/>
        </w:rPr>
      </w:pPr>
      <w:r>
        <w:rPr>
          <w:szCs w:val="22"/>
          <w:lang w:val="el-GR"/>
        </w:rPr>
        <w:t>Μετά από επαναλαμβανόμενες δόσεις 75 </w:t>
      </w:r>
      <w:r>
        <w:rPr>
          <w:szCs w:val="22"/>
          <w:lang w:val="en-US"/>
        </w:rPr>
        <w:t>mg</w:t>
      </w:r>
      <w:r>
        <w:rPr>
          <w:szCs w:val="22"/>
          <w:lang w:val="el-GR"/>
        </w:rPr>
        <w:t xml:space="preserve"> κλοπιδογρέλης την ημέρα για 10 ημέρες σε ασθενείς με σοβαρή ηπατική δυσλειτουργία, η αναστολή της συσσώρευσης αιμοπεταλίων διαμέσου της </w:t>
      </w:r>
      <w:r>
        <w:rPr>
          <w:szCs w:val="22"/>
          <w:lang w:val="en-US"/>
        </w:rPr>
        <w:t>ADP</w:t>
      </w:r>
      <w:r>
        <w:rPr>
          <w:szCs w:val="22"/>
          <w:lang w:val="el-GR"/>
        </w:rPr>
        <w:t xml:space="preserve"> ήταν παρόμοια με εκείνη που παρατηρήθηκε σε υγιή άτομα. Η μέση παράταση του χρόνου ροής ήταν επίσης παρόμοια στις δύο ομάδες.</w:t>
      </w:r>
    </w:p>
    <w:p>
      <w:pPr>
        <w:widowControl w:val="0"/>
        <w:tabs>
          <w:tab w:val="left" w:pos="0"/>
        </w:tabs>
        <w:spacing w:line="240" w:lineRule="auto"/>
        <w:rPr>
          <w:szCs w:val="22"/>
          <w:lang w:val="el-GR"/>
        </w:rPr>
      </w:pPr>
    </w:p>
    <w:p>
      <w:pPr>
        <w:widowControl w:val="0"/>
        <w:tabs>
          <w:tab w:val="left" w:pos="0"/>
        </w:tabs>
        <w:spacing w:line="240" w:lineRule="auto"/>
        <w:rPr>
          <w:i/>
          <w:szCs w:val="22"/>
          <w:lang w:val="el-GR"/>
        </w:rPr>
      </w:pPr>
      <w:r>
        <w:rPr>
          <w:i/>
          <w:szCs w:val="22"/>
          <w:lang w:val="el-GR"/>
        </w:rPr>
        <w:t>Φυλή</w:t>
      </w:r>
    </w:p>
    <w:p>
      <w:pPr>
        <w:widowControl w:val="0"/>
        <w:tabs>
          <w:tab w:val="left" w:pos="0"/>
        </w:tabs>
        <w:spacing w:line="240" w:lineRule="auto"/>
        <w:rPr>
          <w:szCs w:val="22"/>
          <w:lang w:val="sl-SI"/>
        </w:rPr>
      </w:pPr>
      <w:r>
        <w:rPr>
          <w:szCs w:val="22"/>
          <w:lang w:val="el-GR"/>
        </w:rPr>
        <w:t xml:space="preserve">Ο επιπολασμός των αλληλόμορφων του </w:t>
      </w:r>
      <w:r>
        <w:rPr>
          <w:szCs w:val="22"/>
          <w:lang w:val="en-US"/>
        </w:rPr>
        <w:t>CYP</w:t>
      </w:r>
      <w:r>
        <w:rPr>
          <w:szCs w:val="22"/>
          <w:lang w:val="el-GR"/>
        </w:rPr>
        <w:t>2</w:t>
      </w:r>
      <w:r>
        <w:rPr>
          <w:szCs w:val="22"/>
          <w:lang w:val="en-US"/>
        </w:rPr>
        <w:t>C</w:t>
      </w:r>
      <w:r>
        <w:rPr>
          <w:szCs w:val="22"/>
          <w:lang w:val="el-GR"/>
        </w:rPr>
        <w:t xml:space="preserve">19 που σχετίζονται με ενδιάμεσο ή περιορισμένο μεταβολισμό διαφέρει ανάλογα με τη φυλή/εθνικότητα (βλ. Φαρμακογενετική). Από τη βιβλιογραφία, υπάρχουν περιορισμένα δεδομένα διαθέσιμα σε Ασιατικούς πληθυσμούς για να αξιολογηθεί η κλινική επίπτωση γονότυπων του </w:t>
      </w:r>
      <w:r>
        <w:rPr>
          <w:szCs w:val="22"/>
          <w:lang w:val="en-US"/>
        </w:rPr>
        <w:t>CYP</w:t>
      </w:r>
      <w:r>
        <w:rPr>
          <w:szCs w:val="22"/>
          <w:lang w:val="el-GR"/>
        </w:rPr>
        <w:t xml:space="preserve"> για την εμφάνιση συμβαμάτων ως κλινική έκβαση.</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5.3</w:t>
      </w:r>
      <w:r>
        <w:rPr>
          <w:b/>
          <w:noProof/>
          <w:szCs w:val="22"/>
          <w:lang w:val="el-GR"/>
        </w:rPr>
        <w:tab/>
        <w:t>Προκλινικά δεδομένα για την ασφάλεια</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Κατά τη διάρκεια των μη κλινικών μελετών σε αρουραίους και σε μπαμπουίνους, οι πιο συχνά παρατηρούμενες επιδράσεις ήταν ηπατικές αλλοιώσεις. Αυτές παρατηρήθηκαν σε δόσεις που αντιπροσωπεύουν τουλάχιστον 25 φορές την έκθεση που παρατηρήθηκε σε ανθρώπους που ελάμβαναν κλινικές δόσεις των 75 mg/ημερησίως και ήταν επακόλουθο μιας επίδρασης στα ηπατικά μεταβολικά ένζυμα. Καμία επίδραση στα ηπατικά μεταβολικά ένζυμα δεν παρατηρήθηκε σε ανθρώπους που ελάμβαναν κλοπιδογρέλη στις θεραπευτικές δόσεις.</w:t>
      </w:r>
    </w:p>
    <w:p>
      <w:pPr>
        <w:widowControl w:val="0"/>
        <w:autoSpaceDE w:val="0"/>
        <w:autoSpaceDN w:val="0"/>
        <w:adjustRightInd w:val="0"/>
        <w:spacing w:line="240" w:lineRule="auto"/>
        <w:rPr>
          <w:color w:val="000000"/>
          <w:szCs w:val="22"/>
          <w:lang w:val="el-GR"/>
        </w:rPr>
      </w:pPr>
      <w:r>
        <w:rPr>
          <w:color w:val="000000"/>
          <w:szCs w:val="22"/>
          <w:lang w:val="el-GR"/>
        </w:rPr>
        <w:t>Σε πολύ υψηλές δόσεις, αναφέρθηκε επίσης περιορισμένη γαστρική ανοχή (γαστρίτιδα, διαβρώσεις στομάχου και/ή έμετος) της κλοπιδογρέλης στους αρουραίους και τους μπαμπουίνους.</w:t>
      </w:r>
    </w:p>
    <w:p>
      <w:pPr>
        <w:widowControl w:val="0"/>
        <w:autoSpaceDE w:val="0"/>
        <w:autoSpaceDN w:val="0"/>
        <w:adjustRightInd w:val="0"/>
        <w:spacing w:line="240" w:lineRule="auto"/>
        <w:rPr>
          <w:color w:val="000000"/>
          <w:szCs w:val="22"/>
          <w:lang w:val="el-GR"/>
        </w:rPr>
      </w:pPr>
      <w:r>
        <w:rPr>
          <w:color w:val="000000"/>
          <w:szCs w:val="22"/>
          <w:lang w:val="el-GR"/>
        </w:rPr>
        <w:t xml:space="preserve">Δεν υπήρξε καμία ένδειξη καρκινογόνου δράσης όταν η κλοπιδογρέλη χορηγήθηκε για 78 εβδομάδες σε ποντικούς και για 104 εβδομάδες σε αρουραίους σε δόσεις μέχρι και 77 mg/kg την ημέρα (η οποία </w:t>
      </w:r>
      <w:r>
        <w:rPr>
          <w:color w:val="000000"/>
          <w:szCs w:val="22"/>
          <w:lang w:val="el-GR"/>
        </w:rPr>
        <w:lastRenderedPageBreak/>
        <w:t>αντιπροσωπεύει τουλάχιστον 25 φορές την έκθεση που παρατηρείται σε ανθρώπους που λαμβάνουν την κλινική δόση των 75 mg/ημερησίως).</w:t>
      </w:r>
    </w:p>
    <w:p>
      <w:pPr>
        <w:widowControl w:val="0"/>
        <w:autoSpaceDE w:val="0"/>
        <w:autoSpaceDN w:val="0"/>
        <w:adjustRightInd w:val="0"/>
        <w:spacing w:line="240" w:lineRule="auto"/>
        <w:rPr>
          <w:color w:val="000000"/>
          <w:szCs w:val="22"/>
          <w:lang w:val="el-GR"/>
        </w:rPr>
      </w:pPr>
      <w:r>
        <w:rPr>
          <w:color w:val="000000"/>
          <w:szCs w:val="22"/>
          <w:lang w:val="el-GR"/>
        </w:rPr>
        <w:t xml:space="preserve">Η κλοπιδογρέλη έχει δοκιμασθεί σε μία σειρά </w:t>
      </w:r>
      <w:r>
        <w:rPr>
          <w:i/>
          <w:iCs/>
          <w:color w:val="000000"/>
          <w:szCs w:val="22"/>
          <w:lang w:val="el-GR"/>
        </w:rPr>
        <w:t xml:space="preserve">in vitro </w:t>
      </w:r>
      <w:r>
        <w:rPr>
          <w:color w:val="000000"/>
          <w:szCs w:val="22"/>
          <w:lang w:val="el-GR"/>
        </w:rPr>
        <w:t xml:space="preserve">και </w:t>
      </w:r>
      <w:r>
        <w:rPr>
          <w:i/>
          <w:iCs/>
          <w:color w:val="000000"/>
          <w:szCs w:val="22"/>
          <w:lang w:val="el-GR"/>
        </w:rPr>
        <w:t>in vivo</w:t>
      </w:r>
      <w:r>
        <w:rPr>
          <w:color w:val="000000"/>
          <w:szCs w:val="22"/>
          <w:lang w:val="el-GR"/>
        </w:rPr>
        <w:t xml:space="preserve"> μελετών γονοτοξικότηταςκαι δεν έδειξε γονοτοξική δράση. Η κλοπιδογρέλη δεν βρέθηκε να έχει επίδραση στη γονιμότητα των αρσενικών και των θηλυκών αρουραίων και δεν ήταν τερατογόνος ούτε στους αρουραίους ούτε στα κουνέλια. Όταν χορηγήθηκε σε θηλάζοντες αρουραίους, η κλοπιδογρέλη προκάλεσε ελαφρά καθυστέρηση στην ανάπτυξη του απογόνου. Ειδικές φαρμακοκινητικές μελέτες που έγιναν με ραδιοσεσημασμένη κλοπιδογρέλη έδειξαν ότι η μητρική ουσία ή οι μεταβολίτες της απεκκρίνονται στο γάλα. Επομένως, μια άμεση επίδραση (ήπια τοξικότητα), ή μια έμμεση επίδραση (μείωση της γευστικής ικανότητας) δεν μπορεί να αποκλεισθεί.</w:t>
      </w:r>
    </w:p>
    <w:p>
      <w:pPr>
        <w:widowControl w:val="0"/>
        <w:spacing w:line="240" w:lineRule="auto"/>
        <w:rPr>
          <w:b/>
          <w:bCs/>
          <w:noProof/>
          <w:szCs w:val="22"/>
          <w:lang w:val="el-GR"/>
        </w:rPr>
      </w:pPr>
    </w:p>
    <w:p>
      <w:pPr>
        <w:pStyle w:val="Header"/>
        <w:tabs>
          <w:tab w:val="clear" w:pos="4153"/>
          <w:tab w:val="clear" w:pos="8306"/>
        </w:tabs>
        <w:spacing w:line="240" w:lineRule="auto"/>
        <w:rPr>
          <w:noProof/>
          <w:szCs w:val="22"/>
        </w:rPr>
      </w:pPr>
    </w:p>
    <w:p>
      <w:pPr>
        <w:widowControl w:val="0"/>
        <w:tabs>
          <w:tab w:val="clear" w:pos="567"/>
        </w:tabs>
        <w:spacing w:line="240" w:lineRule="auto"/>
        <w:ind w:left="567" w:hanging="567"/>
        <w:rPr>
          <w:noProof/>
          <w:szCs w:val="22"/>
          <w:lang w:val="el-GR"/>
        </w:rPr>
      </w:pPr>
      <w:r>
        <w:rPr>
          <w:b/>
          <w:noProof/>
          <w:szCs w:val="22"/>
          <w:lang w:val="el-GR"/>
        </w:rPr>
        <w:t>6.</w:t>
      </w:r>
      <w:r>
        <w:rPr>
          <w:b/>
          <w:noProof/>
          <w:szCs w:val="22"/>
          <w:lang w:val="el-GR"/>
        </w:rPr>
        <w:tab/>
        <w:t>ΦΑΡΜΑΚΕΥΤΙΚΕΣ ΠΛΗΡΟΦΟΡΙΕΣ</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6.1</w:t>
      </w:r>
      <w:r>
        <w:rPr>
          <w:b/>
          <w:noProof/>
          <w:szCs w:val="22"/>
          <w:lang w:val="el-GR"/>
        </w:rPr>
        <w:tab/>
        <w:t>Κατάλογος εκδόχων</w:t>
      </w:r>
    </w:p>
    <w:p>
      <w:pPr>
        <w:widowControl w:val="0"/>
        <w:spacing w:line="240" w:lineRule="auto"/>
        <w:rPr>
          <w:noProof/>
          <w:szCs w:val="22"/>
          <w:lang w:val="el-GR"/>
        </w:rPr>
      </w:pPr>
    </w:p>
    <w:p>
      <w:pPr>
        <w:widowControl w:val="0"/>
        <w:autoSpaceDE w:val="0"/>
        <w:autoSpaceDN w:val="0"/>
        <w:adjustRightInd w:val="0"/>
        <w:spacing w:line="240" w:lineRule="auto"/>
        <w:rPr>
          <w:iCs/>
          <w:color w:val="000000"/>
          <w:szCs w:val="22"/>
          <w:u w:val="single"/>
          <w:lang w:val="el-GR"/>
        </w:rPr>
      </w:pPr>
      <w:r>
        <w:rPr>
          <w:iCs/>
          <w:color w:val="000000"/>
          <w:szCs w:val="22"/>
          <w:u w:val="single"/>
          <w:lang w:val="el-GR"/>
        </w:rPr>
        <w:t>Πυρήνας δισκίου:</w:t>
      </w:r>
    </w:p>
    <w:p>
      <w:pPr>
        <w:widowControl w:val="0"/>
        <w:autoSpaceDE w:val="0"/>
        <w:autoSpaceDN w:val="0"/>
        <w:adjustRightInd w:val="0"/>
        <w:spacing w:line="240" w:lineRule="auto"/>
        <w:rPr>
          <w:iCs/>
          <w:color w:val="000000"/>
          <w:szCs w:val="22"/>
          <w:lang w:val="el-GR"/>
        </w:rPr>
      </w:pPr>
      <w:r>
        <w:rPr>
          <w:iCs/>
          <w:color w:val="000000"/>
          <w:szCs w:val="22"/>
          <w:lang w:val="el-GR"/>
        </w:rPr>
        <w:t>Λακτόζη</w:t>
      </w:r>
    </w:p>
    <w:p>
      <w:pPr>
        <w:widowControl w:val="0"/>
        <w:autoSpaceDE w:val="0"/>
        <w:autoSpaceDN w:val="0"/>
        <w:adjustRightInd w:val="0"/>
        <w:spacing w:line="240" w:lineRule="auto"/>
        <w:rPr>
          <w:color w:val="000000"/>
          <w:szCs w:val="22"/>
          <w:lang w:val="el-GR"/>
        </w:rPr>
      </w:pPr>
      <w:r>
        <w:rPr>
          <w:color w:val="000000"/>
          <w:szCs w:val="22"/>
          <w:lang w:val="el-GR"/>
        </w:rPr>
        <w:t>Κυτταρίνη, μικροκρυσταλλική</w:t>
      </w:r>
    </w:p>
    <w:p>
      <w:pPr>
        <w:widowControl w:val="0"/>
        <w:autoSpaceDE w:val="0"/>
        <w:autoSpaceDN w:val="0"/>
        <w:adjustRightInd w:val="0"/>
        <w:spacing w:line="240" w:lineRule="auto"/>
        <w:rPr>
          <w:color w:val="000000"/>
          <w:szCs w:val="22"/>
          <w:lang w:val="el-GR"/>
        </w:rPr>
      </w:pPr>
      <w:r>
        <w:rPr>
          <w:color w:val="000000"/>
          <w:szCs w:val="22"/>
          <w:lang w:val="el-GR"/>
        </w:rPr>
        <w:t>Προζελατινοποιημένο άμυλο αραβοσίτου</w:t>
      </w:r>
    </w:p>
    <w:p>
      <w:pPr>
        <w:widowControl w:val="0"/>
        <w:autoSpaceDE w:val="0"/>
        <w:autoSpaceDN w:val="0"/>
        <w:adjustRightInd w:val="0"/>
        <w:spacing w:line="240" w:lineRule="auto"/>
        <w:rPr>
          <w:color w:val="000000"/>
          <w:szCs w:val="22"/>
          <w:lang w:val="el-GR"/>
        </w:rPr>
      </w:pPr>
      <w:r>
        <w:rPr>
          <w:color w:val="000000"/>
          <w:szCs w:val="22"/>
          <w:lang w:val="el-GR"/>
        </w:rPr>
        <w:t>Πολυαιθυλενογλυκόλη 6000</w:t>
      </w:r>
    </w:p>
    <w:p>
      <w:pPr>
        <w:widowControl w:val="0"/>
        <w:autoSpaceDE w:val="0"/>
        <w:autoSpaceDN w:val="0"/>
        <w:adjustRightInd w:val="0"/>
        <w:spacing w:line="240" w:lineRule="auto"/>
        <w:rPr>
          <w:color w:val="000000"/>
          <w:szCs w:val="22"/>
          <w:lang w:val="el-GR"/>
        </w:rPr>
      </w:pPr>
      <w:r>
        <w:rPr>
          <w:color w:val="000000"/>
          <w:szCs w:val="22"/>
          <w:lang w:val="el-GR"/>
        </w:rPr>
        <w:t>Κικέλαιο υδρογονωμένο</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iCs/>
          <w:color w:val="000000"/>
          <w:szCs w:val="22"/>
          <w:u w:val="single"/>
          <w:lang w:val="el-GR"/>
        </w:rPr>
      </w:pPr>
      <w:r>
        <w:rPr>
          <w:iCs/>
          <w:color w:val="000000"/>
          <w:szCs w:val="22"/>
          <w:u w:val="single"/>
          <w:lang w:val="el-GR"/>
        </w:rPr>
        <w:t>Επικάλυψη:</w:t>
      </w:r>
    </w:p>
    <w:p>
      <w:pPr>
        <w:widowControl w:val="0"/>
        <w:spacing w:line="240" w:lineRule="auto"/>
        <w:rPr>
          <w:szCs w:val="22"/>
          <w:lang w:val="el-GR"/>
        </w:rPr>
      </w:pPr>
      <w:r>
        <w:rPr>
          <w:color w:val="000000"/>
          <w:szCs w:val="22"/>
          <w:lang w:val="el-GR"/>
        </w:rPr>
        <w:t xml:space="preserve">Υπρομελλόζη </w:t>
      </w:r>
      <w:r>
        <w:rPr>
          <w:szCs w:val="22"/>
          <w:lang w:val="el-GR"/>
        </w:rPr>
        <w:t>(E464)</w:t>
      </w:r>
    </w:p>
    <w:p>
      <w:pPr>
        <w:widowControl w:val="0"/>
        <w:autoSpaceDE w:val="0"/>
        <w:autoSpaceDN w:val="0"/>
        <w:adjustRightInd w:val="0"/>
        <w:spacing w:line="240" w:lineRule="auto"/>
        <w:rPr>
          <w:color w:val="000000"/>
          <w:szCs w:val="22"/>
          <w:lang w:val="el-GR"/>
        </w:rPr>
      </w:pPr>
      <w:r>
        <w:rPr>
          <w:color w:val="000000"/>
          <w:szCs w:val="22"/>
          <w:lang w:val="el-GR"/>
        </w:rPr>
        <w:t>Τιτανίου διοξείδιο (Ε171)</w:t>
      </w:r>
    </w:p>
    <w:p>
      <w:pPr>
        <w:widowControl w:val="0"/>
        <w:autoSpaceDE w:val="0"/>
        <w:autoSpaceDN w:val="0"/>
        <w:adjustRightInd w:val="0"/>
        <w:spacing w:line="240" w:lineRule="auto"/>
        <w:rPr>
          <w:color w:val="000000"/>
          <w:szCs w:val="22"/>
          <w:lang w:val="el-GR"/>
        </w:rPr>
      </w:pPr>
      <w:r>
        <w:rPr>
          <w:color w:val="000000"/>
          <w:szCs w:val="22"/>
          <w:lang w:val="el-GR"/>
        </w:rPr>
        <w:t>Σιδήρου οξείδιο ερυθρό (Ε172)</w:t>
      </w:r>
    </w:p>
    <w:p>
      <w:pPr>
        <w:widowControl w:val="0"/>
        <w:autoSpaceDE w:val="0"/>
        <w:autoSpaceDN w:val="0"/>
        <w:adjustRightInd w:val="0"/>
        <w:spacing w:line="240" w:lineRule="auto"/>
        <w:rPr>
          <w:color w:val="000000"/>
          <w:szCs w:val="22"/>
          <w:lang w:val="el-GR"/>
        </w:rPr>
      </w:pPr>
      <w:r>
        <w:rPr>
          <w:color w:val="000000"/>
          <w:szCs w:val="22"/>
          <w:lang w:val="el-GR"/>
        </w:rPr>
        <w:t>Τάλκης</w:t>
      </w:r>
    </w:p>
    <w:p>
      <w:pPr>
        <w:widowControl w:val="0"/>
        <w:autoSpaceDE w:val="0"/>
        <w:autoSpaceDN w:val="0"/>
        <w:adjustRightInd w:val="0"/>
        <w:spacing w:line="240" w:lineRule="auto"/>
        <w:rPr>
          <w:color w:val="000000"/>
          <w:szCs w:val="22"/>
          <w:lang w:val="el-GR"/>
        </w:rPr>
      </w:pPr>
      <w:r>
        <w:rPr>
          <w:color w:val="000000"/>
          <w:szCs w:val="22"/>
          <w:lang w:val="el-GR"/>
        </w:rPr>
        <w:t>Προπυλενογλυκόλη</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6.2</w:t>
      </w:r>
      <w:r>
        <w:rPr>
          <w:b/>
          <w:noProof/>
          <w:szCs w:val="22"/>
          <w:lang w:val="el-GR"/>
        </w:rPr>
        <w:tab/>
        <w:t>Ασυμβατότητες</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Δεν εφαρμόζεται.</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6.3</w:t>
      </w:r>
      <w:r>
        <w:rPr>
          <w:b/>
          <w:noProof/>
          <w:szCs w:val="22"/>
          <w:lang w:val="el-GR"/>
        </w:rPr>
        <w:tab/>
        <w:t>Διάρκεια ζωής</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3 χρόνια.</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6.4</w:t>
      </w:r>
      <w:r>
        <w:rPr>
          <w:b/>
          <w:noProof/>
          <w:szCs w:val="22"/>
          <w:lang w:val="el-GR"/>
        </w:rPr>
        <w:tab/>
        <w:t>Ιδιαίτερες προφυλάξεις κατά τη φύλαξη του προϊόντος</w:t>
      </w:r>
    </w:p>
    <w:p>
      <w:pPr>
        <w:widowControl w:val="0"/>
        <w:spacing w:line="240" w:lineRule="auto"/>
        <w:rPr>
          <w:noProof/>
          <w:szCs w:val="22"/>
          <w:lang w:val="el-GR"/>
        </w:rPr>
      </w:pPr>
    </w:p>
    <w:p>
      <w:pPr>
        <w:widowControl w:val="0"/>
        <w:autoSpaceDE w:val="0"/>
        <w:autoSpaceDN w:val="0"/>
        <w:adjustRightInd w:val="0"/>
        <w:spacing w:line="240" w:lineRule="auto"/>
        <w:rPr>
          <w:bCs/>
          <w:color w:val="000000"/>
          <w:szCs w:val="22"/>
          <w:lang w:val="el-GR"/>
        </w:rPr>
      </w:pPr>
      <w:r>
        <w:rPr>
          <w:bCs/>
          <w:color w:val="000000"/>
          <w:szCs w:val="22"/>
          <w:lang w:val="el-GR"/>
        </w:rPr>
        <w:t>Φυλάσσετε στην αρχική συσκευασία για να προστατεύεται από την υγρασία και το φως.</w:t>
      </w: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6.5</w:t>
      </w:r>
      <w:r>
        <w:rPr>
          <w:b/>
          <w:noProof/>
          <w:szCs w:val="22"/>
          <w:lang w:val="el-GR"/>
        </w:rPr>
        <w:tab/>
        <w:t>Φύση και συστατικά του περιέκτη</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Κυψέλες από ΟPΑ/Αl/PVC-Al που περιέχουν 7, 14, 28, 30, 50, 56, 60, 84, 90 και 100 επικαλυμμένα με λεπτό υμένιο δισκία σε κουτί.</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Μπορεί να μην κυκλοφορούν όλες οι συσκευασίες.</w:t>
      </w:r>
    </w:p>
    <w:p>
      <w:pPr>
        <w:widowControl w:val="0"/>
        <w:spacing w:line="240" w:lineRule="auto"/>
        <w:rPr>
          <w:b/>
          <w:noProof/>
          <w:szCs w:val="22"/>
          <w:lang w:val="el-GR"/>
        </w:rPr>
      </w:pPr>
    </w:p>
    <w:p>
      <w:pPr>
        <w:widowControl w:val="0"/>
        <w:tabs>
          <w:tab w:val="clear" w:pos="567"/>
        </w:tabs>
        <w:spacing w:line="240" w:lineRule="auto"/>
        <w:ind w:left="567" w:hanging="567"/>
        <w:rPr>
          <w:b/>
          <w:noProof/>
          <w:szCs w:val="22"/>
          <w:lang w:val="el-GR"/>
        </w:rPr>
      </w:pPr>
      <w:r>
        <w:rPr>
          <w:b/>
          <w:noProof/>
          <w:szCs w:val="22"/>
          <w:lang w:val="el-GR"/>
        </w:rPr>
        <w:t>6.6</w:t>
      </w:r>
      <w:r>
        <w:rPr>
          <w:b/>
          <w:noProof/>
          <w:szCs w:val="22"/>
          <w:lang w:val="el-GR"/>
        </w:rPr>
        <w:tab/>
        <w:t>Ιδιαίτερες προφυλάξεις απόρριψης</w:t>
      </w:r>
    </w:p>
    <w:p>
      <w:pPr>
        <w:widowControl w:val="0"/>
        <w:spacing w:line="240" w:lineRule="auto"/>
        <w:rPr>
          <w:noProof/>
          <w:szCs w:val="22"/>
          <w:lang w:val="el-GR"/>
        </w:rPr>
      </w:pPr>
    </w:p>
    <w:p>
      <w:pPr>
        <w:widowControl w:val="0"/>
        <w:autoSpaceDE w:val="0"/>
        <w:autoSpaceDN w:val="0"/>
        <w:adjustRightInd w:val="0"/>
        <w:spacing w:line="240" w:lineRule="auto"/>
        <w:rPr>
          <w:b/>
          <w:bCs/>
          <w:color w:val="000000"/>
          <w:szCs w:val="22"/>
          <w:lang w:val="el-GR"/>
        </w:rPr>
      </w:pPr>
      <w:r>
        <w:rPr>
          <w:szCs w:val="22"/>
          <w:lang w:val="el-GR"/>
        </w:rPr>
        <w:t>Καμία ειδική υποχρέωση για απόρριψη.</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7.</w:t>
      </w:r>
      <w:r>
        <w:rPr>
          <w:b/>
          <w:noProof/>
          <w:szCs w:val="22"/>
          <w:lang w:val="el-GR"/>
        </w:rPr>
        <w:tab/>
        <w:t>ΚΑΤΟΧΟΣ ΤΗΣ ΑΔΕΙΑΣ ΚΥΚΛΟΦΟΡΙΑΣ</w:t>
      </w:r>
    </w:p>
    <w:p>
      <w:pPr>
        <w:widowControl w:val="0"/>
        <w:spacing w:line="240" w:lineRule="auto"/>
        <w:rPr>
          <w:noProof/>
          <w:szCs w:val="22"/>
          <w:lang w:val="el-GR"/>
        </w:rPr>
      </w:pPr>
    </w:p>
    <w:p>
      <w:pPr>
        <w:widowControl w:val="0"/>
        <w:autoSpaceDE w:val="0"/>
        <w:autoSpaceDN w:val="0"/>
        <w:adjustRightInd w:val="0"/>
        <w:spacing w:line="240" w:lineRule="auto"/>
        <w:rPr>
          <w:bCs/>
          <w:color w:val="000000"/>
          <w:szCs w:val="22"/>
          <w:lang w:val="el-GR"/>
        </w:rPr>
      </w:pPr>
      <w:r>
        <w:rPr>
          <w:bCs/>
          <w:color w:val="000000"/>
          <w:szCs w:val="22"/>
          <w:lang w:val="el-GR"/>
        </w:rPr>
        <w:t xml:space="preserve">KRKA, d.d., Novo mesto, Šmarješka cesta 6, 8501 Novo mesto, </w:t>
      </w:r>
      <w:r>
        <w:rPr>
          <w:color w:val="000000"/>
          <w:szCs w:val="22"/>
          <w:lang w:val="el-GR"/>
        </w:rPr>
        <w:t>Σλοβενία</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8.</w:t>
      </w:r>
      <w:r>
        <w:rPr>
          <w:b/>
          <w:noProof/>
          <w:szCs w:val="22"/>
          <w:lang w:val="el-GR"/>
        </w:rPr>
        <w:tab/>
        <w:t>ΑΡΙΘΜΟΣ(ΟΙ) ΑΔΕΙΑΣ ΚΥΚΛΟΦΟΡΙΑΣ</w:t>
      </w:r>
    </w:p>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lang w:val="el-GR"/>
        </w:rPr>
        <w:t>7 επικαλυμμένα με λεπτό υμένιο δισκία:</w:t>
      </w:r>
      <w:r>
        <w:rPr>
          <w:noProof/>
          <w:szCs w:val="22"/>
          <w:lang w:val="el-GR"/>
        </w:rPr>
        <w:t xml:space="preserve"> </w:t>
      </w:r>
      <w:r>
        <w:rPr>
          <w:szCs w:val="22"/>
          <w:lang w:val="el-GR"/>
        </w:rPr>
        <w:t>EU/1/09/553/001</w:t>
      </w:r>
    </w:p>
    <w:p>
      <w:pPr>
        <w:widowControl w:val="0"/>
        <w:autoSpaceDE w:val="0"/>
        <w:autoSpaceDN w:val="0"/>
        <w:adjustRightInd w:val="0"/>
        <w:spacing w:line="240" w:lineRule="auto"/>
        <w:rPr>
          <w:b/>
          <w:bCs/>
          <w:szCs w:val="22"/>
          <w:lang w:val="el-GR"/>
        </w:rPr>
      </w:pPr>
      <w:r>
        <w:rPr>
          <w:szCs w:val="22"/>
          <w:lang w:val="el-GR"/>
        </w:rPr>
        <w:t>14 επικαλυμμένα με λεπτό υμένιο δισκία</w:t>
      </w:r>
      <w:r>
        <w:rPr>
          <w:noProof/>
          <w:szCs w:val="22"/>
          <w:lang w:val="el-GR"/>
        </w:rPr>
        <w:t>:</w:t>
      </w:r>
      <w:r>
        <w:rPr>
          <w:szCs w:val="22"/>
          <w:lang w:val="el-GR"/>
        </w:rPr>
        <w:t xml:space="preserve"> EU/1/09/553/002</w:t>
      </w:r>
    </w:p>
    <w:p>
      <w:pPr>
        <w:widowControl w:val="0"/>
        <w:autoSpaceDE w:val="0"/>
        <w:autoSpaceDN w:val="0"/>
        <w:adjustRightInd w:val="0"/>
        <w:spacing w:line="240" w:lineRule="auto"/>
        <w:rPr>
          <w:szCs w:val="22"/>
          <w:lang w:val="el-GR"/>
        </w:rPr>
      </w:pPr>
      <w:r>
        <w:rPr>
          <w:szCs w:val="22"/>
          <w:lang w:val="el-GR"/>
        </w:rPr>
        <w:t>28 επικαλυμμένα με λεπτό υμένιο δισκία</w:t>
      </w:r>
      <w:r>
        <w:rPr>
          <w:noProof/>
          <w:szCs w:val="22"/>
          <w:lang w:val="el-GR"/>
        </w:rPr>
        <w:t>:</w:t>
      </w:r>
      <w:r>
        <w:rPr>
          <w:szCs w:val="22"/>
          <w:lang w:val="el-GR"/>
        </w:rPr>
        <w:t xml:space="preserve"> EU/1/09/553/003</w:t>
      </w:r>
    </w:p>
    <w:p>
      <w:pPr>
        <w:widowControl w:val="0"/>
        <w:autoSpaceDE w:val="0"/>
        <w:autoSpaceDN w:val="0"/>
        <w:adjustRightInd w:val="0"/>
        <w:spacing w:line="240" w:lineRule="auto"/>
        <w:rPr>
          <w:szCs w:val="22"/>
          <w:lang w:val="el-GR"/>
        </w:rPr>
      </w:pPr>
      <w:r>
        <w:rPr>
          <w:szCs w:val="22"/>
          <w:lang w:val="el-GR"/>
        </w:rPr>
        <w:t>30 επικαλυμμένα με λεπτό υμένιο δισκία</w:t>
      </w:r>
      <w:r>
        <w:rPr>
          <w:noProof/>
          <w:szCs w:val="22"/>
          <w:lang w:val="el-GR"/>
        </w:rPr>
        <w:t>:</w:t>
      </w:r>
      <w:r>
        <w:rPr>
          <w:szCs w:val="22"/>
          <w:lang w:val="el-GR"/>
        </w:rPr>
        <w:t xml:space="preserve"> EU/1/09/553/004</w:t>
      </w:r>
    </w:p>
    <w:p>
      <w:pPr>
        <w:widowControl w:val="0"/>
        <w:autoSpaceDE w:val="0"/>
        <w:autoSpaceDN w:val="0"/>
        <w:adjustRightInd w:val="0"/>
        <w:spacing w:line="240" w:lineRule="auto"/>
        <w:rPr>
          <w:szCs w:val="22"/>
          <w:lang w:val="el-GR"/>
        </w:rPr>
      </w:pPr>
      <w:r>
        <w:rPr>
          <w:szCs w:val="22"/>
          <w:lang w:val="el-GR"/>
        </w:rPr>
        <w:t>50 επικαλυμμένα με λεπτό υμένιο δισκία</w:t>
      </w:r>
      <w:r>
        <w:rPr>
          <w:noProof/>
          <w:szCs w:val="22"/>
          <w:lang w:val="el-GR"/>
        </w:rPr>
        <w:t>:</w:t>
      </w:r>
      <w:r>
        <w:rPr>
          <w:szCs w:val="22"/>
          <w:lang w:val="el-GR"/>
        </w:rPr>
        <w:t xml:space="preserve"> EU/1/09/553/005</w:t>
      </w:r>
    </w:p>
    <w:p>
      <w:pPr>
        <w:widowControl w:val="0"/>
        <w:autoSpaceDE w:val="0"/>
        <w:autoSpaceDN w:val="0"/>
        <w:adjustRightInd w:val="0"/>
        <w:spacing w:line="240" w:lineRule="auto"/>
        <w:rPr>
          <w:szCs w:val="22"/>
          <w:lang w:val="el-GR"/>
        </w:rPr>
      </w:pPr>
      <w:r>
        <w:rPr>
          <w:szCs w:val="22"/>
          <w:lang w:val="el-GR"/>
        </w:rPr>
        <w:t>56 επικαλυμμένα με λεπτό υμένιο δισκία</w:t>
      </w:r>
      <w:r>
        <w:rPr>
          <w:noProof/>
          <w:szCs w:val="22"/>
          <w:lang w:val="el-GR"/>
        </w:rPr>
        <w:t>:</w:t>
      </w:r>
      <w:r>
        <w:rPr>
          <w:szCs w:val="22"/>
          <w:lang w:val="el-GR"/>
        </w:rPr>
        <w:t xml:space="preserve"> EU/1/09/553/006</w:t>
      </w:r>
    </w:p>
    <w:p>
      <w:pPr>
        <w:widowControl w:val="0"/>
        <w:autoSpaceDE w:val="0"/>
        <w:autoSpaceDN w:val="0"/>
        <w:adjustRightInd w:val="0"/>
        <w:spacing w:line="240" w:lineRule="auto"/>
        <w:rPr>
          <w:szCs w:val="22"/>
          <w:lang w:val="el-GR"/>
        </w:rPr>
      </w:pPr>
      <w:r>
        <w:rPr>
          <w:szCs w:val="22"/>
          <w:lang w:val="el-GR"/>
        </w:rPr>
        <w:t>60 επικαλυμμένα με λεπτό υμένιο δισκία</w:t>
      </w:r>
      <w:r>
        <w:rPr>
          <w:noProof/>
          <w:szCs w:val="22"/>
          <w:lang w:val="el-GR"/>
        </w:rPr>
        <w:t>:</w:t>
      </w:r>
      <w:r>
        <w:rPr>
          <w:szCs w:val="22"/>
          <w:lang w:val="el-GR"/>
        </w:rPr>
        <w:t xml:space="preserve"> EU/1/09/553/007</w:t>
      </w:r>
    </w:p>
    <w:p>
      <w:pPr>
        <w:widowControl w:val="0"/>
        <w:autoSpaceDE w:val="0"/>
        <w:autoSpaceDN w:val="0"/>
        <w:adjustRightInd w:val="0"/>
        <w:spacing w:line="240" w:lineRule="auto"/>
        <w:rPr>
          <w:szCs w:val="22"/>
          <w:lang w:val="el-GR"/>
        </w:rPr>
      </w:pPr>
      <w:r>
        <w:rPr>
          <w:szCs w:val="22"/>
          <w:lang w:val="el-GR"/>
        </w:rPr>
        <w:t>84 επικαλυμμένα με λεπτό υμένιο δισκία</w:t>
      </w:r>
      <w:r>
        <w:rPr>
          <w:noProof/>
          <w:szCs w:val="22"/>
          <w:lang w:val="el-GR"/>
        </w:rPr>
        <w:t>:</w:t>
      </w:r>
      <w:r>
        <w:rPr>
          <w:szCs w:val="22"/>
          <w:lang w:val="el-GR"/>
        </w:rPr>
        <w:t xml:space="preserve"> EU/1/09/553/008</w:t>
      </w:r>
    </w:p>
    <w:p>
      <w:pPr>
        <w:widowControl w:val="0"/>
        <w:autoSpaceDE w:val="0"/>
        <w:autoSpaceDN w:val="0"/>
        <w:adjustRightInd w:val="0"/>
        <w:spacing w:line="240" w:lineRule="auto"/>
        <w:rPr>
          <w:szCs w:val="22"/>
          <w:lang w:val="el-GR"/>
        </w:rPr>
      </w:pPr>
      <w:r>
        <w:rPr>
          <w:szCs w:val="22"/>
          <w:lang w:val="el-GR"/>
        </w:rPr>
        <w:t>90 επικαλυμμένα με λεπτό υμένιο δισκία</w:t>
      </w:r>
      <w:r>
        <w:rPr>
          <w:noProof/>
          <w:szCs w:val="22"/>
          <w:lang w:val="el-GR"/>
        </w:rPr>
        <w:t>:</w:t>
      </w:r>
      <w:r>
        <w:rPr>
          <w:szCs w:val="22"/>
          <w:lang w:val="el-GR"/>
        </w:rPr>
        <w:t xml:space="preserve"> EU/1/09/553/009</w:t>
      </w:r>
    </w:p>
    <w:p>
      <w:pPr>
        <w:widowControl w:val="0"/>
        <w:autoSpaceDE w:val="0"/>
        <w:autoSpaceDN w:val="0"/>
        <w:adjustRightInd w:val="0"/>
        <w:spacing w:line="240" w:lineRule="auto"/>
        <w:rPr>
          <w:szCs w:val="22"/>
          <w:lang w:val="el-GR"/>
        </w:rPr>
      </w:pPr>
      <w:r>
        <w:rPr>
          <w:szCs w:val="22"/>
          <w:lang w:val="el-GR"/>
        </w:rPr>
        <w:t>100 επικαλυμμένα με λεπτό υμένιο δισκία</w:t>
      </w:r>
      <w:r>
        <w:rPr>
          <w:noProof/>
          <w:szCs w:val="22"/>
          <w:lang w:val="el-GR"/>
        </w:rPr>
        <w:t>:</w:t>
      </w:r>
      <w:r>
        <w:rPr>
          <w:szCs w:val="22"/>
          <w:lang w:val="el-GR"/>
        </w:rPr>
        <w:t xml:space="preserve"> EU/1/09/553/010</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9.</w:t>
      </w:r>
      <w:r>
        <w:rPr>
          <w:b/>
          <w:noProof/>
          <w:szCs w:val="22"/>
          <w:lang w:val="el-GR"/>
        </w:rPr>
        <w:tab/>
        <w:t>ΗΜΕΡΟΜΗΝΙΑ ΠΡΩΤΗΣ ΕΓΚΡΙΣΗΣ / ΑΝΑΝΕΩΣΗΣ ΤΗΣ ΑΔΕΙΑΣ</w:t>
      </w:r>
    </w:p>
    <w:p>
      <w:pPr>
        <w:widowControl w:val="0"/>
        <w:spacing w:line="240" w:lineRule="auto"/>
        <w:rPr>
          <w:szCs w:val="22"/>
          <w:lang w:val="el-GR"/>
        </w:rPr>
      </w:pPr>
    </w:p>
    <w:p>
      <w:pPr>
        <w:widowControl w:val="0"/>
        <w:spacing w:line="240" w:lineRule="auto"/>
        <w:rPr>
          <w:rFonts w:eastAsia="Calibri"/>
          <w:noProof/>
          <w:szCs w:val="22"/>
          <w:lang w:val="el-GR"/>
        </w:rPr>
      </w:pPr>
      <w:r>
        <w:rPr>
          <w:rFonts w:eastAsia="Calibri"/>
          <w:noProof/>
          <w:szCs w:val="22"/>
          <w:lang w:val="el-GR"/>
        </w:rPr>
        <w:t xml:space="preserve">Ημερομηνία πρώτης έγκρισης: </w:t>
      </w:r>
      <w:r>
        <w:rPr>
          <w:rFonts w:eastAsia="Calibri"/>
          <w:szCs w:val="22"/>
          <w:lang w:val="et-EE"/>
        </w:rPr>
        <w:t xml:space="preserve">28 </w:t>
      </w:r>
      <w:r>
        <w:rPr>
          <w:rFonts w:eastAsia="Calibri"/>
          <w:szCs w:val="22"/>
          <w:lang w:val="el-GR" w:eastAsia="sl-SI"/>
        </w:rPr>
        <w:t>Σεπτεμβρίου</w:t>
      </w:r>
      <w:r>
        <w:rPr>
          <w:rFonts w:eastAsia="Calibri"/>
          <w:szCs w:val="22"/>
          <w:lang w:val="sl-SI" w:eastAsia="sl-SI"/>
        </w:rPr>
        <w:t xml:space="preserve"> 2009</w:t>
      </w:r>
    </w:p>
    <w:p>
      <w:pPr>
        <w:widowControl w:val="0"/>
        <w:spacing w:line="240" w:lineRule="auto"/>
        <w:rPr>
          <w:rFonts w:eastAsia="Calibri"/>
          <w:noProof/>
          <w:szCs w:val="22"/>
          <w:lang w:val="sl-SI"/>
        </w:rPr>
      </w:pPr>
      <w:r>
        <w:rPr>
          <w:rFonts w:eastAsia="Calibri"/>
          <w:noProof/>
          <w:szCs w:val="22"/>
          <w:lang w:val="el-GR"/>
        </w:rPr>
        <w:t>Ημερομηνία τελευταίας ανανέωσης:</w:t>
      </w:r>
      <w:r>
        <w:rPr>
          <w:rFonts w:eastAsia="Calibri"/>
          <w:noProof/>
          <w:szCs w:val="22"/>
          <w:lang w:val="sl-SI"/>
        </w:rPr>
        <w:t xml:space="preserve"> </w:t>
      </w:r>
      <w:r>
        <w:rPr>
          <w:rFonts w:eastAsia="Calibri"/>
          <w:noProof/>
          <w:szCs w:val="22"/>
          <w:lang w:val="el-GR"/>
        </w:rPr>
        <w:t>14</w:t>
      </w:r>
      <w:r>
        <w:rPr>
          <w:shd w:val="clear" w:color="auto" w:fill="FFFFFF"/>
          <w:lang w:val="el-GR"/>
        </w:rPr>
        <w:t xml:space="preserve"> </w:t>
      </w:r>
      <w:r>
        <w:rPr>
          <w:rStyle w:val="Emphasis"/>
          <w:b w:val="0"/>
          <w:shd w:val="clear" w:color="auto" w:fill="FFFFFF"/>
          <w:lang w:val="el-GR"/>
        </w:rPr>
        <w:t>Μαΐου</w:t>
      </w:r>
      <w:r>
        <w:rPr>
          <w:rFonts w:eastAsia="Calibri"/>
          <w:noProof/>
          <w:szCs w:val="22"/>
          <w:lang w:val="el-GR"/>
        </w:rPr>
        <w:t xml:space="preserve"> 2014</w:t>
      </w:r>
    </w:p>
    <w:p>
      <w:pPr>
        <w:widowControl w:val="0"/>
        <w:spacing w:line="240" w:lineRule="auto"/>
        <w:rPr>
          <w:szCs w:val="22"/>
          <w:lang w:val="el-GR"/>
        </w:rPr>
      </w:pPr>
    </w:p>
    <w:p>
      <w:pPr>
        <w:widowControl w:val="0"/>
        <w:spacing w:line="240" w:lineRule="auto"/>
        <w:rPr>
          <w:szCs w:val="22"/>
          <w:lang w:val="el-GR"/>
        </w:rPr>
      </w:pPr>
    </w:p>
    <w:p>
      <w:pPr>
        <w:widowControl w:val="0"/>
        <w:tabs>
          <w:tab w:val="clear" w:pos="567"/>
        </w:tabs>
        <w:spacing w:line="240" w:lineRule="auto"/>
        <w:ind w:left="567" w:hanging="567"/>
        <w:rPr>
          <w:b/>
          <w:noProof/>
          <w:szCs w:val="22"/>
          <w:lang w:val="el-GR"/>
        </w:rPr>
      </w:pPr>
      <w:r>
        <w:rPr>
          <w:b/>
          <w:noProof/>
          <w:szCs w:val="22"/>
          <w:lang w:val="el-GR"/>
        </w:rPr>
        <w:t>10.</w:t>
      </w:r>
      <w:r>
        <w:rPr>
          <w:b/>
          <w:noProof/>
          <w:szCs w:val="22"/>
          <w:lang w:val="el-GR"/>
        </w:rPr>
        <w:tab/>
        <w:t>ΗΜΕΡΟΜΗΝΙΑ ΑΝΑΘΕΩΡΗΣΗΣ ΤΟΥ ΚΕΙΜΕΝΟΥ</w:t>
      </w:r>
    </w:p>
    <w:p>
      <w:pPr>
        <w:widowControl w:val="0"/>
        <w:spacing w:line="240" w:lineRule="auto"/>
        <w:rPr>
          <w:b/>
          <w:bCs/>
          <w:noProof/>
          <w:szCs w:val="22"/>
          <w:lang w:val="el-GR"/>
        </w:rPr>
      </w:pPr>
    </w:p>
    <w:p>
      <w:pPr>
        <w:widowControl w:val="0"/>
        <w:spacing w:line="240" w:lineRule="auto"/>
        <w:rPr>
          <w:b/>
          <w:bCs/>
          <w:noProof/>
          <w:szCs w:val="22"/>
          <w:lang w:val="el-GR"/>
        </w:rPr>
      </w:pPr>
    </w:p>
    <w:p>
      <w:pPr>
        <w:widowControl w:val="0"/>
        <w:spacing w:line="240" w:lineRule="auto"/>
        <w:rPr>
          <w:noProof/>
          <w:szCs w:val="22"/>
          <w:lang w:val="sl-SI"/>
        </w:rPr>
      </w:pPr>
      <w:r>
        <w:rPr>
          <w:noProof/>
          <w:szCs w:val="22"/>
          <w:lang w:val="el-GR"/>
        </w:rPr>
        <w:t>Λεπτομερείς πληροφορίες για το παρόν φαρμακευτικό προϊόν είναι διαθέσιμες στον δικτυακό τόπο του</w:t>
      </w:r>
      <w:r>
        <w:rPr>
          <w:b/>
          <w:noProof/>
          <w:szCs w:val="22"/>
          <w:lang w:val="el-GR"/>
        </w:rPr>
        <w:t xml:space="preserve"> </w:t>
      </w:r>
      <w:r>
        <w:rPr>
          <w:noProof/>
          <w:szCs w:val="22"/>
          <w:lang w:val="el-GR"/>
        </w:rPr>
        <w:t xml:space="preserve">Ευρωπαϊκού Οργανισμού Φαρμάκων: </w:t>
      </w:r>
      <w:hyperlink r:id="rId10" w:history="1">
        <w:r>
          <w:rPr>
            <w:rStyle w:val="Hyperlink"/>
            <w:noProof/>
            <w:szCs w:val="22"/>
            <w:lang w:val="el-GR"/>
          </w:rPr>
          <w:t>http://www.ema.europa.eu</w:t>
        </w:r>
      </w:hyperlink>
      <w:r>
        <w:rPr>
          <w:noProof/>
          <w:color w:val="0000FF"/>
          <w:szCs w:val="22"/>
          <w:lang w:val="el-GR"/>
        </w:rPr>
        <w:t>/.</w:t>
      </w:r>
    </w:p>
    <w:p>
      <w:pPr>
        <w:widowControl w:val="0"/>
        <w:spacing w:line="240" w:lineRule="auto"/>
        <w:rPr>
          <w:bCs/>
          <w:noProof/>
          <w:szCs w:val="22"/>
          <w:lang w:val="el-GR"/>
        </w:rPr>
      </w:pPr>
      <w:r>
        <w:rPr>
          <w:noProof/>
          <w:szCs w:val="22"/>
          <w:lang w:val="el-GR"/>
        </w:rPr>
        <w:br w:type="page"/>
      </w: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el-GR"/>
        </w:rPr>
      </w:pPr>
    </w:p>
    <w:p>
      <w:pPr>
        <w:widowControl w:val="0"/>
        <w:spacing w:line="240" w:lineRule="auto"/>
        <w:rPr>
          <w:bCs/>
          <w:noProof/>
          <w:szCs w:val="22"/>
          <w:lang w:val="sl-SI"/>
        </w:rPr>
      </w:pPr>
    </w:p>
    <w:p>
      <w:pPr>
        <w:widowControl w:val="0"/>
        <w:spacing w:line="240" w:lineRule="auto"/>
        <w:rPr>
          <w:b/>
          <w:noProof/>
          <w:szCs w:val="22"/>
          <w:lang w:val="sl-SI"/>
        </w:rPr>
      </w:pPr>
    </w:p>
    <w:p>
      <w:pPr>
        <w:widowControl w:val="0"/>
        <w:spacing w:line="240" w:lineRule="auto"/>
        <w:rPr>
          <w:b/>
          <w:noProof/>
          <w:szCs w:val="22"/>
          <w:lang w:val="sl-SI"/>
        </w:rPr>
      </w:pPr>
    </w:p>
    <w:p>
      <w:pPr>
        <w:widowControl w:val="0"/>
        <w:spacing w:line="240" w:lineRule="auto"/>
        <w:rPr>
          <w:b/>
          <w:noProof/>
          <w:szCs w:val="22"/>
          <w:lang w:val="sl-SI"/>
        </w:rPr>
      </w:pPr>
    </w:p>
    <w:p>
      <w:pPr>
        <w:widowControl w:val="0"/>
        <w:spacing w:line="240" w:lineRule="auto"/>
        <w:rPr>
          <w:b/>
          <w:noProof/>
          <w:szCs w:val="22"/>
          <w:lang w:val="sl-SI"/>
        </w:rPr>
      </w:pPr>
    </w:p>
    <w:p>
      <w:pPr>
        <w:widowControl w:val="0"/>
        <w:spacing w:line="240" w:lineRule="auto"/>
        <w:jc w:val="center"/>
        <w:rPr>
          <w:b/>
          <w:szCs w:val="22"/>
          <w:u w:val="single"/>
          <w:lang w:val="el-GR"/>
        </w:rPr>
      </w:pPr>
      <w:r>
        <w:rPr>
          <w:b/>
          <w:noProof/>
          <w:szCs w:val="22"/>
          <w:lang w:val="el-GR"/>
        </w:rPr>
        <w:t>ΠΑΡΑΡΤΗΜΑ ΙΙ</w:t>
      </w:r>
    </w:p>
    <w:p>
      <w:pPr>
        <w:widowControl w:val="0"/>
        <w:spacing w:line="240" w:lineRule="auto"/>
        <w:jc w:val="center"/>
        <w:rPr>
          <w:bCs/>
          <w:noProof/>
          <w:szCs w:val="22"/>
          <w:lang w:val="el-GR"/>
        </w:rPr>
      </w:pPr>
    </w:p>
    <w:p>
      <w:pPr>
        <w:widowControl w:val="0"/>
        <w:spacing w:line="240" w:lineRule="auto"/>
        <w:ind w:left="1701" w:right="1133" w:hanging="567"/>
        <w:rPr>
          <w:b/>
          <w:noProof/>
          <w:szCs w:val="22"/>
          <w:lang w:val="el-GR"/>
        </w:rPr>
      </w:pPr>
      <w:r>
        <w:rPr>
          <w:b/>
          <w:noProof/>
          <w:szCs w:val="22"/>
          <w:lang w:val="el-GR"/>
        </w:rPr>
        <w:t>Α.</w:t>
      </w:r>
      <w:r>
        <w:rPr>
          <w:b/>
          <w:noProof/>
          <w:szCs w:val="22"/>
          <w:lang w:val="el-GR"/>
        </w:rPr>
        <w:tab/>
        <w:t>ΠΑΡΑΣΚΕΥΑΣΤΕΣ ΥΠΕΥΘΥΝΟΙ ΓΙΑ ΤΗΝ ΑΠΟΔΕΣΜΕΥΣΗ ΤΩΝ ΠΑΡΤΙΔΩΝ</w:t>
      </w:r>
    </w:p>
    <w:p>
      <w:pPr>
        <w:widowControl w:val="0"/>
        <w:spacing w:line="240" w:lineRule="auto"/>
        <w:ind w:left="1701" w:right="1133" w:hanging="567"/>
        <w:rPr>
          <w:b/>
          <w:noProof/>
          <w:szCs w:val="22"/>
          <w:lang w:val="el-GR"/>
        </w:rPr>
      </w:pPr>
    </w:p>
    <w:p>
      <w:pPr>
        <w:widowControl w:val="0"/>
        <w:spacing w:line="240" w:lineRule="auto"/>
        <w:ind w:left="1701" w:right="1133" w:hanging="567"/>
        <w:rPr>
          <w:szCs w:val="22"/>
          <w:lang w:val="el-GR"/>
        </w:rPr>
      </w:pPr>
      <w:r>
        <w:rPr>
          <w:b/>
          <w:noProof/>
          <w:szCs w:val="22"/>
          <w:lang w:val="el-GR"/>
        </w:rPr>
        <w:t>Β.</w:t>
      </w:r>
      <w:r>
        <w:rPr>
          <w:b/>
          <w:noProof/>
          <w:szCs w:val="22"/>
          <w:lang w:val="el-GR"/>
        </w:rPr>
        <w:tab/>
        <w:t xml:space="preserve">ΟΡΟΙ </w:t>
      </w:r>
      <w:r>
        <w:rPr>
          <w:b/>
          <w:szCs w:val="22"/>
          <w:lang w:val="el-GR"/>
        </w:rPr>
        <w:t>Ή</w:t>
      </w:r>
      <w:r>
        <w:rPr>
          <w:b/>
          <w:noProof/>
          <w:szCs w:val="22"/>
          <w:lang w:val="el-GR"/>
        </w:rPr>
        <w:t xml:space="preserve"> ΠΕΡΙΟΡΙΣΜΟΙ ΣΧΕΤΙΚΑ ΜΕ ΤΗ ΔΙΑΘΕΣΗ ΚΑΙ ΤΗ ΧΡΗΣΗ</w:t>
      </w:r>
    </w:p>
    <w:p>
      <w:pPr>
        <w:widowControl w:val="0"/>
        <w:spacing w:line="240" w:lineRule="auto"/>
        <w:ind w:left="1701" w:right="1133" w:hanging="567"/>
        <w:rPr>
          <w:noProof/>
          <w:szCs w:val="22"/>
          <w:lang w:val="sl-SI"/>
        </w:rPr>
      </w:pPr>
    </w:p>
    <w:p>
      <w:pPr>
        <w:widowControl w:val="0"/>
        <w:tabs>
          <w:tab w:val="clear" w:pos="567"/>
        </w:tabs>
        <w:spacing w:line="240" w:lineRule="auto"/>
        <w:ind w:left="1701" w:right="1133" w:hanging="567"/>
        <w:rPr>
          <w:b/>
          <w:noProof/>
          <w:szCs w:val="22"/>
          <w:lang w:val="el-GR"/>
        </w:rPr>
      </w:pPr>
      <w:r>
        <w:rPr>
          <w:b/>
          <w:noProof/>
          <w:szCs w:val="22"/>
          <w:lang w:val="el-GR"/>
        </w:rPr>
        <w:t>Γ.</w:t>
      </w:r>
      <w:r>
        <w:rPr>
          <w:b/>
          <w:noProof/>
          <w:szCs w:val="22"/>
          <w:lang w:val="el-GR"/>
        </w:rPr>
        <w:tab/>
        <w:t>ΑΛΛΟΙ ΟΡΟΙ ΚΑΙ ΑΠΑΙΤΗΣΕΙΣ ΤΗΣ ΑΔΕΙΑΣ ΚΥΚΛΟΦΟΡΙΑΣ</w:t>
      </w:r>
    </w:p>
    <w:p>
      <w:pPr>
        <w:widowControl w:val="0"/>
        <w:tabs>
          <w:tab w:val="clear" w:pos="567"/>
          <w:tab w:val="left" w:pos="1560"/>
        </w:tabs>
        <w:spacing w:line="240" w:lineRule="auto"/>
        <w:ind w:left="1701" w:right="1133" w:hanging="567"/>
        <w:rPr>
          <w:b/>
          <w:noProof/>
          <w:szCs w:val="22"/>
          <w:lang w:val="sl-SI"/>
        </w:rPr>
      </w:pPr>
    </w:p>
    <w:p>
      <w:pPr>
        <w:widowControl w:val="0"/>
        <w:tabs>
          <w:tab w:val="clear" w:pos="567"/>
        </w:tabs>
        <w:spacing w:line="240" w:lineRule="auto"/>
        <w:ind w:left="1701" w:right="1133" w:hanging="567"/>
        <w:rPr>
          <w:b/>
          <w:szCs w:val="22"/>
          <w:lang w:val="el-GR"/>
        </w:rPr>
      </w:pPr>
      <w:r>
        <w:rPr>
          <w:b/>
          <w:noProof/>
          <w:szCs w:val="22"/>
          <w:lang w:val="el-GR"/>
        </w:rPr>
        <w:t>Δ.</w:t>
      </w:r>
      <w:r>
        <w:rPr>
          <w:b/>
          <w:szCs w:val="22"/>
          <w:lang w:val="el-GR"/>
        </w:rPr>
        <w:tab/>
      </w:r>
      <w:r>
        <w:rPr>
          <w:b/>
          <w:noProof/>
          <w:szCs w:val="22"/>
          <w:lang w:val="el-GR"/>
        </w:rPr>
        <w:t>ΟΡΟΙ Ή ΠΕΡΙΟΡΙΣΜΟΙ ΣΧΕΤΙΚΑ ΜΕ ΤΗΝ ΑΣΦΑΛΗ ΚΑΙ ΑΠΟΤΕΛΕΣΜΑΤΙΚΗ ΧΡΗΣΗ ΤΟΥ ΦΑΡΜΑΚΕΥΤΙΚΟΥ ΠΡΟΪΟΝΤΟΣ</w:t>
      </w:r>
    </w:p>
    <w:p>
      <w:pPr>
        <w:pStyle w:val="Title2"/>
        <w:widowControl w:val="0"/>
        <w:spacing w:line="240" w:lineRule="auto"/>
        <w:ind w:left="0" w:right="1133" w:firstLine="0"/>
        <w:rPr>
          <w:szCs w:val="22"/>
          <w:lang w:val="sl-SI"/>
        </w:rPr>
      </w:pPr>
    </w:p>
    <w:p>
      <w:pPr>
        <w:pStyle w:val="TitleB"/>
        <w:widowControl w:val="0"/>
      </w:pPr>
      <w:r>
        <w:br w:type="page"/>
      </w:r>
      <w:r>
        <w:lastRenderedPageBreak/>
        <w:t>Α.</w:t>
      </w:r>
      <w:r>
        <w:tab/>
        <w:t>ΠΑΡΑΣΚΕΥΑΣΤΕΣ ΥΠΕΥΘΥΝΟΙ ΓΙΑ ΤΗΝ ΑΠΟΔΕΣΜΕΥΣΗ ΤΩΝ ΠΑΡΤΙΔΩΝ</w:t>
      </w:r>
    </w:p>
    <w:p>
      <w:pPr>
        <w:widowControl w:val="0"/>
        <w:spacing w:line="240" w:lineRule="auto"/>
        <w:rPr>
          <w:b/>
          <w:noProof/>
          <w:szCs w:val="22"/>
          <w:lang w:val="el-GR"/>
        </w:rPr>
      </w:pPr>
    </w:p>
    <w:p>
      <w:pPr>
        <w:widowControl w:val="0"/>
        <w:spacing w:line="240" w:lineRule="auto"/>
        <w:rPr>
          <w:noProof/>
          <w:szCs w:val="22"/>
          <w:u w:val="single"/>
          <w:lang w:val="el-GR"/>
        </w:rPr>
      </w:pPr>
      <w:r>
        <w:rPr>
          <w:noProof/>
          <w:szCs w:val="22"/>
          <w:u w:val="single"/>
          <w:lang w:val="el-GR"/>
        </w:rPr>
        <w:t>Όνομα και διεύθυνση του(των) παρασκευαστή(ών) που είναι υπεύθυνος(οι) για την αποδέσμευση των παρτίδων</w:t>
      </w:r>
    </w:p>
    <w:p>
      <w:pPr>
        <w:widowControl w:val="0"/>
        <w:spacing w:line="240" w:lineRule="auto"/>
        <w:outlineLvl w:val="0"/>
        <w:rPr>
          <w:noProof/>
          <w:szCs w:val="22"/>
          <w:lang w:val="el-GR"/>
        </w:rPr>
      </w:pPr>
    </w:p>
    <w:p>
      <w:pPr>
        <w:widowControl w:val="0"/>
        <w:spacing w:line="240" w:lineRule="auto"/>
        <w:jc w:val="both"/>
        <w:rPr>
          <w:iCs/>
          <w:szCs w:val="22"/>
          <w:lang w:val="pt-PT"/>
        </w:rPr>
      </w:pPr>
      <w:r>
        <w:rPr>
          <w:iCs/>
          <w:noProof/>
          <w:szCs w:val="22"/>
          <w:lang w:val="pt-PT"/>
        </w:rPr>
        <w:t>KRKA, d.d., Novo mesto</w:t>
      </w:r>
    </w:p>
    <w:p>
      <w:pPr>
        <w:widowControl w:val="0"/>
        <w:spacing w:line="240" w:lineRule="auto"/>
        <w:rPr>
          <w:iCs/>
          <w:noProof/>
          <w:szCs w:val="22"/>
          <w:lang w:val="pt-PT"/>
        </w:rPr>
      </w:pPr>
      <w:r>
        <w:rPr>
          <w:iCs/>
          <w:noProof/>
          <w:szCs w:val="22"/>
          <w:lang w:val="pt-PT"/>
        </w:rPr>
        <w:t>Šmarješka cesta 6</w:t>
      </w:r>
    </w:p>
    <w:p>
      <w:pPr>
        <w:widowControl w:val="0"/>
        <w:spacing w:line="240" w:lineRule="auto"/>
        <w:rPr>
          <w:iCs/>
          <w:noProof/>
          <w:szCs w:val="22"/>
          <w:lang w:val="pt-PT"/>
        </w:rPr>
      </w:pPr>
      <w:r>
        <w:rPr>
          <w:iCs/>
          <w:noProof/>
          <w:szCs w:val="22"/>
          <w:lang w:val="pt-PT"/>
        </w:rPr>
        <w:t>8501 Novo mesto</w:t>
      </w:r>
    </w:p>
    <w:p>
      <w:pPr>
        <w:widowControl w:val="0"/>
        <w:spacing w:line="240" w:lineRule="auto"/>
        <w:rPr>
          <w:iCs/>
          <w:noProof/>
          <w:szCs w:val="22"/>
          <w:lang w:val="pt-PT"/>
        </w:rPr>
      </w:pPr>
      <w:r>
        <w:rPr>
          <w:iCs/>
          <w:noProof/>
          <w:szCs w:val="22"/>
          <w:lang w:val="el-GR"/>
        </w:rPr>
        <w:t>Σλοβενία</w:t>
      </w:r>
    </w:p>
    <w:p>
      <w:pPr>
        <w:widowControl w:val="0"/>
        <w:spacing w:line="240" w:lineRule="auto"/>
        <w:rPr>
          <w:noProof/>
          <w:szCs w:val="22"/>
          <w:lang w:val="pt-PT"/>
        </w:rPr>
      </w:pPr>
    </w:p>
    <w:p>
      <w:pPr>
        <w:widowControl w:val="0"/>
        <w:spacing w:line="240" w:lineRule="auto"/>
        <w:jc w:val="both"/>
        <w:rPr>
          <w:szCs w:val="22"/>
          <w:lang w:val="sl-SI"/>
        </w:rPr>
      </w:pPr>
      <w:r>
        <w:rPr>
          <w:szCs w:val="22"/>
          <w:lang w:val="pt-PT"/>
        </w:rPr>
        <w:t>KRKA</w:t>
      </w:r>
      <w:r>
        <w:rPr>
          <w:szCs w:val="22"/>
          <w:lang w:val="sl-SI"/>
        </w:rPr>
        <w:t xml:space="preserve">-POLSKA </w:t>
      </w:r>
      <w:r>
        <w:rPr>
          <w:szCs w:val="22"/>
          <w:lang w:val="pt-PT"/>
        </w:rPr>
        <w:t>Sp. z o.o</w:t>
      </w:r>
      <w:r>
        <w:rPr>
          <w:szCs w:val="22"/>
          <w:lang w:val="sl-SI"/>
        </w:rPr>
        <w:t>.</w:t>
      </w:r>
    </w:p>
    <w:p>
      <w:pPr>
        <w:widowControl w:val="0"/>
        <w:spacing w:line="240" w:lineRule="auto"/>
        <w:jc w:val="both"/>
        <w:rPr>
          <w:szCs w:val="22"/>
          <w:lang w:val="sl-SI"/>
        </w:rPr>
      </w:pPr>
      <w:r>
        <w:rPr>
          <w:szCs w:val="22"/>
          <w:lang w:val="sl-SI"/>
        </w:rPr>
        <w:t>ul. Równoległa 5</w:t>
      </w:r>
    </w:p>
    <w:p>
      <w:pPr>
        <w:widowControl w:val="0"/>
        <w:spacing w:line="240" w:lineRule="auto"/>
        <w:jc w:val="both"/>
        <w:rPr>
          <w:szCs w:val="22"/>
          <w:lang w:val="sl-SI"/>
        </w:rPr>
      </w:pPr>
      <w:r>
        <w:rPr>
          <w:szCs w:val="22"/>
          <w:lang w:val="sl-SI"/>
        </w:rPr>
        <w:t>02-235 Warszawa</w:t>
      </w:r>
    </w:p>
    <w:p>
      <w:pPr>
        <w:widowControl w:val="0"/>
        <w:spacing w:line="240" w:lineRule="auto"/>
        <w:jc w:val="both"/>
        <w:rPr>
          <w:szCs w:val="22"/>
          <w:lang w:val="sl-SI"/>
        </w:rPr>
      </w:pPr>
      <w:r>
        <w:rPr>
          <w:szCs w:val="22"/>
          <w:lang w:val="el-GR"/>
        </w:rPr>
        <w:t>Πολωνία</w:t>
      </w:r>
    </w:p>
    <w:p>
      <w:pPr>
        <w:widowControl w:val="0"/>
        <w:spacing w:line="240" w:lineRule="auto"/>
        <w:rPr>
          <w:lang w:val="sl-SI"/>
        </w:rPr>
      </w:pPr>
    </w:p>
    <w:p>
      <w:pPr>
        <w:widowControl w:val="0"/>
        <w:spacing w:line="240" w:lineRule="auto"/>
        <w:rPr>
          <w:lang w:val="sl-SI"/>
        </w:rPr>
      </w:pPr>
      <w:r>
        <w:rPr>
          <w:lang w:val="sl-SI"/>
        </w:rPr>
        <w:t>KRKA - FARMA d.o.o.</w:t>
      </w:r>
    </w:p>
    <w:p>
      <w:pPr>
        <w:widowControl w:val="0"/>
        <w:spacing w:line="240" w:lineRule="auto"/>
        <w:rPr>
          <w:lang w:val="sl-SI"/>
        </w:rPr>
      </w:pPr>
      <w:r>
        <w:rPr>
          <w:szCs w:val="22"/>
          <w:lang w:val="sl-SI"/>
        </w:rPr>
        <w:t>V. Holjevca 20/E</w:t>
      </w:r>
    </w:p>
    <w:p>
      <w:pPr>
        <w:widowControl w:val="0"/>
        <w:spacing w:line="240" w:lineRule="auto"/>
        <w:rPr>
          <w:lang w:val="sl-SI"/>
        </w:rPr>
      </w:pPr>
      <w:r>
        <w:rPr>
          <w:color w:val="000000"/>
          <w:lang w:val="sl-SI"/>
        </w:rPr>
        <w:t xml:space="preserve">10450 </w:t>
      </w:r>
      <w:r>
        <w:rPr>
          <w:lang w:val="sl-SI"/>
        </w:rPr>
        <w:t>Jastrebarsko</w:t>
      </w:r>
    </w:p>
    <w:p>
      <w:pPr>
        <w:pStyle w:val="Date"/>
        <w:widowControl w:val="0"/>
        <w:spacing w:line="240" w:lineRule="auto"/>
        <w:rPr>
          <w:szCs w:val="22"/>
          <w:lang w:val="el-GR"/>
        </w:rPr>
      </w:pPr>
      <w:r>
        <w:rPr>
          <w:rStyle w:val="hps"/>
          <w:color w:val="222222"/>
          <w:lang w:val="el-GR"/>
        </w:rPr>
        <w:t>Κροατία</w:t>
      </w:r>
    </w:p>
    <w:p>
      <w:pPr>
        <w:pStyle w:val="Date"/>
        <w:widowControl w:val="0"/>
        <w:spacing w:line="240" w:lineRule="auto"/>
        <w:rPr>
          <w:szCs w:val="22"/>
          <w:lang w:val="el-GR"/>
        </w:rPr>
      </w:pPr>
    </w:p>
    <w:p>
      <w:pPr>
        <w:widowControl w:val="0"/>
        <w:spacing w:line="240" w:lineRule="auto"/>
        <w:rPr>
          <w:noProof/>
          <w:szCs w:val="22"/>
          <w:lang w:val="el-GR"/>
        </w:rPr>
      </w:pPr>
      <w:r>
        <w:rPr>
          <w:noProof/>
          <w:szCs w:val="22"/>
          <w:lang w:val="el-GR"/>
        </w:rPr>
        <w:t xml:space="preserve">Στο έντυπο φύλλο οδηγιών </w:t>
      </w:r>
      <w:r>
        <w:rPr>
          <w:noProof/>
          <w:color w:val="000000"/>
          <w:szCs w:val="22"/>
          <w:lang w:val="el-GR"/>
        </w:rPr>
        <w:t>χρήσης</w:t>
      </w:r>
      <w:r>
        <w:rPr>
          <w:noProof/>
          <w:szCs w:val="22"/>
          <w:lang w:val="el-GR"/>
        </w:rPr>
        <w:t xml:space="preserve">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pPr>
        <w:pStyle w:val="Date"/>
        <w:widowControl w:val="0"/>
        <w:spacing w:line="240" w:lineRule="auto"/>
        <w:rPr>
          <w:szCs w:val="22"/>
          <w:lang w:val="el-GR"/>
        </w:rPr>
      </w:pPr>
    </w:p>
    <w:p>
      <w:pPr>
        <w:widowControl w:val="0"/>
        <w:spacing w:line="240" w:lineRule="auto"/>
        <w:rPr>
          <w:szCs w:val="22"/>
          <w:lang w:val="el-GR"/>
        </w:rPr>
      </w:pPr>
    </w:p>
    <w:p>
      <w:pPr>
        <w:pStyle w:val="TitleB"/>
        <w:widowControl w:val="0"/>
      </w:pPr>
      <w:r>
        <w:t>Β.</w:t>
      </w:r>
      <w:r>
        <w:tab/>
        <w:t>ΟΡΟΙ Ή ΠΕΡΙΟΡΙΣΜΟΙ ΣΧΕΤΙΚΑ ΜΕ ΤΗ ΔΙΑΘΕΣΗ ΚΑΙ ΤΗ ΧΡΗΣΗ</w:t>
      </w:r>
    </w:p>
    <w:p>
      <w:pPr>
        <w:widowControl w:val="0"/>
        <w:spacing w:line="240" w:lineRule="auto"/>
        <w:rPr>
          <w:noProof/>
          <w:szCs w:val="22"/>
          <w:lang w:val="el-GR"/>
        </w:rPr>
      </w:pPr>
    </w:p>
    <w:p>
      <w:pPr>
        <w:widowControl w:val="0"/>
        <w:numPr>
          <w:ilvl w:val="12"/>
          <w:numId w:val="0"/>
        </w:numPr>
        <w:spacing w:line="240" w:lineRule="auto"/>
        <w:rPr>
          <w:noProof/>
          <w:szCs w:val="22"/>
          <w:lang w:val="el-GR"/>
        </w:rPr>
      </w:pPr>
      <w:r>
        <w:rPr>
          <w:noProof/>
          <w:szCs w:val="22"/>
          <w:lang w:val="el-GR"/>
        </w:rPr>
        <w:t>Φαρμακευτικό προϊόν για το οποίο απαιτείται ιατρική συνταγή.</w:t>
      </w:r>
    </w:p>
    <w:p>
      <w:pPr>
        <w:pStyle w:val="Date"/>
        <w:widowControl w:val="0"/>
        <w:spacing w:line="240" w:lineRule="auto"/>
        <w:rPr>
          <w:szCs w:val="22"/>
          <w:lang w:val="el-GR"/>
        </w:rPr>
      </w:pPr>
    </w:p>
    <w:p>
      <w:pPr>
        <w:widowControl w:val="0"/>
        <w:numPr>
          <w:ilvl w:val="12"/>
          <w:numId w:val="0"/>
        </w:numPr>
        <w:spacing w:line="240" w:lineRule="auto"/>
        <w:rPr>
          <w:noProof/>
          <w:szCs w:val="22"/>
          <w:lang w:val="sl-SI"/>
        </w:rPr>
      </w:pPr>
    </w:p>
    <w:p>
      <w:pPr>
        <w:pStyle w:val="TitleB"/>
        <w:widowControl w:val="0"/>
      </w:pPr>
      <w:r>
        <w:t>Γ.</w:t>
      </w:r>
      <w:r>
        <w:tab/>
        <w:t>ΑΛΛΟΙ ΟΡΟΙ ΚΑΙ ΑΠΑΙΤΗΣΕΙΣ ΤΗΣ ΑΔΕΙΑΣ ΚΥΚΛΟΦΟΡΙΑΣ</w:t>
      </w:r>
    </w:p>
    <w:p>
      <w:pPr>
        <w:widowControl w:val="0"/>
        <w:spacing w:line="240" w:lineRule="auto"/>
        <w:rPr>
          <w:i/>
          <w:szCs w:val="22"/>
          <w:u w:val="single"/>
          <w:lang w:val="el-GR"/>
        </w:rPr>
      </w:pPr>
    </w:p>
    <w:p>
      <w:pPr>
        <w:widowControl w:val="0"/>
        <w:numPr>
          <w:ilvl w:val="0"/>
          <w:numId w:val="37"/>
        </w:numPr>
        <w:spacing w:line="240" w:lineRule="auto"/>
        <w:ind w:right="-1" w:hanging="720"/>
        <w:rPr>
          <w:b/>
          <w:noProof/>
          <w:szCs w:val="22"/>
          <w:lang w:val="el-GR"/>
        </w:rPr>
      </w:pPr>
      <w:r>
        <w:rPr>
          <w:b/>
          <w:noProof/>
          <w:szCs w:val="22"/>
          <w:lang w:val="el-GR"/>
        </w:rPr>
        <w:t>Εκθέσεις περιοδικής παρακολούθησης της ασφάλειας (</w:t>
      </w:r>
      <w:r>
        <w:rPr>
          <w:b/>
          <w:noProof/>
          <w:szCs w:val="22"/>
          <w:lang w:val="en-US"/>
        </w:rPr>
        <w:t>PSURs</w:t>
      </w:r>
      <w:r>
        <w:rPr>
          <w:b/>
          <w:noProof/>
          <w:szCs w:val="22"/>
          <w:lang w:val="el-GR"/>
        </w:rPr>
        <w:t>)</w:t>
      </w:r>
    </w:p>
    <w:p>
      <w:pPr>
        <w:widowControl w:val="0"/>
        <w:tabs>
          <w:tab w:val="left" w:pos="0"/>
        </w:tabs>
        <w:spacing w:line="240" w:lineRule="auto"/>
        <w:ind w:right="567"/>
        <w:rPr>
          <w:szCs w:val="22"/>
          <w:lang w:val="el-GR"/>
        </w:rPr>
      </w:pPr>
    </w:p>
    <w:p>
      <w:pPr>
        <w:widowControl w:val="0"/>
        <w:tabs>
          <w:tab w:val="left" w:pos="0"/>
        </w:tabs>
        <w:spacing w:line="240" w:lineRule="auto"/>
        <w:ind w:right="567"/>
        <w:rPr>
          <w:i/>
          <w:szCs w:val="22"/>
          <w:lang w:val="sl-SI"/>
        </w:rPr>
      </w:pPr>
      <w:r>
        <w:rPr>
          <w:lang w:val="el-GR"/>
        </w:rPr>
        <w:t xml:space="preserve">Οι απαιτήσεις για την υποβολή των </w:t>
      </w:r>
      <w:r>
        <w:rPr>
          <w:lang w:val="en-US"/>
        </w:rPr>
        <w:t>PSURs</w:t>
      </w:r>
      <w:r>
        <w:rPr>
          <w:lang w:val="el-GR"/>
        </w:rPr>
        <w:t xml:space="preserve"> για το εν λόγω φαρμακευτικό προϊόν</w:t>
      </w:r>
      <w:r>
        <w:rPr>
          <w:i/>
          <w:szCs w:val="22"/>
          <w:lang w:val="el-GR"/>
        </w:rPr>
        <w:t xml:space="preserve"> </w:t>
      </w:r>
      <w:r>
        <w:rPr>
          <w:szCs w:val="22"/>
          <w:lang w:val="el-GR"/>
        </w:rPr>
        <w:t xml:space="preserve">ορίζονται στον κατάλογο με τις ημερομηνίες αναφοράς της Ένωσης (κατάλογος </w:t>
      </w:r>
      <w:r>
        <w:rPr>
          <w:noProof/>
          <w:szCs w:val="22"/>
        </w:rPr>
        <w:t>EURD</w:t>
      </w:r>
      <w:r>
        <w:rPr>
          <w:szCs w:val="22"/>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i/>
          <w:szCs w:val="22"/>
          <w:lang w:val="el-GR"/>
        </w:rPr>
        <w:t>.</w:t>
      </w:r>
    </w:p>
    <w:p>
      <w:pPr>
        <w:widowControl w:val="0"/>
        <w:tabs>
          <w:tab w:val="left" w:pos="0"/>
        </w:tabs>
        <w:spacing w:line="240" w:lineRule="auto"/>
        <w:ind w:right="567"/>
        <w:rPr>
          <w:szCs w:val="22"/>
          <w:lang w:val="sl-SI"/>
        </w:rPr>
      </w:pPr>
    </w:p>
    <w:p>
      <w:pPr>
        <w:pStyle w:val="TitleB"/>
        <w:widowControl w:val="0"/>
        <w:rPr>
          <w:lang w:val="sl-SI"/>
        </w:rPr>
      </w:pPr>
    </w:p>
    <w:p>
      <w:pPr>
        <w:pStyle w:val="TitleB"/>
        <w:widowControl w:val="0"/>
        <w:ind w:left="567" w:hanging="567"/>
      </w:pPr>
      <w:r>
        <w:t>Δ.</w:t>
      </w:r>
      <w:r>
        <w:tab/>
        <w:t>ΟΡΟΙ Ή ΠΕΡΙΟΡΙΣΜΟΙ ΣΧΕΤΙΚΑ ΜΕ ΤΗΝ ΑΣΦΑΛΗ ΚΑΙ ΑΠΟΤΕΛΕΣΜΑΤΙΚΗ ΧΡΗΣΗ ΤΟΥ ΦΑΡΜΑΚΕΥΤΙΚΟΥ ΠΡΟΪΟΝΤΟΣ</w:t>
      </w:r>
    </w:p>
    <w:p>
      <w:pPr>
        <w:widowControl w:val="0"/>
        <w:spacing w:line="240" w:lineRule="auto"/>
        <w:ind w:right="-1"/>
        <w:rPr>
          <w:i/>
          <w:noProof/>
          <w:szCs w:val="22"/>
          <w:u w:val="single"/>
          <w:lang w:val="el-GR"/>
        </w:rPr>
      </w:pPr>
    </w:p>
    <w:p>
      <w:pPr>
        <w:widowControl w:val="0"/>
        <w:numPr>
          <w:ilvl w:val="0"/>
          <w:numId w:val="37"/>
        </w:numPr>
        <w:spacing w:line="240" w:lineRule="auto"/>
        <w:ind w:right="-1" w:hanging="720"/>
        <w:rPr>
          <w:b/>
          <w:szCs w:val="22"/>
        </w:rPr>
      </w:pPr>
      <w:r>
        <w:rPr>
          <w:b/>
          <w:noProof/>
          <w:szCs w:val="22"/>
        </w:rPr>
        <w:t xml:space="preserve">Σχέδιο </w:t>
      </w:r>
      <w:r>
        <w:rPr>
          <w:b/>
          <w:noProof/>
          <w:szCs w:val="22"/>
          <w:lang w:val="el-GR"/>
        </w:rPr>
        <w:t>δ</w:t>
      </w:r>
      <w:r>
        <w:rPr>
          <w:b/>
          <w:noProof/>
          <w:szCs w:val="22"/>
        </w:rPr>
        <w:t xml:space="preserve">ιαχείρισης </w:t>
      </w:r>
      <w:r>
        <w:rPr>
          <w:b/>
          <w:noProof/>
          <w:szCs w:val="22"/>
          <w:lang w:val="el-GR"/>
        </w:rPr>
        <w:t>κ</w:t>
      </w:r>
      <w:r>
        <w:rPr>
          <w:b/>
          <w:noProof/>
          <w:szCs w:val="22"/>
        </w:rPr>
        <w:t>ινδύνου (ΣΔΚ)</w:t>
      </w:r>
    </w:p>
    <w:p>
      <w:pPr>
        <w:widowControl w:val="0"/>
        <w:spacing w:line="240" w:lineRule="auto"/>
        <w:ind w:right="-1"/>
        <w:rPr>
          <w:b/>
          <w:szCs w:val="22"/>
        </w:rPr>
      </w:pPr>
    </w:p>
    <w:p>
      <w:pPr>
        <w:widowControl w:val="0"/>
        <w:spacing w:line="240" w:lineRule="auto"/>
        <w:rPr>
          <w:szCs w:val="22"/>
        </w:rPr>
      </w:pPr>
      <w:r>
        <w:rPr>
          <w:noProof/>
          <w:szCs w:val="22"/>
          <w:lang w:val="en-US"/>
        </w:rPr>
        <w:t>Δεν εφαρμόζεται.</w:t>
      </w:r>
    </w:p>
    <w:p>
      <w:pPr>
        <w:widowControl w:val="0"/>
        <w:spacing w:line="240" w:lineRule="auto"/>
        <w:rPr>
          <w:szCs w:val="22"/>
          <w:lang w:val="el-GR"/>
        </w:rPr>
      </w:pPr>
    </w:p>
    <w:p>
      <w:pPr>
        <w:pStyle w:val="Title2"/>
        <w:widowControl w:val="0"/>
        <w:spacing w:line="240" w:lineRule="auto"/>
        <w:ind w:left="0" w:right="0" w:firstLine="0"/>
        <w:rPr>
          <w:bCs/>
          <w:szCs w:val="22"/>
          <w:lang w:val="el-GR"/>
        </w:rPr>
      </w:pPr>
      <w:r>
        <w:rPr>
          <w:b w:val="0"/>
          <w:szCs w:val="22"/>
          <w:lang w:val="el-GR"/>
        </w:rPr>
        <w:br w:type="page"/>
      </w: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jc w:val="center"/>
        <w:rPr>
          <w:b/>
          <w:noProof/>
          <w:szCs w:val="22"/>
          <w:lang w:val="el-GR"/>
        </w:rPr>
      </w:pPr>
      <w:r>
        <w:rPr>
          <w:b/>
          <w:noProof/>
          <w:szCs w:val="22"/>
          <w:lang w:val="el-GR"/>
        </w:rPr>
        <w:t>ΠΑΡΑΡΤΗΜΑ ΙΙΙ</w:t>
      </w:r>
    </w:p>
    <w:p>
      <w:pPr>
        <w:widowControl w:val="0"/>
        <w:spacing w:line="240" w:lineRule="auto"/>
        <w:jc w:val="center"/>
        <w:rPr>
          <w:b/>
          <w:noProof/>
          <w:szCs w:val="22"/>
          <w:lang w:val="el-GR"/>
        </w:rPr>
      </w:pPr>
    </w:p>
    <w:p>
      <w:pPr>
        <w:widowControl w:val="0"/>
        <w:spacing w:line="240" w:lineRule="auto"/>
        <w:jc w:val="center"/>
        <w:rPr>
          <w:b/>
          <w:noProof/>
          <w:szCs w:val="22"/>
          <w:lang w:val="el-GR"/>
        </w:rPr>
      </w:pPr>
      <w:r>
        <w:rPr>
          <w:b/>
          <w:noProof/>
          <w:szCs w:val="22"/>
          <w:lang w:val="el-GR"/>
        </w:rPr>
        <w:t>ΕΠΙΣΗΜΑΝΣΗ ΚΑΙ ΦΥΛΛΟ ΟΔΗΓΙΩΝ ΧΡΗΣHΣ</w:t>
      </w:r>
    </w:p>
    <w:p>
      <w:pPr>
        <w:widowControl w:val="0"/>
        <w:spacing w:line="240" w:lineRule="auto"/>
        <w:rPr>
          <w:noProof/>
          <w:szCs w:val="22"/>
          <w:lang w:val="el-GR"/>
        </w:rPr>
      </w:pPr>
      <w:r>
        <w:rPr>
          <w:b/>
          <w:noProof/>
          <w:szCs w:val="22"/>
          <w:lang w:val="el-GR"/>
        </w:rPr>
        <w:br w:type="page"/>
      </w: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pStyle w:val="TitleA"/>
        <w:widowControl w:val="0"/>
        <w:rPr>
          <w:noProof/>
        </w:rPr>
      </w:pPr>
      <w:r>
        <w:rPr>
          <w:noProof/>
        </w:rPr>
        <w:t>Α. ΕΠΙΣΗΜΑΝΣΗ</w:t>
      </w:r>
    </w:p>
    <w:p>
      <w:pPr>
        <w:widowControl w:val="0"/>
        <w:spacing w:line="240" w:lineRule="auto"/>
        <w:rPr>
          <w:noProof/>
          <w:szCs w:val="22"/>
          <w:lang w:val="el-GR"/>
        </w:rPr>
      </w:pPr>
      <w:r>
        <w:rPr>
          <w:noProof/>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rPr>
          <w:trHeight w:val="830"/>
        </w:trPr>
        <w:tc>
          <w:tcPr>
            <w:tcW w:w="9276" w:type="dxa"/>
            <w:tcBorders>
              <w:bottom w:val="single" w:sz="4" w:space="0" w:color="auto"/>
            </w:tcBorders>
          </w:tcPr>
          <w:p>
            <w:pPr>
              <w:widowControl w:val="0"/>
              <w:spacing w:line="240" w:lineRule="auto"/>
              <w:rPr>
                <w:b/>
                <w:noProof/>
                <w:szCs w:val="22"/>
                <w:lang w:val="el-GR"/>
              </w:rPr>
            </w:pPr>
            <w:r>
              <w:rPr>
                <w:b/>
                <w:noProof/>
                <w:szCs w:val="22"/>
                <w:lang w:val="el-GR"/>
              </w:rPr>
              <w:t>ΕΝΔΕΙΞΕΙΣ ΠΟΥ ΠΡΕΠΕΙ ΝΑ ΑΝΑΓΡΑΦΟΝΤΑΙ ΣΤΗΝ ΕΞΩΤΕΡΙΚΗ ΣΥΣΚΕΥΑΣΙΑ</w:t>
            </w:r>
          </w:p>
          <w:p>
            <w:pPr>
              <w:widowControl w:val="0"/>
              <w:spacing w:line="240" w:lineRule="auto"/>
              <w:rPr>
                <w:noProof/>
                <w:szCs w:val="22"/>
                <w:lang w:val="el-GR"/>
              </w:rPr>
            </w:pPr>
          </w:p>
          <w:p>
            <w:pPr>
              <w:widowControl w:val="0"/>
              <w:spacing w:line="240" w:lineRule="auto"/>
              <w:rPr>
                <w:noProof/>
                <w:szCs w:val="22"/>
                <w:lang w:val="el-GR"/>
              </w:rPr>
            </w:pPr>
            <w:r>
              <w:rPr>
                <w:b/>
                <w:noProof/>
                <w:szCs w:val="22"/>
                <w:lang w:val="el-GR"/>
              </w:rPr>
              <w:t>ΧΑΡΤΙΝΟ ΚΟΥΤΙ</w:t>
            </w:r>
          </w:p>
        </w:tc>
      </w:tr>
    </w:tbl>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1.</w:t>
            </w:r>
            <w:r>
              <w:rPr>
                <w:b/>
                <w:noProof/>
                <w:szCs w:val="22"/>
                <w:lang w:val="el-GR"/>
              </w:rPr>
              <w:tab/>
              <w:t>ΟΝΟΜΑΣΙΑ ΤΟΥ ΦΑΡΜΑΚΕΥΤΙΚΟΥ ΠΡΟΪΟΝΤΟΣ</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noProof/>
          <w:szCs w:val="22"/>
          <w:lang w:val="el-GR"/>
        </w:rPr>
        <w:t>Zyllt</w:t>
      </w:r>
      <w:r>
        <w:rPr>
          <w:szCs w:val="22"/>
          <w:lang w:val="el-GR"/>
        </w:rPr>
        <w:t xml:space="preserve"> 75 mg επικαλυμμένα με λεπτό υμένιο δισκία</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n-US"/>
        </w:rPr>
        <w:t>c</w:t>
      </w:r>
      <w:r>
        <w:rPr>
          <w:szCs w:val="22"/>
          <w:lang w:val="el-GR"/>
        </w:rPr>
        <w:t>lopidogrel</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2.</w:t>
            </w:r>
            <w:r>
              <w:rPr>
                <w:b/>
                <w:noProof/>
                <w:szCs w:val="22"/>
                <w:lang w:val="el-GR"/>
              </w:rPr>
              <w:tab/>
              <w:t>ΣΥΝΘΕΣΗ ΣΕ ΔΡΑΣΤΙΚΗ(ΕΣ) ΟΥΣΙΑ(ΕΣ)</w:t>
            </w:r>
          </w:p>
        </w:tc>
      </w:tr>
    </w:tbl>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Κάθε επικαλυμμένο με λεπτό υμένιο δισκίο περιέχει </w:t>
      </w:r>
      <w:r>
        <w:rPr>
          <w:noProof/>
          <w:szCs w:val="22"/>
          <w:lang w:val="el-GR"/>
        </w:rPr>
        <w:t>75 mg</w:t>
      </w:r>
      <w:r>
        <w:rPr>
          <w:color w:val="000000"/>
          <w:szCs w:val="22"/>
          <w:lang w:val="el-GR"/>
        </w:rPr>
        <w:t xml:space="preserve"> κλοπιδογρέλης (ως όξινο θειικό άλας).</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3.</w:t>
            </w:r>
            <w:r>
              <w:rPr>
                <w:b/>
                <w:noProof/>
                <w:szCs w:val="22"/>
                <w:lang w:val="el-GR"/>
              </w:rPr>
              <w:tab/>
              <w:t>ΚΑΤΑΛΟΓΟΣ ΕΚΔΟΧΩΝ</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lang w:val="el-GR"/>
        </w:rPr>
        <w:t>Περιέχει επίσης λακτόζη.</w:t>
      </w:r>
    </w:p>
    <w:p>
      <w:pPr>
        <w:widowControl w:val="0"/>
        <w:spacing w:line="240" w:lineRule="auto"/>
        <w:rPr>
          <w:noProof/>
          <w:szCs w:val="22"/>
          <w:lang w:val="el-GR"/>
        </w:rPr>
      </w:pPr>
      <w:r>
        <w:rPr>
          <w:szCs w:val="22"/>
          <w:lang w:val="el-GR"/>
        </w:rPr>
        <w:t>Διαβάστε το φύλλο οδηγιών για περισσότερες πληροφορίες.</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4.</w:t>
            </w:r>
            <w:r>
              <w:rPr>
                <w:b/>
                <w:noProof/>
                <w:szCs w:val="22"/>
                <w:lang w:val="el-GR"/>
              </w:rPr>
              <w:tab/>
              <w:t>ΦΑΡΜΑΚΟΤΕΧΝΙΚΗ ΜΟΡΦΗ ΚΑΙ ΠΕΡΙΕΧΟΜΕΝΟ</w:t>
            </w:r>
          </w:p>
        </w:tc>
      </w:tr>
    </w:tbl>
    <w:p>
      <w:pPr>
        <w:widowControl w:val="0"/>
        <w:spacing w:line="240" w:lineRule="auto"/>
        <w:rPr>
          <w:noProof/>
          <w:szCs w:val="22"/>
          <w:lang w:val="el-GR"/>
        </w:rPr>
      </w:pPr>
    </w:p>
    <w:p>
      <w:pPr>
        <w:widowControl w:val="0"/>
        <w:tabs>
          <w:tab w:val="clear" w:pos="567"/>
        </w:tabs>
        <w:autoSpaceDE w:val="0"/>
        <w:autoSpaceDN w:val="0"/>
        <w:adjustRightInd w:val="0"/>
        <w:spacing w:line="240" w:lineRule="auto"/>
        <w:rPr>
          <w:szCs w:val="22"/>
          <w:lang w:val="el-GR"/>
        </w:rPr>
      </w:pPr>
      <w:bookmarkStart w:id="25" w:name="_Hlk6325150"/>
      <w:r>
        <w:rPr>
          <w:szCs w:val="22"/>
          <w:highlight w:val="lightGray"/>
          <w:lang w:val="el-GR"/>
        </w:rPr>
        <w:t>επικαλυμμένο με λεπτό υμένιο δισκίο</w:t>
      </w:r>
    </w:p>
    <w:bookmarkEnd w:id="25"/>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7 επικαλυμμένα με λεπτό υμένιο δισκία</w:t>
      </w:r>
    </w:p>
    <w:p>
      <w:pPr>
        <w:widowControl w:val="0"/>
        <w:autoSpaceDE w:val="0"/>
        <w:autoSpaceDN w:val="0"/>
        <w:adjustRightInd w:val="0"/>
        <w:spacing w:line="240" w:lineRule="auto"/>
        <w:rPr>
          <w:b/>
          <w:bCs/>
          <w:szCs w:val="22"/>
          <w:highlight w:val="lightGray"/>
          <w:lang w:val="el-GR"/>
        </w:rPr>
      </w:pPr>
      <w:r>
        <w:rPr>
          <w:szCs w:val="22"/>
          <w:highlight w:val="lightGray"/>
          <w:lang w:val="el-GR"/>
        </w:rPr>
        <w:t>14 επικαλυμμένα με λεπτό υμένιο δισκία</w:t>
      </w:r>
    </w:p>
    <w:p>
      <w:pPr>
        <w:widowControl w:val="0"/>
        <w:autoSpaceDE w:val="0"/>
        <w:autoSpaceDN w:val="0"/>
        <w:adjustRightInd w:val="0"/>
        <w:spacing w:line="240" w:lineRule="auto"/>
        <w:rPr>
          <w:szCs w:val="22"/>
          <w:highlight w:val="lightGray"/>
          <w:lang w:val="el-GR"/>
        </w:rPr>
      </w:pPr>
      <w:r>
        <w:rPr>
          <w:szCs w:val="22"/>
          <w:highlight w:val="lightGray"/>
          <w:lang w:val="el-GR"/>
        </w:rPr>
        <w:t>28 επικαλυμμένα με λεπτό υμένιο δισκία</w:t>
      </w:r>
    </w:p>
    <w:p>
      <w:pPr>
        <w:widowControl w:val="0"/>
        <w:autoSpaceDE w:val="0"/>
        <w:autoSpaceDN w:val="0"/>
        <w:adjustRightInd w:val="0"/>
        <w:spacing w:line="240" w:lineRule="auto"/>
        <w:rPr>
          <w:szCs w:val="22"/>
          <w:highlight w:val="lightGray"/>
          <w:lang w:val="el-GR"/>
        </w:rPr>
      </w:pPr>
      <w:r>
        <w:rPr>
          <w:szCs w:val="22"/>
          <w:highlight w:val="lightGray"/>
          <w:lang w:val="el-GR"/>
        </w:rPr>
        <w:t>30 επικαλυμμένα με λεπτό υμένιο δισκία</w:t>
      </w:r>
    </w:p>
    <w:p>
      <w:pPr>
        <w:widowControl w:val="0"/>
        <w:autoSpaceDE w:val="0"/>
        <w:autoSpaceDN w:val="0"/>
        <w:adjustRightInd w:val="0"/>
        <w:spacing w:line="240" w:lineRule="auto"/>
        <w:rPr>
          <w:szCs w:val="22"/>
          <w:highlight w:val="lightGray"/>
          <w:lang w:val="el-GR"/>
        </w:rPr>
      </w:pPr>
      <w:r>
        <w:rPr>
          <w:szCs w:val="22"/>
          <w:highlight w:val="lightGray"/>
          <w:lang w:val="el-GR"/>
        </w:rPr>
        <w:t>50 επικαλυμμένα με λεπτό υμένιο δισκία</w:t>
      </w:r>
    </w:p>
    <w:p>
      <w:pPr>
        <w:widowControl w:val="0"/>
        <w:autoSpaceDE w:val="0"/>
        <w:autoSpaceDN w:val="0"/>
        <w:adjustRightInd w:val="0"/>
        <w:spacing w:line="240" w:lineRule="auto"/>
        <w:rPr>
          <w:szCs w:val="22"/>
          <w:highlight w:val="lightGray"/>
          <w:lang w:val="el-GR"/>
        </w:rPr>
      </w:pPr>
      <w:r>
        <w:rPr>
          <w:szCs w:val="22"/>
          <w:highlight w:val="lightGray"/>
          <w:lang w:val="el-GR"/>
        </w:rPr>
        <w:t>56 επικαλυμμένα με λεπτό υμένιο δισκία</w:t>
      </w:r>
    </w:p>
    <w:p>
      <w:pPr>
        <w:widowControl w:val="0"/>
        <w:autoSpaceDE w:val="0"/>
        <w:autoSpaceDN w:val="0"/>
        <w:adjustRightInd w:val="0"/>
        <w:spacing w:line="240" w:lineRule="auto"/>
        <w:rPr>
          <w:szCs w:val="22"/>
          <w:highlight w:val="lightGray"/>
          <w:lang w:val="el-GR"/>
        </w:rPr>
      </w:pPr>
      <w:r>
        <w:rPr>
          <w:szCs w:val="22"/>
          <w:highlight w:val="lightGray"/>
          <w:lang w:val="el-GR"/>
        </w:rPr>
        <w:t>60 επικαλυμμένα με λεπτό υμένιο δισκία</w:t>
      </w:r>
    </w:p>
    <w:p>
      <w:pPr>
        <w:widowControl w:val="0"/>
        <w:autoSpaceDE w:val="0"/>
        <w:autoSpaceDN w:val="0"/>
        <w:adjustRightInd w:val="0"/>
        <w:spacing w:line="240" w:lineRule="auto"/>
        <w:rPr>
          <w:szCs w:val="22"/>
          <w:highlight w:val="lightGray"/>
          <w:lang w:val="el-GR"/>
        </w:rPr>
      </w:pPr>
      <w:r>
        <w:rPr>
          <w:szCs w:val="22"/>
          <w:highlight w:val="lightGray"/>
          <w:lang w:val="el-GR"/>
        </w:rPr>
        <w:t>84 επικαλυμμένα με λεπτό υμένιο δισκία</w:t>
      </w:r>
    </w:p>
    <w:p>
      <w:pPr>
        <w:widowControl w:val="0"/>
        <w:autoSpaceDE w:val="0"/>
        <w:autoSpaceDN w:val="0"/>
        <w:adjustRightInd w:val="0"/>
        <w:spacing w:line="240" w:lineRule="auto"/>
        <w:rPr>
          <w:szCs w:val="22"/>
          <w:highlight w:val="lightGray"/>
          <w:lang w:val="el-GR"/>
        </w:rPr>
      </w:pPr>
      <w:r>
        <w:rPr>
          <w:szCs w:val="22"/>
          <w:highlight w:val="lightGray"/>
          <w:lang w:val="el-GR"/>
        </w:rPr>
        <w:t>90 επικαλυμμένα με λεπτό υμένιο δισκία</w:t>
      </w:r>
    </w:p>
    <w:p>
      <w:pPr>
        <w:widowControl w:val="0"/>
        <w:autoSpaceDE w:val="0"/>
        <w:autoSpaceDN w:val="0"/>
        <w:adjustRightInd w:val="0"/>
        <w:spacing w:line="240" w:lineRule="auto"/>
        <w:rPr>
          <w:szCs w:val="22"/>
          <w:lang w:val="el-GR"/>
        </w:rPr>
      </w:pPr>
      <w:r>
        <w:rPr>
          <w:szCs w:val="22"/>
          <w:highlight w:val="lightGray"/>
          <w:lang w:val="el-GR"/>
        </w:rPr>
        <w:t>100 επικαλυμμένα με λεπτό υμένιο δισκία</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5.</w:t>
            </w:r>
            <w:r>
              <w:rPr>
                <w:b/>
                <w:noProof/>
                <w:szCs w:val="22"/>
                <w:lang w:val="el-GR"/>
              </w:rPr>
              <w:tab/>
              <w:t>ΤΡΟΠΟΣ ΚΑΙ ΟΔΟΣ(ΟΙ) ΧΟΡΗΓΗΣΗΣ</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lang w:val="el-GR"/>
        </w:rPr>
        <w:t>Διαβάστε το φύλλο οδηγιών</w:t>
      </w:r>
      <w:r>
        <w:rPr>
          <w:szCs w:val="22"/>
          <w:lang w:val="sl-SI"/>
        </w:rPr>
        <w:t xml:space="preserve"> </w:t>
      </w:r>
      <w:r>
        <w:rPr>
          <w:szCs w:val="22"/>
          <w:lang w:val="el-GR"/>
        </w:rPr>
        <w:t>χρήσης πριν από τη χρήση.</w:t>
      </w:r>
    </w:p>
    <w:p>
      <w:pPr>
        <w:widowControl w:val="0"/>
        <w:autoSpaceDE w:val="0"/>
        <w:autoSpaceDN w:val="0"/>
        <w:adjustRightInd w:val="0"/>
        <w:spacing w:line="240" w:lineRule="auto"/>
        <w:rPr>
          <w:szCs w:val="22"/>
          <w:lang w:val="el-GR"/>
        </w:rPr>
      </w:pPr>
      <w:r>
        <w:rPr>
          <w:szCs w:val="22"/>
          <w:lang w:val="el-GR"/>
        </w:rPr>
        <w:t>Από στόματος χρήση.</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tabs>
                <w:tab w:val="clear" w:pos="567"/>
              </w:tabs>
              <w:spacing w:line="240" w:lineRule="auto"/>
              <w:ind w:left="720" w:hanging="720"/>
              <w:rPr>
                <w:b/>
                <w:noProof/>
                <w:szCs w:val="22"/>
                <w:lang w:val="el-GR"/>
              </w:rPr>
            </w:pPr>
            <w:r>
              <w:rPr>
                <w:b/>
                <w:noProof/>
                <w:szCs w:val="22"/>
                <w:lang w:val="el-GR"/>
              </w:rPr>
              <w:t>6.</w:t>
            </w:r>
            <w:r>
              <w:rPr>
                <w:b/>
                <w:noProof/>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lang w:val="el-GR"/>
        </w:rPr>
        <w:t>Να φυλάσσεται σε θέση, την οποία δεν βλέπουν και δεν προσεγγίζουν τα παιδιά.</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7.</w:t>
            </w:r>
            <w:r>
              <w:rPr>
                <w:b/>
                <w:noProof/>
                <w:szCs w:val="22"/>
                <w:lang w:val="el-GR"/>
              </w:rPr>
              <w:tab/>
              <w:t>ΑΛΛΗ(ΕΣ) ΕΙΔΙΚΗ(ΕΣ) ΠΡΟΕΙΔΟΠΟΙΗΣΗ(ΕΙΣ), ΕΑΝ ΕΙΝΑΙ ΑΠΑΡΑΙΤΗΤΗ(ΕΣ)</w:t>
            </w:r>
          </w:p>
        </w:tc>
      </w:tr>
    </w:tbl>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8.</w:t>
            </w:r>
            <w:r>
              <w:rPr>
                <w:b/>
                <w:noProof/>
                <w:szCs w:val="22"/>
                <w:lang w:val="el-GR"/>
              </w:rPr>
              <w:tab/>
              <w:t>ΗΜΕΡΟΜΗΝΙΑ ΛΗΞΗΣ</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lang w:val="sl-SI"/>
        </w:rPr>
        <w:t>EXP</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9.</w:t>
            </w:r>
            <w:r>
              <w:rPr>
                <w:b/>
                <w:noProof/>
                <w:szCs w:val="22"/>
                <w:lang w:val="el-GR"/>
              </w:rPr>
              <w:tab/>
              <w:t>ΕΙΔΙΚΕΣ ΣΥΝΘΗΚΕΣ ΦΥΛΑΞΗΣ</w:t>
            </w:r>
          </w:p>
        </w:tc>
      </w:tr>
    </w:tbl>
    <w:p>
      <w:pPr>
        <w:widowControl w:val="0"/>
        <w:spacing w:line="240" w:lineRule="auto"/>
        <w:rPr>
          <w:noProof/>
          <w:szCs w:val="22"/>
          <w:lang w:val="el-GR"/>
        </w:rPr>
      </w:pPr>
    </w:p>
    <w:p>
      <w:pPr>
        <w:widowControl w:val="0"/>
        <w:autoSpaceDE w:val="0"/>
        <w:autoSpaceDN w:val="0"/>
        <w:adjustRightInd w:val="0"/>
        <w:spacing w:line="240" w:lineRule="auto"/>
        <w:rPr>
          <w:bCs/>
          <w:color w:val="000000"/>
          <w:szCs w:val="22"/>
          <w:lang w:val="el-GR"/>
        </w:rPr>
      </w:pPr>
      <w:r>
        <w:rPr>
          <w:bCs/>
          <w:color w:val="000000"/>
          <w:szCs w:val="22"/>
          <w:lang w:val="el-GR"/>
        </w:rPr>
        <w:t>Φυλάσσετε στην αρχική συσκευασία για να προστατεύεται από την υγρασία και το φως.</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tabs>
                <w:tab w:val="clear" w:pos="567"/>
              </w:tabs>
              <w:spacing w:line="240" w:lineRule="auto"/>
              <w:ind w:left="720" w:hanging="720"/>
              <w:rPr>
                <w:b/>
                <w:noProof/>
                <w:szCs w:val="22"/>
                <w:lang w:val="el-GR"/>
              </w:rPr>
            </w:pPr>
            <w:r>
              <w:rPr>
                <w:b/>
                <w:noProof/>
                <w:szCs w:val="22"/>
                <w:lang w:val="el-GR"/>
              </w:rPr>
              <w:t>10.</w:t>
            </w:r>
            <w:r>
              <w:rPr>
                <w:b/>
                <w:noProof/>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pPr>
              <w:widowControl w:val="0"/>
              <w:spacing w:line="240" w:lineRule="auto"/>
              <w:rPr>
                <w:b/>
                <w:noProof/>
                <w:szCs w:val="22"/>
                <w:lang w:val="el-GR"/>
              </w:rPr>
            </w:pPr>
          </w:p>
        </w:tc>
      </w:tr>
    </w:tbl>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11.</w:t>
            </w:r>
            <w:r>
              <w:rPr>
                <w:b/>
                <w:noProof/>
                <w:szCs w:val="22"/>
                <w:lang w:val="el-GR"/>
              </w:rPr>
              <w:tab/>
              <w:t>ΟΝΟΜΑ ΚΑΙ ΔΙΕΥΘΥΝΣΗ ΚΑΤΟΧΟΥ ΤΗΣ ΑΔΕΙΑΣ ΚΥΚΛΟΦΟΡΙΑΣ</w:t>
            </w:r>
          </w:p>
        </w:tc>
      </w:tr>
    </w:tbl>
    <w:p>
      <w:pPr>
        <w:widowControl w:val="0"/>
        <w:spacing w:line="240" w:lineRule="auto"/>
        <w:rPr>
          <w:noProof/>
          <w:szCs w:val="22"/>
          <w:lang w:val="el-GR"/>
        </w:rPr>
      </w:pPr>
    </w:p>
    <w:p>
      <w:pPr>
        <w:widowControl w:val="0"/>
        <w:autoSpaceDE w:val="0"/>
        <w:autoSpaceDN w:val="0"/>
        <w:adjustRightInd w:val="0"/>
        <w:spacing w:line="240" w:lineRule="auto"/>
        <w:rPr>
          <w:bCs/>
          <w:color w:val="000000"/>
          <w:szCs w:val="22"/>
          <w:lang w:val="pt-PT"/>
        </w:rPr>
      </w:pPr>
      <w:r>
        <w:rPr>
          <w:bCs/>
          <w:color w:val="000000"/>
          <w:szCs w:val="22"/>
          <w:lang w:val="pt-PT"/>
        </w:rPr>
        <w:t xml:space="preserve">KRKA, d.d., Novo mesto, Šmarješka cesta 6, 8501 Novo mesto, </w:t>
      </w:r>
      <w:r>
        <w:rPr>
          <w:color w:val="000000"/>
          <w:szCs w:val="22"/>
          <w:lang w:val="el-GR"/>
        </w:rPr>
        <w:t>Σλοβενία</w:t>
      </w:r>
    </w:p>
    <w:p>
      <w:pPr>
        <w:widowControl w:val="0"/>
        <w:spacing w:line="240" w:lineRule="auto"/>
        <w:rPr>
          <w:noProof/>
          <w:szCs w:val="22"/>
          <w:lang w:val="pt-PT"/>
        </w:rPr>
      </w:pPr>
    </w:p>
    <w:p>
      <w:pPr>
        <w:widowControl w:val="0"/>
        <w:spacing w:line="240" w:lineRule="auto"/>
        <w:rPr>
          <w:noProof/>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12.</w:t>
            </w:r>
            <w:r>
              <w:rPr>
                <w:b/>
                <w:noProof/>
                <w:szCs w:val="22"/>
                <w:lang w:val="el-GR"/>
              </w:rPr>
              <w:tab/>
              <w:t>ΑΡΙΘΜΟΣ(ΟΙ) ΑΔΕΙΑΣ ΚΥΚΛΟΦΟΡΙΑΣ</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highlight w:val="lightGray"/>
          <w:lang w:val="el-GR"/>
        </w:rPr>
        <w:t>7 επικαλυμμένα με λεπτό υμένιο δισκία:</w:t>
      </w:r>
      <w:r>
        <w:rPr>
          <w:noProof/>
          <w:szCs w:val="22"/>
          <w:lang w:val="el-GR"/>
        </w:rPr>
        <w:t xml:space="preserve"> </w:t>
      </w:r>
      <w:r>
        <w:rPr>
          <w:szCs w:val="22"/>
          <w:lang w:val="el-GR"/>
        </w:rPr>
        <w:t>EU/1/09/553/001</w:t>
      </w:r>
    </w:p>
    <w:p>
      <w:pPr>
        <w:widowControl w:val="0"/>
        <w:autoSpaceDE w:val="0"/>
        <w:autoSpaceDN w:val="0"/>
        <w:adjustRightInd w:val="0"/>
        <w:spacing w:line="240" w:lineRule="auto"/>
        <w:rPr>
          <w:b/>
          <w:bCs/>
          <w:szCs w:val="22"/>
          <w:highlight w:val="lightGray"/>
          <w:lang w:val="el-GR"/>
        </w:rPr>
      </w:pPr>
      <w:r>
        <w:rPr>
          <w:szCs w:val="22"/>
          <w:highlight w:val="lightGray"/>
          <w:lang w:val="el-GR"/>
        </w:rPr>
        <w:t>14 επικαλυμμένα με λεπτό υμένιο δισκία</w:t>
      </w:r>
      <w:r>
        <w:rPr>
          <w:noProof/>
          <w:szCs w:val="22"/>
          <w:highlight w:val="lightGray"/>
          <w:lang w:val="el-GR"/>
        </w:rPr>
        <w:t>:</w:t>
      </w:r>
      <w:r>
        <w:rPr>
          <w:szCs w:val="22"/>
          <w:highlight w:val="lightGray"/>
          <w:lang w:val="el-GR"/>
        </w:rPr>
        <w:t xml:space="preserve"> EU/1/09/553/002</w:t>
      </w:r>
    </w:p>
    <w:p>
      <w:pPr>
        <w:widowControl w:val="0"/>
        <w:autoSpaceDE w:val="0"/>
        <w:autoSpaceDN w:val="0"/>
        <w:adjustRightInd w:val="0"/>
        <w:spacing w:line="240" w:lineRule="auto"/>
        <w:rPr>
          <w:szCs w:val="22"/>
          <w:highlight w:val="lightGray"/>
          <w:lang w:val="el-GR"/>
        </w:rPr>
      </w:pPr>
      <w:r>
        <w:rPr>
          <w:szCs w:val="22"/>
          <w:highlight w:val="lightGray"/>
          <w:lang w:val="el-GR"/>
        </w:rPr>
        <w:t>28 επικαλυμμένα με λεπτό υμένιο δισκία</w:t>
      </w:r>
      <w:r>
        <w:rPr>
          <w:noProof/>
          <w:szCs w:val="22"/>
          <w:highlight w:val="lightGray"/>
          <w:lang w:val="el-GR"/>
        </w:rPr>
        <w:t>:</w:t>
      </w:r>
      <w:r>
        <w:rPr>
          <w:szCs w:val="22"/>
          <w:highlight w:val="lightGray"/>
          <w:lang w:val="el-GR"/>
        </w:rPr>
        <w:t xml:space="preserve"> EU/1/09/553/003</w:t>
      </w:r>
    </w:p>
    <w:p>
      <w:pPr>
        <w:widowControl w:val="0"/>
        <w:autoSpaceDE w:val="0"/>
        <w:autoSpaceDN w:val="0"/>
        <w:adjustRightInd w:val="0"/>
        <w:spacing w:line="240" w:lineRule="auto"/>
        <w:rPr>
          <w:szCs w:val="22"/>
          <w:highlight w:val="lightGray"/>
          <w:lang w:val="el-GR"/>
        </w:rPr>
      </w:pPr>
      <w:r>
        <w:rPr>
          <w:szCs w:val="22"/>
          <w:highlight w:val="lightGray"/>
          <w:lang w:val="el-GR"/>
        </w:rPr>
        <w:t>30 επικαλυμμένα με λεπτό υμένιο δισκία</w:t>
      </w:r>
      <w:r>
        <w:rPr>
          <w:noProof/>
          <w:szCs w:val="22"/>
          <w:highlight w:val="lightGray"/>
          <w:lang w:val="el-GR"/>
        </w:rPr>
        <w:t>:</w:t>
      </w:r>
      <w:r>
        <w:rPr>
          <w:szCs w:val="22"/>
          <w:highlight w:val="lightGray"/>
          <w:lang w:val="el-GR"/>
        </w:rPr>
        <w:t xml:space="preserve"> EU/1/09/553/004</w:t>
      </w:r>
    </w:p>
    <w:p>
      <w:pPr>
        <w:widowControl w:val="0"/>
        <w:autoSpaceDE w:val="0"/>
        <w:autoSpaceDN w:val="0"/>
        <w:adjustRightInd w:val="0"/>
        <w:spacing w:line="240" w:lineRule="auto"/>
        <w:rPr>
          <w:szCs w:val="22"/>
          <w:highlight w:val="lightGray"/>
          <w:lang w:val="el-GR"/>
        </w:rPr>
      </w:pPr>
      <w:r>
        <w:rPr>
          <w:szCs w:val="22"/>
          <w:highlight w:val="lightGray"/>
          <w:lang w:val="el-GR"/>
        </w:rPr>
        <w:t>50 επικαλυμμένα με λεπτό υμένιο δισκία</w:t>
      </w:r>
      <w:r>
        <w:rPr>
          <w:noProof/>
          <w:szCs w:val="22"/>
          <w:highlight w:val="lightGray"/>
          <w:lang w:val="el-GR"/>
        </w:rPr>
        <w:t>:</w:t>
      </w:r>
      <w:r>
        <w:rPr>
          <w:szCs w:val="22"/>
          <w:highlight w:val="lightGray"/>
          <w:lang w:val="el-GR"/>
        </w:rPr>
        <w:t xml:space="preserve"> EU/1/09/553/005</w:t>
      </w:r>
    </w:p>
    <w:p>
      <w:pPr>
        <w:widowControl w:val="0"/>
        <w:autoSpaceDE w:val="0"/>
        <w:autoSpaceDN w:val="0"/>
        <w:adjustRightInd w:val="0"/>
        <w:spacing w:line="240" w:lineRule="auto"/>
        <w:rPr>
          <w:szCs w:val="22"/>
          <w:highlight w:val="lightGray"/>
          <w:lang w:val="el-GR"/>
        </w:rPr>
      </w:pPr>
      <w:r>
        <w:rPr>
          <w:szCs w:val="22"/>
          <w:highlight w:val="lightGray"/>
          <w:lang w:val="el-GR"/>
        </w:rPr>
        <w:t>56 επικαλυμμένα με λεπτό υμένιο δισκία</w:t>
      </w:r>
      <w:r>
        <w:rPr>
          <w:noProof/>
          <w:szCs w:val="22"/>
          <w:highlight w:val="lightGray"/>
          <w:lang w:val="el-GR"/>
        </w:rPr>
        <w:t>:</w:t>
      </w:r>
      <w:r>
        <w:rPr>
          <w:szCs w:val="22"/>
          <w:highlight w:val="lightGray"/>
          <w:lang w:val="el-GR"/>
        </w:rPr>
        <w:t xml:space="preserve"> EU/1/09/553/006</w:t>
      </w:r>
    </w:p>
    <w:p>
      <w:pPr>
        <w:widowControl w:val="0"/>
        <w:autoSpaceDE w:val="0"/>
        <w:autoSpaceDN w:val="0"/>
        <w:adjustRightInd w:val="0"/>
        <w:spacing w:line="240" w:lineRule="auto"/>
        <w:rPr>
          <w:szCs w:val="22"/>
          <w:highlight w:val="lightGray"/>
          <w:lang w:val="el-GR"/>
        </w:rPr>
      </w:pPr>
      <w:r>
        <w:rPr>
          <w:szCs w:val="22"/>
          <w:highlight w:val="lightGray"/>
          <w:lang w:val="el-GR"/>
        </w:rPr>
        <w:t>60 επικαλυμμένα με λεπτό υμένιο δισκία</w:t>
      </w:r>
      <w:r>
        <w:rPr>
          <w:noProof/>
          <w:szCs w:val="22"/>
          <w:highlight w:val="lightGray"/>
          <w:lang w:val="el-GR"/>
        </w:rPr>
        <w:t>:</w:t>
      </w:r>
      <w:r>
        <w:rPr>
          <w:szCs w:val="22"/>
          <w:highlight w:val="lightGray"/>
          <w:lang w:val="el-GR"/>
        </w:rPr>
        <w:t xml:space="preserve"> EU/1/09/553/007</w:t>
      </w:r>
    </w:p>
    <w:p>
      <w:pPr>
        <w:widowControl w:val="0"/>
        <w:autoSpaceDE w:val="0"/>
        <w:autoSpaceDN w:val="0"/>
        <w:adjustRightInd w:val="0"/>
        <w:spacing w:line="240" w:lineRule="auto"/>
        <w:rPr>
          <w:szCs w:val="22"/>
          <w:highlight w:val="lightGray"/>
          <w:lang w:val="el-GR"/>
        </w:rPr>
      </w:pPr>
      <w:r>
        <w:rPr>
          <w:szCs w:val="22"/>
          <w:highlight w:val="lightGray"/>
          <w:lang w:val="el-GR"/>
        </w:rPr>
        <w:t>84 επικαλυμμένα με λεπτό υμένιο δισκία</w:t>
      </w:r>
      <w:r>
        <w:rPr>
          <w:noProof/>
          <w:szCs w:val="22"/>
          <w:highlight w:val="lightGray"/>
          <w:lang w:val="el-GR"/>
        </w:rPr>
        <w:t>:</w:t>
      </w:r>
      <w:r>
        <w:rPr>
          <w:szCs w:val="22"/>
          <w:highlight w:val="lightGray"/>
          <w:lang w:val="el-GR"/>
        </w:rPr>
        <w:t xml:space="preserve"> EU/1/09/553/008</w:t>
      </w:r>
    </w:p>
    <w:p>
      <w:pPr>
        <w:widowControl w:val="0"/>
        <w:autoSpaceDE w:val="0"/>
        <w:autoSpaceDN w:val="0"/>
        <w:adjustRightInd w:val="0"/>
        <w:spacing w:line="240" w:lineRule="auto"/>
        <w:rPr>
          <w:szCs w:val="22"/>
          <w:highlight w:val="lightGray"/>
          <w:lang w:val="el-GR"/>
        </w:rPr>
      </w:pPr>
      <w:r>
        <w:rPr>
          <w:szCs w:val="22"/>
          <w:highlight w:val="lightGray"/>
          <w:lang w:val="el-GR"/>
        </w:rPr>
        <w:t>90 επικαλυμμένα με λεπτό υμένιο δισκία</w:t>
      </w:r>
      <w:r>
        <w:rPr>
          <w:noProof/>
          <w:szCs w:val="22"/>
          <w:highlight w:val="lightGray"/>
          <w:lang w:val="el-GR"/>
        </w:rPr>
        <w:t>:</w:t>
      </w:r>
      <w:r>
        <w:rPr>
          <w:szCs w:val="22"/>
          <w:highlight w:val="lightGray"/>
          <w:lang w:val="el-GR"/>
        </w:rPr>
        <w:t xml:space="preserve"> EU/1/09/553/009</w:t>
      </w:r>
    </w:p>
    <w:p>
      <w:pPr>
        <w:widowControl w:val="0"/>
        <w:autoSpaceDE w:val="0"/>
        <w:autoSpaceDN w:val="0"/>
        <w:adjustRightInd w:val="0"/>
        <w:spacing w:line="240" w:lineRule="auto"/>
        <w:rPr>
          <w:szCs w:val="22"/>
          <w:lang w:val="el-GR"/>
        </w:rPr>
      </w:pPr>
      <w:r>
        <w:rPr>
          <w:szCs w:val="22"/>
          <w:highlight w:val="lightGray"/>
          <w:lang w:val="el-GR"/>
        </w:rPr>
        <w:t>100 επικαλυμμένα με λεπτό υμένιο δισκία</w:t>
      </w:r>
      <w:r>
        <w:rPr>
          <w:noProof/>
          <w:szCs w:val="22"/>
          <w:highlight w:val="lightGray"/>
          <w:lang w:val="el-GR"/>
        </w:rPr>
        <w:t>:</w:t>
      </w:r>
      <w:r>
        <w:rPr>
          <w:szCs w:val="22"/>
          <w:highlight w:val="lightGray"/>
          <w:lang w:val="el-GR"/>
        </w:rPr>
        <w:t xml:space="preserve"> EU/1/09/553/010</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13.</w:t>
            </w:r>
            <w:r>
              <w:rPr>
                <w:b/>
                <w:noProof/>
                <w:szCs w:val="22"/>
                <w:lang w:val="el-GR"/>
              </w:rPr>
              <w:tab/>
              <w:t xml:space="preserve">ΑΡΙΘΜΟΣ ΠΑΡΤΙΔΑΣ </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lang w:val="sl-SI"/>
        </w:rPr>
        <w:t>Lot</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14.</w:t>
            </w:r>
            <w:r>
              <w:rPr>
                <w:b/>
                <w:noProof/>
                <w:szCs w:val="22"/>
                <w:lang w:val="el-GR"/>
              </w:rPr>
              <w:tab/>
              <w:t>ΓΕΝΙΚΗ ΚΑΤΑΤΑΞΗ ΓΙΑ ΤΗ ΔΙΑΘΕΣΗ</w:t>
            </w:r>
          </w:p>
        </w:tc>
      </w:tr>
    </w:tbl>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15.</w:t>
            </w:r>
            <w:r>
              <w:rPr>
                <w:b/>
                <w:noProof/>
                <w:szCs w:val="22"/>
                <w:lang w:val="el-GR"/>
              </w:rPr>
              <w:tab/>
              <w:t>ΟΔΗΓΙΕΣ ΧΡΗΣΗΣ</w:t>
            </w:r>
          </w:p>
        </w:tc>
      </w:tr>
    </w:tbl>
    <w:p>
      <w:pPr>
        <w:widowControl w:val="0"/>
        <w:spacing w:line="240" w:lineRule="auto"/>
        <w:rPr>
          <w:noProof/>
          <w:szCs w:val="22"/>
          <w:lang w:val="el-GR"/>
        </w:rPr>
      </w:pPr>
    </w:p>
    <w:p>
      <w:pPr>
        <w:widowControl w:val="0"/>
        <w:spacing w:line="240" w:lineRule="auto"/>
        <w:rPr>
          <w:noProof/>
          <w:szCs w:val="22"/>
          <w:lang w:val="el-GR"/>
        </w:rPr>
      </w:pPr>
    </w:p>
    <w:p>
      <w:pPr>
        <w:widowControl w:val="0"/>
        <w:pBdr>
          <w:top w:val="single" w:sz="4" w:space="1" w:color="auto"/>
          <w:left w:val="single" w:sz="4" w:space="4" w:color="auto"/>
          <w:bottom w:val="single" w:sz="4" w:space="1" w:color="auto"/>
          <w:right w:val="single" w:sz="4" w:space="4" w:color="auto"/>
        </w:pBdr>
        <w:spacing w:line="240" w:lineRule="auto"/>
        <w:rPr>
          <w:noProof/>
          <w:szCs w:val="22"/>
          <w:lang w:val="el-GR"/>
        </w:rPr>
      </w:pPr>
      <w:r>
        <w:rPr>
          <w:b/>
          <w:bCs/>
          <w:noProof/>
          <w:szCs w:val="22"/>
          <w:lang w:val="el-GR"/>
        </w:rPr>
        <w:t>16.</w:t>
      </w:r>
      <w:r>
        <w:rPr>
          <w:b/>
          <w:bCs/>
          <w:noProof/>
          <w:szCs w:val="22"/>
          <w:lang w:val="el-GR"/>
        </w:rPr>
        <w:tab/>
        <w:t>ΠΛΗΡΟΦΟΡΙΕΣ ΣΕ BRAILLE</w:t>
      </w:r>
    </w:p>
    <w:p>
      <w:pPr>
        <w:widowControl w:val="0"/>
        <w:spacing w:line="240" w:lineRule="auto"/>
        <w:rPr>
          <w:noProof/>
          <w:szCs w:val="22"/>
          <w:lang w:val="el-GR"/>
        </w:rPr>
      </w:pPr>
    </w:p>
    <w:p>
      <w:pPr>
        <w:widowControl w:val="0"/>
        <w:spacing w:line="240" w:lineRule="auto"/>
        <w:rPr>
          <w:szCs w:val="22"/>
          <w:lang w:val="el-GR"/>
        </w:rPr>
      </w:pPr>
      <w:r>
        <w:rPr>
          <w:noProof/>
          <w:szCs w:val="22"/>
          <w:lang w:val="el-GR"/>
        </w:rPr>
        <w:t>Zyllt</w:t>
      </w:r>
      <w:r>
        <w:rPr>
          <w:szCs w:val="22"/>
          <w:lang w:val="el-GR"/>
        </w:rPr>
        <w:t xml:space="preserve"> 75 mg</w:t>
      </w:r>
    </w:p>
    <w:p>
      <w:pPr>
        <w:widowControl w:val="0"/>
        <w:spacing w:line="240" w:lineRule="auto"/>
        <w:rPr>
          <w:noProof/>
          <w:szCs w:val="22"/>
          <w:shd w:val="clear" w:color="auto" w:fill="CCCCCC"/>
          <w:lang w:val="el-GR"/>
        </w:rPr>
      </w:pPr>
      <w:bookmarkStart w:id="26" w:name="_Hlk481133788"/>
    </w:p>
    <w:p>
      <w:pPr>
        <w:widowControl w:val="0"/>
        <w:spacing w:line="240" w:lineRule="auto"/>
        <w:rPr>
          <w:noProof/>
          <w:szCs w:val="22"/>
          <w:shd w:val="clear" w:color="auto" w:fill="CCCCCC"/>
          <w:lang w:val="el-GR"/>
        </w:rPr>
      </w:pPr>
    </w:p>
    <w:p>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Pr>
          <w:b/>
          <w:noProof/>
          <w:lang w:val="el-GR"/>
        </w:rPr>
        <w:t>17.</w:t>
      </w:r>
      <w:r>
        <w:rPr>
          <w:b/>
          <w:noProof/>
          <w:lang w:val="el-GR"/>
        </w:rPr>
        <w:tab/>
        <w:t>ΜΟΝΑΔΙΚΟΣ ΑΝΑΓΝΩΡΙΣΤΙΚΟΣ ΚΩΔΙΚΟΣ – ΔΙΣΔΙΑΣΤΑΤΟΣ ΓΡΑΜΜΩΤΟΣ ΚΩΔΙΚΑΣ (2</w:t>
      </w:r>
      <w:r>
        <w:rPr>
          <w:b/>
          <w:noProof/>
        </w:rPr>
        <w:t>D</w:t>
      </w:r>
      <w:r>
        <w:rPr>
          <w:b/>
          <w:noProof/>
          <w:lang w:val="el-GR"/>
        </w:rPr>
        <w:t>)</w:t>
      </w:r>
    </w:p>
    <w:p>
      <w:pPr>
        <w:widowControl w:val="0"/>
        <w:tabs>
          <w:tab w:val="clear" w:pos="567"/>
        </w:tabs>
        <w:spacing w:line="240" w:lineRule="auto"/>
        <w:rPr>
          <w:noProof/>
          <w:lang w:val="el-GR"/>
        </w:rPr>
      </w:pPr>
    </w:p>
    <w:p>
      <w:pPr>
        <w:widowControl w:val="0"/>
        <w:spacing w:line="240" w:lineRule="auto"/>
        <w:rPr>
          <w:noProof/>
          <w:szCs w:val="22"/>
          <w:shd w:val="clear" w:color="auto" w:fill="CCCCCC"/>
          <w:lang w:val="el-GR"/>
        </w:rPr>
      </w:pPr>
      <w:r>
        <w:rPr>
          <w:noProof/>
          <w:highlight w:val="lightGray"/>
          <w:lang w:val="el-GR"/>
        </w:rPr>
        <w:t>Δισδιάστατος γραμμωτός κώδικας (2</w:t>
      </w:r>
      <w:r>
        <w:rPr>
          <w:noProof/>
          <w:highlight w:val="lightGray"/>
        </w:rPr>
        <w:t>D</w:t>
      </w:r>
      <w:r>
        <w:rPr>
          <w:noProof/>
          <w:highlight w:val="lightGray"/>
          <w:lang w:val="el-GR"/>
        </w:rPr>
        <w:t>) που φέρει τον περιληφθέντα μοναδικό αναγνωριστικό κωδικό.</w:t>
      </w:r>
    </w:p>
    <w:p>
      <w:pPr>
        <w:widowControl w:val="0"/>
        <w:spacing w:line="240" w:lineRule="auto"/>
        <w:rPr>
          <w:noProof/>
          <w:szCs w:val="22"/>
          <w:shd w:val="clear" w:color="auto" w:fill="CCCCCC"/>
          <w:lang w:val="el-GR"/>
        </w:rPr>
      </w:pPr>
    </w:p>
    <w:p>
      <w:pPr>
        <w:widowControl w:val="0"/>
        <w:spacing w:line="240" w:lineRule="auto"/>
        <w:rPr>
          <w:noProof/>
          <w:vanish/>
          <w:szCs w:val="22"/>
          <w:lang w:val="el-GR"/>
        </w:rPr>
      </w:pPr>
    </w:p>
    <w:p>
      <w:pPr>
        <w:widowControl w:val="0"/>
        <w:tabs>
          <w:tab w:val="clear" w:pos="567"/>
        </w:tabs>
        <w:spacing w:line="240" w:lineRule="auto"/>
        <w:rPr>
          <w:noProof/>
          <w:lang w:val="el-GR"/>
        </w:rPr>
      </w:pPr>
    </w:p>
    <w:p>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Pr>
          <w:b/>
          <w:noProof/>
          <w:lang w:val="el-GR"/>
        </w:rPr>
        <w:t>18.</w:t>
      </w:r>
      <w:r>
        <w:rPr>
          <w:b/>
          <w:noProof/>
          <w:lang w:val="el-GR"/>
        </w:rPr>
        <w:tab/>
        <w:t>ΜΟΝΑΔΙΚΟΣ ΑΝΑΓΝΩΡΙΣΤΙΚΟΣ ΚΩΔΙΚΟΣ – ΔΕΔΟΜΕΝΑ ΑΝΑΓΝΩΣΙΜΑ ΑΠΟ ΤΟΝ ΑΝΘΡΩΠΟ</w:t>
      </w:r>
    </w:p>
    <w:p>
      <w:pPr>
        <w:widowControl w:val="0"/>
        <w:tabs>
          <w:tab w:val="clear" w:pos="567"/>
        </w:tabs>
        <w:spacing w:line="240" w:lineRule="auto"/>
        <w:rPr>
          <w:noProof/>
          <w:lang w:val="el-GR"/>
        </w:rPr>
      </w:pPr>
    </w:p>
    <w:p>
      <w:pPr>
        <w:widowControl w:val="0"/>
        <w:spacing w:line="240" w:lineRule="auto"/>
        <w:rPr>
          <w:lang w:val="el-GR"/>
        </w:rPr>
      </w:pPr>
      <w:r>
        <w:rPr>
          <w:szCs w:val="22"/>
        </w:rPr>
        <w:t>PC</w:t>
      </w:r>
    </w:p>
    <w:p>
      <w:pPr>
        <w:widowControl w:val="0"/>
        <w:spacing w:line="240" w:lineRule="auto"/>
        <w:rPr>
          <w:szCs w:val="22"/>
          <w:lang w:val="el-GR"/>
        </w:rPr>
      </w:pPr>
      <w:r>
        <w:rPr>
          <w:szCs w:val="22"/>
        </w:rPr>
        <w:t>SN</w:t>
      </w:r>
    </w:p>
    <w:p>
      <w:pPr>
        <w:widowControl w:val="0"/>
        <w:spacing w:line="240" w:lineRule="auto"/>
        <w:rPr>
          <w:lang w:val="el-GR"/>
        </w:rPr>
      </w:pPr>
      <w:r>
        <w:rPr>
          <w:szCs w:val="22"/>
        </w:rPr>
        <w:t>NN</w:t>
      </w:r>
    </w:p>
    <w:p>
      <w:pPr>
        <w:widowControl w:val="0"/>
        <w:spacing w:line="240" w:lineRule="auto"/>
        <w:rPr>
          <w:szCs w:val="22"/>
          <w:lang w:val="el-GR"/>
        </w:rPr>
      </w:pPr>
    </w:p>
    <w:bookmarkEnd w:id="26"/>
    <w:p>
      <w:pPr>
        <w:widowControl w:val="0"/>
        <w:spacing w:line="240" w:lineRule="auto"/>
        <w:rPr>
          <w:szCs w:val="22"/>
          <w:lang w:val="el-GR"/>
        </w:rPr>
      </w:pPr>
    </w:p>
    <w:p>
      <w:pPr>
        <w:widowControl w:val="0"/>
        <w:spacing w:line="240" w:lineRule="auto"/>
        <w:rPr>
          <w:b/>
          <w:bCs/>
          <w:noProof/>
          <w:szCs w:val="22"/>
          <w:lang w:val="el-GR"/>
        </w:rPr>
      </w:pPr>
      <w:r>
        <w:rPr>
          <w:b/>
          <w:bCs/>
          <w:noProof/>
          <w:szCs w:val="22"/>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ΕΛΑΧΙΣΤΕΣ ΕΝΔΕΙΞΕΙΣ ΠΟΥ ΠΡΕΠΕΙ ΝΑ ΑΝΑΓΡΑΦΟΝΤΑΙ ΣΤΙΣ ΣΥΣΚΕΥΑΣΙΕΣ ΚΥΨΕΛΗΣ (BLISTER) Ή ΣΤΙΣ ΤΑΙΝΙΕΣ (</w:t>
            </w:r>
            <w:r>
              <w:rPr>
                <w:b/>
                <w:noProof/>
                <w:szCs w:val="22"/>
                <w:lang w:val="en-US"/>
              </w:rPr>
              <w:t>STRIPS</w:t>
            </w:r>
            <w:r>
              <w:rPr>
                <w:b/>
                <w:noProof/>
                <w:szCs w:val="22"/>
                <w:lang w:val="el-GR"/>
              </w:rPr>
              <w:t>)</w:t>
            </w:r>
          </w:p>
          <w:p>
            <w:pPr>
              <w:widowControl w:val="0"/>
              <w:spacing w:line="240" w:lineRule="auto"/>
              <w:rPr>
                <w:b/>
                <w:noProof/>
                <w:szCs w:val="22"/>
                <w:lang w:val="el-GR"/>
              </w:rPr>
            </w:pPr>
          </w:p>
          <w:p>
            <w:pPr>
              <w:widowControl w:val="0"/>
              <w:spacing w:line="240" w:lineRule="auto"/>
              <w:rPr>
                <w:b/>
                <w:noProof/>
                <w:szCs w:val="22"/>
                <w:lang w:val="el-GR"/>
              </w:rPr>
            </w:pPr>
            <w:r>
              <w:rPr>
                <w:b/>
                <w:bCs/>
                <w:szCs w:val="22"/>
                <w:lang w:val="el-GR"/>
              </w:rPr>
              <w:t>ΚΥΨΕΛΗ</w:t>
            </w:r>
          </w:p>
        </w:tc>
      </w:tr>
    </w:tbl>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1.</w:t>
            </w:r>
            <w:r>
              <w:rPr>
                <w:b/>
                <w:noProof/>
                <w:szCs w:val="22"/>
                <w:lang w:val="el-GR"/>
              </w:rPr>
              <w:tab/>
              <w:t>ΟΝΟΜΑΣΙΑ ΤΟΥ ΦΑΡΜΑΚΕΥΤΙΚΟΥ ΠΡΟΪΟΝΤΟΣ</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noProof/>
          <w:szCs w:val="22"/>
          <w:lang w:val="el-GR"/>
        </w:rPr>
        <w:t>Zyllt</w:t>
      </w:r>
      <w:r>
        <w:rPr>
          <w:szCs w:val="22"/>
          <w:lang w:val="el-GR"/>
        </w:rPr>
        <w:t xml:space="preserve"> 75 mg επικαλυμμένα με λεπτό υμένιο δισκία</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n-US"/>
        </w:rPr>
        <w:t>c</w:t>
      </w:r>
      <w:r>
        <w:rPr>
          <w:szCs w:val="22"/>
          <w:lang w:val="el-GR"/>
        </w:rPr>
        <w:t>lopidogrel</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2.</w:t>
            </w:r>
            <w:r>
              <w:rPr>
                <w:b/>
                <w:noProof/>
                <w:szCs w:val="22"/>
                <w:lang w:val="el-GR"/>
              </w:rPr>
              <w:tab/>
              <w:t>ΟΝΟΜΑ ΚΑΤΟΧΟΥ ΤΗΣ ΑΔΕΙΑΣ ΚΥΚΛΟΦΟΡΙΑΣ</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el-GR"/>
        </w:rPr>
      </w:pPr>
      <w:r>
        <w:rPr>
          <w:szCs w:val="22"/>
          <w:lang w:val="el-GR"/>
        </w:rPr>
        <w:t>KRKA</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3.</w:t>
            </w:r>
            <w:r>
              <w:rPr>
                <w:b/>
                <w:noProof/>
                <w:szCs w:val="22"/>
                <w:lang w:val="el-GR"/>
              </w:rPr>
              <w:tab/>
              <w:t>ΗΜΕΡΟΜΗΝΙΑ ΛΗΞΗΣ</w:t>
            </w:r>
          </w:p>
        </w:tc>
      </w:tr>
    </w:tbl>
    <w:p>
      <w:pPr>
        <w:widowControl w:val="0"/>
        <w:spacing w:line="240" w:lineRule="auto"/>
        <w:rPr>
          <w:noProof/>
          <w:szCs w:val="22"/>
          <w:lang w:val="el-GR"/>
        </w:rPr>
      </w:pPr>
    </w:p>
    <w:p>
      <w:pPr>
        <w:widowControl w:val="0"/>
        <w:autoSpaceDE w:val="0"/>
        <w:autoSpaceDN w:val="0"/>
        <w:adjustRightInd w:val="0"/>
        <w:spacing w:line="240" w:lineRule="auto"/>
        <w:rPr>
          <w:szCs w:val="22"/>
          <w:lang w:val="sl-SI"/>
        </w:rPr>
      </w:pPr>
      <w:r>
        <w:rPr>
          <w:szCs w:val="22"/>
          <w:lang w:val="sl-SI"/>
        </w:rPr>
        <w:t>EXP</w:t>
      </w:r>
    </w:p>
    <w:p>
      <w:pPr>
        <w:widowControl w:val="0"/>
        <w:spacing w:line="240" w:lineRule="auto"/>
        <w:rPr>
          <w:noProof/>
          <w:szCs w:val="22"/>
          <w:lang w:val="el-GR"/>
        </w:rPr>
      </w:pPr>
    </w:p>
    <w:p>
      <w:pPr>
        <w:widowControl w:val="0"/>
        <w:spacing w:line="240" w:lineRule="auto"/>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tc>
          <w:tcPr>
            <w:tcW w:w="9276" w:type="dxa"/>
          </w:tcPr>
          <w:p>
            <w:pPr>
              <w:widowControl w:val="0"/>
              <w:spacing w:line="240" w:lineRule="auto"/>
              <w:rPr>
                <w:b/>
                <w:noProof/>
                <w:szCs w:val="22"/>
                <w:lang w:val="el-GR"/>
              </w:rPr>
            </w:pPr>
            <w:r>
              <w:rPr>
                <w:b/>
                <w:noProof/>
                <w:szCs w:val="22"/>
                <w:lang w:val="el-GR"/>
              </w:rPr>
              <w:t>4.</w:t>
            </w:r>
            <w:r>
              <w:rPr>
                <w:b/>
                <w:noProof/>
                <w:szCs w:val="22"/>
                <w:lang w:val="el-GR"/>
              </w:rPr>
              <w:tab/>
              <w:t>ΑΡΙΘΜΟΣ ΠΑΡΤΙΔΑΣ</w:t>
            </w:r>
          </w:p>
        </w:tc>
      </w:tr>
    </w:tbl>
    <w:p>
      <w:pPr>
        <w:widowControl w:val="0"/>
        <w:spacing w:line="240" w:lineRule="auto"/>
        <w:rPr>
          <w:b/>
          <w:noProof/>
          <w:szCs w:val="22"/>
          <w:lang w:val="el-GR"/>
        </w:rPr>
      </w:pPr>
    </w:p>
    <w:p>
      <w:pPr>
        <w:widowControl w:val="0"/>
        <w:autoSpaceDE w:val="0"/>
        <w:autoSpaceDN w:val="0"/>
        <w:adjustRightInd w:val="0"/>
        <w:spacing w:line="240" w:lineRule="auto"/>
        <w:rPr>
          <w:szCs w:val="22"/>
          <w:lang w:val="el-GR"/>
        </w:rPr>
      </w:pPr>
      <w:r>
        <w:rPr>
          <w:szCs w:val="22"/>
          <w:lang w:val="sl-SI"/>
        </w:rPr>
        <w:t>Lot</w:t>
      </w:r>
    </w:p>
    <w:p>
      <w:pPr>
        <w:widowControl w:val="0"/>
        <w:spacing w:line="240" w:lineRule="auto"/>
        <w:rPr>
          <w:b/>
          <w:noProof/>
          <w:szCs w:val="22"/>
          <w:lang w:val="el-GR"/>
        </w:rPr>
      </w:pPr>
    </w:p>
    <w:p>
      <w:pPr>
        <w:widowControl w:val="0"/>
        <w:spacing w:line="240" w:lineRule="auto"/>
        <w:rPr>
          <w:b/>
          <w:noProof/>
          <w:szCs w:val="22"/>
          <w:lang w:val="el-GR"/>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el-GR"/>
        </w:rPr>
      </w:pPr>
      <w:r>
        <w:rPr>
          <w:b/>
          <w:noProof/>
          <w:szCs w:val="22"/>
          <w:lang w:val="el-GR"/>
        </w:rPr>
        <w:t>5.</w:t>
      </w:r>
      <w:r>
        <w:rPr>
          <w:b/>
          <w:noProof/>
          <w:szCs w:val="22"/>
          <w:lang w:val="el-GR"/>
        </w:rPr>
        <w:tab/>
        <w:t>ΑΛΛΑ ΣΤΟΙΧΕΙΑ</w:t>
      </w:r>
    </w:p>
    <w:p>
      <w:pPr>
        <w:widowControl w:val="0"/>
        <w:spacing w:line="240" w:lineRule="auto"/>
        <w:rPr>
          <w:b/>
          <w:noProof/>
          <w:szCs w:val="22"/>
          <w:lang w:val="el-GR"/>
        </w:rPr>
      </w:pPr>
    </w:p>
    <w:p>
      <w:pPr>
        <w:widowControl w:val="0"/>
        <w:spacing w:line="240" w:lineRule="auto"/>
        <w:rPr>
          <w:b/>
          <w:noProof/>
          <w:szCs w:val="22"/>
          <w:lang w:val="el-GR"/>
        </w:rPr>
      </w:pPr>
      <w:r>
        <w:rPr>
          <w:b/>
          <w:noProof/>
          <w:szCs w:val="22"/>
          <w:lang w:val="el-GR"/>
        </w:rPr>
        <w:br w:type="page"/>
      </w: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widowControl w:val="0"/>
        <w:spacing w:line="240" w:lineRule="auto"/>
        <w:rPr>
          <w:noProof/>
          <w:szCs w:val="22"/>
          <w:lang w:val="el-GR"/>
        </w:rPr>
      </w:pPr>
    </w:p>
    <w:p>
      <w:pPr>
        <w:pStyle w:val="TitleA"/>
        <w:widowControl w:val="0"/>
        <w:rPr>
          <w:noProof/>
        </w:rPr>
      </w:pPr>
      <w:r>
        <w:rPr>
          <w:noProof/>
        </w:rPr>
        <w:t>Β. ΦΥΛΛΟ ΟΔΗΓΙΩΝ ΧΡΗΣΗΣ</w:t>
      </w:r>
    </w:p>
    <w:p>
      <w:pPr>
        <w:widowControl w:val="0"/>
        <w:spacing w:line="240" w:lineRule="auto"/>
        <w:jc w:val="center"/>
        <w:rPr>
          <w:b/>
          <w:noProof/>
          <w:szCs w:val="22"/>
          <w:lang w:val="el-GR"/>
        </w:rPr>
      </w:pPr>
      <w:r>
        <w:rPr>
          <w:noProof/>
          <w:szCs w:val="22"/>
          <w:lang w:val="el-GR"/>
        </w:rPr>
        <w:br w:type="page"/>
      </w:r>
      <w:r>
        <w:rPr>
          <w:b/>
          <w:bCs/>
          <w:color w:val="000000"/>
          <w:szCs w:val="22"/>
          <w:lang w:val="el-GR" w:eastAsia="es-ES"/>
        </w:rPr>
        <w:t>Φύλλο οδηγιών χρήσης</w:t>
      </w:r>
      <w:r>
        <w:rPr>
          <w:b/>
          <w:noProof/>
          <w:szCs w:val="22"/>
          <w:lang w:val="el-GR"/>
        </w:rPr>
        <w:t xml:space="preserve">: </w:t>
      </w:r>
      <w:r>
        <w:rPr>
          <w:b/>
          <w:bCs/>
          <w:color w:val="000000"/>
          <w:szCs w:val="22"/>
          <w:lang w:val="el-GR" w:eastAsia="es-ES"/>
        </w:rPr>
        <w:t xml:space="preserve">Πληροφορίες </w:t>
      </w:r>
      <w:r>
        <w:rPr>
          <w:b/>
          <w:noProof/>
          <w:szCs w:val="22"/>
          <w:lang w:val="el-GR"/>
        </w:rPr>
        <w:t>για τον χρήστη</w:t>
      </w:r>
    </w:p>
    <w:p>
      <w:pPr>
        <w:widowControl w:val="0"/>
        <w:spacing w:line="240" w:lineRule="auto"/>
        <w:jc w:val="center"/>
        <w:rPr>
          <w:b/>
          <w:noProof/>
          <w:szCs w:val="22"/>
          <w:lang w:val="el-GR"/>
        </w:rPr>
      </w:pPr>
    </w:p>
    <w:p>
      <w:pPr>
        <w:widowControl w:val="0"/>
        <w:autoSpaceDE w:val="0"/>
        <w:autoSpaceDN w:val="0"/>
        <w:adjustRightInd w:val="0"/>
        <w:spacing w:line="240" w:lineRule="auto"/>
        <w:jc w:val="center"/>
        <w:rPr>
          <w:b/>
          <w:bCs/>
          <w:color w:val="000000"/>
          <w:szCs w:val="22"/>
          <w:lang w:val="el-GR"/>
        </w:rPr>
      </w:pPr>
      <w:r>
        <w:rPr>
          <w:b/>
          <w:noProof/>
          <w:szCs w:val="22"/>
          <w:lang w:val="el-GR"/>
        </w:rPr>
        <w:t>Zyllt</w:t>
      </w:r>
      <w:r>
        <w:rPr>
          <w:b/>
          <w:szCs w:val="22"/>
          <w:lang w:val="el-GR"/>
        </w:rPr>
        <w:t xml:space="preserve"> 75 mg</w:t>
      </w:r>
      <w:r>
        <w:rPr>
          <w:b/>
          <w:bCs/>
          <w:color w:val="000000"/>
          <w:szCs w:val="22"/>
          <w:lang w:val="el-GR"/>
        </w:rPr>
        <w:t xml:space="preserve"> επικαλυμμένα με λεπτό υμένιο δισκία</w:t>
      </w:r>
    </w:p>
    <w:p>
      <w:pPr>
        <w:widowControl w:val="0"/>
        <w:autoSpaceDE w:val="0"/>
        <w:autoSpaceDN w:val="0"/>
        <w:adjustRightInd w:val="0"/>
        <w:spacing w:line="240" w:lineRule="auto"/>
        <w:jc w:val="center"/>
        <w:rPr>
          <w:szCs w:val="22"/>
          <w:lang w:val="el-GR"/>
        </w:rPr>
      </w:pPr>
      <w:r>
        <w:rPr>
          <w:szCs w:val="22"/>
          <w:lang w:val="el-GR"/>
        </w:rPr>
        <w:t>κλοπιδογρέλη</w:t>
      </w:r>
    </w:p>
    <w:p>
      <w:pPr>
        <w:pStyle w:val="Header"/>
        <w:tabs>
          <w:tab w:val="clear" w:pos="4153"/>
          <w:tab w:val="clear" w:pos="8306"/>
        </w:tabs>
        <w:spacing w:line="240" w:lineRule="auto"/>
        <w:rPr>
          <w:noProof/>
          <w:szCs w:val="22"/>
        </w:rPr>
      </w:pPr>
    </w:p>
    <w:p>
      <w:pPr>
        <w:widowControl w:val="0"/>
        <w:autoSpaceDE w:val="0"/>
        <w:autoSpaceDN w:val="0"/>
        <w:adjustRightInd w:val="0"/>
        <w:spacing w:line="240" w:lineRule="auto"/>
        <w:rPr>
          <w:b/>
          <w:bCs/>
          <w:color w:val="000000"/>
          <w:szCs w:val="22"/>
          <w:lang w:val="el-GR"/>
        </w:rPr>
      </w:pPr>
      <w:r>
        <w:rPr>
          <w:b/>
          <w:bCs/>
          <w:color w:val="000000"/>
          <w:szCs w:val="22"/>
          <w:lang w:val="el-GR"/>
        </w:rPr>
        <w:t>Διαβάστε προσεκτικά ολόκληρο το φύλλο οδηγιών χρήσης πριν αρχίσετε να παίρνετε αυτό το φάρμακο</w:t>
      </w:r>
      <w:r>
        <w:rPr>
          <w:b/>
          <w:szCs w:val="22"/>
          <w:lang w:val="el-GR"/>
        </w:rPr>
        <w:t>, διότι περιλαμβάνει σημαντικές πληροφορίες για σας</w:t>
      </w:r>
      <w:r>
        <w:rPr>
          <w:b/>
          <w:bCs/>
          <w:color w:val="000000"/>
          <w:szCs w:val="22"/>
          <w:lang w:val="el-GR"/>
        </w:rPr>
        <w:t>.</w:t>
      </w:r>
    </w:p>
    <w:p>
      <w:pPr>
        <w:widowControl w:val="0"/>
        <w:numPr>
          <w:ilvl w:val="0"/>
          <w:numId w:val="4"/>
        </w:numPr>
        <w:tabs>
          <w:tab w:val="clear" w:pos="567"/>
          <w:tab w:val="clear" w:pos="780"/>
        </w:tabs>
        <w:autoSpaceDE w:val="0"/>
        <w:autoSpaceDN w:val="0"/>
        <w:adjustRightInd w:val="0"/>
        <w:spacing w:line="240" w:lineRule="auto"/>
        <w:ind w:left="567" w:hanging="567"/>
        <w:rPr>
          <w:color w:val="000000"/>
          <w:lang w:val="el-GR"/>
        </w:rPr>
      </w:pPr>
      <w:r>
        <w:rPr>
          <w:color w:val="000000"/>
          <w:lang w:val="el-GR"/>
        </w:rPr>
        <w:t>Φυλάξτε αυτό το φύλλο οδηγιών χρήσης. Ίσως χρειαστεί να το διαβάσετε ξανά.</w:t>
      </w:r>
    </w:p>
    <w:p>
      <w:pPr>
        <w:widowControl w:val="0"/>
        <w:numPr>
          <w:ilvl w:val="0"/>
          <w:numId w:val="4"/>
        </w:numPr>
        <w:tabs>
          <w:tab w:val="clear" w:pos="567"/>
          <w:tab w:val="clear" w:pos="780"/>
        </w:tabs>
        <w:autoSpaceDE w:val="0"/>
        <w:autoSpaceDN w:val="0"/>
        <w:adjustRightInd w:val="0"/>
        <w:spacing w:line="240" w:lineRule="auto"/>
        <w:ind w:left="567" w:hanging="567"/>
        <w:rPr>
          <w:color w:val="000000"/>
          <w:lang w:val="el-GR"/>
        </w:rPr>
      </w:pPr>
      <w:r>
        <w:rPr>
          <w:color w:val="000000"/>
          <w:lang w:val="el-GR"/>
        </w:rPr>
        <w:t>Εάν έχετε περαιτέρω απορίες, ρωτήστε τον γιατρό ή τον φαρμακοποιό σας.</w:t>
      </w:r>
    </w:p>
    <w:p>
      <w:pPr>
        <w:widowControl w:val="0"/>
        <w:numPr>
          <w:ilvl w:val="0"/>
          <w:numId w:val="4"/>
        </w:numPr>
        <w:tabs>
          <w:tab w:val="clear" w:pos="567"/>
          <w:tab w:val="clear" w:pos="780"/>
        </w:tabs>
        <w:autoSpaceDE w:val="0"/>
        <w:autoSpaceDN w:val="0"/>
        <w:adjustRightInd w:val="0"/>
        <w:spacing w:line="240" w:lineRule="auto"/>
        <w:ind w:left="567" w:hanging="567"/>
        <w:rPr>
          <w:color w:val="000000"/>
          <w:lang w:val="el-GR"/>
        </w:rPr>
      </w:pPr>
      <w:r>
        <w:rPr>
          <w:color w:val="000000"/>
          <w:lang w:val="el-GR"/>
        </w:rPr>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pPr>
        <w:widowControl w:val="0"/>
        <w:numPr>
          <w:ilvl w:val="0"/>
          <w:numId w:val="4"/>
        </w:numPr>
        <w:tabs>
          <w:tab w:val="clear" w:pos="567"/>
          <w:tab w:val="clear" w:pos="780"/>
        </w:tabs>
        <w:autoSpaceDE w:val="0"/>
        <w:autoSpaceDN w:val="0"/>
        <w:adjustRightInd w:val="0"/>
        <w:spacing w:line="240" w:lineRule="auto"/>
        <w:ind w:left="567" w:hanging="567"/>
        <w:rPr>
          <w:color w:val="000000"/>
          <w:lang w:val="el-GR"/>
        </w:rPr>
      </w:pPr>
      <w:r>
        <w:rPr>
          <w:color w:val="000000"/>
          <w:lang w:val="el-GR"/>
        </w:rPr>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pPr>
        <w:widowControl w:val="0"/>
        <w:spacing w:line="240" w:lineRule="auto"/>
        <w:ind w:left="567" w:hanging="567"/>
        <w:rPr>
          <w:noProof/>
          <w:szCs w:val="22"/>
          <w:lang w:val="el-GR"/>
        </w:rPr>
      </w:pPr>
    </w:p>
    <w:p>
      <w:pPr>
        <w:widowControl w:val="0"/>
        <w:spacing w:line="240" w:lineRule="auto"/>
        <w:ind w:left="567" w:hanging="567"/>
        <w:rPr>
          <w:noProof/>
          <w:szCs w:val="22"/>
          <w:lang w:val="el-GR"/>
        </w:rPr>
      </w:pPr>
    </w:p>
    <w:p>
      <w:pPr>
        <w:widowControl w:val="0"/>
        <w:tabs>
          <w:tab w:val="clear" w:pos="567"/>
        </w:tabs>
        <w:spacing w:line="240" w:lineRule="auto"/>
        <w:ind w:left="567" w:hanging="567"/>
        <w:rPr>
          <w:b/>
          <w:szCs w:val="22"/>
          <w:lang w:val="el-GR"/>
        </w:rPr>
      </w:pPr>
      <w:r>
        <w:rPr>
          <w:b/>
          <w:szCs w:val="22"/>
          <w:lang w:val="el-GR"/>
        </w:rPr>
        <w:t>Τι περιέχει το παρόν φύλλο οδηγιών:</w:t>
      </w:r>
    </w:p>
    <w:p>
      <w:pPr>
        <w:widowControl w:val="0"/>
        <w:spacing w:line="240" w:lineRule="auto"/>
        <w:ind w:left="567" w:hanging="567"/>
        <w:rPr>
          <w:noProof/>
          <w:szCs w:val="22"/>
          <w:lang w:val="el-GR"/>
        </w:rPr>
      </w:pPr>
      <w:r>
        <w:rPr>
          <w:noProof/>
          <w:szCs w:val="22"/>
          <w:lang w:val="el-GR"/>
        </w:rPr>
        <w:t>1.</w:t>
      </w:r>
      <w:r>
        <w:rPr>
          <w:noProof/>
          <w:szCs w:val="22"/>
          <w:lang w:val="el-GR"/>
        </w:rPr>
        <w:tab/>
        <w:t xml:space="preserve">Τι είναι το Zyllt και </w:t>
      </w:r>
      <w:r>
        <w:rPr>
          <w:bCs/>
          <w:color w:val="000000"/>
          <w:szCs w:val="22"/>
          <w:lang w:val="el-GR" w:eastAsia="es-ES"/>
        </w:rPr>
        <w:t xml:space="preserve">ποια </w:t>
      </w:r>
      <w:r>
        <w:rPr>
          <w:noProof/>
          <w:szCs w:val="22"/>
          <w:lang w:val="el-GR"/>
        </w:rPr>
        <w:t>είναι η χρήση του</w:t>
      </w:r>
    </w:p>
    <w:p>
      <w:pPr>
        <w:widowControl w:val="0"/>
        <w:spacing w:line="240" w:lineRule="auto"/>
        <w:ind w:left="567" w:hanging="567"/>
        <w:rPr>
          <w:noProof/>
          <w:szCs w:val="22"/>
          <w:lang w:val="el-GR"/>
        </w:rPr>
      </w:pPr>
      <w:r>
        <w:rPr>
          <w:noProof/>
          <w:szCs w:val="22"/>
          <w:lang w:val="el-GR"/>
        </w:rPr>
        <w:t>2.</w:t>
      </w:r>
      <w:r>
        <w:rPr>
          <w:noProof/>
          <w:szCs w:val="22"/>
          <w:lang w:val="el-GR"/>
        </w:rPr>
        <w:tab/>
        <w:t xml:space="preserve">Τι πρέπει να γνωρίζετε </w:t>
      </w:r>
      <w:r>
        <w:rPr>
          <w:bCs/>
          <w:color w:val="000000"/>
          <w:szCs w:val="22"/>
          <w:lang w:val="el-GR" w:eastAsia="es-ES"/>
        </w:rPr>
        <w:t>πριν να</w:t>
      </w:r>
      <w:r>
        <w:rPr>
          <w:b/>
          <w:color w:val="000000"/>
          <w:lang w:val="sl-SI"/>
        </w:rPr>
        <w:t xml:space="preserve"> </w:t>
      </w:r>
      <w:r>
        <w:rPr>
          <w:noProof/>
          <w:szCs w:val="22"/>
          <w:lang w:val="el-GR"/>
        </w:rPr>
        <w:t>πάρετε το Zyllt</w:t>
      </w:r>
    </w:p>
    <w:p>
      <w:pPr>
        <w:widowControl w:val="0"/>
        <w:spacing w:line="240" w:lineRule="auto"/>
        <w:ind w:left="567" w:hanging="567"/>
        <w:rPr>
          <w:noProof/>
          <w:szCs w:val="22"/>
          <w:lang w:val="el-GR"/>
        </w:rPr>
      </w:pPr>
      <w:r>
        <w:rPr>
          <w:noProof/>
          <w:szCs w:val="22"/>
          <w:lang w:val="el-GR"/>
        </w:rPr>
        <w:t>3.</w:t>
      </w:r>
      <w:r>
        <w:rPr>
          <w:noProof/>
          <w:szCs w:val="22"/>
          <w:lang w:val="el-GR"/>
        </w:rPr>
        <w:tab/>
        <w:t>Πώς να πάρετε το Zyllt</w:t>
      </w:r>
    </w:p>
    <w:p>
      <w:pPr>
        <w:widowControl w:val="0"/>
        <w:spacing w:line="240" w:lineRule="auto"/>
        <w:ind w:left="567" w:hanging="567"/>
        <w:rPr>
          <w:noProof/>
          <w:szCs w:val="22"/>
          <w:lang w:val="el-GR"/>
        </w:rPr>
      </w:pPr>
      <w:r>
        <w:rPr>
          <w:noProof/>
          <w:szCs w:val="22"/>
          <w:lang w:val="el-GR"/>
        </w:rPr>
        <w:t>4.</w:t>
      </w:r>
      <w:r>
        <w:rPr>
          <w:noProof/>
          <w:szCs w:val="22"/>
          <w:lang w:val="el-GR"/>
        </w:rPr>
        <w:tab/>
        <w:t>Πιθανές ανεπιθύμητες ενέργειες</w:t>
      </w:r>
    </w:p>
    <w:p>
      <w:pPr>
        <w:widowControl w:val="0"/>
        <w:spacing w:line="240" w:lineRule="auto"/>
        <w:ind w:left="567" w:hanging="567"/>
        <w:rPr>
          <w:noProof/>
          <w:szCs w:val="22"/>
          <w:lang w:val="el-GR"/>
        </w:rPr>
      </w:pPr>
      <w:r>
        <w:rPr>
          <w:noProof/>
          <w:szCs w:val="22"/>
          <w:lang w:val="el-GR"/>
        </w:rPr>
        <w:t>5.</w:t>
      </w:r>
      <w:r>
        <w:rPr>
          <w:noProof/>
          <w:szCs w:val="22"/>
          <w:lang w:val="el-GR"/>
        </w:rPr>
        <w:tab/>
        <w:t>Πώς να φυλάσσετε το Zyllt</w:t>
      </w:r>
    </w:p>
    <w:p>
      <w:pPr>
        <w:widowControl w:val="0"/>
        <w:spacing w:line="240" w:lineRule="auto"/>
        <w:ind w:left="567" w:hanging="567"/>
        <w:rPr>
          <w:noProof/>
          <w:szCs w:val="22"/>
          <w:lang w:val="el-GR"/>
        </w:rPr>
      </w:pPr>
      <w:r>
        <w:rPr>
          <w:noProof/>
          <w:szCs w:val="22"/>
          <w:lang w:val="el-GR"/>
        </w:rPr>
        <w:t>6.</w:t>
      </w:r>
      <w:r>
        <w:rPr>
          <w:noProof/>
          <w:szCs w:val="22"/>
          <w:lang w:val="el-GR"/>
        </w:rPr>
        <w:tab/>
      </w:r>
      <w:r>
        <w:rPr>
          <w:szCs w:val="22"/>
          <w:lang w:val="el-GR"/>
        </w:rPr>
        <w:t>Περιεχόμενα της συσκευασίας και λοιπές</w:t>
      </w:r>
      <w:r>
        <w:rPr>
          <w:noProof/>
          <w:szCs w:val="22"/>
          <w:lang w:val="el-GR"/>
        </w:rPr>
        <w:t xml:space="preserve"> πληροφορίες</w:t>
      </w:r>
    </w:p>
    <w:p>
      <w:pPr>
        <w:pStyle w:val="Header"/>
        <w:tabs>
          <w:tab w:val="clear" w:pos="4153"/>
          <w:tab w:val="clear" w:pos="8306"/>
        </w:tabs>
        <w:spacing w:line="240" w:lineRule="auto"/>
        <w:ind w:left="567" w:hanging="567"/>
        <w:rPr>
          <w:noProof/>
          <w:szCs w:val="22"/>
        </w:rPr>
      </w:pPr>
    </w:p>
    <w:p>
      <w:pPr>
        <w:widowControl w:val="0"/>
        <w:spacing w:line="240" w:lineRule="auto"/>
        <w:ind w:left="567" w:hanging="567"/>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1.</w:t>
      </w:r>
      <w:r>
        <w:rPr>
          <w:b/>
          <w:noProof/>
          <w:szCs w:val="22"/>
          <w:lang w:val="el-GR"/>
        </w:rPr>
        <w:tab/>
        <w:t xml:space="preserve">Τι </w:t>
      </w:r>
      <w:r>
        <w:rPr>
          <w:b/>
          <w:bCs/>
          <w:color w:val="000000"/>
          <w:szCs w:val="22"/>
          <w:lang w:val="el-GR" w:eastAsia="es-ES"/>
        </w:rPr>
        <w:t xml:space="preserve">είναι </w:t>
      </w:r>
      <w:r>
        <w:rPr>
          <w:b/>
          <w:noProof/>
          <w:szCs w:val="22"/>
          <w:lang w:val="el-GR"/>
        </w:rPr>
        <w:t xml:space="preserve">το </w:t>
      </w:r>
      <w:r>
        <w:rPr>
          <w:b/>
          <w:noProof/>
          <w:szCs w:val="22"/>
          <w:lang w:val="sl-SI"/>
        </w:rPr>
        <w:t>Z</w:t>
      </w:r>
      <w:r>
        <w:rPr>
          <w:b/>
          <w:noProof/>
          <w:szCs w:val="22"/>
          <w:lang w:val="el-GR"/>
        </w:rPr>
        <w:t xml:space="preserve">yllt και </w:t>
      </w:r>
      <w:r>
        <w:rPr>
          <w:b/>
          <w:bCs/>
          <w:color w:val="000000"/>
          <w:szCs w:val="22"/>
          <w:lang w:val="el-GR" w:eastAsia="es-ES"/>
        </w:rPr>
        <w:t xml:space="preserve">ποια </w:t>
      </w:r>
      <w:r>
        <w:rPr>
          <w:b/>
          <w:noProof/>
          <w:szCs w:val="22"/>
          <w:lang w:val="el-GR"/>
        </w:rPr>
        <w:t xml:space="preserve">είναι η </w:t>
      </w:r>
      <w:r>
        <w:rPr>
          <w:b/>
          <w:bCs/>
          <w:color w:val="000000"/>
          <w:szCs w:val="22"/>
          <w:lang w:val="el-GR" w:eastAsia="es-ES"/>
        </w:rPr>
        <w:t xml:space="preserve">χρήση </w:t>
      </w:r>
      <w:r>
        <w:rPr>
          <w:b/>
          <w:noProof/>
          <w:szCs w:val="22"/>
          <w:lang w:val="el-GR"/>
        </w:rPr>
        <w:t>του</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Το </w:t>
      </w:r>
      <w:r>
        <w:rPr>
          <w:noProof/>
          <w:szCs w:val="22"/>
          <w:lang w:val="el-GR"/>
        </w:rPr>
        <w:t>Zyllt</w:t>
      </w:r>
      <w:r>
        <w:rPr>
          <w:color w:val="000000"/>
          <w:szCs w:val="22"/>
          <w:lang w:val="el-GR"/>
        </w:rPr>
        <w:t xml:space="preserve"> </w:t>
      </w:r>
      <w:r>
        <w:rPr>
          <w:szCs w:val="22"/>
          <w:lang w:val="el-GR"/>
        </w:rPr>
        <w:t xml:space="preserve">περιέχει κλοπιδογρέλη και </w:t>
      </w:r>
      <w:r>
        <w:rPr>
          <w:color w:val="000000"/>
          <w:szCs w:val="22"/>
          <w:lang w:val="el-GR"/>
        </w:rPr>
        <w:t>ανήκει σε μια κατηγορία φαρμάκων που ονομάζονται αντιαιμοπεταλιακά φαρμακευτικά προϊόντα. Τα αιμοπετάλια είναι πολύ μικρά σωματίδια του αίματος, τα οποία συγκολλώνται κατά την πήξη του αίματος. Τα αντιαιμοπεταλιακά φαρμακευτικά προϊόντα εμποδίζουν αυτή τη συσσώρευση και έτσι μειώνουν τις πιθανότητες σχηματισμού θρόμβων (διαδικασία που ονομάζεται θρόμβωση).</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Το </w:t>
      </w:r>
      <w:r>
        <w:rPr>
          <w:noProof/>
          <w:szCs w:val="22"/>
          <w:lang w:val="el-GR"/>
        </w:rPr>
        <w:t>Zyllt</w:t>
      </w:r>
      <w:r>
        <w:rPr>
          <w:color w:val="000000"/>
          <w:szCs w:val="22"/>
          <w:lang w:val="el-GR"/>
        </w:rPr>
        <w:t xml:space="preserve"> λαμβάνεται </w:t>
      </w:r>
      <w:r>
        <w:rPr>
          <w:szCs w:val="22"/>
          <w:lang w:val="el-GR"/>
        </w:rPr>
        <w:t xml:space="preserve">από ενήλικες </w:t>
      </w:r>
      <w:r>
        <w:rPr>
          <w:color w:val="000000"/>
          <w:szCs w:val="22"/>
          <w:lang w:val="el-GR"/>
        </w:rPr>
        <w:t>για την πρόληψη σχηματισμού θρόμβων στα σκληρυμένα αιμοφόρα αγγεία (αρτηρίες), μία διαδικασία γνωστή σαν αθηροθρόμβωση, που μπορεί να οδηγήσει σε αθηροθρομβωτικά επεισόδια (όπως ισχαιμικό αγγειακό εγκεφαλικό επεισόδιο, καρδιακό επεισόδιο, ή θάνατο).</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Το </w:t>
      </w:r>
      <w:r>
        <w:rPr>
          <w:noProof/>
          <w:szCs w:val="22"/>
          <w:lang w:val="el-GR"/>
        </w:rPr>
        <w:t>Zyllt</w:t>
      </w:r>
      <w:r>
        <w:rPr>
          <w:color w:val="000000"/>
          <w:szCs w:val="22"/>
          <w:lang w:val="el-GR"/>
        </w:rPr>
        <w:t xml:space="preserve"> σας έχει συνταγογραφηθεί για να βοηθήσει στην αποφυγή σχηματισμού θρόμβων και να ελαττώσει τον κίνδυνο αυτών των σοβαρών επεισοδίων επειδή:</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bookmarkStart w:id="27" w:name="_Hlk481133905"/>
      <w:r>
        <w:rPr>
          <w:color w:val="000000"/>
          <w:szCs w:val="22"/>
          <w:lang w:val="el-GR"/>
        </w:rPr>
        <w:t>Έχετε μία πάθηση σκλήρυνσης των αρτηριών (επίσης γνωστή σαν αθηροσκλήρυνση), και</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Έχετε ιστορικό καρδιακού επεισοδίου, ισχαιμικού αγγειακού εγκεφαλικού επεισοδίου ή πάσχετε από μια κατάσταση γνωστή ως περιφερική αρτηριακή νόσο, ή</w:t>
      </w:r>
    </w:p>
    <w:p>
      <w:pPr>
        <w:widowControl w:val="0"/>
        <w:numPr>
          <w:ilvl w:val="0"/>
          <w:numId w:val="4"/>
        </w:numPr>
        <w:tabs>
          <w:tab w:val="clear" w:pos="567"/>
          <w:tab w:val="clear" w:pos="780"/>
        </w:tabs>
        <w:autoSpaceDE w:val="0"/>
        <w:autoSpaceDN w:val="0"/>
        <w:adjustRightInd w:val="0"/>
        <w:spacing w:line="240" w:lineRule="auto"/>
        <w:ind w:left="567" w:hanging="567"/>
        <w:rPr>
          <w:szCs w:val="22"/>
          <w:lang w:val="el-GR"/>
        </w:rPr>
      </w:pPr>
      <w:r>
        <w:rPr>
          <w:szCs w:val="22"/>
          <w:lang w:val="el-GR"/>
        </w:rPr>
        <w:t>Έχετε εμφανίσει σοβαρό πόνο στο στήθος γνωστός ως «ασταθής στηθάγχη» ή «έμφραγμα του μυοκαρδίου» (καρδιακό επεισόδιο). Για τη θεραπεία αυτής της πάθησης ο γιατρός σας πιθανώς να έχει τοποθετήσει ενδοπρόθεση (stent) στην φραγμένη ή στενωμένη αρτηρία για να αποκαταστήσει την αποτελεσματική ροή του αίματος. Θα πρέπει επίσης να σας έχει χορηγηθεί από τον γιατρό σας και ακετυλοσαλικυλικό οξύ (μία ουσία που βρίσκεται σε πολλά φάρμακα που χρησιμοποιούνται για την ανακούφιση από τον πόνο και ως αντιπυρετικά καθώς επίσης και για την πρόληψη θρόμβωσης).</w:t>
      </w:r>
    </w:p>
    <w:p>
      <w:pPr>
        <w:widowControl w:val="0"/>
        <w:numPr>
          <w:ilvl w:val="0"/>
          <w:numId w:val="4"/>
        </w:numPr>
        <w:tabs>
          <w:tab w:val="clear" w:pos="567"/>
          <w:tab w:val="clear" w:pos="780"/>
        </w:tabs>
        <w:autoSpaceDE w:val="0"/>
        <w:autoSpaceDN w:val="0"/>
        <w:adjustRightInd w:val="0"/>
        <w:spacing w:line="240" w:lineRule="auto"/>
        <w:ind w:left="567" w:hanging="567"/>
        <w:rPr>
          <w:szCs w:val="22"/>
          <w:lang w:val="el-GR"/>
        </w:rPr>
      </w:pPr>
      <w:bookmarkStart w:id="28" w:name="_Hlk25225885"/>
      <w:r>
        <w:rPr>
          <w:szCs w:val="22"/>
          <w:lang w:val="el-GR"/>
        </w:rPr>
        <w:t>Έχετε παρουσιάσει συμπτώματα αγγειακού εγκεφαλικού επεισοδίου που υποχωρούν μέσα σε σύντομο χρονικό διάστημα (γνωστό και ως παροδικό ισχαιμικό επεισόδιο) ή ισχαιμικό αγγειακό εγκεφαλικό επεισόδιο ήπιας βαρύτητας. Μπορεί επίσης να σας χορηγηθεί ακετυλοσαλικυλικό οξύ από τον γιατρό σας ξεκινώντας μέσα στις πρώτες 24 ώρες.</w:t>
      </w:r>
      <w:bookmarkEnd w:id="28"/>
    </w:p>
    <w:p>
      <w:pPr>
        <w:widowControl w:val="0"/>
        <w:numPr>
          <w:ilvl w:val="0"/>
          <w:numId w:val="4"/>
        </w:numPr>
        <w:tabs>
          <w:tab w:val="clear" w:pos="567"/>
          <w:tab w:val="clear" w:pos="780"/>
        </w:tabs>
        <w:spacing w:line="240" w:lineRule="auto"/>
        <w:ind w:left="567" w:hanging="567"/>
        <w:rPr>
          <w:noProof/>
          <w:szCs w:val="22"/>
          <w:lang w:val="el-GR"/>
        </w:rPr>
      </w:pPr>
      <w:r>
        <w:rPr>
          <w:szCs w:val="22"/>
          <w:lang w:val="el-GR"/>
        </w:rPr>
        <w:t xml:space="preserve">Έχετε μη κανονικό καρδιακό ρυθμό, μια κατάσταση που ονομάζεται «κολπική μαρμαρυγή», και δεν μπορείτε να πάρετε φάρμακα που είναι γνωστά ως «από του στόματος αντιπηκτικά» (ανταγωνιστές βιταμίνης Κ), τα οποία προλαμβάνουν τη δημιουργία </w:t>
      </w:r>
      <w:bookmarkEnd w:id="27"/>
      <w:r>
        <w:rPr>
          <w:szCs w:val="22"/>
          <w:lang w:val="el-GR"/>
        </w:rPr>
        <w:t xml:space="preserve">νέων θρόμβων και εμποδίζουν τους υπάρχοντες θρόμβους να αυξηθούν. Πρέπει να έχετε ενημερωθεί ότι τα «από του στόματος αντιπηκτικά» είναι πιο αποτελεσματικά από το ακετυλοσαλικυλικό οξύ ή τη συνδυασμένη χρήση του </w:t>
      </w:r>
      <w:r>
        <w:rPr>
          <w:szCs w:val="22"/>
          <w:lang w:val="sl-SI"/>
        </w:rPr>
        <w:t>Zyllt</w:t>
      </w:r>
      <w:r>
        <w:rPr>
          <w:szCs w:val="22"/>
          <w:lang w:val="el-GR"/>
        </w:rPr>
        <w:t xml:space="preserve"> και του ακετυλοσαλικυλικού οξέος γι’ αυτή την πάθηση. Ο γιατρός σας πρέπει να σας έχει συνταγογραφήσει το </w:t>
      </w:r>
      <w:r>
        <w:rPr>
          <w:szCs w:val="22"/>
          <w:lang w:val="en-US"/>
        </w:rPr>
        <w:t>Zyllt</w:t>
      </w:r>
      <w:r>
        <w:rPr>
          <w:szCs w:val="22"/>
          <w:lang w:val="el-GR"/>
        </w:rPr>
        <w:t xml:space="preserve"> μαζί με ακετυλοσαλικυλικό οξύ εάν δεν μπορείτε να πάρετε «από του στόματος αντιπηκτικά» και δεν διατρέχετε κίνδυνο σοβαρής αιμορραγίας.</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b/>
          <w:caps/>
          <w:noProof/>
          <w:szCs w:val="22"/>
          <w:lang w:val="el-GR"/>
        </w:rPr>
      </w:pPr>
      <w:r>
        <w:rPr>
          <w:b/>
          <w:noProof/>
          <w:szCs w:val="22"/>
          <w:lang w:val="el-GR"/>
        </w:rPr>
        <w:t>2.</w:t>
      </w:r>
      <w:r>
        <w:rPr>
          <w:b/>
          <w:noProof/>
          <w:szCs w:val="22"/>
          <w:lang w:val="el-GR"/>
        </w:rPr>
        <w:tab/>
        <w:t xml:space="preserve">Τι </w:t>
      </w:r>
      <w:r>
        <w:rPr>
          <w:b/>
          <w:bCs/>
          <w:color w:val="000000"/>
          <w:szCs w:val="22"/>
          <w:lang w:val="el-GR" w:eastAsia="es-ES"/>
        </w:rPr>
        <w:t xml:space="preserve">πρέπει </w:t>
      </w:r>
      <w:r>
        <w:rPr>
          <w:b/>
          <w:noProof/>
          <w:szCs w:val="22"/>
          <w:lang w:val="el-GR"/>
        </w:rPr>
        <w:t xml:space="preserve">να </w:t>
      </w:r>
      <w:r>
        <w:rPr>
          <w:b/>
          <w:bCs/>
          <w:color w:val="000000"/>
          <w:szCs w:val="22"/>
          <w:lang w:val="el-GR" w:eastAsia="es-ES"/>
        </w:rPr>
        <w:t xml:space="preserve">γνωρίζετε </w:t>
      </w:r>
      <w:r>
        <w:rPr>
          <w:b/>
          <w:noProof/>
          <w:szCs w:val="22"/>
          <w:lang w:val="el-GR"/>
        </w:rPr>
        <w:t xml:space="preserve">πριν </w:t>
      </w:r>
      <w:r>
        <w:rPr>
          <w:b/>
          <w:bCs/>
          <w:color w:val="000000"/>
          <w:szCs w:val="22"/>
          <w:lang w:val="el-GR" w:eastAsia="es-ES"/>
        </w:rPr>
        <w:t xml:space="preserve">πάρετε </w:t>
      </w:r>
      <w:r>
        <w:rPr>
          <w:b/>
          <w:noProof/>
          <w:szCs w:val="22"/>
          <w:lang w:val="el-GR"/>
        </w:rPr>
        <w:t xml:space="preserve">το </w:t>
      </w:r>
      <w:r>
        <w:rPr>
          <w:b/>
          <w:noProof/>
          <w:szCs w:val="22"/>
          <w:lang w:val="sl-SI"/>
        </w:rPr>
        <w:t>Z</w:t>
      </w:r>
      <w:r>
        <w:rPr>
          <w:b/>
          <w:noProof/>
          <w:szCs w:val="22"/>
          <w:lang w:val="el-GR"/>
        </w:rPr>
        <w:t>yllt</w:t>
      </w:r>
    </w:p>
    <w:p>
      <w:pPr>
        <w:widowControl w:val="0"/>
        <w:spacing w:line="240" w:lineRule="auto"/>
        <w:rPr>
          <w:noProof/>
          <w:szCs w:val="22"/>
          <w:lang w:val="el-GR"/>
        </w:rPr>
      </w:pPr>
    </w:p>
    <w:p>
      <w:pPr>
        <w:widowControl w:val="0"/>
        <w:spacing w:line="240" w:lineRule="auto"/>
        <w:rPr>
          <w:b/>
          <w:noProof/>
          <w:szCs w:val="22"/>
          <w:lang w:val="el-GR"/>
        </w:rPr>
      </w:pPr>
      <w:r>
        <w:rPr>
          <w:b/>
          <w:noProof/>
          <w:szCs w:val="22"/>
          <w:lang w:val="el-GR"/>
        </w:rPr>
        <w:t>Μην πάρετε το Zyllt</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σε περίπτωση αλλεργίας (υπερευαισθησίας) στην κλοπιδογρέλη ή σε οποιοδήποτε άλλο από τα συστατικά αυτού του φαρμάκου (αναφέρονται στην παράγραφο 6).</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εάν έχετε μία ιατρική πάθηση που προκαλεί ενεργή αιμορραγία όπως έλκος στομάχου ή εγκεφαλική αιμορραγία</w:t>
      </w:r>
      <w:r>
        <w:rPr>
          <w:color w:val="000000"/>
          <w:szCs w:val="22"/>
          <w:lang w:val="sl-SI"/>
        </w:rPr>
        <w:t>.</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εάν πάσχετε από σοβαρή ηπατική νόσο.</w:t>
      </w:r>
    </w:p>
    <w:p>
      <w:pPr>
        <w:widowControl w:val="0"/>
        <w:tabs>
          <w:tab w:val="clear" w:pos="567"/>
        </w:tabs>
        <w:autoSpaceDE w:val="0"/>
        <w:autoSpaceDN w:val="0"/>
        <w:adjustRightInd w:val="0"/>
        <w:spacing w:line="240" w:lineRule="auto"/>
        <w:rPr>
          <w:color w:val="000000"/>
          <w:lang w:val="sl-SI"/>
        </w:rPr>
      </w:pPr>
    </w:p>
    <w:p>
      <w:pPr>
        <w:widowControl w:val="0"/>
        <w:autoSpaceDE w:val="0"/>
        <w:autoSpaceDN w:val="0"/>
        <w:adjustRightInd w:val="0"/>
        <w:spacing w:line="240" w:lineRule="auto"/>
        <w:rPr>
          <w:color w:val="000000"/>
          <w:szCs w:val="22"/>
          <w:lang w:val="el-GR"/>
        </w:rPr>
      </w:pPr>
      <w:r>
        <w:rPr>
          <w:color w:val="000000"/>
          <w:szCs w:val="22"/>
          <w:lang w:val="el-GR"/>
        </w:rPr>
        <w:t xml:space="preserve">Εάν νομίζετε ότι οποιοδήποτε από αυτά σας αφορά ή εάν έχετε την παραμικρή αμφιβολία, συμβουλευθείτε τον γιατρό σας πριν πάρετε το </w:t>
      </w:r>
      <w:r>
        <w:rPr>
          <w:noProof/>
          <w:szCs w:val="22"/>
          <w:lang w:val="el-GR"/>
        </w:rPr>
        <w:t>Zyllt</w:t>
      </w:r>
      <w:r>
        <w:rPr>
          <w:color w:val="000000"/>
          <w:szCs w:val="22"/>
          <w:lang w:val="el-GR"/>
        </w:rPr>
        <w:t>.</w:t>
      </w:r>
    </w:p>
    <w:p>
      <w:pPr>
        <w:widowControl w:val="0"/>
        <w:spacing w:line="240" w:lineRule="auto"/>
        <w:rPr>
          <w:noProof/>
          <w:szCs w:val="22"/>
          <w:lang w:val="el-GR"/>
        </w:rPr>
      </w:pPr>
    </w:p>
    <w:p>
      <w:pPr>
        <w:widowControl w:val="0"/>
        <w:spacing w:line="240" w:lineRule="auto"/>
        <w:rPr>
          <w:b/>
          <w:bCs/>
          <w:color w:val="000000"/>
          <w:szCs w:val="22"/>
          <w:lang w:val="el-GR"/>
        </w:rPr>
      </w:pPr>
      <w:r>
        <w:rPr>
          <w:b/>
          <w:szCs w:val="22"/>
          <w:lang w:val="el-GR"/>
        </w:rPr>
        <w:t>Προειδοποιήσεις και προφυλάξεις</w:t>
      </w:r>
    </w:p>
    <w:p>
      <w:pPr>
        <w:widowControl w:val="0"/>
        <w:autoSpaceDE w:val="0"/>
        <w:autoSpaceDN w:val="0"/>
        <w:adjustRightInd w:val="0"/>
        <w:spacing w:line="240" w:lineRule="auto"/>
        <w:rPr>
          <w:color w:val="000000"/>
          <w:szCs w:val="22"/>
          <w:lang w:val="el-GR"/>
        </w:rPr>
      </w:pPr>
      <w:r>
        <w:rPr>
          <w:color w:val="000000"/>
          <w:szCs w:val="22"/>
          <w:lang w:val="el-GR"/>
        </w:rPr>
        <w:t xml:space="preserve">Εάν οποιαδήποτε από τις πιο κάτω αναφερόμενες καταστάσεις ισχύει για σας, θα πρέπει να ενημερώσετε τον γιατρό σας πριν πάρετε το </w:t>
      </w:r>
      <w:r>
        <w:rPr>
          <w:noProof/>
          <w:szCs w:val="22"/>
          <w:lang w:val="el-GR"/>
        </w:rPr>
        <w:t>Zyllt</w:t>
      </w:r>
      <w:r>
        <w:rPr>
          <w:color w:val="000000"/>
          <w:szCs w:val="22"/>
          <w:lang w:val="el-GR"/>
        </w:rPr>
        <w:t>:</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εάν υπάρχει κίνδυνος αιμορραγίας όπως:</w:t>
      </w:r>
    </w:p>
    <w:p>
      <w:pPr>
        <w:widowControl w:val="0"/>
        <w:numPr>
          <w:ilvl w:val="0"/>
          <w:numId w:val="42"/>
        </w:numPr>
        <w:tabs>
          <w:tab w:val="clear" w:pos="567"/>
        </w:tabs>
        <w:autoSpaceDE w:val="0"/>
        <w:autoSpaceDN w:val="0"/>
        <w:adjustRightInd w:val="0"/>
        <w:spacing w:line="240" w:lineRule="auto"/>
        <w:ind w:left="1276" w:hanging="567"/>
        <w:rPr>
          <w:color w:val="000000"/>
          <w:szCs w:val="22"/>
          <w:lang w:val="el-GR"/>
        </w:rPr>
      </w:pPr>
      <w:r>
        <w:rPr>
          <w:color w:val="000000"/>
          <w:szCs w:val="22"/>
          <w:lang w:val="el-GR"/>
        </w:rPr>
        <w:t>μια πάθηση που σας θέτει σε κίνδυνο εσωτερικής αιμορραγίας (όπως έλκος στομάχου)</w:t>
      </w:r>
    </w:p>
    <w:p>
      <w:pPr>
        <w:widowControl w:val="0"/>
        <w:numPr>
          <w:ilvl w:val="0"/>
          <w:numId w:val="42"/>
        </w:numPr>
        <w:tabs>
          <w:tab w:val="clear" w:pos="567"/>
        </w:tabs>
        <w:autoSpaceDE w:val="0"/>
        <w:autoSpaceDN w:val="0"/>
        <w:adjustRightInd w:val="0"/>
        <w:spacing w:line="240" w:lineRule="auto"/>
        <w:ind w:left="1276" w:hanging="567"/>
        <w:rPr>
          <w:color w:val="000000"/>
          <w:szCs w:val="22"/>
          <w:lang w:val="el-GR"/>
        </w:rPr>
      </w:pPr>
      <w:r>
        <w:rPr>
          <w:color w:val="000000"/>
          <w:szCs w:val="22"/>
          <w:lang w:val="el-GR"/>
        </w:rPr>
        <w:t>αιματολογική διαταραχή εξ’ αιτίας της οποίας έχετε προδιάθεση για εσωτερικές αιμορραγίες (αιμορραγίες στο εσωτερικό οποιωνδήποτε ιστών, οργάνων ή αρθρώσεων του σώματός σας)</w:t>
      </w:r>
    </w:p>
    <w:p>
      <w:pPr>
        <w:widowControl w:val="0"/>
        <w:numPr>
          <w:ilvl w:val="0"/>
          <w:numId w:val="42"/>
        </w:numPr>
        <w:tabs>
          <w:tab w:val="clear" w:pos="567"/>
        </w:tabs>
        <w:autoSpaceDE w:val="0"/>
        <w:autoSpaceDN w:val="0"/>
        <w:adjustRightInd w:val="0"/>
        <w:spacing w:line="240" w:lineRule="auto"/>
        <w:ind w:left="1276" w:hanging="567"/>
        <w:rPr>
          <w:color w:val="000000"/>
          <w:szCs w:val="22"/>
          <w:lang w:val="el-GR"/>
        </w:rPr>
      </w:pPr>
      <w:r>
        <w:rPr>
          <w:color w:val="000000"/>
          <w:szCs w:val="22"/>
          <w:lang w:val="el-GR"/>
        </w:rPr>
        <w:t>πρόσφατος σοβαρός τραυματισμός</w:t>
      </w:r>
    </w:p>
    <w:p>
      <w:pPr>
        <w:widowControl w:val="0"/>
        <w:numPr>
          <w:ilvl w:val="0"/>
          <w:numId w:val="42"/>
        </w:numPr>
        <w:tabs>
          <w:tab w:val="clear" w:pos="567"/>
        </w:tabs>
        <w:autoSpaceDE w:val="0"/>
        <w:autoSpaceDN w:val="0"/>
        <w:adjustRightInd w:val="0"/>
        <w:spacing w:line="240" w:lineRule="auto"/>
        <w:ind w:left="1276" w:hanging="567"/>
        <w:rPr>
          <w:color w:val="000000"/>
          <w:szCs w:val="22"/>
          <w:lang w:val="el-GR"/>
        </w:rPr>
      </w:pPr>
      <w:r>
        <w:rPr>
          <w:color w:val="000000"/>
          <w:szCs w:val="22"/>
          <w:lang w:val="el-GR"/>
        </w:rPr>
        <w:t>πρόσφατη χειρουργική επέμβαση (συμπεριλαμβανομένων και των οδοντιατρικών επεμβάσεων)</w:t>
      </w:r>
    </w:p>
    <w:p>
      <w:pPr>
        <w:widowControl w:val="0"/>
        <w:numPr>
          <w:ilvl w:val="0"/>
          <w:numId w:val="42"/>
        </w:numPr>
        <w:tabs>
          <w:tab w:val="clear" w:pos="567"/>
        </w:tabs>
        <w:autoSpaceDE w:val="0"/>
        <w:autoSpaceDN w:val="0"/>
        <w:adjustRightInd w:val="0"/>
        <w:spacing w:line="240" w:lineRule="auto"/>
        <w:ind w:left="1276" w:hanging="567"/>
        <w:rPr>
          <w:color w:val="000000"/>
          <w:szCs w:val="22"/>
          <w:lang w:val="el-GR"/>
        </w:rPr>
      </w:pPr>
      <w:r>
        <w:rPr>
          <w:color w:val="000000"/>
          <w:szCs w:val="22"/>
          <w:lang w:val="el-GR"/>
        </w:rPr>
        <w:t>προγραμματισμένη χειρουργική επέμβαση (συμπεριλαμβανομένων και των οδοντιατρικών επεμβάσεων) μέσα στις επόμενες επτά ημέρες</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εάν είχε σχηματιστεί θρόμβος σε κάποια αρτηρία του εγκεφάλου σας (ισχαιμικό αγγειακό εγκεφαλικό επεισόδιο) το οποίο συνέβη κατά τη διάρκεια των τελευταίων επτά ημερών</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εάν πάσχετε από νόσο των νεφρών ή του ήπατος.</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color w:val="000000"/>
          <w:szCs w:val="22"/>
          <w:lang w:val="el-GR"/>
        </w:rPr>
        <w:t>εάν είχατε αλλεργία ή αντίδραση σε οποιοδήποτε φάρμακο που χρησιμοποιείτε για να αντιμετωπίσετε την ασθένειά σας.</w:t>
      </w:r>
    </w:p>
    <w:p>
      <w:pPr>
        <w:widowControl w:val="0"/>
        <w:numPr>
          <w:ilvl w:val="0"/>
          <w:numId w:val="4"/>
        </w:numPr>
        <w:tabs>
          <w:tab w:val="clear" w:pos="567"/>
          <w:tab w:val="clear" w:pos="780"/>
        </w:tabs>
        <w:autoSpaceDE w:val="0"/>
        <w:autoSpaceDN w:val="0"/>
        <w:adjustRightInd w:val="0"/>
        <w:spacing w:line="240" w:lineRule="auto"/>
        <w:ind w:left="567" w:hanging="567"/>
        <w:rPr>
          <w:color w:val="000000"/>
          <w:szCs w:val="22"/>
          <w:lang w:val="el-GR"/>
        </w:rPr>
      </w:pPr>
      <w:r>
        <w:rPr>
          <w:lang w:val="el-GR"/>
        </w:rPr>
        <w:t>εάν είχατε προηγούμενο ιατρικό ιστορικό εγκεφαλικής αιμορραγίας που δεν οφειλόταν σε τραυματισμό.</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Ενόσω παίρνετε το </w:t>
      </w:r>
      <w:r>
        <w:rPr>
          <w:noProof/>
          <w:szCs w:val="22"/>
          <w:lang w:val="el-GR"/>
        </w:rPr>
        <w:t>Zyllt</w:t>
      </w:r>
      <w:r>
        <w:rPr>
          <w:color w:val="000000"/>
          <w:szCs w:val="22"/>
          <w:lang w:val="el-GR"/>
        </w:rPr>
        <w:t>:</w:t>
      </w:r>
    </w:p>
    <w:p>
      <w:pPr>
        <w:widowControl w:val="0"/>
        <w:numPr>
          <w:ilvl w:val="0"/>
          <w:numId w:val="6"/>
        </w:numPr>
        <w:tabs>
          <w:tab w:val="clear" w:pos="567"/>
          <w:tab w:val="clear" w:pos="720"/>
        </w:tabs>
        <w:autoSpaceDE w:val="0"/>
        <w:autoSpaceDN w:val="0"/>
        <w:adjustRightInd w:val="0"/>
        <w:spacing w:line="240" w:lineRule="auto"/>
        <w:ind w:hanging="567"/>
        <w:rPr>
          <w:color w:val="000000"/>
          <w:szCs w:val="22"/>
          <w:lang w:val="el-GR"/>
        </w:rPr>
      </w:pPr>
      <w:r>
        <w:rPr>
          <w:color w:val="000000"/>
          <w:szCs w:val="22"/>
          <w:lang w:val="el-GR"/>
        </w:rPr>
        <w:t>Θα πρέπει να ενημερώσετε τον γιατρό σας εάν έχει προγραμματιστεί κάποια χειρουργική επέμβαση (συμπεριλαμβανομένης της οδοντιατρικής επέμβασης).</w:t>
      </w:r>
    </w:p>
    <w:p>
      <w:pPr>
        <w:widowControl w:val="0"/>
        <w:numPr>
          <w:ilvl w:val="0"/>
          <w:numId w:val="6"/>
        </w:numPr>
        <w:tabs>
          <w:tab w:val="clear" w:pos="567"/>
          <w:tab w:val="clear" w:pos="720"/>
        </w:tabs>
        <w:autoSpaceDE w:val="0"/>
        <w:autoSpaceDN w:val="0"/>
        <w:adjustRightInd w:val="0"/>
        <w:spacing w:line="240" w:lineRule="auto"/>
        <w:ind w:hanging="567"/>
        <w:rPr>
          <w:color w:val="000000"/>
          <w:szCs w:val="22"/>
          <w:lang w:val="el-GR"/>
        </w:rPr>
      </w:pPr>
      <w:r>
        <w:rPr>
          <w:color w:val="000000"/>
          <w:szCs w:val="22"/>
          <w:lang w:val="el-GR"/>
        </w:rPr>
        <w:t xml:space="preserve">Θα πρέπει επίσης να ενημερώσετε τον γιατρό σας αμέσως εάν παρουσιάσετε μία ιατρική κατάσταση </w:t>
      </w:r>
      <w:r>
        <w:rPr>
          <w:szCs w:val="22"/>
          <w:lang w:val="el-GR"/>
        </w:rPr>
        <w:t xml:space="preserve">(επίσης γνωστή ως Θρομβωτική Θρομβοπενική Πορφύρα ή TTP) </w:t>
      </w:r>
      <w:r>
        <w:rPr>
          <w:color w:val="000000"/>
          <w:szCs w:val="22"/>
          <w:lang w:val="el-GR"/>
        </w:rPr>
        <w:t xml:space="preserve">που περιλαμβάνει πυρετό και μώλωπες κάτω από το δέρμα που μπορεί να εμφανιστούν ως ερυθρές κηλίδες, με ή χωρίς ανεξήγητη υπερβολική κόπωση, σύγχυση, κίτρινη απόχρωση του δέρματος ή των ματιών (ίκτερος) (βλ. </w:t>
      </w:r>
      <w:r>
        <w:rPr>
          <w:szCs w:val="22"/>
          <w:lang w:val="el-GR"/>
        </w:rPr>
        <w:t>παράγραφο 4</w:t>
      </w:r>
      <w:r>
        <w:rPr>
          <w:color w:val="000000"/>
          <w:szCs w:val="22"/>
          <w:lang w:val="el-GR"/>
        </w:rPr>
        <w:t xml:space="preserve"> «</w:t>
      </w:r>
      <w:r>
        <w:rPr>
          <w:color w:val="000000"/>
          <w:szCs w:val="22"/>
          <w:lang w:val="el-GR" w:eastAsia="es-ES"/>
        </w:rPr>
        <w:t>Πιθανές ανεπιθύμητες ενέργειες</w:t>
      </w:r>
      <w:r>
        <w:rPr>
          <w:color w:val="000000"/>
          <w:szCs w:val="22"/>
          <w:lang w:val="el-GR"/>
        </w:rPr>
        <w:t>»).</w:t>
      </w:r>
    </w:p>
    <w:p>
      <w:pPr>
        <w:widowControl w:val="0"/>
        <w:numPr>
          <w:ilvl w:val="0"/>
          <w:numId w:val="6"/>
        </w:numPr>
        <w:tabs>
          <w:tab w:val="clear" w:pos="567"/>
          <w:tab w:val="clear" w:pos="720"/>
        </w:tabs>
        <w:autoSpaceDE w:val="0"/>
        <w:autoSpaceDN w:val="0"/>
        <w:adjustRightInd w:val="0"/>
        <w:spacing w:line="240" w:lineRule="auto"/>
        <w:ind w:hanging="567"/>
        <w:rPr>
          <w:color w:val="000000"/>
          <w:szCs w:val="22"/>
          <w:lang w:val="el-GR"/>
        </w:rPr>
      </w:pPr>
      <w:r>
        <w:rPr>
          <w:color w:val="000000"/>
          <w:szCs w:val="22"/>
          <w:lang w:val="el-GR"/>
        </w:rPr>
        <w:t xml:space="preserve">Εάν κοπείτε ή τραυματιστείτε, ίσως χρειαστεί περισσότερος από το συνηθισμένο χρόνος για να σταματήσει η αιμορραγία. Αυτό σχετίζεται με τον τρόπο δράσης του φαρμάκου αφού εμποδίζει τη δυνατότητα δημιουργίας θρόμβου. Για μικρής σημασίας κοψίματα και τραυματισμούς, π.χ. εάν κοπείτε, κατά το ξύρισμα, συνήθως δεν υπάρχει πρόβλημα. Παρόλα αυτά, εάν ανησυχείτε λόγω της αιμορραγίας σας, θα πρέπει να επικοινωνήσετε με τον γιατρό σας αμέσως (βλ. </w:t>
      </w:r>
      <w:r>
        <w:rPr>
          <w:szCs w:val="22"/>
          <w:lang w:val="el-GR"/>
        </w:rPr>
        <w:t>παράγραφο 4</w:t>
      </w:r>
      <w:r>
        <w:rPr>
          <w:color w:val="000000"/>
          <w:szCs w:val="22"/>
          <w:lang w:val="el-GR"/>
        </w:rPr>
        <w:t xml:space="preserve"> «</w:t>
      </w:r>
      <w:r>
        <w:rPr>
          <w:color w:val="000000"/>
          <w:szCs w:val="22"/>
          <w:lang w:val="el-GR" w:eastAsia="es-ES"/>
        </w:rPr>
        <w:t>Πιθανές ανεπιθύμητες ενέργειες</w:t>
      </w:r>
      <w:r>
        <w:rPr>
          <w:color w:val="000000"/>
          <w:szCs w:val="22"/>
          <w:lang w:val="el-GR"/>
        </w:rPr>
        <w:t>»).</w:t>
      </w:r>
    </w:p>
    <w:p>
      <w:pPr>
        <w:widowControl w:val="0"/>
        <w:numPr>
          <w:ilvl w:val="0"/>
          <w:numId w:val="6"/>
        </w:numPr>
        <w:tabs>
          <w:tab w:val="clear" w:pos="567"/>
          <w:tab w:val="clear" w:pos="720"/>
        </w:tabs>
        <w:autoSpaceDE w:val="0"/>
        <w:autoSpaceDN w:val="0"/>
        <w:adjustRightInd w:val="0"/>
        <w:spacing w:line="240" w:lineRule="auto"/>
        <w:ind w:hanging="567"/>
        <w:rPr>
          <w:color w:val="000000"/>
          <w:szCs w:val="22"/>
          <w:lang w:val="el-GR"/>
        </w:rPr>
      </w:pPr>
      <w:r>
        <w:rPr>
          <w:color w:val="000000"/>
          <w:szCs w:val="22"/>
          <w:lang w:val="el-GR"/>
        </w:rPr>
        <w:t>Ο γιατρός σας μπορεί να ζητήσει εξετάσεις αίματος.</w:t>
      </w:r>
    </w:p>
    <w:p>
      <w:pPr>
        <w:widowControl w:val="0"/>
        <w:autoSpaceDE w:val="0"/>
        <w:autoSpaceDN w:val="0"/>
        <w:adjustRightInd w:val="0"/>
        <w:spacing w:line="240" w:lineRule="auto"/>
        <w:rPr>
          <w:color w:val="000000"/>
          <w:szCs w:val="22"/>
          <w:lang w:val="el-GR"/>
        </w:rPr>
      </w:pPr>
    </w:p>
    <w:p>
      <w:pPr>
        <w:widowControl w:val="0"/>
        <w:numPr>
          <w:ilvl w:val="12"/>
          <w:numId w:val="0"/>
        </w:numPr>
        <w:spacing w:line="240" w:lineRule="auto"/>
        <w:rPr>
          <w:b/>
          <w:szCs w:val="22"/>
          <w:lang w:val="el-GR"/>
        </w:rPr>
      </w:pPr>
      <w:r>
        <w:rPr>
          <w:b/>
          <w:szCs w:val="22"/>
          <w:lang w:val="el-GR"/>
        </w:rPr>
        <w:t>Παιδιά και έφηβοι</w:t>
      </w:r>
    </w:p>
    <w:p>
      <w:pPr>
        <w:widowControl w:val="0"/>
        <w:autoSpaceDE w:val="0"/>
        <w:autoSpaceDN w:val="0"/>
        <w:adjustRightInd w:val="0"/>
        <w:spacing w:line="240" w:lineRule="auto"/>
        <w:rPr>
          <w:color w:val="000000"/>
          <w:szCs w:val="22"/>
          <w:lang w:val="el-GR"/>
        </w:rPr>
      </w:pPr>
      <w:r>
        <w:rPr>
          <w:szCs w:val="22"/>
          <w:lang w:val="el-GR"/>
        </w:rPr>
        <w:t>Μην δίνετε αυτό το φάρμακο στα παιδιά επειδή δεν έχει δράση.</w:t>
      </w:r>
    </w:p>
    <w:p>
      <w:pPr>
        <w:widowControl w:val="0"/>
        <w:spacing w:line="240" w:lineRule="auto"/>
        <w:rPr>
          <w:b/>
          <w:bCs/>
          <w:noProof/>
          <w:szCs w:val="22"/>
          <w:lang w:val="el-GR"/>
        </w:rPr>
      </w:pPr>
    </w:p>
    <w:p>
      <w:pPr>
        <w:widowControl w:val="0"/>
        <w:numPr>
          <w:ilvl w:val="12"/>
          <w:numId w:val="0"/>
        </w:numPr>
        <w:spacing w:line="240" w:lineRule="auto"/>
        <w:rPr>
          <w:b/>
          <w:szCs w:val="22"/>
          <w:lang w:val="sl-SI"/>
        </w:rPr>
      </w:pPr>
      <w:r>
        <w:rPr>
          <w:b/>
          <w:szCs w:val="22"/>
          <w:lang w:val="el-GR"/>
        </w:rPr>
        <w:t>Άλλα φάρμακα και</w:t>
      </w:r>
      <w:r>
        <w:rPr>
          <w:b/>
          <w:szCs w:val="22"/>
          <w:lang w:val="sl-SI"/>
        </w:rPr>
        <w:t xml:space="preserve"> Zyllt</w:t>
      </w:r>
    </w:p>
    <w:p>
      <w:pPr>
        <w:widowControl w:val="0"/>
        <w:numPr>
          <w:ilvl w:val="12"/>
          <w:numId w:val="0"/>
        </w:numPr>
        <w:spacing w:line="240" w:lineRule="auto"/>
        <w:rPr>
          <w:szCs w:val="22"/>
          <w:lang w:val="el-GR"/>
        </w:rPr>
      </w:pPr>
      <w:r>
        <w:rPr>
          <w:szCs w:val="22"/>
          <w:lang w:val="sl-SI"/>
        </w:rPr>
        <w:t>E</w:t>
      </w:r>
      <w:r>
        <w:rPr>
          <w:szCs w:val="22"/>
          <w:lang w:val="el-GR"/>
        </w:rPr>
        <w:t>νημερώστε τον γιατρό ή τον φαρμακοποιό σας εάν παίρνετε, έχετε πρόσφατα πάρει ή μπορεί να πάρετε άλλα φάρμακα, ακόμα και αυτά που δεν σας έχουν χορηγηθεί με συνταγή.</w:t>
      </w:r>
    </w:p>
    <w:p>
      <w:pPr>
        <w:widowControl w:val="0"/>
        <w:tabs>
          <w:tab w:val="clear" w:pos="567"/>
          <w:tab w:val="left" w:pos="0"/>
        </w:tabs>
        <w:spacing w:line="240" w:lineRule="auto"/>
        <w:rPr>
          <w:szCs w:val="22"/>
          <w:lang w:val="el-GR"/>
        </w:rPr>
      </w:pPr>
      <w:r>
        <w:rPr>
          <w:szCs w:val="22"/>
          <w:lang w:val="el-GR"/>
        </w:rPr>
        <w:t xml:space="preserve">Κάποια άλλα φάρμακα μπορεί να επηρεάσουν τη χρήση του </w:t>
      </w:r>
      <w:r>
        <w:rPr>
          <w:szCs w:val="22"/>
          <w:lang w:val="en-US"/>
        </w:rPr>
        <w:t>Zyllt</w:t>
      </w:r>
      <w:r>
        <w:rPr>
          <w:szCs w:val="22"/>
          <w:lang w:val="el-GR"/>
        </w:rPr>
        <w:t xml:space="preserve"> ή αντίστροφα.</w:t>
      </w:r>
    </w:p>
    <w:p>
      <w:pPr>
        <w:widowControl w:val="0"/>
        <w:autoSpaceDE w:val="0"/>
        <w:autoSpaceDN w:val="0"/>
        <w:adjustRightInd w:val="0"/>
        <w:spacing w:line="240" w:lineRule="auto"/>
        <w:rPr>
          <w:color w:val="000000"/>
          <w:szCs w:val="22"/>
          <w:lang w:val="el-GR"/>
        </w:rPr>
      </w:pPr>
    </w:p>
    <w:p>
      <w:pPr>
        <w:widowControl w:val="0"/>
        <w:spacing w:line="240" w:lineRule="auto"/>
        <w:rPr>
          <w:szCs w:val="22"/>
          <w:lang w:val="el-GR"/>
        </w:rPr>
      </w:pPr>
      <w:r>
        <w:rPr>
          <w:szCs w:val="22"/>
          <w:lang w:val="el-GR"/>
        </w:rPr>
        <w:t>Ειδικότερα, θα πρέπει να ενημερώσετε τον γιατρό σας εάν λαμβάνετε</w:t>
      </w:r>
    </w:p>
    <w:p>
      <w:pPr>
        <w:widowControl w:val="0"/>
        <w:numPr>
          <w:ilvl w:val="0"/>
          <w:numId w:val="46"/>
        </w:numPr>
        <w:tabs>
          <w:tab w:val="clear" w:pos="567"/>
        </w:tabs>
        <w:spacing w:line="240" w:lineRule="auto"/>
        <w:ind w:left="567" w:hanging="567"/>
        <w:rPr>
          <w:lang w:val="el-GR"/>
        </w:rPr>
      </w:pPr>
      <w:r>
        <w:rPr>
          <w:lang w:val="el-GR"/>
        </w:rPr>
        <w:t>φάρμακα που ενδέχεται να αυξήσουν τον κίνδυνο αιμορραγίας όπως:</w:t>
      </w:r>
    </w:p>
    <w:p>
      <w:pPr>
        <w:widowControl w:val="0"/>
        <w:numPr>
          <w:ilvl w:val="1"/>
          <w:numId w:val="43"/>
        </w:numPr>
        <w:tabs>
          <w:tab w:val="clear" w:pos="567"/>
          <w:tab w:val="left" w:pos="993"/>
        </w:tabs>
        <w:spacing w:line="240" w:lineRule="auto"/>
        <w:ind w:left="993" w:hanging="426"/>
        <w:rPr>
          <w:szCs w:val="22"/>
          <w:lang w:val="el-GR"/>
        </w:rPr>
      </w:pPr>
      <w:r>
        <w:rPr>
          <w:szCs w:val="22"/>
          <w:lang w:val="el-GR"/>
        </w:rPr>
        <w:t>από στόματος αντιπηκτικά, φάρμακα που χρησιμοποιούνται για τη μείωση της πηκτικότητας του αίματος,</w:t>
      </w:r>
    </w:p>
    <w:p>
      <w:pPr>
        <w:widowControl w:val="0"/>
        <w:numPr>
          <w:ilvl w:val="1"/>
          <w:numId w:val="43"/>
        </w:numPr>
        <w:tabs>
          <w:tab w:val="clear" w:pos="567"/>
          <w:tab w:val="left" w:pos="993"/>
        </w:tabs>
        <w:spacing w:line="240" w:lineRule="auto"/>
        <w:ind w:left="993" w:hanging="426"/>
        <w:rPr>
          <w:szCs w:val="22"/>
          <w:lang w:val="el-GR"/>
        </w:rPr>
      </w:pPr>
      <w:r>
        <w:rPr>
          <w:szCs w:val="22"/>
          <w:lang w:val="el-GR"/>
        </w:rPr>
        <w:t>κάποιο μη στεροειδές αντιφλεγμονώδες φάρμακο, που χρησιμοποιείται συνήθως για τη θεραπεία επώδυνων και/ή φλεγμονωδών καταστάσεων των μυών ή των αρθρώσεων,</w:t>
      </w:r>
    </w:p>
    <w:p>
      <w:pPr>
        <w:widowControl w:val="0"/>
        <w:numPr>
          <w:ilvl w:val="1"/>
          <w:numId w:val="43"/>
        </w:numPr>
        <w:tabs>
          <w:tab w:val="clear" w:pos="567"/>
          <w:tab w:val="left" w:pos="993"/>
        </w:tabs>
        <w:spacing w:line="240" w:lineRule="auto"/>
        <w:ind w:left="993" w:hanging="426"/>
        <w:rPr>
          <w:szCs w:val="22"/>
          <w:lang w:val="el-GR"/>
        </w:rPr>
      </w:pPr>
      <w:r>
        <w:rPr>
          <w:szCs w:val="22"/>
          <w:lang w:val="el-GR"/>
        </w:rPr>
        <w:t>ηπαρίνη ή οποιοδήποτε άλλο ενέσιμο φάρμακο που χρησιμοποιείται για τη μείωση της πηκτικότητας του αίματος,</w:t>
      </w:r>
    </w:p>
    <w:p>
      <w:pPr>
        <w:widowControl w:val="0"/>
        <w:numPr>
          <w:ilvl w:val="1"/>
          <w:numId w:val="43"/>
        </w:numPr>
        <w:tabs>
          <w:tab w:val="clear" w:pos="567"/>
          <w:tab w:val="left" w:pos="993"/>
        </w:tabs>
        <w:spacing w:line="240" w:lineRule="auto"/>
        <w:ind w:left="993" w:hanging="426"/>
        <w:rPr>
          <w:szCs w:val="22"/>
          <w:lang w:val="el-GR"/>
        </w:rPr>
      </w:pPr>
      <w:r>
        <w:rPr>
          <w:szCs w:val="22"/>
          <w:lang w:val="el-GR"/>
        </w:rPr>
        <w:t>τικλοπιδίνη, ή άλλους αντιαιμοπεταλιακούς παράγοντες</w:t>
      </w:r>
      <w:r>
        <w:rPr>
          <w:szCs w:val="22"/>
          <w:lang w:val="sl-SI"/>
        </w:rPr>
        <w:t>,</w:t>
      </w:r>
    </w:p>
    <w:p>
      <w:pPr>
        <w:widowControl w:val="0"/>
        <w:numPr>
          <w:ilvl w:val="1"/>
          <w:numId w:val="43"/>
        </w:numPr>
        <w:tabs>
          <w:tab w:val="clear" w:pos="567"/>
          <w:tab w:val="left" w:pos="993"/>
        </w:tabs>
        <w:spacing w:line="240" w:lineRule="auto"/>
        <w:ind w:left="993" w:hanging="426"/>
        <w:rPr>
          <w:lang w:val="el-GR"/>
        </w:rPr>
      </w:pPr>
      <w:r>
        <w:rPr>
          <w:lang w:val="el-GR"/>
        </w:rPr>
        <w:t>έναν εκλεκτικό αναστολέα επαναπρόσληψης της σεροτονίνης (περιλαμβανομένων αλλά μη περιοριζόμενων στη φλουοξετίνη ή τη φλουβοξαμίνη), φάρμακα που χρησιμοποιούνται συνήθως για την αντιμετώπιση της κατάθλιψης,</w:t>
      </w:r>
    </w:p>
    <w:p>
      <w:pPr>
        <w:widowControl w:val="0"/>
        <w:numPr>
          <w:ilvl w:val="1"/>
          <w:numId w:val="43"/>
        </w:numPr>
        <w:tabs>
          <w:tab w:val="clear" w:pos="567"/>
          <w:tab w:val="left" w:pos="993"/>
        </w:tabs>
        <w:spacing w:line="240" w:lineRule="auto"/>
        <w:ind w:left="993" w:hanging="426"/>
        <w:rPr>
          <w:lang w:val="el-GR"/>
        </w:rPr>
      </w:pPr>
      <w:r>
        <w:rPr>
          <w:lang w:val="el-GR"/>
        </w:rPr>
        <w:t>ριφαμπικίνη (χρησιμοποιείται για τη θεραπεία σοβαρών μολύνσεων)</w:t>
      </w:r>
    </w:p>
    <w:p>
      <w:pPr>
        <w:widowControl w:val="0"/>
        <w:numPr>
          <w:ilvl w:val="0"/>
          <w:numId w:val="46"/>
        </w:numPr>
        <w:tabs>
          <w:tab w:val="clear" w:pos="567"/>
        </w:tabs>
        <w:spacing w:line="240" w:lineRule="auto"/>
        <w:ind w:left="567" w:hanging="567"/>
        <w:rPr>
          <w:szCs w:val="22"/>
          <w:lang w:val="el-GR"/>
        </w:rPr>
      </w:pPr>
      <w:r>
        <w:rPr>
          <w:szCs w:val="22"/>
          <w:lang w:val="el-GR"/>
        </w:rPr>
        <w:t xml:space="preserve">ομεπραζόλη </w:t>
      </w:r>
      <w:r>
        <w:rPr>
          <w:lang w:val="el-GR"/>
        </w:rPr>
        <w:t>ή</w:t>
      </w:r>
      <w:r>
        <w:rPr>
          <w:szCs w:val="22"/>
          <w:lang w:val="el-GR"/>
        </w:rPr>
        <w:t xml:space="preserve"> εσομεπραζόλη, φάρμακα για την αντιμετώπιση στομαχικών ενοχλήσεων,</w:t>
      </w:r>
    </w:p>
    <w:p>
      <w:pPr>
        <w:widowControl w:val="0"/>
        <w:numPr>
          <w:ilvl w:val="0"/>
          <w:numId w:val="46"/>
        </w:numPr>
        <w:tabs>
          <w:tab w:val="clear" w:pos="567"/>
        </w:tabs>
        <w:spacing w:line="240" w:lineRule="auto"/>
        <w:ind w:left="567" w:hanging="567"/>
        <w:rPr>
          <w:szCs w:val="22"/>
          <w:lang w:val="el-GR"/>
        </w:rPr>
      </w:pPr>
      <w:r>
        <w:rPr>
          <w:szCs w:val="22"/>
          <w:lang w:val="el-GR"/>
        </w:rPr>
        <w:t>φλουκοναζόλη</w:t>
      </w:r>
      <w:r>
        <w:rPr>
          <w:szCs w:val="22"/>
          <w:lang w:val="sl-SI"/>
        </w:rPr>
        <w:t xml:space="preserve"> </w:t>
      </w:r>
      <w:r>
        <w:rPr>
          <w:lang w:val="el-GR"/>
        </w:rPr>
        <w:t>ή</w:t>
      </w:r>
      <w:r>
        <w:rPr>
          <w:szCs w:val="22"/>
          <w:lang w:val="el-GR"/>
        </w:rPr>
        <w:t xml:space="preserve"> βορικοναζόλη, φάρμακα για την αντιμετώπιση μυκητιασικών λοιμώξεων,</w:t>
      </w:r>
    </w:p>
    <w:p>
      <w:pPr>
        <w:widowControl w:val="0"/>
        <w:numPr>
          <w:ilvl w:val="0"/>
          <w:numId w:val="46"/>
        </w:numPr>
        <w:tabs>
          <w:tab w:val="clear" w:pos="567"/>
        </w:tabs>
        <w:spacing w:line="240" w:lineRule="auto"/>
        <w:ind w:left="567" w:hanging="567"/>
        <w:rPr>
          <w:lang w:val="el-GR"/>
        </w:rPr>
      </w:pPr>
      <w:r>
        <w:rPr>
          <w:lang w:val="el-GR"/>
        </w:rPr>
        <w:t xml:space="preserve">εφαβιρένζη </w:t>
      </w:r>
      <w:bookmarkStart w:id="29" w:name="_Hlk31116452"/>
      <w:r>
        <w:rPr>
          <w:lang w:val="el-GR"/>
        </w:rPr>
        <w:t>ή άλλα αντιρετροϊκά</w:t>
      </w:r>
      <w:bookmarkEnd w:id="29"/>
      <w:r>
        <w:rPr>
          <w:lang w:val="el-GR"/>
        </w:rPr>
        <w:t xml:space="preserve"> φάρμακα (χρησιμοποιούνται για την αντιμετώπιση των λοιμώξεων του </w:t>
      </w:r>
      <w:r>
        <w:rPr>
          <w:lang w:val="en-US"/>
        </w:rPr>
        <w:t>HIV</w:t>
      </w:r>
      <w:r>
        <w:rPr>
          <w:lang w:val="el-GR"/>
        </w:rPr>
        <w:t>),</w:t>
      </w:r>
    </w:p>
    <w:p>
      <w:pPr>
        <w:widowControl w:val="0"/>
        <w:numPr>
          <w:ilvl w:val="0"/>
          <w:numId w:val="46"/>
        </w:numPr>
        <w:tabs>
          <w:tab w:val="clear" w:pos="567"/>
        </w:tabs>
        <w:spacing w:line="240" w:lineRule="auto"/>
        <w:ind w:left="567" w:hanging="567"/>
        <w:rPr>
          <w:szCs w:val="22"/>
          <w:lang w:val="el-GR"/>
        </w:rPr>
      </w:pPr>
      <w:r>
        <w:rPr>
          <w:szCs w:val="22"/>
          <w:lang w:val="el-GR"/>
        </w:rPr>
        <w:t>καρβαμαζεπίνη, φάρμακ</w:t>
      </w:r>
      <w:r>
        <w:rPr>
          <w:szCs w:val="22"/>
          <w:lang w:val="sl-SI"/>
        </w:rPr>
        <w:t>o</w:t>
      </w:r>
      <w:r>
        <w:rPr>
          <w:szCs w:val="22"/>
          <w:lang w:val="el-GR"/>
        </w:rPr>
        <w:t xml:space="preserve"> για την αντιμετώπιση ορισμένων μορφών επιληψίας,</w:t>
      </w:r>
    </w:p>
    <w:p>
      <w:pPr>
        <w:widowControl w:val="0"/>
        <w:numPr>
          <w:ilvl w:val="0"/>
          <w:numId w:val="46"/>
        </w:numPr>
        <w:tabs>
          <w:tab w:val="clear" w:pos="567"/>
        </w:tabs>
        <w:spacing w:line="240" w:lineRule="auto"/>
        <w:ind w:left="567" w:hanging="567"/>
        <w:rPr>
          <w:lang w:val="el-GR"/>
        </w:rPr>
      </w:pPr>
      <w:r>
        <w:rPr>
          <w:lang w:val="el-GR"/>
        </w:rPr>
        <w:t>μοκλοβεμίδη, φάρμακο για την αντιμετώπιση της κατάθλιψης</w:t>
      </w:r>
      <w:r>
        <w:rPr>
          <w:lang w:val="sl-SI"/>
        </w:rPr>
        <w:t>,</w:t>
      </w:r>
    </w:p>
    <w:p>
      <w:pPr>
        <w:widowControl w:val="0"/>
        <w:numPr>
          <w:ilvl w:val="0"/>
          <w:numId w:val="46"/>
        </w:numPr>
        <w:tabs>
          <w:tab w:val="clear" w:pos="567"/>
        </w:tabs>
        <w:spacing w:line="240" w:lineRule="auto"/>
        <w:ind w:left="567" w:hanging="567"/>
        <w:rPr>
          <w:lang w:val="el-GR"/>
        </w:rPr>
      </w:pPr>
      <w:r>
        <w:rPr>
          <w:lang w:val="el-GR"/>
        </w:rPr>
        <w:t>ρεπαγλινίδη, φάρμακο για την αντιμετώπιση του διαβήτη,</w:t>
      </w:r>
    </w:p>
    <w:p>
      <w:pPr>
        <w:widowControl w:val="0"/>
        <w:numPr>
          <w:ilvl w:val="0"/>
          <w:numId w:val="46"/>
        </w:numPr>
        <w:tabs>
          <w:tab w:val="clear" w:pos="567"/>
        </w:tabs>
        <w:spacing w:line="240" w:lineRule="auto"/>
        <w:ind w:left="567" w:hanging="567"/>
        <w:rPr>
          <w:lang w:val="el-GR"/>
        </w:rPr>
      </w:pPr>
      <w:r>
        <w:rPr>
          <w:lang w:val="el-GR"/>
        </w:rPr>
        <w:t>πακλιταξέλη, φάρμακο για την αντιμετώπιση του καρκίνου,</w:t>
      </w:r>
    </w:p>
    <w:p>
      <w:pPr>
        <w:widowControl w:val="0"/>
        <w:numPr>
          <w:ilvl w:val="0"/>
          <w:numId w:val="46"/>
        </w:numPr>
        <w:tabs>
          <w:tab w:val="clear" w:pos="567"/>
        </w:tabs>
        <w:spacing w:line="240" w:lineRule="auto"/>
        <w:ind w:left="567" w:hanging="567"/>
        <w:rPr>
          <w:lang w:val="el-GR"/>
        </w:rPr>
      </w:pPr>
      <w:r>
        <w:rPr>
          <w:lang w:val="el-GR"/>
        </w:rPr>
        <w:t>οπιοειδή:</w:t>
      </w:r>
      <w:r>
        <w:rPr>
          <w:color w:val="000000"/>
          <w:szCs w:val="22"/>
          <w:lang w:val="el-GR"/>
        </w:rPr>
        <w:t xml:space="preserve"> </w:t>
      </w:r>
      <w:bookmarkStart w:id="30" w:name="_Hlk31116509"/>
      <w:r>
        <w:rPr>
          <w:color w:val="000000"/>
          <w:szCs w:val="22"/>
          <w:lang w:val="el-GR"/>
        </w:rPr>
        <w:t>ενόσω λαμβάνετε θεραπεία με κλοπιδογρέλη, θα πρέπει να ενημερώσετε τον γιατρό σας πριν σας συνταγογραφηθεί οποιοδήποτε οπιοειδές (χρησιμοποιείται για την αντιμετώπιση του σοβαρού πόνου),</w:t>
      </w:r>
      <w:bookmarkEnd w:id="30"/>
    </w:p>
    <w:p>
      <w:pPr>
        <w:widowControl w:val="0"/>
        <w:numPr>
          <w:ilvl w:val="0"/>
          <w:numId w:val="46"/>
        </w:numPr>
        <w:tabs>
          <w:tab w:val="clear" w:pos="567"/>
        </w:tabs>
        <w:spacing w:line="240" w:lineRule="auto"/>
        <w:ind w:left="567" w:hanging="567"/>
        <w:rPr>
          <w:lang w:val="el-GR"/>
        </w:rPr>
      </w:pPr>
      <w:r>
        <w:rPr>
          <w:lang w:val="el-GR"/>
        </w:rPr>
        <w:t>ροσουβαστατίνη (χρησιμοποιείται για τη μείωση των επιπέδων της χοληστερόλης σας).</w:t>
      </w:r>
    </w:p>
    <w:p>
      <w:pPr>
        <w:widowControl w:val="0"/>
        <w:autoSpaceDE w:val="0"/>
        <w:autoSpaceDN w:val="0"/>
        <w:adjustRightInd w:val="0"/>
        <w:spacing w:line="240" w:lineRule="auto"/>
        <w:ind w:left="426" w:hanging="426"/>
        <w:rPr>
          <w:color w:val="000000"/>
          <w:szCs w:val="22"/>
          <w:lang w:val="el-GR"/>
        </w:rPr>
      </w:pPr>
    </w:p>
    <w:p>
      <w:pPr>
        <w:widowControl w:val="0"/>
        <w:autoSpaceDE w:val="0"/>
        <w:autoSpaceDN w:val="0"/>
        <w:adjustRightInd w:val="0"/>
        <w:spacing w:line="240" w:lineRule="auto"/>
        <w:rPr>
          <w:szCs w:val="22"/>
          <w:lang w:val="el-GR"/>
        </w:rPr>
      </w:pPr>
      <w:r>
        <w:rPr>
          <w:szCs w:val="22"/>
          <w:lang w:val="el-GR"/>
        </w:rPr>
        <w:t>Εάν έχετε εμφανίσει σοβαρό πόνο στο στήθος (ασταθή στηθάγχη ή καρδιακό επεισόδιο)</w:t>
      </w:r>
      <w:r>
        <w:rPr>
          <w:szCs w:val="22"/>
          <w:lang w:val="sl-SI"/>
        </w:rPr>
        <w:t xml:space="preserve">, </w:t>
      </w:r>
      <w:r>
        <w:rPr>
          <w:szCs w:val="22"/>
          <w:lang w:val="el-GR"/>
        </w:rPr>
        <w:t xml:space="preserve">παροδικό ισχαιμικό επεισόδιο ή ισχαιμικό αγγειακό εγκεφαλικό επεισόδιο ήπιας βαρύτητας, μπορεί να σας συνταγογραφηθεί </w:t>
      </w:r>
      <w:r>
        <w:rPr>
          <w:noProof/>
          <w:szCs w:val="22"/>
          <w:lang w:val="el-GR"/>
        </w:rPr>
        <w:t>Zyllt</w:t>
      </w:r>
      <w:r>
        <w:rPr>
          <w:szCs w:val="22"/>
          <w:lang w:val="el-GR"/>
        </w:rPr>
        <w:t xml:space="preserve"> σε συνδυασμό με ακετυλοσαλικυλικό οξύ, μία ουσία που βρίσκεται σε πολλά φάρμακα που χρησιμοποιούνται για την ανακούφιση από τον πόνο και ως αντιπυρετικά. </w:t>
      </w:r>
      <w:r>
        <w:rPr>
          <w:color w:val="000000"/>
          <w:szCs w:val="22"/>
          <w:lang w:val="el-GR"/>
        </w:rPr>
        <w:t>Μία περιστασιακή χρήση ακετυλοσαλικυλικού οξέος (όχι περισσότερο από 1000 mg σε</w:t>
      </w:r>
      <w:r>
        <w:rPr>
          <w:szCs w:val="22"/>
          <w:lang w:val="el-GR"/>
        </w:rPr>
        <w:t xml:space="preserve"> </w:t>
      </w:r>
      <w:r>
        <w:rPr>
          <w:color w:val="000000"/>
          <w:szCs w:val="22"/>
          <w:lang w:val="el-GR"/>
        </w:rPr>
        <w:t>διάστημα 24 ωρών) δεν θα πρέπει γενικά να προκαλέσει κάποιο πρόβλημα, ενώ η παρατεταμένη χρήση σε άλλες περιπτώσεις θα πρέπει να συζητηθεί με τον γιατρό σας.</w:t>
      </w:r>
    </w:p>
    <w:p>
      <w:pPr>
        <w:widowControl w:val="0"/>
        <w:spacing w:line="240" w:lineRule="auto"/>
        <w:rPr>
          <w:noProof/>
          <w:szCs w:val="22"/>
          <w:lang w:val="sl-SI"/>
        </w:rPr>
      </w:pPr>
    </w:p>
    <w:p>
      <w:pPr>
        <w:widowControl w:val="0"/>
        <w:spacing w:line="240" w:lineRule="auto"/>
        <w:rPr>
          <w:b/>
          <w:noProof/>
          <w:szCs w:val="22"/>
          <w:lang w:val="sl-SI"/>
        </w:rPr>
      </w:pPr>
      <w:r>
        <w:rPr>
          <w:b/>
          <w:noProof/>
          <w:szCs w:val="22"/>
          <w:lang w:val="sl-SI"/>
        </w:rPr>
        <w:t>Το Zyllt με τροφ</w:t>
      </w:r>
      <w:r>
        <w:rPr>
          <w:b/>
          <w:noProof/>
          <w:szCs w:val="22"/>
          <w:lang w:val="el-GR"/>
        </w:rPr>
        <w:t>ή</w:t>
      </w:r>
      <w:r>
        <w:rPr>
          <w:b/>
          <w:noProof/>
          <w:szCs w:val="22"/>
          <w:lang w:val="sl-SI"/>
        </w:rPr>
        <w:t xml:space="preserve"> και ποτ</w:t>
      </w:r>
      <w:r>
        <w:rPr>
          <w:b/>
          <w:noProof/>
          <w:szCs w:val="22"/>
          <w:lang w:val="el-GR"/>
        </w:rPr>
        <w:t>ό</w:t>
      </w:r>
    </w:p>
    <w:p>
      <w:pPr>
        <w:widowControl w:val="0"/>
        <w:spacing w:line="240" w:lineRule="auto"/>
        <w:rPr>
          <w:noProof/>
          <w:szCs w:val="22"/>
          <w:lang w:val="sl-SI"/>
        </w:rPr>
      </w:pPr>
      <w:r>
        <w:rPr>
          <w:noProof/>
          <w:szCs w:val="22"/>
          <w:lang w:val="sl-SI"/>
        </w:rPr>
        <w:t>Το Zyllt μπορεί να λαμβάνεται με ή χωρίς τροφή.</w:t>
      </w:r>
    </w:p>
    <w:p>
      <w:pPr>
        <w:widowControl w:val="0"/>
        <w:spacing w:line="240" w:lineRule="auto"/>
        <w:rPr>
          <w:b/>
          <w:noProof/>
          <w:szCs w:val="22"/>
          <w:lang w:val="sl-SI"/>
        </w:rPr>
      </w:pPr>
    </w:p>
    <w:p>
      <w:pPr>
        <w:widowControl w:val="0"/>
        <w:spacing w:line="240" w:lineRule="auto"/>
        <w:rPr>
          <w:b/>
          <w:noProof/>
          <w:szCs w:val="22"/>
          <w:lang w:val="el-GR"/>
        </w:rPr>
      </w:pPr>
      <w:r>
        <w:rPr>
          <w:b/>
          <w:noProof/>
          <w:szCs w:val="22"/>
          <w:lang w:val="el-GR"/>
        </w:rPr>
        <w:t>Κύηση και θηλασμός</w:t>
      </w:r>
    </w:p>
    <w:p>
      <w:pPr>
        <w:widowControl w:val="0"/>
        <w:numPr>
          <w:ilvl w:val="12"/>
          <w:numId w:val="0"/>
        </w:numPr>
        <w:spacing w:line="240" w:lineRule="auto"/>
        <w:rPr>
          <w:szCs w:val="22"/>
          <w:lang w:val="el-GR"/>
        </w:rPr>
      </w:pPr>
      <w:r>
        <w:rPr>
          <w:szCs w:val="22"/>
          <w:lang w:val="el-GR"/>
        </w:rPr>
        <w:t>Είναι προτιμότερο να μην παίρνετε αυτό το φάρμακο κατά τη διάρκεια της κύησης.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Εάν είστε έγκυος ή υποψιάζεστε ότι είστε έγκυος, θα πρέπει να ενημερώσετε τον γιατρό ή τον φαρμακοποιό σας πριν πάρετε το </w:t>
      </w:r>
      <w:r>
        <w:rPr>
          <w:noProof/>
          <w:szCs w:val="22"/>
          <w:lang w:val="el-GR"/>
        </w:rPr>
        <w:t>Zyllt</w:t>
      </w:r>
      <w:r>
        <w:rPr>
          <w:color w:val="000000"/>
          <w:szCs w:val="22"/>
          <w:lang w:val="el-GR"/>
        </w:rPr>
        <w:t xml:space="preserve">. Αν μείνετε έγκυος ενώ λαμβάνετε </w:t>
      </w:r>
      <w:r>
        <w:rPr>
          <w:noProof/>
          <w:szCs w:val="22"/>
          <w:lang w:val="el-GR"/>
        </w:rPr>
        <w:t>Zyllt</w:t>
      </w:r>
      <w:r>
        <w:rPr>
          <w:color w:val="000000"/>
          <w:szCs w:val="22"/>
          <w:lang w:val="el-GR"/>
        </w:rPr>
        <w:t>, συμβουλευθείτε τον γιατρό σας αμέσως καθώς δεν συνιστάται η λήψη κλοπιδογρέλης κατά τη διάρκεια της κύησης.</w:t>
      </w:r>
    </w:p>
    <w:p>
      <w:pPr>
        <w:widowControl w:val="0"/>
        <w:autoSpaceDE w:val="0"/>
        <w:autoSpaceDN w:val="0"/>
        <w:adjustRightInd w:val="0"/>
        <w:spacing w:line="240" w:lineRule="auto"/>
        <w:rPr>
          <w:color w:val="000000"/>
          <w:szCs w:val="22"/>
          <w:lang w:val="el-GR"/>
        </w:rPr>
      </w:pPr>
    </w:p>
    <w:p>
      <w:pPr>
        <w:widowControl w:val="0"/>
        <w:numPr>
          <w:ilvl w:val="12"/>
          <w:numId w:val="0"/>
        </w:numPr>
        <w:spacing w:line="240" w:lineRule="auto"/>
        <w:rPr>
          <w:szCs w:val="22"/>
          <w:lang w:val="el-GR"/>
        </w:rPr>
      </w:pPr>
      <w:r>
        <w:rPr>
          <w:szCs w:val="22"/>
          <w:lang w:val="el-GR"/>
        </w:rPr>
        <w:t>Δεν πρέπει να θηλάζετε ενώ χρησιμοποιείτε αυτό το φάρμακο.</w:t>
      </w:r>
    </w:p>
    <w:p>
      <w:pPr>
        <w:widowControl w:val="0"/>
        <w:numPr>
          <w:ilvl w:val="12"/>
          <w:numId w:val="0"/>
        </w:numPr>
        <w:spacing w:line="240" w:lineRule="auto"/>
        <w:rPr>
          <w:szCs w:val="22"/>
          <w:lang w:val="el-GR"/>
        </w:rPr>
      </w:pPr>
      <w:r>
        <w:rPr>
          <w:szCs w:val="22"/>
          <w:lang w:val="el-GR"/>
        </w:rPr>
        <w:t>Εάν θηλάζετε ή σχεδιάζετε να θηλάσετε, μιλήστε με τον γιατρό σας πριν πάρετε αυτό το φάρμακο.</w:t>
      </w:r>
    </w:p>
    <w:p>
      <w:pPr>
        <w:widowControl w:val="0"/>
        <w:autoSpaceDE w:val="0"/>
        <w:autoSpaceDN w:val="0"/>
        <w:adjustRightInd w:val="0"/>
        <w:spacing w:line="240" w:lineRule="auto"/>
        <w:rPr>
          <w:color w:val="000000"/>
          <w:szCs w:val="22"/>
          <w:lang w:val="el-GR"/>
        </w:rPr>
      </w:pPr>
      <w:r>
        <w:rPr>
          <w:color w:val="000000"/>
          <w:szCs w:val="22"/>
          <w:lang w:val="el-GR"/>
        </w:rPr>
        <w:t>Ζητήστε τη συμβουλή του γιατρού ή του φαρμακοποιού σας πριν πάρετε οποιοδήποτε φάρμακο.</w:t>
      </w:r>
    </w:p>
    <w:p>
      <w:pPr>
        <w:widowControl w:val="0"/>
        <w:spacing w:line="240" w:lineRule="auto"/>
        <w:rPr>
          <w:noProof/>
          <w:szCs w:val="22"/>
          <w:lang w:val="el-GR"/>
        </w:rPr>
      </w:pPr>
    </w:p>
    <w:p>
      <w:pPr>
        <w:pStyle w:val="Header"/>
        <w:tabs>
          <w:tab w:val="clear" w:pos="4153"/>
          <w:tab w:val="clear" w:pos="8306"/>
        </w:tabs>
        <w:spacing w:line="240" w:lineRule="auto"/>
        <w:rPr>
          <w:b/>
          <w:noProof/>
          <w:szCs w:val="22"/>
        </w:rPr>
      </w:pPr>
      <w:r>
        <w:rPr>
          <w:b/>
          <w:noProof/>
          <w:szCs w:val="22"/>
        </w:rPr>
        <w:t>Οδήγηση και χειρισμός μηχανημάτων</w:t>
      </w:r>
    </w:p>
    <w:p>
      <w:pPr>
        <w:widowControl w:val="0"/>
        <w:spacing w:line="240" w:lineRule="auto"/>
        <w:rPr>
          <w:noProof/>
          <w:szCs w:val="22"/>
          <w:lang w:val="el-GR"/>
        </w:rPr>
      </w:pPr>
      <w:r>
        <w:rPr>
          <w:color w:val="000000"/>
          <w:szCs w:val="22"/>
          <w:lang w:val="el-GR"/>
        </w:rPr>
        <w:t xml:space="preserve">Το </w:t>
      </w:r>
      <w:r>
        <w:rPr>
          <w:noProof/>
          <w:szCs w:val="22"/>
          <w:lang w:val="el-GR"/>
        </w:rPr>
        <w:t>Zyllt</w:t>
      </w:r>
      <w:r>
        <w:rPr>
          <w:color w:val="000000"/>
          <w:szCs w:val="22"/>
          <w:lang w:val="el-GR"/>
        </w:rPr>
        <w:t xml:space="preserve"> είναι απίθανο να επηρεάσει την ικανότητά σας να οδηγείτε ή να χειρίζεστε μηχανήματα.</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b/>
          <w:color w:val="000000"/>
          <w:szCs w:val="22"/>
          <w:lang w:val="el-GR"/>
        </w:rPr>
        <w:t xml:space="preserve">To </w:t>
      </w:r>
      <w:r>
        <w:rPr>
          <w:b/>
          <w:noProof/>
          <w:szCs w:val="22"/>
          <w:lang w:val="el-GR"/>
        </w:rPr>
        <w:t>Zyllt</w:t>
      </w:r>
      <w:r>
        <w:rPr>
          <w:b/>
          <w:color w:val="000000"/>
          <w:szCs w:val="22"/>
          <w:lang w:val="el-GR"/>
        </w:rPr>
        <w:t xml:space="preserve"> περιέχει λακτόζη</w:t>
      </w:r>
    </w:p>
    <w:p>
      <w:pPr>
        <w:widowControl w:val="0"/>
        <w:autoSpaceDE w:val="0"/>
        <w:autoSpaceDN w:val="0"/>
        <w:adjustRightInd w:val="0"/>
        <w:spacing w:line="240" w:lineRule="auto"/>
        <w:rPr>
          <w:szCs w:val="22"/>
          <w:lang w:val="el-GR"/>
        </w:rPr>
      </w:pPr>
      <w:r>
        <w:rPr>
          <w:szCs w:val="22"/>
          <w:lang w:val="el-GR"/>
        </w:rPr>
        <w:t>Εάν ο γιατρός σας, σας ενημέρωσε ότι έχετε δυσανεξία σε ορισμένα σάκχαρα, επικοινωνήστε με τον γιατρό σας πριν πάρετε αυτό το φαρμακευτικό προϊόν.</w:t>
      </w:r>
    </w:p>
    <w:p>
      <w:pPr>
        <w:widowControl w:val="0"/>
        <w:autoSpaceDE w:val="0"/>
        <w:autoSpaceDN w:val="0"/>
        <w:adjustRightInd w:val="0"/>
        <w:spacing w:line="240" w:lineRule="auto"/>
        <w:rPr>
          <w:color w:val="000000"/>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noProof/>
          <w:szCs w:val="22"/>
          <w:lang w:val="el-GR"/>
        </w:rPr>
      </w:pPr>
      <w:r>
        <w:rPr>
          <w:b/>
          <w:noProof/>
          <w:szCs w:val="22"/>
          <w:lang w:val="el-GR"/>
        </w:rPr>
        <w:t>3.</w:t>
      </w:r>
      <w:r>
        <w:rPr>
          <w:b/>
          <w:noProof/>
          <w:szCs w:val="22"/>
          <w:lang w:val="el-GR"/>
        </w:rPr>
        <w:tab/>
      </w:r>
      <w:r>
        <w:rPr>
          <w:b/>
          <w:bCs/>
          <w:color w:val="000000"/>
          <w:szCs w:val="22"/>
          <w:lang w:val="el-GR" w:eastAsia="es-ES"/>
        </w:rPr>
        <w:t xml:space="preserve">Πώς </w:t>
      </w:r>
      <w:r>
        <w:rPr>
          <w:b/>
          <w:noProof/>
          <w:szCs w:val="22"/>
          <w:lang w:val="el-GR"/>
        </w:rPr>
        <w:t xml:space="preserve">να </w:t>
      </w:r>
      <w:r>
        <w:rPr>
          <w:b/>
          <w:bCs/>
          <w:color w:val="000000"/>
          <w:szCs w:val="22"/>
          <w:lang w:val="el-GR" w:eastAsia="es-ES"/>
        </w:rPr>
        <w:t>πάρετε</w:t>
      </w:r>
      <w:r>
        <w:rPr>
          <w:b/>
          <w:color w:val="000000"/>
          <w:lang w:val="el-GR"/>
        </w:rPr>
        <w:t xml:space="preserve"> </w:t>
      </w:r>
      <w:r>
        <w:rPr>
          <w:b/>
          <w:bCs/>
          <w:color w:val="000000"/>
          <w:szCs w:val="22"/>
          <w:lang w:val="el-GR"/>
        </w:rPr>
        <w:t xml:space="preserve">το </w:t>
      </w:r>
      <w:r>
        <w:rPr>
          <w:b/>
          <w:noProof/>
          <w:szCs w:val="22"/>
          <w:lang w:val="sl-SI"/>
        </w:rPr>
        <w:t>Z</w:t>
      </w:r>
      <w:r>
        <w:rPr>
          <w:b/>
          <w:noProof/>
          <w:szCs w:val="22"/>
          <w:lang w:val="el-GR"/>
        </w:rPr>
        <w:t>yllt</w:t>
      </w:r>
    </w:p>
    <w:p>
      <w:pPr>
        <w:widowControl w:val="0"/>
        <w:spacing w:line="240" w:lineRule="auto"/>
        <w:rPr>
          <w:noProof/>
          <w:szCs w:val="22"/>
          <w:lang w:val="el-GR"/>
        </w:rPr>
      </w:pPr>
    </w:p>
    <w:p>
      <w:pPr>
        <w:widowControl w:val="0"/>
        <w:numPr>
          <w:ilvl w:val="12"/>
          <w:numId w:val="0"/>
        </w:numPr>
        <w:spacing w:line="240" w:lineRule="auto"/>
        <w:rPr>
          <w:szCs w:val="22"/>
          <w:lang w:val="el-GR"/>
        </w:rPr>
      </w:pPr>
      <w:r>
        <w:rPr>
          <w:color w:val="000000"/>
          <w:szCs w:val="22"/>
          <w:lang w:val="el-GR"/>
        </w:rPr>
        <w:t xml:space="preserve">Πάντοτε να παίρνετε το </w:t>
      </w:r>
      <w:r>
        <w:rPr>
          <w:szCs w:val="22"/>
          <w:lang w:val="el-GR"/>
        </w:rPr>
        <w:t>φάρμακο αυτό</w:t>
      </w:r>
      <w:r>
        <w:rPr>
          <w:color w:val="000000"/>
          <w:szCs w:val="22"/>
          <w:lang w:val="el-GR"/>
        </w:rPr>
        <w:t xml:space="preserve"> αυστηρά σύμφωνα με τις οδηγίες του γιατρού </w:t>
      </w:r>
      <w:r>
        <w:rPr>
          <w:szCs w:val="22"/>
          <w:lang w:val="el-GR"/>
        </w:rPr>
        <w:t>ή του φαρμακοποιού σας. Εάν έχετε αμφιβολίες, ρωτήστε τον γιατρό ή τον φαρμακοποιό σας.</w:t>
      </w:r>
    </w:p>
    <w:p>
      <w:pPr>
        <w:widowControl w:val="0"/>
        <w:autoSpaceDE w:val="0"/>
        <w:autoSpaceDN w:val="0"/>
        <w:adjustRightInd w:val="0"/>
        <w:spacing w:line="240" w:lineRule="auto"/>
        <w:rPr>
          <w:color w:val="000000"/>
          <w:szCs w:val="22"/>
          <w:lang w:val="el-GR"/>
        </w:rPr>
      </w:pPr>
      <w:r>
        <w:rPr>
          <w:color w:val="000000"/>
          <w:szCs w:val="22"/>
          <w:lang w:val="el-GR"/>
        </w:rPr>
        <w:t>σας.</w:t>
      </w:r>
    </w:p>
    <w:p>
      <w:pPr>
        <w:widowControl w:val="0"/>
        <w:numPr>
          <w:ilvl w:val="12"/>
          <w:numId w:val="0"/>
        </w:numPr>
        <w:spacing w:line="240" w:lineRule="auto"/>
        <w:rPr>
          <w:lang w:val="el-GR"/>
        </w:rPr>
      </w:pPr>
    </w:p>
    <w:p>
      <w:pPr>
        <w:widowControl w:val="0"/>
        <w:numPr>
          <w:ilvl w:val="12"/>
          <w:numId w:val="0"/>
        </w:numPr>
        <w:spacing w:line="240" w:lineRule="auto"/>
        <w:rPr>
          <w:lang w:val="el-GR"/>
        </w:rPr>
      </w:pPr>
      <w:r>
        <w:rPr>
          <w:lang w:val="el-GR"/>
        </w:rPr>
        <w:t xml:space="preserve">Η συνιστώμενη δόση, περιλαμβανομένης εκείνης για ασθενείς με μια πάθηση που ονομάζεται «κολπική μαρμαρυγή» (μη κανονικός καρδιακός ρυθμός), είναι ένα δισκίο </w:t>
      </w:r>
      <w:r>
        <w:rPr>
          <w:lang w:val="en-US"/>
        </w:rPr>
        <w:t>Zyllt</w:t>
      </w:r>
      <w:r>
        <w:rPr>
          <w:lang w:val="el-GR"/>
        </w:rPr>
        <w:t xml:space="preserve"> των 75 </w:t>
      </w:r>
      <w:r>
        <w:rPr>
          <w:lang w:val="en-US"/>
        </w:rPr>
        <w:t>mg</w:t>
      </w:r>
      <w:r>
        <w:rPr>
          <w:lang w:val="el-GR"/>
        </w:rPr>
        <w:t xml:space="preserve"> την ημέρα που λαμβάνεται από το στόμα με ή χωρίς τροφή, και την ίδια ώρα κάθε ημέρα.</w:t>
      </w:r>
    </w:p>
    <w:p>
      <w:pPr>
        <w:widowControl w:val="0"/>
        <w:autoSpaceDE w:val="0"/>
        <w:autoSpaceDN w:val="0"/>
        <w:adjustRightInd w:val="0"/>
        <w:spacing w:line="240" w:lineRule="auto"/>
        <w:rPr>
          <w:szCs w:val="22"/>
          <w:lang w:val="el-GR"/>
        </w:rPr>
      </w:pPr>
    </w:p>
    <w:p>
      <w:pPr>
        <w:widowControl w:val="0"/>
        <w:autoSpaceDE w:val="0"/>
        <w:autoSpaceDN w:val="0"/>
        <w:adjustRightInd w:val="0"/>
        <w:spacing w:line="240" w:lineRule="auto"/>
        <w:rPr>
          <w:szCs w:val="22"/>
          <w:lang w:val="el-GR"/>
        </w:rPr>
      </w:pPr>
      <w:r>
        <w:rPr>
          <w:szCs w:val="22"/>
          <w:lang w:val="el-GR"/>
        </w:rPr>
        <w:t>Εάν έχετε εμφανίσει σοβαρό πόνο στο στήθος (ασταθή στηθάγχη ή καρδιακό επεισόδιο), ο γιατρός σας μπορεί να σας χορηγήσει 300 mg ή 600</w:t>
      </w:r>
      <w:r>
        <w:rPr>
          <w:szCs w:val="22"/>
          <w:lang w:val="sl-SI"/>
        </w:rPr>
        <w:t> </w:t>
      </w:r>
      <w:r>
        <w:rPr>
          <w:szCs w:val="22"/>
          <w:lang w:val="en-US"/>
        </w:rPr>
        <w:t>mg</w:t>
      </w:r>
      <w:r>
        <w:rPr>
          <w:szCs w:val="22"/>
          <w:lang w:val="el-GR"/>
        </w:rPr>
        <w:t xml:space="preserve"> </w:t>
      </w:r>
      <w:r>
        <w:rPr>
          <w:noProof/>
          <w:szCs w:val="22"/>
          <w:lang w:val="el-GR"/>
        </w:rPr>
        <w:t>Zyllt</w:t>
      </w:r>
      <w:r>
        <w:rPr>
          <w:szCs w:val="22"/>
          <w:lang w:val="el-GR"/>
        </w:rPr>
        <w:t xml:space="preserve"> (4 ή 8 δισκία των 75 mg) μία φορά και μόνο κατά την έναρξη της θεραπείας. Στη συνέχεια, </w:t>
      </w:r>
      <w:r>
        <w:rPr>
          <w:color w:val="000000"/>
          <w:szCs w:val="22"/>
          <w:lang w:val="el-GR"/>
        </w:rPr>
        <w:t xml:space="preserve">η </w:t>
      </w:r>
      <w:r>
        <w:rPr>
          <w:szCs w:val="22"/>
          <w:lang w:val="el-GR"/>
        </w:rPr>
        <w:t>συνιστώμενη</w:t>
      </w:r>
      <w:r>
        <w:rPr>
          <w:color w:val="000000"/>
          <w:szCs w:val="22"/>
          <w:lang w:val="el-GR"/>
        </w:rPr>
        <w:t xml:space="preserve"> δόση είναι ένα δισκίο </w:t>
      </w:r>
      <w:r>
        <w:rPr>
          <w:noProof/>
          <w:szCs w:val="22"/>
          <w:lang w:val="el-GR"/>
        </w:rPr>
        <w:t>Zyllt</w:t>
      </w:r>
      <w:r>
        <w:rPr>
          <w:color w:val="000000"/>
          <w:szCs w:val="22"/>
          <w:lang w:val="el-GR"/>
        </w:rPr>
        <w:t xml:space="preserve"> των 75 mg την ημέρα</w:t>
      </w:r>
      <w:r>
        <w:rPr>
          <w:lang w:val="el-GR"/>
        </w:rPr>
        <w:t xml:space="preserve"> όπως περιγράφεται παραπάνω</w:t>
      </w:r>
      <w:r>
        <w:rPr>
          <w:lang w:val="sl-SI"/>
        </w:rPr>
        <w:t>.</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bookmarkStart w:id="31" w:name="_Hlk27467847"/>
      <w:r>
        <w:rPr>
          <w:szCs w:val="22"/>
          <w:lang w:val="el-GR"/>
        </w:rPr>
        <w:t xml:space="preserve">Εάν έχετε παρουσιάσει συμπτώματα αγγειακού εγκεφαλικού επεισοδίου που υποχώρησαν μέσα σε σύντομο χρονικό διάστημα (γνωστό και ως παροδικό ισχαιμικό επεισόδιο) ή ισχαιμικό αγγειακό εγκεφαλικό επεισόδιο ήπιας βαρύτητας, ο γιατρός σας μπορεί να σας έχει χορηγήσει 300 mg Zyllt (4 δισκία των 75 mg) μία φορά στην αρχή της θεραπείας. Στη συνέχεια, η συνιστώμενη δόση είναι </w:t>
      </w:r>
      <w:bookmarkEnd w:id="31"/>
      <w:r>
        <w:rPr>
          <w:szCs w:val="22"/>
          <w:lang w:val="el-GR"/>
        </w:rPr>
        <w:t>ένα δισκίο Zyllt των 75 mg την ημέρα όπως περιγράφεται παραπάνω μαζί με ακετυλοσαλικυλικό οξύ για 3 εβδομάδες. Στη συνέχεια ο γιατρός θα συνταγογραφήσει είτε Zyllt μόνο είτε ακετυλοσαλικυλικό οξύ μόνο.</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Το </w:t>
      </w:r>
      <w:r>
        <w:rPr>
          <w:noProof/>
          <w:szCs w:val="22"/>
          <w:lang w:val="el-GR"/>
        </w:rPr>
        <w:t>Zyllt</w:t>
      </w:r>
      <w:r>
        <w:rPr>
          <w:color w:val="000000"/>
          <w:szCs w:val="22"/>
          <w:lang w:val="el-GR"/>
        </w:rPr>
        <w:t xml:space="preserve"> θα πρέπει να το παίρνετε για όσο διάστημα ο γιατρός σας συνεχίζει να σας το συνταγογραφεί.</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
          <w:bCs/>
          <w:color w:val="000000"/>
          <w:szCs w:val="22"/>
          <w:lang w:val="el-GR"/>
        </w:rPr>
      </w:pPr>
      <w:r>
        <w:rPr>
          <w:b/>
          <w:bCs/>
          <w:color w:val="000000"/>
          <w:szCs w:val="22"/>
          <w:lang w:val="el-GR"/>
        </w:rPr>
        <w:t xml:space="preserve">Εάν πάρετε μεγαλύτερη δόση </w:t>
      </w:r>
      <w:r>
        <w:rPr>
          <w:b/>
          <w:noProof/>
          <w:szCs w:val="22"/>
          <w:lang w:val="el-GR"/>
        </w:rPr>
        <w:t>Zyllt</w:t>
      </w:r>
      <w:r>
        <w:rPr>
          <w:b/>
          <w:bCs/>
          <w:color w:val="000000"/>
          <w:szCs w:val="22"/>
          <w:lang w:val="el-GR"/>
        </w:rPr>
        <w:t xml:space="preserve"> από την κανονική</w:t>
      </w:r>
    </w:p>
    <w:p>
      <w:pPr>
        <w:widowControl w:val="0"/>
        <w:autoSpaceDE w:val="0"/>
        <w:autoSpaceDN w:val="0"/>
        <w:adjustRightInd w:val="0"/>
        <w:spacing w:line="240" w:lineRule="auto"/>
        <w:rPr>
          <w:color w:val="000000"/>
          <w:szCs w:val="22"/>
          <w:lang w:val="el-GR"/>
        </w:rPr>
      </w:pPr>
      <w:r>
        <w:rPr>
          <w:color w:val="000000"/>
          <w:szCs w:val="22"/>
          <w:lang w:val="el-GR"/>
        </w:rPr>
        <w:t xml:space="preserve">Επικοινωνήστε με τον γιατρό σας ή την πλησιέστερη </w:t>
      </w:r>
      <w:r>
        <w:rPr>
          <w:szCs w:val="22"/>
          <w:lang w:val="el-GR"/>
        </w:rPr>
        <w:t xml:space="preserve">νοσοκομειακή </w:t>
      </w:r>
      <w:r>
        <w:rPr>
          <w:color w:val="000000"/>
          <w:szCs w:val="22"/>
          <w:lang w:val="el-GR"/>
        </w:rPr>
        <w:t>υπηρεσία έκτακτων περιστατικών λόγω του αυξημένου κινδύνου αιμορραγίας.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
          <w:noProof/>
          <w:szCs w:val="22"/>
          <w:lang w:val="el-GR"/>
        </w:rPr>
      </w:pPr>
      <w:r>
        <w:rPr>
          <w:b/>
          <w:bCs/>
          <w:color w:val="000000"/>
          <w:szCs w:val="22"/>
          <w:lang w:val="el-GR"/>
        </w:rPr>
        <w:t xml:space="preserve">Εάν ξεχάσετε να πάρετε το </w:t>
      </w:r>
      <w:r>
        <w:rPr>
          <w:b/>
          <w:noProof/>
          <w:szCs w:val="22"/>
          <w:lang w:val="el-GR"/>
        </w:rPr>
        <w:t>Zyllt</w:t>
      </w:r>
    </w:p>
    <w:p>
      <w:pPr>
        <w:widowControl w:val="0"/>
        <w:autoSpaceDE w:val="0"/>
        <w:autoSpaceDN w:val="0"/>
        <w:adjustRightInd w:val="0"/>
        <w:spacing w:line="240" w:lineRule="auto"/>
        <w:rPr>
          <w:color w:val="000000"/>
          <w:szCs w:val="22"/>
          <w:lang w:val="el-GR"/>
        </w:rPr>
      </w:pPr>
      <w:r>
        <w:rPr>
          <w:color w:val="000000"/>
          <w:szCs w:val="22"/>
          <w:lang w:val="el-GR"/>
        </w:rPr>
        <w:t xml:space="preserve">Εάν ξεχάσετε να πάρετε μία δόση </w:t>
      </w:r>
      <w:r>
        <w:rPr>
          <w:noProof/>
          <w:szCs w:val="22"/>
          <w:lang w:val="el-GR"/>
        </w:rPr>
        <w:t>Zyllt</w:t>
      </w:r>
      <w:r>
        <w:rPr>
          <w:color w:val="000000"/>
          <w:szCs w:val="22"/>
          <w:lang w:val="el-GR"/>
        </w:rPr>
        <w:t xml:space="preserve"> και το θυμηθείτε μέσα σε 12 ώρες από τη συνηθισμένη σας ώρα, πάρτε το δισκίο σας αμέσως και στη συνέχεια πάρτε το επόμενο δισκίο τη συνηθισμένη ώρα.</w:t>
      </w:r>
    </w:p>
    <w:p>
      <w:pPr>
        <w:widowControl w:val="0"/>
        <w:autoSpaceDE w:val="0"/>
        <w:autoSpaceDN w:val="0"/>
        <w:adjustRightInd w:val="0"/>
        <w:spacing w:line="240" w:lineRule="auto"/>
        <w:rPr>
          <w:color w:val="000000"/>
          <w:szCs w:val="22"/>
          <w:lang w:val="el-GR"/>
        </w:rPr>
      </w:pPr>
      <w:r>
        <w:rPr>
          <w:color w:val="000000"/>
          <w:szCs w:val="22"/>
          <w:lang w:val="el-GR"/>
        </w:rPr>
        <w:t xml:space="preserve">Εάν το ξεχάσετε για περισσότερο από 12 ώρες, απλώς πάρτε την επόμενη εφάπαξ δόση στη συνηθισμένη ώρα. Μην πάρετε διπλή δόση για να αναπληρώσετε </w:t>
      </w:r>
      <w:r>
        <w:rPr>
          <w:szCs w:val="22"/>
          <w:lang w:val="el-GR"/>
        </w:rPr>
        <w:t xml:space="preserve">το δισκίο </w:t>
      </w:r>
      <w:r>
        <w:rPr>
          <w:color w:val="000000"/>
          <w:szCs w:val="22"/>
          <w:lang w:val="el-GR"/>
        </w:rPr>
        <w:t>που ξεχάσατε.</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
          <w:noProof/>
          <w:szCs w:val="22"/>
          <w:lang w:val="el-GR"/>
        </w:rPr>
      </w:pPr>
      <w:r>
        <w:rPr>
          <w:b/>
          <w:bCs/>
          <w:color w:val="000000"/>
          <w:szCs w:val="22"/>
          <w:lang w:val="el-GR"/>
        </w:rPr>
        <w:t xml:space="preserve">Εάν σταματήσετε να παίρνετε το </w:t>
      </w:r>
      <w:r>
        <w:rPr>
          <w:b/>
          <w:noProof/>
          <w:szCs w:val="22"/>
          <w:lang w:val="el-GR"/>
        </w:rPr>
        <w:t>Zyllt</w:t>
      </w:r>
    </w:p>
    <w:p>
      <w:pPr>
        <w:widowControl w:val="0"/>
        <w:autoSpaceDE w:val="0"/>
        <w:autoSpaceDN w:val="0"/>
        <w:adjustRightInd w:val="0"/>
        <w:spacing w:line="240" w:lineRule="auto"/>
        <w:rPr>
          <w:color w:val="000000"/>
          <w:szCs w:val="22"/>
          <w:lang w:val="el-GR"/>
        </w:rPr>
      </w:pPr>
      <w:r>
        <w:rPr>
          <w:szCs w:val="22"/>
          <w:lang w:val="el-GR"/>
        </w:rPr>
        <w:t>Μην σταματήσετε την αγωγή</w:t>
      </w:r>
      <w:r>
        <w:rPr>
          <w:b/>
          <w:szCs w:val="22"/>
          <w:lang w:val="el-GR"/>
        </w:rPr>
        <w:t xml:space="preserve"> εκτός και εάν σας πει ο γιατρός σας να το κάνετε</w:t>
      </w:r>
      <w:r>
        <w:rPr>
          <w:color w:val="000000"/>
          <w:szCs w:val="22"/>
          <w:lang w:val="el-GR"/>
        </w:rPr>
        <w:t>. Επικοινωνήστε με τον γιατρό ή τον φαρμακοποιό σας πριν τη σταματήσετε.</w:t>
      </w:r>
    </w:p>
    <w:p>
      <w:pPr>
        <w:widowControl w:val="0"/>
        <w:autoSpaceDE w:val="0"/>
        <w:autoSpaceDN w:val="0"/>
        <w:adjustRightInd w:val="0"/>
        <w:spacing w:line="240" w:lineRule="auto"/>
        <w:rPr>
          <w:color w:val="000000"/>
          <w:szCs w:val="22"/>
          <w:lang w:val="el-GR"/>
        </w:rPr>
      </w:pPr>
    </w:p>
    <w:p>
      <w:pPr>
        <w:widowControl w:val="0"/>
        <w:tabs>
          <w:tab w:val="clear" w:pos="567"/>
        </w:tabs>
        <w:spacing w:line="240" w:lineRule="auto"/>
        <w:rPr>
          <w:szCs w:val="22"/>
          <w:lang w:val="el-GR"/>
        </w:rPr>
      </w:pPr>
      <w:r>
        <w:rPr>
          <w:szCs w:val="22"/>
          <w:lang w:val="el-GR"/>
        </w:rPr>
        <w:t>Εάν έχετε περισσότερες ερωτήσεις σχετικά με τη χρήση αυτού του φαρμάκου, ρωτήστε τον γιατρό ή τον φαρμακοποιό σας.</w:t>
      </w:r>
    </w:p>
    <w:p>
      <w:pPr>
        <w:widowControl w:val="0"/>
        <w:spacing w:line="240" w:lineRule="auto"/>
        <w:rPr>
          <w:noProof/>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b/>
          <w:lang w:val="el-GR"/>
        </w:rPr>
      </w:pPr>
      <w:r>
        <w:rPr>
          <w:b/>
          <w:noProof/>
          <w:szCs w:val="22"/>
          <w:lang w:val="el-GR"/>
        </w:rPr>
        <w:t>4.</w:t>
      </w:r>
      <w:r>
        <w:rPr>
          <w:b/>
          <w:noProof/>
          <w:szCs w:val="22"/>
          <w:lang w:val="el-GR"/>
        </w:rPr>
        <w:tab/>
      </w:r>
      <w:r>
        <w:rPr>
          <w:b/>
          <w:lang w:val="el-GR"/>
        </w:rPr>
        <w:t>Πιθανές ανεπιθύμητες ενέργειες</w:t>
      </w:r>
    </w:p>
    <w:p>
      <w:pPr>
        <w:widowControl w:val="0"/>
        <w:spacing w:line="240" w:lineRule="auto"/>
        <w:rPr>
          <w:noProof/>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 xml:space="preserve">Όπως όλα τα φάρμακα, έτσι και </w:t>
      </w:r>
      <w:r>
        <w:rPr>
          <w:szCs w:val="22"/>
          <w:lang w:val="el-GR"/>
        </w:rPr>
        <w:t>αυτό το φάρμακο</w:t>
      </w:r>
      <w:r>
        <w:rPr>
          <w:color w:val="000000"/>
          <w:szCs w:val="22"/>
          <w:lang w:val="el-GR"/>
        </w:rPr>
        <w:t xml:space="preserve"> μπορεί να προκαλέσει ανεπιθύμητες ενέργειες αν και δεν παρουσιάζονται σε όλους τους ανθρώπους.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
          <w:bCs/>
          <w:color w:val="000000"/>
          <w:szCs w:val="22"/>
          <w:lang w:val="el-GR"/>
        </w:rPr>
      </w:pPr>
      <w:r>
        <w:rPr>
          <w:b/>
          <w:bCs/>
          <w:color w:val="000000"/>
          <w:szCs w:val="22"/>
          <w:lang w:val="el-GR"/>
        </w:rPr>
        <w:t>Επικοινωνήστε με τον γιατρό σας αμέσως εάν παρουσιάσετε:</w:t>
      </w:r>
    </w:p>
    <w:p>
      <w:pPr>
        <w:widowControl w:val="0"/>
        <w:numPr>
          <w:ilvl w:val="0"/>
          <w:numId w:val="7"/>
        </w:numPr>
        <w:tabs>
          <w:tab w:val="clear" w:pos="567"/>
          <w:tab w:val="clear" w:pos="720"/>
        </w:tabs>
        <w:autoSpaceDE w:val="0"/>
        <w:autoSpaceDN w:val="0"/>
        <w:adjustRightInd w:val="0"/>
        <w:spacing w:line="240" w:lineRule="auto"/>
        <w:ind w:hanging="567"/>
        <w:rPr>
          <w:color w:val="000000"/>
          <w:szCs w:val="22"/>
          <w:lang w:val="el-GR"/>
        </w:rPr>
      </w:pPr>
      <w:r>
        <w:rPr>
          <w:color w:val="000000"/>
          <w:szCs w:val="22"/>
          <w:lang w:val="el-GR"/>
        </w:rPr>
        <w:t>πυρετό, σημεία λοίμωξης ή υπερβολικής κόπωσης. Αυτά πιθανώς να εμφανιστούν λόγω των σπάνιων περιπτώσεων μειώσεως κάποιων κυττάρων του αίματος.</w:t>
      </w:r>
    </w:p>
    <w:p>
      <w:pPr>
        <w:widowControl w:val="0"/>
        <w:numPr>
          <w:ilvl w:val="0"/>
          <w:numId w:val="7"/>
        </w:numPr>
        <w:tabs>
          <w:tab w:val="clear" w:pos="567"/>
          <w:tab w:val="clear" w:pos="720"/>
        </w:tabs>
        <w:autoSpaceDE w:val="0"/>
        <w:autoSpaceDN w:val="0"/>
        <w:adjustRightInd w:val="0"/>
        <w:spacing w:line="240" w:lineRule="auto"/>
        <w:ind w:hanging="567"/>
        <w:rPr>
          <w:color w:val="000000"/>
          <w:szCs w:val="22"/>
          <w:lang w:val="el-GR"/>
        </w:rPr>
      </w:pPr>
      <w:r>
        <w:rPr>
          <w:color w:val="000000"/>
          <w:szCs w:val="22"/>
          <w:lang w:val="el-GR"/>
        </w:rPr>
        <w:t xml:space="preserve">συμπτώματα ηπατικών προβλημάτων όπως κιτρίνισμα του δέρματος και/ή των ματιών (ίκτερος), ανεξάρτητα από το εάν συνοδεύεται από αιμορραγία η οποία εμφανίζεται κάτω από το δέρμα ως ερυθρές κηλίδες και/ή σύγχυση (βλ. </w:t>
      </w:r>
      <w:r>
        <w:rPr>
          <w:szCs w:val="22"/>
          <w:lang w:val="el-GR"/>
        </w:rPr>
        <w:t xml:space="preserve">παράγραφο 2 </w:t>
      </w:r>
      <w:r>
        <w:rPr>
          <w:b/>
          <w:bCs/>
          <w:color w:val="000000"/>
          <w:szCs w:val="22"/>
          <w:lang w:val="el-GR"/>
        </w:rPr>
        <w:t>«</w:t>
      </w:r>
      <w:r>
        <w:rPr>
          <w:szCs w:val="22"/>
          <w:lang w:val="el-GR"/>
        </w:rPr>
        <w:t>Προειδοποιήσεις και προφυλάξεις</w:t>
      </w:r>
      <w:r>
        <w:rPr>
          <w:color w:val="000000"/>
          <w:szCs w:val="22"/>
          <w:lang w:val="el-GR"/>
        </w:rPr>
        <w:t>»).</w:t>
      </w:r>
    </w:p>
    <w:p>
      <w:pPr>
        <w:widowControl w:val="0"/>
        <w:numPr>
          <w:ilvl w:val="0"/>
          <w:numId w:val="7"/>
        </w:numPr>
        <w:tabs>
          <w:tab w:val="clear" w:pos="567"/>
          <w:tab w:val="clear" w:pos="720"/>
        </w:tabs>
        <w:autoSpaceDE w:val="0"/>
        <w:autoSpaceDN w:val="0"/>
        <w:adjustRightInd w:val="0"/>
        <w:spacing w:line="240" w:lineRule="auto"/>
        <w:ind w:hanging="567"/>
        <w:rPr>
          <w:color w:val="000000"/>
          <w:szCs w:val="22"/>
          <w:lang w:val="el-GR"/>
        </w:rPr>
      </w:pPr>
      <w:r>
        <w:rPr>
          <w:color w:val="000000"/>
          <w:szCs w:val="22"/>
          <w:lang w:val="el-GR"/>
        </w:rPr>
        <w:t>οίδημα στο στόμα ή διαταραχές του δέρματος, όπως εξανθήματα και κνησμό, φλύκταινες του δέρματος. Αυτά πιθανόν είναι σημάδια αλλεργικής αντίδρασης.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
          <w:bCs/>
          <w:color w:val="000000"/>
          <w:szCs w:val="22"/>
          <w:lang w:val="el-GR"/>
        </w:rPr>
      </w:pPr>
      <w:r>
        <w:rPr>
          <w:b/>
          <w:bCs/>
          <w:color w:val="000000"/>
          <w:szCs w:val="22"/>
          <w:lang w:val="el-GR"/>
        </w:rPr>
        <w:t>Η πιο συχνή ανεπιθύμητη ενέργεια που έχει αναφερθεί με το Zyllt είναι η αιμορραγία.</w:t>
      </w:r>
    </w:p>
    <w:p>
      <w:pPr>
        <w:widowControl w:val="0"/>
        <w:autoSpaceDE w:val="0"/>
        <w:autoSpaceDN w:val="0"/>
        <w:adjustRightInd w:val="0"/>
        <w:spacing w:line="240" w:lineRule="auto"/>
        <w:rPr>
          <w:color w:val="000000"/>
          <w:szCs w:val="22"/>
          <w:lang w:val="el-GR"/>
        </w:rPr>
      </w:pPr>
      <w:r>
        <w:rPr>
          <w:color w:val="000000"/>
          <w:szCs w:val="22"/>
          <w:lang w:val="el-GR"/>
        </w:rPr>
        <w:t>Η αιμορραγία πιθανόν να παρουσιαστεί ως αιμορραγία από το στομάχι ή το έντερο, μώλωπες, αιμάτωμα (ασυνήθιστη αιμορραγία ή μώλωπας κάτω από το δέρμα), αιμορραγία από τη μύτη, αίμα στα ούρα. Σε μικρό αριθμό περιπτώσεων έχει αναφερθεί αιμορραγία στα μάτια, στο εσωτερικό του κεφαλιού, στον πνεύμονα ή στις αρθρώσεις.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
          <w:noProof/>
          <w:szCs w:val="22"/>
          <w:lang w:val="el-GR"/>
        </w:rPr>
      </w:pPr>
      <w:r>
        <w:rPr>
          <w:b/>
          <w:bCs/>
          <w:color w:val="000000"/>
          <w:szCs w:val="22"/>
          <w:lang w:val="el-GR"/>
        </w:rPr>
        <w:t xml:space="preserve">Εάν παρατηρήσετε παρατεταμένη αιμορραγία όταν παίρνετε το </w:t>
      </w:r>
      <w:r>
        <w:rPr>
          <w:b/>
          <w:noProof/>
          <w:szCs w:val="22"/>
          <w:lang w:val="el-GR"/>
        </w:rPr>
        <w:t>Zyllt</w:t>
      </w:r>
    </w:p>
    <w:p>
      <w:pPr>
        <w:widowControl w:val="0"/>
        <w:autoSpaceDE w:val="0"/>
        <w:autoSpaceDN w:val="0"/>
        <w:adjustRightInd w:val="0"/>
        <w:spacing w:line="240" w:lineRule="auto"/>
        <w:rPr>
          <w:color w:val="000000"/>
          <w:szCs w:val="22"/>
          <w:lang w:val="el-GR"/>
        </w:rPr>
      </w:pPr>
      <w:r>
        <w:rPr>
          <w:color w:val="000000"/>
          <w:szCs w:val="22"/>
          <w:lang w:val="el-GR"/>
        </w:rPr>
        <w:t xml:space="preserve">Εάν κοπείτε ή τραυματιστείτε, ίσως χρειαστεί περισσότερος από το συνηθισμένο χρόνος για να σταματήσει η αιμορραγία. Αυτό σχετίζεται με τον τρόπο δράσης του φαρμάκου αφού εμποδίζει τη δυνατότητα δημιουργίας θρόμβων. Για μικρής σημασίας κοψίματα και τραυματισμούς, π.χ. εάν κοπείτε, κατά το ξύρισμα, συνήθως δεν υπάρχει πρόβλημα. Παρόλα αυτά, εάν ανησυχείτε λόγω της αιμορραγίας σας, θα πρέπει να επικοινωνήσετε με τον γιατρό σας αμέσως (βλ. </w:t>
      </w:r>
      <w:r>
        <w:rPr>
          <w:szCs w:val="22"/>
          <w:lang w:val="el-GR"/>
        </w:rPr>
        <w:t xml:space="preserve">παράγραφο 2 </w:t>
      </w:r>
      <w:r>
        <w:rPr>
          <w:color w:val="000000"/>
          <w:szCs w:val="22"/>
          <w:lang w:val="el-GR"/>
        </w:rPr>
        <w:t>«</w:t>
      </w:r>
      <w:r>
        <w:rPr>
          <w:szCs w:val="22"/>
          <w:lang w:val="el-GR"/>
        </w:rPr>
        <w:t>Προειδοποιήσεις και προφυλάξεις</w:t>
      </w:r>
      <w:r>
        <w:rPr>
          <w:color w:val="000000"/>
          <w:szCs w:val="22"/>
          <w:lang w:val="el-GR"/>
        </w:rPr>
        <w:t>»).</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
          <w:bCs/>
          <w:color w:val="000000"/>
          <w:szCs w:val="22"/>
          <w:lang w:val="el-GR"/>
        </w:rPr>
      </w:pPr>
      <w:r>
        <w:rPr>
          <w:b/>
          <w:bCs/>
          <w:color w:val="000000"/>
          <w:szCs w:val="22"/>
          <w:lang w:val="el-GR"/>
        </w:rPr>
        <w:t xml:space="preserve">Άλλες ανεπιθύμητες ενέργειες </w:t>
      </w:r>
      <w:r>
        <w:rPr>
          <w:b/>
          <w:szCs w:val="22"/>
          <w:lang w:val="el-GR"/>
        </w:rPr>
        <w:t>περιλαμβάνουν:</w:t>
      </w:r>
    </w:p>
    <w:p>
      <w:pPr>
        <w:widowControl w:val="0"/>
        <w:tabs>
          <w:tab w:val="clear" w:pos="567"/>
        </w:tabs>
        <w:spacing w:line="240" w:lineRule="auto"/>
        <w:rPr>
          <w:szCs w:val="22"/>
          <w:lang w:val="el-GR"/>
        </w:rPr>
      </w:pPr>
      <w:r>
        <w:rPr>
          <w:szCs w:val="22"/>
          <w:lang w:val="el-GR"/>
        </w:rPr>
        <w:t>Συχνές ανεπιθύμητες ενέργειες (ενδέχεται να επηρεάσουν έως 1 στα 10 άτομα):</w:t>
      </w:r>
    </w:p>
    <w:p>
      <w:pPr>
        <w:widowControl w:val="0"/>
        <w:tabs>
          <w:tab w:val="clear" w:pos="567"/>
        </w:tabs>
        <w:spacing w:line="240" w:lineRule="auto"/>
        <w:rPr>
          <w:szCs w:val="22"/>
          <w:lang w:val="el-GR"/>
        </w:rPr>
      </w:pPr>
      <w:r>
        <w:rPr>
          <w:szCs w:val="22"/>
          <w:lang w:val="el-GR"/>
        </w:rPr>
        <w:t>Διάρροια, κοιλιακός πόνος, δυσπεψία ή καύσος.</w:t>
      </w:r>
    </w:p>
    <w:p>
      <w:pPr>
        <w:widowControl w:val="0"/>
        <w:tabs>
          <w:tab w:val="clear" w:pos="567"/>
        </w:tabs>
        <w:spacing w:line="240" w:lineRule="auto"/>
        <w:rPr>
          <w:szCs w:val="22"/>
          <w:lang w:val="el-GR"/>
        </w:rPr>
      </w:pPr>
    </w:p>
    <w:p>
      <w:pPr>
        <w:widowControl w:val="0"/>
        <w:tabs>
          <w:tab w:val="clear" w:pos="567"/>
        </w:tabs>
        <w:spacing w:line="240" w:lineRule="auto"/>
        <w:rPr>
          <w:szCs w:val="22"/>
          <w:lang w:val="el-GR"/>
        </w:rPr>
      </w:pPr>
      <w:r>
        <w:rPr>
          <w:szCs w:val="22"/>
          <w:lang w:val="el-GR"/>
        </w:rPr>
        <w:t>Όχι συχνές ανεπιθύμητες ενέργειες (ενδέχεται να επηρεάσουν έως 1 στα 100 άτομα):</w:t>
      </w:r>
    </w:p>
    <w:p>
      <w:pPr>
        <w:widowControl w:val="0"/>
        <w:tabs>
          <w:tab w:val="clear" w:pos="567"/>
        </w:tabs>
        <w:spacing w:line="240" w:lineRule="auto"/>
        <w:rPr>
          <w:szCs w:val="22"/>
          <w:lang w:val="el-GR"/>
        </w:rPr>
      </w:pPr>
      <w:r>
        <w:rPr>
          <w:szCs w:val="22"/>
          <w:lang w:val="el-GR"/>
        </w:rPr>
        <w:t xml:space="preserve">Πονοκέφαλος, έλκος στομάχου, έμετος, ναυτία, δυσκοιλιότητα, υπερβολικά πολλά αέρια στο στομάχι ή στο έντερο, εξανθήματα, κνησμός, ζάλη, αίσθηση </w:t>
      </w:r>
      <w:r>
        <w:rPr>
          <w:bCs/>
          <w:color w:val="000000"/>
          <w:szCs w:val="22"/>
          <w:lang w:val="el-GR"/>
        </w:rPr>
        <w:t>μυρμηγκιάσματος</w:t>
      </w:r>
      <w:r>
        <w:rPr>
          <w:szCs w:val="22"/>
          <w:lang w:val="el-GR"/>
        </w:rPr>
        <w:t xml:space="preserve"> και μουδιάσματος.</w:t>
      </w:r>
    </w:p>
    <w:p>
      <w:pPr>
        <w:widowControl w:val="0"/>
        <w:tabs>
          <w:tab w:val="clear" w:pos="567"/>
        </w:tabs>
        <w:spacing w:line="240" w:lineRule="auto"/>
        <w:rPr>
          <w:szCs w:val="22"/>
          <w:lang w:val="el-GR"/>
        </w:rPr>
      </w:pPr>
    </w:p>
    <w:p>
      <w:pPr>
        <w:widowControl w:val="0"/>
        <w:tabs>
          <w:tab w:val="clear" w:pos="567"/>
        </w:tabs>
        <w:spacing w:line="240" w:lineRule="auto"/>
        <w:rPr>
          <w:szCs w:val="22"/>
          <w:lang w:val="el-GR"/>
        </w:rPr>
      </w:pPr>
      <w:r>
        <w:rPr>
          <w:szCs w:val="22"/>
          <w:lang w:val="el-GR"/>
        </w:rPr>
        <w:t>Σπάνιες ανεπιθύμητες ενέργειες (ενδέχεται να επηρεάσουν έως 1 στα 1000 άτομα):</w:t>
      </w:r>
    </w:p>
    <w:p>
      <w:pPr>
        <w:widowControl w:val="0"/>
        <w:tabs>
          <w:tab w:val="clear" w:pos="567"/>
        </w:tabs>
        <w:spacing w:line="240" w:lineRule="auto"/>
        <w:rPr>
          <w:szCs w:val="22"/>
          <w:lang w:val="el-GR"/>
        </w:rPr>
      </w:pPr>
      <w:r>
        <w:rPr>
          <w:szCs w:val="22"/>
          <w:lang w:val="el-GR"/>
        </w:rPr>
        <w:t>Ίλιγγος</w:t>
      </w:r>
      <w:r>
        <w:rPr>
          <w:lang w:val="el-GR"/>
        </w:rPr>
        <w:t>, διογκωμένο στήθος στους άνδρες</w:t>
      </w:r>
      <w:r>
        <w:rPr>
          <w:szCs w:val="22"/>
          <w:lang w:val="el-GR"/>
        </w:rPr>
        <w:t>.</w:t>
      </w:r>
    </w:p>
    <w:p>
      <w:pPr>
        <w:widowControl w:val="0"/>
        <w:tabs>
          <w:tab w:val="clear" w:pos="567"/>
        </w:tabs>
        <w:spacing w:line="240" w:lineRule="auto"/>
        <w:rPr>
          <w:szCs w:val="22"/>
          <w:lang w:val="el-GR"/>
        </w:rPr>
      </w:pPr>
    </w:p>
    <w:p>
      <w:pPr>
        <w:widowControl w:val="0"/>
        <w:tabs>
          <w:tab w:val="clear" w:pos="567"/>
        </w:tabs>
        <w:spacing w:line="240" w:lineRule="auto"/>
        <w:rPr>
          <w:szCs w:val="22"/>
          <w:lang w:val="el-GR"/>
        </w:rPr>
      </w:pPr>
      <w:bookmarkStart w:id="32" w:name="_Hlk481134439"/>
      <w:r>
        <w:rPr>
          <w:szCs w:val="22"/>
          <w:lang w:val="el-GR"/>
        </w:rPr>
        <w:t>Πολύ σπάνιες ανεπιθύμητες ενέργειες (ενδέχεται να επηρεάσουν έως 1 στα 10.000 άτομα):</w:t>
      </w:r>
    </w:p>
    <w:p>
      <w:pPr>
        <w:widowControl w:val="0"/>
        <w:tabs>
          <w:tab w:val="clear" w:pos="567"/>
        </w:tabs>
        <w:spacing w:line="240" w:lineRule="auto"/>
        <w:rPr>
          <w:szCs w:val="22"/>
          <w:lang w:val="el-GR"/>
        </w:rPr>
      </w:pPr>
      <w:r>
        <w:rPr>
          <w:szCs w:val="22"/>
          <w:lang w:val="el-GR"/>
        </w:rPr>
        <w:t>Ίκτερος, έντονος κοιλιακός πόνος με ή χωρίς οσφυαλγία, πυρετός, δυσκολία στην αναπνοή που μερικές φορές συνοδεύεται από βήχα, γενικευμένες αλλεργικές αντιδράσεις (για παράδειγμα, γενική αίσθηση ζέστης με ξαφνική γενικευμένη δυσφορία μέχρι λιποθυμίας), οίδημα στο στόμα, φλύκταινες του δέρματος, αλλεργία του δέρματος, έλκη στο στόμα (στοματίτιδα), πτώση της αρτηριακής πίεσης, σύγχυση, ψευδαισθήσεις, πόνος στις αρθρώσεις, μυϊκός πόνος, αλλαγές στη γεύση ή απώλεια της γεύσης των τροφών.</w:t>
      </w:r>
    </w:p>
    <w:p>
      <w:pPr>
        <w:widowControl w:val="0"/>
        <w:tabs>
          <w:tab w:val="clear" w:pos="567"/>
        </w:tabs>
        <w:spacing w:line="240" w:lineRule="auto"/>
        <w:rPr>
          <w:szCs w:val="22"/>
          <w:lang w:val="el-GR"/>
        </w:rPr>
      </w:pPr>
    </w:p>
    <w:p>
      <w:pPr>
        <w:widowControl w:val="0"/>
        <w:tabs>
          <w:tab w:val="clear" w:pos="567"/>
        </w:tabs>
        <w:spacing w:line="240" w:lineRule="auto"/>
        <w:rPr>
          <w:szCs w:val="22"/>
          <w:lang w:val="el-GR"/>
        </w:rPr>
      </w:pPr>
      <w:bookmarkStart w:id="33" w:name="_Hlk481064614"/>
      <w:r>
        <w:rPr>
          <w:lang w:val="el-GR"/>
        </w:rPr>
        <w:t>Ανεπιθύμητες ενέργειες με μη γνωστή συχνότητα (η συχνότητα δεν μπορεί να εκτιμηθεί με βάση τα διαθέσιμα δεδομένα): Αντιδράσεις υπερευαισθησίας με πόνο στο στήθος ή κοιλιακό πόνο,</w:t>
      </w:r>
      <w:bookmarkStart w:id="34" w:name="_Hlk6325645"/>
      <w:r>
        <w:rPr>
          <w:szCs w:val="22"/>
          <w:lang w:val="el-GR"/>
        </w:rPr>
        <w:t xml:space="preserve"> επίμονα συμπτώματα χαμηλού σακχάρου στο αίμα</w:t>
      </w:r>
      <w:bookmarkEnd w:id="34"/>
      <w:r>
        <w:rPr>
          <w:lang w:val="el-GR"/>
        </w:rPr>
        <w:t>.</w:t>
      </w:r>
    </w:p>
    <w:bookmarkEnd w:id="33"/>
    <w:p>
      <w:pPr>
        <w:widowControl w:val="0"/>
        <w:tabs>
          <w:tab w:val="clear" w:pos="567"/>
          <w:tab w:val="left" w:pos="540"/>
        </w:tabs>
        <w:spacing w:line="240" w:lineRule="auto"/>
        <w:rPr>
          <w:szCs w:val="22"/>
          <w:lang w:val="el-GR"/>
        </w:rPr>
      </w:pPr>
    </w:p>
    <w:bookmarkEnd w:id="32"/>
    <w:p>
      <w:pPr>
        <w:widowControl w:val="0"/>
        <w:tabs>
          <w:tab w:val="clear" w:pos="567"/>
          <w:tab w:val="left" w:pos="540"/>
        </w:tabs>
        <w:spacing w:line="240" w:lineRule="auto"/>
        <w:rPr>
          <w:szCs w:val="22"/>
          <w:lang w:val="el-GR"/>
        </w:rPr>
      </w:pPr>
      <w:r>
        <w:rPr>
          <w:szCs w:val="22"/>
          <w:lang w:val="el-GR"/>
        </w:rPr>
        <w:t>Επιπλέον, ο γιατρός σας μπορεί να αναγνωρίσει μεταβολές στα αποτελέσματα των αιματολογικών εξετάσεων ή των αναλύσεων ούρων.</w:t>
      </w:r>
    </w:p>
    <w:p>
      <w:pPr>
        <w:widowControl w:val="0"/>
        <w:tabs>
          <w:tab w:val="clear" w:pos="567"/>
          <w:tab w:val="left" w:pos="540"/>
        </w:tabs>
        <w:spacing w:line="240" w:lineRule="auto"/>
        <w:rPr>
          <w:szCs w:val="22"/>
          <w:lang w:val="el-GR"/>
        </w:rPr>
      </w:pPr>
    </w:p>
    <w:p>
      <w:pPr>
        <w:widowControl w:val="0"/>
        <w:spacing w:line="240" w:lineRule="auto"/>
        <w:rPr>
          <w:b/>
          <w:noProof/>
          <w:szCs w:val="22"/>
          <w:lang w:val="el-GR"/>
        </w:rPr>
      </w:pPr>
      <w:r>
        <w:rPr>
          <w:b/>
          <w:noProof/>
          <w:szCs w:val="22"/>
          <w:lang w:val="el-GR"/>
        </w:rPr>
        <w:t>Αναφορά ανεπιθύμητων ενεργειών</w:t>
      </w:r>
    </w:p>
    <w:p>
      <w:pPr>
        <w:widowControl w:val="0"/>
        <w:spacing w:line="240" w:lineRule="auto"/>
        <w:rPr>
          <w:noProof/>
          <w:szCs w:val="22"/>
          <w:lang w:val="el-GR"/>
        </w:rPr>
      </w:pPr>
      <w:r>
        <w:rPr>
          <w:szCs w:val="22"/>
          <w:lang w:val="el-GR"/>
        </w:rPr>
        <w:t>Εάν παρατηρήσετε κάποια ανεπιθύμητη ενέργεια, ενημερώστε τον γιατρό</w:t>
      </w:r>
      <w:r>
        <w:rPr>
          <w:szCs w:val="22"/>
          <w:lang w:val="sl-SI"/>
        </w:rPr>
        <w:t xml:space="preserve"> </w:t>
      </w:r>
      <w:r>
        <w:rPr>
          <w:szCs w:val="22"/>
          <w:lang w:val="el-GR"/>
        </w:rPr>
        <w:t>ή</w:t>
      </w:r>
      <w:r>
        <w:rPr>
          <w:szCs w:val="22"/>
          <w:lang w:val="sl-SI"/>
        </w:rPr>
        <w:t xml:space="preserve"> </w:t>
      </w:r>
      <w:r>
        <w:rPr>
          <w:szCs w:val="22"/>
          <w:lang w:val="el-GR"/>
        </w:rPr>
        <w:t>τον</w:t>
      </w:r>
      <w:r>
        <w:rPr>
          <w:szCs w:val="22"/>
          <w:lang w:val="sl-SI"/>
        </w:rPr>
        <w:t xml:space="preserve"> </w:t>
      </w:r>
      <w:r>
        <w:rPr>
          <w:szCs w:val="22"/>
          <w:lang w:val="el-GR"/>
        </w:rPr>
        <w:t>φαρμακοποιό σας. Αυτό ισχύει και για κάθε πιθανή ανεπιθύμητη ενέργεια που δεν αναφέρεται στο παρόν φύλλο οδηγιών χρήσης.</w:t>
      </w:r>
      <w:r>
        <w:rPr>
          <w:noProof/>
          <w:szCs w:val="22"/>
          <w:lang w:val="el-GR"/>
        </w:rPr>
        <w:t xml:space="preserve"> </w:t>
      </w:r>
      <w:r>
        <w:rPr>
          <w:szCs w:val="22"/>
          <w:lang w:val="el-GR"/>
        </w:rPr>
        <w:t>Μπορείτε επίσης να αναφέρετε ανεπιθύμητες ενέργειες</w:t>
      </w:r>
      <w:r>
        <w:rPr>
          <w:noProof/>
          <w:szCs w:val="22"/>
          <w:lang w:val="el-GR"/>
        </w:rPr>
        <w:t xml:space="preserve"> </w:t>
      </w:r>
      <w:r>
        <w:rPr>
          <w:szCs w:val="22"/>
          <w:lang w:val="el-GR"/>
        </w:rPr>
        <w:t>απευθείας</w:t>
      </w:r>
      <w:r>
        <w:rPr>
          <w:noProof/>
          <w:szCs w:val="22"/>
          <w:lang w:val="el-GR"/>
        </w:rPr>
        <w:t xml:space="preserve">, μέσω </w:t>
      </w:r>
      <w:r>
        <w:rPr>
          <w:noProof/>
          <w:szCs w:val="22"/>
          <w:highlight w:val="lightGray"/>
          <w:lang w:val="el-GR"/>
        </w:rPr>
        <w:t xml:space="preserve">του εθνικού συστήματος αναφοράς που αναγράφεται στο </w:t>
      </w:r>
      <w:hyperlink r:id="rId11" w:history="1">
        <w:r>
          <w:rPr>
            <w:rStyle w:val="Hyperlink"/>
            <w:szCs w:val="22"/>
            <w:highlight w:val="lightGray"/>
            <w:lang w:val="el-GR"/>
          </w:rPr>
          <w:t xml:space="preserve">Παράρτημα </w:t>
        </w:r>
        <w:r>
          <w:rPr>
            <w:rStyle w:val="Hyperlink"/>
            <w:szCs w:val="22"/>
            <w:highlight w:val="lightGray"/>
          </w:rPr>
          <w:t>V</w:t>
        </w:r>
      </w:hyperlink>
      <w:r>
        <w:rPr>
          <w:noProof/>
          <w:szCs w:val="22"/>
          <w:lang w:val="el-GR"/>
        </w:rPr>
        <w:t>.</w:t>
      </w:r>
      <w:r>
        <w:rPr>
          <w:szCs w:val="22"/>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noProof/>
          <w:szCs w:val="22"/>
          <w:lang w:val="el-GR"/>
        </w:rPr>
        <w:t>.</w:t>
      </w:r>
    </w:p>
    <w:p>
      <w:pPr>
        <w:widowControl w:val="0"/>
        <w:spacing w:line="240" w:lineRule="auto"/>
        <w:rPr>
          <w:b/>
          <w:noProof/>
          <w:szCs w:val="22"/>
          <w:lang w:val="el-GR"/>
        </w:rPr>
      </w:pPr>
    </w:p>
    <w:p>
      <w:pPr>
        <w:widowControl w:val="0"/>
        <w:spacing w:line="240" w:lineRule="auto"/>
        <w:rPr>
          <w:b/>
          <w:noProof/>
          <w:szCs w:val="22"/>
          <w:lang w:val="el-GR"/>
        </w:rPr>
      </w:pPr>
    </w:p>
    <w:p>
      <w:pPr>
        <w:widowControl w:val="0"/>
        <w:tabs>
          <w:tab w:val="clear" w:pos="567"/>
        </w:tabs>
        <w:spacing w:line="240" w:lineRule="auto"/>
        <w:ind w:left="567" w:hanging="567"/>
        <w:rPr>
          <w:b/>
          <w:noProof/>
          <w:szCs w:val="22"/>
          <w:lang w:val="el-GR"/>
        </w:rPr>
      </w:pPr>
      <w:r>
        <w:rPr>
          <w:b/>
          <w:noProof/>
          <w:szCs w:val="22"/>
          <w:lang w:val="el-GR"/>
        </w:rPr>
        <w:t>5.</w:t>
      </w:r>
      <w:r>
        <w:rPr>
          <w:b/>
          <w:noProof/>
          <w:szCs w:val="22"/>
          <w:lang w:val="el-GR"/>
        </w:rPr>
        <w:tab/>
      </w:r>
      <w:r>
        <w:rPr>
          <w:b/>
          <w:lang w:val="el-GR"/>
        </w:rPr>
        <w:t>Πώς</w:t>
      </w:r>
      <w:r>
        <w:rPr>
          <w:b/>
          <w:noProof/>
          <w:szCs w:val="22"/>
          <w:lang w:val="el-GR"/>
        </w:rPr>
        <w:t xml:space="preserve"> να </w:t>
      </w:r>
      <w:r>
        <w:rPr>
          <w:b/>
          <w:lang w:val="el-GR"/>
        </w:rPr>
        <w:t>φυλάσσετε</w:t>
      </w:r>
      <w:r>
        <w:rPr>
          <w:b/>
          <w:noProof/>
          <w:szCs w:val="22"/>
          <w:lang w:val="el-GR"/>
        </w:rPr>
        <w:t xml:space="preserve"> το </w:t>
      </w:r>
      <w:r>
        <w:rPr>
          <w:b/>
          <w:noProof/>
          <w:szCs w:val="22"/>
          <w:lang w:val="sl-SI"/>
        </w:rPr>
        <w:t>Z</w:t>
      </w:r>
      <w:r>
        <w:rPr>
          <w:b/>
          <w:noProof/>
          <w:szCs w:val="22"/>
          <w:lang w:val="el-GR"/>
        </w:rPr>
        <w:t>yllt</w:t>
      </w:r>
    </w:p>
    <w:p>
      <w:pPr>
        <w:widowControl w:val="0"/>
        <w:autoSpaceDE w:val="0"/>
        <w:autoSpaceDN w:val="0"/>
        <w:adjustRightInd w:val="0"/>
        <w:spacing w:line="240" w:lineRule="auto"/>
        <w:rPr>
          <w:color w:val="000000"/>
          <w:szCs w:val="22"/>
          <w:lang w:val="sl-SI"/>
        </w:rPr>
      </w:pPr>
    </w:p>
    <w:p>
      <w:pPr>
        <w:widowControl w:val="0"/>
        <w:spacing w:line="240" w:lineRule="auto"/>
        <w:rPr>
          <w:szCs w:val="22"/>
          <w:lang w:val="el-GR"/>
        </w:rPr>
      </w:pPr>
      <w:r>
        <w:rPr>
          <w:szCs w:val="22"/>
          <w:lang w:val="el-GR"/>
        </w:rPr>
        <w:t>Το φάρμακο αυτό πρέπει να φυλάσσεται σε μέρη που δεν το βλέπουν και δεν το φθάνουν τα παιδιά.</w:t>
      </w:r>
    </w:p>
    <w:p>
      <w:pPr>
        <w:widowControl w:val="0"/>
        <w:autoSpaceDE w:val="0"/>
        <w:autoSpaceDN w:val="0"/>
        <w:adjustRightInd w:val="0"/>
        <w:spacing w:line="240" w:lineRule="auto"/>
        <w:rPr>
          <w:color w:val="000000"/>
          <w:szCs w:val="22"/>
          <w:lang w:val="sl-SI"/>
        </w:rPr>
      </w:pPr>
    </w:p>
    <w:p>
      <w:pPr>
        <w:widowControl w:val="0"/>
        <w:spacing w:line="240" w:lineRule="auto"/>
        <w:rPr>
          <w:szCs w:val="22"/>
          <w:lang w:val="sl-SI"/>
        </w:rPr>
      </w:pPr>
      <w:r>
        <w:rPr>
          <w:szCs w:val="22"/>
          <w:lang w:val="el-GR"/>
        </w:rPr>
        <w:t xml:space="preserve">Να μη χρησιμοποιείτε αυτό το φάρμακο μετά την ημερομηνία λήξης που αναφέρεται στο κουτί και στην κυψέλη μετά το </w:t>
      </w:r>
      <w:r>
        <w:rPr>
          <w:szCs w:val="22"/>
          <w:lang w:val="sl-SI"/>
        </w:rPr>
        <w:t>EXP</w:t>
      </w:r>
      <w:r>
        <w:rPr>
          <w:szCs w:val="22"/>
          <w:lang w:val="el-GR"/>
        </w:rPr>
        <w:t>. Η ημερομηνία λήξης είναι η τελευταία ημέρα του μήνα που αναφέρεται εκεί.</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bCs/>
          <w:color w:val="000000"/>
          <w:szCs w:val="22"/>
          <w:lang w:val="el-GR"/>
        </w:rPr>
      </w:pPr>
      <w:r>
        <w:rPr>
          <w:bCs/>
          <w:color w:val="000000"/>
          <w:szCs w:val="22"/>
          <w:lang w:val="el-GR"/>
        </w:rPr>
        <w:t>Φυλάσσετε στην αρχική συσκευασία για να προστατεύεται από την υγρασία και το φως.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szCs w:val="22"/>
          <w:lang w:val="el-GR"/>
        </w:rPr>
        <w:t xml:space="preserve">Μην πετάτε φάρμακα στο νερό της αποχέτευσης ή στα </w:t>
      </w:r>
      <w:r>
        <w:rPr>
          <w:lang w:val="el-GR"/>
        </w:rPr>
        <w:t>οικιακά απορρίμματα.</w:t>
      </w:r>
      <w:r>
        <w:rPr>
          <w:szCs w:val="22"/>
          <w:lang w:val="el-GR"/>
        </w:rPr>
        <w:t xml:space="preserve">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r>
        <w:rPr>
          <w:color w:val="000000"/>
          <w:szCs w:val="22"/>
          <w:lang w:val="el-GR"/>
        </w:rPr>
        <w:t>.</w:t>
      </w:r>
    </w:p>
    <w:p>
      <w:pPr>
        <w:widowControl w:val="0"/>
        <w:autoSpaceDE w:val="0"/>
        <w:autoSpaceDN w:val="0"/>
        <w:adjustRightInd w:val="0"/>
        <w:spacing w:line="240" w:lineRule="auto"/>
        <w:rPr>
          <w:color w:val="000000"/>
          <w:szCs w:val="22"/>
          <w:lang w:val="el-GR"/>
        </w:rPr>
      </w:pPr>
    </w:p>
    <w:p>
      <w:pPr>
        <w:widowControl w:val="0"/>
        <w:spacing w:line="240" w:lineRule="auto"/>
        <w:rPr>
          <w:noProof/>
          <w:szCs w:val="22"/>
          <w:lang w:val="el-GR"/>
        </w:rPr>
      </w:pPr>
    </w:p>
    <w:p>
      <w:pPr>
        <w:widowControl w:val="0"/>
        <w:tabs>
          <w:tab w:val="clear" w:pos="567"/>
        </w:tabs>
        <w:spacing w:line="240" w:lineRule="auto"/>
        <w:ind w:left="567" w:hanging="567"/>
        <w:rPr>
          <w:b/>
          <w:lang w:val="el-GR"/>
        </w:rPr>
      </w:pPr>
      <w:r>
        <w:rPr>
          <w:b/>
          <w:noProof/>
          <w:szCs w:val="22"/>
          <w:lang w:val="el-GR"/>
        </w:rPr>
        <w:t>6.</w:t>
      </w:r>
      <w:r>
        <w:rPr>
          <w:b/>
          <w:noProof/>
          <w:szCs w:val="22"/>
          <w:lang w:val="el-GR"/>
        </w:rPr>
        <w:tab/>
      </w:r>
      <w:r>
        <w:rPr>
          <w:b/>
          <w:szCs w:val="22"/>
          <w:lang w:val="el-GR"/>
        </w:rPr>
        <w:t>Περιεχόμενα της συσκευασίας και λοιπές πληροφορίες</w:t>
      </w:r>
    </w:p>
    <w:p>
      <w:pPr>
        <w:widowControl w:val="0"/>
        <w:spacing w:line="240" w:lineRule="auto"/>
        <w:rPr>
          <w:noProof/>
          <w:szCs w:val="22"/>
          <w:lang w:val="el-GR"/>
        </w:rPr>
      </w:pPr>
    </w:p>
    <w:p>
      <w:pPr>
        <w:widowControl w:val="0"/>
        <w:autoSpaceDE w:val="0"/>
        <w:autoSpaceDN w:val="0"/>
        <w:adjustRightInd w:val="0"/>
        <w:spacing w:line="240" w:lineRule="auto"/>
        <w:rPr>
          <w:b/>
          <w:noProof/>
          <w:szCs w:val="22"/>
          <w:lang w:val="el-GR"/>
        </w:rPr>
      </w:pPr>
      <w:r>
        <w:rPr>
          <w:b/>
          <w:bCs/>
          <w:color w:val="000000"/>
          <w:szCs w:val="22"/>
          <w:lang w:val="el-GR"/>
        </w:rPr>
        <w:t xml:space="preserve">Τι περιέχει το </w:t>
      </w:r>
      <w:r>
        <w:rPr>
          <w:b/>
          <w:noProof/>
          <w:szCs w:val="22"/>
          <w:lang w:val="el-GR"/>
        </w:rPr>
        <w:t>Zyllt</w:t>
      </w:r>
    </w:p>
    <w:p>
      <w:pPr>
        <w:widowControl w:val="0"/>
        <w:numPr>
          <w:ilvl w:val="0"/>
          <w:numId w:val="45"/>
        </w:numPr>
        <w:tabs>
          <w:tab w:val="clear" w:pos="567"/>
        </w:tabs>
        <w:autoSpaceDE w:val="0"/>
        <w:autoSpaceDN w:val="0"/>
        <w:adjustRightInd w:val="0"/>
        <w:spacing w:line="240" w:lineRule="auto"/>
        <w:ind w:left="567" w:hanging="567"/>
        <w:rPr>
          <w:color w:val="000000"/>
          <w:szCs w:val="22"/>
          <w:lang w:val="el-GR"/>
        </w:rPr>
      </w:pPr>
      <w:r>
        <w:rPr>
          <w:szCs w:val="22"/>
          <w:lang w:val="el-GR"/>
        </w:rPr>
        <w:t xml:space="preserve">Η δραστική ουσία είναι η κλοπιδογρέλη. </w:t>
      </w:r>
      <w:r>
        <w:rPr>
          <w:color w:val="000000"/>
          <w:szCs w:val="22"/>
          <w:lang w:val="el-GR"/>
        </w:rPr>
        <w:t xml:space="preserve">Κάθε επικαλυμμένο με λεπτό υμένιο δισκίο περιέχει </w:t>
      </w:r>
      <w:r>
        <w:rPr>
          <w:noProof/>
          <w:szCs w:val="22"/>
          <w:lang w:val="el-GR"/>
        </w:rPr>
        <w:t>75 mg</w:t>
      </w:r>
      <w:r>
        <w:rPr>
          <w:color w:val="000000"/>
          <w:szCs w:val="22"/>
          <w:lang w:val="el-GR"/>
        </w:rPr>
        <w:t xml:space="preserve"> κλοπιδογρέλης (ως όξινο θειικό άλας).</w:t>
      </w:r>
    </w:p>
    <w:p>
      <w:pPr>
        <w:widowControl w:val="0"/>
        <w:numPr>
          <w:ilvl w:val="0"/>
          <w:numId w:val="45"/>
        </w:numPr>
        <w:tabs>
          <w:tab w:val="clear" w:pos="567"/>
        </w:tabs>
        <w:autoSpaceDE w:val="0"/>
        <w:autoSpaceDN w:val="0"/>
        <w:adjustRightInd w:val="0"/>
        <w:spacing w:line="240" w:lineRule="auto"/>
        <w:ind w:left="567" w:hanging="567"/>
        <w:rPr>
          <w:b/>
          <w:bCs/>
          <w:szCs w:val="22"/>
          <w:lang w:val="el-GR"/>
        </w:rPr>
      </w:pPr>
      <w:r>
        <w:rPr>
          <w:color w:val="000000"/>
          <w:szCs w:val="22"/>
          <w:lang w:val="el-GR"/>
        </w:rPr>
        <w:t xml:space="preserve">Τα άλλα συστατικά είναι λακτόζη (βλ. παράγραφο 2 «To </w:t>
      </w:r>
      <w:r>
        <w:rPr>
          <w:szCs w:val="22"/>
          <w:lang w:val="en-US"/>
        </w:rPr>
        <w:t>Zyllt</w:t>
      </w:r>
      <w:r>
        <w:rPr>
          <w:szCs w:val="22"/>
          <w:lang w:val="el-GR"/>
        </w:rPr>
        <w:t xml:space="preserve"> </w:t>
      </w:r>
      <w:r>
        <w:rPr>
          <w:color w:val="000000"/>
          <w:szCs w:val="22"/>
          <w:lang w:val="el-GR"/>
        </w:rPr>
        <w:t xml:space="preserve">περιέχει λακτόζη»), κυτταρίνη μικροκρυσταλλική, προζελατινοποιημένο άμυλο αραβοσίτου, πολυαιθυλενογλυκόλη 6000, κικέλαιο υδρογονωμένο στον πυρήνα του δισκίου και υπρομελλόζη </w:t>
      </w:r>
      <w:r>
        <w:rPr>
          <w:noProof/>
          <w:szCs w:val="22"/>
          <w:lang w:val="el-GR"/>
        </w:rPr>
        <w:t>(E464),</w:t>
      </w:r>
      <w:r>
        <w:rPr>
          <w:color w:val="000000"/>
          <w:szCs w:val="22"/>
          <w:lang w:val="el-GR"/>
        </w:rPr>
        <w:t xml:space="preserve"> τιτανίου διοξείδιο (Ε171), σιδήρου οξείδιο ερυθρό (Ε172), τάλκης, και προπυλενογλυκόλη στην επικάλυψη του δισκίου.</w:t>
      </w:r>
    </w:p>
    <w:p>
      <w:pPr>
        <w:widowControl w:val="0"/>
        <w:spacing w:line="240" w:lineRule="auto"/>
        <w:rPr>
          <w:b/>
          <w:bCs/>
          <w:noProof/>
          <w:szCs w:val="22"/>
          <w:lang w:val="el-GR"/>
        </w:rPr>
      </w:pPr>
    </w:p>
    <w:p>
      <w:pPr>
        <w:widowControl w:val="0"/>
        <w:autoSpaceDE w:val="0"/>
        <w:autoSpaceDN w:val="0"/>
        <w:adjustRightInd w:val="0"/>
        <w:spacing w:line="240" w:lineRule="auto"/>
        <w:rPr>
          <w:b/>
          <w:bCs/>
          <w:color w:val="000000"/>
          <w:szCs w:val="22"/>
          <w:lang w:val="el-GR"/>
        </w:rPr>
      </w:pPr>
      <w:r>
        <w:rPr>
          <w:b/>
          <w:bCs/>
          <w:color w:val="000000"/>
          <w:szCs w:val="22"/>
          <w:lang w:val="el-GR"/>
        </w:rPr>
        <w:t xml:space="preserve">Εμφάνιση του </w:t>
      </w:r>
      <w:r>
        <w:rPr>
          <w:b/>
          <w:noProof/>
          <w:szCs w:val="22"/>
          <w:lang w:val="el-GR"/>
        </w:rPr>
        <w:t>Zyllt</w:t>
      </w:r>
      <w:r>
        <w:rPr>
          <w:b/>
          <w:bCs/>
          <w:color w:val="000000"/>
          <w:szCs w:val="22"/>
          <w:lang w:val="el-GR"/>
        </w:rPr>
        <w:t xml:space="preserve"> και περιεχόμενα της συσκευασίας</w:t>
      </w:r>
    </w:p>
    <w:p>
      <w:pPr>
        <w:widowControl w:val="0"/>
        <w:autoSpaceDE w:val="0"/>
        <w:autoSpaceDN w:val="0"/>
        <w:adjustRightInd w:val="0"/>
        <w:spacing w:line="240" w:lineRule="auto"/>
        <w:rPr>
          <w:color w:val="000000"/>
          <w:szCs w:val="22"/>
          <w:lang w:val="el-GR"/>
        </w:rPr>
      </w:pPr>
      <w:r>
        <w:rPr>
          <w:color w:val="000000"/>
          <w:szCs w:val="22"/>
          <w:lang w:val="el-GR"/>
        </w:rPr>
        <w:t>Τα επικαλυμμένα με λεπτό υμένιο δισκία είναι ροζ, στρογγυλά και ελαφρώς κυρτά.</w:t>
      </w:r>
    </w:p>
    <w:p>
      <w:pPr>
        <w:widowControl w:val="0"/>
        <w:autoSpaceDE w:val="0"/>
        <w:autoSpaceDN w:val="0"/>
        <w:adjustRightInd w:val="0"/>
        <w:spacing w:line="240" w:lineRule="auto"/>
        <w:rPr>
          <w:color w:val="000000"/>
          <w:szCs w:val="22"/>
          <w:lang w:val="el-GR"/>
        </w:rPr>
      </w:pPr>
      <w:r>
        <w:rPr>
          <w:color w:val="000000"/>
          <w:szCs w:val="22"/>
          <w:lang w:val="el-GR"/>
        </w:rPr>
        <w:t>Διατίθενται σε κουτιά που περιέχουν 7, 14, 28, 30, 50, 56, 60, 84, 90 και 100 επικαλυμμένα με λεπτό υμένιο δισκία συσκευασμένα σε κυψέλες.</w:t>
      </w:r>
    </w:p>
    <w:p>
      <w:pPr>
        <w:widowControl w:val="0"/>
        <w:autoSpaceDE w:val="0"/>
        <w:autoSpaceDN w:val="0"/>
        <w:adjustRightInd w:val="0"/>
        <w:spacing w:line="240" w:lineRule="auto"/>
        <w:rPr>
          <w:color w:val="000000"/>
          <w:szCs w:val="22"/>
          <w:lang w:val="el-GR"/>
        </w:rPr>
      </w:pPr>
    </w:p>
    <w:p>
      <w:pPr>
        <w:widowControl w:val="0"/>
        <w:autoSpaceDE w:val="0"/>
        <w:autoSpaceDN w:val="0"/>
        <w:adjustRightInd w:val="0"/>
        <w:spacing w:line="240" w:lineRule="auto"/>
        <w:rPr>
          <w:color w:val="000000"/>
          <w:szCs w:val="22"/>
          <w:lang w:val="el-GR"/>
        </w:rPr>
      </w:pPr>
      <w:r>
        <w:rPr>
          <w:color w:val="000000"/>
          <w:szCs w:val="22"/>
          <w:lang w:val="el-GR"/>
        </w:rPr>
        <w:t>Μπορεί να μην κυκλοφορούν όλες οι συσκευασίες.</w:t>
      </w:r>
    </w:p>
    <w:p>
      <w:pPr>
        <w:widowControl w:val="0"/>
        <w:spacing w:line="240" w:lineRule="auto"/>
        <w:rPr>
          <w:b/>
          <w:bCs/>
          <w:noProof/>
          <w:szCs w:val="22"/>
          <w:lang w:val="el-GR"/>
        </w:rPr>
      </w:pPr>
    </w:p>
    <w:p>
      <w:pPr>
        <w:widowControl w:val="0"/>
        <w:autoSpaceDE w:val="0"/>
        <w:autoSpaceDN w:val="0"/>
        <w:adjustRightInd w:val="0"/>
        <w:spacing w:line="240" w:lineRule="auto"/>
        <w:rPr>
          <w:b/>
          <w:bCs/>
          <w:color w:val="000000"/>
          <w:szCs w:val="22"/>
          <w:lang w:val="el-GR"/>
        </w:rPr>
      </w:pPr>
      <w:bookmarkStart w:id="35" w:name="_Hlk481134552"/>
      <w:r>
        <w:rPr>
          <w:b/>
          <w:bCs/>
          <w:color w:val="000000"/>
          <w:szCs w:val="22"/>
          <w:lang w:val="el-GR"/>
        </w:rPr>
        <w:t>Κάτοχος Άδειας Κυκλοφορίας και Παρασκευαστής</w:t>
      </w:r>
    </w:p>
    <w:p>
      <w:pPr>
        <w:widowControl w:val="0"/>
        <w:spacing w:line="240" w:lineRule="auto"/>
        <w:rPr>
          <w:b/>
          <w:bCs/>
          <w:noProof/>
          <w:szCs w:val="22"/>
          <w:lang w:val="sl-SI"/>
        </w:rPr>
      </w:pPr>
    </w:p>
    <w:p>
      <w:pPr>
        <w:widowControl w:val="0"/>
        <w:autoSpaceDE w:val="0"/>
        <w:autoSpaceDN w:val="0"/>
        <w:adjustRightInd w:val="0"/>
        <w:spacing w:line="240" w:lineRule="auto"/>
        <w:rPr>
          <w:b/>
          <w:bCs/>
          <w:color w:val="000000"/>
          <w:szCs w:val="22"/>
          <w:lang w:val="el-GR"/>
        </w:rPr>
      </w:pPr>
      <w:r>
        <w:rPr>
          <w:b/>
          <w:bCs/>
          <w:color w:val="000000"/>
          <w:szCs w:val="22"/>
          <w:lang w:val="el-GR"/>
        </w:rPr>
        <w:t>Κάτοχος Άδειας Κυκλοφορίας</w:t>
      </w:r>
    </w:p>
    <w:bookmarkEnd w:id="35"/>
    <w:p>
      <w:pPr>
        <w:widowControl w:val="0"/>
        <w:autoSpaceDE w:val="0"/>
        <w:autoSpaceDN w:val="0"/>
        <w:adjustRightInd w:val="0"/>
        <w:spacing w:line="240" w:lineRule="auto"/>
        <w:rPr>
          <w:color w:val="000000"/>
          <w:lang w:val="el-GR"/>
        </w:rPr>
      </w:pPr>
      <w:r>
        <w:rPr>
          <w:color w:val="000000"/>
          <w:lang w:val="en-US"/>
        </w:rPr>
        <w:t>KRKA</w:t>
      </w:r>
      <w:r>
        <w:rPr>
          <w:color w:val="000000"/>
          <w:lang w:val="el-GR"/>
        </w:rPr>
        <w:t xml:space="preserve">, </w:t>
      </w:r>
      <w:r>
        <w:rPr>
          <w:color w:val="000000"/>
          <w:lang w:val="en-US"/>
        </w:rPr>
        <w:t>d</w:t>
      </w:r>
      <w:r>
        <w:rPr>
          <w:color w:val="000000"/>
          <w:lang w:val="el-GR"/>
        </w:rPr>
        <w:t>.</w:t>
      </w:r>
      <w:r>
        <w:rPr>
          <w:color w:val="000000"/>
          <w:lang w:val="en-US"/>
        </w:rPr>
        <w:t>d</w:t>
      </w:r>
      <w:r>
        <w:rPr>
          <w:color w:val="000000"/>
          <w:lang w:val="el-GR"/>
        </w:rPr>
        <w:t xml:space="preserve">., </w:t>
      </w:r>
      <w:r>
        <w:rPr>
          <w:color w:val="000000"/>
          <w:lang w:val="en-US"/>
        </w:rPr>
        <w:t>Novo</w:t>
      </w:r>
      <w:r>
        <w:rPr>
          <w:color w:val="000000"/>
          <w:lang w:val="el-GR"/>
        </w:rPr>
        <w:t xml:space="preserve"> </w:t>
      </w:r>
      <w:r>
        <w:rPr>
          <w:color w:val="000000"/>
          <w:lang w:val="en-US"/>
        </w:rPr>
        <w:t>mesto</w:t>
      </w:r>
      <w:r>
        <w:rPr>
          <w:color w:val="000000"/>
          <w:lang w:val="el-GR"/>
        </w:rPr>
        <w:t>, Š</w:t>
      </w:r>
      <w:r>
        <w:rPr>
          <w:color w:val="000000"/>
          <w:lang w:val="en-US"/>
        </w:rPr>
        <w:t>marje</w:t>
      </w:r>
      <w:r>
        <w:rPr>
          <w:color w:val="000000"/>
          <w:lang w:val="el-GR"/>
        </w:rPr>
        <w:t>š</w:t>
      </w:r>
      <w:r>
        <w:rPr>
          <w:color w:val="000000"/>
          <w:lang w:val="en-US"/>
        </w:rPr>
        <w:t>ka</w:t>
      </w:r>
      <w:r>
        <w:rPr>
          <w:color w:val="000000"/>
          <w:lang w:val="el-GR"/>
        </w:rPr>
        <w:t xml:space="preserve"> </w:t>
      </w:r>
      <w:r>
        <w:rPr>
          <w:color w:val="000000"/>
          <w:lang w:val="en-US"/>
        </w:rPr>
        <w:t>cesta</w:t>
      </w:r>
      <w:r>
        <w:rPr>
          <w:color w:val="000000"/>
          <w:lang w:val="el-GR"/>
        </w:rPr>
        <w:t xml:space="preserve"> 6, 8501 </w:t>
      </w:r>
      <w:r>
        <w:rPr>
          <w:color w:val="000000"/>
          <w:lang w:val="en-US"/>
        </w:rPr>
        <w:t>Novo</w:t>
      </w:r>
      <w:r>
        <w:rPr>
          <w:color w:val="000000"/>
          <w:lang w:val="el-GR"/>
        </w:rPr>
        <w:t xml:space="preserve"> </w:t>
      </w:r>
      <w:r>
        <w:rPr>
          <w:color w:val="000000"/>
          <w:lang w:val="en-US"/>
        </w:rPr>
        <w:t>mesto</w:t>
      </w:r>
      <w:r>
        <w:rPr>
          <w:color w:val="000000"/>
          <w:lang w:val="el-GR"/>
        </w:rPr>
        <w:t xml:space="preserve">, </w:t>
      </w:r>
      <w:r>
        <w:rPr>
          <w:color w:val="000000"/>
          <w:szCs w:val="22"/>
          <w:lang w:val="el-GR"/>
        </w:rPr>
        <w:t>Σλοβενία</w:t>
      </w:r>
    </w:p>
    <w:p>
      <w:pPr>
        <w:widowControl w:val="0"/>
        <w:autoSpaceDE w:val="0"/>
        <w:autoSpaceDN w:val="0"/>
        <w:adjustRightInd w:val="0"/>
        <w:spacing w:line="240" w:lineRule="auto"/>
        <w:rPr>
          <w:color w:val="000000"/>
          <w:lang w:val="el-GR"/>
        </w:rPr>
      </w:pPr>
    </w:p>
    <w:p>
      <w:pPr>
        <w:widowControl w:val="0"/>
        <w:autoSpaceDE w:val="0"/>
        <w:autoSpaceDN w:val="0"/>
        <w:adjustRightInd w:val="0"/>
        <w:spacing w:line="240" w:lineRule="auto"/>
        <w:rPr>
          <w:b/>
          <w:color w:val="000000"/>
          <w:lang w:val="el-GR"/>
        </w:rPr>
      </w:pPr>
      <w:r>
        <w:rPr>
          <w:b/>
          <w:bCs/>
          <w:color w:val="000000"/>
          <w:szCs w:val="22"/>
          <w:lang w:val="el-GR"/>
        </w:rPr>
        <w:t>Παρασκευαστής</w:t>
      </w:r>
    </w:p>
    <w:p>
      <w:pPr>
        <w:widowControl w:val="0"/>
        <w:autoSpaceDE w:val="0"/>
        <w:autoSpaceDN w:val="0"/>
        <w:adjustRightInd w:val="0"/>
        <w:spacing w:line="240" w:lineRule="auto"/>
        <w:rPr>
          <w:color w:val="000000"/>
          <w:lang w:val="el-GR"/>
        </w:rPr>
      </w:pPr>
      <w:r>
        <w:rPr>
          <w:color w:val="000000"/>
          <w:lang w:val="en-US"/>
        </w:rPr>
        <w:t>KRKA</w:t>
      </w:r>
      <w:r>
        <w:rPr>
          <w:color w:val="000000"/>
          <w:lang w:val="el-GR"/>
        </w:rPr>
        <w:t xml:space="preserve">, </w:t>
      </w:r>
      <w:r>
        <w:rPr>
          <w:color w:val="000000"/>
          <w:lang w:val="en-US"/>
        </w:rPr>
        <w:t>d</w:t>
      </w:r>
      <w:r>
        <w:rPr>
          <w:color w:val="000000"/>
          <w:lang w:val="el-GR"/>
        </w:rPr>
        <w:t>.</w:t>
      </w:r>
      <w:r>
        <w:rPr>
          <w:color w:val="000000"/>
          <w:lang w:val="en-US"/>
        </w:rPr>
        <w:t>d</w:t>
      </w:r>
      <w:r>
        <w:rPr>
          <w:color w:val="000000"/>
          <w:lang w:val="el-GR"/>
        </w:rPr>
        <w:t xml:space="preserve">., </w:t>
      </w:r>
      <w:r>
        <w:rPr>
          <w:color w:val="000000"/>
          <w:lang w:val="en-US"/>
        </w:rPr>
        <w:t>Novo</w:t>
      </w:r>
      <w:r>
        <w:rPr>
          <w:color w:val="000000"/>
          <w:lang w:val="el-GR"/>
        </w:rPr>
        <w:t xml:space="preserve"> </w:t>
      </w:r>
      <w:r>
        <w:rPr>
          <w:color w:val="000000"/>
          <w:lang w:val="en-US"/>
        </w:rPr>
        <w:t>mesto</w:t>
      </w:r>
      <w:r>
        <w:rPr>
          <w:color w:val="000000"/>
          <w:lang w:val="el-GR"/>
        </w:rPr>
        <w:t>, Š</w:t>
      </w:r>
      <w:r>
        <w:rPr>
          <w:color w:val="000000"/>
          <w:lang w:val="en-US"/>
        </w:rPr>
        <w:t>marje</w:t>
      </w:r>
      <w:r>
        <w:rPr>
          <w:color w:val="000000"/>
          <w:lang w:val="el-GR"/>
        </w:rPr>
        <w:t>š</w:t>
      </w:r>
      <w:r>
        <w:rPr>
          <w:color w:val="000000"/>
          <w:lang w:val="en-US"/>
        </w:rPr>
        <w:t>ka</w:t>
      </w:r>
      <w:r>
        <w:rPr>
          <w:color w:val="000000"/>
          <w:lang w:val="el-GR"/>
        </w:rPr>
        <w:t xml:space="preserve"> </w:t>
      </w:r>
      <w:r>
        <w:rPr>
          <w:color w:val="000000"/>
          <w:lang w:val="en-US"/>
        </w:rPr>
        <w:t>cesta</w:t>
      </w:r>
      <w:r>
        <w:rPr>
          <w:color w:val="000000"/>
          <w:lang w:val="el-GR"/>
        </w:rPr>
        <w:t xml:space="preserve"> 6, 8501 </w:t>
      </w:r>
      <w:r>
        <w:rPr>
          <w:color w:val="000000"/>
          <w:lang w:val="en-US"/>
        </w:rPr>
        <w:t>Novo</w:t>
      </w:r>
      <w:r>
        <w:rPr>
          <w:color w:val="000000"/>
          <w:lang w:val="el-GR"/>
        </w:rPr>
        <w:t xml:space="preserve"> </w:t>
      </w:r>
      <w:r>
        <w:rPr>
          <w:color w:val="000000"/>
          <w:lang w:val="en-US"/>
        </w:rPr>
        <w:t>mesto</w:t>
      </w:r>
      <w:r>
        <w:rPr>
          <w:color w:val="000000"/>
          <w:lang w:val="el-GR"/>
        </w:rPr>
        <w:t xml:space="preserve">, </w:t>
      </w:r>
      <w:r>
        <w:rPr>
          <w:color w:val="000000"/>
          <w:szCs w:val="22"/>
          <w:lang w:val="el-GR"/>
        </w:rPr>
        <w:t>Σλοβενία</w:t>
      </w:r>
    </w:p>
    <w:p>
      <w:pPr>
        <w:widowControl w:val="0"/>
        <w:autoSpaceDE w:val="0"/>
        <w:autoSpaceDN w:val="0"/>
        <w:adjustRightInd w:val="0"/>
        <w:spacing w:line="240" w:lineRule="auto"/>
        <w:rPr>
          <w:color w:val="000000"/>
          <w:lang w:val="el-GR"/>
        </w:rPr>
      </w:pPr>
      <w:r>
        <w:rPr>
          <w:szCs w:val="22"/>
          <w:highlight w:val="lightGray"/>
          <w:lang w:val="en-US"/>
        </w:rPr>
        <w:t>KRKA</w:t>
      </w:r>
      <w:r>
        <w:rPr>
          <w:highlight w:val="lightGray"/>
          <w:lang w:val="el-GR"/>
        </w:rPr>
        <w:t>-</w:t>
      </w:r>
      <w:r>
        <w:rPr>
          <w:szCs w:val="22"/>
          <w:highlight w:val="lightGray"/>
          <w:lang w:val="en-US"/>
        </w:rPr>
        <w:t>POLSKA</w:t>
      </w:r>
      <w:r>
        <w:rPr>
          <w:highlight w:val="lightGray"/>
          <w:lang w:val="el-GR"/>
        </w:rPr>
        <w:t xml:space="preserve"> </w:t>
      </w:r>
      <w:r>
        <w:rPr>
          <w:szCs w:val="22"/>
          <w:highlight w:val="lightGray"/>
          <w:lang w:val="en-US"/>
        </w:rPr>
        <w:t>Sp</w:t>
      </w:r>
      <w:r>
        <w:rPr>
          <w:highlight w:val="lightGray"/>
          <w:lang w:val="el-GR"/>
        </w:rPr>
        <w:t xml:space="preserve">. </w:t>
      </w:r>
      <w:r>
        <w:rPr>
          <w:szCs w:val="22"/>
          <w:highlight w:val="lightGray"/>
          <w:lang w:val="en-US"/>
        </w:rPr>
        <w:t>z</w:t>
      </w:r>
      <w:r>
        <w:rPr>
          <w:highlight w:val="lightGray"/>
          <w:lang w:val="el-GR"/>
        </w:rPr>
        <w:t xml:space="preserve"> </w:t>
      </w:r>
      <w:r>
        <w:rPr>
          <w:szCs w:val="22"/>
          <w:highlight w:val="lightGray"/>
          <w:lang w:val="en-US"/>
        </w:rPr>
        <w:t>o</w:t>
      </w:r>
      <w:r>
        <w:rPr>
          <w:highlight w:val="lightGray"/>
          <w:lang w:val="el-GR"/>
        </w:rPr>
        <w:t>.</w:t>
      </w:r>
      <w:r>
        <w:rPr>
          <w:szCs w:val="22"/>
          <w:highlight w:val="lightGray"/>
          <w:lang w:val="en-US"/>
        </w:rPr>
        <w:t>o</w:t>
      </w:r>
      <w:r>
        <w:rPr>
          <w:highlight w:val="lightGray"/>
          <w:lang w:val="el-GR"/>
        </w:rPr>
        <w:t xml:space="preserve">., </w:t>
      </w:r>
      <w:r>
        <w:rPr>
          <w:szCs w:val="22"/>
          <w:highlight w:val="lightGray"/>
          <w:lang w:val="en-US"/>
        </w:rPr>
        <w:t>ul</w:t>
      </w:r>
      <w:r>
        <w:rPr>
          <w:highlight w:val="lightGray"/>
          <w:lang w:val="el-GR"/>
        </w:rPr>
        <w:t xml:space="preserve">. </w:t>
      </w:r>
      <w:r>
        <w:rPr>
          <w:szCs w:val="22"/>
          <w:highlight w:val="lightGray"/>
          <w:lang w:val="en-US"/>
        </w:rPr>
        <w:t>R</w:t>
      </w:r>
      <w:r>
        <w:rPr>
          <w:highlight w:val="lightGray"/>
          <w:lang w:val="el-GR"/>
        </w:rPr>
        <w:t>ó</w:t>
      </w:r>
      <w:r>
        <w:rPr>
          <w:szCs w:val="22"/>
          <w:highlight w:val="lightGray"/>
          <w:lang w:val="en-US"/>
        </w:rPr>
        <w:t>wnoleg</w:t>
      </w:r>
      <w:r>
        <w:rPr>
          <w:highlight w:val="lightGray"/>
          <w:lang w:val="el-GR"/>
        </w:rPr>
        <w:t>ł</w:t>
      </w:r>
      <w:r>
        <w:rPr>
          <w:szCs w:val="22"/>
          <w:highlight w:val="lightGray"/>
          <w:lang w:val="en-US"/>
        </w:rPr>
        <w:t>a</w:t>
      </w:r>
      <w:r>
        <w:rPr>
          <w:highlight w:val="lightGray"/>
          <w:lang w:val="el-GR"/>
        </w:rPr>
        <w:t xml:space="preserve"> 5, 02-235 </w:t>
      </w:r>
      <w:r>
        <w:rPr>
          <w:szCs w:val="22"/>
          <w:highlight w:val="lightGray"/>
          <w:lang w:val="en-US"/>
        </w:rPr>
        <w:t>Warszawa</w:t>
      </w:r>
      <w:r>
        <w:rPr>
          <w:highlight w:val="lightGray"/>
          <w:lang w:val="el-GR"/>
        </w:rPr>
        <w:t xml:space="preserve">, </w:t>
      </w:r>
      <w:r>
        <w:rPr>
          <w:color w:val="000000"/>
          <w:szCs w:val="22"/>
          <w:highlight w:val="lightGray"/>
          <w:lang w:val="el-GR"/>
        </w:rPr>
        <w:t>Πολωνία</w:t>
      </w:r>
    </w:p>
    <w:p>
      <w:pPr>
        <w:widowControl w:val="0"/>
        <w:spacing w:line="240" w:lineRule="auto"/>
        <w:rPr>
          <w:lang w:val="sl-SI"/>
        </w:rPr>
      </w:pPr>
      <w:r>
        <w:rPr>
          <w:highlight w:val="lightGray"/>
          <w:lang w:val="sl-SI"/>
        </w:rPr>
        <w:t xml:space="preserve">KRKA - FARMA d.o.o., </w:t>
      </w:r>
      <w:r>
        <w:rPr>
          <w:szCs w:val="22"/>
          <w:highlight w:val="lightGray"/>
          <w:lang w:val="sl-SI"/>
        </w:rPr>
        <w:t>V. Holjevca 20/E</w:t>
      </w:r>
      <w:r>
        <w:rPr>
          <w:highlight w:val="lightGray"/>
          <w:lang w:val="sl-SI"/>
        </w:rPr>
        <w:t xml:space="preserve">, </w:t>
      </w:r>
      <w:r>
        <w:rPr>
          <w:color w:val="000000"/>
          <w:highlight w:val="lightGray"/>
          <w:lang w:val="sl-SI"/>
        </w:rPr>
        <w:t xml:space="preserve">10450 </w:t>
      </w:r>
      <w:r>
        <w:rPr>
          <w:highlight w:val="lightGray"/>
          <w:lang w:val="sl-SI"/>
        </w:rPr>
        <w:t xml:space="preserve">Jastrebarsko, </w:t>
      </w:r>
      <w:r>
        <w:rPr>
          <w:rStyle w:val="hps"/>
          <w:color w:val="222222"/>
          <w:highlight w:val="lightGray"/>
          <w:lang w:val="el-GR"/>
        </w:rPr>
        <w:t>Κροατία</w:t>
      </w:r>
    </w:p>
    <w:p>
      <w:pPr>
        <w:widowControl w:val="0"/>
        <w:autoSpaceDE w:val="0"/>
        <w:autoSpaceDN w:val="0"/>
        <w:adjustRightInd w:val="0"/>
        <w:spacing w:line="240" w:lineRule="auto"/>
        <w:rPr>
          <w:b/>
          <w:color w:val="000000"/>
          <w:szCs w:val="22"/>
          <w:lang w:val="sl-SI"/>
        </w:rPr>
      </w:pPr>
    </w:p>
    <w:p>
      <w:pPr>
        <w:widowControl w:val="0"/>
        <w:autoSpaceDE w:val="0"/>
        <w:autoSpaceDN w:val="0"/>
        <w:adjustRightInd w:val="0"/>
        <w:spacing w:line="240" w:lineRule="auto"/>
        <w:rPr>
          <w:color w:val="000000"/>
          <w:szCs w:val="22"/>
          <w:lang w:val="el-GR"/>
        </w:rPr>
      </w:pPr>
      <w:r>
        <w:rPr>
          <w:color w:val="000000"/>
          <w:szCs w:val="22"/>
          <w:lang w:val="el-GR"/>
        </w:rPr>
        <w:t xml:space="preserve">Για οποιαδήποτε πληροφορία σχετικά με το παρόν φαρμακευτικό προϊόν, </w:t>
      </w:r>
      <w:r>
        <w:rPr>
          <w:szCs w:val="22"/>
          <w:lang w:val="el-GR"/>
        </w:rPr>
        <w:t>παρακαλείσθε</w:t>
      </w:r>
      <w:r>
        <w:rPr>
          <w:color w:val="000000"/>
          <w:szCs w:val="22"/>
          <w:lang w:val="el-GR"/>
        </w:rPr>
        <w:t xml:space="preserve"> να απευθυνθείτε στον τοπικό αντιπρόσωπο του Κατόχου της Άδειας Κυκλοφορίας:</w:t>
      </w:r>
    </w:p>
    <w:p>
      <w:pPr>
        <w:widowControl w:val="0"/>
        <w:spacing w:line="240" w:lineRule="auto"/>
        <w:rPr>
          <w:szCs w:val="22"/>
          <w:lang w:val="el-GR"/>
        </w:rPr>
      </w:pPr>
    </w:p>
    <w:tbl>
      <w:tblPr>
        <w:tblW w:w="9183" w:type="dxa"/>
        <w:tblLayout w:type="fixed"/>
        <w:tblLook w:val="04A0" w:firstRow="1" w:lastRow="0" w:firstColumn="1" w:lastColumn="0" w:noHBand="0" w:noVBand="1"/>
      </w:tblPr>
      <w:tblGrid>
        <w:gridCol w:w="4503"/>
        <w:gridCol w:w="4680"/>
      </w:tblGrid>
      <w:tr>
        <w:tc>
          <w:tcPr>
            <w:tcW w:w="4503"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lang w:val="de-DE" w:eastAsia="sl-SI"/>
              </w:rPr>
              <w:t>487 50 73 62</w:t>
            </w:r>
          </w:p>
          <w:p>
            <w:pPr>
              <w:spacing w:line="240" w:lineRule="auto"/>
              <w:rPr>
                <w:b/>
                <w:noProof/>
                <w:szCs w:val="22"/>
                <w:lang w:val="pt-PT"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503"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tc>
      </w:tr>
      <w:tr>
        <w:trPr>
          <w:trHeight w:val="986"/>
        </w:trPr>
        <w:tc>
          <w:tcPr>
            <w:tcW w:w="4503" w:type="dxa"/>
          </w:tcPr>
          <w:p>
            <w:pPr>
              <w:spacing w:line="240" w:lineRule="auto"/>
              <w:rPr>
                <w:b/>
                <w:noProof/>
                <w:szCs w:val="22"/>
                <w:lang w:val="sl-SI" w:eastAsia="sl-SI"/>
              </w:rPr>
            </w:pPr>
            <w:r>
              <w:rPr>
                <w:b/>
                <w:noProof/>
                <w:szCs w:val="22"/>
                <w:lang w:val="sl-SI" w:eastAsia="sl-SI"/>
              </w:rPr>
              <w:t>Česká republika</w:t>
            </w:r>
          </w:p>
          <w:p>
            <w:pPr>
              <w:spacing w:line="240" w:lineRule="auto"/>
              <w:rPr>
                <w:b/>
                <w:noProof/>
                <w:szCs w:val="22"/>
                <w:lang w:val="sl-SI" w:eastAsia="sl-SI"/>
              </w:rPr>
            </w:pPr>
            <w:r>
              <w:rPr>
                <w:color w:val="000000"/>
                <w:szCs w:val="22"/>
                <w:lang w:val="sl-SI"/>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503" w:type="dxa"/>
          </w:tcPr>
          <w:p>
            <w:pPr>
              <w:spacing w:line="240" w:lineRule="auto"/>
              <w:rPr>
                <w:b/>
                <w:noProof/>
                <w:szCs w:val="22"/>
                <w:lang w:val="da-DK" w:eastAsia="sl-SI"/>
              </w:rPr>
            </w:pPr>
            <w:r>
              <w:rPr>
                <w:b/>
                <w:noProof/>
                <w:szCs w:val="22"/>
                <w:lang w:val="da-DK" w:eastAsia="sl-SI"/>
              </w:rPr>
              <w:t>Danmark</w:t>
            </w:r>
          </w:p>
          <w:p>
            <w:pPr>
              <w:spacing w:line="240" w:lineRule="auto"/>
              <w:rPr>
                <w:b/>
                <w:noProof/>
                <w:szCs w:val="22"/>
                <w:lang w:val="da-DK" w:eastAsia="sl-SI"/>
              </w:rPr>
            </w:pPr>
            <w:r>
              <w:rPr>
                <w:noProof/>
                <w:szCs w:val="22"/>
                <w:lang w:val="da-DK" w:eastAsia="sl-SI"/>
              </w:rPr>
              <w:t>KRKA Sverige AB</w:t>
            </w:r>
          </w:p>
          <w:p>
            <w:pPr>
              <w:spacing w:line="240" w:lineRule="auto"/>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fi-FI" w:eastAsia="sl-SI"/>
              </w:rPr>
            </w:pPr>
            <w:r>
              <w:rPr>
                <w:b/>
                <w:noProof/>
                <w:szCs w:val="22"/>
                <w:lang w:val="fi-FI" w:eastAsia="sl-SI"/>
              </w:rPr>
              <w:t>Malta</w:t>
            </w:r>
          </w:p>
          <w:p>
            <w:pPr>
              <w:numPr>
                <w:ilvl w:val="12"/>
                <w:numId w:val="0"/>
              </w:numPr>
              <w:spacing w:line="240" w:lineRule="auto"/>
              <w:ind w:right="-2"/>
              <w:rPr>
                <w:noProof/>
                <w:szCs w:val="22"/>
                <w:lang w:val="fi-FI" w:eastAsia="sl-SI"/>
              </w:rPr>
            </w:pPr>
            <w:r>
              <w:rPr>
                <w:noProof/>
                <w:szCs w:val="22"/>
                <w:lang w:val="fi-FI" w:eastAsia="sl-SI"/>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503"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503" w:type="dxa"/>
          </w:tcPr>
          <w:p>
            <w:pPr>
              <w:spacing w:line="240" w:lineRule="auto"/>
              <w:rPr>
                <w:b/>
                <w:noProof/>
                <w:szCs w:val="22"/>
                <w:lang w:val="fi-FI" w:eastAsia="sl-SI"/>
              </w:rPr>
            </w:pPr>
            <w:r>
              <w:rPr>
                <w:b/>
                <w:noProof/>
                <w:szCs w:val="22"/>
                <w:lang w:val="fi-FI" w:eastAsia="sl-SI"/>
              </w:rPr>
              <w:t>Eesti</w:t>
            </w:r>
          </w:p>
          <w:p>
            <w:pPr>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spacing w:line="240" w:lineRule="auto"/>
              <w:rPr>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372 (0)6 671 658</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503" w:type="dxa"/>
          </w:tcPr>
          <w:p>
            <w:pPr>
              <w:spacing w:line="240" w:lineRule="auto"/>
              <w:rPr>
                <w:b/>
                <w:noProof/>
                <w:szCs w:val="22"/>
                <w:lang w:val="pt-PT" w:eastAsia="sl-SI"/>
              </w:rPr>
            </w:pPr>
            <w:r>
              <w:rPr>
                <w:b/>
                <w:noProof/>
                <w:szCs w:val="22"/>
                <w:lang w:val="es-ES" w:eastAsia="sl-SI"/>
              </w:rPr>
              <w:t>Ελλάδα</w:t>
            </w:r>
          </w:p>
          <w:p>
            <w:pPr>
              <w:widowControl w:val="0"/>
              <w:rPr>
                <w:szCs w:val="22"/>
                <w:lang w:val="da-DK"/>
              </w:rPr>
            </w:pPr>
            <w:r>
              <w:rPr>
                <w:lang w:val="sv-SE"/>
              </w:rPr>
              <w:t>KRKA ΕΛΛΑΣ ΕΠΕ</w:t>
            </w:r>
          </w:p>
          <w:p>
            <w:pPr>
              <w:spacing w:line="240" w:lineRule="auto"/>
              <w:rPr>
                <w:szCs w:val="22"/>
                <w:lang w:val="el-GR"/>
              </w:rPr>
            </w:pPr>
            <w:r>
              <w:rPr>
                <w:noProof/>
                <w:szCs w:val="22"/>
                <w:lang w:val="el-GR" w:eastAsia="sl-SI"/>
              </w:rPr>
              <w:t>Τηλ</w:t>
            </w:r>
            <w:r>
              <w:rPr>
                <w:lang w:val="sl-SI"/>
              </w:rPr>
              <w:t>:</w:t>
            </w:r>
            <w:r>
              <w:rPr>
                <w:noProof/>
                <w:szCs w:val="22"/>
                <w:lang w:val="sv-SE" w:eastAsia="sl-SI"/>
              </w:rPr>
              <w:t xml:space="preserve"> </w:t>
            </w:r>
            <w:r>
              <w:rPr>
                <w:lang w:val="sl-SI"/>
              </w:rPr>
              <w:t>+ 30 2100101613</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es-ES" w:eastAsia="sl-SI"/>
              </w:rPr>
            </w:pPr>
            <w:r>
              <w:rPr>
                <w:szCs w:val="22"/>
                <w:lang w:val="de-DE"/>
              </w:rPr>
              <w:t>Tel:</w:t>
            </w:r>
            <w:r>
              <w:rPr>
                <w:b/>
                <w:bCs/>
                <w:szCs w:val="22"/>
                <w:lang w:val="de-DE"/>
              </w:rPr>
              <w:t xml:space="preserve"> + </w:t>
            </w:r>
            <w:r>
              <w:rPr>
                <w:szCs w:val="22"/>
                <w:lang w:val="de-DE"/>
              </w:rPr>
              <w:t>43 (0)1 66 24 300</w:t>
            </w:r>
          </w:p>
        </w:tc>
      </w:tr>
      <w:tr>
        <w:tc>
          <w:tcPr>
            <w:tcW w:w="4503"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w:t>
            </w:r>
            <w:r>
              <w:rPr>
                <w:noProof/>
                <w:szCs w:val="22"/>
                <w:lang w:val="el-GR" w:eastAsia="sl-SI"/>
              </w:rPr>
              <w:t>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503" w:type="dxa"/>
          </w:tcPr>
          <w:p>
            <w:pPr>
              <w:spacing w:line="240" w:lineRule="auto"/>
              <w:rPr>
                <w:b/>
                <w:noProof/>
                <w:szCs w:val="22"/>
                <w:lang w:val="da-DK" w:eastAsia="sl-SI"/>
              </w:rPr>
            </w:pPr>
            <w:r>
              <w:rPr>
                <w:b/>
                <w:noProof/>
                <w:szCs w:val="22"/>
                <w:lang w:val="da-DK" w:eastAsia="sl-SI"/>
              </w:rPr>
              <w:t>France</w:t>
            </w:r>
          </w:p>
          <w:p>
            <w:pPr>
              <w:spacing w:line="240" w:lineRule="auto"/>
              <w:rPr>
                <w:b/>
                <w:noProof/>
                <w:szCs w:val="22"/>
                <w:lang w:val="da-DK" w:eastAsia="sl-SI"/>
              </w:rPr>
            </w:pPr>
            <w:r>
              <w:rPr>
                <w:szCs w:val="22"/>
                <w:lang w:val="da-DK"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503"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eastAsia="sl-SI"/>
              </w:rPr>
            </w:pPr>
            <w:r>
              <w:rPr>
                <w:noProof/>
                <w:szCs w:val="22"/>
                <w:lang w:eastAsia="sl-SI"/>
              </w:rPr>
              <w:t>Tel: + 385 1 6312 10</w:t>
            </w:r>
            <w:ins w:id="36" w:author="MG" w:date="2025-04-02T09:41:00Z">
              <w:r>
                <w:rPr>
                  <w:noProof/>
                  <w:szCs w:val="22"/>
                  <w:lang w:eastAsia="sl-SI"/>
                </w:rPr>
                <w:t>1</w:t>
              </w:r>
            </w:ins>
            <w:del w:id="37" w:author="MG" w:date="2025-04-02T09:41:00Z">
              <w:r>
                <w:rPr>
                  <w:noProof/>
                  <w:szCs w:val="22"/>
                  <w:lang w:eastAsia="sl-SI"/>
                </w:rPr>
                <w:delText>0</w:delText>
              </w:r>
            </w:del>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pt-PT" w:eastAsia="sl-SI"/>
              </w:rPr>
            </w:pPr>
            <w:r>
              <w:rPr>
                <w:noProof/>
                <w:szCs w:val="22"/>
                <w:lang w:val="pt-PT" w:eastAsia="sl-SI"/>
              </w:rPr>
              <w:t>Tel:</w:t>
            </w:r>
            <w:r>
              <w:rPr>
                <w:b/>
                <w:noProof/>
                <w:szCs w:val="22"/>
                <w:lang w:val="pt-PT" w:eastAsia="sl-SI"/>
              </w:rPr>
              <w:t xml:space="preserve"> + </w:t>
            </w:r>
            <w:r>
              <w:rPr>
                <w:noProof/>
                <w:szCs w:val="22"/>
                <w:lang w:val="pt-PT" w:eastAsia="sl-SI"/>
              </w:rPr>
              <w:t>353 1 413 3710</w:t>
            </w:r>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503"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503" w:type="dxa"/>
            <w:hideMark/>
          </w:tcPr>
          <w:p>
            <w:pPr>
              <w:spacing w:line="240" w:lineRule="auto"/>
              <w:rPr>
                <w:b/>
                <w:noProof/>
                <w:szCs w:val="22"/>
                <w:lang w:val="pt-PT" w:eastAsia="sl-SI"/>
              </w:rPr>
            </w:pPr>
            <w:r>
              <w:rPr>
                <w:b/>
                <w:noProof/>
                <w:szCs w:val="22"/>
                <w:lang w:val="pt-PT" w:eastAsia="sl-SI"/>
              </w:rPr>
              <w:t>Italia</w:t>
            </w:r>
          </w:p>
          <w:p>
            <w:pPr>
              <w:spacing w:line="240" w:lineRule="auto"/>
              <w:rPr>
                <w:b/>
                <w:noProof/>
                <w:szCs w:val="22"/>
                <w:lang w:val="pt-PT" w:eastAsia="sl-SI"/>
              </w:rPr>
            </w:pPr>
            <w:r>
              <w:rPr>
                <w:szCs w:val="22"/>
                <w:lang w:val="pt-PT" w:eastAsia="sl-SI"/>
              </w:rPr>
              <w:t xml:space="preserve">KRKA </w:t>
            </w:r>
            <w:r>
              <w:rPr>
                <w:bCs/>
                <w:szCs w:val="22"/>
                <w:lang w:val="it-IT"/>
              </w:rPr>
              <w:t>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+358 20 754 5330</w:t>
            </w:r>
          </w:p>
          <w:p>
            <w:pPr>
              <w:numPr>
                <w:ilvl w:val="12"/>
                <w:numId w:val="0"/>
              </w:numPr>
              <w:spacing w:line="240" w:lineRule="auto"/>
              <w:ind w:right="-2"/>
              <w:rPr>
                <w:b/>
                <w:noProof/>
                <w:szCs w:val="22"/>
                <w:lang w:val="de-DE" w:eastAsia="sl-SI"/>
              </w:rPr>
            </w:pPr>
          </w:p>
        </w:tc>
      </w:tr>
      <w:tr>
        <w:tc>
          <w:tcPr>
            <w:tcW w:w="4503" w:type="dxa"/>
          </w:tcPr>
          <w:p>
            <w:pPr>
              <w:spacing w:line="240" w:lineRule="auto"/>
              <w:rPr>
                <w:b/>
                <w:noProof/>
                <w:szCs w:val="22"/>
                <w:lang w:val="sl-SI" w:eastAsia="sl-SI"/>
              </w:rPr>
            </w:pPr>
            <w:r>
              <w:rPr>
                <w:b/>
                <w:noProof/>
                <w:szCs w:val="22"/>
                <w:lang w:val="es-ES" w:eastAsia="sl-SI"/>
              </w:rPr>
              <w:t>Κύπρος</w:t>
            </w:r>
          </w:p>
          <w:p>
            <w:pPr>
              <w:spacing w:line="240" w:lineRule="auto"/>
              <w:rPr>
                <w:szCs w:val="22"/>
                <w:lang w:val="sv-SE" w:eastAsia="sl-SI"/>
              </w:rPr>
            </w:pPr>
            <w:r>
              <w:rPr>
                <w:szCs w:val="22"/>
                <w:lang w:eastAsia="sl-SI"/>
              </w:rPr>
              <w:t>KI.PA. (PHARMACAL) LIMITED</w:t>
            </w:r>
          </w:p>
          <w:p>
            <w:pPr>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tabs>
                <w:tab w:val="clear" w:pos="567"/>
                <w:tab w:val="left" w:pos="708"/>
              </w:tabs>
              <w:spacing w:line="240" w:lineRule="auto"/>
              <w:rPr>
                <w:rFonts w:eastAsia="Calibri"/>
                <w:b/>
                <w:noProof/>
                <w:szCs w:val="22"/>
                <w:lang w:val="sl-SI"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Sverige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503"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38" w:author="MG" w:date="2025-04-02T09:41:00Z"/>
                <w:b/>
                <w:noProof/>
                <w:szCs w:val="22"/>
                <w:lang w:val="sv-SE" w:eastAsia="sl-SI"/>
              </w:rPr>
            </w:pPr>
            <w:del w:id="39" w:author="MG" w:date="2025-04-02T09:41:00Z">
              <w:r>
                <w:rPr>
                  <w:b/>
                  <w:noProof/>
                  <w:szCs w:val="22"/>
                  <w:lang w:val="sv-SE" w:eastAsia="sl-SI"/>
                </w:rPr>
                <w:delText>United Kingdom (Northern Ireland)</w:delText>
              </w:r>
            </w:del>
          </w:p>
          <w:p>
            <w:pPr>
              <w:numPr>
                <w:ilvl w:val="12"/>
                <w:numId w:val="0"/>
              </w:numPr>
              <w:spacing w:line="240" w:lineRule="auto"/>
              <w:ind w:right="-2"/>
              <w:rPr>
                <w:del w:id="40" w:author="MG" w:date="2025-04-02T09:41:00Z"/>
                <w:noProof/>
                <w:szCs w:val="22"/>
                <w:lang w:val="sv-SE" w:eastAsia="sl-SI"/>
              </w:rPr>
            </w:pPr>
            <w:del w:id="41" w:author="MG" w:date="2025-04-02T09:41:00Z">
              <w:r>
                <w:rPr>
                  <w:szCs w:val="22"/>
                </w:rPr>
                <w:delText>KRKA Pharma Dublin, Ltd.</w:delText>
              </w:r>
            </w:del>
          </w:p>
          <w:p>
            <w:pPr>
              <w:numPr>
                <w:ilvl w:val="12"/>
                <w:numId w:val="0"/>
              </w:numPr>
              <w:spacing w:line="240" w:lineRule="auto"/>
              <w:ind w:right="-2"/>
              <w:rPr>
                <w:del w:id="42" w:author="MG" w:date="2025-04-02T09:41:00Z"/>
                <w:b/>
                <w:noProof/>
                <w:szCs w:val="22"/>
                <w:lang w:val="es-ES" w:eastAsia="sl-SI"/>
              </w:rPr>
            </w:pPr>
            <w:del w:id="43" w:author="MG" w:date="2025-04-02T09:41:00Z">
              <w:r>
                <w:rPr>
                  <w:noProof/>
                  <w:szCs w:val="22"/>
                  <w:lang w:val="es-ES" w:eastAsia="sl-SI"/>
                </w:rPr>
                <w:delText xml:space="preserve">Tel: </w:delText>
              </w:r>
              <w:r>
                <w:rPr>
                  <w:szCs w:val="22"/>
                  <w:lang w:val="sl-SI"/>
                </w:rPr>
                <w:delText>+ 353 1 413 3710</w:delText>
              </w:r>
            </w:del>
          </w:p>
          <w:p>
            <w:pPr>
              <w:numPr>
                <w:ilvl w:val="12"/>
                <w:numId w:val="0"/>
              </w:numPr>
              <w:spacing w:line="240" w:lineRule="auto"/>
              <w:ind w:right="-2"/>
              <w:rPr>
                <w:b/>
                <w:noProof/>
                <w:szCs w:val="22"/>
                <w:lang w:val="es-ES" w:eastAsia="sl-SI"/>
              </w:rPr>
            </w:pPr>
          </w:p>
        </w:tc>
      </w:tr>
    </w:tbl>
    <w:p>
      <w:pPr>
        <w:widowControl w:val="0"/>
        <w:numPr>
          <w:ilvl w:val="12"/>
          <w:numId w:val="0"/>
        </w:numPr>
        <w:spacing w:line="240" w:lineRule="auto"/>
        <w:rPr>
          <w:noProof/>
          <w:szCs w:val="22"/>
          <w:lang w:val="sl-SI"/>
        </w:rPr>
      </w:pPr>
    </w:p>
    <w:p>
      <w:pPr>
        <w:widowControl w:val="0"/>
        <w:spacing w:line="240" w:lineRule="auto"/>
        <w:rPr>
          <w:noProof/>
          <w:szCs w:val="22"/>
          <w:lang w:val="fi-FI"/>
        </w:rPr>
      </w:pPr>
    </w:p>
    <w:p>
      <w:pPr>
        <w:widowControl w:val="0"/>
        <w:spacing w:line="240" w:lineRule="auto"/>
        <w:rPr>
          <w:b/>
          <w:szCs w:val="22"/>
          <w:lang w:val="sl-SI"/>
        </w:rPr>
      </w:pPr>
      <w:r>
        <w:rPr>
          <w:b/>
          <w:noProof/>
          <w:szCs w:val="22"/>
          <w:lang w:val="el-GR"/>
        </w:rPr>
        <w:t xml:space="preserve">Το παρόν φύλλο οδηγιών χρήσης </w:t>
      </w:r>
      <w:r>
        <w:rPr>
          <w:b/>
          <w:szCs w:val="22"/>
          <w:lang w:val="el-GR"/>
        </w:rPr>
        <w:t xml:space="preserve">αναθεωρήθηκε για τελευταία φορά </w:t>
      </w:r>
      <w:r>
        <w:rPr>
          <w:b/>
          <w:color w:val="000000"/>
          <w:szCs w:val="22"/>
          <w:lang w:val="es-ES" w:eastAsia="es-ES"/>
        </w:rPr>
        <w:t>τον</w:t>
      </w:r>
    </w:p>
    <w:p>
      <w:pPr>
        <w:widowControl w:val="0"/>
        <w:spacing w:line="240" w:lineRule="auto"/>
        <w:rPr>
          <w:noProof/>
          <w:szCs w:val="22"/>
          <w:lang w:val="sl-SI"/>
        </w:rPr>
      </w:pPr>
    </w:p>
    <w:p>
      <w:pPr>
        <w:widowControl w:val="0"/>
        <w:spacing w:line="240" w:lineRule="auto"/>
        <w:rPr>
          <w:noProof/>
          <w:szCs w:val="22"/>
          <w:lang w:val="sl-SI"/>
        </w:rPr>
      </w:pPr>
    </w:p>
    <w:p>
      <w:pPr>
        <w:widowControl w:val="0"/>
        <w:spacing w:line="240" w:lineRule="auto"/>
        <w:rPr>
          <w:szCs w:val="22"/>
          <w:lang w:val="el-GR"/>
        </w:rPr>
      </w:pPr>
      <w:r>
        <w:rPr>
          <w:noProof/>
          <w:szCs w:val="22"/>
          <w:lang w:val="el-GR"/>
        </w:rPr>
        <w:t xml:space="preserve">Λεπτομερείς πληροφορίες για το φάρμακο αυτό είναι διαθέσιμες στο δικτυακό τόπο του Ευρωπαϊκού Οργανισμού Φαρμάκων: </w:t>
      </w:r>
      <w:r>
        <w:fldChar w:fldCharType="begin"/>
      </w:r>
      <w:r>
        <w:rPr>
          <w:lang w:val="el-GR"/>
          <w:rPrChange w:id="44" w:author="MG" w:date="2025-04-02T09:41:00Z">
            <w:rPr/>
          </w:rPrChange>
        </w:rPr>
        <w:instrText xml:space="preserve"> </w:instrText>
      </w:r>
      <w:r>
        <w:instrText>HYPERLINK</w:instrText>
      </w:r>
      <w:r>
        <w:rPr>
          <w:lang w:val="el-GR"/>
          <w:rPrChange w:id="45" w:author="MG" w:date="2025-04-02T09:41:00Z">
            <w:rPr/>
          </w:rPrChange>
        </w:rPr>
        <w:instrText xml:space="preserve"> "</w:instrText>
      </w:r>
      <w:r>
        <w:instrText>http</w:instrText>
      </w:r>
      <w:r>
        <w:rPr>
          <w:lang w:val="el-GR"/>
          <w:rPrChange w:id="46" w:author="MG" w:date="2025-04-02T09:41:00Z">
            <w:rPr/>
          </w:rPrChange>
        </w:rPr>
        <w:instrText>://</w:instrText>
      </w:r>
      <w:r>
        <w:instrText>www</w:instrText>
      </w:r>
      <w:r>
        <w:rPr>
          <w:lang w:val="el-GR"/>
          <w:rPrChange w:id="47" w:author="MG" w:date="2025-04-02T09:41:00Z">
            <w:rPr/>
          </w:rPrChange>
        </w:rPr>
        <w:instrText>.</w:instrText>
      </w:r>
      <w:r>
        <w:instrText>emea</w:instrText>
      </w:r>
      <w:r>
        <w:rPr>
          <w:lang w:val="el-GR"/>
          <w:rPrChange w:id="48" w:author="MG" w:date="2025-04-02T09:41:00Z">
            <w:rPr/>
          </w:rPrChange>
        </w:rPr>
        <w:instrText>.</w:instrText>
      </w:r>
      <w:r>
        <w:instrText>europa</w:instrText>
      </w:r>
      <w:r>
        <w:rPr>
          <w:lang w:val="el-GR"/>
          <w:rPrChange w:id="49" w:author="MG" w:date="2025-04-02T09:41:00Z">
            <w:rPr/>
          </w:rPrChange>
        </w:rPr>
        <w:instrText>.</w:instrText>
      </w:r>
      <w:r>
        <w:instrText>eu</w:instrText>
      </w:r>
      <w:r>
        <w:rPr>
          <w:lang w:val="el-GR"/>
          <w:rPrChange w:id="50" w:author="MG" w:date="2025-04-02T09:41:00Z">
            <w:rPr/>
          </w:rPrChange>
        </w:rPr>
        <w:instrText xml:space="preserve">" </w:instrText>
      </w:r>
      <w:r>
        <w:fldChar w:fldCharType="separate"/>
      </w:r>
      <w:r>
        <w:rPr>
          <w:rStyle w:val="Hyperlink"/>
          <w:noProof/>
          <w:szCs w:val="22"/>
          <w:lang w:val="sl-SI"/>
        </w:rPr>
        <w:t>http</w:t>
      </w:r>
      <w:r>
        <w:rPr>
          <w:rStyle w:val="Hyperlink"/>
          <w:noProof/>
          <w:szCs w:val="22"/>
          <w:lang w:val="el-GR"/>
        </w:rPr>
        <w:t>://</w:t>
      </w:r>
      <w:r>
        <w:rPr>
          <w:rStyle w:val="Hyperlink"/>
          <w:noProof/>
          <w:szCs w:val="22"/>
          <w:lang w:val="sl-SI"/>
        </w:rPr>
        <w:t>www</w:t>
      </w:r>
      <w:r>
        <w:rPr>
          <w:rStyle w:val="Hyperlink"/>
          <w:noProof/>
          <w:szCs w:val="22"/>
          <w:lang w:val="el-GR"/>
        </w:rPr>
        <w:t>.</w:t>
      </w:r>
      <w:r>
        <w:rPr>
          <w:rStyle w:val="Hyperlink"/>
          <w:noProof/>
          <w:szCs w:val="22"/>
          <w:lang w:val="sl-SI"/>
        </w:rPr>
        <w:t>ema</w:t>
      </w:r>
      <w:r>
        <w:rPr>
          <w:rStyle w:val="Hyperlink"/>
          <w:noProof/>
          <w:szCs w:val="22"/>
          <w:lang w:val="el-GR"/>
        </w:rPr>
        <w:t>.</w:t>
      </w:r>
      <w:r>
        <w:rPr>
          <w:rStyle w:val="Hyperlink"/>
          <w:noProof/>
          <w:szCs w:val="22"/>
          <w:lang w:val="sl-SI"/>
        </w:rPr>
        <w:t>europa</w:t>
      </w:r>
      <w:r>
        <w:rPr>
          <w:rStyle w:val="Hyperlink"/>
          <w:noProof/>
          <w:szCs w:val="22"/>
          <w:lang w:val="el-GR"/>
        </w:rPr>
        <w:t>.</w:t>
      </w:r>
      <w:r>
        <w:rPr>
          <w:rStyle w:val="Hyperlink"/>
          <w:noProof/>
          <w:szCs w:val="22"/>
          <w:lang w:val="sl-SI"/>
        </w:rPr>
        <w:t>eu</w:t>
      </w:r>
      <w:r>
        <w:rPr>
          <w:rStyle w:val="Hyperlink"/>
          <w:noProof/>
          <w:szCs w:val="22"/>
          <w:lang w:val="sl-SI"/>
        </w:rPr>
        <w:fldChar w:fldCharType="end"/>
      </w:r>
      <w:r>
        <w:rPr>
          <w:noProof/>
          <w:color w:val="0000FF"/>
          <w:szCs w:val="22"/>
          <w:lang w:val="el-GR"/>
        </w:rPr>
        <w:t>.</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29</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el-GR"/>
        </w:rPr>
      </w:pPr>
      <w:r>
        <w:rPr>
          <w:rStyle w:val="FootnoteReference"/>
        </w:rPr>
        <w:footnoteRef/>
      </w:r>
      <w:r>
        <w:rPr>
          <w:lang w:val="el-GR"/>
        </w:rPr>
        <w:t xml:space="preserve"> Ηλικία, Αρτηριακή πίεση, Κλινικά χαρακτηριστικά, Διάρκεια και διάγνωση Σακχαρώδους Διαβήτη</w:t>
      </w:r>
    </w:p>
  </w:footnote>
  <w:footnote w:id="2">
    <w:p>
      <w:pPr>
        <w:pStyle w:val="FootnoteText"/>
        <w:rPr>
          <w:lang w:val="el-GR"/>
        </w:rPr>
      </w:pPr>
      <w:r>
        <w:rPr>
          <w:rStyle w:val="FootnoteReference"/>
        </w:rPr>
        <w:footnoteRef/>
      </w:r>
      <w:r>
        <w:rPr>
          <w:lang w:val="el-GR"/>
        </w:rPr>
        <w:t xml:space="preserve"> Κλίμακα Αγγειακού Εγκεφαλικού Επεισοδίου Εθνικών Ιδρυμάτων Υγείας</w:t>
      </w:r>
      <w:r>
        <w:rPr>
          <w:sz w:val="22"/>
          <w:szCs w:val="22"/>
          <w:lang w:val="el-G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2087F9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A9FCB46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0BD12FA"/>
    <w:multiLevelType w:val="hybridMultilevel"/>
    <w:tmpl w:val="7EB0840C"/>
    <w:lvl w:ilvl="0" w:tplc="04240001">
      <w:start w:val="1"/>
      <w:numFmt w:val="bullet"/>
      <w:lvlText w:val=""/>
      <w:lvlJc w:val="left"/>
      <w:pPr>
        <w:tabs>
          <w:tab w:val="num" w:pos="720"/>
        </w:tabs>
        <w:ind w:left="567" w:hanging="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707B9"/>
    <w:multiLevelType w:val="hybridMultilevel"/>
    <w:tmpl w:val="0E985232"/>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423205"/>
    <w:multiLevelType w:val="hybridMultilevel"/>
    <w:tmpl w:val="DC04128E"/>
    <w:lvl w:ilvl="0" w:tplc="0EA8B07E">
      <w:numFmt w:val="bullet"/>
      <w:lvlText w:val="-"/>
      <w:lvlJc w:val="left"/>
      <w:pPr>
        <w:tabs>
          <w:tab w:val="num" w:pos="720"/>
        </w:tabs>
        <w:ind w:left="567" w:hanging="20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1C1FC1"/>
    <w:multiLevelType w:val="singleLevel"/>
    <w:tmpl w:val="02A49516"/>
    <w:lvl w:ilvl="0">
      <w:start w:val="1"/>
      <w:numFmt w:val="bullet"/>
      <w:lvlText w:val=""/>
      <w:lvlJc w:val="left"/>
      <w:pPr>
        <w:tabs>
          <w:tab w:val="num" w:pos="567"/>
        </w:tabs>
        <w:ind w:left="567" w:hanging="567"/>
      </w:pPr>
      <w:rPr>
        <w:rFonts w:ascii="Symbol" w:hAnsi="Symbol" w:hint="default"/>
      </w:rPr>
    </w:lvl>
  </w:abstractNum>
  <w:abstractNum w:abstractNumId="7" w15:restartNumberingAfterBreak="0">
    <w:nsid w:val="08AE2CBC"/>
    <w:multiLevelType w:val="hybridMultilevel"/>
    <w:tmpl w:val="EC644880"/>
    <w:lvl w:ilvl="0" w:tplc="60F4107A">
      <w:numFmt w:val="bullet"/>
      <w:lvlText w:val="-"/>
      <w:lvlJc w:val="left"/>
      <w:pPr>
        <w:tabs>
          <w:tab w:val="num" w:pos="360"/>
        </w:tabs>
        <w:ind w:left="360" w:hanging="360"/>
      </w:pPr>
      <w:rPr>
        <w:color w:val="auto"/>
        <w:sz w:val="22"/>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B8A50E0"/>
    <w:multiLevelType w:val="hybridMultilevel"/>
    <w:tmpl w:val="E618AE94"/>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B54D7"/>
    <w:multiLevelType w:val="hybridMultilevel"/>
    <w:tmpl w:val="0720C5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3C7659D"/>
    <w:multiLevelType w:val="hybridMultilevel"/>
    <w:tmpl w:val="E4506458"/>
    <w:lvl w:ilvl="0" w:tplc="FFFFFFFF">
      <w:start w:val="1"/>
      <w:numFmt w:val="bullet"/>
      <w:lvlText w:val=""/>
      <w:lvlJc w:val="left"/>
      <w:pPr>
        <w:ind w:left="1440" w:hanging="360"/>
      </w:pPr>
      <w:rPr>
        <w:rFonts w:ascii="Symbol" w:hAnsi="Symbol" w:hint="default"/>
      </w:rPr>
    </w:lvl>
    <w:lvl w:ilvl="1" w:tplc="0EA8B07E">
      <w:numFmt w:val="bullet"/>
      <w:lvlText w:val="-"/>
      <w:lvlJc w:val="left"/>
      <w:pPr>
        <w:ind w:left="2160" w:hanging="360"/>
      </w:pPr>
      <w:rPr>
        <w:rFonts w:ascii="Times New Roman" w:eastAsia="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620716F"/>
    <w:multiLevelType w:val="hybridMultilevel"/>
    <w:tmpl w:val="0BAAE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C3CE6"/>
    <w:multiLevelType w:val="hybridMultilevel"/>
    <w:tmpl w:val="1FCEA2B2"/>
    <w:lvl w:ilvl="0" w:tplc="BF06C694">
      <w:start w:val="1"/>
      <w:numFmt w:val="bullet"/>
      <w:lvlText w:val="-"/>
      <w:lvlJc w:val="left"/>
      <w:pPr>
        <w:ind w:left="1260" w:hanging="360"/>
      </w:pPr>
      <w:rPr>
        <w:rFonts w:ascii="Times New Roman" w:hAnsi="Times New Roman" w:cs="Times New Roman" w:hint="default"/>
        <w:b w:val="0"/>
        <w:i w:val="0"/>
        <w:sz w:val="24"/>
        <w:szCs w:val="24"/>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3" w15:restartNumberingAfterBreak="0">
    <w:nsid w:val="182C7317"/>
    <w:multiLevelType w:val="hybridMultilevel"/>
    <w:tmpl w:val="145A057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C0C68"/>
    <w:multiLevelType w:val="hybridMultilevel"/>
    <w:tmpl w:val="AE26732A"/>
    <w:lvl w:ilvl="0" w:tplc="78D857C4">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3521C4"/>
    <w:multiLevelType w:val="hybridMultilevel"/>
    <w:tmpl w:val="4E1E44A8"/>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7C31CF"/>
    <w:multiLevelType w:val="hybridMultilevel"/>
    <w:tmpl w:val="213E882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1AE16B7C"/>
    <w:multiLevelType w:val="hybridMultilevel"/>
    <w:tmpl w:val="80E68864"/>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F4677D"/>
    <w:multiLevelType w:val="hybridMultilevel"/>
    <w:tmpl w:val="DF9E7372"/>
    <w:lvl w:ilvl="0" w:tplc="F78C3A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3644D6"/>
    <w:multiLevelType w:val="hybridMultilevel"/>
    <w:tmpl w:val="03A87FE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7B469B0"/>
    <w:multiLevelType w:val="hybridMultilevel"/>
    <w:tmpl w:val="95CC39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82126A7"/>
    <w:multiLevelType w:val="hybridMultilevel"/>
    <w:tmpl w:val="11B6B06E"/>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C57238"/>
    <w:multiLevelType w:val="hybridMultilevel"/>
    <w:tmpl w:val="4058F13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0F01F3"/>
    <w:multiLevelType w:val="hybridMultilevel"/>
    <w:tmpl w:val="F2A67BEC"/>
    <w:lvl w:ilvl="0" w:tplc="FFFFFFFF">
      <w:start w:val="1"/>
      <w:numFmt w:val="bullet"/>
      <w:lvlText w:val="-"/>
      <w:lvlJc w:val="left"/>
      <w:pPr>
        <w:ind w:left="720" w:hanging="360"/>
      </w:pPr>
      <w:rPr>
        <w:rFonts w:hint="default"/>
      </w:rPr>
    </w:lvl>
    <w:lvl w:ilvl="1" w:tplc="0408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461592"/>
    <w:multiLevelType w:val="hybridMultilevel"/>
    <w:tmpl w:val="9B464F10"/>
    <w:lvl w:ilvl="0" w:tplc="0EA8B07E">
      <w:numFmt w:val="bullet"/>
      <w:lvlText w:val="-"/>
      <w:lvlJc w:val="left"/>
      <w:pPr>
        <w:tabs>
          <w:tab w:val="num" w:pos="720"/>
        </w:tabs>
        <w:ind w:left="567" w:hanging="20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902875"/>
    <w:multiLevelType w:val="hybridMultilevel"/>
    <w:tmpl w:val="72CA14B2"/>
    <w:lvl w:ilvl="0" w:tplc="040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5F09B0"/>
    <w:multiLevelType w:val="hybridMultilevel"/>
    <w:tmpl w:val="92822448"/>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C8233B"/>
    <w:multiLevelType w:val="hybridMultilevel"/>
    <w:tmpl w:val="74880ECC"/>
    <w:lvl w:ilvl="0" w:tplc="7562BE60">
      <w:start w:val="1"/>
      <w:numFmt w:val="bullet"/>
      <w:lvlText w:val=""/>
      <w:lvlJc w:val="center"/>
      <w:pPr>
        <w:ind w:left="1287" w:hanging="360"/>
      </w:pPr>
      <w:rPr>
        <w:rFonts w:ascii="Symbol" w:hAnsi="Symbol" w:hint="default"/>
        <w:sz w:val="16"/>
      </w:rPr>
    </w:lvl>
    <w:lvl w:ilvl="1" w:tplc="7562BE60">
      <w:start w:val="1"/>
      <w:numFmt w:val="bullet"/>
      <w:lvlText w:val=""/>
      <w:lvlJc w:val="center"/>
      <w:pPr>
        <w:ind w:left="2007" w:hanging="360"/>
      </w:pPr>
      <w:rPr>
        <w:rFonts w:ascii="Symbol" w:hAnsi="Symbol" w:hint="default"/>
        <w:sz w:val="16"/>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40676409"/>
    <w:multiLevelType w:val="hybridMultilevel"/>
    <w:tmpl w:val="14845310"/>
    <w:lvl w:ilvl="0" w:tplc="60F4107A">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43072793"/>
    <w:multiLevelType w:val="hybridMultilevel"/>
    <w:tmpl w:val="1C7410AE"/>
    <w:lvl w:ilvl="0" w:tplc="0EA8B07E">
      <w:numFmt w:val="bullet"/>
      <w:lvlText w:val="-"/>
      <w:lvlJc w:val="left"/>
      <w:pPr>
        <w:tabs>
          <w:tab w:val="num" w:pos="720"/>
        </w:tabs>
        <w:ind w:left="567" w:hanging="20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C23739"/>
    <w:multiLevelType w:val="hybridMultilevel"/>
    <w:tmpl w:val="7068A254"/>
    <w:lvl w:ilvl="0" w:tplc="5794515A">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C526C0"/>
    <w:multiLevelType w:val="hybridMultilevel"/>
    <w:tmpl w:val="7E9A6FAC"/>
    <w:lvl w:ilvl="0" w:tplc="BF06C694">
      <w:start w:val="1"/>
      <w:numFmt w:val="bullet"/>
      <w:lvlText w:val="-"/>
      <w:lvlJc w:val="left"/>
      <w:pPr>
        <w:tabs>
          <w:tab w:val="num" w:pos="780"/>
        </w:tabs>
        <w:ind w:left="627" w:hanging="207"/>
      </w:pPr>
      <w:rPr>
        <w:rFonts w:ascii="Times New Roman" w:hAnsi="Times New Roman" w:cs="Times New Roman" w:hint="default"/>
        <w:b w:val="0"/>
        <w:i w:val="0"/>
        <w:sz w:val="24"/>
        <w:szCs w:val="24"/>
      </w:rPr>
    </w:lvl>
    <w:lvl w:ilvl="1" w:tplc="D7C67D32">
      <w:start w:val="1"/>
      <w:numFmt w:val="bullet"/>
      <w:lvlText w:val=""/>
      <w:lvlJc w:val="left"/>
      <w:pPr>
        <w:tabs>
          <w:tab w:val="num" w:pos="1140"/>
        </w:tabs>
        <w:ind w:left="1500" w:hanging="360"/>
      </w:pPr>
      <w:rPr>
        <w:rFonts w:ascii="Symbol" w:hAnsi="Symbol" w:hint="default"/>
        <w:color w:val="auto"/>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47FE1B68"/>
    <w:multiLevelType w:val="hybridMultilevel"/>
    <w:tmpl w:val="D5F80826"/>
    <w:lvl w:ilvl="0" w:tplc="60F4107A">
      <w:numFmt w:val="bullet"/>
      <w:lvlText w:val="-"/>
      <w:lvlJc w:val="left"/>
      <w:pPr>
        <w:tabs>
          <w:tab w:val="num" w:pos="927"/>
        </w:tabs>
        <w:ind w:left="92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731B6B"/>
    <w:multiLevelType w:val="hybridMultilevel"/>
    <w:tmpl w:val="2700AA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292D2D"/>
    <w:multiLevelType w:val="hybridMultilevel"/>
    <w:tmpl w:val="9F4CA09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C15A81"/>
    <w:multiLevelType w:val="hybridMultilevel"/>
    <w:tmpl w:val="7F4E320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2F0F4E"/>
    <w:multiLevelType w:val="hybridMultilevel"/>
    <w:tmpl w:val="93746E82"/>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B95096"/>
    <w:multiLevelType w:val="singleLevel"/>
    <w:tmpl w:val="6FBAB288"/>
    <w:lvl w:ilvl="0">
      <w:start w:val="1"/>
      <w:numFmt w:val="bullet"/>
      <w:lvlText w:val=""/>
      <w:lvlJc w:val="left"/>
      <w:pPr>
        <w:tabs>
          <w:tab w:val="num" w:pos="567"/>
        </w:tabs>
        <w:ind w:left="567" w:hanging="567"/>
      </w:pPr>
      <w:rPr>
        <w:rFonts w:ascii="Symbol" w:hAnsi="Symbol" w:hint="default"/>
      </w:rPr>
    </w:lvl>
  </w:abstractNum>
  <w:abstractNum w:abstractNumId="38" w15:restartNumberingAfterBreak="0">
    <w:nsid w:val="572B5F4F"/>
    <w:multiLevelType w:val="hybridMultilevel"/>
    <w:tmpl w:val="659C9B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1911CC"/>
    <w:multiLevelType w:val="hybridMultilevel"/>
    <w:tmpl w:val="E94A66F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0710B4"/>
    <w:multiLevelType w:val="hybridMultilevel"/>
    <w:tmpl w:val="DC345638"/>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77558E"/>
    <w:multiLevelType w:val="hybridMultilevel"/>
    <w:tmpl w:val="F71690FA"/>
    <w:lvl w:ilvl="0" w:tplc="0EA8B07E">
      <w:numFmt w:val="bullet"/>
      <w:lvlText w:val="-"/>
      <w:lvlJc w:val="left"/>
      <w:pPr>
        <w:ind w:left="1440" w:hanging="360"/>
      </w:pPr>
      <w:rPr>
        <w:rFonts w:ascii="Times New Roman" w:eastAsia="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60D77457"/>
    <w:multiLevelType w:val="hybridMultilevel"/>
    <w:tmpl w:val="156AEFDC"/>
    <w:lvl w:ilvl="0" w:tplc="579451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821163"/>
    <w:multiLevelType w:val="singleLevel"/>
    <w:tmpl w:val="FFFFFFFF"/>
    <w:lvl w:ilvl="0">
      <w:numFmt w:val="decimal"/>
      <w:lvlText w:val="*"/>
      <w:lvlJc w:val="left"/>
    </w:lvl>
  </w:abstractNum>
  <w:abstractNum w:abstractNumId="44" w15:restartNumberingAfterBreak="0">
    <w:nsid w:val="63851F23"/>
    <w:multiLevelType w:val="hybridMultilevel"/>
    <w:tmpl w:val="CDEC4F46"/>
    <w:lvl w:ilvl="0" w:tplc="FFFFFFFF">
      <w:start w:val="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455683B"/>
    <w:multiLevelType w:val="hybridMultilevel"/>
    <w:tmpl w:val="F61081A0"/>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603292"/>
    <w:multiLevelType w:val="hybridMultilevel"/>
    <w:tmpl w:val="9296F4B0"/>
    <w:lvl w:ilvl="0" w:tplc="FFFFFFFF">
      <w:start w:val="1"/>
      <w:numFmt w:val="bullet"/>
      <w:lvlText w:val="-"/>
      <w:lvlJc w:val="left"/>
      <w:pPr>
        <w:ind w:left="720" w:hanging="360"/>
      </w:pPr>
      <w:rPr>
        <w:rFonts w:hint="default"/>
      </w:rPr>
    </w:lvl>
    <w:lvl w:ilvl="1" w:tplc="0EA8B07E">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6CC6900"/>
    <w:multiLevelType w:val="hybridMultilevel"/>
    <w:tmpl w:val="C8480CAE"/>
    <w:lvl w:ilvl="0" w:tplc="D7C67D32">
      <w:start w:val="1"/>
      <w:numFmt w:val="bullet"/>
      <w:lvlText w:val=""/>
      <w:lvlJc w:val="left"/>
      <w:pPr>
        <w:tabs>
          <w:tab w:val="num" w:pos="36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20190B"/>
    <w:multiLevelType w:val="hybridMultilevel"/>
    <w:tmpl w:val="D00E3710"/>
    <w:lvl w:ilvl="0" w:tplc="5794515A">
      <w:numFmt w:val="bullet"/>
      <w:lvlText w:val="-"/>
      <w:lvlJc w:val="left"/>
      <w:pPr>
        <w:tabs>
          <w:tab w:val="num" w:pos="720"/>
        </w:tabs>
        <w:ind w:left="720" w:hanging="360"/>
      </w:pPr>
      <w:rPr>
        <w:rFonts w:ascii="Times New Roman" w:eastAsia="Times New Roman" w:hAnsi="Times New Roman" w:cs="Times New Roman" w:hint="default"/>
      </w:rPr>
    </w:lvl>
    <w:lvl w:ilvl="1" w:tplc="C08416C2">
      <w:start w:val="1"/>
      <w:numFmt w:val="bullet"/>
      <w:lvlText w:val=""/>
      <w:lvlJc w:val="left"/>
      <w:pPr>
        <w:tabs>
          <w:tab w:val="num" w:pos="1647"/>
        </w:tabs>
        <w:ind w:left="164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952F3B"/>
    <w:multiLevelType w:val="hybridMultilevel"/>
    <w:tmpl w:val="33EE8E5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E349D1"/>
    <w:multiLevelType w:val="hybridMultilevel"/>
    <w:tmpl w:val="477251D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A0125F"/>
    <w:multiLevelType w:val="hybridMultilevel"/>
    <w:tmpl w:val="D3C2645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8F4535"/>
    <w:multiLevelType w:val="hybridMultilevel"/>
    <w:tmpl w:val="749032C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992280D"/>
    <w:multiLevelType w:val="hybridMultilevel"/>
    <w:tmpl w:val="7D604A24"/>
    <w:lvl w:ilvl="0" w:tplc="0EA8B07E">
      <w:numFmt w:val="bullet"/>
      <w:lvlText w:val="-"/>
      <w:lvlJc w:val="left"/>
      <w:pPr>
        <w:tabs>
          <w:tab w:val="num" w:pos="720"/>
        </w:tabs>
        <w:ind w:left="567" w:hanging="20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CB21DC5"/>
    <w:multiLevelType w:val="hybridMultilevel"/>
    <w:tmpl w:val="914EDA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CE4FDC"/>
    <w:multiLevelType w:val="hybridMultilevel"/>
    <w:tmpl w:val="C6E83DCC"/>
    <w:lvl w:ilvl="0" w:tplc="FFFFFFFF">
      <w:start w:val="1"/>
      <w:numFmt w:val="bullet"/>
      <w:lvlText w:val="-"/>
      <w:lvlJc w:val="left"/>
      <w:pPr>
        <w:ind w:left="1287" w:hanging="360"/>
      </w:p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7" w15:restartNumberingAfterBreak="0">
    <w:nsid w:val="7D4C32FA"/>
    <w:multiLevelType w:val="hybridMultilevel"/>
    <w:tmpl w:val="C92065F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ED33035"/>
    <w:multiLevelType w:val="hybridMultilevel"/>
    <w:tmpl w:val="262CD7D8"/>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48"/>
  </w:num>
  <w:num w:numId="4">
    <w:abstractNumId w:val="31"/>
  </w:num>
  <w:num w:numId="5">
    <w:abstractNumId w:val="29"/>
  </w:num>
  <w:num w:numId="6">
    <w:abstractNumId w:val="5"/>
  </w:num>
  <w:num w:numId="7">
    <w:abstractNumId w:val="54"/>
  </w:num>
  <w:num w:numId="8">
    <w:abstractNumId w:val="30"/>
  </w:num>
  <w:num w:numId="9">
    <w:abstractNumId w:val="42"/>
  </w:num>
  <w:num w:numId="10">
    <w:abstractNumId w:val="40"/>
  </w:num>
  <w:num w:numId="11">
    <w:abstractNumId w:val="26"/>
  </w:num>
  <w:num w:numId="12">
    <w:abstractNumId w:val="17"/>
  </w:num>
  <w:num w:numId="13">
    <w:abstractNumId w:val="8"/>
  </w:num>
  <w:num w:numId="14">
    <w:abstractNumId w:val="21"/>
  </w:num>
  <w:num w:numId="15">
    <w:abstractNumId w:val="15"/>
  </w:num>
  <w:num w:numId="16">
    <w:abstractNumId w:val="36"/>
  </w:num>
  <w:num w:numId="17">
    <w:abstractNumId w:val="47"/>
  </w:num>
  <w:num w:numId="18">
    <w:abstractNumId w:val="58"/>
  </w:num>
  <w:num w:numId="19">
    <w:abstractNumId w:val="4"/>
  </w:num>
  <w:num w:numId="20">
    <w:abstractNumId w:val="45"/>
  </w:num>
  <w:num w:numId="21">
    <w:abstractNumId w:val="32"/>
  </w:num>
  <w:num w:numId="22">
    <w:abstractNumId w:val="2"/>
    <w:lvlOverride w:ilvl="0">
      <w:lvl w:ilvl="0">
        <w:numFmt w:val="bullet"/>
        <w:lvlText w:val=""/>
        <w:legacy w:legacy="1" w:legacySpace="0" w:legacyIndent="283"/>
        <w:lvlJc w:val="left"/>
        <w:rPr>
          <w:rFonts w:ascii="Symbol" w:hAnsi="Symbol" w:hint="default"/>
        </w:rPr>
      </w:lvl>
    </w:lvlOverride>
  </w:num>
  <w:num w:numId="23">
    <w:abstractNumId w:val="3"/>
  </w:num>
  <w:num w:numId="24">
    <w:abstractNumId w:val="44"/>
  </w:num>
  <w:num w:numId="25">
    <w:abstractNumId w:val="56"/>
  </w:num>
  <w:num w:numId="26">
    <w:abstractNumId w:val="1"/>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20"/>
  </w:num>
  <w:num w:numId="30">
    <w:abstractNumId w:val="6"/>
  </w:num>
  <w:num w:numId="31">
    <w:abstractNumId w:val="18"/>
  </w:num>
  <w:num w:numId="32">
    <w:abstractNumId w:val="37"/>
  </w:num>
  <w:num w:numId="33">
    <w:abstractNumId w:val="35"/>
  </w:num>
  <w:num w:numId="34">
    <w:abstractNumId w:val="34"/>
  </w:num>
  <w:num w:numId="35">
    <w:abstractNumId w:val="49"/>
  </w:num>
  <w:num w:numId="36">
    <w:abstractNumId w:val="33"/>
  </w:num>
  <w:num w:numId="37">
    <w:abstractNumId w:val="51"/>
  </w:num>
  <w:num w:numId="38">
    <w:abstractNumId w:val="50"/>
  </w:num>
  <w:num w:numId="39">
    <w:abstractNumId w:val="52"/>
  </w:num>
  <w:num w:numId="40">
    <w:abstractNumId w:val="38"/>
  </w:num>
  <w:num w:numId="41">
    <w:abstractNumId w:val="22"/>
  </w:num>
  <w:num w:numId="42">
    <w:abstractNumId w:val="12"/>
  </w:num>
  <w:num w:numId="43">
    <w:abstractNumId w:val="46"/>
  </w:num>
  <w:num w:numId="44">
    <w:abstractNumId w:val="57"/>
  </w:num>
  <w:num w:numId="45">
    <w:abstractNumId w:val="19"/>
  </w:num>
  <w:num w:numId="46">
    <w:abstractNumId w:val="53"/>
  </w:num>
  <w:num w:numId="47">
    <w:abstractNumId w:val="14"/>
  </w:num>
  <w:num w:numId="48">
    <w:abstractNumId w:val="23"/>
  </w:num>
  <w:num w:numId="49">
    <w:abstractNumId w:val="16"/>
  </w:num>
  <w:num w:numId="50">
    <w:abstractNumId w:val="41"/>
  </w:num>
  <w:num w:numId="51">
    <w:abstractNumId w:val="10"/>
  </w:num>
  <w:num w:numId="52">
    <w:abstractNumId w:val="0"/>
  </w:num>
  <w:num w:numId="53">
    <w:abstractNumId w:val="27"/>
  </w:num>
  <w:num w:numId="54">
    <w:abstractNumId w:val="28"/>
  </w:num>
  <w:num w:numId="55">
    <w:abstractNumId w:val="9"/>
  </w:num>
  <w:num w:numId="56">
    <w:abstractNumId w:val="25"/>
  </w:num>
  <w:num w:numId="57">
    <w:abstractNumId w:val="39"/>
  </w:num>
  <w:num w:numId="58">
    <w:abstractNumId w:val="13"/>
  </w:num>
  <w:num w:numId="59">
    <w:abstractNumId w:val="11"/>
  </w:num>
  <w:num w:numId="60">
    <w:abstractNumId w:val="5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G">
    <w15:presenceInfo w15:providerId="None" w15:userId="M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F5EA3AC-2F71-4935-B6D4-B75F4976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style>
  <w:style w:type="paragraph" w:styleId="Header">
    <w:name w:val="header"/>
    <w:basedOn w:val="Normal"/>
    <w:pPr>
      <w:widowControl w:val="0"/>
      <w:tabs>
        <w:tab w:val="center" w:pos="4153"/>
        <w:tab w:val="right" w:pos="8306"/>
      </w:tabs>
    </w:pPr>
    <w:rPr>
      <w:lang w:val="el-GR"/>
    </w:rPr>
  </w:style>
  <w:style w:type="paragraph" w:styleId="EndnoteText">
    <w:name w:val="endnote text"/>
    <w:basedOn w:val="Normal"/>
    <w:semiHidden/>
  </w:style>
  <w:style w:type="paragraph" w:styleId="Title">
    <w:name w:val="Title"/>
    <w:basedOn w:val="Normal"/>
    <w:qFormat/>
    <w:pPr>
      <w:spacing w:before="240" w:after="60"/>
      <w:jc w:val="center"/>
      <w:outlineLvl w:val="0"/>
    </w:pPr>
    <w:rPr>
      <w:rFonts w:ascii="Cambria" w:hAnsi="Cambria"/>
      <w:b/>
      <w:bCs/>
      <w:kern w:val="28"/>
      <w:sz w:val="32"/>
      <w:szCs w:val="3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character" w:customStyle="1" w:styleId="Heading6Char">
    <w:name w:val="Heading 6 Char"/>
    <w:link w:val="Heading6"/>
    <w:rPr>
      <w:rFonts w:ascii="Calibri" w:hAnsi="Calibri"/>
      <w:b/>
      <w:bCs/>
      <w:sz w:val="22"/>
      <w:szCs w:val="22"/>
      <w:lang w:val="en-GB" w:eastAsia="en-US"/>
    </w:r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Revision">
    <w:name w:val="Revision"/>
    <w:hidden/>
    <w:uiPriority w:val="99"/>
    <w:semiHidden/>
    <w:rPr>
      <w:sz w:val="22"/>
      <w:lang w:val="en-GB"/>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character" w:customStyle="1" w:styleId="sense">
    <w:name w:val="sense"/>
    <w:rPr>
      <w:rFonts w:ascii="Arial" w:hAnsi="Arial" w:cs="Arial" w:hint="default"/>
      <w:b/>
      <w:bCs/>
      <w:color w:val="000000"/>
      <w:sz w:val="24"/>
      <w:szCs w:val="24"/>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ListBullet2">
    <w:name w:val="List Bullet 2"/>
    <w:basedOn w:val="Normal"/>
    <w:pPr>
      <w:numPr>
        <w:numId w:val="26"/>
      </w:numPr>
      <w:tabs>
        <w:tab w:val="clear" w:pos="567"/>
      </w:tabs>
      <w:spacing w:line="240" w:lineRule="auto"/>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US"/>
    </w:rPr>
  </w:style>
  <w:style w:type="character" w:styleId="Emphasis">
    <w:name w:val="Emphasis"/>
    <w:uiPriority w:val="20"/>
    <w:qFormat/>
    <w:rPr>
      <w:b/>
      <w:bCs/>
      <w:i w:val="0"/>
      <w:iCs w:val="0"/>
    </w:rPr>
  </w:style>
  <w:style w:type="character" w:customStyle="1" w:styleId="st1">
    <w:name w:val="st1"/>
  </w:style>
  <w:style w:type="paragraph" w:customStyle="1" w:styleId="TitleA">
    <w:name w:val="Title A"/>
    <w:basedOn w:val="Title1"/>
    <w:qFormat/>
    <w:rPr>
      <w:sz w:val="22"/>
      <w:szCs w:val="22"/>
      <w:lang w:val="el-GR"/>
    </w:rPr>
  </w:style>
  <w:style w:type="paragraph" w:customStyle="1" w:styleId="TitleB">
    <w:name w:val="Title B"/>
    <w:basedOn w:val="Title2"/>
    <w:qFormat/>
    <w:pPr>
      <w:spacing w:line="240" w:lineRule="auto"/>
      <w:ind w:left="0" w:right="0" w:firstLine="0"/>
    </w:pPr>
    <w:rPr>
      <w:szCs w:val="22"/>
      <w:lang w:val="el-GR"/>
    </w:rPr>
  </w:style>
  <w:style w:type="character" w:customStyle="1" w:styleId="hps">
    <w:name w:val="hps"/>
  </w:style>
  <w:style w:type="character" w:styleId="FootnoteReference">
    <w:name w:val="footnote reference"/>
    <w:rPr>
      <w:vertAlign w:val="superscript"/>
    </w:rPr>
  </w:style>
  <w:style w:type="paragraph" w:styleId="FootnoteText">
    <w:name w:val="footnote text"/>
    <w:basedOn w:val="Normal"/>
    <w:link w:val="FootnoteTextChar"/>
    <w:pPr>
      <w:tabs>
        <w:tab w:val="clear" w:pos="567"/>
      </w:tabs>
      <w:spacing w:line="240" w:lineRule="auto"/>
    </w:pPr>
    <w:rPr>
      <w:sz w:val="20"/>
    </w:rPr>
  </w:style>
  <w:style w:type="character" w:customStyle="1" w:styleId="FootnoteTextChar">
    <w:name w:val="Footnote Text Char"/>
    <w:link w:val="FootnoteText"/>
    <w:rPr>
      <w:lang w:val="en-GB" w:eastAsia="en-US"/>
    </w:rPr>
  </w:style>
  <w:style w:type="paragraph" w:styleId="ListBullet4">
    <w:name w:val="List Bullet 4"/>
    <w:basedOn w:val="Normal"/>
    <w:pPr>
      <w:numPr>
        <w:numId w:val="52"/>
      </w:numPr>
      <w:tabs>
        <w:tab w:val="clear" w:pos="567"/>
      </w:tabs>
      <w:spacing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127722">
      <w:bodyDiv w:val="1"/>
      <w:marLeft w:val="0"/>
      <w:marRight w:val="0"/>
      <w:marTop w:val="0"/>
      <w:marBottom w:val="0"/>
      <w:divBdr>
        <w:top w:val="none" w:sz="0" w:space="0" w:color="auto"/>
        <w:left w:val="none" w:sz="0" w:space="0" w:color="auto"/>
        <w:bottom w:val="none" w:sz="0" w:space="0" w:color="auto"/>
        <w:right w:val="none" w:sz="0" w:space="0" w:color="auto"/>
      </w:divBdr>
    </w:div>
    <w:div w:id="444887238">
      <w:bodyDiv w:val="1"/>
      <w:marLeft w:val="0"/>
      <w:marRight w:val="0"/>
      <w:marTop w:val="0"/>
      <w:marBottom w:val="0"/>
      <w:divBdr>
        <w:top w:val="none" w:sz="0" w:space="0" w:color="auto"/>
        <w:left w:val="none" w:sz="0" w:space="0" w:color="auto"/>
        <w:bottom w:val="none" w:sz="0" w:space="0" w:color="auto"/>
        <w:right w:val="none" w:sz="0" w:space="0" w:color="auto"/>
      </w:divBdr>
    </w:div>
    <w:div w:id="638994142">
      <w:bodyDiv w:val="1"/>
      <w:marLeft w:val="0"/>
      <w:marRight w:val="0"/>
      <w:marTop w:val="0"/>
      <w:marBottom w:val="0"/>
      <w:divBdr>
        <w:top w:val="none" w:sz="0" w:space="0" w:color="auto"/>
        <w:left w:val="none" w:sz="0" w:space="0" w:color="auto"/>
        <w:bottom w:val="none" w:sz="0" w:space="0" w:color="auto"/>
        <w:right w:val="none" w:sz="0" w:space="0" w:color="auto"/>
      </w:divBdr>
    </w:div>
    <w:div w:id="813645463">
      <w:bodyDiv w:val="1"/>
      <w:marLeft w:val="0"/>
      <w:marRight w:val="0"/>
      <w:marTop w:val="0"/>
      <w:marBottom w:val="0"/>
      <w:divBdr>
        <w:top w:val="none" w:sz="0" w:space="0" w:color="auto"/>
        <w:left w:val="none" w:sz="0" w:space="0" w:color="auto"/>
        <w:bottom w:val="none" w:sz="0" w:space="0" w:color="auto"/>
        <w:right w:val="none" w:sz="0" w:space="0" w:color="auto"/>
      </w:divBdr>
    </w:div>
    <w:div w:id="951939395">
      <w:bodyDiv w:val="1"/>
      <w:marLeft w:val="0"/>
      <w:marRight w:val="0"/>
      <w:marTop w:val="0"/>
      <w:marBottom w:val="0"/>
      <w:divBdr>
        <w:top w:val="none" w:sz="0" w:space="0" w:color="auto"/>
        <w:left w:val="none" w:sz="0" w:space="0" w:color="auto"/>
        <w:bottom w:val="none" w:sz="0" w:space="0" w:color="auto"/>
        <w:right w:val="none" w:sz="0" w:space="0" w:color="auto"/>
      </w:divBdr>
    </w:div>
    <w:div w:id="974682774">
      <w:bodyDiv w:val="1"/>
      <w:marLeft w:val="0"/>
      <w:marRight w:val="0"/>
      <w:marTop w:val="0"/>
      <w:marBottom w:val="0"/>
      <w:divBdr>
        <w:top w:val="none" w:sz="0" w:space="0" w:color="auto"/>
        <w:left w:val="none" w:sz="0" w:space="0" w:color="auto"/>
        <w:bottom w:val="none" w:sz="0" w:space="0" w:color="auto"/>
        <w:right w:val="none" w:sz="0" w:space="0" w:color="auto"/>
      </w:divBdr>
    </w:div>
    <w:div w:id="1043018556">
      <w:bodyDiv w:val="1"/>
      <w:marLeft w:val="0"/>
      <w:marRight w:val="0"/>
      <w:marTop w:val="0"/>
      <w:marBottom w:val="0"/>
      <w:divBdr>
        <w:top w:val="none" w:sz="0" w:space="0" w:color="auto"/>
        <w:left w:val="none" w:sz="0" w:space="0" w:color="auto"/>
        <w:bottom w:val="none" w:sz="0" w:space="0" w:color="auto"/>
        <w:right w:val="none" w:sz="0" w:space="0" w:color="auto"/>
      </w:divBdr>
    </w:div>
    <w:div w:id="1593390831">
      <w:bodyDiv w:val="1"/>
      <w:marLeft w:val="0"/>
      <w:marRight w:val="0"/>
      <w:marTop w:val="0"/>
      <w:marBottom w:val="0"/>
      <w:divBdr>
        <w:top w:val="none" w:sz="0" w:space="0" w:color="auto"/>
        <w:left w:val="none" w:sz="0" w:space="0" w:color="auto"/>
        <w:bottom w:val="none" w:sz="0" w:space="0" w:color="auto"/>
        <w:right w:val="none" w:sz="0" w:space="0" w:color="auto"/>
      </w:divBdr>
    </w:div>
    <w:div w:id="1769080603">
      <w:bodyDiv w:val="1"/>
      <w:marLeft w:val="0"/>
      <w:marRight w:val="0"/>
      <w:marTop w:val="0"/>
      <w:marBottom w:val="0"/>
      <w:divBdr>
        <w:top w:val="none" w:sz="0" w:space="0" w:color="auto"/>
        <w:left w:val="none" w:sz="0" w:space="0" w:color="auto"/>
        <w:bottom w:val="none" w:sz="0" w:space="0" w:color="auto"/>
        <w:right w:val="none" w:sz="0" w:space="0" w:color="auto"/>
      </w:divBdr>
    </w:div>
    <w:div w:id="1916165595">
      <w:bodyDiv w:val="1"/>
      <w:marLeft w:val="0"/>
      <w:marRight w:val="0"/>
      <w:marTop w:val="0"/>
      <w:marBottom w:val="0"/>
      <w:divBdr>
        <w:top w:val="none" w:sz="0" w:space="0" w:color="auto"/>
        <w:left w:val="none" w:sz="0" w:space="0" w:color="auto"/>
        <w:bottom w:val="none" w:sz="0" w:space="0" w:color="auto"/>
        <w:right w:val="none" w:sz="0" w:space="0" w:color="auto"/>
      </w:divBdr>
    </w:div>
    <w:div w:id="19932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ll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EMADOC-1700519818-2134499</_dlc_DocId>
    <_dlc_DocIdUrl xmlns="a034c160-bfb7-45f5-8632-2eb7e0508071">
      <Url>https://euema.sharepoint.com/sites/CRM/_layouts/15/DocIdRedir.aspx?ID=EMADOC-1700519818-2134499</Url>
      <Description>EMADOC-1700519818-2134499</Description>
    </_dlc_DocIdUrl>
  </documentManagement>
</p:properties>
</file>

<file path=customXml/itemProps1.xml><?xml version="1.0" encoding="utf-8"?>
<ds:datastoreItem xmlns:ds="http://schemas.openxmlformats.org/officeDocument/2006/customXml" ds:itemID="{6A7E71EE-9865-47BB-B0A0-4962B63C59BE}">
  <ds:schemaRefs>
    <ds:schemaRef ds:uri="http://schemas.openxmlformats.org/officeDocument/2006/bibliography"/>
  </ds:schemaRefs>
</ds:datastoreItem>
</file>

<file path=customXml/itemProps2.xml><?xml version="1.0" encoding="utf-8"?>
<ds:datastoreItem xmlns:ds="http://schemas.openxmlformats.org/officeDocument/2006/customXml" ds:itemID="{E938130F-85E7-486D-A320-FB4AF1779473}"/>
</file>

<file path=customXml/itemProps3.xml><?xml version="1.0" encoding="utf-8"?>
<ds:datastoreItem xmlns:ds="http://schemas.openxmlformats.org/officeDocument/2006/customXml" ds:itemID="{DE21F195-F351-4797-A6F6-2C4FEA5A8504}"/>
</file>

<file path=customXml/itemProps4.xml><?xml version="1.0" encoding="utf-8"?>
<ds:datastoreItem xmlns:ds="http://schemas.openxmlformats.org/officeDocument/2006/customXml" ds:itemID="{B1D98B78-AFB3-4C90-917E-D26BB3A20F95}"/>
</file>

<file path=customXml/itemProps5.xml><?xml version="1.0" encoding="utf-8"?>
<ds:datastoreItem xmlns:ds="http://schemas.openxmlformats.org/officeDocument/2006/customXml" ds:itemID="{A12041FF-B0D0-4D1D-9657-AE55B29CE18C}"/>
</file>

<file path=docProps/app.xml><?xml version="1.0" encoding="utf-8"?>
<Properties xmlns="http://schemas.openxmlformats.org/officeDocument/2006/extended-properties" xmlns:vt="http://schemas.openxmlformats.org/officeDocument/2006/docPropsVTypes">
  <Template>Normal.dotm</Template>
  <TotalTime>48</TotalTime>
  <Pages>30</Pages>
  <Words>15892</Words>
  <Characters>95357</Characters>
  <Application>Microsoft Office Word</Application>
  <DocSecurity>0</DocSecurity>
  <Lines>2509</Lines>
  <Paragraphs>869</Paragraphs>
  <ScaleCrop>false</ScaleCrop>
  <HeadingPairs>
    <vt:vector size="8" baseType="variant">
      <vt:variant>
        <vt:lpstr>Naslov</vt:lpstr>
      </vt:variant>
      <vt:variant>
        <vt:i4>1</vt:i4>
      </vt:variant>
      <vt:variant>
        <vt:lpstr>Title</vt:lpstr>
      </vt:variant>
      <vt:variant>
        <vt:i4>1</vt:i4>
      </vt:variant>
      <vt:variant>
        <vt:lpstr>Τίτλος</vt:lpstr>
      </vt:variant>
      <vt:variant>
        <vt:i4>1</vt:i4>
      </vt:variant>
      <vt:variant>
        <vt:lpstr>Επικεφαλίδες</vt:lpstr>
      </vt:variant>
      <vt:variant>
        <vt:i4>1</vt:i4>
      </vt:variant>
    </vt:vector>
  </HeadingPairs>
  <TitlesOfParts>
    <vt:vector size="4" baseType="lpstr">
      <vt:lpstr>Zyllt: EPAR - Product information - tracked changes</vt:lpstr>
      <vt:lpstr>Zyllt, INN-clopidogrel</vt:lpstr>
      <vt:lpstr>Zyllt, INN-clopidogrel</vt:lpstr>
      <vt:lpstr/>
    </vt:vector>
  </TitlesOfParts>
  <Company>Krka, d.d.</Company>
  <LinksUpToDate>false</LinksUpToDate>
  <CharactersWithSpaces>110380</CharactersWithSpaces>
  <SharedDoc>false</SharedDoc>
  <HLinks>
    <vt:vector size="24"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cp:lastModifiedBy>dmadmin</cp:lastModifiedBy>
  <cp:revision>21</cp:revision>
  <cp:lastPrinted>2014-03-17T08:55:00Z</cp:lastPrinted>
  <dcterms:created xsi:type="dcterms:W3CDTF">2023-10-13T09:20:00Z</dcterms:created>
  <dcterms:modified xsi:type="dcterms:W3CDTF">2025-05-06T05:35:00Z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f5a95cb4-e7c7-4028-8f8e-b006a6de882f</vt:lpwstr>
  </property>
</Properties>
</file>