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A38CD" w:rsidRPr="00DA5390">
      <w:pPr>
        <w:pStyle w:val="No-numheading3Agency"/>
        <w:jc w:val="center"/>
        <w:rPr>
          <w:rFonts w:ascii="Times New Roman" w:hAnsi="Times New Roman" w:cs="Times New Roman"/>
          <w:bCs w:val="0"/>
          <w:lang w:val="el-GR"/>
        </w:rPr>
      </w:pPr>
      <w:r w:rsidRPr="00DA5390" w:rsidR="00DA5390">
        <w:rPr>
          <w:rFonts w:ascii="Times New Roman" w:hAnsi="Times New Roman" w:cs="Times New Roman"/>
          <w:bCs w:val="0"/>
          <w:lang w:val="el-GR"/>
        </w:rPr>
        <w:t xml:space="preserve">&lt;ΠΑΡΑΡΤΗΜΑ </w:t>
      </w:r>
      <w:r w:rsidRPr="00DA5390" w:rsidR="00DA5390">
        <w:rPr>
          <w:rFonts w:ascii="Times New Roman" w:hAnsi="Times New Roman" w:cs="Times New Roman"/>
          <w:bCs w:val="0"/>
        </w:rPr>
        <w:t>IV</w:t>
      </w:r>
    </w:p>
    <w:p w:rsidR="003A38CD" w:rsidRPr="00DA5390">
      <w:pPr>
        <w:pStyle w:val="No-numheading3Agency"/>
        <w:jc w:val="center"/>
        <w:rPr>
          <w:rFonts w:ascii="Times New Roman" w:hAnsi="Times New Roman" w:cs="Times New Roman"/>
          <w:bCs w:val="0"/>
          <w:lang w:val="el-GR"/>
        </w:rPr>
      </w:pPr>
      <w:r w:rsidRPr="00DA5390" w:rsidR="00DA5390">
        <w:rPr>
          <w:rFonts w:ascii="Times New Roman" w:hAnsi="Times New Roman" w:cs="Times New Roman"/>
          <w:bCs w:val="0"/>
          <w:lang w:val="el-GR"/>
        </w:rPr>
        <w:t>ΠΟΡΙΣΜΑΤΑ ΣΧΕΤΙΚΑ ΜΕ ΤΗ ΧΟΡΗΓΗΣΗ ΑΔΕΙΑΣ ΚΥΚΛΟΦΟΡΙΑΣ ΕΞΑΙΡΕΤΙΚΩΝ ΠΕΡΙΣΤΑΣΕΩΝ ΚΑΙ &lt;ΤΗΝ ΟΜΟΙΟΤΗΤΑ ΚΑΙ ΤΗΝ ΠΑΡΕΚΚΛΙΣΗ&gt; &lt;ΚΑΙ&gt; &lt;ΤΟ ΑΙΤΗΜΑ ΓΙΑ ΕΝΟΣ ΕΤΟΥΣ &lt;ΠΡΟΣΤΑΣΙΑ ΕΜΠΟΡΙΑΣ&gt; &lt;ΑΠΟΚΛΕΙΣΤΙΚΟΤΗΤΑ ΔΕΔΟΜΕΝΩΝ&gt;&gt; ΠΟΥ ΠΑΡΟΥΣΙΑΣΤΗΚΑΝ ΑΠΟ ΤΟΝ ΕΥΡΩΠΑΪΚΟ ΟΡΓΑΝΙΣΜΟ ΦΑΡΜΑΚΩΝ</w:t>
      </w: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p w:rsidR="003A38CD" w:rsidRPr="00DA5390">
      <w:pPr>
        <w:pStyle w:val="No-numheading3Agency"/>
        <w:rPr>
          <w:rFonts w:ascii="Times New Roman" w:hAnsi="Times New Roman" w:cs="Times New Roman"/>
          <w:bCs w:val="0"/>
          <w:lang w:val="el-GR"/>
        </w:rPr>
      </w:pPr>
      <w:r w:rsidRPr="00DA5390">
        <w:rPr>
          <w:rFonts w:ascii="Times New Roman" w:hAnsi="Times New Roman" w:cs="Times New Roman"/>
          <w:bCs w:val="0"/>
          <w:lang w:val="el-GR"/>
        </w:rPr>
        <w:br w:type="page"/>
        <w:t>Πορίσματα που παρουσιάστηκαν από τον Ευρωπαϊκό Οργανισμό Φαρμάκων για:</w:t>
      </w:r>
    </w:p>
    <w:p w:rsidR="003A38CD" w:rsidRPr="00DA5390">
      <w:pPr>
        <w:pStyle w:val="DraftingNotesAgency"/>
        <w:rPr>
          <w:rFonts w:ascii="Times New Roman" w:hAnsi="Times New Roman"/>
          <w:szCs w:val="22"/>
        </w:rPr>
      </w:pPr>
      <w:r w:rsidRPr="00DA5390">
        <w:rPr>
          <w:rFonts w:ascii="Times New Roman" w:hAnsi="Times New Roman"/>
          <w:szCs w:val="22"/>
          <w:lang w:val="en-US"/>
        </w:rPr>
        <w:t>[ For the status on marketing authorisation under exceptional circumstances and, where appropriate, for similarity and derogation, please select the statement(s) as provided below.]</w:t>
      </w:r>
    </w:p>
    <w:p w:rsidR="003A38CD" w:rsidRPr="00DA539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DA5390">
        <w:rPr>
          <w:rFonts w:ascii="Times New Roman" w:hAnsi="Times New Roman" w:cs="Times New Roman"/>
          <w:b/>
          <w:sz w:val="22"/>
          <w:szCs w:val="22"/>
          <w:lang w:val="el-GR"/>
        </w:rPr>
        <w:t>Χορήγηση άδειας κυκλοφορίας εξαιρετικών περιστάσεων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Η </w:t>
      </w:r>
      <w:r w:rsidRPr="00DA5390">
        <w:rPr>
          <w:rFonts w:ascii="Times New Roman" w:hAnsi="Times New Roman" w:cs="Times New Roman"/>
          <w:sz w:val="22"/>
          <w:szCs w:val="22"/>
        </w:rPr>
        <w:t>CHMP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, λαμβάνοντας υπόψη την αίτηση, θεωρεί ότι η σχέση οφέλους κινδύνου ευνοεί τη σύσταση χορήγησης της άδειας κυκλοφορίας εξαιρετικών περιστάσεων, όπως επεξηγείται περαιτέρω στην Ευρωπαϊκή Δημόσια Έκθεση Αξιολόγησης</w:t>
      </w:r>
      <w:r w:rsidRPr="00DA5390">
        <w:rPr>
          <w:rFonts w:ascii="Times New Roman" w:eastAsia="MS Mincho" w:hAnsi="Times New Roman" w:cs="Times New Roman"/>
          <w:sz w:val="22"/>
          <w:szCs w:val="22"/>
          <w:lang w:val="el-GR"/>
        </w:rPr>
        <w:t>.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&gt;</w:t>
      </w:r>
    </w:p>
    <w:p w:rsidR="003A38CD" w:rsidRPr="00DA539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DA5390">
        <w:rPr>
          <w:rFonts w:ascii="Times New Roman" w:hAnsi="Times New Roman" w:cs="Times New Roman"/>
          <w:b/>
          <w:sz w:val="22"/>
          <w:szCs w:val="22"/>
          <w:lang w:val="el-GR"/>
        </w:rPr>
        <w:t>&lt;Ομοιότητα&gt;</w:t>
      </w:r>
      <w:r w:rsidRPr="00DA539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&lt;Η </w:t>
      </w:r>
      <w:r w:rsidRPr="00DA539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θεωρεί ότι το &lt;ονομασία προϊόντος&gt; είναι παρόμοιο με το(α) εγκεκριμένο(α) ορφανό(ά) φάρμακο(α), υπό την έννοια του άρθρου 3 του κανονισμού (ΕΚ) αριθ. 847/2000 της Επιτροπής, όπως επεξηγείται περαιτέρω στην Ευρωπαϊκή Δημόσια Έκθεση Αξιολόγησης. &gt;</w:t>
      </w:r>
    </w:p>
    <w:p w:rsidR="003A38CD" w:rsidRPr="00DA539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DA5390">
        <w:rPr>
          <w:rFonts w:ascii="Times New Roman" w:hAnsi="Times New Roman" w:cs="Times New Roman"/>
          <w:b/>
          <w:sz w:val="22"/>
          <w:szCs w:val="22"/>
          <w:lang w:val="el-GR"/>
        </w:rPr>
        <w:t>&lt;Παρέκκλιση&gt;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&lt;Η </w:t>
      </w:r>
      <w:r w:rsidRPr="00DA539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θεωρεί ότι, σύμφωνα με το άρθρο 8 του κανονισμού (ΕΚ) αριθ. 141/2000 και &lt;το άρθρο 3 του κανονισμού (ΕΚ) αριθ. 847/2000 της Επιτροπής&gt; </w:t>
      </w: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[only for the superiority derogation]</w:t>
      </w:r>
      <w:r w:rsidRPr="00DA5390">
        <w:rPr>
          <w:rFonts w:ascii="Times New Roman" w:hAnsi="Times New Roman" w:cs="Times New Roman"/>
          <w:i/>
          <w:color w:val="008000"/>
          <w:sz w:val="22"/>
          <w:szCs w:val="22"/>
          <w:lang w:val="el-GR"/>
        </w:rPr>
        <w:t xml:space="preserve"> 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η ακόλουθη παρέκκλιση&lt;-εις&gt; που ορίζεται &lt;ονται&gt; στο άρθρο 8 παράγραφος 3 του ιδίου κανονισμού ισχύει(-ουν) όπως επεξηγείται περαιτέρω στην Ευρωπαϊκή Δημόσια Έκθεση Αξιολόγησης: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</w:t>
      </w:r>
      <w:r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ά</w:t>
      </w:r>
      <w:r w:rsidRPr="00DA5390"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δε</w:t>
      </w:r>
      <w:r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ι</w:t>
      </w:r>
      <w:r w:rsidRPr="00DA5390"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 xml:space="preserve">ας 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κυκλοφορίας του &lt;εγκεκριμένου ορφανού φαρμάκου&gt; δεν έχει τη δυνατότητα να προμηθεύσει επαρκείς ποσότητες του φαρμάκου&gt; &lt;και&gt; 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>&lt;ο αιτών μπορεί να αποδείξει, στην αίτησή του, ότι το φάρμακο, αν και παρόμοιο προς το &lt;εγκεκριμένο ορφανό φάρμακο που κυκλοφορεί&gt;, είναι ασφαλέστερο, αποτελεσματικότερο ή υπερέχει καθ' οιονδήποτε άλλον τρόπο από κλινική άποψη (όπως ορίζεται στο άρθρο 3 του κανονισμού (ΕΚ) αριθ. 847/2000 της Επιτροπής) για την ίδια θεραπευτική ένδειξη&gt; &lt;και&gt;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</w:t>
      </w:r>
      <w:r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ά</w:t>
      </w:r>
      <w:r w:rsidRPr="00DA5390"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δε</w:t>
      </w:r>
      <w:r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>ι</w:t>
      </w:r>
      <w:r w:rsidRPr="00DA5390" w:rsidR="00724B60">
        <w:rPr>
          <w:rFonts w:ascii="Times New Roman" w:eastAsia="MS Mincho" w:hAnsi="Times New Roman" w:cs="Times New Roman"/>
          <w:sz w:val="22"/>
          <w:szCs w:val="22"/>
          <w:lang w:val="el-GR"/>
        </w:rPr>
        <w:t xml:space="preserve">ας 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κυκλοφορίας του &lt;εγκεκριμένου ορφανού φαρμάκου&gt; έχει δώσει τη συγκατάθεσή του στον αιτούντα</w:t>
      </w:r>
      <w:r w:rsidRPr="00DA5390">
        <w:rPr>
          <w:rFonts w:ascii="Times New Roman" w:eastAsia="MS Mincho" w:hAnsi="Times New Roman" w:cs="Times New Roman"/>
          <w:sz w:val="22"/>
          <w:szCs w:val="22"/>
          <w:lang w:val="el-GR"/>
        </w:rPr>
        <w:t>.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&gt;</w:t>
      </w:r>
    </w:p>
    <w:p w:rsidR="003A38CD" w:rsidRPr="00DA539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l-GR"/>
        </w:rPr>
      </w:pPr>
      <w:r w:rsidRPr="00DA5390">
        <w:rPr>
          <w:rFonts w:ascii="Times New Roman" w:hAnsi="Times New Roman" w:cs="Times New Roman"/>
          <w:b/>
          <w:sz w:val="22"/>
          <w:szCs w:val="22"/>
          <w:lang w:val="el-GR"/>
        </w:rPr>
        <w:t>&lt;ενός έτους &lt;προστασία εμπορίας&gt; &lt;αποκλειστικότητα δεδομένων&gt;&gt;</w:t>
      </w:r>
    </w:p>
    <w:p w:rsidR="003A38CD" w:rsidRPr="00DA5390">
      <w:pPr>
        <w:pStyle w:val="DraftingNotesAgency"/>
        <w:rPr>
          <w:rFonts w:ascii="Times New Roman" w:hAnsi="Times New Roman"/>
          <w:szCs w:val="22"/>
        </w:rPr>
      </w:pPr>
      <w:r w:rsidRPr="00DA5390">
        <w:rPr>
          <w:rFonts w:ascii="Times New Roman" w:hAnsi="Times New Roman"/>
          <w:szCs w:val="22"/>
          <w:lang w:val="en-US"/>
        </w:rPr>
        <w:t>[Where one-year marketing protection/data exclusivity is accepted, please select the statement(s) as provided below, otherwise provide scientific conclusions and grounds.]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</w:t>
      </w: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n-US" w:eastAsia="en-US"/>
        </w:rPr>
        <w:t>For</w:t>
      </w: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 xml:space="preserve"> </w:t>
      </w: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n-US" w:eastAsia="en-US"/>
        </w:rPr>
        <w:t>Art</w:t>
      </w: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 xml:space="preserve"> 14(11)]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&lt;Η </w:t>
      </w:r>
      <w:r w:rsidRPr="00DA539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επανεξέτασε τα δεδομένα που υπέβαλε ο κάτοχος της </w:t>
      </w:r>
      <w:r w:rsidRPr="00DA5390">
        <w:rPr>
          <w:rFonts w:ascii="Times New Roman" w:eastAsia="MS Mincho" w:hAnsi="Times New Roman" w:cs="Times New Roman"/>
          <w:sz w:val="22"/>
          <w:szCs w:val="22"/>
          <w:lang w:val="el-GR"/>
        </w:rPr>
        <w:t xml:space="preserve">αδείας 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κυκλοφορίας, λαμβάνοντας υπόψη τις διατάξεις του άρθρου 14 παράγραφος 11 του κανονισμού (ΕΚ) αριθ. 726/2004 και εκτιμά ότι η νέα θεραπευτική ένδειξη επιφέρει σημαντικό κλινικό όφελος συγκριτικά με </w:t>
      </w:r>
      <w:r w:rsidRPr="00DA5390" w:rsidR="00724B60">
        <w:rPr>
          <w:rFonts w:ascii="Times New Roman" w:hAnsi="Times New Roman" w:cs="Times New Roman"/>
          <w:sz w:val="22"/>
          <w:szCs w:val="22"/>
          <w:lang w:val="el-GR"/>
        </w:rPr>
        <w:t>τ</w:t>
      </w:r>
      <w:r w:rsidR="00724B60">
        <w:rPr>
          <w:rFonts w:ascii="Times New Roman" w:hAnsi="Times New Roman" w:cs="Times New Roman"/>
          <w:sz w:val="22"/>
          <w:szCs w:val="22"/>
          <w:lang w:val="el-GR"/>
        </w:rPr>
        <w:t>ις</w:t>
      </w:r>
      <w:r w:rsidRPr="00DA5390" w:rsidR="00724B60">
        <w:rPr>
          <w:rFonts w:ascii="Times New Roman" w:hAnsi="Times New Roman" w:cs="Times New Roman"/>
          <w:sz w:val="22"/>
          <w:szCs w:val="22"/>
          <w:lang w:val="el-GR"/>
        </w:rPr>
        <w:t xml:space="preserve"> υφιστάμεν</w:t>
      </w:r>
      <w:r w:rsidR="00724B60">
        <w:rPr>
          <w:rFonts w:ascii="Times New Roman" w:hAnsi="Times New Roman" w:cs="Times New Roman"/>
          <w:sz w:val="22"/>
          <w:szCs w:val="22"/>
          <w:lang w:val="el-GR"/>
        </w:rPr>
        <w:t>ες θεραπείες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, όπως επεξηγείται περαιτέρω στην Ευρωπαϊκή Δημόσια Έκθεση Αξιολόγησης. &gt;</w:t>
      </w:r>
    </w:p>
    <w:p w:rsidR="003A38CD" w:rsidRPr="00DA5390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DA539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[For Art 10(5)]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 xml:space="preserve"> &lt;Η CHMP επανεξέτασε τα στοιχεία που υπέβαλε ο κάτοχος της </w:t>
      </w:r>
      <w:r w:rsidRPr="00DA5390">
        <w:rPr>
          <w:rFonts w:ascii="Times New Roman" w:eastAsia="MS Mincho" w:hAnsi="Times New Roman" w:cs="Times New Roman"/>
          <w:sz w:val="22"/>
          <w:szCs w:val="22"/>
          <w:lang w:val="el-GR"/>
        </w:rPr>
        <w:t xml:space="preserve">αδείας </w:t>
      </w:r>
      <w:r w:rsidRPr="00DA5390">
        <w:rPr>
          <w:rFonts w:ascii="Times New Roman" w:hAnsi="Times New Roman" w:cs="Times New Roman"/>
          <w:sz w:val="22"/>
          <w:szCs w:val="22"/>
          <w:lang w:val="el-GR"/>
        </w:rPr>
        <w:t>κυκλοφορίας, λαμβάνοντας υπόψη τις διατάξεις του άρθρου 10 παράγραφος 5 της οδηγίας 2001/83/ΕΚ και εκτιμά ότι &lt;οι &lt;προκλινικές δοκιμές&gt; &lt;και&gt; &lt;οι κλινικές μελέτες&gt; που διενεργήθηκαν σε σχέση με τη νέα ένδειξη ήταν σημαντικές, όπως επεξηγείται περαιτέρω στην Ευρωπαϊκή Δημόσια Έκθεση Αξιολόγησης. &gt;</w:t>
      </w:r>
    </w:p>
    <w:p w:rsidR="003A38CD" w:rsidRPr="00DA5390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sectPr w:rsidSect="00AC37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90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2E085C">
      <w:t>2</w:t>
    </w:r>
    <w:r>
      <w:fldChar w:fldCharType="end"/>
    </w:r>
  </w:p>
  <w:p w:rsidR="003A38CD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CD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A045B"/>
    <w:rsid w:val="000A14E5"/>
    <w:rsid w:val="000B2C87"/>
    <w:rsid w:val="000B5F60"/>
    <w:rsid w:val="000C0D39"/>
    <w:rsid w:val="001002D6"/>
    <w:rsid w:val="001314FE"/>
    <w:rsid w:val="00141398"/>
    <w:rsid w:val="001A0DE6"/>
    <w:rsid w:val="001D3282"/>
    <w:rsid w:val="00201540"/>
    <w:rsid w:val="00202F0F"/>
    <w:rsid w:val="00220D27"/>
    <w:rsid w:val="002230E8"/>
    <w:rsid w:val="0023318C"/>
    <w:rsid w:val="00253FE8"/>
    <w:rsid w:val="002674A1"/>
    <w:rsid w:val="00277336"/>
    <w:rsid w:val="00277B40"/>
    <w:rsid w:val="002A264B"/>
    <w:rsid w:val="002A3C92"/>
    <w:rsid w:val="002D764E"/>
    <w:rsid w:val="002E085C"/>
    <w:rsid w:val="0031612E"/>
    <w:rsid w:val="00347DC5"/>
    <w:rsid w:val="00375715"/>
    <w:rsid w:val="003A38CD"/>
    <w:rsid w:val="00405166"/>
    <w:rsid w:val="00470428"/>
    <w:rsid w:val="00476C3E"/>
    <w:rsid w:val="004A2E29"/>
    <w:rsid w:val="004D6A54"/>
    <w:rsid w:val="00505A17"/>
    <w:rsid w:val="00514F9A"/>
    <w:rsid w:val="005245BE"/>
    <w:rsid w:val="005633C7"/>
    <w:rsid w:val="0057544A"/>
    <w:rsid w:val="005A3C0A"/>
    <w:rsid w:val="005B1593"/>
    <w:rsid w:val="005B2218"/>
    <w:rsid w:val="005C3479"/>
    <w:rsid w:val="005E0D96"/>
    <w:rsid w:val="00650B3E"/>
    <w:rsid w:val="006B25E8"/>
    <w:rsid w:val="006E30D5"/>
    <w:rsid w:val="006E6E30"/>
    <w:rsid w:val="006F4F7A"/>
    <w:rsid w:val="00701AC3"/>
    <w:rsid w:val="00706020"/>
    <w:rsid w:val="00724B60"/>
    <w:rsid w:val="0073502D"/>
    <w:rsid w:val="00740E98"/>
    <w:rsid w:val="007461A8"/>
    <w:rsid w:val="00755561"/>
    <w:rsid w:val="0076621B"/>
    <w:rsid w:val="00777982"/>
    <w:rsid w:val="007C21EA"/>
    <w:rsid w:val="007D3CFA"/>
    <w:rsid w:val="008312A7"/>
    <w:rsid w:val="00834808"/>
    <w:rsid w:val="00850D6F"/>
    <w:rsid w:val="00855CBC"/>
    <w:rsid w:val="00866F52"/>
    <w:rsid w:val="008C7B7D"/>
    <w:rsid w:val="009015E6"/>
    <w:rsid w:val="00931AE3"/>
    <w:rsid w:val="00936227"/>
    <w:rsid w:val="00936BBC"/>
    <w:rsid w:val="00953773"/>
    <w:rsid w:val="00970FDD"/>
    <w:rsid w:val="009B2A9F"/>
    <w:rsid w:val="009B3A46"/>
    <w:rsid w:val="009E6225"/>
    <w:rsid w:val="009F6951"/>
    <w:rsid w:val="00A03717"/>
    <w:rsid w:val="00A720C7"/>
    <w:rsid w:val="00A8184E"/>
    <w:rsid w:val="00AC378D"/>
    <w:rsid w:val="00AC5A6E"/>
    <w:rsid w:val="00AF6767"/>
    <w:rsid w:val="00B117A8"/>
    <w:rsid w:val="00B12AAC"/>
    <w:rsid w:val="00B31C9D"/>
    <w:rsid w:val="00B31FD5"/>
    <w:rsid w:val="00B333E5"/>
    <w:rsid w:val="00B53E3C"/>
    <w:rsid w:val="00B608F0"/>
    <w:rsid w:val="00B9497B"/>
    <w:rsid w:val="00BC1060"/>
    <w:rsid w:val="00C17424"/>
    <w:rsid w:val="00C31ABE"/>
    <w:rsid w:val="00C50C32"/>
    <w:rsid w:val="00C57461"/>
    <w:rsid w:val="00C92592"/>
    <w:rsid w:val="00CA5444"/>
    <w:rsid w:val="00CA66FE"/>
    <w:rsid w:val="00CB272C"/>
    <w:rsid w:val="00CD1ADC"/>
    <w:rsid w:val="00CE61D7"/>
    <w:rsid w:val="00D62F0E"/>
    <w:rsid w:val="00D67EB3"/>
    <w:rsid w:val="00DA5390"/>
    <w:rsid w:val="00DB36BB"/>
    <w:rsid w:val="00DC6C92"/>
    <w:rsid w:val="00DD34DB"/>
    <w:rsid w:val="00DE3005"/>
    <w:rsid w:val="00DE6C35"/>
    <w:rsid w:val="00DE6E31"/>
    <w:rsid w:val="00E109FE"/>
    <w:rsid w:val="00E30AE1"/>
    <w:rsid w:val="00E60205"/>
    <w:rsid w:val="00E629C0"/>
    <w:rsid w:val="00E93AD6"/>
    <w:rsid w:val="00EB4C2F"/>
    <w:rsid w:val="00EC33C2"/>
    <w:rsid w:val="00EC7D51"/>
    <w:rsid w:val="00F34963"/>
    <w:rsid w:val="00F5516F"/>
    <w:rsid w:val="00F61F7D"/>
    <w:rsid w:val="00F6539B"/>
    <w:rsid w:val="00F86CE6"/>
    <w:rsid w:val="00F966C2"/>
    <w:rsid w:val="00FB5877"/>
    <w:rsid w:val="00FD4EA2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8D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378D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C378D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AC378D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AC378D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AC378D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AC378D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AC378D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AC378D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AC378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AC378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C378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C378D"/>
    <w:rPr>
      <w:color w:val="0000FF"/>
    </w:rPr>
  </w:style>
  <w:style w:type="character" w:customStyle="1" w:styleId="tw4winPopup">
    <w:name w:val="tw4winPopup"/>
    <w:uiPriority w:val="99"/>
    <w:rsid w:val="00AC378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C378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C378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C378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C378D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253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53FE8"/>
    <w:rPr>
      <w:rFonts w:ascii="Tahoma" w:hAnsi="Tahoma" w:cs="Tahoma"/>
      <w:snapToGrid w:val="0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rsid w:val="00B117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17A8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632E89"/>
    <w:pPr>
      <w:numPr>
        <w:numId w:val="4"/>
      </w:numPr>
    </w:pPr>
  </w:style>
  <w:style w:type="numbering" w:customStyle="1" w:styleId="NumberlistAgency">
    <w:name w:val="Number list (Agency)"/>
    <w:rsid w:val="00632E89"/>
    <w:pPr>
      <w:numPr>
        <w:numId w:val="15"/>
      </w:numPr>
    </w:pPr>
  </w:style>
  <w:style w:type="paragraph" w:styleId="Revision">
    <w:name w:val="Revision"/>
    <w:hidden/>
    <w:uiPriority w:val="99"/>
    <w:semiHidden/>
    <w:rsid w:val="00724B60"/>
    <w:rPr>
      <w:rFonts w:ascii="Verdana" w:hAnsi="Verdana" w:cs="Verdana"/>
      <w:sz w:val="18"/>
      <w:szCs w:val="18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HannexIVexceptionalel</vt:lpstr>
      <vt:lpstr>HannexIVexceptionalel</vt:lpstr>
    </vt:vector>
  </TitlesOfParts>
  <Company>Translation Centre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HannexIVexceptional_el</dc:title>
  <dc:creator>European Medicines Agency</dc:creator>
  <cp:lastModifiedBy>SYSTEM</cp:lastModifiedBy>
  <cp:revision>2</cp:revision>
  <cp:lastPrinted>2012-05-25T14:06:00Z</cp:lastPrinted>
  <dcterms:created xsi:type="dcterms:W3CDTF">2016-12-08T10:49:00Z</dcterms:created>
  <dcterms:modified xsi:type="dcterms:W3CDTF">2016-12-08T10:49:00Z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10:43:48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EMA/713518/2018</vt:lpwstr>
  </property>
  <property fmtid="{D5CDD505-2E9C-101B-9397-08002B2CF9AE}" pid="7" name="DM_emea_doc_ref_id">
    <vt:lpwstr>EMA/713518/2018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10:43:48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10:43:48</vt:lpwstr>
  </property>
  <property fmtid="{D5CDD505-2E9C-101B-9397-08002B2CF9AE}" pid="14" name="DM_Name">
    <vt:lpwstr>HannexIVexceptional_el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