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10EF" w14:textId="2745BA8C" w:rsidR="00694AB8" w:rsidRPr="004A5EAA" w:rsidRDefault="00F43ADC" w:rsidP="004A5EAA">
      <w:pPr>
        <w:pStyle w:val="BodytextAgency"/>
        <w:rPr>
          <w:b/>
          <w:sz w:val="24"/>
          <w:szCs w:val="24"/>
        </w:rPr>
      </w:pPr>
      <w:r w:rsidRPr="004A5EAA">
        <w:rPr>
          <w:b/>
          <w:sz w:val="24"/>
          <w:szCs w:val="24"/>
        </w:rPr>
        <w:t xml:space="preserve">Template </w:t>
      </w:r>
      <w:r w:rsidR="00742CF5">
        <w:rPr>
          <w:b/>
          <w:sz w:val="24"/>
          <w:szCs w:val="24"/>
        </w:rPr>
        <w:t xml:space="preserve">to </w:t>
      </w:r>
      <w:r w:rsidR="00952DE0">
        <w:rPr>
          <w:b/>
          <w:sz w:val="24"/>
          <w:szCs w:val="24"/>
        </w:rPr>
        <w:t>report</w:t>
      </w:r>
      <w:r w:rsidRPr="004A5EAA">
        <w:rPr>
          <w:b/>
          <w:sz w:val="24"/>
          <w:szCs w:val="24"/>
        </w:rPr>
        <w:t xml:space="preserve"> an allegation concerning </w:t>
      </w:r>
      <w:r w:rsidR="00053283">
        <w:rPr>
          <w:b/>
          <w:sz w:val="24"/>
          <w:szCs w:val="24"/>
        </w:rPr>
        <w:t>breaches</w:t>
      </w:r>
      <w:r w:rsidR="00DE537C">
        <w:rPr>
          <w:b/>
          <w:sz w:val="24"/>
          <w:szCs w:val="24"/>
        </w:rPr>
        <w:t xml:space="preserve"> </w:t>
      </w:r>
      <w:r w:rsidRPr="004A5EAA">
        <w:rPr>
          <w:b/>
          <w:sz w:val="24"/>
          <w:szCs w:val="24"/>
        </w:rPr>
        <w:t>in an area of EMA’s responsibility</w:t>
      </w:r>
      <w:r w:rsidR="00BD3DB6" w:rsidRPr="004A5EAA">
        <w:rPr>
          <w:b/>
          <w:sz w:val="24"/>
          <w:szCs w:val="24"/>
        </w:rPr>
        <w:t xml:space="preserve"> (authorisation, </w:t>
      </w:r>
      <w:proofErr w:type="gramStart"/>
      <w:r w:rsidR="00BD3DB6" w:rsidRPr="004A5EAA">
        <w:rPr>
          <w:b/>
          <w:sz w:val="24"/>
          <w:szCs w:val="24"/>
        </w:rPr>
        <w:t>supervision</w:t>
      </w:r>
      <w:proofErr w:type="gramEnd"/>
      <w:r w:rsidR="00BD3DB6" w:rsidRPr="004A5EAA">
        <w:rPr>
          <w:b/>
          <w:sz w:val="24"/>
          <w:szCs w:val="24"/>
        </w:rPr>
        <w:t xml:space="preserve"> and maintenance of human and veterinary medicinal products)</w:t>
      </w:r>
    </w:p>
    <w:p w14:paraId="6B0F6771" w14:textId="77777777" w:rsidR="00EA15F9" w:rsidRDefault="00EA15F9" w:rsidP="004A5EAA">
      <w:pPr>
        <w:pStyle w:val="BodytextAgency"/>
      </w:pPr>
    </w:p>
    <w:p w14:paraId="10C17C7F" w14:textId="39124FB2" w:rsidR="00BC72EF" w:rsidRDefault="00F43ADC" w:rsidP="004A5EAA">
      <w:pPr>
        <w:pStyle w:val="BodytextAgency"/>
      </w:pPr>
      <w:r w:rsidRPr="00EA15F9">
        <w:t xml:space="preserve">For detailed information on how the </w:t>
      </w:r>
      <w:r>
        <w:t>EMA</w:t>
      </w:r>
      <w:r w:rsidRPr="00EA15F9">
        <w:t xml:space="preserve"> processes your personal data </w:t>
      </w:r>
      <w:r w:rsidR="005646B4">
        <w:t>when</w:t>
      </w:r>
      <w:r w:rsidRPr="00EA15F9">
        <w:t xml:space="preserve"> handling this report, please read our specific privacy statement below. </w:t>
      </w:r>
    </w:p>
    <w:p w14:paraId="49004E9A" w14:textId="791AB5E8" w:rsidR="008B172E" w:rsidRDefault="00F43ADC" w:rsidP="004A5EAA">
      <w:pPr>
        <w:pStyle w:val="BodytextAgency"/>
      </w:pPr>
      <w:r w:rsidRPr="00EA15F9">
        <w:t xml:space="preserve">By submitting your </w:t>
      </w:r>
      <w:r w:rsidRPr="00EA15F9">
        <w:t>report, you confirm that you have read and understood our privacy statement and you consent to the processing of your personal data</w:t>
      </w:r>
      <w:r>
        <w:t>.</w:t>
      </w:r>
    </w:p>
    <w:p w14:paraId="2BD4456F" w14:textId="77777777" w:rsidR="00EA15F9" w:rsidRPr="00BD3DB6" w:rsidRDefault="00EA15F9" w:rsidP="004A5EAA">
      <w:pPr>
        <w:pStyle w:val="BodytextAgency"/>
      </w:pPr>
    </w:p>
    <w:p w14:paraId="097884DA" w14:textId="0E883A68" w:rsidR="00BD3DB6" w:rsidRPr="004A5EAA" w:rsidRDefault="00F43ADC" w:rsidP="004A5EAA">
      <w:pPr>
        <w:pStyle w:val="BodytextAgency"/>
        <w:rPr>
          <w:b/>
        </w:rPr>
      </w:pPr>
      <w:r w:rsidRPr="004A5EAA">
        <w:rPr>
          <w:b/>
        </w:rPr>
        <w:t xml:space="preserve">Subject: </w:t>
      </w:r>
      <w:r w:rsidR="00035105" w:rsidRPr="004A5EAA">
        <w:rPr>
          <w:b/>
        </w:rPr>
        <w:t>[</w:t>
      </w:r>
      <w:r w:rsidRPr="004A5EAA">
        <w:rPr>
          <w:b/>
        </w:rPr>
        <w:t>topic of th</w:t>
      </w:r>
      <w:r w:rsidR="00035105" w:rsidRPr="004A5EAA">
        <w:rPr>
          <w:b/>
        </w:rPr>
        <w:t xml:space="preserve">e alleged </w:t>
      </w:r>
      <w:r w:rsidR="00053283">
        <w:rPr>
          <w:b/>
        </w:rPr>
        <w:t>breaches</w:t>
      </w:r>
      <w:r w:rsidR="00035105" w:rsidRPr="004A5EAA">
        <w:rPr>
          <w:b/>
        </w:rPr>
        <w:t>]</w:t>
      </w:r>
    </w:p>
    <w:p w14:paraId="6F8D4448" w14:textId="77777777" w:rsidR="00BD3DB6" w:rsidRDefault="00BD3DB6" w:rsidP="004A5EAA">
      <w:pPr>
        <w:pStyle w:val="BodytextAgency"/>
      </w:pPr>
    </w:p>
    <w:p w14:paraId="19817AFD" w14:textId="77777777" w:rsidR="008B172E" w:rsidRPr="004A5EAA" w:rsidRDefault="00F43ADC" w:rsidP="004A5EAA">
      <w:pPr>
        <w:pStyle w:val="BodytextAgency"/>
        <w:rPr>
          <w:b/>
        </w:rPr>
      </w:pPr>
      <w:r w:rsidRPr="004A5EAA">
        <w:rPr>
          <w:b/>
        </w:rPr>
        <w:t xml:space="preserve">I hereby inform you of suspicions </w:t>
      </w:r>
      <w:r w:rsidR="00742CF5">
        <w:rPr>
          <w:b/>
        </w:rPr>
        <w:t xml:space="preserve">about </w:t>
      </w:r>
      <w:r w:rsidRPr="004A5EAA">
        <w:rPr>
          <w:b/>
        </w:rPr>
        <w:t>an impropriety that may indicate</w:t>
      </w:r>
      <w:r w:rsidR="0033663A" w:rsidRPr="004A5EAA">
        <w:rPr>
          <w:b/>
        </w:rPr>
        <w:t>:</w:t>
      </w:r>
    </w:p>
    <w:p w14:paraId="17580711" w14:textId="77777777" w:rsidR="008B172E" w:rsidRPr="00BD3DB6" w:rsidRDefault="00F43ADC" w:rsidP="004A5EAA">
      <w:pPr>
        <w:pStyle w:val="BodytextAgency"/>
        <w:numPr>
          <w:ilvl w:val="0"/>
          <w:numId w:val="14"/>
        </w:numPr>
        <w:ind w:left="426" w:hanging="426"/>
      </w:pPr>
      <w:r w:rsidRPr="00BD3DB6">
        <w:t>Non-co</w:t>
      </w:r>
      <w:r w:rsidRPr="00BD3DB6">
        <w:t xml:space="preserve">mpliance with </w:t>
      </w:r>
      <w:r w:rsidR="0033663A" w:rsidRPr="00BD3DB6">
        <w:t>Good Manufacturing Practices (</w:t>
      </w:r>
      <w:r w:rsidRPr="00BD3DB6">
        <w:t>GMP</w:t>
      </w:r>
      <w:r w:rsidR="0033663A" w:rsidRPr="00BD3DB6">
        <w:t>)</w:t>
      </w:r>
    </w:p>
    <w:p w14:paraId="2713D1C6" w14:textId="77777777" w:rsidR="008B172E" w:rsidRPr="00BD3DB6" w:rsidRDefault="00F43ADC" w:rsidP="004A5EAA">
      <w:pPr>
        <w:pStyle w:val="BodytextAgency"/>
        <w:numPr>
          <w:ilvl w:val="0"/>
          <w:numId w:val="14"/>
        </w:numPr>
        <w:ind w:left="426" w:hanging="426"/>
      </w:pPr>
      <w:r w:rsidRPr="00BD3DB6">
        <w:t xml:space="preserve">Non-Compliance with </w:t>
      </w:r>
      <w:r w:rsidR="0033663A" w:rsidRPr="00BD3DB6">
        <w:t>Good Clinical Practices (</w:t>
      </w:r>
      <w:r w:rsidRPr="00BD3DB6">
        <w:t>GCP</w:t>
      </w:r>
      <w:r w:rsidR="0033663A" w:rsidRPr="00BD3DB6">
        <w:t>)</w:t>
      </w:r>
    </w:p>
    <w:p w14:paraId="3E634E0E" w14:textId="77777777" w:rsidR="008B172E" w:rsidRPr="00BD3DB6" w:rsidRDefault="00F43ADC" w:rsidP="004A5EAA">
      <w:pPr>
        <w:pStyle w:val="BodytextAgency"/>
        <w:numPr>
          <w:ilvl w:val="0"/>
          <w:numId w:val="14"/>
        </w:numPr>
        <w:ind w:left="426" w:hanging="426"/>
      </w:pPr>
      <w:r w:rsidRPr="00BD3DB6">
        <w:t xml:space="preserve">Non-compliance with </w:t>
      </w:r>
      <w:r w:rsidR="0033663A" w:rsidRPr="00BD3DB6">
        <w:t>Good Laboratory Practices (</w:t>
      </w:r>
      <w:r w:rsidRPr="00BD3DB6">
        <w:t>GLP</w:t>
      </w:r>
      <w:r w:rsidR="0033663A" w:rsidRPr="00BD3DB6">
        <w:t>)</w:t>
      </w:r>
    </w:p>
    <w:p w14:paraId="02B6409D" w14:textId="1B3559FC" w:rsidR="008B172E" w:rsidRPr="00BD3DB6" w:rsidRDefault="00F43ADC" w:rsidP="004A5EAA">
      <w:pPr>
        <w:pStyle w:val="BodytextAgency"/>
        <w:numPr>
          <w:ilvl w:val="0"/>
          <w:numId w:val="14"/>
        </w:numPr>
        <w:ind w:left="426" w:hanging="426"/>
      </w:pPr>
      <w:r w:rsidRPr="00BD3DB6">
        <w:t xml:space="preserve">Non-Compliance with Good </w:t>
      </w:r>
      <w:r w:rsidR="00053283">
        <w:t>Pharmaco</w:t>
      </w:r>
      <w:r w:rsidR="005646B4">
        <w:t>v</w:t>
      </w:r>
      <w:r w:rsidRPr="00BD3DB6">
        <w:t>igilance Practices</w:t>
      </w:r>
      <w:r w:rsidR="0033663A" w:rsidRPr="00BD3DB6">
        <w:t xml:space="preserve"> (GVP)</w:t>
      </w:r>
    </w:p>
    <w:p w14:paraId="24D96C20" w14:textId="77777777" w:rsidR="008B172E" w:rsidRPr="00BD3DB6" w:rsidRDefault="00F43ADC" w:rsidP="004A5EAA">
      <w:pPr>
        <w:pStyle w:val="BodytextAgency"/>
        <w:numPr>
          <w:ilvl w:val="0"/>
          <w:numId w:val="14"/>
        </w:numPr>
        <w:ind w:left="426" w:hanging="426"/>
      </w:pPr>
      <w:r w:rsidRPr="00BD3DB6">
        <w:t>Other non-compliance</w:t>
      </w:r>
      <w:r w:rsidR="00035105">
        <w:t xml:space="preserve"> or irregularity</w:t>
      </w:r>
      <w:r w:rsidRPr="00BD3DB6">
        <w:t xml:space="preserve"> (please specify)</w:t>
      </w:r>
      <w:r w:rsidR="00035105">
        <w:t>: …</w:t>
      </w:r>
    </w:p>
    <w:p w14:paraId="4415DE18" w14:textId="77777777" w:rsidR="008B172E" w:rsidRPr="00BD3DB6" w:rsidRDefault="008B172E" w:rsidP="004A5EAA">
      <w:pPr>
        <w:pStyle w:val="BodytextAgency"/>
      </w:pPr>
    </w:p>
    <w:p w14:paraId="15F620BA" w14:textId="77777777" w:rsidR="008B172E" w:rsidRPr="004A5EAA" w:rsidRDefault="00F43ADC" w:rsidP="004A5EAA">
      <w:pPr>
        <w:pStyle w:val="BodytextAgency"/>
        <w:rPr>
          <w:b/>
        </w:rPr>
      </w:pPr>
      <w:r w:rsidRPr="004A5EAA">
        <w:rPr>
          <w:b/>
        </w:rPr>
        <w:t>Description of the suspected impropriety and the context</w:t>
      </w:r>
      <w:r w:rsidR="0033663A" w:rsidRPr="004A5EAA">
        <w:rPr>
          <w:b/>
        </w:rPr>
        <w:t>:</w:t>
      </w:r>
    </w:p>
    <w:p w14:paraId="1E524987" w14:textId="77777777" w:rsidR="008B172E" w:rsidRPr="00BD3DB6" w:rsidRDefault="00F43ADC" w:rsidP="004A5EAA">
      <w:pPr>
        <w:pStyle w:val="BodytextAgency"/>
      </w:pPr>
      <w:r>
        <w:t>[</w:t>
      </w:r>
      <w:r w:rsidRPr="00BD3DB6">
        <w:t>This section should contain the following information if possible</w:t>
      </w:r>
      <w:r>
        <w:t>/relevant (please note that this list is not exhaustive</w:t>
      </w:r>
      <w:r w:rsidR="004A5EAA">
        <w:t>)</w:t>
      </w:r>
      <w:r w:rsidR="0033663A" w:rsidRPr="00BD3DB6">
        <w:t>:</w:t>
      </w:r>
    </w:p>
    <w:p w14:paraId="55DB7E3C" w14:textId="77777777" w:rsidR="002006B9" w:rsidRDefault="00F43ADC" w:rsidP="004A5EAA">
      <w:pPr>
        <w:pStyle w:val="BodytextAgency"/>
        <w:numPr>
          <w:ilvl w:val="0"/>
          <w:numId w:val="16"/>
        </w:numPr>
      </w:pPr>
      <w:r w:rsidRPr="00BD3DB6">
        <w:t>All relevant circumstances of the ca</w:t>
      </w:r>
      <w:r w:rsidRPr="00BD3DB6">
        <w:t>se and description of facts</w:t>
      </w:r>
      <w:r>
        <w:t>:</w:t>
      </w:r>
    </w:p>
    <w:p w14:paraId="6086947E" w14:textId="77777777" w:rsidR="002006B9" w:rsidRDefault="00F43ADC" w:rsidP="004A5EAA">
      <w:pPr>
        <w:pStyle w:val="BodytextAgency"/>
        <w:numPr>
          <w:ilvl w:val="1"/>
          <w:numId w:val="16"/>
        </w:numPr>
      </w:pPr>
      <w:r w:rsidRPr="00551236">
        <w:t>Details of the non-</w:t>
      </w:r>
      <w:r>
        <w:t>compliance or irregularity</w:t>
      </w:r>
    </w:p>
    <w:p w14:paraId="25FB97AB" w14:textId="77777777" w:rsidR="002006B9" w:rsidRPr="00551236" w:rsidRDefault="00F43ADC" w:rsidP="004A5EAA">
      <w:pPr>
        <w:pStyle w:val="BodytextAgency"/>
        <w:numPr>
          <w:ilvl w:val="1"/>
          <w:numId w:val="16"/>
        </w:numPr>
      </w:pPr>
      <w:r w:rsidRPr="00551236">
        <w:t>Name and address of the concerned company or person</w:t>
      </w:r>
    </w:p>
    <w:p w14:paraId="3FF63232" w14:textId="77777777" w:rsidR="002006B9" w:rsidRPr="002006B9" w:rsidRDefault="00F43ADC" w:rsidP="004A5EAA">
      <w:pPr>
        <w:pStyle w:val="BodytextAgency"/>
        <w:numPr>
          <w:ilvl w:val="1"/>
          <w:numId w:val="16"/>
        </w:numPr>
      </w:pPr>
      <w:r w:rsidRPr="00551236">
        <w:t xml:space="preserve">Name of the </w:t>
      </w:r>
      <w:r w:rsidR="00551236" w:rsidRPr="00551236">
        <w:t>concerned medicinal product(s) or active pharmaceutical ingredient(s)</w:t>
      </w:r>
    </w:p>
    <w:p w14:paraId="62F06F0B" w14:textId="77777777" w:rsidR="002006B9" w:rsidRPr="002006B9" w:rsidRDefault="00F43ADC" w:rsidP="004A5EAA">
      <w:pPr>
        <w:pStyle w:val="BodytextAgency"/>
        <w:numPr>
          <w:ilvl w:val="0"/>
          <w:numId w:val="16"/>
        </w:numPr>
      </w:pPr>
      <w:r>
        <w:t xml:space="preserve">How or by whom the case and facts came to your </w:t>
      </w:r>
      <w:r>
        <w:t>attention</w:t>
      </w:r>
    </w:p>
    <w:p w14:paraId="3CE0F2C1" w14:textId="77777777" w:rsidR="008B172E" w:rsidRPr="00BD3DB6" w:rsidRDefault="00F43ADC" w:rsidP="004A5EAA">
      <w:pPr>
        <w:pStyle w:val="BodytextAgency"/>
        <w:numPr>
          <w:ilvl w:val="0"/>
          <w:numId w:val="16"/>
        </w:numPr>
      </w:pPr>
      <w:r w:rsidRPr="00BD3DB6">
        <w:t xml:space="preserve">Reasons for suspicions of </w:t>
      </w:r>
      <w:r w:rsidR="002006B9">
        <w:t>the</w:t>
      </w:r>
      <w:r w:rsidR="002006B9" w:rsidRPr="00BD3DB6">
        <w:t xml:space="preserve"> </w:t>
      </w:r>
      <w:r w:rsidRPr="00BD3DB6">
        <w:t>impropriety</w:t>
      </w:r>
    </w:p>
    <w:p w14:paraId="1CCDB653" w14:textId="7129EDFF" w:rsidR="008B172E" w:rsidRDefault="00F43ADC" w:rsidP="004A5EAA">
      <w:pPr>
        <w:pStyle w:val="BodytextAgency"/>
        <w:numPr>
          <w:ilvl w:val="0"/>
          <w:numId w:val="16"/>
        </w:numPr>
      </w:pPr>
      <w:r>
        <w:t>[</w:t>
      </w:r>
      <w:r w:rsidR="00B56D50" w:rsidRPr="00BD3DB6">
        <w:t>Any other relevant information</w:t>
      </w:r>
      <w:r w:rsidR="00035105">
        <w:t>]</w:t>
      </w:r>
    </w:p>
    <w:p w14:paraId="1AD84A53" w14:textId="77777777" w:rsidR="008B172E" w:rsidRPr="00BD3DB6" w:rsidRDefault="008B172E" w:rsidP="004A5EAA">
      <w:pPr>
        <w:pStyle w:val="BodytextAgency"/>
      </w:pPr>
    </w:p>
    <w:p w14:paraId="76A80028" w14:textId="77777777" w:rsidR="008B172E" w:rsidRPr="00BD3DB6" w:rsidRDefault="00F43ADC" w:rsidP="004A5EAA">
      <w:pPr>
        <w:pStyle w:val="BodytextAgency"/>
      </w:pPr>
      <w:r>
        <w:t>[If available] Please fin</w:t>
      </w:r>
      <w:r w:rsidR="00135C56">
        <w:t>d</w:t>
      </w:r>
      <w:r>
        <w:t xml:space="preserve"> enclosed supporting information or evidence.</w:t>
      </w:r>
    </w:p>
    <w:p w14:paraId="261AEC9A" w14:textId="77777777" w:rsidR="008B172E" w:rsidRPr="00BD3DB6" w:rsidRDefault="008B172E" w:rsidP="004A5EAA">
      <w:pPr>
        <w:pStyle w:val="BodytextAgency"/>
      </w:pPr>
    </w:p>
    <w:p w14:paraId="71F3A356" w14:textId="77777777" w:rsidR="008B172E" w:rsidRPr="00BD3DB6" w:rsidRDefault="00F43ADC" w:rsidP="004A5EAA">
      <w:pPr>
        <w:pStyle w:val="BodytextAgency"/>
      </w:pPr>
      <w:r w:rsidRPr="00BD3DB6">
        <w:t>Name of reporting person</w:t>
      </w:r>
      <w:r w:rsidR="0033663A" w:rsidRPr="00BD3DB6">
        <w:t>:</w:t>
      </w:r>
    </w:p>
    <w:p w14:paraId="2ACE20D1" w14:textId="77777777" w:rsidR="008B172E" w:rsidRPr="00BD3DB6" w:rsidRDefault="00F43ADC" w:rsidP="004A5EAA">
      <w:pPr>
        <w:pStyle w:val="BodytextAgency"/>
      </w:pPr>
      <w:r w:rsidRPr="00BD3DB6">
        <w:t>Date</w:t>
      </w:r>
      <w:r w:rsidR="0033663A" w:rsidRPr="00BD3DB6">
        <w:t>:</w:t>
      </w:r>
    </w:p>
    <w:p w14:paraId="2D9CA317" w14:textId="68C9E6D8" w:rsidR="00EA15F9" w:rsidRDefault="00F43ADC" w:rsidP="00E5068A">
      <w:pPr>
        <w:pStyle w:val="BodytextAgency"/>
      </w:pPr>
      <w:r w:rsidRPr="00BD3DB6">
        <w:t xml:space="preserve">e-mail address: </w:t>
      </w:r>
    </w:p>
    <w:p w14:paraId="4DF7CCFE" w14:textId="77777777" w:rsidR="00737A76" w:rsidRDefault="00F43ADC" w:rsidP="00737A76">
      <w:pPr>
        <w:pStyle w:val="DoctitleAgency"/>
      </w:pPr>
      <w:r>
        <w:br w:type="page"/>
      </w:r>
      <w:r>
        <w:lastRenderedPageBreak/>
        <w:t xml:space="preserve">Privacy Statement for handling </w:t>
      </w:r>
      <w:r w:rsidRPr="00DC2734">
        <w:t xml:space="preserve">allegations of </w:t>
      </w:r>
      <w:r>
        <w:t>breaches</w:t>
      </w:r>
      <w:r w:rsidRPr="00DC2734">
        <w:t xml:space="preserve"> </w:t>
      </w:r>
      <w:proofErr w:type="gramStart"/>
      <w:r w:rsidRPr="00DC2734">
        <w:t>in the area of</w:t>
      </w:r>
      <w:proofErr w:type="gramEnd"/>
      <w:r w:rsidRPr="00DC2734">
        <w:t xml:space="preserve"> the EMA’s responsibilities</w:t>
      </w:r>
      <w:r>
        <w:t xml:space="preserve"> reported by external reporting persons</w:t>
      </w:r>
    </w:p>
    <w:p w14:paraId="367FF807" w14:textId="77777777" w:rsidR="00737A76" w:rsidRPr="000E283D" w:rsidRDefault="00737A76" w:rsidP="00737A76">
      <w:pPr>
        <w:rPr>
          <w:lang w:eastAsia="en-GB"/>
        </w:rPr>
      </w:pPr>
    </w:p>
    <w:p w14:paraId="665AF085" w14:textId="77777777" w:rsidR="00737A76" w:rsidRDefault="00F43ADC" w:rsidP="00737A76">
      <w:pPr>
        <w:pStyle w:val="Heading1"/>
        <w:rPr>
          <w:rFonts w:ascii="Verdana" w:hAnsi="Verdana"/>
          <w:sz w:val="28"/>
          <w:szCs w:val="28"/>
        </w:rPr>
      </w:pPr>
      <w:r>
        <w:rPr>
          <w:rFonts w:ascii="Verdana" w:hAnsi="Verdana"/>
          <w:sz w:val="28"/>
          <w:szCs w:val="28"/>
        </w:rPr>
        <w:t>1. Description of the purpose of this processing operation</w:t>
      </w:r>
    </w:p>
    <w:p w14:paraId="49C9FF33" w14:textId="77777777" w:rsidR="00737A76" w:rsidRDefault="00F43ADC" w:rsidP="00737A76">
      <w:pPr>
        <w:pStyle w:val="BodytextAgency"/>
      </w:pPr>
      <w:r>
        <w:t xml:space="preserve">The European Medicines Agency (“EMA” or “Agency”) processes </w:t>
      </w:r>
      <w:r>
        <w:t xml:space="preserve">any personal data and information provided by you, as an external reporting person, </w:t>
      </w:r>
      <w:r>
        <w:rPr>
          <w:b/>
        </w:rPr>
        <w:t xml:space="preserve">for the purpose of assessing allegations of breaches </w:t>
      </w:r>
      <w:proofErr w:type="gramStart"/>
      <w:r>
        <w:rPr>
          <w:b/>
        </w:rPr>
        <w:t>in the area of</w:t>
      </w:r>
      <w:proofErr w:type="gramEnd"/>
      <w:r>
        <w:rPr>
          <w:b/>
        </w:rPr>
        <w:t xml:space="preserve"> the EMA’s responsibilities</w:t>
      </w:r>
      <w:r>
        <w:t>, in particular of those that might have an impact on the evaluation, supervis</w:t>
      </w:r>
      <w:r>
        <w:t>ion and maintenance of medicinal products for human and veterinary use. Any processing operations are performed in accordance with Regulation (EU) 2018/1725</w:t>
      </w:r>
      <w:r>
        <w:rPr>
          <w:rStyle w:val="FootnoteReference"/>
        </w:rPr>
        <w:footnoteReference w:id="1"/>
      </w:r>
      <w:r>
        <w:t xml:space="preserve"> and EMA Policy 0072</w:t>
      </w:r>
      <w:r>
        <w:rPr>
          <w:rStyle w:val="FootnoteReference"/>
        </w:rPr>
        <w:footnoteReference w:id="2"/>
      </w:r>
      <w:r>
        <w:t xml:space="preserve"> (</w:t>
      </w:r>
      <w:proofErr w:type="spellStart"/>
      <w:r>
        <w:t>doc.ref</w:t>
      </w:r>
      <w:proofErr w:type="spellEnd"/>
      <w:r>
        <w:t xml:space="preserve">. EMA/283205/2013 Rev. 1). </w:t>
      </w:r>
    </w:p>
    <w:p w14:paraId="65501C0B" w14:textId="77777777" w:rsidR="00737A76" w:rsidRDefault="00F43ADC" w:rsidP="00737A76">
      <w:pPr>
        <w:pStyle w:val="BodytextAgency"/>
      </w:pPr>
      <w:r>
        <w:t>All reporting by external reporting per</w:t>
      </w:r>
      <w:r>
        <w:t>sons on allegations of breaches received are recorded by the EMA’s Inspections Office and/or the Legal Department and some of them may be further communicated to European Union (EU) Institutions, EU (or even non-EU) national competent authorities responsib</w:t>
      </w:r>
      <w:r>
        <w:t>le for the supervision of medicinal products for human and veterinary use.</w:t>
      </w:r>
    </w:p>
    <w:p w14:paraId="4D50CE00" w14:textId="77777777" w:rsidR="00737A76" w:rsidRDefault="00F43ADC" w:rsidP="00737A76">
      <w:pPr>
        <w:pStyle w:val="Heading1"/>
        <w:rPr>
          <w:rFonts w:ascii="Verdana" w:hAnsi="Verdana"/>
          <w:sz w:val="28"/>
          <w:szCs w:val="28"/>
        </w:rPr>
      </w:pPr>
      <w:r>
        <w:rPr>
          <w:rFonts w:ascii="Verdana" w:hAnsi="Verdana"/>
          <w:sz w:val="28"/>
          <w:szCs w:val="28"/>
        </w:rPr>
        <w:t>2. Who is the data controller?</w:t>
      </w:r>
    </w:p>
    <w:p w14:paraId="2FFBC771" w14:textId="77777777" w:rsidR="00737A76" w:rsidRPr="00011FFD" w:rsidRDefault="00F43ADC" w:rsidP="00737A76">
      <w:pPr>
        <w:pStyle w:val="BodytextAgency"/>
      </w:pPr>
      <w:r w:rsidRPr="00A1206E">
        <w:t xml:space="preserve">The </w:t>
      </w:r>
      <w:r>
        <w:t xml:space="preserve">EMA </w:t>
      </w:r>
      <w:r w:rsidRPr="00A1206E">
        <w:t>represented by its Executive Director is responsible as the data controller to ensure compliance with Regulation (EU) 2018/1725. Internally, t</w:t>
      </w:r>
      <w:r w:rsidRPr="00A1206E">
        <w:t xml:space="preserve">he Head </w:t>
      </w:r>
      <w:r w:rsidRPr="00011FFD">
        <w:t xml:space="preserve">Human Medicines Division has been appointed to act as </w:t>
      </w:r>
      <w:r>
        <w:t>Internal</w:t>
      </w:r>
      <w:r w:rsidRPr="00011FFD">
        <w:t xml:space="preserve"> Controller in this specific context. The designated controller is your main contact point and acts on behalf of the Agency, while the Agency remains ultimately responsible to comply wit</w:t>
      </w:r>
      <w:r w:rsidRPr="00011FFD">
        <w:t>h data protection obligations.</w:t>
      </w:r>
    </w:p>
    <w:p w14:paraId="691F140A" w14:textId="77777777" w:rsidR="00737A76" w:rsidRDefault="00F43ADC" w:rsidP="00737A76">
      <w:pPr>
        <w:pStyle w:val="BodytextAgency"/>
      </w:pPr>
      <w:r w:rsidRPr="00011FFD">
        <w:t xml:space="preserve">Should you wish to get in touch with the </w:t>
      </w:r>
      <w:r>
        <w:t xml:space="preserve">data </w:t>
      </w:r>
      <w:r w:rsidRPr="00011FFD">
        <w:t>Controller, please contact</w:t>
      </w:r>
      <w:r>
        <w:t xml:space="preserve"> </w:t>
      </w:r>
      <w:hyperlink r:id="rId8" w:history="1">
        <w:r w:rsidRPr="00232809">
          <w:rPr>
            <w:rStyle w:val="Hyperlink"/>
          </w:rPr>
          <w:t>Datacontroller.HumanMedicines@ema.europa.eu</w:t>
        </w:r>
      </w:hyperlink>
      <w:r>
        <w:t>.</w:t>
      </w:r>
    </w:p>
    <w:p w14:paraId="6850A33D" w14:textId="77777777" w:rsidR="00737A76" w:rsidRDefault="00F43ADC" w:rsidP="00737A76">
      <w:pPr>
        <w:pStyle w:val="Heading1"/>
        <w:rPr>
          <w:rFonts w:ascii="Verdana" w:hAnsi="Verdana"/>
          <w:sz w:val="28"/>
          <w:szCs w:val="28"/>
        </w:rPr>
      </w:pPr>
      <w:r>
        <w:rPr>
          <w:rFonts w:ascii="Verdana" w:hAnsi="Verdana"/>
          <w:sz w:val="28"/>
          <w:szCs w:val="28"/>
        </w:rPr>
        <w:t>3.</w:t>
      </w:r>
      <w:r w:rsidRPr="00011FFD">
        <w:rPr>
          <w:rFonts w:ascii="Verdana" w:hAnsi="Verdana"/>
          <w:sz w:val="28"/>
          <w:szCs w:val="28"/>
        </w:rPr>
        <w:t xml:space="preserve"> What personal data do we collect and </w:t>
      </w:r>
      <w:r w:rsidRPr="00011FFD">
        <w:rPr>
          <w:rFonts w:ascii="Verdana" w:hAnsi="Verdana"/>
          <w:sz w:val="28"/>
          <w:szCs w:val="28"/>
        </w:rPr>
        <w:t>how</w:t>
      </w:r>
      <w:r>
        <w:rPr>
          <w:rFonts w:ascii="Verdana" w:hAnsi="Verdana"/>
          <w:sz w:val="28"/>
          <w:szCs w:val="28"/>
        </w:rPr>
        <w:t>?</w:t>
      </w:r>
    </w:p>
    <w:p w14:paraId="789352AB" w14:textId="77777777" w:rsidR="00737A76" w:rsidRDefault="00F43ADC" w:rsidP="00737A76">
      <w:pPr>
        <w:pStyle w:val="BodytextAgency"/>
      </w:pPr>
      <w:r>
        <w:rPr>
          <w:lang w:val="en-US"/>
        </w:rPr>
        <w:t>The Agency</w:t>
      </w:r>
      <w:r w:rsidRPr="00011FFD">
        <w:rPr>
          <w:lang w:val="en-US"/>
        </w:rPr>
        <w:t xml:space="preserve"> collect</w:t>
      </w:r>
      <w:r>
        <w:rPr>
          <w:lang w:val="en-US"/>
        </w:rPr>
        <w:t>s</w:t>
      </w:r>
      <w:r w:rsidRPr="00011FFD">
        <w:rPr>
          <w:lang w:val="en-US"/>
        </w:rPr>
        <w:t xml:space="preserve"> personal data directly provided by you when you disclose </w:t>
      </w:r>
      <w:r>
        <w:rPr>
          <w:lang w:val="en-US"/>
        </w:rPr>
        <w:t xml:space="preserve">to EMA </w:t>
      </w:r>
      <w:r w:rsidRPr="00011FFD">
        <w:rPr>
          <w:lang w:val="en-US"/>
        </w:rPr>
        <w:t xml:space="preserve">alleged </w:t>
      </w:r>
      <w:r>
        <w:rPr>
          <w:lang w:val="en-US"/>
        </w:rPr>
        <w:t xml:space="preserve">breaches </w:t>
      </w:r>
      <w:r w:rsidRPr="00011FFD">
        <w:rPr>
          <w:lang w:val="en-US"/>
        </w:rPr>
        <w:t xml:space="preserve">concerning EMA activities. Depending on the information that you disclose when reporting such information, the processed personal data may </w:t>
      </w:r>
      <w:r w:rsidRPr="00011FFD">
        <w:rPr>
          <w:lang w:val="en-US"/>
        </w:rPr>
        <w:t>involve, for example: name (first name and surname), contact details</w:t>
      </w:r>
      <w:r>
        <w:rPr>
          <w:lang w:val="en-US"/>
        </w:rPr>
        <w:t xml:space="preserve"> </w:t>
      </w:r>
      <w:r>
        <w:t xml:space="preserve">(telephone number, email address), professional information (information on your </w:t>
      </w:r>
      <w:proofErr w:type="gramStart"/>
      <w:r>
        <w:t>work place</w:t>
      </w:r>
      <w:proofErr w:type="gramEnd"/>
      <w:r>
        <w:t>, profession), location data (work place or home address), etc.</w:t>
      </w:r>
    </w:p>
    <w:p w14:paraId="46D75F75" w14:textId="77777777" w:rsidR="00737A76" w:rsidRPr="00A1206E" w:rsidRDefault="00F43ADC" w:rsidP="00737A76">
      <w:pPr>
        <w:pStyle w:val="Heading1"/>
        <w:rPr>
          <w:sz w:val="28"/>
          <w:szCs w:val="28"/>
        </w:rPr>
      </w:pPr>
      <w:r w:rsidRPr="00011FFD">
        <w:rPr>
          <w:rFonts w:ascii="Verdana" w:hAnsi="Verdana"/>
          <w:sz w:val="28"/>
          <w:szCs w:val="28"/>
        </w:rPr>
        <w:t xml:space="preserve">4. Legal Basis </w:t>
      </w:r>
    </w:p>
    <w:p w14:paraId="4F75F6BA" w14:textId="77777777" w:rsidR="00737A76" w:rsidRDefault="00F43ADC" w:rsidP="00737A76">
      <w:pPr>
        <w:pStyle w:val="BodytextAgency"/>
        <w:rPr>
          <w:lang w:val="en-US"/>
        </w:rPr>
      </w:pPr>
      <w:r>
        <w:rPr>
          <w:lang w:val="en-US"/>
        </w:rPr>
        <w:t>The Agency proce</w:t>
      </w:r>
      <w:r>
        <w:rPr>
          <w:lang w:val="en-US"/>
        </w:rPr>
        <w:t>sses</w:t>
      </w:r>
      <w:r w:rsidRPr="00B8076F">
        <w:rPr>
          <w:lang w:val="en-US"/>
        </w:rPr>
        <w:t xml:space="preserve"> personal data </w:t>
      </w:r>
      <w:r>
        <w:rPr>
          <w:lang w:val="en-US"/>
        </w:rPr>
        <w:t xml:space="preserve">of external reporting persons </w:t>
      </w:r>
      <w:proofErr w:type="gramStart"/>
      <w:r w:rsidRPr="00B8076F">
        <w:rPr>
          <w:lang w:val="en-US"/>
        </w:rPr>
        <w:t>on the basis of</w:t>
      </w:r>
      <w:proofErr w:type="gramEnd"/>
      <w:r w:rsidRPr="00B8076F">
        <w:rPr>
          <w:lang w:val="en-US"/>
        </w:rPr>
        <w:t xml:space="preserve"> their consent provided directly wh</w:t>
      </w:r>
      <w:r w:rsidRPr="00CD3734">
        <w:rPr>
          <w:lang w:val="en-US"/>
        </w:rPr>
        <w:t>en submi</w:t>
      </w:r>
      <w:r>
        <w:rPr>
          <w:lang w:val="en-US"/>
        </w:rPr>
        <w:t>tt</w:t>
      </w:r>
      <w:r w:rsidRPr="00CD3734">
        <w:rPr>
          <w:lang w:val="en-US"/>
        </w:rPr>
        <w:t>ing the report</w:t>
      </w:r>
      <w:r>
        <w:rPr>
          <w:lang w:val="en-US"/>
        </w:rPr>
        <w:t xml:space="preserve"> on the template form</w:t>
      </w:r>
      <w:r>
        <w:rPr>
          <w:rStyle w:val="FootnoteReference"/>
          <w:lang w:val="en-US"/>
        </w:rPr>
        <w:footnoteReference w:id="3"/>
      </w:r>
      <w:r>
        <w:rPr>
          <w:lang w:val="en-US"/>
        </w:rPr>
        <w:t xml:space="preserve"> or by sharing this Privacy statement</w:t>
      </w:r>
      <w:r w:rsidRPr="00B8076F">
        <w:rPr>
          <w:lang w:val="en-US"/>
        </w:rPr>
        <w:t>.</w:t>
      </w:r>
    </w:p>
    <w:p w14:paraId="7B8714A2" w14:textId="77777777" w:rsidR="00737A76" w:rsidRPr="00011FFD" w:rsidRDefault="00F43ADC" w:rsidP="00737A76">
      <w:pPr>
        <w:pStyle w:val="BodytextAgency"/>
        <w:rPr>
          <w:lang w:val="en-US"/>
        </w:rPr>
      </w:pPr>
      <w:r>
        <w:rPr>
          <w:lang w:val="en-US"/>
        </w:rPr>
        <w:lastRenderedPageBreak/>
        <w:t>In addition, t</w:t>
      </w:r>
      <w:r w:rsidRPr="00011FFD">
        <w:rPr>
          <w:lang w:val="en-US"/>
        </w:rPr>
        <w:t xml:space="preserve">he processing of the personal data </w:t>
      </w:r>
      <w:r>
        <w:rPr>
          <w:lang w:val="en-US"/>
        </w:rPr>
        <w:t>included in reports fr</w:t>
      </w:r>
      <w:r>
        <w:rPr>
          <w:lang w:val="en-US"/>
        </w:rPr>
        <w:t>om</w:t>
      </w:r>
      <w:r w:rsidRPr="00011FFD">
        <w:rPr>
          <w:lang w:val="en-US"/>
        </w:rPr>
        <w:t xml:space="preserve"> external</w:t>
      </w:r>
      <w:r>
        <w:rPr>
          <w:lang w:val="en-US"/>
        </w:rPr>
        <w:t xml:space="preserve"> reporting persons</w:t>
      </w:r>
      <w:r w:rsidRPr="00011FFD">
        <w:rPr>
          <w:lang w:val="en-US"/>
        </w:rPr>
        <w:t xml:space="preserve"> disclosing alleged </w:t>
      </w:r>
      <w:r>
        <w:rPr>
          <w:lang w:val="en-US"/>
        </w:rPr>
        <w:t>breaches</w:t>
      </w:r>
      <w:r w:rsidRPr="00011FFD">
        <w:rPr>
          <w:lang w:val="en-US"/>
        </w:rPr>
        <w:t xml:space="preserve"> </w:t>
      </w:r>
      <w:r>
        <w:rPr>
          <w:lang w:val="en-US"/>
        </w:rPr>
        <w:t>is</w:t>
      </w:r>
      <w:r w:rsidRPr="00011FFD">
        <w:rPr>
          <w:lang w:val="en-US"/>
        </w:rPr>
        <w:t xml:space="preserve"> necessary for the </w:t>
      </w:r>
      <w:r>
        <w:rPr>
          <w:lang w:val="en-US"/>
        </w:rPr>
        <w:t xml:space="preserve">management and functioning of the Agency in the course of </w:t>
      </w:r>
      <w:r w:rsidRPr="00011FFD">
        <w:rPr>
          <w:lang w:val="en-US"/>
        </w:rPr>
        <w:t>perform</w:t>
      </w:r>
      <w:r>
        <w:rPr>
          <w:lang w:val="en-US"/>
        </w:rPr>
        <w:t>ing</w:t>
      </w:r>
      <w:r w:rsidRPr="00011FFD">
        <w:rPr>
          <w:lang w:val="en-US"/>
        </w:rPr>
        <w:t xml:space="preserve"> </w:t>
      </w:r>
      <w:r>
        <w:rPr>
          <w:lang w:val="en-US"/>
        </w:rPr>
        <w:t>its</w:t>
      </w:r>
      <w:r w:rsidRPr="00011FFD">
        <w:rPr>
          <w:lang w:val="en-US"/>
        </w:rPr>
        <w:t xml:space="preserve"> tasks carried out in the public interest as provided for under Regulation (EC) 726/2004 of the European </w:t>
      </w:r>
      <w:r w:rsidRPr="00011FFD">
        <w:rPr>
          <w:lang w:val="en-US"/>
        </w:rPr>
        <w:t xml:space="preserve">Parliament and of the Council laying down Community procedures for the </w:t>
      </w:r>
      <w:proofErr w:type="spellStart"/>
      <w:r w:rsidRPr="00011FFD">
        <w:rPr>
          <w:lang w:val="en-US"/>
        </w:rPr>
        <w:t>authorisation</w:t>
      </w:r>
      <w:proofErr w:type="spellEnd"/>
      <w:r w:rsidRPr="00011FFD">
        <w:rPr>
          <w:lang w:val="en-US"/>
        </w:rPr>
        <w:t xml:space="preserve"> and supervision of medicinal products for human and veterinary use and establishing a European Medicines Agency. </w:t>
      </w:r>
    </w:p>
    <w:p w14:paraId="082F8D9B" w14:textId="77777777" w:rsidR="00737A76" w:rsidRPr="00011FFD" w:rsidRDefault="00F43ADC" w:rsidP="00737A76">
      <w:pPr>
        <w:pStyle w:val="BodytextAgency"/>
        <w:rPr>
          <w:lang w:val="en-US"/>
        </w:rPr>
      </w:pPr>
      <w:r w:rsidRPr="00011FFD">
        <w:rPr>
          <w:lang w:val="en-US"/>
        </w:rPr>
        <w:t>The processing of your personal data is based on EMA Poli</w:t>
      </w:r>
      <w:r w:rsidRPr="00011FFD">
        <w:rPr>
          <w:lang w:val="en-US"/>
        </w:rPr>
        <w:t xml:space="preserve">cy 0072 on </w:t>
      </w:r>
      <w:r>
        <w:t>EMA’s h</w:t>
      </w:r>
      <w:r w:rsidRPr="000946B5">
        <w:t xml:space="preserve">andling of information from external </w:t>
      </w:r>
      <w:r>
        <w:t>reporting persons about</w:t>
      </w:r>
      <w:r w:rsidRPr="000946B5">
        <w:t xml:space="preserve"> alleged </w:t>
      </w:r>
      <w:r>
        <w:t>breaches related to</w:t>
      </w:r>
      <w:r w:rsidRPr="000946B5">
        <w:t xml:space="preserve"> the authorisation, supervision and maintenance of </w:t>
      </w:r>
      <w:r>
        <w:t xml:space="preserve">human and veterinary </w:t>
      </w:r>
      <w:r w:rsidRPr="000946B5">
        <w:t xml:space="preserve">medicinal products </w:t>
      </w:r>
      <w:r>
        <w:t>or other EMA activities</w:t>
      </w:r>
      <w:r>
        <w:rPr>
          <w:rStyle w:val="FootnoteReference"/>
          <w:lang w:val="en-US"/>
        </w:rPr>
        <w:footnoteReference w:id="4"/>
      </w:r>
      <w:r>
        <w:rPr>
          <w:lang w:val="en-US"/>
        </w:rPr>
        <w:t xml:space="preserve">, as well as on EMA’s </w:t>
      </w:r>
      <w:r w:rsidRPr="00CD3734">
        <w:rPr>
          <w:lang w:val="en-US"/>
        </w:rPr>
        <w:t>SOP/EMA/0129</w:t>
      </w:r>
      <w:r w:rsidRPr="00CD3734">
        <w:rPr>
          <w:lang w:val="en-US"/>
        </w:rPr>
        <w:t xml:space="preserve"> on </w:t>
      </w:r>
      <w:r>
        <w:t>EMA’s h</w:t>
      </w:r>
      <w:r w:rsidRPr="000946B5">
        <w:t xml:space="preserve">andling of information from external </w:t>
      </w:r>
      <w:r>
        <w:t>reporting persons about</w:t>
      </w:r>
      <w:r w:rsidRPr="000946B5">
        <w:t xml:space="preserve"> alleged </w:t>
      </w:r>
      <w:r>
        <w:t>breaches related to</w:t>
      </w:r>
      <w:r w:rsidRPr="000946B5">
        <w:t xml:space="preserve"> the authorisation, supervision and maintenance of </w:t>
      </w:r>
      <w:r>
        <w:t xml:space="preserve">human and veterinary </w:t>
      </w:r>
      <w:r w:rsidRPr="000946B5">
        <w:t xml:space="preserve">medicinal products </w:t>
      </w:r>
      <w:r>
        <w:t>or other EMA activities</w:t>
      </w:r>
      <w:r>
        <w:rPr>
          <w:rStyle w:val="FootnoteReference"/>
          <w:lang w:val="en-US"/>
        </w:rPr>
        <w:footnoteReference w:id="5"/>
      </w:r>
      <w:r>
        <w:rPr>
          <w:lang w:val="en-US"/>
        </w:rPr>
        <w:t>.</w:t>
      </w:r>
    </w:p>
    <w:p w14:paraId="23582570" w14:textId="77777777" w:rsidR="00737A76" w:rsidRDefault="00F43ADC" w:rsidP="00737A76">
      <w:pPr>
        <w:pStyle w:val="Heading1"/>
        <w:rPr>
          <w:rFonts w:ascii="Verdana" w:hAnsi="Verdana"/>
          <w:sz w:val="28"/>
          <w:szCs w:val="28"/>
        </w:rPr>
      </w:pPr>
      <w:r>
        <w:rPr>
          <w:rFonts w:ascii="Verdana" w:hAnsi="Verdana"/>
          <w:sz w:val="28"/>
          <w:szCs w:val="28"/>
        </w:rPr>
        <w:t>5. Who has access to your information a</w:t>
      </w:r>
      <w:r>
        <w:rPr>
          <w:rFonts w:ascii="Verdana" w:hAnsi="Verdana"/>
          <w:sz w:val="28"/>
          <w:szCs w:val="28"/>
        </w:rPr>
        <w:t>nd to whom is it disclosed?</w:t>
      </w:r>
    </w:p>
    <w:p w14:paraId="07A10106" w14:textId="77777777" w:rsidR="00737A76" w:rsidRDefault="00F43ADC" w:rsidP="00737A76">
      <w:pPr>
        <w:pStyle w:val="BodytextAgency"/>
        <w:rPr>
          <w:lang w:val="en-US"/>
        </w:rPr>
      </w:pPr>
      <w:r>
        <w:rPr>
          <w:lang w:val="en-US"/>
        </w:rPr>
        <w:t>The Agency processes your personal data and allegations of breaches provided by you in a confidential manner. This information is made accessible to EMA staff members competent to handle such information on a strictly need-to-know basis in view of the high</w:t>
      </w:r>
      <w:r>
        <w:rPr>
          <w:lang w:val="en-US"/>
        </w:rPr>
        <w:t xml:space="preserve">ly confidential and sensitive nature of the information and in a secure manner.  </w:t>
      </w:r>
    </w:p>
    <w:p w14:paraId="46B0F3A9" w14:textId="77777777" w:rsidR="00737A76" w:rsidRDefault="00F43ADC" w:rsidP="00737A76">
      <w:pPr>
        <w:pStyle w:val="BodytextAgency"/>
      </w:pPr>
      <w:r>
        <w:rPr>
          <w:lang w:val="en-US"/>
        </w:rPr>
        <w:t xml:space="preserve">The allegations </w:t>
      </w:r>
      <w:r>
        <w:t xml:space="preserve">of improprieties may be passed to an EU institution or body (for example, </w:t>
      </w:r>
      <w:r w:rsidRPr="005D05FA">
        <w:t>European Anti-Fraud Office</w:t>
      </w:r>
      <w:r>
        <w:t>, European Public Prosecutor Office, European Ombudsman, I</w:t>
      </w:r>
      <w:r>
        <w:t xml:space="preserve">nternal Audit Service of the European Commission, </w:t>
      </w:r>
      <w:r w:rsidRPr="004C4D6C">
        <w:t xml:space="preserve">European Court of </w:t>
      </w:r>
      <w:r>
        <w:t>A</w:t>
      </w:r>
      <w:r w:rsidRPr="004C4D6C">
        <w:t>uditors</w:t>
      </w:r>
      <w:r>
        <w:t>), EU or non-EU national competent authority for further assessment. This transfer will include your personal data where the EMA does not have the competence to examine the allegat</w:t>
      </w:r>
      <w:r>
        <w:t>ions.</w:t>
      </w:r>
    </w:p>
    <w:p w14:paraId="0D8061E1" w14:textId="77777777" w:rsidR="00737A76" w:rsidRDefault="00F43ADC" w:rsidP="00737A76">
      <w:pPr>
        <w:pStyle w:val="BodytextAgency"/>
        <w:rPr>
          <w:lang w:val="en-US"/>
        </w:rPr>
      </w:pPr>
      <w:r>
        <w:rPr>
          <w:lang w:val="en-US"/>
        </w:rPr>
        <w:t xml:space="preserve">In exceptional circumstances, the Agency may also disclose your personal data in the event of any subsequent legal proceedings and/or due to a court order or if it is established that the allegations are </w:t>
      </w:r>
      <w:proofErr w:type="gramStart"/>
      <w:r>
        <w:rPr>
          <w:lang w:val="en-US"/>
        </w:rPr>
        <w:t>malicious</w:t>
      </w:r>
      <w:proofErr w:type="gramEnd"/>
      <w:r>
        <w:rPr>
          <w:lang w:val="en-US"/>
        </w:rPr>
        <w:t xml:space="preserve"> and a false statement has been made. </w:t>
      </w:r>
    </w:p>
    <w:p w14:paraId="1137B328" w14:textId="77777777" w:rsidR="00737A76" w:rsidRPr="008E3885" w:rsidRDefault="00F43ADC" w:rsidP="00737A76">
      <w:pPr>
        <w:pStyle w:val="Heading1"/>
        <w:rPr>
          <w:i/>
          <w:iCs/>
          <w:sz w:val="22"/>
          <w:szCs w:val="22"/>
          <w:lang w:val="en-US"/>
        </w:rPr>
      </w:pPr>
      <w:r w:rsidRPr="008E3885">
        <w:rPr>
          <w:rFonts w:ascii="Verdana" w:hAnsi="Verdana"/>
          <w:i/>
          <w:iCs/>
          <w:sz w:val="22"/>
          <w:szCs w:val="22"/>
        </w:rPr>
        <w:t xml:space="preserve">5.1 </w:t>
      </w:r>
      <w:r w:rsidRPr="008E3885">
        <w:rPr>
          <w:rFonts w:ascii="Verdana" w:hAnsi="Verdana"/>
          <w:i/>
          <w:iCs/>
          <w:sz w:val="22"/>
          <w:szCs w:val="22"/>
        </w:rPr>
        <w:t>International</w:t>
      </w:r>
      <w:r w:rsidRPr="008E3885">
        <w:rPr>
          <w:i/>
          <w:iCs/>
          <w:sz w:val="22"/>
          <w:szCs w:val="22"/>
          <w:lang w:val="en-US"/>
        </w:rPr>
        <w:t xml:space="preserve"> </w:t>
      </w:r>
      <w:r w:rsidRPr="008E3885">
        <w:rPr>
          <w:rFonts w:ascii="Verdana" w:hAnsi="Verdana"/>
          <w:i/>
          <w:iCs/>
          <w:sz w:val="22"/>
          <w:szCs w:val="22"/>
        </w:rPr>
        <w:t>data transfers</w:t>
      </w:r>
    </w:p>
    <w:p w14:paraId="20E0C4C6" w14:textId="77777777" w:rsidR="00737A76" w:rsidRDefault="00F43ADC" w:rsidP="00737A76">
      <w:pPr>
        <w:pStyle w:val="BodytextAgency"/>
      </w:pPr>
      <w:r w:rsidRPr="008E3885">
        <w:t>Certain categories of data (</w:t>
      </w:r>
      <w:proofErr w:type="gramStart"/>
      <w:r w:rsidRPr="008E3885">
        <w:t>i.e.</w:t>
      </w:r>
      <w:proofErr w:type="gramEnd"/>
      <w:r w:rsidRPr="008E3885">
        <w:t xml:space="preserve"> information on allegations of </w:t>
      </w:r>
      <w:r>
        <w:t>breaches</w:t>
      </w:r>
      <w:r w:rsidRPr="008E3885">
        <w:t>) may be shared with third country regulatory authorities and international organisations responsible for medicinal products based on mutual cooperation agr</w:t>
      </w:r>
      <w:r w:rsidRPr="008E3885">
        <w:t>eements</w:t>
      </w:r>
      <w:r>
        <w:t>. Such transfer only takes place when this is necessary to</w:t>
      </w:r>
      <w:r w:rsidRPr="008E3885">
        <w:t xml:space="preserve"> allow the</w:t>
      </w:r>
      <w:r>
        <w:t>se recipients</w:t>
      </w:r>
      <w:r w:rsidRPr="008E3885">
        <w:t xml:space="preserve"> to assess the information in case it falls under their remit.</w:t>
      </w:r>
      <w:r>
        <w:t xml:space="preserve"> In any event, such transfer will comply with Chapter V of Regulation (EU) 1725/2018.</w:t>
      </w:r>
    </w:p>
    <w:p w14:paraId="69E99F18" w14:textId="77777777" w:rsidR="00737A76" w:rsidRDefault="00F43ADC" w:rsidP="00737A76">
      <w:pPr>
        <w:pStyle w:val="Heading1"/>
        <w:rPr>
          <w:rFonts w:ascii="Verdana" w:hAnsi="Verdana"/>
          <w:sz w:val="28"/>
          <w:szCs w:val="28"/>
        </w:rPr>
      </w:pPr>
      <w:r>
        <w:rPr>
          <w:rFonts w:ascii="Verdana" w:hAnsi="Verdana"/>
          <w:sz w:val="28"/>
          <w:szCs w:val="28"/>
        </w:rPr>
        <w:t>6. How do we protect</w:t>
      </w:r>
      <w:r>
        <w:rPr>
          <w:rFonts w:ascii="Verdana" w:hAnsi="Verdana"/>
          <w:sz w:val="28"/>
          <w:szCs w:val="28"/>
        </w:rPr>
        <w:t xml:space="preserve"> and safeguard your information?</w:t>
      </w:r>
    </w:p>
    <w:p w14:paraId="42893A47" w14:textId="77777777" w:rsidR="00737A76" w:rsidRDefault="00F43ADC" w:rsidP="00737A76">
      <w:pPr>
        <w:pStyle w:val="BodytextAgency"/>
      </w:pPr>
      <w:proofErr w:type="gramStart"/>
      <w:r>
        <w:t>In order to</w:t>
      </w:r>
      <w:proofErr w:type="gramEnd"/>
      <w:r>
        <w:t xml:space="preserve"> guarantee data confidentiality and security of personal data as well as the information contained in the report, a number of technical and organisational measures have been put in place. To obviate unauthorised </w:t>
      </w:r>
      <w:r>
        <w:t xml:space="preserve">access to equipment and data, EMA premises is secured and protected by access control measures, hardware and network firewalls protect the logic perimeter </w:t>
      </w:r>
      <w:r>
        <w:lastRenderedPageBreak/>
        <w:t xml:space="preserve">of the EMA IT infrastructure and the main computer systems holding the data are security hardened. </w:t>
      </w:r>
    </w:p>
    <w:p w14:paraId="258D987A" w14:textId="77777777" w:rsidR="00737A76" w:rsidRDefault="00F43ADC" w:rsidP="00737A76">
      <w:pPr>
        <w:pStyle w:val="Heading1"/>
        <w:rPr>
          <w:rFonts w:ascii="Verdana" w:hAnsi="Verdana"/>
          <w:sz w:val="28"/>
          <w:szCs w:val="28"/>
        </w:rPr>
      </w:pPr>
      <w:r>
        <w:rPr>
          <w:rFonts w:ascii="Verdana" w:hAnsi="Verdana"/>
          <w:sz w:val="28"/>
          <w:szCs w:val="28"/>
        </w:rPr>
        <w:t>7</w:t>
      </w:r>
      <w:r>
        <w:rPr>
          <w:rFonts w:ascii="Verdana" w:hAnsi="Verdana"/>
          <w:sz w:val="28"/>
          <w:szCs w:val="28"/>
        </w:rPr>
        <w:t>. How long do we keep your data?</w:t>
      </w:r>
    </w:p>
    <w:p w14:paraId="441F3C43" w14:textId="77777777" w:rsidR="00737A76" w:rsidRDefault="00F43ADC" w:rsidP="00737A76">
      <w:pPr>
        <w:pStyle w:val="BodytextAgency"/>
      </w:pPr>
      <w:r>
        <w:t>In general, all personal data and information on allegations of alleged breaches provided by you shall be retained by the EMA for the time necessary for completion of its assessment and to complete regulatory actions as app</w:t>
      </w:r>
      <w:r>
        <w:t xml:space="preserve">ropriate. </w:t>
      </w:r>
    </w:p>
    <w:p w14:paraId="7D57BC2A" w14:textId="77777777" w:rsidR="00737A76" w:rsidRDefault="00F43ADC" w:rsidP="00737A76">
      <w:pPr>
        <w:pStyle w:val="BodytextAgency"/>
      </w:pPr>
      <w:r>
        <w:t xml:space="preserve">Unfounded, </w:t>
      </w:r>
      <w:proofErr w:type="gramStart"/>
      <w:r>
        <w:t>improper</w:t>
      </w:r>
      <w:proofErr w:type="gramEnd"/>
      <w:r>
        <w:t xml:space="preserve"> and pointless reports and messages will be deleted immediately.</w:t>
      </w:r>
    </w:p>
    <w:p w14:paraId="29DA91B1" w14:textId="77777777" w:rsidR="00737A76" w:rsidRDefault="00F43ADC" w:rsidP="00737A76">
      <w:pPr>
        <w:pStyle w:val="BodytextAgency"/>
      </w:pPr>
      <w:r>
        <w:t>Where the relevant allegation has been transferred to third parties, information about the transfer shall be recorded.</w:t>
      </w:r>
    </w:p>
    <w:p w14:paraId="411405A6" w14:textId="77777777" w:rsidR="00737A76" w:rsidRPr="00DD6D21" w:rsidRDefault="00F43ADC" w:rsidP="00737A76">
      <w:pPr>
        <w:pStyle w:val="BodytextAgency"/>
        <w:rPr>
          <w:bCs/>
        </w:rPr>
      </w:pPr>
      <w:r w:rsidRPr="00DD6D21">
        <w:t>Reports of alleged improprieties from exte</w:t>
      </w:r>
      <w:r w:rsidRPr="00DD6D21">
        <w:t xml:space="preserve">rnal </w:t>
      </w:r>
      <w:r>
        <w:t>reporting persons</w:t>
      </w:r>
      <w:r w:rsidRPr="00DD6D21">
        <w:t xml:space="preserve"> are kept </w:t>
      </w:r>
      <w:r w:rsidRPr="00DD6D21">
        <w:rPr>
          <w:bCs/>
        </w:rPr>
        <w:t>after closure of the case for:</w:t>
      </w:r>
    </w:p>
    <w:p w14:paraId="38297CAF" w14:textId="77777777" w:rsidR="00737A76" w:rsidRPr="00DD6D21" w:rsidRDefault="00F43ADC" w:rsidP="00737A76">
      <w:pPr>
        <w:pStyle w:val="BodytextAgency"/>
        <w:numPr>
          <w:ilvl w:val="0"/>
          <w:numId w:val="19"/>
        </w:numPr>
        <w:rPr>
          <w:bCs/>
        </w:rPr>
      </w:pPr>
      <w:r w:rsidRPr="00DD6D21">
        <w:rPr>
          <w:bCs/>
        </w:rPr>
        <w:t xml:space="preserve">30 years after withdrawal of the marketing authorisation of the product: if the allegation falls within EMA’s remit to examine the </w:t>
      </w:r>
      <w:proofErr w:type="gramStart"/>
      <w:r w:rsidRPr="00DD6D21">
        <w:rPr>
          <w:bCs/>
        </w:rPr>
        <w:t>allegation;</w:t>
      </w:r>
      <w:proofErr w:type="gramEnd"/>
      <w:r w:rsidRPr="00DD6D21">
        <w:rPr>
          <w:bCs/>
        </w:rPr>
        <w:t xml:space="preserve"> </w:t>
      </w:r>
    </w:p>
    <w:p w14:paraId="2AA11513" w14:textId="77777777" w:rsidR="00737A76" w:rsidRPr="00DD6D21" w:rsidRDefault="00F43ADC" w:rsidP="00737A76">
      <w:pPr>
        <w:pStyle w:val="BodytextAgency"/>
        <w:numPr>
          <w:ilvl w:val="0"/>
          <w:numId w:val="19"/>
        </w:numPr>
        <w:rPr>
          <w:bCs/>
        </w:rPr>
      </w:pPr>
      <w:r w:rsidRPr="00DD6D21">
        <w:rPr>
          <w:bCs/>
        </w:rPr>
        <w:t>12 months: if the allegation does not fall within</w:t>
      </w:r>
      <w:r w:rsidRPr="00DD6D21">
        <w:rPr>
          <w:bCs/>
        </w:rPr>
        <w:t xml:space="preserve"> EMA’s remit to examine the allegation, </w:t>
      </w:r>
      <w:r>
        <w:rPr>
          <w:bCs/>
        </w:rPr>
        <w:t>then</w:t>
      </w:r>
      <w:r w:rsidRPr="00DD6D21">
        <w:rPr>
          <w:bCs/>
        </w:rPr>
        <w:t xml:space="preserve"> the allegation is transferred to the concerned Member State or competent authority or if the case was closed after triage with no initial evaluation or after initial evaluation with no</w:t>
      </w:r>
      <w:r>
        <w:rPr>
          <w:bCs/>
        </w:rPr>
        <w:t xml:space="preserve"> regulatory steps to be und</w:t>
      </w:r>
      <w:r>
        <w:rPr>
          <w:bCs/>
        </w:rPr>
        <w:t>ertaken by EMA</w:t>
      </w:r>
      <w:r w:rsidRPr="00DD6D21">
        <w:rPr>
          <w:bCs/>
        </w:rPr>
        <w:t xml:space="preserve">. </w:t>
      </w:r>
    </w:p>
    <w:p w14:paraId="00B24908" w14:textId="77777777" w:rsidR="00737A76" w:rsidRDefault="00F43ADC" w:rsidP="00737A76">
      <w:pPr>
        <w:pStyle w:val="BodytextAgency"/>
      </w:pPr>
      <w:r w:rsidRPr="0007327C">
        <w:t>An overview containing summary data on the reports received and handled by the EMA is kept for overview administrative purposes.</w:t>
      </w:r>
      <w:bookmarkStart w:id="0" w:name="_Hlk97559489"/>
      <w:r w:rsidRPr="0007327C">
        <w:t xml:space="preserve"> Personal data </w:t>
      </w:r>
      <w:r>
        <w:t xml:space="preserve">in this overview </w:t>
      </w:r>
      <w:r w:rsidRPr="0007327C">
        <w:t>is anonymised at the end of the retention period.</w:t>
      </w:r>
      <w:bookmarkEnd w:id="0"/>
    </w:p>
    <w:p w14:paraId="52A86430" w14:textId="77777777" w:rsidR="00737A76" w:rsidRDefault="00F43ADC" w:rsidP="00737A76">
      <w:pPr>
        <w:pStyle w:val="Heading1"/>
        <w:rPr>
          <w:rFonts w:ascii="Verdana" w:hAnsi="Verdana"/>
          <w:sz w:val="28"/>
          <w:szCs w:val="28"/>
        </w:rPr>
      </w:pPr>
      <w:r>
        <w:rPr>
          <w:rFonts w:ascii="Verdana" w:hAnsi="Verdana"/>
          <w:sz w:val="28"/>
          <w:szCs w:val="28"/>
        </w:rPr>
        <w:t xml:space="preserve">8. Your data </w:t>
      </w:r>
      <w:r>
        <w:rPr>
          <w:rFonts w:ascii="Verdana" w:hAnsi="Verdana"/>
          <w:sz w:val="28"/>
          <w:szCs w:val="28"/>
        </w:rPr>
        <w:t>protection rights</w:t>
      </w:r>
    </w:p>
    <w:p w14:paraId="21186CB1" w14:textId="77777777" w:rsidR="00737A76" w:rsidRDefault="00F43ADC" w:rsidP="00737A76">
      <w:pPr>
        <w:pStyle w:val="BodytextAgency"/>
      </w:pPr>
      <w:r>
        <w:t xml:space="preserve">As data subject </w:t>
      </w:r>
      <w:r w:rsidRPr="003E27D9">
        <w:t>(</w:t>
      </w:r>
      <w:proofErr w:type="gramStart"/>
      <w:r w:rsidRPr="003E27D9">
        <w:t>i.e.</w:t>
      </w:r>
      <w:proofErr w:type="gramEnd"/>
      <w:r w:rsidRPr="003E27D9">
        <w:t xml:space="preserve"> the individual whose personal data is processed)</w:t>
      </w:r>
      <w:r>
        <w:t xml:space="preserve">, you have a number of rights: </w:t>
      </w:r>
    </w:p>
    <w:p w14:paraId="410E8CC8" w14:textId="77777777" w:rsidR="00737A76" w:rsidRDefault="00F43ADC" w:rsidP="00737A76">
      <w:pPr>
        <w:pStyle w:val="BodytextAgency"/>
        <w:numPr>
          <w:ilvl w:val="0"/>
          <w:numId w:val="17"/>
        </w:numPr>
      </w:pPr>
      <w:r w:rsidRPr="003E27D9">
        <w:rPr>
          <w:b/>
          <w:iCs/>
        </w:rPr>
        <w:t>Right to be informed</w:t>
      </w:r>
      <w:r>
        <w:rPr>
          <w:i/>
          <w:iCs/>
        </w:rPr>
        <w:t xml:space="preserve"> </w:t>
      </w:r>
      <w:r>
        <w:t xml:space="preserve">– </w:t>
      </w:r>
      <w:r w:rsidRPr="003E27D9">
        <w:t>This Privacy Statement provides information on how EMA collects and uses your personal data.</w:t>
      </w:r>
      <w:r>
        <w:t xml:space="preserve"> If you any questions</w:t>
      </w:r>
      <w:r>
        <w:t xml:space="preserve"> about this data processing, please contact the controller at </w:t>
      </w:r>
      <w:hyperlink r:id="rId9" w:history="1">
        <w:r w:rsidRPr="00232809">
          <w:rPr>
            <w:rStyle w:val="Hyperlink"/>
          </w:rPr>
          <w:t>Datacontroller.HumanMedicines@ema.europa.eu</w:t>
        </w:r>
      </w:hyperlink>
    </w:p>
    <w:p w14:paraId="663B9D42" w14:textId="77777777" w:rsidR="00737A76" w:rsidRDefault="00F43ADC" w:rsidP="00737A76">
      <w:pPr>
        <w:pStyle w:val="BodytextAgency"/>
        <w:numPr>
          <w:ilvl w:val="0"/>
          <w:numId w:val="17"/>
        </w:numPr>
      </w:pPr>
      <w:r w:rsidRPr="003E27D9">
        <w:rPr>
          <w:b/>
          <w:iCs/>
        </w:rPr>
        <w:t>Right to access</w:t>
      </w:r>
      <w:r>
        <w:rPr>
          <w:i/>
          <w:iCs/>
        </w:rPr>
        <w:t xml:space="preserve"> </w:t>
      </w:r>
      <w:r>
        <w:t xml:space="preserve">– </w:t>
      </w:r>
      <w:r w:rsidRPr="003E27D9">
        <w:t>You have the right to access your personal data. You have the rig</w:t>
      </w:r>
      <w:r w:rsidRPr="003E27D9">
        <w:t>ht to request and obtain a copy of the personal data processed by EMA.</w:t>
      </w:r>
      <w:r>
        <w:t xml:space="preserve"> </w:t>
      </w:r>
    </w:p>
    <w:p w14:paraId="180CED8E" w14:textId="77777777" w:rsidR="00737A76" w:rsidRDefault="00F43ADC" w:rsidP="00737A76">
      <w:pPr>
        <w:pStyle w:val="BodytextAgency"/>
        <w:numPr>
          <w:ilvl w:val="0"/>
          <w:numId w:val="17"/>
        </w:numPr>
      </w:pPr>
      <w:r w:rsidRPr="003E27D9">
        <w:rPr>
          <w:b/>
          <w:iCs/>
        </w:rPr>
        <w:t>Right to rectification</w:t>
      </w:r>
      <w:r>
        <w:rPr>
          <w:i/>
          <w:iCs/>
        </w:rPr>
        <w:t xml:space="preserve"> </w:t>
      </w:r>
      <w:r>
        <w:t xml:space="preserve">– </w:t>
      </w:r>
      <w:r w:rsidRPr="003E27D9">
        <w:t xml:space="preserve">You have the right to obtain - without undue delay - the rectification or completion of your personal </w:t>
      </w:r>
      <w:r>
        <w:t xml:space="preserve">data </w:t>
      </w:r>
      <w:r w:rsidRPr="003E27D9">
        <w:t>if it is incorrect or incomplete.</w:t>
      </w:r>
      <w:r>
        <w:t xml:space="preserve"> </w:t>
      </w:r>
    </w:p>
    <w:p w14:paraId="43022EBC" w14:textId="77777777" w:rsidR="00737A76" w:rsidRDefault="00F43ADC" w:rsidP="00737A76">
      <w:pPr>
        <w:pStyle w:val="BodytextAgency"/>
        <w:numPr>
          <w:ilvl w:val="0"/>
          <w:numId w:val="17"/>
        </w:numPr>
      </w:pPr>
      <w:r w:rsidRPr="003E27D9">
        <w:rPr>
          <w:b/>
        </w:rPr>
        <w:t>Right to withdraw</w:t>
      </w:r>
      <w:r w:rsidRPr="003E27D9">
        <w:rPr>
          <w:b/>
        </w:rPr>
        <w:t xml:space="preserve"> consent</w:t>
      </w:r>
      <w:r>
        <w:t xml:space="preserve"> – You have the right to withdraw your consent to the processing of your personal data. However, this will not affect the lawfulness of any processing carried out before consent is withdrawn. </w:t>
      </w:r>
    </w:p>
    <w:p w14:paraId="45C7CD72" w14:textId="77777777" w:rsidR="00737A76" w:rsidRDefault="00F43ADC" w:rsidP="00737A76">
      <w:pPr>
        <w:pStyle w:val="BodytextAgency"/>
        <w:numPr>
          <w:ilvl w:val="0"/>
          <w:numId w:val="17"/>
        </w:numPr>
      </w:pPr>
      <w:r w:rsidRPr="003E27D9">
        <w:rPr>
          <w:b/>
          <w:iCs/>
        </w:rPr>
        <w:t>Right to erasure</w:t>
      </w:r>
      <w:r>
        <w:rPr>
          <w:i/>
          <w:iCs/>
        </w:rPr>
        <w:t xml:space="preserve"> – </w:t>
      </w:r>
      <w:r w:rsidRPr="003E27D9">
        <w:t>You have the right to require EMA to</w:t>
      </w:r>
      <w:r w:rsidRPr="003E27D9">
        <w:t xml:space="preserve"> delete or stop processing your data, for example where the data is no longer necessary for the purposes of processing. In certain </w:t>
      </w:r>
      <w:proofErr w:type="gramStart"/>
      <w:r w:rsidRPr="003E27D9">
        <w:t>cases</w:t>
      </w:r>
      <w:proofErr w:type="gramEnd"/>
      <w:r w:rsidRPr="003E27D9">
        <w:t xml:space="preserve"> your data may be kept to the extent it is necessary, for example, to comply with a legal obligation of the Agency or if</w:t>
      </w:r>
      <w:r w:rsidRPr="003E27D9">
        <w:t xml:space="preserve"> it is necessary for reasons of public interest in the area of public health.</w:t>
      </w:r>
      <w:r>
        <w:rPr>
          <w:i/>
          <w:iCs/>
        </w:rPr>
        <w:t xml:space="preserve"> </w:t>
      </w:r>
    </w:p>
    <w:p w14:paraId="1D215E84" w14:textId="77777777" w:rsidR="00737A76" w:rsidRDefault="00F43ADC" w:rsidP="00737A76">
      <w:pPr>
        <w:pStyle w:val="BodytextAgency"/>
        <w:numPr>
          <w:ilvl w:val="0"/>
          <w:numId w:val="17"/>
        </w:numPr>
      </w:pPr>
      <w:r w:rsidRPr="003E27D9">
        <w:rPr>
          <w:b/>
          <w:iCs/>
        </w:rPr>
        <w:lastRenderedPageBreak/>
        <w:t>Right to object</w:t>
      </w:r>
      <w:r>
        <w:rPr>
          <w:i/>
          <w:iCs/>
        </w:rPr>
        <w:t xml:space="preserve"> </w:t>
      </w:r>
      <w:r>
        <w:t xml:space="preserve">– </w:t>
      </w:r>
      <w:r w:rsidRPr="00DC7730">
        <w:t>If the Agency processes your data for the performance of a task in the public interest (without your consent or another lawful basis)</w:t>
      </w:r>
      <w:r>
        <w:t>,</w:t>
      </w:r>
      <w:r w:rsidRPr="00DC7730">
        <w:t xml:space="preserve"> you have the right to ob</w:t>
      </w:r>
      <w:r w:rsidRPr="00DC7730">
        <w:t>ject to this processing on grounds relat</w:t>
      </w:r>
      <w:r>
        <w:t xml:space="preserve">ed to your </w:t>
      </w:r>
      <w:proofErr w:type="gramStart"/>
      <w:r>
        <w:t>particular situation</w:t>
      </w:r>
      <w:proofErr w:type="gramEnd"/>
      <w:r>
        <w:t xml:space="preserve">. </w:t>
      </w:r>
    </w:p>
    <w:p w14:paraId="2433A819" w14:textId="77777777" w:rsidR="00737A76" w:rsidRDefault="00F43ADC" w:rsidP="00737A76">
      <w:pPr>
        <w:pStyle w:val="BodytextAgency"/>
        <w:numPr>
          <w:ilvl w:val="0"/>
          <w:numId w:val="17"/>
        </w:numPr>
      </w:pPr>
      <w:r w:rsidRPr="00DC7730">
        <w:rPr>
          <w:b/>
          <w:bCs/>
        </w:rPr>
        <w:t>Right to restrict processing</w:t>
      </w:r>
      <w:r w:rsidRPr="00DC7730">
        <w:t xml:space="preserve"> – In a few, codified cases, you have the right to obtain the restriction of the processing, meaning that your data will only be stored, but not actively </w:t>
      </w:r>
      <w:r w:rsidRPr="00DC7730">
        <w:t xml:space="preserve">processed for a limited </w:t>
      </w:r>
      <w:proofErr w:type="gramStart"/>
      <w:r w:rsidRPr="00DC7730">
        <w:t>period of time</w:t>
      </w:r>
      <w:proofErr w:type="gramEnd"/>
      <w:r w:rsidRPr="00DC7730">
        <w:t xml:space="preserve">. For more information about this right and its limitations, see the EMA General Privacy Statement, hosted at </w:t>
      </w:r>
      <w:hyperlink r:id="rId10" w:history="1">
        <w:r w:rsidRPr="00DC7730">
          <w:rPr>
            <w:rStyle w:val="Hyperlink"/>
          </w:rPr>
          <w:t>www.ema.europa.eu/en/about-us/l</w:t>
        </w:r>
        <w:r w:rsidRPr="00DC7730">
          <w:rPr>
            <w:rStyle w:val="Hyperlink"/>
          </w:rPr>
          <w:t>egal/privacy-statement</w:t>
        </w:r>
      </w:hyperlink>
      <w:r w:rsidRPr="00DC7730">
        <w:rPr>
          <w:u w:val="single"/>
        </w:rPr>
        <w:t>.</w:t>
      </w:r>
    </w:p>
    <w:p w14:paraId="6CC49F1F" w14:textId="77777777" w:rsidR="00737A76" w:rsidRDefault="00F43ADC" w:rsidP="00737A76">
      <w:pPr>
        <w:pStyle w:val="BodytextAgency"/>
        <w:numPr>
          <w:ilvl w:val="0"/>
          <w:numId w:val="17"/>
        </w:numPr>
      </w:pPr>
      <w:r w:rsidRPr="003E27D9">
        <w:rPr>
          <w:b/>
          <w:iCs/>
        </w:rPr>
        <w:t>Right to portability</w:t>
      </w:r>
      <w:r>
        <w:rPr>
          <w:i/>
          <w:iCs/>
        </w:rPr>
        <w:t xml:space="preserve"> </w:t>
      </w:r>
      <w:r>
        <w:t>–</w:t>
      </w:r>
      <w:r>
        <w:rPr>
          <w:i/>
          <w:iCs/>
        </w:rPr>
        <w:t xml:space="preserve"> </w:t>
      </w:r>
      <w:r w:rsidRPr="00DC7730">
        <w:t xml:space="preserve">Where the processing is carried out in automated means you have the right to receive your personal data (which was provided to the EMA </w:t>
      </w:r>
      <w:r>
        <w:t xml:space="preserve">directly </w:t>
      </w:r>
      <w:r w:rsidRPr="00DC7730">
        <w:t>by you) in a machine-readable format. You may also ask the EMA to</w:t>
      </w:r>
      <w:r w:rsidRPr="00DC7730">
        <w:t xml:space="preserve"> directly transfer such data to another controller.</w:t>
      </w:r>
      <w:r>
        <w:t xml:space="preserve"> </w:t>
      </w:r>
    </w:p>
    <w:p w14:paraId="4E195282" w14:textId="77777777" w:rsidR="00737A76" w:rsidRDefault="00F43ADC" w:rsidP="00737A76">
      <w:pPr>
        <w:pStyle w:val="BodytextAgency"/>
      </w:pPr>
      <w:r>
        <w:t xml:space="preserve">The rights of the data subject can be exercised in accordance with the provisions of Regulation (EU) 2018/1725. </w:t>
      </w:r>
    </w:p>
    <w:p w14:paraId="3C7F34F2" w14:textId="77777777" w:rsidR="00737A76" w:rsidRDefault="00F43ADC" w:rsidP="00737A76">
      <w:pPr>
        <w:pStyle w:val="BodytextAgency"/>
      </w:pPr>
      <w:r>
        <w:t>Data subjects also have the right to lodge a complaint with the European Data Protection S</w:t>
      </w:r>
      <w:r>
        <w:t xml:space="preserve">upervisor (EDPS) at any time at the following address: </w:t>
      </w:r>
      <w:hyperlink r:id="rId11" w:history="1">
        <w:r w:rsidRPr="00ED7257">
          <w:rPr>
            <w:rStyle w:val="Hyperlink"/>
          </w:rPr>
          <w:t>edps@edps.europa.eu</w:t>
        </w:r>
      </w:hyperlink>
      <w:r>
        <w:t>.</w:t>
      </w:r>
    </w:p>
    <w:p w14:paraId="771EFB15" w14:textId="77777777" w:rsidR="00737A76" w:rsidRDefault="00F43ADC" w:rsidP="00737A76">
      <w:pPr>
        <w:pStyle w:val="Heading1"/>
        <w:rPr>
          <w:rFonts w:ascii="Verdana" w:hAnsi="Verdana"/>
          <w:sz w:val="28"/>
          <w:szCs w:val="28"/>
        </w:rPr>
      </w:pPr>
      <w:r>
        <w:rPr>
          <w:rFonts w:ascii="Verdana" w:hAnsi="Verdana"/>
          <w:sz w:val="28"/>
          <w:szCs w:val="28"/>
        </w:rPr>
        <w:t>9. Contact information</w:t>
      </w:r>
    </w:p>
    <w:p w14:paraId="7A93464B" w14:textId="77777777" w:rsidR="00737A76" w:rsidRPr="001D3165" w:rsidRDefault="00F43ADC" w:rsidP="00737A76">
      <w:pPr>
        <w:pStyle w:val="BodytextAgency"/>
      </w:pPr>
      <w:r>
        <w:t xml:space="preserve">In case you have any questions regarding the processing of your personal data, or you think that the processing is </w:t>
      </w:r>
      <w:proofErr w:type="gramStart"/>
      <w:r>
        <w:t>unlawful</w:t>
      </w:r>
      <w:proofErr w:type="gramEnd"/>
      <w:r>
        <w:t xml:space="preserve"> or it is not in compliance with this data protection notice, please contact the Internal Controller. The contact details of the cont</w:t>
      </w:r>
      <w:r>
        <w:t xml:space="preserve">roller are the following: </w:t>
      </w:r>
      <w:hyperlink r:id="rId12" w:history="1">
        <w:r w:rsidRPr="000A033E">
          <w:rPr>
            <w:rStyle w:val="Hyperlink"/>
          </w:rPr>
          <w:t>Datacontroller.HumanMedicines@ema.europa.eu</w:t>
        </w:r>
      </w:hyperlink>
    </w:p>
    <w:p w14:paraId="7EFC9A36" w14:textId="77777777" w:rsidR="00737A76" w:rsidRDefault="00F43ADC" w:rsidP="00737A76">
      <w:pPr>
        <w:pStyle w:val="Heading1"/>
        <w:rPr>
          <w:rFonts w:ascii="Verdana" w:hAnsi="Verdana"/>
          <w:sz w:val="28"/>
          <w:szCs w:val="28"/>
        </w:rPr>
      </w:pPr>
      <w:r>
        <w:rPr>
          <w:rFonts w:ascii="Verdana" w:hAnsi="Verdana"/>
          <w:sz w:val="28"/>
          <w:szCs w:val="28"/>
        </w:rPr>
        <w:t>10. Recourse</w:t>
      </w:r>
    </w:p>
    <w:p w14:paraId="3BB50A45" w14:textId="77777777" w:rsidR="00737A76" w:rsidRDefault="00F43ADC" w:rsidP="00737A76">
      <w:pPr>
        <w:pStyle w:val="BodytextAgency"/>
      </w:pPr>
      <w:r>
        <w:t xml:space="preserve">Complaints in relation to this processing operation can be addressed to: </w:t>
      </w:r>
    </w:p>
    <w:p w14:paraId="2B57CE43" w14:textId="77777777" w:rsidR="00737A76" w:rsidRDefault="00F43ADC" w:rsidP="00737A76">
      <w:pPr>
        <w:pStyle w:val="BodytextAgency"/>
        <w:numPr>
          <w:ilvl w:val="0"/>
          <w:numId w:val="18"/>
        </w:numPr>
      </w:pPr>
      <w:r>
        <w:t xml:space="preserve">The controller: </w:t>
      </w:r>
      <w:hyperlink r:id="rId13" w:history="1">
        <w:r w:rsidRPr="00232809">
          <w:rPr>
            <w:rStyle w:val="Hyperlink"/>
          </w:rPr>
          <w:t>Datacontroller.HumanMedicines@ema.europa.eu</w:t>
        </w:r>
      </w:hyperlink>
      <w:r>
        <w:t xml:space="preserve">; or </w:t>
      </w:r>
    </w:p>
    <w:p w14:paraId="6290A7F8" w14:textId="77777777" w:rsidR="00737A76" w:rsidRDefault="00F43ADC" w:rsidP="00737A76">
      <w:pPr>
        <w:pStyle w:val="BodytextAgency"/>
        <w:numPr>
          <w:ilvl w:val="0"/>
          <w:numId w:val="18"/>
        </w:numPr>
      </w:pPr>
      <w:r>
        <w:t xml:space="preserve">The EMA Data Protection Officer: </w:t>
      </w:r>
      <w:hyperlink r:id="rId14" w:history="1">
        <w:r w:rsidRPr="00ED7257">
          <w:rPr>
            <w:rStyle w:val="Hyperlink"/>
          </w:rPr>
          <w:t>dataprotection@ema.europa.eu</w:t>
        </w:r>
      </w:hyperlink>
      <w:r>
        <w:t xml:space="preserve">; or </w:t>
      </w:r>
    </w:p>
    <w:p w14:paraId="0A0672FB" w14:textId="78CAB078" w:rsidR="00737A76" w:rsidRPr="00BD3DB6" w:rsidRDefault="00F43ADC" w:rsidP="00737A76">
      <w:pPr>
        <w:pStyle w:val="BodytextAgency"/>
        <w:numPr>
          <w:ilvl w:val="0"/>
          <w:numId w:val="18"/>
        </w:numPr>
      </w:pPr>
      <w:r>
        <w:t>The European Data Protection Supervis</w:t>
      </w:r>
      <w:r>
        <w:t xml:space="preserve">or (EDPS): </w:t>
      </w:r>
      <w:hyperlink r:id="rId15" w:history="1">
        <w:r w:rsidRPr="00737A76">
          <w:rPr>
            <w:rStyle w:val="Hyperlink"/>
          </w:rPr>
          <w:t>edps@edps.europa.eu</w:t>
        </w:r>
      </w:hyperlink>
    </w:p>
    <w:sectPr w:rsidR="00737A76" w:rsidRPr="00BD3DB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5D19" w14:textId="77777777" w:rsidR="00000000" w:rsidRDefault="00F43ADC">
      <w:pPr>
        <w:spacing w:after="0" w:line="240" w:lineRule="auto"/>
      </w:pPr>
      <w:r>
        <w:separator/>
      </w:r>
    </w:p>
  </w:endnote>
  <w:endnote w:type="continuationSeparator" w:id="0">
    <w:p w14:paraId="2B733891" w14:textId="77777777" w:rsidR="00000000" w:rsidRDefault="00F4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DAB0" w14:textId="77777777" w:rsidR="005D79CD" w:rsidRDefault="005D7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B7BC" w14:textId="77777777" w:rsidR="00D03E05" w:rsidRPr="00D03E05" w:rsidRDefault="00F43ADC" w:rsidP="00D03E05">
    <w:pPr>
      <w:pStyle w:val="Footer"/>
      <w:jc w:val="right"/>
      <w:rPr>
        <w:rFonts w:ascii="Verdana" w:hAnsi="Verdana"/>
        <w:sz w:val="18"/>
        <w:szCs w:val="18"/>
      </w:rPr>
    </w:pPr>
    <w:r w:rsidRPr="00D03E05">
      <w:rPr>
        <w:rFonts w:ascii="Verdana" w:hAnsi="Verdana"/>
        <w:sz w:val="18"/>
        <w:szCs w:val="18"/>
      </w:rPr>
      <w:t xml:space="preserve">Page </w:t>
    </w:r>
    <w:r w:rsidRPr="00D03E05">
      <w:rPr>
        <w:rFonts w:ascii="Verdana" w:hAnsi="Verdana"/>
        <w:b/>
        <w:bCs/>
        <w:sz w:val="18"/>
        <w:szCs w:val="18"/>
      </w:rPr>
      <w:fldChar w:fldCharType="begin"/>
    </w:r>
    <w:r w:rsidRPr="00D03E05">
      <w:rPr>
        <w:rFonts w:ascii="Verdana" w:hAnsi="Verdana"/>
        <w:b/>
        <w:bCs/>
        <w:sz w:val="18"/>
        <w:szCs w:val="18"/>
      </w:rPr>
      <w:instrText xml:space="preserve"> PAGE </w:instrText>
    </w:r>
    <w:r w:rsidRPr="00D03E05">
      <w:rPr>
        <w:rFonts w:ascii="Verdana" w:hAnsi="Verdana"/>
        <w:b/>
        <w:bCs/>
        <w:sz w:val="18"/>
        <w:szCs w:val="18"/>
      </w:rPr>
      <w:fldChar w:fldCharType="separate"/>
    </w:r>
    <w:r w:rsidR="00E5068A">
      <w:rPr>
        <w:rFonts w:ascii="Verdana" w:hAnsi="Verdana"/>
        <w:b/>
        <w:bCs/>
        <w:noProof/>
        <w:sz w:val="18"/>
        <w:szCs w:val="18"/>
      </w:rPr>
      <w:t>5</w:t>
    </w:r>
    <w:r w:rsidRPr="00D03E05">
      <w:rPr>
        <w:rFonts w:ascii="Verdana" w:hAnsi="Verdana"/>
        <w:b/>
        <w:bCs/>
        <w:sz w:val="18"/>
        <w:szCs w:val="18"/>
      </w:rPr>
      <w:fldChar w:fldCharType="end"/>
    </w:r>
    <w:r w:rsidRPr="00D03E05">
      <w:rPr>
        <w:rFonts w:ascii="Verdana" w:hAnsi="Verdana"/>
        <w:sz w:val="18"/>
        <w:szCs w:val="18"/>
      </w:rPr>
      <w:t xml:space="preserve"> of </w:t>
    </w:r>
    <w:r w:rsidRPr="00D03E05">
      <w:rPr>
        <w:rFonts w:ascii="Verdana" w:hAnsi="Verdana"/>
        <w:b/>
        <w:bCs/>
        <w:sz w:val="18"/>
        <w:szCs w:val="18"/>
      </w:rPr>
      <w:fldChar w:fldCharType="begin"/>
    </w:r>
    <w:r w:rsidRPr="00D03E05">
      <w:rPr>
        <w:rFonts w:ascii="Verdana" w:hAnsi="Verdana"/>
        <w:b/>
        <w:bCs/>
        <w:sz w:val="18"/>
        <w:szCs w:val="18"/>
      </w:rPr>
      <w:instrText xml:space="preserve"> NUMPAGES  </w:instrText>
    </w:r>
    <w:r w:rsidRPr="00D03E05">
      <w:rPr>
        <w:rFonts w:ascii="Verdana" w:hAnsi="Verdana"/>
        <w:b/>
        <w:bCs/>
        <w:sz w:val="18"/>
        <w:szCs w:val="18"/>
      </w:rPr>
      <w:fldChar w:fldCharType="separate"/>
    </w:r>
    <w:r w:rsidR="00E5068A">
      <w:rPr>
        <w:rFonts w:ascii="Verdana" w:hAnsi="Verdana"/>
        <w:b/>
        <w:bCs/>
        <w:noProof/>
        <w:sz w:val="18"/>
        <w:szCs w:val="18"/>
      </w:rPr>
      <w:t>5</w:t>
    </w:r>
    <w:r w:rsidRPr="00D03E05">
      <w:rPr>
        <w:rFonts w:ascii="Verdana" w:hAnsi="Verdan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6CA9" w14:textId="77777777" w:rsidR="005D79CD" w:rsidRDefault="005D7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8D79" w14:textId="77777777" w:rsidR="006A7902" w:rsidRDefault="00F43ADC" w:rsidP="00B41FB4">
      <w:pPr>
        <w:spacing w:after="0" w:line="240" w:lineRule="auto"/>
      </w:pPr>
      <w:r>
        <w:separator/>
      </w:r>
    </w:p>
  </w:footnote>
  <w:footnote w:type="continuationSeparator" w:id="0">
    <w:p w14:paraId="36670FB0" w14:textId="77777777" w:rsidR="006A7902" w:rsidRDefault="00F43ADC" w:rsidP="00B41FB4">
      <w:pPr>
        <w:spacing w:after="0" w:line="240" w:lineRule="auto"/>
      </w:pPr>
      <w:r>
        <w:continuationSeparator/>
      </w:r>
    </w:p>
  </w:footnote>
  <w:footnote w:id="1">
    <w:p w14:paraId="34662D90" w14:textId="77777777" w:rsidR="00737A76" w:rsidRDefault="00F43ADC" w:rsidP="00737A76">
      <w:pPr>
        <w:autoSpaceDE w:val="0"/>
        <w:autoSpaceDN w:val="0"/>
        <w:adjustRightInd w:val="0"/>
        <w:spacing w:after="0" w:line="240" w:lineRule="auto"/>
        <w:jc w:val="both"/>
        <w:rPr>
          <w:rFonts w:ascii="Verdana" w:hAnsi="Verdana" w:cs="TimesNewRomanBold"/>
          <w:bCs/>
          <w:sz w:val="14"/>
          <w:szCs w:val="14"/>
          <w:lang w:eastAsia="en-GB"/>
        </w:rPr>
      </w:pPr>
      <w:r>
        <w:rPr>
          <w:rStyle w:val="FootnoteReference"/>
          <w:rFonts w:ascii="Verdana" w:hAnsi="Verdana"/>
          <w:sz w:val="14"/>
          <w:szCs w:val="14"/>
        </w:rPr>
        <w:t>1</w:t>
      </w:r>
      <w:r>
        <w:rPr>
          <w:rFonts w:ascii="Verdana" w:hAnsi="Verdana"/>
          <w:sz w:val="14"/>
          <w:szCs w:val="14"/>
        </w:rPr>
        <w:t xml:space="preserve"> </w:t>
      </w:r>
      <w:r w:rsidRPr="002912DB">
        <w:rPr>
          <w:rFonts w:ascii="Verdana" w:hAnsi="Verdana" w:cs="TimesNewRomanBold"/>
          <w:bCs/>
          <w:sz w:val="14"/>
          <w:szCs w:val="14"/>
          <w:lang w:eastAsia="en-GB"/>
        </w:rPr>
        <w:t xml:space="preserve">Regulation (EU) 2018/1725 of the European Parliament and of the Council of 23 October 2018 on the </w:t>
      </w:r>
      <w:r w:rsidRPr="002912DB">
        <w:rPr>
          <w:rFonts w:ascii="Verdana" w:hAnsi="Verdana" w:cs="TimesNewRomanBold"/>
          <w:bCs/>
          <w:sz w:val="14"/>
          <w:szCs w:val="14"/>
          <w:lang w:eastAsia="en-GB"/>
        </w:rPr>
        <w:t xml:space="preserve">protection of natural persons </w:t>
      </w:r>
      <w:proofErr w:type="gramStart"/>
      <w:r w:rsidRPr="002912DB">
        <w:rPr>
          <w:rFonts w:ascii="Verdana" w:hAnsi="Verdana" w:cs="TimesNewRomanBold"/>
          <w:bCs/>
          <w:sz w:val="14"/>
          <w:szCs w:val="14"/>
          <w:lang w:eastAsia="en-GB"/>
        </w:rPr>
        <w:t>with regard to</w:t>
      </w:r>
      <w:proofErr w:type="gramEnd"/>
      <w:r w:rsidRPr="002912DB">
        <w:rPr>
          <w:rFonts w:ascii="Verdana" w:hAnsi="Verdana" w:cs="TimesNewRomanBold"/>
          <w:bCs/>
          <w:sz w:val="14"/>
          <w:szCs w:val="14"/>
          <w:lang w:eastAsia="en-GB"/>
        </w:rPr>
        <w:t xml:space="preserve"> the processing of personal data by the Union institutions, bodies, offices and agencies and on the free movement of such data, and repealing Regulation (EC) No 45/2001 and Decision No 1247/2002/EC</w:t>
      </w:r>
    </w:p>
  </w:footnote>
  <w:footnote w:id="2">
    <w:p w14:paraId="4EEEAD3A" w14:textId="77777777" w:rsidR="00737A76" w:rsidRDefault="00F43ADC" w:rsidP="00737A76">
      <w:pPr>
        <w:autoSpaceDE w:val="0"/>
        <w:autoSpaceDN w:val="0"/>
        <w:adjustRightInd w:val="0"/>
        <w:spacing w:after="0" w:line="240" w:lineRule="auto"/>
        <w:jc w:val="both"/>
      </w:pPr>
      <w:r>
        <w:rPr>
          <w:rStyle w:val="FootnoteReference"/>
        </w:rPr>
        <w:t>2</w:t>
      </w:r>
      <w:r>
        <w:t xml:space="preserve"> </w:t>
      </w:r>
      <w:r>
        <w:rPr>
          <w:rFonts w:ascii="Verdana" w:hAnsi="Verdana" w:cs="TimesNewRomanBold"/>
          <w:bCs/>
          <w:sz w:val="14"/>
          <w:szCs w:val="14"/>
          <w:lang w:eastAsia="en-GB"/>
        </w:rPr>
        <w:t xml:space="preserve">Policy 0072 </w:t>
      </w:r>
      <w:r>
        <w:rPr>
          <w:rFonts w:ascii="Verdana" w:hAnsi="Verdana" w:cs="TimesNewRomanBold"/>
          <w:bCs/>
          <w:sz w:val="14"/>
          <w:szCs w:val="14"/>
          <w:lang w:eastAsia="en-GB"/>
        </w:rPr>
        <w:t xml:space="preserve">- </w:t>
      </w:r>
      <w:r w:rsidRPr="005802DF">
        <w:rPr>
          <w:rFonts w:ascii="Verdana" w:hAnsi="Verdana" w:cs="TimesNewRomanBold"/>
          <w:bCs/>
          <w:sz w:val="14"/>
          <w:szCs w:val="14"/>
          <w:lang w:eastAsia="en-GB"/>
        </w:rPr>
        <w:t xml:space="preserve">EMA’s handling of information from external reporting persons about alleged breaches related to the authorisation, supervision and maintenance of human and veterinary medicinal products or other EMA </w:t>
      </w:r>
      <w:proofErr w:type="gramStart"/>
      <w:r w:rsidRPr="005802DF">
        <w:rPr>
          <w:rFonts w:ascii="Verdana" w:hAnsi="Verdana" w:cs="TimesNewRomanBold"/>
          <w:bCs/>
          <w:sz w:val="14"/>
          <w:szCs w:val="14"/>
          <w:lang w:eastAsia="en-GB"/>
        </w:rPr>
        <w:t xml:space="preserve">activities </w:t>
      </w:r>
      <w:r>
        <w:rPr>
          <w:rFonts w:ascii="Verdana" w:hAnsi="Verdana" w:cs="TimesNewRomanBold"/>
          <w:bCs/>
          <w:sz w:val="14"/>
          <w:szCs w:val="14"/>
          <w:lang w:eastAsia="en-GB"/>
        </w:rPr>
        <w:t>.</w:t>
      </w:r>
      <w:proofErr w:type="gramEnd"/>
    </w:p>
  </w:footnote>
  <w:footnote w:id="3">
    <w:p w14:paraId="35786196" w14:textId="77777777" w:rsidR="00737A76" w:rsidRPr="00157764" w:rsidRDefault="00F43ADC" w:rsidP="00737A76">
      <w:pPr>
        <w:autoSpaceDE w:val="0"/>
        <w:autoSpaceDN w:val="0"/>
        <w:adjustRightInd w:val="0"/>
        <w:spacing w:after="0" w:line="240" w:lineRule="auto"/>
        <w:jc w:val="both"/>
      </w:pPr>
      <w:r>
        <w:rPr>
          <w:rStyle w:val="FootnoteReference"/>
        </w:rPr>
        <w:t>3</w:t>
      </w:r>
      <w:r w:rsidRPr="00157764">
        <w:t xml:space="preserve"> </w:t>
      </w:r>
      <w:r w:rsidRPr="00157764">
        <w:rPr>
          <w:rFonts w:ascii="Verdana" w:hAnsi="Verdana"/>
          <w:sz w:val="14"/>
          <w:szCs w:val="14"/>
        </w:rPr>
        <w:t xml:space="preserve">Template for reporting </w:t>
      </w:r>
      <w:r w:rsidRPr="00157764">
        <w:rPr>
          <w:rFonts w:ascii="Verdana" w:hAnsi="Verdana" w:cs="TimesNewRomanBold"/>
          <w:bCs/>
          <w:sz w:val="14"/>
          <w:szCs w:val="14"/>
          <w:lang w:eastAsia="en-GB"/>
        </w:rPr>
        <w:t>alle</w:t>
      </w:r>
      <w:r>
        <w:rPr>
          <w:rFonts w:ascii="Verdana" w:hAnsi="Verdana"/>
          <w:sz w:val="14"/>
          <w:szCs w:val="14"/>
        </w:rPr>
        <w:t xml:space="preserve">ged </w:t>
      </w:r>
      <w:r>
        <w:rPr>
          <w:rFonts w:ascii="Verdana" w:hAnsi="Verdana"/>
          <w:sz w:val="14"/>
          <w:szCs w:val="14"/>
        </w:rPr>
        <w:t>breaches by external reporting person</w:t>
      </w:r>
    </w:p>
  </w:footnote>
  <w:footnote w:id="4">
    <w:p w14:paraId="66449753" w14:textId="77777777" w:rsidR="00737A76" w:rsidRPr="00157764" w:rsidRDefault="00F43ADC" w:rsidP="00737A76">
      <w:pPr>
        <w:autoSpaceDE w:val="0"/>
        <w:autoSpaceDN w:val="0"/>
        <w:adjustRightInd w:val="0"/>
        <w:spacing w:after="0" w:line="240" w:lineRule="auto"/>
        <w:jc w:val="both"/>
      </w:pPr>
      <w:r>
        <w:rPr>
          <w:rStyle w:val="FootnoteReference"/>
        </w:rPr>
        <w:t>4</w:t>
      </w:r>
      <w:r w:rsidRPr="00157764">
        <w:t xml:space="preserve"> </w:t>
      </w:r>
      <w:r w:rsidRPr="00157764">
        <w:rPr>
          <w:rFonts w:ascii="Verdana" w:hAnsi="Verdana"/>
          <w:sz w:val="14"/>
          <w:szCs w:val="14"/>
        </w:rPr>
        <w:t xml:space="preserve">Policy 0072 </w:t>
      </w:r>
      <w:r w:rsidRPr="000A033E">
        <w:rPr>
          <w:rFonts w:ascii="Verdana" w:hAnsi="Verdana"/>
          <w:sz w:val="14"/>
          <w:szCs w:val="14"/>
        </w:rPr>
        <w:t xml:space="preserve">EMA’s handling of information from external reporting persons about alleged breaches related to the authorisation, </w:t>
      </w:r>
      <w:proofErr w:type="gramStart"/>
      <w:r w:rsidRPr="000A033E">
        <w:rPr>
          <w:rFonts w:ascii="Verdana" w:hAnsi="Verdana"/>
          <w:sz w:val="14"/>
          <w:szCs w:val="14"/>
        </w:rPr>
        <w:t>supervision</w:t>
      </w:r>
      <w:proofErr w:type="gramEnd"/>
      <w:r w:rsidRPr="000A033E">
        <w:rPr>
          <w:rFonts w:ascii="Verdana" w:hAnsi="Verdana"/>
          <w:sz w:val="14"/>
          <w:szCs w:val="14"/>
        </w:rPr>
        <w:t xml:space="preserve"> and maintenance of human and veterinary medicinal products or other EMA activ</w:t>
      </w:r>
      <w:r w:rsidRPr="000A033E">
        <w:rPr>
          <w:rFonts w:ascii="Verdana" w:hAnsi="Verdana"/>
          <w:sz w:val="14"/>
          <w:szCs w:val="14"/>
        </w:rPr>
        <w:t>ities</w:t>
      </w:r>
    </w:p>
  </w:footnote>
  <w:footnote w:id="5">
    <w:p w14:paraId="706E3134" w14:textId="77777777" w:rsidR="00737A76" w:rsidRPr="00CD3734" w:rsidRDefault="00F43ADC" w:rsidP="00737A76">
      <w:pPr>
        <w:pStyle w:val="FootnoteText"/>
        <w:rPr>
          <w:rFonts w:ascii="Verdana" w:hAnsi="Verdana"/>
          <w:sz w:val="14"/>
          <w:szCs w:val="14"/>
        </w:rPr>
      </w:pPr>
      <w:r>
        <w:rPr>
          <w:rStyle w:val="FootnoteReference"/>
        </w:rPr>
        <w:t>5</w:t>
      </w:r>
      <w:r w:rsidRPr="00157764">
        <w:t xml:space="preserve"> </w:t>
      </w:r>
      <w:r w:rsidRPr="00157764">
        <w:rPr>
          <w:rFonts w:ascii="Verdana" w:hAnsi="Verdana"/>
          <w:sz w:val="14"/>
          <w:szCs w:val="14"/>
        </w:rPr>
        <w:t xml:space="preserve">SOP/EMA/0129 </w:t>
      </w:r>
      <w:r w:rsidRPr="000A033E">
        <w:rPr>
          <w:rFonts w:ascii="Verdana" w:hAnsi="Verdana"/>
          <w:sz w:val="14"/>
          <w:szCs w:val="14"/>
        </w:rPr>
        <w:t xml:space="preserve">EMA’s handling of information from external reporting persons about alleged breaches related to the authorisation, </w:t>
      </w:r>
      <w:proofErr w:type="gramStart"/>
      <w:r w:rsidRPr="000A033E">
        <w:rPr>
          <w:rFonts w:ascii="Verdana" w:hAnsi="Verdana"/>
          <w:sz w:val="14"/>
          <w:szCs w:val="14"/>
        </w:rPr>
        <w:t>supervision</w:t>
      </w:r>
      <w:proofErr w:type="gramEnd"/>
      <w:r w:rsidRPr="000A033E">
        <w:rPr>
          <w:rFonts w:ascii="Verdana" w:hAnsi="Verdana"/>
          <w:sz w:val="14"/>
          <w:szCs w:val="14"/>
        </w:rPr>
        <w:t xml:space="preserve"> and maintenance of human and veterinary medicinal products or other EMA activities</w:t>
      </w:r>
      <w:r w:rsidRPr="00157764">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E691" w14:textId="77777777" w:rsidR="005D79CD" w:rsidRDefault="005D7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B977" w14:textId="77777777" w:rsidR="005D79CD" w:rsidRDefault="005D7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740F" w14:textId="77777777" w:rsidR="005D79CD" w:rsidRDefault="005D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14D8661B"/>
    <w:multiLevelType w:val="hybridMultilevel"/>
    <w:tmpl w:val="C7C8E592"/>
    <w:lvl w:ilvl="0" w:tplc="876A7200">
      <w:start w:val="1"/>
      <w:numFmt w:val="bullet"/>
      <w:lvlText w:val="o"/>
      <w:lvlJc w:val="left"/>
      <w:pPr>
        <w:ind w:left="720" w:hanging="360"/>
      </w:pPr>
      <w:rPr>
        <w:rFonts w:ascii="Courier New" w:hAnsi="Courier New" w:cs="Courier New" w:hint="default"/>
      </w:rPr>
    </w:lvl>
    <w:lvl w:ilvl="1" w:tplc="FB2C60FA" w:tentative="1">
      <w:start w:val="1"/>
      <w:numFmt w:val="bullet"/>
      <w:lvlText w:val="o"/>
      <w:lvlJc w:val="left"/>
      <w:pPr>
        <w:ind w:left="1440" w:hanging="360"/>
      </w:pPr>
      <w:rPr>
        <w:rFonts w:ascii="Courier New" w:hAnsi="Courier New" w:cs="Courier New" w:hint="default"/>
      </w:rPr>
    </w:lvl>
    <w:lvl w:ilvl="2" w:tplc="D4E6280A" w:tentative="1">
      <w:start w:val="1"/>
      <w:numFmt w:val="bullet"/>
      <w:lvlText w:val=""/>
      <w:lvlJc w:val="left"/>
      <w:pPr>
        <w:ind w:left="2160" w:hanging="360"/>
      </w:pPr>
      <w:rPr>
        <w:rFonts w:ascii="Wingdings" w:hAnsi="Wingdings" w:hint="default"/>
      </w:rPr>
    </w:lvl>
    <w:lvl w:ilvl="3" w:tplc="58F63AE6" w:tentative="1">
      <w:start w:val="1"/>
      <w:numFmt w:val="bullet"/>
      <w:lvlText w:val=""/>
      <w:lvlJc w:val="left"/>
      <w:pPr>
        <w:ind w:left="2880" w:hanging="360"/>
      </w:pPr>
      <w:rPr>
        <w:rFonts w:ascii="Symbol" w:hAnsi="Symbol" w:hint="default"/>
      </w:rPr>
    </w:lvl>
    <w:lvl w:ilvl="4" w:tplc="1BE2018E" w:tentative="1">
      <w:start w:val="1"/>
      <w:numFmt w:val="bullet"/>
      <w:lvlText w:val="o"/>
      <w:lvlJc w:val="left"/>
      <w:pPr>
        <w:ind w:left="3600" w:hanging="360"/>
      </w:pPr>
      <w:rPr>
        <w:rFonts w:ascii="Courier New" w:hAnsi="Courier New" w:cs="Courier New" w:hint="default"/>
      </w:rPr>
    </w:lvl>
    <w:lvl w:ilvl="5" w:tplc="DEEEDED2" w:tentative="1">
      <w:start w:val="1"/>
      <w:numFmt w:val="bullet"/>
      <w:lvlText w:val=""/>
      <w:lvlJc w:val="left"/>
      <w:pPr>
        <w:ind w:left="4320" w:hanging="360"/>
      </w:pPr>
      <w:rPr>
        <w:rFonts w:ascii="Wingdings" w:hAnsi="Wingdings" w:hint="default"/>
      </w:rPr>
    </w:lvl>
    <w:lvl w:ilvl="6" w:tplc="D3E20F44" w:tentative="1">
      <w:start w:val="1"/>
      <w:numFmt w:val="bullet"/>
      <w:lvlText w:val=""/>
      <w:lvlJc w:val="left"/>
      <w:pPr>
        <w:ind w:left="5040" w:hanging="360"/>
      </w:pPr>
      <w:rPr>
        <w:rFonts w:ascii="Symbol" w:hAnsi="Symbol" w:hint="default"/>
      </w:rPr>
    </w:lvl>
    <w:lvl w:ilvl="7" w:tplc="230846D2" w:tentative="1">
      <w:start w:val="1"/>
      <w:numFmt w:val="bullet"/>
      <w:lvlText w:val="o"/>
      <w:lvlJc w:val="left"/>
      <w:pPr>
        <w:ind w:left="5760" w:hanging="360"/>
      </w:pPr>
      <w:rPr>
        <w:rFonts w:ascii="Courier New" w:hAnsi="Courier New" w:cs="Courier New" w:hint="default"/>
      </w:rPr>
    </w:lvl>
    <w:lvl w:ilvl="8" w:tplc="5E6A5BFA" w:tentative="1">
      <w:start w:val="1"/>
      <w:numFmt w:val="bullet"/>
      <w:lvlText w:val=""/>
      <w:lvlJc w:val="left"/>
      <w:pPr>
        <w:ind w:left="6480" w:hanging="360"/>
      </w:pPr>
      <w:rPr>
        <w:rFonts w:ascii="Wingdings" w:hAnsi="Wingdings" w:hint="default"/>
      </w:rPr>
    </w:lvl>
  </w:abstractNum>
  <w:abstractNum w:abstractNumId="2" w15:restartNumberingAfterBreak="0">
    <w:nsid w:val="190B7667"/>
    <w:multiLevelType w:val="hybridMultilevel"/>
    <w:tmpl w:val="6068FF96"/>
    <w:lvl w:ilvl="0" w:tplc="9546018A">
      <w:start w:val="1"/>
      <w:numFmt w:val="bullet"/>
      <w:lvlText w:val="o"/>
      <w:lvlJc w:val="left"/>
      <w:pPr>
        <w:ind w:left="360" w:hanging="360"/>
      </w:pPr>
      <w:rPr>
        <w:rFonts w:ascii="Courier New" w:hAnsi="Courier New" w:cs="Courier New" w:hint="default"/>
      </w:rPr>
    </w:lvl>
    <w:lvl w:ilvl="1" w:tplc="494449A2" w:tentative="1">
      <w:start w:val="1"/>
      <w:numFmt w:val="bullet"/>
      <w:lvlText w:val="o"/>
      <w:lvlJc w:val="left"/>
      <w:pPr>
        <w:ind w:left="1080" w:hanging="360"/>
      </w:pPr>
      <w:rPr>
        <w:rFonts w:ascii="Courier New" w:hAnsi="Courier New" w:cs="Courier New" w:hint="default"/>
      </w:rPr>
    </w:lvl>
    <w:lvl w:ilvl="2" w:tplc="52CE0FAC" w:tentative="1">
      <w:start w:val="1"/>
      <w:numFmt w:val="bullet"/>
      <w:lvlText w:val=""/>
      <w:lvlJc w:val="left"/>
      <w:pPr>
        <w:ind w:left="1800" w:hanging="360"/>
      </w:pPr>
      <w:rPr>
        <w:rFonts w:ascii="Wingdings" w:hAnsi="Wingdings" w:hint="default"/>
      </w:rPr>
    </w:lvl>
    <w:lvl w:ilvl="3" w:tplc="797062A2" w:tentative="1">
      <w:start w:val="1"/>
      <w:numFmt w:val="bullet"/>
      <w:lvlText w:val=""/>
      <w:lvlJc w:val="left"/>
      <w:pPr>
        <w:ind w:left="2520" w:hanging="360"/>
      </w:pPr>
      <w:rPr>
        <w:rFonts w:ascii="Symbol" w:hAnsi="Symbol" w:hint="default"/>
      </w:rPr>
    </w:lvl>
    <w:lvl w:ilvl="4" w:tplc="56601670" w:tentative="1">
      <w:start w:val="1"/>
      <w:numFmt w:val="bullet"/>
      <w:lvlText w:val="o"/>
      <w:lvlJc w:val="left"/>
      <w:pPr>
        <w:ind w:left="3240" w:hanging="360"/>
      </w:pPr>
      <w:rPr>
        <w:rFonts w:ascii="Courier New" w:hAnsi="Courier New" w:cs="Courier New" w:hint="default"/>
      </w:rPr>
    </w:lvl>
    <w:lvl w:ilvl="5" w:tplc="1DCC8008" w:tentative="1">
      <w:start w:val="1"/>
      <w:numFmt w:val="bullet"/>
      <w:lvlText w:val=""/>
      <w:lvlJc w:val="left"/>
      <w:pPr>
        <w:ind w:left="3960" w:hanging="360"/>
      </w:pPr>
      <w:rPr>
        <w:rFonts w:ascii="Wingdings" w:hAnsi="Wingdings" w:hint="default"/>
      </w:rPr>
    </w:lvl>
    <w:lvl w:ilvl="6" w:tplc="2A8CBF90" w:tentative="1">
      <w:start w:val="1"/>
      <w:numFmt w:val="bullet"/>
      <w:lvlText w:val=""/>
      <w:lvlJc w:val="left"/>
      <w:pPr>
        <w:ind w:left="4680" w:hanging="360"/>
      </w:pPr>
      <w:rPr>
        <w:rFonts w:ascii="Symbol" w:hAnsi="Symbol" w:hint="default"/>
      </w:rPr>
    </w:lvl>
    <w:lvl w:ilvl="7" w:tplc="71AEB1D6" w:tentative="1">
      <w:start w:val="1"/>
      <w:numFmt w:val="bullet"/>
      <w:lvlText w:val="o"/>
      <w:lvlJc w:val="left"/>
      <w:pPr>
        <w:ind w:left="5400" w:hanging="360"/>
      </w:pPr>
      <w:rPr>
        <w:rFonts w:ascii="Courier New" w:hAnsi="Courier New" w:cs="Courier New" w:hint="default"/>
      </w:rPr>
    </w:lvl>
    <w:lvl w:ilvl="8" w:tplc="DC54162E" w:tentative="1">
      <w:start w:val="1"/>
      <w:numFmt w:val="bullet"/>
      <w:lvlText w:val=""/>
      <w:lvlJc w:val="left"/>
      <w:pPr>
        <w:ind w:left="6120" w:hanging="360"/>
      </w:pPr>
      <w:rPr>
        <w:rFonts w:ascii="Wingdings" w:hAnsi="Wingdings" w:hint="default"/>
      </w:rPr>
    </w:lvl>
  </w:abstractNum>
  <w:abstractNum w:abstractNumId="3" w15:restartNumberingAfterBreak="0">
    <w:nsid w:val="204652E2"/>
    <w:multiLevelType w:val="multilevel"/>
    <w:tmpl w:val="A02E932A"/>
    <w:numStyleLink w:val="BulletsAgency"/>
  </w:abstractNum>
  <w:abstractNum w:abstractNumId="4" w15:restartNumberingAfterBreak="0">
    <w:nsid w:val="2C766600"/>
    <w:multiLevelType w:val="multilevel"/>
    <w:tmpl w:val="A02E932A"/>
    <w:numStyleLink w:val="BulletsAgency"/>
  </w:abstractNum>
  <w:abstractNum w:abstractNumId="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6" w15:restartNumberingAfterBreak="0">
    <w:nsid w:val="557A5F5E"/>
    <w:multiLevelType w:val="multilevel"/>
    <w:tmpl w:val="A02E932A"/>
    <w:numStyleLink w:val="BulletsAgency"/>
  </w:abstractNum>
  <w:abstractNum w:abstractNumId="7" w15:restartNumberingAfterBreak="0">
    <w:nsid w:val="58267523"/>
    <w:multiLevelType w:val="hybridMultilevel"/>
    <w:tmpl w:val="2C3EADBC"/>
    <w:lvl w:ilvl="0" w:tplc="223C99F2">
      <w:start w:val="1"/>
      <w:numFmt w:val="bullet"/>
      <w:lvlText w:val=""/>
      <w:lvlJc w:val="left"/>
      <w:pPr>
        <w:ind w:left="720" w:hanging="360"/>
      </w:pPr>
      <w:rPr>
        <w:rFonts w:ascii="Symbol" w:hAnsi="Symbol" w:hint="default"/>
      </w:rPr>
    </w:lvl>
    <w:lvl w:ilvl="1" w:tplc="889C5670">
      <w:start w:val="1"/>
      <w:numFmt w:val="bullet"/>
      <w:lvlText w:val="o"/>
      <w:lvlJc w:val="left"/>
      <w:pPr>
        <w:ind w:left="1440" w:hanging="360"/>
      </w:pPr>
      <w:rPr>
        <w:rFonts w:ascii="Courier New" w:hAnsi="Courier New" w:cs="Courier New" w:hint="default"/>
      </w:rPr>
    </w:lvl>
    <w:lvl w:ilvl="2" w:tplc="6CB6E96A" w:tentative="1">
      <w:start w:val="1"/>
      <w:numFmt w:val="bullet"/>
      <w:lvlText w:val=""/>
      <w:lvlJc w:val="left"/>
      <w:pPr>
        <w:ind w:left="2160" w:hanging="360"/>
      </w:pPr>
      <w:rPr>
        <w:rFonts w:ascii="Wingdings" w:hAnsi="Wingdings" w:hint="default"/>
      </w:rPr>
    </w:lvl>
    <w:lvl w:ilvl="3" w:tplc="2728A45E" w:tentative="1">
      <w:start w:val="1"/>
      <w:numFmt w:val="bullet"/>
      <w:lvlText w:val=""/>
      <w:lvlJc w:val="left"/>
      <w:pPr>
        <w:ind w:left="2880" w:hanging="360"/>
      </w:pPr>
      <w:rPr>
        <w:rFonts w:ascii="Symbol" w:hAnsi="Symbol" w:hint="default"/>
      </w:rPr>
    </w:lvl>
    <w:lvl w:ilvl="4" w:tplc="196495B8" w:tentative="1">
      <w:start w:val="1"/>
      <w:numFmt w:val="bullet"/>
      <w:lvlText w:val="o"/>
      <w:lvlJc w:val="left"/>
      <w:pPr>
        <w:ind w:left="3600" w:hanging="360"/>
      </w:pPr>
      <w:rPr>
        <w:rFonts w:ascii="Courier New" w:hAnsi="Courier New" w:cs="Courier New" w:hint="default"/>
      </w:rPr>
    </w:lvl>
    <w:lvl w:ilvl="5" w:tplc="609EE968" w:tentative="1">
      <w:start w:val="1"/>
      <w:numFmt w:val="bullet"/>
      <w:lvlText w:val=""/>
      <w:lvlJc w:val="left"/>
      <w:pPr>
        <w:ind w:left="4320" w:hanging="360"/>
      </w:pPr>
      <w:rPr>
        <w:rFonts w:ascii="Wingdings" w:hAnsi="Wingdings" w:hint="default"/>
      </w:rPr>
    </w:lvl>
    <w:lvl w:ilvl="6" w:tplc="D20484D6" w:tentative="1">
      <w:start w:val="1"/>
      <w:numFmt w:val="bullet"/>
      <w:lvlText w:val=""/>
      <w:lvlJc w:val="left"/>
      <w:pPr>
        <w:ind w:left="5040" w:hanging="360"/>
      </w:pPr>
      <w:rPr>
        <w:rFonts w:ascii="Symbol" w:hAnsi="Symbol" w:hint="default"/>
      </w:rPr>
    </w:lvl>
    <w:lvl w:ilvl="7" w:tplc="8A7EAB18" w:tentative="1">
      <w:start w:val="1"/>
      <w:numFmt w:val="bullet"/>
      <w:lvlText w:val="o"/>
      <w:lvlJc w:val="left"/>
      <w:pPr>
        <w:ind w:left="5760" w:hanging="360"/>
      </w:pPr>
      <w:rPr>
        <w:rFonts w:ascii="Courier New" w:hAnsi="Courier New" w:cs="Courier New" w:hint="default"/>
      </w:rPr>
    </w:lvl>
    <w:lvl w:ilvl="8" w:tplc="41E8B202" w:tentative="1">
      <w:start w:val="1"/>
      <w:numFmt w:val="bullet"/>
      <w:lvlText w:val=""/>
      <w:lvlJc w:val="left"/>
      <w:pPr>
        <w:ind w:left="6480" w:hanging="360"/>
      </w:pPr>
      <w:rPr>
        <w:rFonts w:ascii="Wingdings" w:hAnsi="Wingdings" w:hint="default"/>
      </w:rPr>
    </w:lvl>
  </w:abstractNum>
  <w:abstractNum w:abstractNumId="8" w15:restartNumberingAfterBreak="0">
    <w:nsid w:val="66C27A34"/>
    <w:multiLevelType w:val="multilevel"/>
    <w:tmpl w:val="A02E932A"/>
    <w:numStyleLink w:val="BulletsAgency"/>
  </w:abstractNum>
  <w:abstractNum w:abstractNumId="9" w15:restartNumberingAfterBreak="0">
    <w:nsid w:val="6DD24E13"/>
    <w:multiLevelType w:val="hybridMultilevel"/>
    <w:tmpl w:val="E4E015EC"/>
    <w:lvl w:ilvl="0" w:tplc="4D9A7162">
      <w:start w:val="1"/>
      <w:numFmt w:val="bullet"/>
      <w:lvlText w:val=""/>
      <w:lvlJc w:val="left"/>
      <w:pPr>
        <w:ind w:left="720" w:hanging="360"/>
      </w:pPr>
      <w:rPr>
        <w:rFonts w:ascii="Symbol" w:hAnsi="Symbol" w:hint="default"/>
      </w:rPr>
    </w:lvl>
    <w:lvl w:ilvl="1" w:tplc="240EB970" w:tentative="1">
      <w:start w:val="1"/>
      <w:numFmt w:val="bullet"/>
      <w:lvlText w:val="o"/>
      <w:lvlJc w:val="left"/>
      <w:pPr>
        <w:ind w:left="1440" w:hanging="360"/>
      </w:pPr>
      <w:rPr>
        <w:rFonts w:ascii="Courier New" w:hAnsi="Courier New" w:cs="Courier New" w:hint="default"/>
      </w:rPr>
    </w:lvl>
    <w:lvl w:ilvl="2" w:tplc="B510A70E" w:tentative="1">
      <w:start w:val="1"/>
      <w:numFmt w:val="bullet"/>
      <w:lvlText w:val=""/>
      <w:lvlJc w:val="left"/>
      <w:pPr>
        <w:ind w:left="2160" w:hanging="360"/>
      </w:pPr>
      <w:rPr>
        <w:rFonts w:ascii="Wingdings" w:hAnsi="Wingdings" w:hint="default"/>
      </w:rPr>
    </w:lvl>
    <w:lvl w:ilvl="3" w:tplc="35AEB6BA" w:tentative="1">
      <w:start w:val="1"/>
      <w:numFmt w:val="bullet"/>
      <w:lvlText w:val=""/>
      <w:lvlJc w:val="left"/>
      <w:pPr>
        <w:ind w:left="2880" w:hanging="360"/>
      </w:pPr>
      <w:rPr>
        <w:rFonts w:ascii="Symbol" w:hAnsi="Symbol" w:hint="default"/>
      </w:rPr>
    </w:lvl>
    <w:lvl w:ilvl="4" w:tplc="6FD81F40" w:tentative="1">
      <w:start w:val="1"/>
      <w:numFmt w:val="bullet"/>
      <w:lvlText w:val="o"/>
      <w:lvlJc w:val="left"/>
      <w:pPr>
        <w:ind w:left="3600" w:hanging="360"/>
      </w:pPr>
      <w:rPr>
        <w:rFonts w:ascii="Courier New" w:hAnsi="Courier New" w:cs="Courier New" w:hint="default"/>
      </w:rPr>
    </w:lvl>
    <w:lvl w:ilvl="5" w:tplc="6638F61E" w:tentative="1">
      <w:start w:val="1"/>
      <w:numFmt w:val="bullet"/>
      <w:lvlText w:val=""/>
      <w:lvlJc w:val="left"/>
      <w:pPr>
        <w:ind w:left="4320" w:hanging="360"/>
      </w:pPr>
      <w:rPr>
        <w:rFonts w:ascii="Wingdings" w:hAnsi="Wingdings" w:hint="default"/>
      </w:rPr>
    </w:lvl>
    <w:lvl w:ilvl="6" w:tplc="8BE69034" w:tentative="1">
      <w:start w:val="1"/>
      <w:numFmt w:val="bullet"/>
      <w:lvlText w:val=""/>
      <w:lvlJc w:val="left"/>
      <w:pPr>
        <w:ind w:left="5040" w:hanging="360"/>
      </w:pPr>
      <w:rPr>
        <w:rFonts w:ascii="Symbol" w:hAnsi="Symbol" w:hint="default"/>
      </w:rPr>
    </w:lvl>
    <w:lvl w:ilvl="7" w:tplc="C1D486C0" w:tentative="1">
      <w:start w:val="1"/>
      <w:numFmt w:val="bullet"/>
      <w:lvlText w:val="o"/>
      <w:lvlJc w:val="left"/>
      <w:pPr>
        <w:ind w:left="5760" w:hanging="360"/>
      </w:pPr>
      <w:rPr>
        <w:rFonts w:ascii="Courier New" w:hAnsi="Courier New" w:cs="Courier New" w:hint="default"/>
      </w:rPr>
    </w:lvl>
    <w:lvl w:ilvl="8" w:tplc="05D05710"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7"/>
  </w:num>
  <w:num w:numId="14">
    <w:abstractNumId w:val="1"/>
  </w:num>
  <w:num w:numId="15">
    <w:abstractNumId w:val="0"/>
  </w:num>
  <w:num w:numId="16">
    <w:abstractNumId w:val="6"/>
  </w:num>
  <w:num w:numId="17">
    <w:abstractNumId w:val="3"/>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E"/>
    <w:rsid w:val="00004E7D"/>
    <w:rsid w:val="00011FFD"/>
    <w:rsid w:val="00012BDC"/>
    <w:rsid w:val="00035105"/>
    <w:rsid w:val="00044BB4"/>
    <w:rsid w:val="00053283"/>
    <w:rsid w:val="0007327C"/>
    <w:rsid w:val="00074FC6"/>
    <w:rsid w:val="000826BC"/>
    <w:rsid w:val="000946B5"/>
    <w:rsid w:val="000A033E"/>
    <w:rsid w:val="000D2268"/>
    <w:rsid w:val="000E283D"/>
    <w:rsid w:val="000F4B9C"/>
    <w:rsid w:val="00127524"/>
    <w:rsid w:val="00133F6B"/>
    <w:rsid w:val="00135C56"/>
    <w:rsid w:val="001413EA"/>
    <w:rsid w:val="00152195"/>
    <w:rsid w:val="00157764"/>
    <w:rsid w:val="0017243E"/>
    <w:rsid w:val="00173B4B"/>
    <w:rsid w:val="0017436F"/>
    <w:rsid w:val="001A1E8D"/>
    <w:rsid w:val="001C72A7"/>
    <w:rsid w:val="001D3165"/>
    <w:rsid w:val="001D50F7"/>
    <w:rsid w:val="001D5CA9"/>
    <w:rsid w:val="001D69DA"/>
    <w:rsid w:val="001D72EA"/>
    <w:rsid w:val="001F22BF"/>
    <w:rsid w:val="001F5E66"/>
    <w:rsid w:val="001F6539"/>
    <w:rsid w:val="002006B9"/>
    <w:rsid w:val="00216263"/>
    <w:rsid w:val="00230F83"/>
    <w:rsid w:val="00232809"/>
    <w:rsid w:val="00274267"/>
    <w:rsid w:val="002777CB"/>
    <w:rsid w:val="002912DB"/>
    <w:rsid w:val="0033063F"/>
    <w:rsid w:val="0033663A"/>
    <w:rsid w:val="00356A0E"/>
    <w:rsid w:val="003612D8"/>
    <w:rsid w:val="00372908"/>
    <w:rsid w:val="003B4025"/>
    <w:rsid w:val="003C5F9C"/>
    <w:rsid w:val="003C791A"/>
    <w:rsid w:val="003E04FA"/>
    <w:rsid w:val="003E27D9"/>
    <w:rsid w:val="00456570"/>
    <w:rsid w:val="00493F99"/>
    <w:rsid w:val="004A3C26"/>
    <w:rsid w:val="004A5EAA"/>
    <w:rsid w:val="004A7372"/>
    <w:rsid w:val="004C1407"/>
    <w:rsid w:val="004C4D6C"/>
    <w:rsid w:val="004C6226"/>
    <w:rsid w:val="00500023"/>
    <w:rsid w:val="00511BE1"/>
    <w:rsid w:val="005369A3"/>
    <w:rsid w:val="00551236"/>
    <w:rsid w:val="0056086F"/>
    <w:rsid w:val="005646B4"/>
    <w:rsid w:val="005657D9"/>
    <w:rsid w:val="005802DF"/>
    <w:rsid w:val="005906EA"/>
    <w:rsid w:val="005A1F63"/>
    <w:rsid w:val="005C31F1"/>
    <w:rsid w:val="005D05FA"/>
    <w:rsid w:val="005D0DA9"/>
    <w:rsid w:val="005D3CDA"/>
    <w:rsid w:val="005D79CD"/>
    <w:rsid w:val="005F144D"/>
    <w:rsid w:val="005F786F"/>
    <w:rsid w:val="005F797A"/>
    <w:rsid w:val="0060189D"/>
    <w:rsid w:val="006207D9"/>
    <w:rsid w:val="0062272A"/>
    <w:rsid w:val="00631985"/>
    <w:rsid w:val="0065397C"/>
    <w:rsid w:val="0065532A"/>
    <w:rsid w:val="00670F36"/>
    <w:rsid w:val="00694AB8"/>
    <w:rsid w:val="006A7902"/>
    <w:rsid w:val="006C4273"/>
    <w:rsid w:val="006E134A"/>
    <w:rsid w:val="006E4818"/>
    <w:rsid w:val="006E520F"/>
    <w:rsid w:val="007007C0"/>
    <w:rsid w:val="007303D8"/>
    <w:rsid w:val="00737A76"/>
    <w:rsid w:val="00742CF5"/>
    <w:rsid w:val="007577AB"/>
    <w:rsid w:val="0076624C"/>
    <w:rsid w:val="00782B6A"/>
    <w:rsid w:val="00797D31"/>
    <w:rsid w:val="007B5449"/>
    <w:rsid w:val="008061C9"/>
    <w:rsid w:val="00806631"/>
    <w:rsid w:val="00811481"/>
    <w:rsid w:val="008B172E"/>
    <w:rsid w:val="008E3885"/>
    <w:rsid w:val="008F0426"/>
    <w:rsid w:val="00911417"/>
    <w:rsid w:val="00937A3E"/>
    <w:rsid w:val="00952DE0"/>
    <w:rsid w:val="00971DF2"/>
    <w:rsid w:val="009A3426"/>
    <w:rsid w:val="009B36B6"/>
    <w:rsid w:val="009C4AAF"/>
    <w:rsid w:val="009E5948"/>
    <w:rsid w:val="00A00695"/>
    <w:rsid w:val="00A1076D"/>
    <w:rsid w:val="00A1206E"/>
    <w:rsid w:val="00A15DAC"/>
    <w:rsid w:val="00A44574"/>
    <w:rsid w:val="00A500F8"/>
    <w:rsid w:val="00A64FB5"/>
    <w:rsid w:val="00A901FB"/>
    <w:rsid w:val="00A9557E"/>
    <w:rsid w:val="00A97458"/>
    <w:rsid w:val="00AD2790"/>
    <w:rsid w:val="00AF1003"/>
    <w:rsid w:val="00AF4372"/>
    <w:rsid w:val="00B353FA"/>
    <w:rsid w:val="00B40DED"/>
    <w:rsid w:val="00B41FB4"/>
    <w:rsid w:val="00B56D50"/>
    <w:rsid w:val="00B634C1"/>
    <w:rsid w:val="00B8076F"/>
    <w:rsid w:val="00BC14C8"/>
    <w:rsid w:val="00BC7224"/>
    <w:rsid w:val="00BC72EF"/>
    <w:rsid w:val="00BD0E51"/>
    <w:rsid w:val="00BD3DB6"/>
    <w:rsid w:val="00BE1A3D"/>
    <w:rsid w:val="00C0528D"/>
    <w:rsid w:val="00C11A4B"/>
    <w:rsid w:val="00C353C3"/>
    <w:rsid w:val="00C443D7"/>
    <w:rsid w:val="00C6575E"/>
    <w:rsid w:val="00CD3734"/>
    <w:rsid w:val="00CD3E99"/>
    <w:rsid w:val="00D03E05"/>
    <w:rsid w:val="00D10D2C"/>
    <w:rsid w:val="00D23FCC"/>
    <w:rsid w:val="00D34A32"/>
    <w:rsid w:val="00D70030"/>
    <w:rsid w:val="00D761D5"/>
    <w:rsid w:val="00D97F0A"/>
    <w:rsid w:val="00DC2734"/>
    <w:rsid w:val="00DC7730"/>
    <w:rsid w:val="00DD6242"/>
    <w:rsid w:val="00DD6D21"/>
    <w:rsid w:val="00DE537C"/>
    <w:rsid w:val="00E376AB"/>
    <w:rsid w:val="00E5068A"/>
    <w:rsid w:val="00E87D4A"/>
    <w:rsid w:val="00E936C4"/>
    <w:rsid w:val="00EA15F9"/>
    <w:rsid w:val="00EA18C0"/>
    <w:rsid w:val="00ED7257"/>
    <w:rsid w:val="00EF7C01"/>
    <w:rsid w:val="00F02C37"/>
    <w:rsid w:val="00F26A5D"/>
    <w:rsid w:val="00F43ADC"/>
    <w:rsid w:val="00F70887"/>
    <w:rsid w:val="00F84C5B"/>
    <w:rsid w:val="00F927CD"/>
    <w:rsid w:val="00FE5719"/>
  </w:rsids>
  <m:mathPr>
    <m:mathFont m:val="Cambria Math"/>
    <m:brkBin m:val="before"/>
    <m:brkBinSub m:val="--"/>
    <m:smallFrac m:val="0"/>
    <m:dispDef/>
    <m:lMargin m:val="0"/>
    <m:rMargin m:val="0"/>
    <m:defJc m:val="centerGroup"/>
    <m:wrapRight/>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A2EF1E0-AE8E-4BA3-9186-E4E21C11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797D3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FB4"/>
    <w:pPr>
      <w:tabs>
        <w:tab w:val="center" w:pos="4513"/>
        <w:tab w:val="right" w:pos="9026"/>
      </w:tabs>
    </w:pPr>
  </w:style>
  <w:style w:type="character" w:customStyle="1" w:styleId="HeaderChar">
    <w:name w:val="Header Char"/>
    <w:link w:val="Header"/>
    <w:uiPriority w:val="99"/>
    <w:rsid w:val="00B41FB4"/>
    <w:rPr>
      <w:sz w:val="22"/>
      <w:szCs w:val="22"/>
      <w:lang w:eastAsia="en-US"/>
    </w:rPr>
  </w:style>
  <w:style w:type="paragraph" w:styleId="Footer">
    <w:name w:val="footer"/>
    <w:basedOn w:val="Normal"/>
    <w:link w:val="FooterChar"/>
    <w:uiPriority w:val="99"/>
    <w:unhideWhenUsed/>
    <w:rsid w:val="00B41FB4"/>
    <w:pPr>
      <w:tabs>
        <w:tab w:val="center" w:pos="4513"/>
        <w:tab w:val="right" w:pos="9026"/>
      </w:tabs>
    </w:pPr>
  </w:style>
  <w:style w:type="character" w:customStyle="1" w:styleId="FooterChar">
    <w:name w:val="Footer Char"/>
    <w:link w:val="Footer"/>
    <w:uiPriority w:val="99"/>
    <w:rsid w:val="00B41FB4"/>
    <w:rPr>
      <w:sz w:val="22"/>
      <w:szCs w:val="22"/>
      <w:lang w:eastAsia="en-US"/>
    </w:rPr>
  </w:style>
  <w:style w:type="character" w:styleId="CommentReference">
    <w:name w:val="annotation reference"/>
    <w:uiPriority w:val="99"/>
    <w:semiHidden/>
    <w:unhideWhenUsed/>
    <w:rsid w:val="0033663A"/>
    <w:rPr>
      <w:sz w:val="16"/>
      <w:szCs w:val="16"/>
    </w:rPr>
  </w:style>
  <w:style w:type="paragraph" w:styleId="CommentText">
    <w:name w:val="annotation text"/>
    <w:basedOn w:val="Normal"/>
    <w:link w:val="CommentTextChar"/>
    <w:uiPriority w:val="99"/>
    <w:semiHidden/>
    <w:unhideWhenUsed/>
    <w:rsid w:val="0033663A"/>
    <w:rPr>
      <w:sz w:val="20"/>
      <w:szCs w:val="20"/>
    </w:rPr>
  </w:style>
  <w:style w:type="character" w:customStyle="1" w:styleId="CommentTextChar">
    <w:name w:val="Comment Text Char"/>
    <w:link w:val="CommentText"/>
    <w:uiPriority w:val="99"/>
    <w:semiHidden/>
    <w:rsid w:val="0033663A"/>
    <w:rPr>
      <w:lang w:eastAsia="en-US"/>
    </w:rPr>
  </w:style>
  <w:style w:type="paragraph" w:styleId="CommentSubject">
    <w:name w:val="annotation subject"/>
    <w:basedOn w:val="CommentText"/>
    <w:next w:val="CommentText"/>
    <w:link w:val="CommentSubjectChar"/>
    <w:uiPriority w:val="99"/>
    <w:semiHidden/>
    <w:unhideWhenUsed/>
    <w:rsid w:val="0033663A"/>
    <w:rPr>
      <w:b/>
      <w:bCs/>
    </w:rPr>
  </w:style>
  <w:style w:type="character" w:customStyle="1" w:styleId="CommentSubjectChar">
    <w:name w:val="Comment Subject Char"/>
    <w:link w:val="CommentSubject"/>
    <w:uiPriority w:val="99"/>
    <w:semiHidden/>
    <w:rsid w:val="0033663A"/>
    <w:rPr>
      <w:b/>
      <w:bCs/>
      <w:lang w:eastAsia="en-US"/>
    </w:rPr>
  </w:style>
  <w:style w:type="paragraph" w:styleId="BalloonText">
    <w:name w:val="Balloon Text"/>
    <w:basedOn w:val="Normal"/>
    <w:link w:val="BalloonTextChar"/>
    <w:uiPriority w:val="99"/>
    <w:semiHidden/>
    <w:unhideWhenUsed/>
    <w:rsid w:val="003366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663A"/>
    <w:rPr>
      <w:rFonts w:ascii="Tahoma" w:hAnsi="Tahoma" w:cs="Tahoma"/>
      <w:sz w:val="16"/>
      <w:szCs w:val="16"/>
      <w:lang w:eastAsia="en-US"/>
    </w:rPr>
  </w:style>
  <w:style w:type="paragraph" w:customStyle="1" w:styleId="BodytextAgency">
    <w:name w:val="Body text (Agency)"/>
    <w:basedOn w:val="Normal"/>
    <w:link w:val="BodytextAgencyChar"/>
    <w:qFormat/>
    <w:rsid w:val="00035105"/>
    <w:pPr>
      <w:spacing w:after="140" w:line="280" w:lineRule="atLeast"/>
    </w:pPr>
    <w:rPr>
      <w:rFonts w:ascii="Verdana" w:eastAsia="Verdana" w:hAnsi="Verdana" w:cs="Verdana"/>
      <w:sz w:val="18"/>
      <w:szCs w:val="18"/>
      <w:lang w:eastAsia="en-GB"/>
    </w:rPr>
  </w:style>
  <w:style w:type="paragraph" w:customStyle="1" w:styleId="DoccategoryheadingAgency">
    <w:name w:val="Doc category heading (Agency)"/>
    <w:next w:val="BodytextAgency"/>
    <w:qFormat/>
    <w:rsid w:val="00035105"/>
    <w:pPr>
      <w:keepNext/>
      <w:pBdr>
        <w:bottom w:val="single" w:sz="4" w:space="1" w:color="auto"/>
      </w:pBdr>
      <w:spacing w:before="567"/>
    </w:pPr>
    <w:rPr>
      <w:rFonts w:ascii="Verdana" w:eastAsia="Verdana" w:hAnsi="Verdana" w:cs="Verdana"/>
      <w:b/>
      <w:color w:val="003399"/>
      <w:sz w:val="18"/>
      <w:szCs w:val="18"/>
      <w:lang w:val="en-GB" w:eastAsia="en-GB"/>
    </w:rPr>
  </w:style>
  <w:style w:type="paragraph" w:customStyle="1" w:styleId="DocsubtitleAgency">
    <w:name w:val="Doc subtitle (Agency)"/>
    <w:basedOn w:val="Normal"/>
    <w:next w:val="BodytextAgency"/>
    <w:qFormat/>
    <w:rsid w:val="00035105"/>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035105"/>
    <w:pPr>
      <w:spacing w:before="720" w:after="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035105"/>
    <w:pPr>
      <w:spacing w:after="140" w:line="280" w:lineRule="atLeast"/>
    </w:pPr>
    <w:rPr>
      <w:rFonts w:ascii="Courier New" w:eastAsia="Verdana" w:hAnsi="Courier New"/>
      <w:i/>
      <w:color w:val="339966"/>
      <w:szCs w:val="18"/>
      <w:lang w:eastAsia="en-GB"/>
    </w:rPr>
  </w:style>
  <w:style w:type="paragraph" w:customStyle="1" w:styleId="Heading1Agency">
    <w:name w:val="Heading 1 (Agency)"/>
    <w:basedOn w:val="Normal"/>
    <w:next w:val="BodytextAgency"/>
    <w:qFormat/>
    <w:rsid w:val="00035105"/>
    <w:pPr>
      <w:keepNext/>
      <w:numPr>
        <w:numId w:val="12"/>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035105"/>
    <w:pPr>
      <w:keepNext/>
      <w:numPr>
        <w:ilvl w:val="1"/>
        <w:numId w:val="12"/>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rsid w:val="00035105"/>
    <w:pPr>
      <w:keepNext/>
      <w:numPr>
        <w:ilvl w:val="2"/>
        <w:numId w:val="12"/>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rsid w:val="00035105"/>
    <w:pPr>
      <w:numPr>
        <w:ilvl w:val="3"/>
      </w:numPr>
      <w:outlineLvl w:val="3"/>
    </w:pPr>
    <w:rPr>
      <w:i/>
      <w:sz w:val="18"/>
      <w:szCs w:val="18"/>
    </w:rPr>
  </w:style>
  <w:style w:type="paragraph" w:customStyle="1" w:styleId="Heading5Agency">
    <w:name w:val="Heading 5 (Agency)"/>
    <w:basedOn w:val="Heading4Agency"/>
    <w:next w:val="BodytextAgency"/>
    <w:qFormat/>
    <w:rsid w:val="00035105"/>
    <w:pPr>
      <w:numPr>
        <w:ilvl w:val="4"/>
      </w:numPr>
      <w:outlineLvl w:val="4"/>
    </w:pPr>
    <w:rPr>
      <w:i w:val="0"/>
    </w:rPr>
  </w:style>
  <w:style w:type="paragraph" w:customStyle="1" w:styleId="No-numheading1Agency">
    <w:name w:val="No-num heading 1 (Agency)"/>
    <w:basedOn w:val="Normal"/>
    <w:next w:val="BodytextAgency"/>
    <w:qFormat/>
    <w:rsid w:val="00035105"/>
    <w:pPr>
      <w:keepNext/>
      <w:spacing w:before="280" w:after="220" w:line="240" w:lineRule="auto"/>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035105"/>
    <w:pPr>
      <w:jc w:val="center"/>
    </w:pPr>
  </w:style>
  <w:style w:type="paragraph" w:customStyle="1" w:styleId="No-numheading2Agency">
    <w:name w:val="No-num heading 2 (Agency)"/>
    <w:basedOn w:val="Normal"/>
    <w:next w:val="BodytextAgency"/>
    <w:qFormat/>
    <w:rsid w:val="00035105"/>
    <w:pPr>
      <w:keepNext/>
      <w:spacing w:before="280" w:after="220" w:line="240" w:lineRule="auto"/>
      <w:outlineLvl w:val="1"/>
    </w:pPr>
    <w:rPr>
      <w:rFonts w:ascii="Verdana" w:eastAsia="Verdana" w:hAnsi="Verdana" w:cs="Arial"/>
      <w:b/>
      <w:bCs/>
      <w:i/>
      <w:kern w:val="32"/>
      <w:lang w:eastAsia="en-GB"/>
    </w:rPr>
  </w:style>
  <w:style w:type="paragraph" w:customStyle="1" w:styleId="No-numheading3Agency">
    <w:name w:val="No-num heading 3 (Agency)"/>
    <w:basedOn w:val="Heading3Agency"/>
    <w:next w:val="BodytextAgency"/>
    <w:qFormat/>
    <w:rsid w:val="00035105"/>
    <w:pPr>
      <w:numPr>
        <w:ilvl w:val="0"/>
        <w:numId w:val="0"/>
      </w:numPr>
    </w:pPr>
  </w:style>
  <w:style w:type="paragraph" w:customStyle="1" w:styleId="No-numheading4Agency">
    <w:name w:val="No-num heading 4 (Agency)"/>
    <w:basedOn w:val="Heading4Agency"/>
    <w:next w:val="BodytextAgency"/>
    <w:qFormat/>
    <w:rsid w:val="00035105"/>
    <w:pPr>
      <w:numPr>
        <w:ilvl w:val="0"/>
        <w:numId w:val="0"/>
      </w:numPr>
    </w:pPr>
  </w:style>
  <w:style w:type="paragraph" w:customStyle="1" w:styleId="No-numheading5Agency">
    <w:name w:val="No-num heading 5 (Agency)"/>
    <w:basedOn w:val="Heading5Agency"/>
    <w:next w:val="BodytextAgency"/>
    <w:qFormat/>
    <w:rsid w:val="00035105"/>
    <w:pPr>
      <w:numPr>
        <w:ilvl w:val="0"/>
        <w:numId w:val="0"/>
      </w:numPr>
    </w:pPr>
  </w:style>
  <w:style w:type="paragraph" w:customStyle="1" w:styleId="NormalAgency">
    <w:name w:val="Normal (Agency)"/>
    <w:qFormat/>
    <w:rsid w:val="00035105"/>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035105"/>
    <w:pPr>
      <w:keepNext/>
      <w:spacing w:before="280" w:after="220" w:line="240" w:lineRule="auto"/>
    </w:pPr>
    <w:rPr>
      <w:rFonts w:ascii="Verdana" w:eastAsia="Times New Roman" w:hAnsi="Verdana" w:cs="Arial"/>
      <w:b/>
      <w:kern w:val="32"/>
      <w:sz w:val="27"/>
      <w:szCs w:val="27"/>
      <w:lang w:eastAsia="en-GB"/>
    </w:rPr>
  </w:style>
  <w:style w:type="paragraph" w:customStyle="1" w:styleId="SpecialcommentAgency">
    <w:name w:val="Special comment (Agency)"/>
    <w:next w:val="BodytextAgency"/>
    <w:qFormat/>
    <w:rsid w:val="00035105"/>
    <w:rPr>
      <w:rFonts w:ascii="Verdana" w:eastAsia="Times New Roman" w:hAnsi="Verdana"/>
      <w:color w:val="FF0000"/>
      <w:sz w:val="17"/>
      <w:szCs w:val="17"/>
      <w:lang w:val="en-GB" w:eastAsia="en-GB"/>
    </w:rPr>
  </w:style>
  <w:style w:type="character" w:customStyle="1" w:styleId="Heading1Char">
    <w:name w:val="Heading 1 Char"/>
    <w:link w:val="Heading1"/>
    <w:uiPriority w:val="9"/>
    <w:rsid w:val="00797D31"/>
    <w:rPr>
      <w:rFonts w:ascii="Cambria" w:hAnsi="Cambria"/>
      <w:b/>
      <w:bCs/>
      <w:kern w:val="32"/>
      <w:sz w:val="32"/>
      <w:szCs w:val="32"/>
      <w:lang w:eastAsia="en-US"/>
    </w:rPr>
  </w:style>
  <w:style w:type="character" w:styleId="Hyperlink">
    <w:name w:val="Hyperlink"/>
    <w:semiHidden/>
    <w:rsid w:val="00797D31"/>
    <w:rPr>
      <w:color w:val="0000FF"/>
      <w:u w:val="single"/>
    </w:rPr>
  </w:style>
  <w:style w:type="paragraph" w:styleId="FootnoteText">
    <w:name w:val="footnote text"/>
    <w:basedOn w:val="Normal"/>
    <w:link w:val="FootnoteTextChar"/>
    <w:uiPriority w:val="99"/>
    <w:semiHidden/>
    <w:unhideWhenUsed/>
    <w:rsid w:val="00797D31"/>
    <w:rPr>
      <w:rFonts w:ascii="Calibri" w:eastAsia="Calibri" w:hAnsi="Calibri"/>
      <w:sz w:val="20"/>
      <w:szCs w:val="20"/>
    </w:rPr>
  </w:style>
  <w:style w:type="character" w:customStyle="1" w:styleId="FootnoteTextChar">
    <w:name w:val="Footnote Text Char"/>
    <w:link w:val="FootnoteText"/>
    <w:uiPriority w:val="99"/>
    <w:semiHidden/>
    <w:rsid w:val="00797D31"/>
    <w:rPr>
      <w:rFonts w:ascii="Calibri" w:eastAsia="Calibri" w:hAnsi="Calibri"/>
      <w:lang w:eastAsia="en-US"/>
    </w:rPr>
  </w:style>
  <w:style w:type="character" w:styleId="FootnoteReference">
    <w:name w:val="footnote reference"/>
    <w:uiPriority w:val="99"/>
    <w:semiHidden/>
    <w:unhideWhenUsed/>
    <w:rsid w:val="00797D31"/>
    <w:rPr>
      <w:vertAlign w:val="superscript"/>
    </w:rPr>
  </w:style>
  <w:style w:type="character" w:customStyle="1" w:styleId="BodytextAgencyChar">
    <w:name w:val="Body text (Agency) Char"/>
    <w:link w:val="BodytextAgency"/>
    <w:rsid w:val="00797D31"/>
    <w:rPr>
      <w:rFonts w:ascii="Verdana" w:eastAsia="Verdana" w:hAnsi="Verdana" w:cs="Verdana"/>
      <w:sz w:val="18"/>
      <w:szCs w:val="18"/>
    </w:rPr>
  </w:style>
  <w:style w:type="numbering" w:customStyle="1" w:styleId="BulletsAgency">
    <w:name w:val="Bullets (Agency)"/>
    <w:basedOn w:val="NoList"/>
    <w:rsid w:val="004A5EAA"/>
    <w:pPr>
      <w:numPr>
        <w:numId w:val="15"/>
      </w:numPr>
    </w:pPr>
  </w:style>
  <w:style w:type="character" w:customStyle="1" w:styleId="UnresolvedMention1">
    <w:name w:val="Unresolved Mention1"/>
    <w:basedOn w:val="DefaultParagraphFont"/>
    <w:uiPriority w:val="99"/>
    <w:rsid w:val="00737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controller.HumanMedicines@ema.europa.eu" TargetMode="External"/><Relationship Id="rId13" Type="http://schemas.openxmlformats.org/officeDocument/2006/relationships/hyperlink" Target="mailto:Datacontroller.HumanMedicines@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atacontroller.HumanMedicines@ema.europa.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ps@edps.europa.eu" TargetMode="External"/><Relationship Id="rId5" Type="http://schemas.openxmlformats.org/officeDocument/2006/relationships/webSettings" Target="webSettings.xml"/><Relationship Id="rId15" Type="http://schemas.openxmlformats.org/officeDocument/2006/relationships/hyperlink" Target="mailto:edps@edps.europa.eu" TargetMode="External"/><Relationship Id="rId23" Type="http://schemas.openxmlformats.org/officeDocument/2006/relationships/theme" Target="theme/theme1.xml"/><Relationship Id="rId10" Type="http://schemas.openxmlformats.org/officeDocument/2006/relationships/hyperlink" Target="http://www.ema.europa.eu/en/about-us/legal/privacy-stateme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tacontroller.HumanMedicines@ema.europa.eu" TargetMode="External"/><Relationship Id="rId14" Type="http://schemas.openxmlformats.org/officeDocument/2006/relationships/hyperlink" Target="mailto:dataprotection@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3F3D-615D-49E1-B7F2-D92ECB2D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10216</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Template for reporting alleged improprieties by external source</vt:lpstr>
    </vt:vector>
  </TitlesOfParts>
  <Company>European Medicines Agency</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reporting alleged breaches by external reporting person</dc:title>
  <dc:creator>Cuddy Brendan</dc:creator>
  <cp:lastModifiedBy>Berbece Claudiu</cp:lastModifiedBy>
  <cp:revision>2</cp:revision>
  <cp:lastPrinted>2019-09-05T16:47:00Z</cp:lastPrinted>
  <dcterms:created xsi:type="dcterms:W3CDTF">2022-05-19T10:01:00Z</dcterms:created>
  <dcterms:modified xsi:type="dcterms:W3CDTF">2022-05-19T10:01:00Z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30/03/2022 12:45:13</vt:lpwstr>
  </property>
  <property fmtid="{D5CDD505-2E9C-101B-9397-08002B2CF9AE}" pid="6" name="DM_Creator_Name">
    <vt:lpwstr>Vukic Dunja</vt:lpwstr>
  </property>
  <property fmtid="{D5CDD505-2E9C-101B-9397-08002B2CF9AE}" pid="7" name="DM_DocRefId">
    <vt:lpwstr>EMA/INS/152639/2022</vt:lpwstr>
  </property>
  <property fmtid="{D5CDD505-2E9C-101B-9397-08002B2CF9AE}" pid="8" name="DM_emea_doc_ref_id">
    <vt:lpwstr>EMA/INS/152639/2022</vt:lpwstr>
  </property>
  <property fmtid="{D5CDD505-2E9C-101B-9397-08002B2CF9AE}" pid="9" name="DM_Keywords">
    <vt:lpwstr/>
  </property>
  <property fmtid="{D5CDD505-2E9C-101B-9397-08002B2CF9AE}" pid="10" name="DM_Language">
    <vt:lpwstr/>
  </property>
  <property fmtid="{D5CDD505-2E9C-101B-9397-08002B2CF9AE}" pid="11" name="DM_Modifer_Name">
    <vt:lpwstr>Vukic Dunja</vt:lpwstr>
  </property>
  <property fmtid="{D5CDD505-2E9C-101B-9397-08002B2CF9AE}" pid="12" name="DM_Modified_Date">
    <vt:lpwstr>30/03/2022 12:45:13</vt:lpwstr>
  </property>
  <property fmtid="{D5CDD505-2E9C-101B-9397-08002B2CF9AE}" pid="13" name="DM_Modifier_Name">
    <vt:lpwstr>Vukic Dunja</vt:lpwstr>
  </property>
  <property fmtid="{D5CDD505-2E9C-101B-9397-08002B2CF9AE}" pid="14" name="DM_Modify_Date">
    <vt:lpwstr>30/03/2022 12:45:13</vt:lpwstr>
  </property>
  <property fmtid="{D5CDD505-2E9C-101B-9397-08002B2CF9AE}" pid="15" name="DM_Name">
    <vt:lpwstr>Template for reporting alleged breaches by external reporting person</vt:lpwstr>
  </property>
  <property fmtid="{D5CDD505-2E9C-101B-9397-08002B2CF9AE}" pid="16" name="DM_Path">
    <vt:lpwstr>/14. Working areas/14.05 H-Division/04. H-QS Activities/03. H-QS-ISP/03. Knowledge and operations/Handling of information from external sources/SOP 0129 revision 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1.3,CURRENT</vt:lpwstr>
  </property>
  <property fmtid="{D5CDD505-2E9C-101B-9397-08002B2CF9AE}" pid="22" name="MSIP_Label_39b352ef-c49b-4068-987f-9b664711be4a_Enabled">
    <vt:lpwstr>true</vt:lpwstr>
  </property>
  <property fmtid="{D5CDD505-2E9C-101B-9397-08002B2CF9AE}" pid="23" name="MSIP_Label_39b352ef-c49b-4068-987f-9b664711be4a_SetDate">
    <vt:lpwstr>2022-05-19T10:01:07Z</vt:lpwstr>
  </property>
  <property fmtid="{D5CDD505-2E9C-101B-9397-08002B2CF9AE}" pid="24" name="MSIP_Label_39b352ef-c49b-4068-987f-9b664711be4a_Method">
    <vt:lpwstr>Privileged</vt:lpwstr>
  </property>
  <property fmtid="{D5CDD505-2E9C-101B-9397-08002B2CF9AE}" pid="25" name="MSIP_Label_39b352ef-c49b-4068-987f-9b664711be4a_Name">
    <vt:lpwstr>39b352ef-c49b-4068-987f-9b664711be4a</vt:lpwstr>
  </property>
  <property fmtid="{D5CDD505-2E9C-101B-9397-08002B2CF9AE}" pid="26" name="MSIP_Label_39b352ef-c49b-4068-987f-9b664711be4a_SiteId">
    <vt:lpwstr>bc9dc15c-61bc-4f03-b60b-e5b6d8922839</vt:lpwstr>
  </property>
  <property fmtid="{D5CDD505-2E9C-101B-9397-08002B2CF9AE}" pid="27" name="MSIP_Label_39b352ef-c49b-4068-987f-9b664711be4a_ActionId">
    <vt:lpwstr>efa7c066-7ba4-4578-893e-f6f9af8f1e62</vt:lpwstr>
  </property>
  <property fmtid="{D5CDD505-2E9C-101B-9397-08002B2CF9AE}" pid="28" name="MSIP_Label_39b352ef-c49b-4068-987f-9b664711be4a_ContentBits">
    <vt:lpwstr>2</vt:lpwstr>
  </property>
</Properties>
</file>